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E4D48">
      <w:pPr>
        <w:pStyle w:val="19"/>
        <w:rPr>
          <w:rFonts w:ascii="宋体" w:hAnsi="宋体"/>
          <w:color w:val="000000"/>
        </w:rPr>
      </w:pPr>
      <w:r>
        <w:rPr>
          <w:rFonts w:hint="eastAsia" w:ascii="宋体" w:hAnsi="宋体"/>
          <w:color w:val="000000"/>
        </w:rPr>
        <w:t>采购文件</w:t>
      </w:r>
    </w:p>
    <w:p w14:paraId="257E4D49">
      <w:pPr>
        <w:tabs>
          <w:tab w:val="left" w:pos="2020"/>
          <w:tab w:val="center" w:pos="4535"/>
        </w:tabs>
        <w:snapToGrid w:val="0"/>
        <w:spacing w:line="360" w:lineRule="auto"/>
        <w:ind w:firstLine="540" w:firstLineChars="225"/>
        <w:rPr>
          <w:rFonts w:ascii="宋体" w:hAnsi="宋体"/>
          <w:bCs/>
          <w:color w:val="000000"/>
        </w:rPr>
      </w:pPr>
    </w:p>
    <w:p w14:paraId="257E4D4A">
      <w:pPr>
        <w:tabs>
          <w:tab w:val="left" w:pos="2020"/>
          <w:tab w:val="center" w:pos="4535"/>
        </w:tabs>
        <w:snapToGrid w:val="0"/>
        <w:spacing w:line="360" w:lineRule="auto"/>
        <w:ind w:firstLine="480" w:firstLineChars="200"/>
        <w:rPr>
          <w:rFonts w:ascii="宋体" w:hAnsi="宋体" w:cs="宋体"/>
          <w:bCs/>
          <w:color w:val="000000"/>
        </w:rPr>
      </w:pPr>
      <w:bookmarkStart w:id="0" w:name="OLE_LINK1"/>
      <w:r>
        <w:rPr>
          <w:rFonts w:hint="eastAsia" w:ascii="宋体" w:hAnsi="宋体" w:cs="宋体"/>
          <w:bCs/>
          <w:color w:val="000000"/>
        </w:rPr>
        <w:t>国家体育总局体育器材装备中心（以下简称采购单位）就</w:t>
      </w:r>
      <w:r>
        <w:rPr>
          <w:rFonts w:hint="eastAsia" w:ascii="宋体" w:hAnsi="宋体" w:cs="宋体"/>
          <w:bCs/>
          <w:color w:val="000000"/>
          <w:u w:val="single"/>
        </w:rPr>
        <w:t>北京兴奋剂检测实验室</w:t>
      </w:r>
      <w:r>
        <w:rPr>
          <w:rFonts w:hint="eastAsia" w:ascii="宋体" w:hAnsi="宋体" w:cs="宋体"/>
          <w:bCs/>
          <w:color w:val="000000"/>
        </w:rPr>
        <w:t>采购的相关产品和有关服务进行公告，现邀请合格的供应商参加谈判。</w:t>
      </w:r>
    </w:p>
    <w:p w14:paraId="257E4D4B">
      <w:pPr>
        <w:tabs>
          <w:tab w:val="left" w:pos="2020"/>
          <w:tab w:val="center" w:pos="4535"/>
        </w:tabs>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本项目非适用政府采购法项目，在中国政府采购网发布公告仅为拓宽信息发布渠道，非法定公示行为。项目的采购需求编制、采购公告发布、获取采购文件、提交响应文件、现场协商、结果公告发布参考单一来源采购的环节执行。</w:t>
      </w:r>
    </w:p>
    <w:p w14:paraId="2584C8F8">
      <w:pPr>
        <w:tabs>
          <w:tab w:val="left" w:pos="2020"/>
          <w:tab w:val="center" w:pos="4535"/>
        </w:tabs>
        <w:snapToGrid w:val="0"/>
        <w:spacing w:line="360" w:lineRule="auto"/>
        <w:ind w:firstLine="480" w:firstLineChars="200"/>
        <w:rPr>
          <w:rFonts w:hint="eastAsia" w:ascii="宋体" w:hAnsi="宋体" w:cs="宋体"/>
          <w:bCs/>
          <w:color w:val="000000"/>
        </w:rPr>
      </w:pPr>
    </w:p>
    <w:p w14:paraId="257E4D4C">
      <w:pPr>
        <w:numPr>
          <w:ilvl w:val="0"/>
          <w:numId w:val="2"/>
        </w:numPr>
        <w:tabs>
          <w:tab w:val="left" w:pos="2020"/>
          <w:tab w:val="center" w:pos="4535"/>
        </w:tabs>
        <w:snapToGrid w:val="0"/>
        <w:spacing w:line="360" w:lineRule="auto"/>
        <w:ind w:firstLine="0"/>
        <w:rPr>
          <w:rFonts w:ascii="宋体" w:hAnsi="宋体" w:cs="宋体"/>
          <w:bCs/>
          <w:color w:val="000000"/>
        </w:rPr>
      </w:pPr>
      <w:r>
        <w:rPr>
          <w:rFonts w:hint="eastAsia" w:ascii="宋体" w:hAnsi="宋体" w:cs="宋体"/>
          <w:bCs/>
          <w:color w:val="000000"/>
        </w:rPr>
        <w:t>项目名称：北京兴奋剂检测实验室赛默飞世尔品牌仪器维保服务采购</w:t>
      </w:r>
    </w:p>
    <w:p w14:paraId="257E4D4D">
      <w:pPr>
        <w:tabs>
          <w:tab w:val="left" w:pos="2020"/>
          <w:tab w:val="center" w:pos="4535"/>
        </w:tabs>
        <w:snapToGrid w:val="0"/>
        <w:spacing w:line="360" w:lineRule="auto"/>
        <w:ind w:firstLine="480" w:firstLineChars="200"/>
        <w:rPr>
          <w:rFonts w:ascii="宋体" w:hAnsi="宋体" w:cs="宋体"/>
          <w:bCs/>
          <w:color w:val="000000"/>
        </w:rPr>
      </w:pPr>
      <w:r>
        <w:rPr>
          <w:rFonts w:hint="eastAsia" w:ascii="宋体" w:hAnsi="宋体" w:cs="宋体"/>
          <w:bCs/>
          <w:color w:val="000000"/>
        </w:rPr>
        <w:t>项目编号：FZZJ25-02</w:t>
      </w:r>
    </w:p>
    <w:p w14:paraId="257E4D4E">
      <w:pPr>
        <w:snapToGrid w:val="0"/>
        <w:spacing w:before="156" w:beforeLines="50" w:line="360" w:lineRule="auto"/>
        <w:outlineLvl w:val="0"/>
        <w:rPr>
          <w:rFonts w:ascii="宋体" w:hAnsi="宋体" w:cs="宋体"/>
          <w:b w:val="0"/>
          <w:bCs/>
          <w:color w:val="000000"/>
        </w:rPr>
      </w:pPr>
      <w:r>
        <w:rPr>
          <w:rFonts w:hint="eastAsia" w:ascii="宋体" w:hAnsi="宋体" w:cs="宋体"/>
          <w:b w:val="0"/>
          <w:bCs/>
          <w:color w:val="000000"/>
        </w:rPr>
        <w:t>二、采购内容：</w:t>
      </w:r>
      <w:bookmarkStart w:id="1" w:name="_Toc228003986"/>
    </w:p>
    <w:p w14:paraId="257E4D4F">
      <w:pPr>
        <w:tabs>
          <w:tab w:val="left" w:pos="2020"/>
          <w:tab w:val="center" w:pos="4535"/>
        </w:tabs>
        <w:snapToGrid w:val="0"/>
        <w:spacing w:line="360" w:lineRule="auto"/>
        <w:ind w:firstLine="480" w:firstLineChars="200"/>
        <w:rPr>
          <w:rFonts w:ascii="宋体" w:hAnsi="宋体" w:cs="宋体"/>
        </w:rPr>
      </w:pPr>
      <w:r>
        <w:rPr>
          <w:rFonts w:hint="eastAsia" w:ascii="宋体" w:hAnsi="宋体" w:cs="宋体"/>
          <w:bCs/>
          <w:color w:val="000000"/>
        </w:rPr>
        <w:t>本项目采购预算120.4万元。</w:t>
      </w:r>
    </w:p>
    <w:bookmarkEnd w:id="1"/>
    <w:p w14:paraId="257E4D50">
      <w:pPr>
        <w:spacing w:line="360" w:lineRule="auto"/>
        <w:jc w:val="left"/>
        <w:rPr>
          <w:rFonts w:ascii="宋体" w:hAnsi="宋体" w:cs="宋体"/>
        </w:rPr>
      </w:pPr>
      <w:r>
        <w:rPr>
          <w:rFonts w:hint="eastAsia" w:ascii="宋体" w:hAnsi="宋体" w:cs="宋体"/>
        </w:rPr>
        <w:t>采购标的如下：</w:t>
      </w:r>
    </w:p>
    <w:p w14:paraId="257E4D51">
      <w:pPr>
        <w:numPr>
          <w:ilvl w:val="0"/>
          <w:numId w:val="3"/>
        </w:numPr>
        <w:spacing w:line="360" w:lineRule="auto"/>
        <w:rPr>
          <w:rFonts w:ascii="宋体" w:hAnsi="宋体" w:cs="宋体"/>
        </w:rPr>
      </w:pPr>
      <w:bookmarkStart w:id="2" w:name="_Toc30745"/>
      <w:r>
        <w:rPr>
          <w:rFonts w:hint="eastAsia" w:ascii="宋体" w:hAnsi="宋体" w:cs="宋体"/>
        </w:rPr>
        <w:t>维保服务需求</w:t>
      </w:r>
      <w:bookmarkEnd w:id="2"/>
    </w:p>
    <w:p w14:paraId="257E4D52">
      <w:pPr>
        <w:widowControl/>
        <w:spacing w:line="360" w:lineRule="auto"/>
        <w:ind w:firstLine="480" w:firstLineChars="200"/>
        <w:rPr>
          <w:rFonts w:ascii="宋体" w:hAnsi="宋体" w:cs="宋体"/>
          <w:bCs/>
        </w:rPr>
      </w:pPr>
      <w:r>
        <w:rPr>
          <w:rFonts w:hint="eastAsia" w:ascii="宋体" w:hAnsi="宋体" w:cs="宋体"/>
          <w:bCs/>
        </w:rPr>
        <w:t>1.基本要求</w:t>
      </w:r>
    </w:p>
    <w:p w14:paraId="257E4D53">
      <w:pPr>
        <w:widowControl/>
        <w:spacing w:line="360" w:lineRule="auto"/>
        <w:ind w:firstLine="480" w:firstLineChars="200"/>
        <w:rPr>
          <w:rFonts w:ascii="宋体" w:hAnsi="宋体" w:cs="宋体"/>
          <w:bCs/>
        </w:rPr>
      </w:pPr>
      <w:r>
        <w:rPr>
          <w:rFonts w:hint="eastAsia" w:ascii="宋体" w:hAnsi="宋体" w:cs="宋体"/>
          <w:bCs/>
        </w:rPr>
        <w:t>主要用于实验室内分析中使用的质谱仪维修维护服务，可快速响应，并能够定期的进行维护，可解决仪器使用过程中所有的问题。</w:t>
      </w:r>
    </w:p>
    <w:p w14:paraId="257E4D54">
      <w:pPr>
        <w:widowControl/>
        <w:spacing w:line="360" w:lineRule="auto"/>
        <w:ind w:firstLine="480" w:firstLineChars="200"/>
        <w:rPr>
          <w:rFonts w:ascii="宋体" w:hAnsi="宋体" w:cs="宋体"/>
          <w:bCs/>
        </w:rPr>
      </w:pPr>
      <w:r>
        <w:rPr>
          <w:rFonts w:hint="eastAsia" w:ascii="宋体" w:hAnsi="宋体" w:cs="宋体"/>
          <w:bCs/>
        </w:rPr>
        <w:t>2.服务期限：一年。</w:t>
      </w:r>
    </w:p>
    <w:p w14:paraId="257E4D55">
      <w:pPr>
        <w:widowControl/>
        <w:spacing w:line="360" w:lineRule="auto"/>
        <w:ind w:firstLine="480" w:firstLineChars="200"/>
        <w:rPr>
          <w:rFonts w:ascii="宋体" w:hAnsi="宋体" w:cs="宋体"/>
          <w:bCs/>
        </w:rPr>
      </w:pPr>
      <w:r>
        <w:rPr>
          <w:rFonts w:hint="eastAsia" w:ascii="宋体" w:hAnsi="宋体" w:cs="宋体"/>
          <w:bCs/>
        </w:rPr>
        <w:t>3.主要仪器设备维修维护要求</w:t>
      </w:r>
    </w:p>
    <w:p w14:paraId="257E4D56">
      <w:pPr>
        <w:widowControl/>
        <w:spacing w:line="360" w:lineRule="auto"/>
        <w:ind w:firstLine="480" w:firstLineChars="200"/>
        <w:rPr>
          <w:rFonts w:ascii="宋体" w:hAnsi="宋体" w:cs="宋体"/>
          <w:bCs/>
        </w:rPr>
      </w:pPr>
      <w:r>
        <w:rPr>
          <w:rFonts w:hint="eastAsia" w:ascii="宋体" w:hAnsi="宋体" w:cs="宋体"/>
          <w:bCs/>
        </w:rPr>
        <w:t>3.1 需全部满足9台大型高分辨质谱仪的维修维护服务，仪器信息如下：</w:t>
      </w:r>
    </w:p>
    <w:tbl>
      <w:tblPr>
        <w:tblStyle w:val="22"/>
        <w:tblW w:w="4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6"/>
        <w:gridCol w:w="2330"/>
        <w:gridCol w:w="1627"/>
      </w:tblGrid>
      <w:tr w14:paraId="257E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22" w:type="pct"/>
            <w:tcBorders>
              <w:top w:val="single" w:color="auto" w:sz="4" w:space="0"/>
              <w:left w:val="single" w:color="auto" w:sz="4" w:space="0"/>
              <w:bottom w:val="single" w:color="auto" w:sz="4" w:space="0"/>
              <w:right w:val="single" w:color="auto" w:sz="4" w:space="0"/>
            </w:tcBorders>
            <w:vAlign w:val="center"/>
          </w:tcPr>
          <w:p w14:paraId="257E4D57">
            <w:pPr>
              <w:widowControl/>
              <w:spacing w:line="360" w:lineRule="auto"/>
              <w:jc w:val="center"/>
              <w:rPr>
                <w:rFonts w:ascii="宋体" w:hAnsi="宋体" w:cs="宋体"/>
                <w:bCs/>
              </w:rPr>
            </w:pPr>
            <w:r>
              <w:rPr>
                <w:rFonts w:hint="eastAsia" w:ascii="宋体" w:hAnsi="宋体" w:cs="宋体"/>
                <w:bCs/>
              </w:rPr>
              <w:t>设备类型</w:t>
            </w:r>
          </w:p>
        </w:tc>
        <w:tc>
          <w:tcPr>
            <w:tcW w:w="1635" w:type="pct"/>
            <w:tcBorders>
              <w:top w:val="single" w:color="auto" w:sz="4" w:space="0"/>
              <w:left w:val="single" w:color="auto" w:sz="4" w:space="0"/>
              <w:bottom w:val="single" w:color="auto" w:sz="4" w:space="0"/>
              <w:right w:val="single" w:color="auto" w:sz="4" w:space="0"/>
            </w:tcBorders>
            <w:vAlign w:val="center"/>
          </w:tcPr>
          <w:p w14:paraId="257E4D58">
            <w:pPr>
              <w:widowControl/>
              <w:spacing w:line="360" w:lineRule="auto"/>
              <w:jc w:val="center"/>
              <w:rPr>
                <w:rFonts w:ascii="宋体" w:hAnsi="宋体" w:cs="宋体"/>
                <w:bCs/>
              </w:rPr>
            </w:pPr>
            <w:r>
              <w:rPr>
                <w:rFonts w:hint="eastAsia" w:ascii="宋体" w:hAnsi="宋体" w:cs="宋体"/>
                <w:bCs/>
              </w:rPr>
              <w:t>型号</w:t>
            </w:r>
          </w:p>
        </w:tc>
        <w:tc>
          <w:tcPr>
            <w:tcW w:w="1142" w:type="pct"/>
            <w:tcBorders>
              <w:top w:val="single" w:color="auto" w:sz="4" w:space="0"/>
              <w:left w:val="single" w:color="auto" w:sz="4" w:space="0"/>
              <w:bottom w:val="single" w:color="auto" w:sz="4" w:space="0"/>
              <w:right w:val="single" w:color="auto" w:sz="4" w:space="0"/>
            </w:tcBorders>
            <w:vAlign w:val="center"/>
          </w:tcPr>
          <w:p w14:paraId="257E4D59">
            <w:pPr>
              <w:widowControl/>
              <w:spacing w:line="360" w:lineRule="auto"/>
              <w:jc w:val="center"/>
              <w:rPr>
                <w:rFonts w:ascii="宋体" w:hAnsi="宋体" w:cs="宋体"/>
                <w:bCs/>
              </w:rPr>
            </w:pPr>
            <w:r>
              <w:rPr>
                <w:rFonts w:hint="eastAsia" w:ascii="宋体" w:hAnsi="宋体" w:cs="宋体"/>
                <w:bCs/>
              </w:rPr>
              <w:t>数量</w:t>
            </w:r>
          </w:p>
        </w:tc>
      </w:tr>
      <w:tr w14:paraId="257E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222" w:type="pct"/>
            <w:tcBorders>
              <w:top w:val="single" w:color="auto" w:sz="4" w:space="0"/>
              <w:left w:val="single" w:color="auto" w:sz="4" w:space="0"/>
              <w:bottom w:val="single" w:color="auto" w:sz="4" w:space="0"/>
              <w:right w:val="single" w:color="auto" w:sz="4" w:space="0"/>
            </w:tcBorders>
            <w:vAlign w:val="center"/>
          </w:tcPr>
          <w:p w14:paraId="257E4D5B">
            <w:pPr>
              <w:widowControl/>
              <w:adjustRightInd w:val="0"/>
              <w:snapToGrid w:val="0"/>
              <w:jc w:val="center"/>
              <w:rPr>
                <w:rFonts w:ascii="宋体" w:hAnsi="宋体" w:cs="宋体"/>
                <w:bCs/>
              </w:rPr>
            </w:pPr>
            <w:r>
              <w:rPr>
                <w:rFonts w:hint="eastAsia" w:ascii="宋体" w:hAnsi="宋体" w:cs="Calibri"/>
                <w:color w:val="000000"/>
                <w:kern w:val="0"/>
              </w:rPr>
              <w:t>气体稳定同位素质谱仪</w:t>
            </w:r>
          </w:p>
        </w:tc>
        <w:tc>
          <w:tcPr>
            <w:tcW w:w="1635" w:type="pct"/>
            <w:tcBorders>
              <w:top w:val="single" w:color="auto" w:sz="4" w:space="0"/>
              <w:left w:val="single" w:color="auto" w:sz="4" w:space="0"/>
              <w:bottom w:val="single" w:color="auto" w:sz="4" w:space="0"/>
              <w:right w:val="single" w:color="auto" w:sz="4" w:space="0"/>
            </w:tcBorders>
            <w:vAlign w:val="center"/>
          </w:tcPr>
          <w:p w14:paraId="257E4D5C">
            <w:pPr>
              <w:widowControl/>
              <w:adjustRightInd w:val="0"/>
              <w:snapToGrid w:val="0"/>
              <w:jc w:val="center"/>
              <w:rPr>
                <w:rFonts w:ascii="宋体" w:hAnsi="宋体" w:cs="Calibri"/>
                <w:color w:val="000000"/>
                <w:kern w:val="0"/>
              </w:rPr>
            </w:pPr>
            <w:r>
              <w:rPr>
                <w:rFonts w:hint="eastAsia" w:ascii="宋体" w:hAnsi="宋体" w:cs="Calibri"/>
                <w:color w:val="000000"/>
                <w:kern w:val="0"/>
              </w:rPr>
              <w:t>Mat253</w:t>
            </w:r>
          </w:p>
        </w:tc>
        <w:tc>
          <w:tcPr>
            <w:tcW w:w="1142" w:type="pct"/>
            <w:tcBorders>
              <w:top w:val="single" w:color="auto" w:sz="4" w:space="0"/>
              <w:left w:val="single" w:color="auto" w:sz="4" w:space="0"/>
              <w:bottom w:val="single" w:color="auto" w:sz="4" w:space="0"/>
              <w:right w:val="single" w:color="auto" w:sz="4" w:space="0"/>
            </w:tcBorders>
            <w:vAlign w:val="center"/>
          </w:tcPr>
          <w:p w14:paraId="257E4D5D">
            <w:pPr>
              <w:widowControl/>
              <w:adjustRightInd w:val="0"/>
              <w:snapToGrid w:val="0"/>
              <w:jc w:val="center"/>
              <w:rPr>
                <w:rFonts w:ascii="宋体" w:hAnsi="宋体" w:cs="Calibri"/>
                <w:color w:val="000000"/>
                <w:kern w:val="0"/>
              </w:rPr>
            </w:pPr>
            <w:r>
              <w:rPr>
                <w:rFonts w:hint="eastAsia" w:ascii="宋体" w:hAnsi="宋体" w:cs="Calibri"/>
                <w:color w:val="000000"/>
                <w:kern w:val="0"/>
              </w:rPr>
              <w:t>1</w:t>
            </w:r>
          </w:p>
        </w:tc>
      </w:tr>
      <w:tr w14:paraId="257E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pct"/>
            <w:tcBorders>
              <w:top w:val="single" w:color="auto" w:sz="4" w:space="0"/>
              <w:left w:val="single" w:color="auto" w:sz="4" w:space="0"/>
              <w:bottom w:val="single" w:color="auto" w:sz="4" w:space="0"/>
              <w:right w:val="single" w:color="auto" w:sz="4" w:space="0"/>
            </w:tcBorders>
            <w:vAlign w:val="center"/>
          </w:tcPr>
          <w:p w14:paraId="257E4D5F">
            <w:pPr>
              <w:widowControl/>
              <w:adjustRightInd w:val="0"/>
              <w:snapToGrid w:val="0"/>
              <w:jc w:val="center"/>
              <w:rPr>
                <w:rFonts w:ascii="宋体" w:hAnsi="宋体" w:cs="宋体"/>
                <w:bCs/>
              </w:rPr>
            </w:pPr>
            <w:r>
              <w:rPr>
                <w:rFonts w:hint="eastAsia" w:ascii="宋体" w:hAnsi="宋体" w:cs="Calibri"/>
                <w:color w:val="000000"/>
                <w:kern w:val="0"/>
              </w:rPr>
              <w:t>气体稳定同位素质谱仪</w:t>
            </w:r>
          </w:p>
        </w:tc>
        <w:tc>
          <w:tcPr>
            <w:tcW w:w="1635" w:type="pct"/>
            <w:tcBorders>
              <w:top w:val="single" w:color="auto" w:sz="4" w:space="0"/>
              <w:left w:val="single" w:color="auto" w:sz="4" w:space="0"/>
              <w:bottom w:val="single" w:color="auto" w:sz="4" w:space="0"/>
              <w:right w:val="single" w:color="auto" w:sz="4" w:space="0"/>
            </w:tcBorders>
            <w:vAlign w:val="center"/>
          </w:tcPr>
          <w:p w14:paraId="257E4D60">
            <w:pPr>
              <w:widowControl/>
              <w:adjustRightInd w:val="0"/>
              <w:snapToGrid w:val="0"/>
              <w:jc w:val="center"/>
              <w:rPr>
                <w:rFonts w:ascii="宋体" w:hAnsi="宋体" w:cs="Calibri"/>
                <w:color w:val="000000"/>
                <w:kern w:val="0"/>
              </w:rPr>
            </w:pPr>
            <w:r>
              <w:fldChar w:fldCharType="begin"/>
            </w:r>
            <w:r>
              <w:instrText xml:space="preserve"> HYPERLINK "http://cnshf-cal01.apac.thermo.com/Dispatcher/EquipmentInfo/QueryEquInfo.aspx" </w:instrText>
            </w:r>
            <w:r>
              <w:fldChar w:fldCharType="separate"/>
            </w:r>
            <w:r>
              <w:rPr>
                <w:rFonts w:hint="eastAsia" w:ascii="宋体" w:hAnsi="宋体" w:cs="Calibri"/>
                <w:color w:val="000000"/>
                <w:kern w:val="0"/>
              </w:rPr>
              <w:t>Delta V Advantage</w:t>
            </w:r>
            <w:r>
              <w:rPr>
                <w:rFonts w:hint="eastAsia" w:ascii="宋体" w:hAnsi="宋体" w:cs="Calibri"/>
                <w:color w:val="000000"/>
                <w:kern w:val="0"/>
              </w:rPr>
              <w:fldChar w:fldCharType="end"/>
            </w:r>
          </w:p>
        </w:tc>
        <w:tc>
          <w:tcPr>
            <w:tcW w:w="1142" w:type="pct"/>
            <w:tcBorders>
              <w:top w:val="single" w:color="auto" w:sz="4" w:space="0"/>
              <w:left w:val="single" w:color="auto" w:sz="4" w:space="0"/>
              <w:bottom w:val="single" w:color="auto" w:sz="4" w:space="0"/>
              <w:right w:val="single" w:color="auto" w:sz="4" w:space="0"/>
            </w:tcBorders>
            <w:vAlign w:val="center"/>
          </w:tcPr>
          <w:p w14:paraId="257E4D61">
            <w:pPr>
              <w:widowControl/>
              <w:adjustRightInd w:val="0"/>
              <w:snapToGrid w:val="0"/>
              <w:jc w:val="center"/>
              <w:rPr>
                <w:rFonts w:ascii="宋体" w:hAnsi="宋体" w:cs="Calibri"/>
                <w:color w:val="000000"/>
                <w:kern w:val="0"/>
              </w:rPr>
            </w:pPr>
            <w:r>
              <w:rPr>
                <w:rFonts w:hint="eastAsia" w:ascii="宋体" w:hAnsi="宋体" w:cs="Calibri"/>
                <w:color w:val="000000"/>
                <w:kern w:val="0"/>
              </w:rPr>
              <w:t>1</w:t>
            </w:r>
          </w:p>
        </w:tc>
      </w:tr>
      <w:tr w14:paraId="257E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14:paraId="257E4D63">
            <w:pPr>
              <w:widowControl/>
              <w:adjustRightInd w:val="0"/>
              <w:snapToGrid w:val="0"/>
              <w:jc w:val="center"/>
              <w:rPr>
                <w:rFonts w:ascii="宋体" w:hAnsi="宋体" w:cs="宋体"/>
                <w:bCs/>
                <w:kern w:val="1"/>
              </w:rPr>
            </w:pPr>
            <w:r>
              <w:rPr>
                <w:rFonts w:hint="eastAsia" w:ascii="宋体" w:hAnsi="宋体" w:cs="Calibri"/>
                <w:color w:val="000000"/>
                <w:kern w:val="0"/>
              </w:rPr>
              <w:t>四级杆-静电场轨道阱高分辨质谱仪</w:t>
            </w:r>
          </w:p>
        </w:tc>
        <w:tc>
          <w:tcPr>
            <w:tcW w:w="1635" w:type="pct"/>
            <w:tcBorders>
              <w:top w:val="single" w:color="auto" w:sz="4" w:space="0"/>
              <w:left w:val="single" w:color="auto" w:sz="4" w:space="0"/>
              <w:bottom w:val="single" w:color="auto" w:sz="4" w:space="0"/>
              <w:right w:val="single" w:color="auto" w:sz="4" w:space="0"/>
            </w:tcBorders>
            <w:shd w:val="clear" w:color="auto" w:fill="auto"/>
            <w:vAlign w:val="center"/>
          </w:tcPr>
          <w:p w14:paraId="257E4D64">
            <w:pPr>
              <w:widowControl/>
              <w:adjustRightInd w:val="0"/>
              <w:snapToGrid w:val="0"/>
              <w:jc w:val="center"/>
              <w:rPr>
                <w:rFonts w:ascii="宋体" w:hAnsi="宋体" w:cs="Calibri"/>
                <w:color w:val="000000"/>
                <w:kern w:val="0"/>
              </w:rPr>
            </w:pPr>
            <w:r>
              <w:rPr>
                <w:rFonts w:hint="eastAsia" w:ascii="宋体" w:hAnsi="宋体" w:cs="Calibri"/>
                <w:color w:val="000000"/>
                <w:kern w:val="0"/>
              </w:rPr>
              <w:t>QE plus</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257E4D65">
            <w:pPr>
              <w:widowControl/>
              <w:adjustRightInd w:val="0"/>
              <w:snapToGrid w:val="0"/>
              <w:jc w:val="center"/>
              <w:rPr>
                <w:rFonts w:ascii="宋体" w:hAnsi="宋体" w:cs="Calibri"/>
                <w:color w:val="000000"/>
                <w:kern w:val="0"/>
              </w:rPr>
            </w:pPr>
            <w:r>
              <w:rPr>
                <w:rFonts w:hint="eastAsia" w:ascii="宋体" w:hAnsi="宋体" w:cs="Calibri"/>
                <w:color w:val="000000"/>
                <w:kern w:val="0"/>
              </w:rPr>
              <w:t>4</w:t>
            </w:r>
          </w:p>
        </w:tc>
      </w:tr>
      <w:tr w14:paraId="257E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14:paraId="257E4D67">
            <w:pPr>
              <w:widowControl/>
              <w:adjustRightInd w:val="0"/>
              <w:snapToGrid w:val="0"/>
              <w:rPr>
                <w:rFonts w:ascii="宋体" w:hAnsi="宋体" w:cs="宋体"/>
                <w:bCs/>
                <w:kern w:val="1"/>
              </w:rPr>
            </w:pPr>
            <w:r>
              <w:rPr>
                <w:rFonts w:hint="eastAsia" w:ascii="宋体" w:hAnsi="宋体" w:cs="Calibri"/>
                <w:color w:val="000000"/>
                <w:kern w:val="0"/>
              </w:rPr>
              <w:t>四级杆-静电场轨道阱高分辨质谱仪</w:t>
            </w:r>
          </w:p>
        </w:tc>
        <w:tc>
          <w:tcPr>
            <w:tcW w:w="1635" w:type="pct"/>
            <w:tcBorders>
              <w:top w:val="single" w:color="auto" w:sz="4" w:space="0"/>
              <w:left w:val="single" w:color="auto" w:sz="4" w:space="0"/>
              <w:bottom w:val="single" w:color="auto" w:sz="4" w:space="0"/>
              <w:right w:val="single" w:color="auto" w:sz="4" w:space="0"/>
            </w:tcBorders>
            <w:shd w:val="clear" w:color="auto" w:fill="auto"/>
            <w:vAlign w:val="center"/>
          </w:tcPr>
          <w:p w14:paraId="257E4D68">
            <w:pPr>
              <w:widowControl/>
              <w:adjustRightInd w:val="0"/>
              <w:snapToGrid w:val="0"/>
              <w:jc w:val="center"/>
              <w:rPr>
                <w:rFonts w:ascii="宋体" w:hAnsi="宋体" w:cs="Calibri"/>
                <w:color w:val="000000"/>
                <w:kern w:val="0"/>
              </w:rPr>
            </w:pPr>
            <w:r>
              <w:rPr>
                <w:rFonts w:hint="eastAsia" w:ascii="宋体" w:hAnsi="宋体" w:cs="Calibri"/>
                <w:color w:val="000000"/>
                <w:kern w:val="0"/>
              </w:rPr>
              <w:t>QE HF</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257E4D69">
            <w:pPr>
              <w:widowControl/>
              <w:adjustRightInd w:val="0"/>
              <w:snapToGrid w:val="0"/>
              <w:jc w:val="center"/>
              <w:rPr>
                <w:rFonts w:ascii="宋体" w:hAnsi="宋体" w:cs="Calibri"/>
                <w:color w:val="000000"/>
                <w:kern w:val="0"/>
              </w:rPr>
            </w:pPr>
            <w:r>
              <w:rPr>
                <w:rFonts w:hint="eastAsia" w:ascii="宋体" w:hAnsi="宋体" w:cs="Calibri"/>
                <w:color w:val="000000"/>
                <w:kern w:val="0"/>
              </w:rPr>
              <w:t>1</w:t>
            </w:r>
          </w:p>
        </w:tc>
      </w:tr>
      <w:tr w14:paraId="257E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14:paraId="257E4D6B">
            <w:pPr>
              <w:widowControl/>
              <w:adjustRightInd w:val="0"/>
              <w:snapToGrid w:val="0"/>
              <w:rPr>
                <w:rFonts w:ascii="宋体" w:hAnsi="宋体" w:cs="宋体"/>
                <w:bCs/>
                <w:kern w:val="1"/>
              </w:rPr>
            </w:pPr>
            <w:r>
              <w:rPr>
                <w:rFonts w:hint="eastAsia" w:ascii="宋体" w:hAnsi="宋体" w:cs="Calibri"/>
                <w:color w:val="000000"/>
                <w:kern w:val="0"/>
              </w:rPr>
              <w:t>四级杆-静电场轨道阱高分辨质谱仪</w:t>
            </w:r>
          </w:p>
        </w:tc>
        <w:tc>
          <w:tcPr>
            <w:tcW w:w="1635" w:type="pct"/>
            <w:tcBorders>
              <w:top w:val="single" w:color="auto" w:sz="4" w:space="0"/>
              <w:left w:val="single" w:color="auto" w:sz="4" w:space="0"/>
              <w:bottom w:val="single" w:color="auto" w:sz="4" w:space="0"/>
              <w:right w:val="single" w:color="auto" w:sz="4" w:space="0"/>
            </w:tcBorders>
            <w:shd w:val="clear" w:color="auto" w:fill="auto"/>
            <w:vAlign w:val="center"/>
          </w:tcPr>
          <w:p w14:paraId="257E4D6C">
            <w:pPr>
              <w:widowControl/>
              <w:adjustRightInd w:val="0"/>
              <w:snapToGrid w:val="0"/>
              <w:jc w:val="center"/>
              <w:rPr>
                <w:rFonts w:ascii="宋体" w:hAnsi="宋体" w:cs="Calibri"/>
                <w:color w:val="000000"/>
                <w:kern w:val="0"/>
              </w:rPr>
            </w:pPr>
            <w:r>
              <w:rPr>
                <w:rFonts w:hint="eastAsia" w:ascii="宋体" w:hAnsi="宋体" w:cs="Calibri"/>
                <w:color w:val="000000"/>
                <w:kern w:val="0"/>
              </w:rPr>
              <w:t>240</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257E4D6D">
            <w:pPr>
              <w:widowControl/>
              <w:adjustRightInd w:val="0"/>
              <w:snapToGrid w:val="0"/>
              <w:jc w:val="center"/>
              <w:rPr>
                <w:rFonts w:ascii="宋体" w:hAnsi="宋体" w:cs="Calibri"/>
                <w:color w:val="000000"/>
                <w:kern w:val="0"/>
              </w:rPr>
            </w:pPr>
            <w:r>
              <w:rPr>
                <w:rFonts w:hint="eastAsia" w:ascii="宋体" w:hAnsi="宋体" w:cs="Calibri"/>
                <w:color w:val="000000"/>
                <w:kern w:val="0"/>
              </w:rPr>
              <w:t>1</w:t>
            </w:r>
          </w:p>
        </w:tc>
      </w:tr>
      <w:tr w14:paraId="257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14:paraId="257E4D6F">
            <w:pPr>
              <w:widowControl/>
              <w:adjustRightInd w:val="0"/>
              <w:snapToGrid w:val="0"/>
              <w:jc w:val="center"/>
              <w:rPr>
                <w:rFonts w:ascii="宋体" w:hAnsi="宋体" w:cs="Calibri"/>
                <w:color w:val="000000"/>
                <w:kern w:val="0"/>
              </w:rPr>
            </w:pPr>
            <w:r>
              <w:fldChar w:fldCharType="begin"/>
            </w:r>
            <w:r>
              <w:instrText xml:space="preserve"> HYPERLINK "http://www.baidu.com/link?url=-QdFpnj3_iWC82NJHRLcMB9-_Vo5wQu_dt2KAK_TnHCrvcHzE-CiSuN130dUbeh2E5QSGvLRp9WqlTy7aFWtxXcAe8FitXtz90z2bXTdL2nxh5WJJuNQAznHhCbrDo6N" \t "https://www.baidu.com/_blank" </w:instrText>
            </w:r>
            <w:r>
              <w:fldChar w:fldCharType="separate"/>
            </w:r>
            <w:r>
              <w:rPr>
                <w:rFonts w:ascii="宋体" w:hAnsi="宋体" w:cs="Calibri"/>
                <w:color w:val="000000"/>
                <w:kern w:val="0"/>
                <w:lang w:eastAsia="ar-SA"/>
              </w:rPr>
              <w:t>单四极杆气质联用仪</w:t>
            </w:r>
            <w:r>
              <w:rPr>
                <w:rFonts w:ascii="宋体" w:hAnsi="宋体" w:cs="Calibri"/>
                <w:color w:val="000000"/>
                <w:kern w:val="0"/>
                <w:lang w:eastAsia="ar-SA"/>
              </w:rPr>
              <w:fldChar w:fldCharType="end"/>
            </w:r>
          </w:p>
        </w:tc>
        <w:tc>
          <w:tcPr>
            <w:tcW w:w="1635" w:type="pct"/>
            <w:tcBorders>
              <w:top w:val="single" w:color="auto" w:sz="4" w:space="0"/>
              <w:left w:val="single" w:color="auto" w:sz="4" w:space="0"/>
              <w:bottom w:val="single" w:color="auto" w:sz="4" w:space="0"/>
              <w:right w:val="single" w:color="auto" w:sz="4" w:space="0"/>
            </w:tcBorders>
            <w:shd w:val="clear" w:color="auto" w:fill="auto"/>
            <w:vAlign w:val="center"/>
          </w:tcPr>
          <w:p w14:paraId="257E4D70">
            <w:pPr>
              <w:widowControl/>
              <w:adjustRightInd w:val="0"/>
              <w:snapToGrid w:val="0"/>
              <w:jc w:val="center"/>
              <w:rPr>
                <w:rFonts w:ascii="宋体" w:hAnsi="宋体" w:cs="Calibri"/>
                <w:color w:val="000000"/>
                <w:kern w:val="0"/>
              </w:rPr>
            </w:pPr>
            <w:r>
              <w:rPr>
                <w:rFonts w:hint="eastAsia" w:ascii="宋体" w:hAnsi="宋体" w:cs="Calibri"/>
                <w:color w:val="000000"/>
                <w:kern w:val="0"/>
              </w:rPr>
              <w:t>ISQ 7000/7610</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257E4D71">
            <w:pPr>
              <w:widowControl/>
              <w:adjustRightInd w:val="0"/>
              <w:snapToGrid w:val="0"/>
              <w:jc w:val="center"/>
              <w:rPr>
                <w:rFonts w:ascii="宋体" w:hAnsi="宋体" w:cs="Calibri"/>
                <w:color w:val="000000"/>
                <w:kern w:val="0"/>
              </w:rPr>
            </w:pPr>
            <w:r>
              <w:rPr>
                <w:rFonts w:hint="eastAsia" w:ascii="宋体" w:hAnsi="宋体" w:cs="Calibri"/>
                <w:color w:val="000000"/>
                <w:kern w:val="0"/>
              </w:rPr>
              <w:t>1</w:t>
            </w:r>
          </w:p>
        </w:tc>
      </w:tr>
    </w:tbl>
    <w:p w14:paraId="257E4D73">
      <w:pPr>
        <w:widowControl/>
        <w:spacing w:line="360" w:lineRule="auto"/>
        <w:ind w:firstLine="480" w:firstLineChars="200"/>
        <w:rPr>
          <w:rFonts w:ascii="宋体" w:hAnsi="宋体" w:cs="宋体"/>
          <w:bCs/>
        </w:rPr>
      </w:pPr>
      <w:r>
        <w:rPr>
          <w:rFonts w:hint="eastAsia" w:ascii="宋体" w:hAnsi="宋体" w:cs="宋体"/>
          <w:bCs/>
        </w:rPr>
        <w:t>3.2 单次维修维护应针对所出现的问题进行维修，可恢复至正常使用的水平，维修需提供原厂备件，并保存维修工作报告备查。</w:t>
      </w:r>
    </w:p>
    <w:p w14:paraId="257E4D74">
      <w:pPr>
        <w:widowControl/>
        <w:spacing w:line="360" w:lineRule="auto"/>
        <w:ind w:firstLine="480" w:firstLineChars="200"/>
        <w:rPr>
          <w:rFonts w:ascii="宋体" w:hAnsi="宋体" w:cs="宋体"/>
          <w:bCs/>
        </w:rPr>
      </w:pPr>
      <w:r>
        <w:rPr>
          <w:rFonts w:hint="eastAsia" w:ascii="宋体" w:hAnsi="宋体" w:cs="宋体"/>
          <w:bCs/>
        </w:rPr>
        <w:t>4.维修维护服务内容和响应时间</w:t>
      </w:r>
    </w:p>
    <w:p w14:paraId="257E4D75">
      <w:pPr>
        <w:widowControl/>
        <w:spacing w:line="360" w:lineRule="auto"/>
        <w:ind w:firstLine="480" w:firstLineChars="200"/>
        <w:rPr>
          <w:rFonts w:ascii="宋体" w:hAnsi="宋体" w:cs="宋体"/>
          <w:bCs/>
        </w:rPr>
      </w:pPr>
      <w:r>
        <w:rPr>
          <w:rFonts w:hint="eastAsia" w:ascii="宋体" w:hAnsi="宋体" w:cs="宋体"/>
          <w:bCs/>
        </w:rPr>
        <w:t>4.1供应商应在北京地区设立专业的维修点，固定专业维修人员至少在2名以上；</w:t>
      </w:r>
    </w:p>
    <w:p w14:paraId="257E4D76">
      <w:pPr>
        <w:widowControl/>
        <w:spacing w:line="360" w:lineRule="auto"/>
        <w:ind w:firstLine="480" w:firstLineChars="200"/>
        <w:rPr>
          <w:rFonts w:ascii="宋体" w:hAnsi="宋体" w:cs="宋体"/>
          <w:bCs/>
        </w:rPr>
      </w:pPr>
      <w:r>
        <w:rPr>
          <w:rFonts w:hint="eastAsia" w:ascii="宋体" w:hAnsi="宋体" w:cs="宋体"/>
          <w:bCs/>
        </w:rPr>
        <w:t xml:space="preserve">4.2供应商应具有统一的维修维护服务沟通渠道，保证正常的工作时间可随时响应，并能保证48小时内，工程师上门服务； </w:t>
      </w:r>
    </w:p>
    <w:p w14:paraId="257E4D77">
      <w:pPr>
        <w:widowControl/>
        <w:spacing w:line="360" w:lineRule="auto"/>
        <w:ind w:firstLine="480" w:firstLineChars="200"/>
        <w:rPr>
          <w:rFonts w:ascii="宋体" w:hAnsi="宋体" w:cs="宋体"/>
          <w:bCs/>
        </w:rPr>
      </w:pPr>
      <w:r>
        <w:rPr>
          <w:rFonts w:hint="eastAsia" w:ascii="宋体" w:hAnsi="宋体" w:cs="宋体"/>
          <w:bCs/>
        </w:rPr>
        <w:t>4.3每年至少一次年度性维护，检查内容包含但不限于对仪器管路密封性进行检测，校正泄漏传感器，进行检查或更换。巡检过程应使用原厂备件，并保存巡检工作报告备查；</w:t>
      </w:r>
    </w:p>
    <w:p w14:paraId="257E4D78">
      <w:pPr>
        <w:widowControl/>
        <w:spacing w:line="360" w:lineRule="auto"/>
        <w:ind w:firstLine="480" w:firstLineChars="200"/>
        <w:rPr>
          <w:rFonts w:ascii="宋体" w:hAnsi="宋体" w:cs="宋体"/>
          <w:bCs/>
        </w:rPr>
      </w:pPr>
      <w:r>
        <w:rPr>
          <w:rFonts w:hint="eastAsia" w:ascii="宋体" w:hAnsi="宋体" w:cs="宋体"/>
          <w:bCs/>
        </w:rPr>
        <w:t>4.4年度性维护，应对仪器进行全面的维护和检查，需提供具体维修和检查内容；</w:t>
      </w:r>
    </w:p>
    <w:p w14:paraId="257E4D79">
      <w:pPr>
        <w:widowControl/>
        <w:spacing w:line="360" w:lineRule="auto"/>
        <w:ind w:firstLine="480" w:firstLineChars="200"/>
        <w:rPr>
          <w:rFonts w:ascii="宋体" w:hAnsi="宋体" w:cs="宋体"/>
          <w:bCs/>
        </w:rPr>
      </w:pPr>
      <w:r>
        <w:rPr>
          <w:rFonts w:hint="eastAsia" w:ascii="宋体" w:hAnsi="宋体" w:cs="宋体"/>
          <w:bCs/>
        </w:rPr>
        <w:t>4.5供应商承担服务期内每次维修维护的所有费用，其中包括工时费，差旅费及维修所需要更换的仪器零部件费，维修需提供原厂备件。</w:t>
      </w:r>
    </w:p>
    <w:p w14:paraId="257E4D7A">
      <w:pPr>
        <w:widowControl/>
        <w:numPr>
          <w:ilvl w:val="0"/>
          <w:numId w:val="3"/>
        </w:numPr>
        <w:spacing w:line="360" w:lineRule="auto"/>
        <w:rPr>
          <w:rFonts w:ascii="宋体" w:hAnsi="宋体" w:cs="宋体"/>
          <w:bCs/>
        </w:rPr>
      </w:pPr>
      <w:r>
        <w:rPr>
          <w:rFonts w:hint="eastAsia" w:ascii="宋体" w:hAnsi="宋体" w:cs="宋体"/>
          <w:bCs/>
        </w:rPr>
        <w:t>验收标准</w:t>
      </w:r>
    </w:p>
    <w:p w14:paraId="257E4D7B">
      <w:pPr>
        <w:pStyle w:val="30"/>
        <w:spacing w:line="360" w:lineRule="auto"/>
        <w:ind w:firstLine="480"/>
        <w:rPr>
          <w:rFonts w:ascii="宋体" w:hAnsi="宋体" w:cs="宋体"/>
          <w:sz w:val="24"/>
          <w:szCs w:val="24"/>
        </w:rPr>
      </w:pPr>
      <w:bookmarkStart w:id="3" w:name="_Toc11455"/>
      <w:r>
        <w:rPr>
          <w:rFonts w:hint="eastAsia" w:ascii="宋体" w:hAnsi="宋体" w:cs="宋体"/>
          <w:sz w:val="24"/>
          <w:szCs w:val="24"/>
        </w:rPr>
        <w:t>1.每次维修维护后需经仪器使用人员确认后方可结束，保留使用人员签字确认的维修维护记录；</w:t>
      </w:r>
    </w:p>
    <w:p w14:paraId="257E4D7C">
      <w:pPr>
        <w:pStyle w:val="30"/>
        <w:spacing w:line="360" w:lineRule="auto"/>
        <w:ind w:firstLine="480"/>
        <w:rPr>
          <w:rFonts w:ascii="宋体" w:hAnsi="宋体" w:cs="宋体"/>
          <w:sz w:val="24"/>
          <w:szCs w:val="24"/>
        </w:rPr>
      </w:pPr>
      <w:r>
        <w:rPr>
          <w:rFonts w:hint="eastAsia" w:ascii="宋体" w:hAnsi="宋体" w:cs="宋体"/>
          <w:sz w:val="24"/>
          <w:szCs w:val="24"/>
        </w:rPr>
        <w:t>2.服务期满后提供一份年度维修维护报告，内容应包括服务期内全部的维修维护事项、工作量、响应时间等信息；</w:t>
      </w:r>
    </w:p>
    <w:p w14:paraId="257E4D7D">
      <w:pPr>
        <w:pStyle w:val="30"/>
        <w:spacing w:line="360" w:lineRule="auto"/>
        <w:ind w:firstLine="480"/>
        <w:rPr>
          <w:rFonts w:ascii="宋体" w:hAnsi="宋体" w:cs="宋体"/>
          <w:sz w:val="24"/>
          <w:szCs w:val="24"/>
        </w:rPr>
      </w:pPr>
      <w:r>
        <w:rPr>
          <w:rFonts w:hint="eastAsia" w:ascii="宋体" w:hAnsi="宋体" w:cs="宋体"/>
          <w:sz w:val="24"/>
          <w:szCs w:val="24"/>
        </w:rPr>
        <w:t>3.响应时间合格率应达到100%；</w:t>
      </w:r>
    </w:p>
    <w:p w14:paraId="257E4D7E">
      <w:pPr>
        <w:pStyle w:val="30"/>
        <w:spacing w:line="360" w:lineRule="auto"/>
        <w:ind w:firstLine="480"/>
        <w:rPr>
          <w:rFonts w:ascii="宋体" w:hAnsi="宋体" w:cs="宋体"/>
          <w:sz w:val="24"/>
          <w:szCs w:val="24"/>
        </w:rPr>
      </w:pPr>
      <w:r>
        <w:rPr>
          <w:rFonts w:hint="eastAsia" w:ascii="宋体" w:hAnsi="宋体" w:cs="宋体"/>
          <w:sz w:val="24"/>
          <w:szCs w:val="24"/>
        </w:rPr>
        <w:t>4.解决故障率应达到100%；</w:t>
      </w:r>
    </w:p>
    <w:p w14:paraId="257E4D7F">
      <w:pPr>
        <w:spacing w:line="360" w:lineRule="auto"/>
        <w:ind w:firstLine="480" w:firstLineChars="200"/>
        <w:rPr>
          <w:rFonts w:ascii="宋体" w:hAnsi="宋体" w:cs="宋体"/>
        </w:rPr>
      </w:pPr>
      <w:r>
        <w:rPr>
          <w:rFonts w:hint="eastAsia" w:ascii="宋体" w:hAnsi="宋体" w:cs="宋体"/>
        </w:rPr>
        <w:t>5.单次故障最长维修时间不超过7个工作日（如遇特殊情况，双方具体协商处理）。</w:t>
      </w:r>
      <w:bookmarkEnd w:id="3"/>
    </w:p>
    <w:p w14:paraId="257E4D80">
      <w:pPr>
        <w:spacing w:before="156" w:beforeLines="50" w:line="360" w:lineRule="auto"/>
        <w:rPr>
          <w:b/>
          <w:color w:val="000000"/>
        </w:rPr>
      </w:pPr>
      <w:r>
        <w:rPr>
          <w:rFonts w:hint="eastAsia"/>
          <w:b/>
          <w:color w:val="000000"/>
        </w:rPr>
        <w:t>三、合格的报价人</w:t>
      </w:r>
    </w:p>
    <w:p w14:paraId="257E4D81">
      <w:pPr>
        <w:pStyle w:val="13"/>
        <w:numPr>
          <w:ilvl w:val="0"/>
          <w:numId w:val="4"/>
        </w:numPr>
        <w:tabs>
          <w:tab w:val="clear" w:pos="1155"/>
        </w:tabs>
        <w:ind w:left="0" w:firstLine="480" w:firstLineChars="200"/>
      </w:pPr>
      <w:r>
        <w:rPr>
          <w:rFonts w:hint="eastAsia"/>
        </w:rPr>
        <w:t>具有独立承担民事责任的能力；</w:t>
      </w:r>
    </w:p>
    <w:p w14:paraId="257E4D82">
      <w:pPr>
        <w:pStyle w:val="13"/>
        <w:numPr>
          <w:ilvl w:val="0"/>
          <w:numId w:val="4"/>
        </w:numPr>
        <w:tabs>
          <w:tab w:val="clear" w:pos="1155"/>
        </w:tabs>
        <w:ind w:left="0" w:firstLine="480" w:firstLineChars="200"/>
      </w:pPr>
      <w:r>
        <w:rPr>
          <w:rFonts w:hint="eastAsia"/>
        </w:rPr>
        <w:t>具有良好的商业信誉和健全的财务会计制度；</w:t>
      </w:r>
    </w:p>
    <w:p w14:paraId="257E4D83">
      <w:pPr>
        <w:pStyle w:val="13"/>
        <w:numPr>
          <w:ilvl w:val="0"/>
          <w:numId w:val="4"/>
        </w:numPr>
        <w:tabs>
          <w:tab w:val="clear" w:pos="1155"/>
        </w:tabs>
        <w:ind w:left="0" w:firstLine="480" w:firstLineChars="200"/>
      </w:pPr>
      <w:r>
        <w:rPr>
          <w:rFonts w:hint="eastAsia"/>
        </w:rPr>
        <w:t>具有履行合同所必需的设备和专业技术能力；</w:t>
      </w:r>
    </w:p>
    <w:p w14:paraId="257E4D84">
      <w:pPr>
        <w:pStyle w:val="13"/>
        <w:numPr>
          <w:ilvl w:val="0"/>
          <w:numId w:val="4"/>
        </w:numPr>
        <w:tabs>
          <w:tab w:val="clear" w:pos="1155"/>
        </w:tabs>
        <w:ind w:left="0" w:firstLine="480" w:firstLineChars="200"/>
      </w:pPr>
      <w:r>
        <w:rPr>
          <w:rFonts w:hint="eastAsia"/>
        </w:rPr>
        <w:t>具有依法缴纳税收和社会保障资金的良好记录；</w:t>
      </w:r>
    </w:p>
    <w:p w14:paraId="257E4D85">
      <w:pPr>
        <w:pStyle w:val="13"/>
        <w:numPr>
          <w:ilvl w:val="0"/>
          <w:numId w:val="4"/>
        </w:numPr>
        <w:tabs>
          <w:tab w:val="clear" w:pos="1155"/>
        </w:tabs>
        <w:ind w:left="0" w:firstLine="480" w:firstLineChars="200"/>
      </w:pPr>
      <w:r>
        <w:rPr>
          <w:rFonts w:hint="eastAsia"/>
        </w:rPr>
        <w:t>参加此项采购活动前三年内，在经营活动中没有重大违法记录；</w:t>
      </w:r>
    </w:p>
    <w:p w14:paraId="257E4D86">
      <w:pPr>
        <w:pStyle w:val="13"/>
        <w:numPr>
          <w:ilvl w:val="0"/>
          <w:numId w:val="4"/>
        </w:numPr>
        <w:tabs>
          <w:tab w:val="clear" w:pos="1155"/>
        </w:tabs>
        <w:ind w:left="0" w:firstLine="480" w:firstLineChars="200"/>
        <w:rPr>
          <w:u w:val="single"/>
        </w:rPr>
      </w:pPr>
      <w:r>
        <w:rPr>
          <w:rFonts w:hint="eastAsia"/>
        </w:rPr>
        <w:t>本次采购不接受联合体报价；</w:t>
      </w:r>
    </w:p>
    <w:p w14:paraId="257E4D87">
      <w:pPr>
        <w:pStyle w:val="13"/>
        <w:numPr>
          <w:ilvl w:val="0"/>
          <w:numId w:val="4"/>
        </w:numPr>
        <w:tabs>
          <w:tab w:val="clear" w:pos="1155"/>
        </w:tabs>
        <w:ind w:left="0" w:firstLine="480" w:firstLineChars="20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257E4D88">
      <w:pPr>
        <w:pStyle w:val="13"/>
        <w:numPr>
          <w:ilvl w:val="0"/>
          <w:numId w:val="4"/>
        </w:numPr>
        <w:tabs>
          <w:tab w:val="clear" w:pos="1155"/>
        </w:tabs>
        <w:ind w:left="0" w:firstLine="480" w:firstLineChars="200"/>
      </w:pPr>
      <w:r>
        <w:rPr>
          <w:rFonts w:hint="eastAsia"/>
          <w:bCs/>
        </w:rPr>
        <w:t>单位负责人为同一人或者存在直接控股、管理关系的不同供应商，不得参加同一包的采购活动。</w:t>
      </w:r>
    </w:p>
    <w:p w14:paraId="257E4D89"/>
    <w:p w14:paraId="257E4D8A">
      <w:pPr>
        <w:spacing w:before="156" w:beforeLines="50" w:line="360" w:lineRule="auto"/>
        <w:rPr>
          <w:b/>
          <w:color w:val="000000"/>
        </w:rPr>
      </w:pPr>
      <w:r>
        <w:rPr>
          <w:rFonts w:hint="eastAsia"/>
          <w:b/>
          <w:color w:val="000000"/>
        </w:rPr>
        <w:t>四</w:t>
      </w:r>
      <w:r>
        <w:rPr>
          <w:b/>
          <w:color w:val="000000"/>
        </w:rPr>
        <w:t>、</w:t>
      </w:r>
      <w:r>
        <w:rPr>
          <w:rFonts w:hint="eastAsia"/>
          <w:b/>
          <w:color w:val="000000"/>
        </w:rPr>
        <w:t>报价文件格式及相关要求</w:t>
      </w:r>
    </w:p>
    <w:p w14:paraId="257E4D8B">
      <w:pPr>
        <w:spacing w:line="360" w:lineRule="auto"/>
        <w:jc w:val="left"/>
        <w:rPr>
          <w:u w:val="single"/>
        </w:rPr>
      </w:pPr>
      <w:r>
        <w:rPr>
          <w:rFonts w:hint="eastAsia"/>
          <w:u w:val="single"/>
        </w:rPr>
        <w:t>资格审查文件部分（若有缺失或无效，将导致响应文件无效）：</w:t>
      </w:r>
    </w:p>
    <w:p w14:paraId="257E4D8C">
      <w:pPr>
        <w:pStyle w:val="45"/>
        <w:numPr>
          <w:ilvl w:val="0"/>
          <w:numId w:val="5"/>
        </w:numPr>
        <w:spacing w:line="360" w:lineRule="auto"/>
        <w:ind w:left="0" w:firstLine="480"/>
        <w:jc w:val="left"/>
        <w:rPr>
          <w:highlight w:val="none"/>
        </w:rPr>
      </w:pPr>
      <w:r>
        <w:rPr>
          <w:rFonts w:hint="eastAsia"/>
          <w:highlight w:val="none"/>
        </w:rPr>
        <w:t>报价人的有效营业执照复印件并加盖公司公章；事业单位的，则提供有效的《事业单位法人证书》副本复印件并加盖单位公章；自然人的，则提供有效的身份证复印件并签字；</w:t>
      </w:r>
    </w:p>
    <w:p w14:paraId="257E4D8D">
      <w:pPr>
        <w:pStyle w:val="45"/>
        <w:numPr>
          <w:ilvl w:val="0"/>
          <w:numId w:val="5"/>
        </w:numPr>
        <w:spacing w:line="360" w:lineRule="auto"/>
        <w:ind w:left="0" w:firstLine="480"/>
        <w:jc w:val="left"/>
        <w:rPr>
          <w:bCs/>
        </w:rPr>
      </w:pPr>
      <w:r>
        <w:rPr>
          <w:rFonts w:hint="eastAsia"/>
          <w:bCs/>
        </w:rPr>
        <w:t>报价人</w:t>
      </w:r>
      <w:r>
        <w:rPr>
          <w:rFonts w:hint="eastAsia"/>
        </w:rPr>
        <w:t>基本开户银行出具的资信证明，或参与本采购项目的两年内任一年度经审计的财务报告复印件，须包括“四表一注”：资产负债表、利润表、现金流量表、所有者权益变动表及其附注；</w:t>
      </w:r>
      <w:r>
        <w:rPr>
          <w:rFonts w:hint="eastAsia"/>
          <w:bCs/>
        </w:rPr>
        <w:t>报价人为自然人或非法人组织的，如果没有经审计的财务报告，可提供基本开户银行出具的资信证明</w:t>
      </w:r>
    </w:p>
    <w:p w14:paraId="257E4D8E">
      <w:pPr>
        <w:pStyle w:val="45"/>
        <w:numPr>
          <w:ilvl w:val="0"/>
          <w:numId w:val="5"/>
        </w:numPr>
        <w:spacing w:line="360" w:lineRule="auto"/>
        <w:ind w:left="0" w:firstLine="480"/>
        <w:jc w:val="left"/>
      </w:pPr>
      <w:r>
        <w:rPr>
          <w:rFonts w:hint="eastAsia"/>
          <w:bCs/>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14:paraId="257E4D8F">
      <w:pPr>
        <w:pStyle w:val="45"/>
        <w:numPr>
          <w:ilvl w:val="0"/>
          <w:numId w:val="5"/>
        </w:numPr>
        <w:spacing w:line="360" w:lineRule="auto"/>
        <w:ind w:left="0" w:firstLine="480"/>
        <w:jc w:val="left"/>
      </w:pPr>
      <w:r>
        <w:rPr>
          <w:rFonts w:hint="eastAsia"/>
        </w:rPr>
        <w:t>报价人简介（规模、实力、生产销售能力等）（格式自拟）</w:t>
      </w:r>
    </w:p>
    <w:p w14:paraId="257E4D90">
      <w:pPr>
        <w:pStyle w:val="45"/>
        <w:numPr>
          <w:ilvl w:val="0"/>
          <w:numId w:val="5"/>
        </w:numPr>
        <w:spacing w:line="360" w:lineRule="auto"/>
        <w:ind w:left="0" w:firstLine="480"/>
        <w:jc w:val="left"/>
        <w:rPr>
          <w:bCs/>
          <w:color w:val="000000"/>
        </w:rPr>
      </w:pPr>
      <w:r>
        <w:t>报价人参加此项政府采购活动前3年内在经营活动中没有重大违法记录的书面声明</w:t>
      </w:r>
      <w:r>
        <w:rPr>
          <w:rFonts w:hint="eastAsia"/>
        </w:rPr>
        <w:t>（格式自拟）</w:t>
      </w:r>
    </w:p>
    <w:p w14:paraId="257E4D91">
      <w:pPr>
        <w:pStyle w:val="45"/>
        <w:numPr>
          <w:ilvl w:val="0"/>
          <w:numId w:val="5"/>
        </w:numPr>
        <w:spacing w:line="360" w:lineRule="auto"/>
        <w:ind w:left="0" w:firstLine="480"/>
        <w:rPr>
          <w:rFonts w:ascii="宋体" w:hAnsi="宋体" w:cs="宋体"/>
        </w:rPr>
      </w:pPr>
      <w:r>
        <w:rPr>
          <w:rFonts w:hint="eastAsia" w:ascii="宋体" w:hAnsi="宋体" w:cs="宋体"/>
        </w:rPr>
        <w:t>报价人信用记录：查询信用中国网站和中国政府采购网（</w:t>
      </w:r>
      <w:r>
        <w:fldChar w:fldCharType="begin"/>
      </w:r>
      <w:r>
        <w:instrText xml:space="preserve"> HYPERLINK "http://www.creditchina.gov.cn、www.ccgp.gov.cn），经认定的被列入失信被执行人、重大税收违法案件当事人名单、政府采购严重违法失信行为记录名单的报价人，其报价无效。" </w:instrText>
      </w:r>
      <w:r>
        <w:fldChar w:fldCharType="separate"/>
      </w:r>
      <w:r>
        <w:rPr>
          <w:rFonts w:hint="eastAsia" w:ascii="宋体" w:hAnsi="宋体" w:cs="宋体"/>
        </w:rPr>
        <w:t>www.creditchina.gov.cn、www.ccgp.gov.cn），经认定的被列入失信被执行人、重大税收违法案件当事人名单、政府采购严重违法失信行为记录名单的报价人，其报价无效。</w:t>
      </w:r>
      <w:r>
        <w:rPr>
          <w:rFonts w:hint="eastAsia" w:ascii="宋体" w:hAnsi="宋体" w:cs="宋体"/>
        </w:rPr>
        <w:fldChar w:fldCharType="end"/>
      </w:r>
    </w:p>
    <w:p w14:paraId="257E4D92">
      <w:pPr>
        <w:pStyle w:val="45"/>
        <w:spacing w:line="360" w:lineRule="auto"/>
        <w:ind w:firstLine="0" w:firstLineChars="0"/>
        <w:rPr>
          <w:rFonts w:ascii="宋体" w:hAnsi="宋体" w:cs="宋体"/>
        </w:rPr>
      </w:pPr>
    </w:p>
    <w:p w14:paraId="257E4D93">
      <w:pPr>
        <w:spacing w:line="360" w:lineRule="auto"/>
        <w:jc w:val="left"/>
        <w:rPr>
          <w:bCs/>
          <w:color w:val="000000"/>
          <w:u w:val="single"/>
        </w:rPr>
      </w:pPr>
      <w:r>
        <w:rPr>
          <w:rFonts w:hint="eastAsia"/>
          <w:bCs/>
          <w:color w:val="000000"/>
          <w:u w:val="single"/>
        </w:rPr>
        <w:t>商务技术和报价文件部分：</w:t>
      </w:r>
    </w:p>
    <w:p w14:paraId="257E4D94">
      <w:pPr>
        <w:pStyle w:val="45"/>
        <w:numPr>
          <w:ilvl w:val="0"/>
          <w:numId w:val="6"/>
        </w:numPr>
        <w:spacing w:line="360" w:lineRule="auto"/>
        <w:ind w:left="0" w:firstLine="480"/>
        <w:rPr>
          <w:rFonts w:ascii="宋体" w:hAnsi="宋体" w:cs="宋体"/>
        </w:rPr>
      </w:pPr>
      <w:r>
        <w:rPr>
          <w:rFonts w:hint="eastAsia" w:ascii="宋体" w:hAnsi="宋体" w:cs="宋体"/>
        </w:rPr>
        <w:t>报价人的法定代表人证明书；如果是非法人代表参与报价，那么提供报价人的授权委托书</w:t>
      </w:r>
    </w:p>
    <w:p w14:paraId="257E4D95">
      <w:pPr>
        <w:pStyle w:val="45"/>
        <w:numPr>
          <w:ilvl w:val="0"/>
          <w:numId w:val="6"/>
        </w:numPr>
        <w:spacing w:line="360" w:lineRule="auto"/>
        <w:ind w:left="0" w:firstLine="480"/>
        <w:rPr>
          <w:rFonts w:ascii="宋体" w:hAnsi="宋体" w:cs="宋体"/>
        </w:rPr>
      </w:pPr>
      <w:r>
        <w:rPr>
          <w:rFonts w:hint="eastAsia" w:ascii="宋体" w:hAnsi="宋体" w:cs="宋体"/>
        </w:rPr>
        <w:t>提供与报价人单位负责人为同一人或者存在直接控股、管理关系的不同单位（主体）的清单；如报价人无此类关联单位（主体），则需作出声明承诺（格式自拟）</w:t>
      </w:r>
    </w:p>
    <w:p w14:paraId="257E4D96">
      <w:pPr>
        <w:pStyle w:val="45"/>
        <w:numPr>
          <w:ilvl w:val="0"/>
          <w:numId w:val="6"/>
        </w:numPr>
        <w:spacing w:line="360" w:lineRule="auto"/>
        <w:ind w:left="0" w:firstLine="480"/>
        <w:rPr>
          <w:rFonts w:ascii="宋体" w:hAnsi="宋体" w:cs="宋体"/>
        </w:rPr>
      </w:pPr>
      <w:r>
        <w:rPr>
          <w:rFonts w:hint="eastAsia" w:ascii="宋体" w:hAnsi="宋体" w:cs="宋体"/>
        </w:rPr>
        <w:t>报价明细表</w:t>
      </w:r>
      <w:r>
        <w:rPr>
          <w:rFonts w:hint="eastAsia"/>
        </w:rPr>
        <w:t>（格式自拟）</w:t>
      </w:r>
    </w:p>
    <w:p w14:paraId="257E4D97">
      <w:pPr>
        <w:pStyle w:val="45"/>
        <w:numPr>
          <w:ilvl w:val="0"/>
          <w:numId w:val="6"/>
        </w:numPr>
        <w:spacing w:line="360" w:lineRule="auto"/>
        <w:ind w:left="0" w:firstLine="480"/>
        <w:rPr>
          <w:rFonts w:ascii="宋体" w:hAnsi="宋体" w:cs="宋体"/>
        </w:rPr>
      </w:pPr>
      <w:r>
        <w:rPr>
          <w:rFonts w:hint="eastAsia" w:ascii="宋体" w:hAnsi="宋体" w:cs="宋体"/>
        </w:rPr>
        <w:t>报价服务符合相关认证标准的证明文件复印件</w:t>
      </w:r>
    </w:p>
    <w:p w14:paraId="257E4D98">
      <w:pPr>
        <w:pStyle w:val="45"/>
        <w:numPr>
          <w:ilvl w:val="0"/>
          <w:numId w:val="6"/>
        </w:numPr>
        <w:spacing w:line="360" w:lineRule="auto"/>
        <w:ind w:left="0" w:firstLine="480"/>
        <w:rPr>
          <w:rFonts w:ascii="宋体" w:hAnsi="宋体" w:cs="宋体"/>
          <w:highlight w:val="none"/>
        </w:rPr>
      </w:pPr>
      <w:r>
        <w:rPr>
          <w:rFonts w:hint="eastAsia" w:ascii="宋体" w:hAnsi="宋体" w:cs="宋体"/>
          <w:highlight w:val="none"/>
        </w:rPr>
        <w:t>报价服务技术情况详细介绍及彩图</w:t>
      </w:r>
    </w:p>
    <w:p w14:paraId="257E4D99">
      <w:pPr>
        <w:pStyle w:val="45"/>
        <w:numPr>
          <w:ilvl w:val="0"/>
          <w:numId w:val="6"/>
        </w:numPr>
        <w:spacing w:line="360" w:lineRule="auto"/>
        <w:ind w:left="0" w:firstLine="480"/>
        <w:rPr>
          <w:rFonts w:ascii="宋体" w:hAnsi="宋体" w:cs="宋体"/>
          <w:highlight w:val="none"/>
        </w:rPr>
      </w:pPr>
      <w:r>
        <w:rPr>
          <w:rFonts w:hint="eastAsia" w:ascii="宋体" w:hAnsi="宋体" w:cs="宋体"/>
          <w:highlight w:val="none"/>
        </w:rPr>
        <w:t>报价人2022年1月至今同类型服务业绩（请提供合同关键页复印件及有效联系人方式）</w:t>
      </w:r>
    </w:p>
    <w:p w14:paraId="257E4D9A">
      <w:pPr>
        <w:pStyle w:val="45"/>
        <w:numPr>
          <w:ilvl w:val="0"/>
          <w:numId w:val="6"/>
        </w:numPr>
        <w:spacing w:line="360" w:lineRule="auto"/>
        <w:ind w:left="0" w:firstLine="480"/>
        <w:rPr>
          <w:rFonts w:ascii="宋体" w:hAnsi="宋体" w:cs="宋体"/>
        </w:rPr>
      </w:pPr>
      <w:r>
        <w:rPr>
          <w:rFonts w:hint="eastAsia" w:ascii="宋体" w:hAnsi="宋体" w:cs="宋体"/>
        </w:rPr>
        <w:t>服务承诺或声明</w:t>
      </w:r>
      <w:r>
        <w:rPr>
          <w:rFonts w:hint="eastAsia"/>
        </w:rPr>
        <w:t>（格式自拟）</w:t>
      </w:r>
    </w:p>
    <w:p w14:paraId="257E4D9B">
      <w:pPr>
        <w:pStyle w:val="45"/>
        <w:numPr>
          <w:ilvl w:val="0"/>
          <w:numId w:val="6"/>
        </w:numPr>
        <w:spacing w:line="360" w:lineRule="auto"/>
        <w:ind w:left="0" w:firstLine="480"/>
        <w:rPr>
          <w:rFonts w:ascii="宋体" w:hAnsi="宋体" w:cs="宋体"/>
        </w:rPr>
      </w:pPr>
      <w:r>
        <w:rPr>
          <w:rFonts w:hint="eastAsia" w:ascii="宋体" w:hAnsi="宋体" w:cs="宋体"/>
        </w:rPr>
        <w:t>报价人认为需要提供的其它说明和资料</w:t>
      </w:r>
    </w:p>
    <w:p w14:paraId="257E4D9C"/>
    <w:p w14:paraId="257E4D9D">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w:t>
      </w:r>
      <w:r>
        <w:rPr>
          <w:color w:val="000000" w:themeColor="text1"/>
          <w14:textFill>
            <w14:solidFill>
              <w14:schemeClr w14:val="tx1"/>
            </w14:solidFill>
          </w14:textFill>
        </w:rPr>
        <w:t>的形式</w:t>
      </w:r>
    </w:p>
    <w:p w14:paraId="257E4D9E">
      <w:pPr>
        <w:pStyle w:val="47"/>
        <w:numPr>
          <w:ilvl w:val="0"/>
          <w:numId w:val="7"/>
        </w:numPr>
        <w:ind w:left="0" w:firstLine="480"/>
        <w:rPr>
          <w:rFonts w:hAnsi="宋体"/>
        </w:rPr>
      </w:pPr>
      <w:r>
        <w:rPr>
          <w:rFonts w:hint="eastAsia" w:hAnsi="宋体"/>
        </w:rPr>
        <w:t>报价文件须按包对整包进行报价，且须为一次性报价，否则报价无效。</w:t>
      </w:r>
    </w:p>
    <w:p w14:paraId="257E4D9F">
      <w:pPr>
        <w:pStyle w:val="47"/>
        <w:numPr>
          <w:ilvl w:val="0"/>
          <w:numId w:val="7"/>
        </w:numPr>
        <w:ind w:left="0" w:firstLine="482"/>
      </w:pPr>
      <w:r>
        <w:rPr>
          <w:rFonts w:hAnsi="宋体"/>
          <w:b/>
          <w:bCs/>
          <w:u w:val="single"/>
        </w:rPr>
        <w:t>响应文件正本一份、副本</w:t>
      </w:r>
      <w:r>
        <w:rPr>
          <w:rFonts w:hint="eastAsia" w:hAnsi="宋体"/>
          <w:b/>
          <w:bCs/>
          <w:u w:val="single"/>
        </w:rPr>
        <w:t>两</w:t>
      </w:r>
      <w:r>
        <w:rPr>
          <w:rFonts w:hAnsi="宋体"/>
          <w:b/>
          <w:bCs/>
          <w:u w:val="single"/>
        </w:rPr>
        <w:t>份</w:t>
      </w:r>
      <w:r>
        <w:rPr>
          <w:rFonts w:hAnsi="宋体"/>
          <w:u w:val="single"/>
        </w:rPr>
        <w:t>，</w:t>
      </w:r>
      <w:r>
        <w:rPr>
          <w:rFonts w:hAnsi="宋体"/>
        </w:rPr>
        <w:t>报价人应按照</w:t>
      </w:r>
      <w:r>
        <w:rPr>
          <w:rFonts w:hint="eastAsia" w:hAnsi="宋体"/>
        </w:rPr>
        <w:t>采购</w:t>
      </w:r>
      <w:r>
        <w:rPr>
          <w:rFonts w:hAnsi="宋体"/>
        </w:rPr>
        <w:t>文件要求，在响应文件适当的位置填写报价人全称并加盖公章，同时由法定代表人或授权代表签字。</w:t>
      </w:r>
    </w:p>
    <w:p w14:paraId="257E4DA0">
      <w:pPr>
        <w:pStyle w:val="47"/>
        <w:numPr>
          <w:ilvl w:val="0"/>
          <w:numId w:val="7"/>
        </w:numPr>
        <w:ind w:left="0" w:firstLine="480"/>
      </w:pPr>
      <w:r>
        <w:rPr>
          <w:rFonts w:hAnsi="宋体"/>
        </w:rPr>
        <w:t>正本和副本如果不一致之处，以正本为准。</w:t>
      </w:r>
    </w:p>
    <w:p w14:paraId="257E4DA1">
      <w:pPr>
        <w:pStyle w:val="47"/>
        <w:numPr>
          <w:ilvl w:val="0"/>
          <w:numId w:val="7"/>
        </w:numPr>
        <w:ind w:left="0" w:firstLine="480"/>
      </w:pPr>
      <w:r>
        <w:rPr>
          <w:rFonts w:hAnsi="宋体"/>
        </w:rPr>
        <w:t>响应文件的文本内容正本应打印或使用不褪色的墨水书写，其</w:t>
      </w:r>
      <w:r>
        <w:t>“</w:t>
      </w:r>
      <w:r>
        <w:rPr>
          <w:rFonts w:hAnsi="宋体"/>
        </w:rPr>
        <w:t>正本</w:t>
      </w:r>
      <w:r>
        <w:rPr>
          <w:rFonts w:hint="eastAsia" w:hAnsi="宋体"/>
        </w:rPr>
        <w:t>”“</w:t>
      </w:r>
      <w:r>
        <w:rPr>
          <w:rFonts w:hAnsi="宋体"/>
        </w:rPr>
        <w:t>副本</w:t>
      </w:r>
      <w:r>
        <w:t>”</w:t>
      </w:r>
      <w:r>
        <w:rPr>
          <w:rFonts w:hAnsi="宋体"/>
        </w:rPr>
        <w:t>字样应加盖或打印在响应文件封面右上角。</w:t>
      </w:r>
    </w:p>
    <w:p w14:paraId="257E4DA2">
      <w:pPr>
        <w:pStyle w:val="47"/>
        <w:numPr>
          <w:ilvl w:val="0"/>
          <w:numId w:val="7"/>
        </w:numPr>
        <w:ind w:left="0" w:firstLine="480"/>
        <w:rPr>
          <w:bCs/>
        </w:rPr>
      </w:pPr>
      <w:r>
        <w:rPr>
          <w:rFonts w:hAnsi="宋体"/>
          <w:bCs/>
        </w:rPr>
        <w:t>响应文件应</w:t>
      </w:r>
      <w:r>
        <w:rPr>
          <w:rFonts w:hAnsi="宋体"/>
          <w:b/>
          <w:bCs/>
          <w:u w:val="single"/>
        </w:rPr>
        <w:t>采用胶订或线订形式装订成册</w:t>
      </w:r>
      <w:r>
        <w:rPr>
          <w:rFonts w:hAnsi="宋体"/>
          <w:bCs/>
        </w:rPr>
        <w:t>。</w:t>
      </w:r>
    </w:p>
    <w:p w14:paraId="257E4DA3">
      <w:pPr>
        <w:pStyle w:val="47"/>
        <w:numPr>
          <w:ilvl w:val="0"/>
          <w:numId w:val="7"/>
        </w:numPr>
        <w:ind w:left="0" w:firstLine="480"/>
        <w:rPr>
          <w:bCs/>
        </w:rPr>
      </w:pPr>
      <w:r>
        <w:rPr>
          <w:rFonts w:hAnsi="宋体"/>
        </w:rPr>
        <w:t>响应文件（正本和副本）均须密封后按照采购文件规定的时间和地点送达采购单位。</w:t>
      </w:r>
    </w:p>
    <w:p w14:paraId="257E4DA4">
      <w:pPr>
        <w:pStyle w:val="47"/>
        <w:numPr>
          <w:ilvl w:val="0"/>
          <w:numId w:val="7"/>
        </w:numPr>
        <w:ind w:left="0" w:firstLine="480"/>
      </w:pPr>
      <w:r>
        <w:rPr>
          <w:rFonts w:hAnsi="宋体"/>
        </w:rPr>
        <w:t>邮寄、电报、电话、传真形式的响应文件概不接受。</w:t>
      </w:r>
    </w:p>
    <w:p w14:paraId="257E4DA5">
      <w:pPr>
        <w:pStyle w:val="13"/>
        <w:spacing w:line="360" w:lineRule="auto"/>
        <w:rPr>
          <w:bCs/>
        </w:rPr>
      </w:pPr>
    </w:p>
    <w:p w14:paraId="257E4DA6">
      <w:pPr>
        <w:pStyle w:val="13"/>
        <w:numPr>
          <w:ilvl w:val="0"/>
          <w:numId w:val="8"/>
        </w:numPr>
        <w:spacing w:line="360" w:lineRule="auto"/>
        <w:rPr>
          <w:bCs/>
        </w:rPr>
      </w:pPr>
      <w:r>
        <w:rPr>
          <w:rFonts w:hint="eastAsia"/>
          <w:bCs/>
        </w:rPr>
        <w:t>报价人要按报价表的格式填写货物单价（包括但不限于货物报价、装箱、包装、送货和保险费用），除此之外，采购人无需再支付任何费用。</w:t>
      </w:r>
    </w:p>
    <w:p w14:paraId="257E4DA7">
      <w:pPr>
        <w:pStyle w:val="13"/>
        <w:numPr>
          <w:ilvl w:val="0"/>
          <w:numId w:val="8"/>
        </w:numPr>
        <w:spacing w:line="360" w:lineRule="auto"/>
        <w:rPr>
          <w:bCs/>
        </w:rPr>
      </w:pPr>
      <w:r>
        <w:rPr>
          <w:rFonts w:hint="eastAsia" w:hAnsi="宋体"/>
          <w:bCs/>
        </w:rPr>
        <w:t>由于报价表填报不完整、不清楚或存在其它任何失误，所导致的任何不利后果均应当由投标人自行承担。</w:t>
      </w:r>
    </w:p>
    <w:p w14:paraId="257E4DA8">
      <w:pPr>
        <w:pStyle w:val="13"/>
        <w:numPr>
          <w:ilvl w:val="0"/>
          <w:numId w:val="8"/>
        </w:numPr>
        <w:spacing w:line="360" w:lineRule="auto"/>
        <w:rPr>
          <w:bCs/>
        </w:rPr>
      </w:pPr>
      <w:r>
        <w:rPr>
          <w:rFonts w:hint="eastAsia" w:hAnsi="宋体"/>
          <w:bCs/>
          <w:color w:val="000000"/>
        </w:rPr>
        <w:t>本次采购收取采购服务费，由成交人在收到结果公告后7个工作日内向采购单位一次支付。交费时需注明项目名称并于5个工作日内领取服务费发票。</w:t>
      </w:r>
    </w:p>
    <w:p w14:paraId="257E4DA9">
      <w:pPr>
        <w:pStyle w:val="13"/>
        <w:numPr>
          <w:ilvl w:val="0"/>
          <w:numId w:val="8"/>
        </w:numPr>
        <w:spacing w:line="360" w:lineRule="auto"/>
      </w:pPr>
      <w:r>
        <w:rPr>
          <w:rFonts w:hint="eastAsia" w:hAnsi="宋体"/>
          <w:b/>
          <w:color w:val="000000"/>
        </w:rPr>
        <w:t>采购服务费按差额定率累进法计算，标准如下：</w:t>
      </w:r>
    </w:p>
    <w:tbl>
      <w:tblPr>
        <w:tblStyle w:val="22"/>
        <w:tblW w:w="5000" w:type="pct"/>
        <w:jc w:val="center"/>
        <w:tblLayout w:type="autofit"/>
        <w:tblCellMar>
          <w:top w:w="0" w:type="dxa"/>
          <w:left w:w="108" w:type="dxa"/>
          <w:bottom w:w="0" w:type="dxa"/>
          <w:right w:w="108" w:type="dxa"/>
        </w:tblCellMar>
      </w:tblPr>
      <w:tblGrid>
        <w:gridCol w:w="878"/>
        <w:gridCol w:w="2922"/>
        <w:gridCol w:w="2021"/>
        <w:gridCol w:w="2707"/>
      </w:tblGrid>
      <w:tr w14:paraId="257E4DAE">
        <w:tblPrEx>
          <w:tblCellMar>
            <w:top w:w="0" w:type="dxa"/>
            <w:left w:w="108" w:type="dxa"/>
            <w:bottom w:w="0" w:type="dxa"/>
            <w:right w:w="108" w:type="dxa"/>
          </w:tblCellMar>
        </w:tblPrEx>
        <w:trPr>
          <w:jc w:val="center"/>
        </w:trPr>
        <w:tc>
          <w:tcPr>
            <w:tcW w:w="515"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57E4DAA">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档次</w:t>
            </w:r>
          </w:p>
        </w:tc>
        <w:tc>
          <w:tcPr>
            <w:tcW w:w="171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57E4DAB">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采购金额（万元）</w:t>
            </w:r>
          </w:p>
        </w:tc>
        <w:tc>
          <w:tcPr>
            <w:tcW w:w="1185"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57E4DAC">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服务费</w:t>
            </w:r>
            <w:r>
              <w:rPr>
                <w:rFonts w:ascii="仿宋" w:hAnsi="仿宋" w:eastAsia="仿宋"/>
                <w:b/>
                <w:bCs/>
                <w:color w:val="000000"/>
                <w:szCs w:val="21"/>
              </w:rPr>
              <w:t>计费率</w:t>
            </w:r>
          </w:p>
        </w:tc>
        <w:tc>
          <w:tcPr>
            <w:tcW w:w="1585"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57E4DAD">
            <w:pPr>
              <w:keepNext/>
              <w:keepLines/>
              <w:snapToGrid w:val="0"/>
              <w:spacing w:before="260" w:after="260"/>
              <w:jc w:val="center"/>
              <w:rPr>
                <w:rFonts w:ascii="仿宋" w:hAnsi="仿宋" w:eastAsia="仿宋"/>
                <w:b/>
                <w:bCs/>
                <w:color w:val="000000"/>
                <w:szCs w:val="21"/>
              </w:rPr>
            </w:pPr>
            <w:r>
              <w:rPr>
                <w:rFonts w:hint="eastAsia" w:ascii="仿宋" w:hAnsi="仿宋" w:eastAsia="仿宋"/>
                <w:b/>
                <w:bCs/>
                <w:color w:val="000000"/>
                <w:szCs w:val="21"/>
              </w:rPr>
              <w:t>累计服务费（万元）</w:t>
            </w:r>
          </w:p>
        </w:tc>
      </w:tr>
      <w:tr w14:paraId="257E4DB3">
        <w:tblPrEx>
          <w:tblCellMar>
            <w:top w:w="0" w:type="dxa"/>
            <w:left w:w="108" w:type="dxa"/>
            <w:bottom w:w="0" w:type="dxa"/>
            <w:right w:w="108" w:type="dxa"/>
          </w:tblCellMar>
        </w:tblPrEx>
        <w:trPr>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4DAF">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4DB0">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257E4DB1">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1.50%</w:t>
            </w:r>
          </w:p>
        </w:tc>
        <w:tc>
          <w:tcPr>
            <w:tcW w:w="1585" w:type="pct"/>
            <w:tcBorders>
              <w:top w:val="single" w:color="000000" w:sz="4" w:space="0"/>
              <w:left w:val="single" w:color="000000" w:sz="4" w:space="0"/>
              <w:bottom w:val="single" w:color="000000" w:sz="4" w:space="0"/>
              <w:right w:val="single" w:color="000000" w:sz="4" w:space="0"/>
            </w:tcBorders>
            <w:vAlign w:val="center"/>
          </w:tcPr>
          <w:p w14:paraId="257E4DB2">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最多1.5</w:t>
            </w:r>
          </w:p>
        </w:tc>
      </w:tr>
      <w:tr w14:paraId="257E4DB8">
        <w:tblPrEx>
          <w:tblCellMar>
            <w:top w:w="0" w:type="dxa"/>
            <w:left w:w="108" w:type="dxa"/>
            <w:bottom w:w="0" w:type="dxa"/>
            <w:right w:w="108" w:type="dxa"/>
          </w:tblCellMar>
        </w:tblPrEx>
        <w:trPr>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4DB4">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2</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4DB5">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 xml:space="preserve">超过 100-500以下 </w:t>
            </w:r>
          </w:p>
        </w:tc>
        <w:tc>
          <w:tcPr>
            <w:tcW w:w="1185"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257E4DB6">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0.80%</w:t>
            </w:r>
          </w:p>
        </w:tc>
        <w:tc>
          <w:tcPr>
            <w:tcW w:w="1585" w:type="pct"/>
            <w:tcBorders>
              <w:top w:val="single" w:color="000000" w:sz="4" w:space="0"/>
              <w:left w:val="single" w:color="000000" w:sz="4" w:space="0"/>
              <w:bottom w:val="single" w:color="000000" w:sz="4" w:space="0"/>
              <w:right w:val="single" w:color="000000" w:sz="4" w:space="0"/>
            </w:tcBorders>
            <w:vAlign w:val="center"/>
          </w:tcPr>
          <w:p w14:paraId="257E4DB7">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最多4.7</w:t>
            </w:r>
          </w:p>
        </w:tc>
      </w:tr>
      <w:tr w14:paraId="257E4DBD">
        <w:tblPrEx>
          <w:tblCellMar>
            <w:top w:w="0" w:type="dxa"/>
            <w:left w:w="108" w:type="dxa"/>
            <w:bottom w:w="0" w:type="dxa"/>
            <w:right w:w="108" w:type="dxa"/>
          </w:tblCellMar>
        </w:tblPrEx>
        <w:trPr>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4DB9">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3</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4DBA">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超过 500-1000以下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257E4DBB">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0.45%</w:t>
            </w:r>
          </w:p>
        </w:tc>
        <w:tc>
          <w:tcPr>
            <w:tcW w:w="1585" w:type="pct"/>
            <w:tcBorders>
              <w:top w:val="single" w:color="000000" w:sz="4" w:space="0"/>
              <w:left w:val="single" w:color="000000" w:sz="4" w:space="0"/>
              <w:bottom w:val="single" w:color="000000" w:sz="4" w:space="0"/>
              <w:right w:val="single" w:color="000000" w:sz="4" w:space="0"/>
            </w:tcBorders>
            <w:vAlign w:val="center"/>
          </w:tcPr>
          <w:p w14:paraId="257E4DBC">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最多6.95</w:t>
            </w:r>
          </w:p>
        </w:tc>
      </w:tr>
      <w:tr w14:paraId="257E4DC2">
        <w:tblPrEx>
          <w:tblCellMar>
            <w:top w:w="0" w:type="dxa"/>
            <w:left w:w="108" w:type="dxa"/>
            <w:bottom w:w="0" w:type="dxa"/>
            <w:right w:w="108" w:type="dxa"/>
          </w:tblCellMar>
        </w:tblPrEx>
        <w:trPr>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4DBE">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4</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4DBF">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超过1000-5000以下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257E4DC0">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0.25%</w:t>
            </w:r>
          </w:p>
        </w:tc>
        <w:tc>
          <w:tcPr>
            <w:tcW w:w="1585" w:type="pct"/>
            <w:tcBorders>
              <w:top w:val="single" w:color="000000" w:sz="4" w:space="0"/>
              <w:left w:val="single" w:color="000000" w:sz="4" w:space="0"/>
              <w:bottom w:val="single" w:color="000000" w:sz="4" w:space="0"/>
              <w:right w:val="single" w:color="000000" w:sz="4" w:space="0"/>
            </w:tcBorders>
            <w:vAlign w:val="center"/>
          </w:tcPr>
          <w:p w14:paraId="257E4DC1">
            <w:pPr>
              <w:keepNext/>
              <w:keepLines/>
              <w:snapToGrid w:val="0"/>
              <w:spacing w:before="260" w:after="260"/>
              <w:jc w:val="center"/>
              <w:rPr>
                <w:rFonts w:ascii="仿宋" w:hAnsi="仿宋" w:eastAsia="仿宋"/>
                <w:color w:val="000000"/>
                <w:szCs w:val="21"/>
              </w:rPr>
            </w:pPr>
            <w:r>
              <w:rPr>
                <w:rFonts w:hint="eastAsia" w:ascii="仿宋" w:hAnsi="仿宋" w:eastAsia="仿宋"/>
                <w:color w:val="000000"/>
                <w:szCs w:val="21"/>
              </w:rPr>
              <w:t>最多16.95</w:t>
            </w:r>
          </w:p>
        </w:tc>
      </w:tr>
      <w:tr w14:paraId="257E4DC5">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tcPr>
          <w:p w14:paraId="257E4DC3">
            <w:pPr>
              <w:keepNext/>
              <w:keepLines/>
              <w:snapToGrid w:val="0"/>
              <w:jc w:val="left"/>
              <w:rPr>
                <w:rFonts w:ascii="仿宋" w:hAnsi="仿宋" w:eastAsia="仿宋"/>
                <w:color w:val="000000"/>
              </w:rPr>
            </w:pPr>
            <w:r>
              <w:rPr>
                <w:rFonts w:hint="eastAsia" w:ascii="仿宋" w:hAnsi="仿宋" w:eastAsia="仿宋"/>
                <w:color w:val="000000"/>
              </w:rPr>
              <w:t>采购代理服务费按差额定率累进法计算</w:t>
            </w:r>
            <w:r>
              <w:rPr>
                <w:rFonts w:hint="eastAsia" w:ascii="仿宋" w:hAnsi="仿宋" w:eastAsia="仿宋"/>
                <w:color w:val="000000"/>
              </w:rPr>
              <w:br w:type="textWrapping"/>
            </w:r>
            <w:r>
              <w:rPr>
                <w:rFonts w:hint="eastAsia" w:ascii="仿宋" w:hAnsi="仿宋" w:eastAsia="仿宋"/>
                <w:color w:val="000000"/>
              </w:rPr>
              <w:t>1.差额定率累进法：按资产金额大小划分收费档次，分档计算收费额，各档累加为收费总额。</w:t>
            </w:r>
            <w:r>
              <w:rPr>
                <w:rFonts w:hint="eastAsia" w:ascii="仿宋" w:hAnsi="仿宋" w:eastAsia="仿宋"/>
                <w:color w:val="000000"/>
              </w:rPr>
              <w:br w:type="textWrapping"/>
            </w:r>
            <w:r>
              <w:rPr>
                <w:rFonts w:hint="eastAsia" w:ascii="仿宋" w:hAnsi="仿宋" w:eastAsia="仿宋"/>
                <w:color w:val="000000"/>
              </w:rPr>
              <w:t>2.假设服务采购成交金额为5000万元，那么按照一定的要求可以计算得到相关结果：</w:t>
            </w:r>
            <w:r>
              <w:rPr>
                <w:rFonts w:hint="eastAsia" w:ascii="仿宋" w:hAnsi="仿宋" w:eastAsia="仿宋"/>
                <w:color w:val="000000"/>
              </w:rPr>
              <w:br w:type="textWrapping"/>
            </w:r>
            <w:r>
              <w:rPr>
                <w:rFonts w:hint="eastAsia" w:ascii="仿宋" w:hAnsi="仿宋" w:eastAsia="仿宋"/>
                <w:color w:val="000000"/>
              </w:rPr>
              <w:t>①100万元以下部分：100×1.5%=1.5万元；</w:t>
            </w:r>
            <w:r>
              <w:rPr>
                <w:rFonts w:hint="eastAsia" w:ascii="仿宋" w:hAnsi="仿宋" w:eastAsia="仿宋"/>
                <w:color w:val="000000"/>
              </w:rPr>
              <w:br w:type="textWrapping"/>
            </w:r>
            <w:r>
              <w:rPr>
                <w:rFonts w:hint="eastAsia" w:ascii="仿宋" w:hAnsi="仿宋" w:eastAsia="仿宋"/>
                <w:color w:val="000000"/>
              </w:rPr>
              <w:t>②100万元-500万元部分：400×0.8%=3.2万元；</w:t>
            </w:r>
            <w:r>
              <w:rPr>
                <w:rFonts w:hint="eastAsia" w:ascii="仿宋" w:hAnsi="仿宋" w:eastAsia="仿宋"/>
                <w:color w:val="000000"/>
              </w:rPr>
              <w:br w:type="textWrapping"/>
            </w:r>
            <w:r>
              <w:rPr>
                <w:rFonts w:hint="eastAsia" w:ascii="仿宋" w:hAnsi="仿宋" w:eastAsia="仿宋"/>
                <w:color w:val="000000"/>
              </w:rPr>
              <w:t>③500万元-1000万元部分：500×0.45%=2.2万元；</w:t>
            </w:r>
            <w:r>
              <w:rPr>
                <w:rFonts w:hint="eastAsia" w:ascii="仿宋" w:hAnsi="仿宋" w:eastAsia="仿宋"/>
                <w:color w:val="000000"/>
              </w:rPr>
              <w:br w:type="textWrapping"/>
            </w:r>
            <w:r>
              <w:rPr>
                <w:rFonts w:hint="eastAsia" w:ascii="仿宋" w:hAnsi="仿宋" w:eastAsia="仿宋"/>
                <w:color w:val="000000"/>
              </w:rPr>
              <w:t>④1000万元-5000万元部分：4000×0.25%=10万元；</w:t>
            </w:r>
            <w:r>
              <w:rPr>
                <w:rFonts w:hint="eastAsia" w:ascii="仿宋" w:hAnsi="仿宋" w:eastAsia="仿宋"/>
                <w:color w:val="000000"/>
              </w:rPr>
              <w:br w:type="textWrapping"/>
            </w:r>
            <w:r>
              <w:rPr>
                <w:rFonts w:hint="eastAsia" w:ascii="仿宋" w:hAnsi="仿宋" w:eastAsia="仿宋"/>
                <w:color w:val="000000"/>
              </w:rPr>
              <w:t>⑤合计：1.5+3.2+2.2+10= 16.95万。</w:t>
            </w:r>
          </w:p>
          <w:p w14:paraId="257E4DC4">
            <w:pPr>
              <w:keepNext/>
              <w:keepLines/>
              <w:snapToGrid w:val="0"/>
              <w:jc w:val="left"/>
              <w:rPr>
                <w:rFonts w:eastAsia="仿宋"/>
              </w:rPr>
            </w:pPr>
            <w:r>
              <w:rPr>
                <w:rFonts w:hint="eastAsia" w:ascii="仿宋" w:hAnsi="仿宋" w:eastAsia="仿宋"/>
                <w:color w:val="000000"/>
              </w:rPr>
              <w:t>3.若采购成交额不足100万元，服务费按照最终采购成交额×1.5%计算。</w:t>
            </w:r>
          </w:p>
        </w:tc>
      </w:tr>
    </w:tbl>
    <w:p w14:paraId="257E4DC6">
      <w:pPr>
        <w:spacing w:before="156" w:beforeLines="50"/>
        <w:ind w:firstLine="843" w:firstLineChars="350"/>
        <w:rPr>
          <w:b/>
          <w:color w:val="000000"/>
        </w:rPr>
      </w:pPr>
      <w:r>
        <w:rPr>
          <w:rFonts w:hint="eastAsia"/>
          <w:b/>
          <w:color w:val="000000"/>
        </w:rPr>
        <w:t>收款单位：国家体育总局体育器材装备中心</w:t>
      </w:r>
    </w:p>
    <w:p w14:paraId="257E4DC7">
      <w:pPr>
        <w:spacing w:before="156" w:beforeLines="50"/>
        <w:rPr>
          <w:b/>
          <w:color w:val="000000"/>
        </w:rPr>
      </w:pPr>
      <w:r>
        <w:rPr>
          <w:rFonts w:hint="eastAsia"/>
          <w:b/>
          <w:color w:val="000000"/>
        </w:rPr>
        <w:t xml:space="preserve">       开 户 行：工行北京体育馆路支行</w:t>
      </w:r>
    </w:p>
    <w:p w14:paraId="257E4DC8">
      <w:pPr>
        <w:spacing w:before="156" w:beforeLines="50"/>
        <w:rPr>
          <w:b/>
          <w:color w:val="000000"/>
        </w:rPr>
      </w:pPr>
      <w:r>
        <w:rPr>
          <w:rFonts w:hint="eastAsia"/>
          <w:b/>
          <w:color w:val="000000"/>
        </w:rPr>
        <w:t xml:space="preserve">       银行账号：0200008109089053553</w:t>
      </w:r>
    </w:p>
    <w:p w14:paraId="257E4DC9"/>
    <w:p w14:paraId="257E4DD9">
      <w:pPr>
        <w:spacing w:before="156" w:beforeLines="50" w:line="360" w:lineRule="auto"/>
        <w:rPr>
          <w:rFonts w:hint="eastAsia" w:ascii="宋体" w:hAnsi="宋体" w:eastAsia="宋体"/>
          <w:lang w:eastAsia="zh-CN"/>
        </w:rPr>
      </w:pPr>
      <w:r>
        <w:rPr>
          <w:rFonts w:hint="eastAsia" w:ascii="宋体" w:hAnsi="宋体"/>
        </w:rPr>
        <w:t>联系方式</w:t>
      </w:r>
      <w:r>
        <w:rPr>
          <w:rFonts w:hint="eastAsia" w:ascii="宋体" w:hAnsi="宋体"/>
          <w:lang w:eastAsia="zh-CN"/>
        </w:rPr>
        <w:t>：</w:t>
      </w:r>
    </w:p>
    <w:p w14:paraId="257E4DDA">
      <w:pPr>
        <w:spacing w:before="156" w:beforeLines="50"/>
        <w:rPr>
          <w:rFonts w:ascii="宋体" w:hAnsi="宋体"/>
        </w:rPr>
      </w:pPr>
      <w:r>
        <w:rPr>
          <w:rFonts w:hint="eastAsia" w:ascii="宋体" w:hAnsi="宋体"/>
        </w:rPr>
        <w:t>联系人：张老师</w:t>
      </w:r>
      <w:r>
        <w:rPr>
          <w:rFonts w:hint="eastAsia" w:ascii="宋体" w:hAnsi="宋体"/>
          <w:lang w:val="en-US" w:eastAsia="zh-CN"/>
        </w:rPr>
        <w:t xml:space="preserve"> </w:t>
      </w:r>
      <w:r>
        <w:rPr>
          <w:rFonts w:hint="eastAsia" w:ascii="宋体" w:hAnsi="宋体"/>
        </w:rPr>
        <w:t>010-87182686</w:t>
      </w:r>
    </w:p>
    <w:p w14:paraId="257E4DDC">
      <w:pPr>
        <w:spacing w:before="156" w:beforeLines="50"/>
        <w:rPr>
          <w:rFonts w:ascii="宋体" w:hAnsi="宋体"/>
        </w:rPr>
      </w:pPr>
      <w:r>
        <w:rPr>
          <w:rFonts w:hint="eastAsia" w:ascii="宋体" w:hAnsi="宋体"/>
        </w:rPr>
        <w:t>电子邮箱：t</w:t>
      </w:r>
      <w:r>
        <w:rPr>
          <w:rFonts w:ascii="宋体" w:hAnsi="宋体"/>
        </w:rPr>
        <w:t>87182686</w:t>
      </w:r>
      <w:r>
        <w:rPr>
          <w:rFonts w:hint="eastAsia" w:ascii="宋体" w:hAnsi="宋体"/>
        </w:rPr>
        <w:t>@1</w:t>
      </w:r>
      <w:r>
        <w:rPr>
          <w:rFonts w:ascii="宋体" w:hAnsi="宋体"/>
        </w:rPr>
        <w:t>63</w:t>
      </w:r>
      <w:r>
        <w:rPr>
          <w:rFonts w:hint="eastAsia" w:ascii="宋体" w:hAnsi="宋体"/>
        </w:rPr>
        <w:t>.com</w:t>
      </w:r>
    </w:p>
    <w:p w14:paraId="257E4DDD">
      <w:pPr>
        <w:spacing w:before="156" w:beforeLines="50" w:line="360" w:lineRule="auto"/>
        <w:rPr>
          <w:rFonts w:ascii="宋体" w:hAnsi="宋体"/>
        </w:rPr>
      </w:pPr>
    </w:p>
    <w:p w14:paraId="257E4DDE">
      <w:pPr>
        <w:spacing w:before="156" w:beforeLines="50" w:line="360" w:lineRule="auto"/>
        <w:rPr>
          <w:b/>
          <w:color w:val="000000"/>
        </w:rPr>
      </w:pPr>
      <w:r>
        <w:rPr>
          <w:rFonts w:hint="eastAsia"/>
          <w:b/>
          <w:color w:val="000000"/>
          <w:lang w:val="en-US" w:eastAsia="zh-CN"/>
        </w:rPr>
        <w:t>五</w:t>
      </w:r>
      <w:r>
        <w:rPr>
          <w:rFonts w:hint="eastAsia"/>
          <w:b/>
          <w:color w:val="000000"/>
        </w:rPr>
        <w:t>、报价文件的递交及谈判</w:t>
      </w:r>
    </w:p>
    <w:p w14:paraId="257E4DDF">
      <w:pPr>
        <w:spacing w:before="156" w:beforeLines="50"/>
        <w:ind w:firstLine="480" w:firstLineChars="200"/>
        <w:rPr>
          <w:rFonts w:ascii="宋体" w:hAnsi="宋体"/>
        </w:rPr>
      </w:pPr>
      <w:r>
        <w:rPr>
          <w:rFonts w:hint="eastAsia" w:ascii="宋体" w:hAnsi="宋体"/>
        </w:rPr>
        <w:t>2025年6月</w:t>
      </w:r>
      <w:r>
        <w:rPr>
          <w:rFonts w:hint="eastAsia" w:ascii="宋体" w:hAnsi="宋体"/>
          <w:lang w:val="en-US" w:eastAsia="zh-CN"/>
        </w:rPr>
        <w:t>13</w:t>
      </w:r>
      <w:r>
        <w:rPr>
          <w:rFonts w:hint="eastAsia" w:ascii="宋体" w:hAnsi="宋体"/>
        </w:rPr>
        <w:t>日</w:t>
      </w:r>
      <w:r>
        <w:rPr>
          <w:rFonts w:hint="eastAsia" w:ascii="宋体" w:hAnsi="宋体"/>
          <w:lang w:val="en-US" w:eastAsia="zh-CN"/>
        </w:rPr>
        <w:t>14</w:t>
      </w:r>
      <w:r>
        <w:rPr>
          <w:rFonts w:hint="eastAsia" w:ascii="宋体" w:hAnsi="宋体"/>
        </w:rPr>
        <w:t>：</w:t>
      </w:r>
      <w:r>
        <w:rPr>
          <w:rFonts w:hint="eastAsia" w:ascii="宋体" w:hAnsi="宋体"/>
          <w:lang w:val="en-US" w:eastAsia="zh-CN"/>
        </w:rPr>
        <w:t>0</w:t>
      </w:r>
      <w:r>
        <w:rPr>
          <w:rFonts w:hint="eastAsia" w:ascii="宋体" w:hAnsi="宋体"/>
        </w:rPr>
        <w:t>0前提交报价文件；</w:t>
      </w:r>
    </w:p>
    <w:p w14:paraId="257E4DE0">
      <w:pPr>
        <w:spacing w:before="156" w:beforeLines="50"/>
        <w:ind w:firstLine="480" w:firstLineChars="200"/>
        <w:rPr>
          <w:rFonts w:ascii="宋体" w:hAnsi="宋体"/>
        </w:rPr>
      </w:pPr>
      <w:r>
        <w:rPr>
          <w:rFonts w:hint="eastAsia" w:ascii="宋体" w:hAnsi="宋体"/>
        </w:rPr>
        <w:t>报价文件递交地点：北京市东城区体育馆路3号装备中心</w:t>
      </w:r>
      <w:r>
        <w:rPr>
          <w:rFonts w:hint="eastAsia" w:ascii="宋体" w:hAnsi="宋体"/>
          <w:lang w:val="en-US" w:eastAsia="zh-CN"/>
        </w:rPr>
        <w:t>601</w:t>
      </w:r>
      <w:r>
        <w:rPr>
          <w:rFonts w:hint="eastAsia" w:ascii="宋体" w:hAnsi="宋体"/>
        </w:rPr>
        <w:t>会议室</w:t>
      </w:r>
    </w:p>
    <w:p w14:paraId="257E4DE1">
      <w:pPr>
        <w:spacing w:before="156" w:beforeLines="50"/>
        <w:ind w:firstLine="480" w:firstLineChars="200"/>
        <w:rPr>
          <w:rFonts w:ascii="宋体" w:hAnsi="宋体"/>
        </w:rPr>
      </w:pPr>
      <w:r>
        <w:rPr>
          <w:rFonts w:hint="eastAsia" w:ascii="宋体" w:hAnsi="宋体"/>
        </w:rPr>
        <w:t>逾期递交或报价文件不符合采购规定的，则被拒绝。</w:t>
      </w:r>
    </w:p>
    <w:p w14:paraId="257E4DE2">
      <w:pPr>
        <w:spacing w:before="156" w:beforeLines="50" w:line="360" w:lineRule="auto"/>
        <w:rPr>
          <w:b/>
          <w:color w:val="000000"/>
        </w:rPr>
      </w:pPr>
      <w:r>
        <w:rPr>
          <w:rFonts w:hint="eastAsia"/>
          <w:b/>
          <w:color w:val="000000"/>
          <w:lang w:val="en-US" w:eastAsia="zh-CN"/>
        </w:rPr>
        <w:t>六</w:t>
      </w:r>
      <w:r>
        <w:rPr>
          <w:rFonts w:hint="eastAsia"/>
          <w:b/>
          <w:color w:val="000000"/>
        </w:rPr>
        <w:t>、评审原则</w:t>
      </w:r>
    </w:p>
    <w:p w14:paraId="257E4DE3">
      <w:pPr>
        <w:pStyle w:val="13"/>
        <w:spacing w:line="360" w:lineRule="auto"/>
        <w:ind w:firstLine="480" w:firstLineChars="200"/>
      </w:pPr>
      <w:r>
        <w:rPr>
          <w:rFonts w:hint="eastAsia"/>
        </w:rPr>
        <w:t>根据符合采购需求、质量和服务相等且报价最低的原则确定成交供应商。</w:t>
      </w:r>
    </w:p>
    <w:p w14:paraId="257E4DE4">
      <w:pPr>
        <w:pStyle w:val="13"/>
        <w:spacing w:line="360" w:lineRule="auto"/>
        <w:ind w:firstLine="480" w:firstLineChars="200"/>
      </w:pPr>
      <w:r>
        <w:rPr>
          <w:rFonts w:hint="eastAsia"/>
        </w:rPr>
        <w:t>谈判小组审查供应商的响应文件后，可要求供应商解释或者澄清其响应文件，并在规定时间内作出二次报价。供应商的澄清、说明或者更正以及二次报价应当由法定代表人或授权代表签字或者加盖公章。（具体格式如下：）</w:t>
      </w:r>
    </w:p>
    <w:p w14:paraId="257E4DE5">
      <w:pPr>
        <w:pStyle w:val="13"/>
        <w:spacing w:line="360" w:lineRule="auto"/>
        <w:ind w:firstLine="480" w:firstLineChars="200"/>
      </w:pPr>
      <w:r>
        <w:rPr>
          <w:rFonts w:hint="eastAsia"/>
        </w:rPr>
        <w:drawing>
          <wp:inline distT="0" distB="0" distL="114300" distR="114300">
            <wp:extent cx="5196840" cy="6356350"/>
            <wp:effectExtent l="0" t="0" r="0" b="13970"/>
            <wp:docPr id="6" name="图片 6" descr="Shared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haredScreenshot"/>
                    <pic:cNvPicPr>
                      <a:picLocks noChangeAspect="1"/>
                    </pic:cNvPicPr>
                  </pic:nvPicPr>
                  <pic:blipFill>
                    <a:blip r:embed="rId6"/>
                    <a:stretch>
                      <a:fillRect/>
                    </a:stretch>
                  </pic:blipFill>
                  <pic:spPr>
                    <a:xfrm>
                      <a:off x="0" y="0"/>
                      <a:ext cx="5196840" cy="6356350"/>
                    </a:xfrm>
                    <a:prstGeom prst="rect">
                      <a:avLst/>
                    </a:prstGeom>
                  </pic:spPr>
                </pic:pic>
              </a:graphicData>
            </a:graphic>
          </wp:inline>
        </w:drawing>
      </w:r>
    </w:p>
    <w:p w14:paraId="257E4DE6">
      <w:pPr>
        <w:spacing w:before="156" w:beforeLines="50" w:line="360" w:lineRule="auto"/>
        <w:rPr>
          <w:b/>
          <w:color w:val="000000"/>
        </w:rPr>
      </w:pPr>
      <w:r>
        <w:rPr>
          <w:rFonts w:hint="eastAsia"/>
          <w:b/>
          <w:color w:val="000000"/>
          <w:lang w:val="en-US" w:eastAsia="zh-CN"/>
        </w:rPr>
        <w:t>七</w:t>
      </w:r>
      <w:r>
        <w:rPr>
          <w:rFonts w:hint="eastAsia"/>
          <w:b/>
          <w:color w:val="000000"/>
        </w:rPr>
        <w:t>、报价文件格式</w:t>
      </w:r>
    </w:p>
    <w:p w14:paraId="257E4DE7">
      <w:pPr>
        <w:keepNext w:val="0"/>
        <w:keepLines w:val="0"/>
        <w:pageBreakBefore w:val="0"/>
        <w:widowControl w:val="0"/>
        <w:numPr>
          <w:ilvl w:val="5"/>
          <w:numId w:val="9"/>
        </w:numPr>
        <w:kinsoku/>
        <w:wordWrap/>
        <w:overflowPunct/>
        <w:topLinePunct w:val="0"/>
        <w:autoSpaceDE/>
        <w:autoSpaceDN/>
        <w:bidi w:val="0"/>
        <w:adjustRightInd/>
        <w:snapToGrid/>
        <w:ind w:firstLine="480" w:firstLineChars="200"/>
        <w:textAlignment w:val="auto"/>
      </w:pPr>
      <w:bookmarkStart w:id="4" w:name="_Toc290041562"/>
      <w:bookmarkStart w:id="5" w:name="_Toc132786437"/>
      <w:r>
        <w:t>法定代表人证明书</w:t>
      </w:r>
      <w:bookmarkEnd w:id="4"/>
      <w:bookmarkEnd w:id="5"/>
    </w:p>
    <w:p w14:paraId="257E4DE8">
      <w:pPr>
        <w:spacing w:line="500" w:lineRule="exact"/>
        <w:rPr>
          <w:color w:val="000000"/>
        </w:rPr>
      </w:pPr>
      <w:r>
        <w:rPr>
          <w:rFonts w:hint="eastAsia"/>
          <w:color w:val="000000"/>
        </w:rPr>
        <w:t>国家体育总局体育器材装备中心</w:t>
      </w:r>
      <w:r>
        <w:rPr>
          <w:color w:val="000000"/>
        </w:rPr>
        <w:t>：</w:t>
      </w:r>
    </w:p>
    <w:p w14:paraId="257E4DE9">
      <w:pPr>
        <w:spacing w:line="500" w:lineRule="exact"/>
        <w:ind w:firstLine="2652" w:firstLineChars="1105"/>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237490</wp:posOffset>
                </wp:positionV>
                <wp:extent cx="1028700" cy="0"/>
                <wp:effectExtent l="7620" t="6985" r="11430"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7pt;margin-top:18.7pt;height:0pt;width:81pt;z-index:251659264;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Q7djWAAAACAEAAA8AAAAAAAAAAQAgAAAAIgAAAGRycy9kb3du&#10;cmV2LnhtbFBLAQIUABQAAAAIAIdO4kDhdZs1yAEAAJ8DAAAOAAAAAAAAAAEAIAAAACUBAABkcnMv&#10;ZTJvRG9jLnhtbFBLBQYAAAAABgAGAFkBAABfBQAAAAA=&#10;">
                <v:fill on="f" focussize="0,0"/>
                <v:stroke color="#000000" joinstyle="round"/>
                <v:imagedata o:title=""/>
                <o:lock v:ext="edit" aspectratio="f"/>
              </v:line>
            </w:pict>
          </mc:Fallback>
        </mc:AlternateContent>
      </w:r>
      <w:r>
        <w:rPr>
          <w:color w:val="000000"/>
        </w:rPr>
        <w:t>（姓名、性别、年龄）在我单位任</w:t>
      </w:r>
      <w:r>
        <w:rPr>
          <w:color w:val="000000"/>
          <w:kern w:val="0"/>
          <w:u w:val="single"/>
        </w:rPr>
        <w:t xml:space="preserve">           </w:t>
      </w:r>
      <w:r>
        <w:rPr>
          <w:color w:val="000000"/>
        </w:rPr>
        <w:t>（职务名称）职务，是我单位的法定代表人。</w:t>
      </w:r>
      <w:r>
        <w:rPr>
          <w:color w:val="000000"/>
        </w:rPr>
        <w:br w:type="textWrapping"/>
      </w:r>
      <w:r>
        <w:rPr>
          <w:color w:val="000000"/>
        </w:rPr>
        <w:t>　　特此证明。</w:t>
      </w:r>
    </w:p>
    <w:p w14:paraId="257E4DEA">
      <w:pPr>
        <w:spacing w:line="500" w:lineRule="exact"/>
        <w:ind w:firstLine="720" w:firstLineChars="300"/>
        <w:rPr>
          <w:color w:val="000000"/>
        </w:rPr>
      </w:pPr>
    </w:p>
    <w:p w14:paraId="257E4DEB">
      <w:pPr>
        <w:spacing w:line="500" w:lineRule="exact"/>
        <w:rPr>
          <w:color w:val="000000"/>
        </w:rPr>
      </w:pPr>
      <w:r>
        <w:rPr>
          <w:color w:val="000000"/>
        </w:rPr>
        <w:t>法定代表人住址：</w:t>
      </w:r>
      <w:r>
        <w:rPr>
          <w:color w:val="000000"/>
          <w:kern w:val="0"/>
          <w:u w:val="single"/>
        </w:rPr>
        <w:t xml:space="preserve">           </w:t>
      </w:r>
      <w:r>
        <w:rPr>
          <w:color w:val="000000"/>
        </w:rPr>
        <w:t>法定代表人身份证号</w:t>
      </w:r>
      <w:r>
        <w:rPr>
          <w:color w:val="000000"/>
          <w:kern w:val="0"/>
          <w:u w:val="single"/>
        </w:rPr>
        <w:t xml:space="preserve">           </w:t>
      </w:r>
      <w:r>
        <w:rPr>
          <w:color w:val="000000"/>
          <w:u w:val="single"/>
        </w:rPr>
        <w:t>（</w:t>
      </w:r>
      <w:r>
        <w:rPr>
          <w:color w:val="000000"/>
        </w:rPr>
        <w:t>身份证复印件附后）</w:t>
      </w:r>
    </w:p>
    <w:p w14:paraId="257E4DEC">
      <w:pPr>
        <w:spacing w:line="500" w:lineRule="exact"/>
        <w:rPr>
          <w:color w:val="000000"/>
          <w:u w:val="single"/>
        </w:rPr>
      </w:pPr>
      <w:r>
        <w:rPr>
          <w:color w:val="000000"/>
        </w:rPr>
        <w:t>法定代表人电话：</w:t>
      </w:r>
      <w:r>
        <w:rPr>
          <w:color w:val="000000"/>
          <w:kern w:val="0"/>
          <w:u w:val="single"/>
        </w:rPr>
        <w:t xml:space="preserve">             </w:t>
      </w:r>
      <w:r>
        <w:rPr>
          <w:color w:val="000000"/>
        </w:rPr>
        <w:br w:type="textWrapping"/>
      </w:r>
      <w:r>
        <w:rPr>
          <w:color w:val="000000"/>
        </w:rPr>
        <w:t>报价人全称（公章）：</w:t>
      </w:r>
      <w:r>
        <w:rPr>
          <w:color w:val="000000"/>
          <w:kern w:val="0"/>
          <w:u w:val="single"/>
        </w:rPr>
        <w:t xml:space="preserve">                     </w:t>
      </w:r>
    </w:p>
    <w:p w14:paraId="257E4DED">
      <w:pPr>
        <w:spacing w:line="500" w:lineRule="exact"/>
        <w:rPr>
          <w:color w:val="000000"/>
        </w:rPr>
      </w:pPr>
      <w:r>
        <w:rPr>
          <w:color w:val="000000"/>
        </w:rPr>
        <w:t>日期：</w:t>
      </w:r>
      <w:r>
        <w:rPr>
          <w:rFonts w:hint="eastAsia"/>
          <w:color w:val="000000"/>
          <w:lang w:val="en-US" w:eastAsia="zh-CN"/>
        </w:rPr>
        <w:t xml:space="preserve">   </w:t>
      </w:r>
      <w:r>
        <w:rPr>
          <w:color w:val="000000"/>
        </w:rPr>
        <w:t xml:space="preserve"> 年  月  日</w:t>
      </w:r>
    </w:p>
    <w:p w14:paraId="05E0552A">
      <w:pPr>
        <w:spacing w:line="500" w:lineRule="exact"/>
        <w:rPr>
          <w:color w:val="000000"/>
        </w:rPr>
      </w:pPr>
    </w:p>
    <w:p w14:paraId="257E4DEE">
      <w:pPr>
        <w:keepNext w:val="0"/>
        <w:keepLines w:val="0"/>
        <w:pageBreakBefore w:val="0"/>
        <w:widowControl w:val="0"/>
        <w:numPr>
          <w:ilvl w:val="5"/>
          <w:numId w:val="9"/>
        </w:numPr>
        <w:kinsoku/>
        <w:wordWrap/>
        <w:overflowPunct/>
        <w:topLinePunct w:val="0"/>
        <w:autoSpaceDE/>
        <w:autoSpaceDN/>
        <w:bidi w:val="0"/>
        <w:adjustRightInd/>
        <w:snapToGrid/>
        <w:ind w:firstLine="480" w:firstLineChars="200"/>
        <w:textAlignment w:val="auto"/>
      </w:pPr>
      <w:bookmarkStart w:id="6" w:name="_Toc132786438"/>
      <w:bookmarkStart w:id="7" w:name="_Toc290041563"/>
      <w:r>
        <w:t>授权委托书</w:t>
      </w:r>
      <w:bookmarkEnd w:id="6"/>
      <w:bookmarkEnd w:id="7"/>
      <w:bookmarkStart w:id="8" w:name="_Toc290041564"/>
      <w:r>
        <w:t>（如非</w:t>
      </w:r>
      <w:r>
        <w:rPr>
          <w:rFonts w:hint="eastAsia"/>
        </w:rPr>
        <w:t>法定代表人</w:t>
      </w:r>
      <w:r>
        <w:t>参与</w:t>
      </w:r>
      <w:r>
        <w:rPr>
          <w:rFonts w:hint="eastAsia"/>
        </w:rPr>
        <w:t>协商</w:t>
      </w:r>
      <w:r>
        <w:t>时提供，加盖</w:t>
      </w:r>
      <w:r>
        <w:rPr>
          <w:rFonts w:hint="eastAsia"/>
        </w:rPr>
        <w:t>报价人</w:t>
      </w:r>
      <w:r>
        <w:t>公章）</w:t>
      </w:r>
      <w:bookmarkEnd w:id="8"/>
    </w:p>
    <w:p w14:paraId="257E4DEF">
      <w:pPr>
        <w:spacing w:line="500" w:lineRule="exact"/>
        <w:rPr>
          <w:color w:val="000000"/>
        </w:rPr>
      </w:pPr>
      <w:r>
        <w:rPr>
          <w:rFonts w:hint="eastAsia"/>
          <w:color w:val="000000"/>
        </w:rPr>
        <w:t>国家体育总局体育器材装备中心</w:t>
      </w:r>
      <w:r>
        <w:rPr>
          <w:color w:val="000000"/>
        </w:rPr>
        <w:t>：</w:t>
      </w:r>
    </w:p>
    <w:p w14:paraId="257E4DF0">
      <w:pPr>
        <w:spacing w:line="500" w:lineRule="exact"/>
        <w:ind w:firstLine="480" w:firstLineChars="200"/>
        <w:rPr>
          <w:color w:val="000000"/>
          <w:u w:val="single"/>
        </w:rPr>
      </w:pPr>
      <w:r>
        <w:rPr>
          <w:color w:val="000000"/>
        </w:rPr>
        <w:t>本授权委托书声明：注册于</w:t>
      </w:r>
      <w:r>
        <w:rPr>
          <w:color w:val="000000"/>
          <w:kern w:val="0"/>
          <w:u w:val="single"/>
        </w:rPr>
        <w:t xml:space="preserve">           </w:t>
      </w:r>
      <w:r>
        <w:rPr>
          <w:color w:val="000000"/>
        </w:rPr>
        <w:t>（报价人地址）的</w:t>
      </w:r>
      <w:r>
        <w:rPr>
          <w:color w:val="000000"/>
          <w:kern w:val="0"/>
          <w:u w:val="single"/>
        </w:rPr>
        <w:t xml:space="preserve">           </w:t>
      </w:r>
      <w:r>
        <w:rPr>
          <w:color w:val="000000"/>
        </w:rPr>
        <w:t>（报价人名称）法定代表人</w:t>
      </w:r>
      <w:r>
        <w:rPr>
          <w:color w:val="000000"/>
          <w:kern w:val="0"/>
          <w:u w:val="single"/>
        </w:rPr>
        <w:t xml:space="preserve">           </w:t>
      </w:r>
      <w:r>
        <w:rPr>
          <w:color w:val="000000"/>
        </w:rPr>
        <w:t>（法定代表人姓名、职务）代表本公司授权在下面签字的</w:t>
      </w:r>
      <w:r>
        <w:rPr>
          <w:color w:val="000000"/>
          <w:kern w:val="0"/>
          <w:u w:val="single"/>
        </w:rPr>
        <w:t xml:space="preserve">           </w:t>
      </w:r>
    </w:p>
    <w:p w14:paraId="257E4DF1">
      <w:pPr>
        <w:spacing w:line="500" w:lineRule="exact"/>
        <w:rPr>
          <w:color w:val="000000"/>
        </w:rPr>
      </w:pPr>
      <w:r>
        <w:rPr>
          <w:color w:val="000000"/>
        </w:rPr>
        <w:t>（报价人代表职务、姓名）为本公司的合法代理人，就贵方组织的</w:t>
      </w:r>
      <w:r>
        <w:rPr>
          <w:color w:val="000000"/>
          <w:kern w:val="0"/>
          <w:u w:val="single"/>
        </w:rPr>
        <w:t xml:space="preserve">           </w:t>
      </w:r>
      <w:r>
        <w:rPr>
          <w:bCs/>
          <w:color w:val="000000"/>
        </w:rPr>
        <w:t>（项目名称）</w:t>
      </w:r>
      <w:r>
        <w:rPr>
          <w:color w:val="000000"/>
        </w:rPr>
        <w:t>项目，采购编号：</w:t>
      </w:r>
      <w:r>
        <w:rPr>
          <w:color w:val="000000"/>
          <w:kern w:val="0"/>
          <w:u w:val="single"/>
        </w:rPr>
        <w:t xml:space="preserve">           ，</w:t>
      </w:r>
      <w:r>
        <w:rPr>
          <w:rFonts w:hint="eastAsia"/>
          <w:color w:val="000000"/>
          <w:kern w:val="0"/>
        </w:rPr>
        <w:t>项目编号：</w:t>
      </w:r>
      <w:r>
        <w:rPr>
          <w:rFonts w:hint="eastAsia"/>
          <w:color w:val="000000"/>
          <w:kern w:val="0"/>
          <w:u w:val="single"/>
        </w:rPr>
        <w:t xml:space="preserve">      </w:t>
      </w:r>
      <w:r>
        <w:rPr>
          <w:color w:val="000000"/>
        </w:rPr>
        <w:t>，以本公司名义参加竞争性谈判。谈判代表在报价、谈判过程中签署的一切文件及成交后签定的采购合同，以及处理与之有关的一切事务，我公司均予以承认。授权代表无转委托权。</w:t>
      </w:r>
    </w:p>
    <w:p w14:paraId="257E4DF2">
      <w:pPr>
        <w:spacing w:line="360" w:lineRule="auto"/>
        <w:ind w:firstLine="480" w:firstLineChars="200"/>
        <w:rPr>
          <w:color w:val="000000"/>
        </w:rPr>
      </w:pPr>
      <w:r>
        <w:rPr>
          <w:color w:val="000000"/>
        </w:rPr>
        <w:t>本授权书于</w:t>
      </w:r>
      <w:r>
        <w:rPr>
          <w:color w:val="000000"/>
          <w:kern w:val="0"/>
          <w:u w:val="single"/>
        </w:rPr>
        <w:t xml:space="preserve">        </w:t>
      </w:r>
      <w:r>
        <w:rPr>
          <w:color w:val="000000"/>
        </w:rPr>
        <w:t>年</w:t>
      </w:r>
      <w:r>
        <w:rPr>
          <w:color w:val="000000"/>
          <w:kern w:val="0"/>
          <w:u w:val="single"/>
        </w:rPr>
        <w:t xml:space="preserve">       </w:t>
      </w:r>
      <w:r>
        <w:rPr>
          <w:color w:val="000000"/>
        </w:rPr>
        <w:t>月</w:t>
      </w:r>
      <w:r>
        <w:rPr>
          <w:color w:val="000000"/>
          <w:kern w:val="0"/>
          <w:u w:val="single"/>
        </w:rPr>
        <w:t xml:space="preserve">        </w:t>
      </w:r>
      <w:r>
        <w:rPr>
          <w:color w:val="000000"/>
        </w:rPr>
        <w:t>日签字生效，特此声明。</w:t>
      </w:r>
    </w:p>
    <w:p w14:paraId="257E4DF3">
      <w:pPr>
        <w:spacing w:line="500" w:lineRule="exact"/>
        <w:rPr>
          <w:color w:val="000000"/>
        </w:rPr>
      </w:pPr>
    </w:p>
    <w:p w14:paraId="257E4DF4">
      <w:pPr>
        <w:spacing w:line="500" w:lineRule="exact"/>
        <w:rPr>
          <w:color w:val="000000"/>
          <w:u w:val="single"/>
        </w:rPr>
      </w:pPr>
      <w:r>
        <w:rPr>
          <w:color w:val="000000"/>
        </w:rPr>
        <w:t>法定代表人印刷体姓名：</w:t>
      </w:r>
      <w:r>
        <w:rPr>
          <w:color w:val="000000"/>
          <w:kern w:val="0"/>
          <w:u w:val="single"/>
        </w:rPr>
        <w:t xml:space="preserve">           </w:t>
      </w:r>
      <w:r>
        <w:rPr>
          <w:color w:val="000000"/>
        </w:rPr>
        <w:t>签字：</w:t>
      </w:r>
      <w:r>
        <w:rPr>
          <w:color w:val="000000"/>
          <w:kern w:val="0"/>
          <w:u w:val="single"/>
        </w:rPr>
        <w:t xml:space="preserve">           </w:t>
      </w:r>
    </w:p>
    <w:p w14:paraId="257E4DF5">
      <w:pPr>
        <w:spacing w:line="500" w:lineRule="exact"/>
        <w:rPr>
          <w:color w:val="000000"/>
          <w:u w:val="single"/>
        </w:rPr>
      </w:pPr>
      <w:r>
        <w:rPr>
          <w:color w:val="000000"/>
        </w:rPr>
        <w:t>报价人代表印刷体姓名：</w:t>
      </w:r>
      <w:r>
        <w:rPr>
          <w:color w:val="000000"/>
          <w:kern w:val="0"/>
          <w:u w:val="single"/>
        </w:rPr>
        <w:t xml:space="preserve">           </w:t>
      </w:r>
      <w:r>
        <w:rPr>
          <w:color w:val="000000"/>
        </w:rPr>
        <w:t>签字：</w:t>
      </w:r>
      <w:r>
        <w:rPr>
          <w:color w:val="000000"/>
          <w:kern w:val="0"/>
          <w:u w:val="single"/>
        </w:rPr>
        <w:t xml:space="preserve">           </w:t>
      </w:r>
      <w:r>
        <w:rPr>
          <w:color w:val="000000"/>
        </w:rPr>
        <w:t>职务：</w:t>
      </w:r>
      <w:r>
        <w:rPr>
          <w:color w:val="000000"/>
          <w:kern w:val="0"/>
          <w:u w:val="single"/>
        </w:rPr>
        <w:t xml:space="preserve">           </w:t>
      </w:r>
    </w:p>
    <w:p w14:paraId="257E4DF6">
      <w:pPr>
        <w:spacing w:line="500" w:lineRule="exact"/>
        <w:rPr>
          <w:color w:val="000000"/>
        </w:rPr>
      </w:pPr>
      <w:r>
        <w:rPr>
          <w:color w:val="000000"/>
        </w:rPr>
        <w:t>报价人代表身份证号：</w:t>
      </w:r>
      <w:r>
        <w:rPr>
          <w:color w:val="000000"/>
          <w:kern w:val="0"/>
          <w:u w:val="single"/>
        </w:rPr>
        <w:t xml:space="preserve">                </w:t>
      </w:r>
      <w:r>
        <w:rPr>
          <w:color w:val="000000"/>
        </w:rPr>
        <w:t>（身份证复印件附后）</w:t>
      </w:r>
    </w:p>
    <w:p w14:paraId="257E4DF7">
      <w:pPr>
        <w:spacing w:line="500" w:lineRule="exact"/>
        <w:rPr>
          <w:color w:val="000000"/>
          <w:u w:val="single"/>
        </w:rPr>
      </w:pPr>
      <w:r>
        <w:rPr>
          <w:color w:val="000000"/>
        </w:rPr>
        <w:t>报价人全称（公章）：</w:t>
      </w:r>
      <w:r>
        <w:rPr>
          <w:color w:val="000000"/>
          <w:kern w:val="0"/>
          <w:u w:val="single"/>
        </w:rPr>
        <w:t xml:space="preserve">                                </w:t>
      </w:r>
    </w:p>
    <w:bookmarkEnd w:id="0"/>
    <w:p w14:paraId="257E4DF8"/>
    <w:p w14:paraId="257E4DF9">
      <w:pPr>
        <w:widowControl/>
        <w:numPr>
          <w:numId w:val="0"/>
        </w:numPr>
        <w:spacing w:before="156" w:beforeLines="50" w:line="360" w:lineRule="auto"/>
        <w:jc w:val="left"/>
        <w:rPr>
          <w:b/>
          <w:color w:val="000000"/>
          <w:kern w:val="0"/>
        </w:rPr>
      </w:pPr>
      <w:r>
        <w:rPr>
          <w:rFonts w:hint="eastAsia"/>
          <w:b/>
          <w:color w:val="000000"/>
          <w:kern w:val="0"/>
          <w:lang w:val="en-US" w:eastAsia="zh-CN"/>
        </w:rPr>
        <w:t>八、</w:t>
      </w:r>
      <w:bookmarkStart w:id="11" w:name="_GoBack"/>
      <w:bookmarkEnd w:id="11"/>
      <w:r>
        <w:rPr>
          <w:rFonts w:hint="eastAsia"/>
          <w:b/>
          <w:color w:val="000000"/>
          <w:kern w:val="0"/>
        </w:rPr>
        <w:t>拟签订的合同文本</w:t>
      </w:r>
    </w:p>
    <w:p w14:paraId="257E4DFA">
      <w:pPr>
        <w:widowControl/>
        <w:spacing w:before="156" w:beforeLines="50" w:line="360" w:lineRule="auto"/>
        <w:jc w:val="left"/>
        <w:rPr>
          <w:b/>
          <w:color w:val="000000"/>
          <w:kern w:val="0"/>
        </w:rPr>
      </w:pPr>
    </w:p>
    <w:p w14:paraId="257E4DFB">
      <w:pPr>
        <w:jc w:val="center"/>
        <w:rPr>
          <w:b/>
          <w:bCs/>
          <w:sz w:val="36"/>
          <w:szCs w:val="36"/>
        </w:rPr>
      </w:pPr>
      <w:r>
        <w:rPr>
          <w:rFonts w:hint="eastAsia"/>
          <w:b/>
          <w:bCs/>
          <w:sz w:val="36"/>
          <w:szCs w:val="36"/>
        </w:rPr>
        <w:t>维保服务合同草稿</w:t>
      </w:r>
    </w:p>
    <w:p w14:paraId="257E4DFC">
      <w:pPr>
        <w:rPr>
          <w:b/>
          <w:bCs/>
          <w:sz w:val="22"/>
        </w:rPr>
      </w:pPr>
    </w:p>
    <w:p w14:paraId="257E4DFD">
      <w:pPr>
        <w:rPr>
          <w:b/>
          <w:bCs/>
          <w:sz w:val="22"/>
        </w:rPr>
      </w:pPr>
    </w:p>
    <w:p w14:paraId="257E4DFE">
      <w:pPr>
        <w:rPr>
          <w:rFonts w:ascii="宋体" w:hAnsi="宋体" w:cs="宋体"/>
          <w:b/>
          <w:bCs/>
        </w:rPr>
      </w:pPr>
      <w:r>
        <w:rPr>
          <w:rFonts w:hint="eastAsia" w:ascii="宋体" w:hAnsi="宋体" w:cs="宋体"/>
          <w:b/>
          <w:bCs/>
        </w:rPr>
        <w:t>甲方：【】</w:t>
      </w:r>
    </w:p>
    <w:p w14:paraId="257E4DFF">
      <w:pPr>
        <w:rPr>
          <w:rFonts w:ascii="宋体" w:hAnsi="宋体" w:cs="宋体"/>
        </w:rPr>
      </w:pPr>
      <w:r>
        <w:rPr>
          <w:rFonts w:hint="eastAsia" w:ascii="宋体" w:hAnsi="宋体" w:cs="宋体"/>
        </w:rPr>
        <w:t>联系地址：</w:t>
      </w:r>
      <w:r>
        <w:rPr>
          <w:rFonts w:hint="eastAsia" w:ascii="宋体" w:hAnsi="宋体" w:cs="宋体"/>
          <w:b/>
          <w:bCs/>
        </w:rPr>
        <w:t>【】</w:t>
      </w:r>
    </w:p>
    <w:p w14:paraId="257E4E00">
      <w:pPr>
        <w:rPr>
          <w:rFonts w:ascii="宋体" w:hAnsi="宋体" w:cs="宋体"/>
        </w:rPr>
      </w:pPr>
      <w:r>
        <w:rPr>
          <w:rFonts w:hint="eastAsia" w:ascii="宋体" w:hAnsi="宋体" w:cs="宋体"/>
        </w:rPr>
        <w:t>联系人：</w:t>
      </w:r>
      <w:r>
        <w:rPr>
          <w:rFonts w:hint="eastAsia" w:ascii="宋体" w:hAnsi="宋体" w:cs="宋体"/>
          <w:b/>
          <w:bCs/>
        </w:rPr>
        <w:t>【】</w:t>
      </w:r>
    </w:p>
    <w:p w14:paraId="257E4E01">
      <w:pPr>
        <w:rPr>
          <w:rFonts w:ascii="宋体" w:hAnsi="宋体" w:cs="宋体"/>
          <w:b/>
          <w:bCs/>
        </w:rPr>
      </w:pPr>
      <w:r>
        <w:rPr>
          <w:rFonts w:hint="eastAsia" w:ascii="宋体" w:hAnsi="宋体" w:cs="宋体"/>
        </w:rPr>
        <w:t>电话：</w:t>
      </w:r>
      <w:r>
        <w:rPr>
          <w:rFonts w:hint="eastAsia" w:ascii="宋体" w:hAnsi="宋体" w:cs="宋体"/>
          <w:b/>
          <w:bCs/>
        </w:rPr>
        <w:t>【】</w:t>
      </w:r>
    </w:p>
    <w:p w14:paraId="257E4E02">
      <w:pPr>
        <w:rPr>
          <w:rFonts w:ascii="宋体" w:hAnsi="宋体" w:cs="宋体"/>
        </w:rPr>
      </w:pPr>
      <w:r>
        <w:rPr>
          <w:rFonts w:hint="eastAsia" w:ascii="宋体" w:hAnsi="宋体" w:cs="宋体"/>
        </w:rPr>
        <w:t>邮箱：【】</w:t>
      </w:r>
    </w:p>
    <w:p w14:paraId="257E4E03">
      <w:pPr>
        <w:rPr>
          <w:rFonts w:ascii="宋体" w:hAnsi="宋体" w:cs="宋体"/>
          <w:b/>
          <w:bCs/>
        </w:rPr>
      </w:pPr>
    </w:p>
    <w:p w14:paraId="257E4E04">
      <w:pPr>
        <w:rPr>
          <w:rFonts w:ascii="宋体" w:hAnsi="宋体" w:cs="宋体"/>
          <w:b/>
          <w:bCs/>
        </w:rPr>
      </w:pPr>
      <w:r>
        <w:rPr>
          <w:rFonts w:hint="eastAsia" w:ascii="宋体" w:hAnsi="宋体" w:cs="宋体"/>
          <w:b/>
          <w:bCs/>
        </w:rPr>
        <w:t>乙方：【】</w:t>
      </w:r>
    </w:p>
    <w:p w14:paraId="257E4E05">
      <w:pPr>
        <w:rPr>
          <w:rFonts w:ascii="宋体" w:hAnsi="宋体" w:cs="宋体"/>
          <w:b/>
          <w:bCs/>
        </w:rPr>
      </w:pPr>
      <w:r>
        <w:rPr>
          <w:rFonts w:hint="eastAsia" w:ascii="宋体" w:hAnsi="宋体" w:cs="宋体"/>
        </w:rPr>
        <w:t>注册地址：</w:t>
      </w:r>
    </w:p>
    <w:p w14:paraId="257E4E06">
      <w:pPr>
        <w:rPr>
          <w:rFonts w:ascii="宋体" w:hAnsi="宋体" w:cs="宋体"/>
        </w:rPr>
      </w:pPr>
      <w:r>
        <w:rPr>
          <w:rFonts w:hint="eastAsia" w:ascii="宋体" w:hAnsi="宋体" w:cs="宋体"/>
        </w:rPr>
        <w:t>联系地址：【】</w:t>
      </w:r>
    </w:p>
    <w:p w14:paraId="257E4E07">
      <w:pPr>
        <w:rPr>
          <w:rFonts w:ascii="宋体" w:hAnsi="宋体" w:cs="宋体"/>
        </w:rPr>
      </w:pPr>
      <w:r>
        <w:rPr>
          <w:rFonts w:hint="eastAsia" w:ascii="宋体" w:hAnsi="宋体" w:cs="宋体"/>
        </w:rPr>
        <w:t>联系人：</w:t>
      </w:r>
      <w:r>
        <w:rPr>
          <w:rFonts w:hint="eastAsia" w:ascii="宋体" w:hAnsi="宋体" w:cs="宋体"/>
          <w:b/>
          <w:bCs/>
        </w:rPr>
        <w:t>【</w:t>
      </w:r>
    </w:p>
    <w:p w14:paraId="257E4E08">
      <w:pPr>
        <w:rPr>
          <w:rFonts w:ascii="宋体" w:hAnsi="宋体" w:cs="宋体"/>
        </w:rPr>
      </w:pPr>
      <w:r>
        <w:rPr>
          <w:rFonts w:hint="eastAsia" w:ascii="宋体" w:hAnsi="宋体" w:cs="宋体"/>
        </w:rPr>
        <w:t>电话：</w:t>
      </w:r>
      <w:r>
        <w:rPr>
          <w:rFonts w:hint="eastAsia" w:ascii="宋体" w:hAnsi="宋体" w:cs="宋体"/>
          <w:b/>
          <w:bCs/>
        </w:rPr>
        <w:t>【】</w:t>
      </w:r>
    </w:p>
    <w:p w14:paraId="257E4E09">
      <w:pPr>
        <w:rPr>
          <w:rFonts w:ascii="宋体" w:hAnsi="宋体" w:cs="宋体"/>
        </w:rPr>
      </w:pPr>
    </w:p>
    <w:p w14:paraId="257E4E0A">
      <w:pPr>
        <w:ind w:firstLine="480" w:firstLineChars="200"/>
        <w:rPr>
          <w:rFonts w:ascii="宋体" w:hAnsi="宋体" w:cs="宋体"/>
        </w:rPr>
      </w:pPr>
      <w:r>
        <w:rPr>
          <w:rFonts w:hint="eastAsia" w:ascii="宋体" w:hAnsi="宋体" w:cs="宋体"/>
        </w:rPr>
        <w:t>甲方拥有乙方销售的仪器（“</w:t>
      </w:r>
      <w:r>
        <w:rPr>
          <w:rFonts w:hint="eastAsia" w:ascii="宋体" w:hAnsi="宋体" w:cs="宋体"/>
          <w:b/>
          <w:bCs/>
        </w:rPr>
        <w:t>仪器</w:t>
      </w:r>
      <w:r>
        <w:rPr>
          <w:rFonts w:hint="eastAsia" w:ascii="宋体" w:hAnsi="宋体" w:cs="宋体"/>
        </w:rPr>
        <w:t>”），为了保证仪器的正常运作，甲方期望购买乙方的相关服务产品。</w:t>
      </w:r>
    </w:p>
    <w:p w14:paraId="257E4E0B">
      <w:pPr>
        <w:rPr>
          <w:rFonts w:ascii="宋体" w:hAnsi="宋体" w:cs="宋体"/>
        </w:rPr>
      </w:pPr>
    </w:p>
    <w:p w14:paraId="257E4E0C">
      <w:pPr>
        <w:rPr>
          <w:rFonts w:ascii="宋体" w:hAnsi="宋体" w:cs="宋体"/>
        </w:rPr>
      </w:pPr>
      <w:r>
        <w:rPr>
          <w:rFonts w:hint="eastAsia" w:ascii="宋体" w:hAnsi="宋体" w:cs="宋体"/>
        </w:rPr>
        <w:t>双方达成协议如下:</w:t>
      </w:r>
    </w:p>
    <w:p w14:paraId="257E4E0D">
      <w:pPr>
        <w:rPr>
          <w:rFonts w:ascii="宋体" w:hAnsi="宋体" w:cs="宋体"/>
        </w:rPr>
      </w:pPr>
    </w:p>
    <w:p w14:paraId="257E4E0E">
      <w:pPr>
        <w:pStyle w:val="30"/>
        <w:numPr>
          <w:ilvl w:val="0"/>
          <w:numId w:val="10"/>
        </w:numPr>
        <w:ind w:firstLine="482"/>
        <w:rPr>
          <w:rFonts w:ascii="宋体" w:hAnsi="宋体" w:cs="宋体"/>
          <w:sz w:val="24"/>
          <w:szCs w:val="24"/>
        </w:rPr>
      </w:pPr>
      <w:r>
        <w:rPr>
          <w:rFonts w:hint="eastAsia" w:ascii="宋体" w:hAnsi="宋体" w:cs="宋体"/>
          <w:b/>
          <w:bCs/>
          <w:sz w:val="24"/>
          <w:szCs w:val="24"/>
        </w:rPr>
        <w:t>服务范围</w:t>
      </w:r>
    </w:p>
    <w:p w14:paraId="257E4E0F">
      <w:pPr>
        <w:pStyle w:val="30"/>
        <w:ind w:left="360" w:firstLine="480"/>
        <w:rPr>
          <w:rFonts w:ascii="宋体" w:hAnsi="宋体" w:cs="宋体"/>
          <w:sz w:val="24"/>
          <w:szCs w:val="24"/>
        </w:rPr>
      </w:pPr>
      <w:bookmarkStart w:id="9" w:name="_Hlk93512286"/>
      <w:r>
        <w:rPr>
          <w:rFonts w:hint="eastAsia" w:ascii="宋体" w:hAnsi="宋体" w:cs="宋体"/>
          <w:sz w:val="24"/>
          <w:szCs w:val="24"/>
        </w:rPr>
        <w:t>仪器的具体信息、具体服务内容、服务期间应以附件一为准</w:t>
      </w:r>
      <w:bookmarkEnd w:id="9"/>
      <w:r>
        <w:rPr>
          <w:rFonts w:hint="eastAsia" w:ascii="宋体" w:hAnsi="宋体" w:cs="宋体"/>
          <w:sz w:val="24"/>
          <w:szCs w:val="24"/>
        </w:rPr>
        <w:t>（“</w:t>
      </w:r>
      <w:r>
        <w:rPr>
          <w:rFonts w:hint="eastAsia" w:ascii="宋体" w:hAnsi="宋体" w:cs="宋体"/>
          <w:b/>
          <w:bCs/>
          <w:sz w:val="24"/>
          <w:szCs w:val="24"/>
        </w:rPr>
        <w:t>协议服务</w:t>
      </w:r>
      <w:r>
        <w:rPr>
          <w:rFonts w:hint="eastAsia" w:ascii="宋体" w:hAnsi="宋体" w:cs="宋体"/>
          <w:sz w:val="24"/>
          <w:szCs w:val="24"/>
        </w:rPr>
        <w:t>”）。上述协议服务由乙方指定的合格技术人员或其授权的第三方合格技术人员提供。协议服务将以现场服务（主要在维修保养服务方面）或电话、网络技术支持服务（主要在操作使用和软件咨询方面）等方式提供，具体提供方式视情况而定。</w:t>
      </w:r>
    </w:p>
    <w:p w14:paraId="257E4E10">
      <w:pPr>
        <w:rPr>
          <w:rFonts w:ascii="宋体" w:hAnsi="宋体" w:cs="宋体"/>
        </w:rPr>
      </w:pPr>
    </w:p>
    <w:p w14:paraId="257E4E11">
      <w:pPr>
        <w:pStyle w:val="30"/>
        <w:numPr>
          <w:ilvl w:val="0"/>
          <w:numId w:val="10"/>
        </w:numPr>
        <w:ind w:firstLine="482"/>
        <w:rPr>
          <w:rFonts w:ascii="宋体" w:hAnsi="宋体" w:cs="宋体"/>
          <w:sz w:val="24"/>
          <w:szCs w:val="24"/>
        </w:rPr>
      </w:pPr>
      <w:r>
        <w:rPr>
          <w:rFonts w:hint="eastAsia" w:ascii="宋体" w:hAnsi="宋体" w:cs="宋体"/>
          <w:b/>
          <w:bCs/>
          <w:sz w:val="24"/>
          <w:szCs w:val="24"/>
        </w:rPr>
        <w:t>提供协议服务的前提条件</w:t>
      </w:r>
    </w:p>
    <w:p w14:paraId="257E4E12">
      <w:pPr>
        <w:pStyle w:val="30"/>
        <w:ind w:left="360" w:firstLine="480"/>
        <w:rPr>
          <w:rFonts w:ascii="宋体" w:hAnsi="宋体" w:cs="宋体"/>
          <w:sz w:val="24"/>
          <w:szCs w:val="24"/>
        </w:rPr>
      </w:pPr>
      <w:r>
        <w:rPr>
          <w:rFonts w:hint="eastAsia" w:ascii="宋体" w:hAnsi="宋体" w:cs="宋体"/>
          <w:sz w:val="24"/>
          <w:szCs w:val="24"/>
        </w:rPr>
        <w:t>除双方另有约定外，协议服务的提供以下列所有条件的满足为前提：</w:t>
      </w:r>
    </w:p>
    <w:p w14:paraId="257E4E13">
      <w:pPr>
        <w:pStyle w:val="30"/>
        <w:numPr>
          <w:ilvl w:val="0"/>
          <w:numId w:val="11"/>
        </w:numPr>
        <w:ind w:firstLine="480"/>
        <w:rPr>
          <w:rFonts w:ascii="宋体" w:hAnsi="宋体" w:cs="宋体"/>
          <w:sz w:val="24"/>
          <w:szCs w:val="24"/>
        </w:rPr>
      </w:pPr>
      <w:r>
        <w:rPr>
          <w:rFonts w:hint="eastAsia" w:ascii="宋体" w:hAnsi="宋体" w:cs="宋体"/>
          <w:sz w:val="24"/>
          <w:szCs w:val="24"/>
        </w:rPr>
        <w:t>甲方根据本合同的约定按时足额支付了所有应付款项；</w:t>
      </w:r>
    </w:p>
    <w:p w14:paraId="257E4E14">
      <w:pPr>
        <w:pStyle w:val="30"/>
        <w:numPr>
          <w:ilvl w:val="0"/>
          <w:numId w:val="11"/>
        </w:numPr>
        <w:ind w:firstLine="480"/>
        <w:rPr>
          <w:rFonts w:ascii="宋体" w:hAnsi="宋体" w:cs="宋体"/>
          <w:sz w:val="24"/>
          <w:szCs w:val="24"/>
        </w:rPr>
      </w:pPr>
      <w:r>
        <w:rPr>
          <w:rFonts w:hint="eastAsia" w:ascii="宋体" w:hAnsi="宋体" w:cs="宋体"/>
          <w:sz w:val="24"/>
          <w:szCs w:val="24"/>
        </w:rPr>
        <w:t>仪器在安装地（“</w:t>
      </w:r>
      <w:r>
        <w:rPr>
          <w:rFonts w:hint="eastAsia" w:ascii="宋体" w:hAnsi="宋体" w:cs="宋体"/>
          <w:b/>
          <w:bCs/>
          <w:sz w:val="24"/>
          <w:szCs w:val="24"/>
        </w:rPr>
        <w:t>安装地</w:t>
      </w:r>
      <w:r>
        <w:rPr>
          <w:rFonts w:hint="eastAsia" w:ascii="宋体" w:hAnsi="宋体" w:cs="宋体"/>
          <w:sz w:val="24"/>
          <w:szCs w:val="24"/>
        </w:rPr>
        <w:t>”）拥有稳定的电压和电源供应，仪器在操作前已按照安装指南安装完毕；</w:t>
      </w:r>
    </w:p>
    <w:p w14:paraId="257E4E15">
      <w:pPr>
        <w:pStyle w:val="30"/>
        <w:numPr>
          <w:ilvl w:val="0"/>
          <w:numId w:val="11"/>
        </w:numPr>
        <w:ind w:firstLine="480"/>
        <w:rPr>
          <w:rFonts w:ascii="宋体" w:hAnsi="宋体" w:cs="宋体"/>
          <w:sz w:val="24"/>
          <w:szCs w:val="24"/>
        </w:rPr>
      </w:pPr>
      <w:r>
        <w:rPr>
          <w:rFonts w:hint="eastAsia" w:ascii="宋体" w:hAnsi="宋体" w:cs="宋体"/>
          <w:sz w:val="24"/>
          <w:szCs w:val="24"/>
        </w:rPr>
        <w:t>仪器按照使用指南进行操作，甲方未使用非乙方许可的耗材或零配件；</w:t>
      </w:r>
    </w:p>
    <w:p w14:paraId="257E4E16">
      <w:pPr>
        <w:pStyle w:val="30"/>
        <w:numPr>
          <w:ilvl w:val="0"/>
          <w:numId w:val="11"/>
        </w:numPr>
        <w:ind w:firstLine="480"/>
        <w:rPr>
          <w:rFonts w:ascii="宋体" w:hAnsi="宋体" w:cs="宋体"/>
          <w:sz w:val="24"/>
          <w:szCs w:val="24"/>
        </w:rPr>
      </w:pPr>
      <w:r>
        <w:rPr>
          <w:rFonts w:hint="eastAsia" w:ascii="宋体" w:hAnsi="宋体" w:cs="宋体"/>
          <w:sz w:val="24"/>
          <w:szCs w:val="24"/>
        </w:rPr>
        <w:t>在本合同签署时仪器状态正常；</w:t>
      </w:r>
    </w:p>
    <w:p w14:paraId="257E4E17">
      <w:pPr>
        <w:pStyle w:val="30"/>
        <w:numPr>
          <w:ilvl w:val="0"/>
          <w:numId w:val="11"/>
        </w:numPr>
        <w:ind w:firstLine="480"/>
        <w:rPr>
          <w:rFonts w:ascii="宋体" w:hAnsi="宋体" w:cs="宋体"/>
          <w:sz w:val="24"/>
          <w:szCs w:val="24"/>
        </w:rPr>
      </w:pPr>
      <w:r>
        <w:rPr>
          <w:rFonts w:hint="eastAsia" w:ascii="宋体" w:hAnsi="宋体" w:cs="宋体"/>
          <w:sz w:val="24"/>
          <w:szCs w:val="24"/>
        </w:rPr>
        <w:t>甲方为乙方履行协议服务提供必要的协助和方便，仪器运行的实验室符合仪器运行的条件。</w:t>
      </w:r>
    </w:p>
    <w:p w14:paraId="257E4E18">
      <w:pPr>
        <w:pStyle w:val="30"/>
        <w:ind w:left="360" w:firstLine="480"/>
        <w:rPr>
          <w:rFonts w:ascii="宋体" w:hAnsi="宋体" w:cs="宋体"/>
          <w:sz w:val="24"/>
          <w:szCs w:val="24"/>
        </w:rPr>
      </w:pPr>
    </w:p>
    <w:p w14:paraId="257E4E19">
      <w:pPr>
        <w:pStyle w:val="30"/>
        <w:numPr>
          <w:ilvl w:val="0"/>
          <w:numId w:val="10"/>
        </w:numPr>
        <w:ind w:firstLine="482"/>
        <w:rPr>
          <w:rFonts w:ascii="宋体" w:hAnsi="宋体" w:cs="宋体"/>
          <w:b/>
          <w:bCs/>
          <w:sz w:val="24"/>
          <w:szCs w:val="24"/>
        </w:rPr>
      </w:pPr>
      <w:r>
        <w:rPr>
          <w:rFonts w:hint="eastAsia" w:ascii="宋体" w:hAnsi="宋体" w:cs="宋体"/>
          <w:b/>
          <w:bCs/>
          <w:sz w:val="24"/>
          <w:szCs w:val="24"/>
        </w:rPr>
        <w:t>服务响应时间</w:t>
      </w:r>
    </w:p>
    <w:p w14:paraId="257E4E1A">
      <w:pPr>
        <w:pStyle w:val="30"/>
        <w:ind w:firstLine="0" w:firstLineChars="0"/>
        <w:rPr>
          <w:rFonts w:ascii="宋体" w:hAnsi="宋体" w:cs="宋体"/>
          <w:b/>
          <w:bCs/>
          <w:sz w:val="24"/>
          <w:szCs w:val="24"/>
        </w:rPr>
      </w:pPr>
    </w:p>
    <w:p w14:paraId="257E4E1B">
      <w:pPr>
        <w:pStyle w:val="30"/>
        <w:numPr>
          <w:ilvl w:val="1"/>
          <w:numId w:val="10"/>
        </w:numPr>
        <w:ind w:firstLine="480"/>
        <w:rPr>
          <w:rFonts w:ascii="宋体" w:hAnsi="宋体" w:cs="宋体"/>
          <w:sz w:val="24"/>
          <w:szCs w:val="24"/>
        </w:rPr>
      </w:pPr>
      <w:r>
        <w:rPr>
          <w:rFonts w:hint="eastAsia" w:ascii="宋体" w:hAnsi="宋体" w:cs="宋体"/>
          <w:sz w:val="24"/>
          <w:szCs w:val="24"/>
        </w:rPr>
        <w:t>在接到甲方要求提供协议服务的电话后，乙方人员将会在4个工作时内与甲方联络。若根据乙方人员的判断需要赶到现场的，乙方人员将会在接到报修电话后的【2】个工作日内到达甲方现场提供维修服务，若乙方提取仪器回乙方维修中心，则应在5个工作日内上门提取仪器，如因交通、法规等不可控制之因素造成的延误不在此限。</w:t>
      </w:r>
    </w:p>
    <w:p w14:paraId="257E4E1C">
      <w:pPr>
        <w:pStyle w:val="30"/>
        <w:numPr>
          <w:ilvl w:val="1"/>
          <w:numId w:val="10"/>
        </w:numPr>
        <w:ind w:firstLine="480"/>
        <w:rPr>
          <w:rFonts w:ascii="宋体" w:hAnsi="宋体" w:cs="宋体"/>
          <w:sz w:val="24"/>
          <w:szCs w:val="24"/>
        </w:rPr>
      </w:pPr>
      <w:r>
        <w:rPr>
          <w:rFonts w:hint="eastAsia" w:ascii="宋体" w:hAnsi="宋体" w:cs="宋体"/>
          <w:sz w:val="24"/>
          <w:szCs w:val="24"/>
        </w:rPr>
        <w:t>如因非能事先预见的原因（包括没有完成服务所必需的零部件）而使派遣的乙方人员不能通过一次上门服务完成所需的协议服务，则乙方承诺将视情况尽可能采取有效及快捷之措施在最快的时间内完成协议服务。</w:t>
      </w:r>
    </w:p>
    <w:p w14:paraId="257E4E1D">
      <w:pPr>
        <w:pStyle w:val="30"/>
        <w:numPr>
          <w:ilvl w:val="1"/>
          <w:numId w:val="10"/>
        </w:numPr>
        <w:ind w:firstLine="480"/>
        <w:rPr>
          <w:rFonts w:ascii="宋体" w:hAnsi="宋体" w:cs="宋体"/>
          <w:sz w:val="24"/>
          <w:szCs w:val="24"/>
        </w:rPr>
      </w:pPr>
      <w:r>
        <w:rPr>
          <w:rFonts w:hint="eastAsia" w:ascii="宋体" w:hAnsi="宋体" w:cs="宋体"/>
          <w:sz w:val="24"/>
          <w:szCs w:val="24"/>
        </w:rPr>
        <w:t>除双方另有约定外，所有协议服务将在办公时间提供，即周一至周五（上午9:00－下午5:30）（法定假日除外）（“办公时间”）。</w:t>
      </w:r>
    </w:p>
    <w:p w14:paraId="257E4E1E">
      <w:pPr>
        <w:rPr>
          <w:rFonts w:ascii="宋体" w:hAnsi="宋体" w:cs="宋体"/>
          <w:b/>
          <w:bCs/>
        </w:rPr>
      </w:pPr>
    </w:p>
    <w:p w14:paraId="257E4E1F">
      <w:pPr>
        <w:pStyle w:val="30"/>
        <w:numPr>
          <w:ilvl w:val="0"/>
          <w:numId w:val="10"/>
        </w:numPr>
        <w:ind w:firstLine="482"/>
        <w:rPr>
          <w:rFonts w:ascii="宋体" w:hAnsi="宋体" w:cs="宋体"/>
          <w:sz w:val="24"/>
          <w:szCs w:val="24"/>
        </w:rPr>
      </w:pPr>
      <w:r>
        <w:rPr>
          <w:rFonts w:hint="eastAsia" w:ascii="宋体" w:hAnsi="宋体" w:cs="宋体"/>
          <w:b/>
          <w:bCs/>
          <w:sz w:val="24"/>
          <w:szCs w:val="24"/>
        </w:rPr>
        <w:t>限制与除外</w:t>
      </w:r>
    </w:p>
    <w:p w14:paraId="257E4E20">
      <w:pPr>
        <w:pStyle w:val="30"/>
        <w:numPr>
          <w:ilvl w:val="1"/>
          <w:numId w:val="10"/>
        </w:numPr>
        <w:ind w:firstLine="480"/>
        <w:rPr>
          <w:rFonts w:ascii="宋体" w:hAnsi="宋体" w:cs="宋体"/>
          <w:b/>
          <w:bCs/>
          <w:sz w:val="24"/>
          <w:szCs w:val="24"/>
        </w:rPr>
      </w:pPr>
      <w:r>
        <w:rPr>
          <w:rFonts w:hint="eastAsia" w:ascii="宋体" w:hAnsi="宋体" w:cs="宋体"/>
          <w:sz w:val="24"/>
          <w:szCs w:val="24"/>
        </w:rPr>
        <w:t>就超出本合同附件一范围的服务，乙方将按照服务发生当时有效的公开服务费率向甲方另行收费。</w:t>
      </w:r>
    </w:p>
    <w:p w14:paraId="257E4E21">
      <w:pPr>
        <w:pStyle w:val="30"/>
        <w:numPr>
          <w:ilvl w:val="1"/>
          <w:numId w:val="10"/>
        </w:numPr>
        <w:ind w:firstLine="480"/>
        <w:rPr>
          <w:rFonts w:ascii="宋体" w:hAnsi="宋体" w:cs="宋体"/>
          <w:sz w:val="24"/>
          <w:szCs w:val="24"/>
        </w:rPr>
      </w:pPr>
      <w:r>
        <w:rPr>
          <w:rFonts w:hint="eastAsia" w:ascii="宋体" w:hAnsi="宋体" w:cs="宋体"/>
          <w:sz w:val="24"/>
          <w:szCs w:val="24"/>
        </w:rPr>
        <w:t>除非双方另有约定，不包含在本协议附件一范围内的任何服务、备件、消耗品，需要甲方另行购买。</w:t>
      </w:r>
    </w:p>
    <w:p w14:paraId="257E4E22">
      <w:pPr>
        <w:pStyle w:val="30"/>
        <w:numPr>
          <w:ilvl w:val="1"/>
          <w:numId w:val="10"/>
        </w:numPr>
        <w:ind w:firstLine="480"/>
        <w:rPr>
          <w:rFonts w:ascii="宋体" w:hAnsi="宋体" w:cs="宋体"/>
          <w:sz w:val="24"/>
          <w:szCs w:val="24"/>
        </w:rPr>
      </w:pPr>
      <w:r>
        <w:rPr>
          <w:rFonts w:hint="eastAsia" w:ascii="宋体" w:hAnsi="宋体" w:cs="宋体"/>
          <w:sz w:val="24"/>
          <w:szCs w:val="24"/>
        </w:rPr>
        <w:t>本合同服务不包括以下情形造成的仪器故障，若甲方要求乙方提供服务的，乙方将按照服务发生当时有效的公开服务费率向甲方另行收费：</w:t>
      </w:r>
    </w:p>
    <w:p w14:paraId="257E4E23">
      <w:pPr>
        <w:pStyle w:val="30"/>
        <w:numPr>
          <w:ilvl w:val="0"/>
          <w:numId w:val="12"/>
        </w:numPr>
        <w:ind w:firstLine="480"/>
        <w:rPr>
          <w:rFonts w:ascii="宋体" w:hAnsi="宋体" w:cs="宋体"/>
          <w:sz w:val="24"/>
          <w:szCs w:val="24"/>
        </w:rPr>
      </w:pPr>
      <w:r>
        <w:rPr>
          <w:rFonts w:hint="eastAsia" w:ascii="宋体" w:hAnsi="宋体" w:cs="宋体"/>
          <w:sz w:val="24"/>
          <w:szCs w:val="24"/>
        </w:rPr>
        <w:t>搬迁仪器过程中因运输不当造成的仪器故障。乙方将及时评估维修仪器故障所需要的维修费用，以供甲方或仪器所有人向承运人提起运输索赔，且赛默飞世尔有权对客户自行或使用第三方完成搬迁后的报修/检测等服务进行额外收费；</w:t>
      </w:r>
    </w:p>
    <w:p w14:paraId="257E4E24">
      <w:pPr>
        <w:pStyle w:val="30"/>
        <w:numPr>
          <w:ilvl w:val="0"/>
          <w:numId w:val="12"/>
        </w:numPr>
        <w:ind w:firstLine="480"/>
        <w:rPr>
          <w:rFonts w:ascii="宋体" w:hAnsi="宋体" w:cs="宋体"/>
          <w:sz w:val="24"/>
          <w:szCs w:val="24"/>
        </w:rPr>
      </w:pPr>
      <w:r>
        <w:rPr>
          <w:rFonts w:hint="eastAsia" w:ascii="宋体" w:hAnsi="宋体" w:cs="宋体"/>
          <w:sz w:val="24"/>
          <w:szCs w:val="24"/>
        </w:rPr>
        <w:t>洪水、雷电、地震、飓风、台风、火灾、爆炸、恐怖袭击、武装冲突、蓄意破坏或其他自然灾难或人为破坏所造成的仪器故障；</w:t>
      </w:r>
    </w:p>
    <w:p w14:paraId="257E4E25">
      <w:pPr>
        <w:pStyle w:val="30"/>
        <w:numPr>
          <w:ilvl w:val="0"/>
          <w:numId w:val="12"/>
        </w:numPr>
        <w:ind w:firstLine="480"/>
        <w:rPr>
          <w:rFonts w:ascii="宋体" w:hAnsi="宋体" w:cs="宋体"/>
          <w:sz w:val="24"/>
          <w:szCs w:val="24"/>
        </w:rPr>
      </w:pPr>
      <w:r>
        <w:rPr>
          <w:rFonts w:hint="eastAsia" w:ascii="宋体" w:hAnsi="宋体" w:cs="宋体"/>
          <w:sz w:val="24"/>
          <w:szCs w:val="24"/>
        </w:rPr>
        <w:t>错误使用、不当操作、自动灭火设备喷水、电涌、非稳定电压等造成的仪器故障；</w:t>
      </w:r>
    </w:p>
    <w:p w14:paraId="257E4E26">
      <w:pPr>
        <w:pStyle w:val="30"/>
        <w:numPr>
          <w:ilvl w:val="0"/>
          <w:numId w:val="12"/>
        </w:numPr>
        <w:ind w:firstLine="480"/>
        <w:rPr>
          <w:rFonts w:ascii="宋体" w:hAnsi="宋体" w:cs="宋体"/>
          <w:sz w:val="24"/>
          <w:szCs w:val="24"/>
        </w:rPr>
      </w:pPr>
      <w:r>
        <w:rPr>
          <w:rFonts w:hint="eastAsia" w:ascii="宋体" w:hAnsi="宋体" w:cs="宋体"/>
          <w:sz w:val="24"/>
          <w:szCs w:val="24"/>
        </w:rPr>
        <w:t>未经乙方同意/监督，甲方自行或者委托第三方进行维修、保养、改装、搬迁和重置造成的仪器故障；</w:t>
      </w:r>
    </w:p>
    <w:p w14:paraId="257E4E27">
      <w:pPr>
        <w:pStyle w:val="30"/>
        <w:numPr>
          <w:ilvl w:val="0"/>
          <w:numId w:val="12"/>
        </w:numPr>
        <w:ind w:firstLine="480"/>
        <w:rPr>
          <w:rFonts w:ascii="宋体" w:hAnsi="宋体" w:cs="宋体"/>
          <w:sz w:val="24"/>
          <w:szCs w:val="24"/>
        </w:rPr>
      </w:pPr>
      <w:r>
        <w:rPr>
          <w:rFonts w:hint="eastAsia" w:ascii="宋体" w:hAnsi="宋体" w:cs="宋体"/>
          <w:sz w:val="24"/>
          <w:szCs w:val="24"/>
        </w:rPr>
        <w:t>乙方事先书面通知甲方更改而甲方未执行的非正常工作环境造成的损坏；</w:t>
      </w:r>
    </w:p>
    <w:p w14:paraId="257E4E28">
      <w:pPr>
        <w:pStyle w:val="30"/>
        <w:numPr>
          <w:ilvl w:val="0"/>
          <w:numId w:val="12"/>
        </w:numPr>
        <w:ind w:firstLine="480"/>
        <w:rPr>
          <w:rFonts w:ascii="宋体" w:hAnsi="宋体" w:cs="宋体"/>
          <w:sz w:val="24"/>
          <w:szCs w:val="24"/>
        </w:rPr>
      </w:pPr>
      <w:r>
        <w:rPr>
          <w:rFonts w:hint="eastAsia" w:ascii="宋体" w:hAnsi="宋体" w:cs="宋体"/>
          <w:sz w:val="24"/>
          <w:szCs w:val="24"/>
        </w:rPr>
        <w:t>甲方自行安装、使用非乙方认可的硬件、软件及试剂所造成的损坏。</w:t>
      </w:r>
    </w:p>
    <w:p w14:paraId="257E4E29">
      <w:pPr>
        <w:pStyle w:val="30"/>
        <w:numPr>
          <w:ilvl w:val="0"/>
          <w:numId w:val="12"/>
        </w:numPr>
        <w:ind w:firstLine="480"/>
        <w:rPr>
          <w:rFonts w:ascii="宋体" w:hAnsi="宋体" w:cs="宋体"/>
          <w:sz w:val="24"/>
          <w:szCs w:val="24"/>
        </w:rPr>
      </w:pPr>
      <w:r>
        <w:rPr>
          <w:rFonts w:hint="eastAsia" w:ascii="宋体" w:hAnsi="宋体" w:cs="宋体"/>
          <w:sz w:val="24"/>
          <w:szCs w:val="24"/>
        </w:rPr>
        <w:t>外界的侵入活动，包括但不限于计算机病毒、黑客或其他对仪器或软件的未授权干扰，从而决定性地影响到了仪器的正常运行；</w:t>
      </w:r>
    </w:p>
    <w:p w14:paraId="257E4E2A">
      <w:pPr>
        <w:pStyle w:val="30"/>
        <w:numPr>
          <w:ilvl w:val="0"/>
          <w:numId w:val="12"/>
        </w:numPr>
        <w:ind w:firstLine="480"/>
        <w:rPr>
          <w:rFonts w:ascii="宋体" w:hAnsi="宋体" w:cs="宋体"/>
          <w:bCs/>
          <w:sz w:val="24"/>
          <w:szCs w:val="24"/>
        </w:rPr>
      </w:pPr>
      <w:r>
        <w:rPr>
          <w:rFonts w:hint="eastAsia" w:ascii="宋体" w:hAnsi="宋体" w:cs="宋体"/>
          <w:sz w:val="24"/>
          <w:szCs w:val="24"/>
        </w:rPr>
        <w:t>任何并非由乙方造成的缺陷或损坏。</w:t>
      </w:r>
    </w:p>
    <w:p w14:paraId="257E4E2B">
      <w:pPr>
        <w:pStyle w:val="30"/>
        <w:numPr>
          <w:ilvl w:val="1"/>
          <w:numId w:val="10"/>
        </w:numPr>
        <w:ind w:firstLine="480"/>
        <w:rPr>
          <w:rFonts w:ascii="宋体" w:hAnsi="宋体" w:cs="宋体"/>
          <w:bCs/>
          <w:sz w:val="24"/>
          <w:szCs w:val="24"/>
        </w:rPr>
      </w:pPr>
      <w:r>
        <w:rPr>
          <w:rFonts w:hint="eastAsia" w:ascii="宋体" w:hAnsi="宋体" w:cs="宋体"/>
          <w:bCs/>
          <w:sz w:val="24"/>
          <w:szCs w:val="24"/>
        </w:rPr>
        <w:t>除法律另有规定外，乙方不就甲方使用或无法使用任何部件、仪器或本合同服务而引起的任何间接性、结果性和附带性损失（包括但不限于收入或利润损失、商誉损失、数据损失、商业中断等）承担责任。在任何情形下，乙方在本合同项下的违约责任不应超过本合同的总金额。</w:t>
      </w:r>
    </w:p>
    <w:p w14:paraId="257E4E2C">
      <w:pPr>
        <w:pStyle w:val="30"/>
        <w:ind w:left="360" w:firstLine="480"/>
        <w:rPr>
          <w:rFonts w:ascii="宋体" w:hAnsi="宋体" w:cs="宋体"/>
          <w:bCs/>
          <w:sz w:val="24"/>
          <w:szCs w:val="24"/>
        </w:rPr>
      </w:pPr>
    </w:p>
    <w:p w14:paraId="257E4E2D">
      <w:pPr>
        <w:pStyle w:val="30"/>
        <w:numPr>
          <w:ilvl w:val="0"/>
          <w:numId w:val="10"/>
        </w:numPr>
        <w:ind w:firstLine="482"/>
        <w:rPr>
          <w:rFonts w:ascii="宋体" w:hAnsi="宋体" w:cs="宋体"/>
          <w:vanish/>
          <w:sz w:val="24"/>
          <w:szCs w:val="24"/>
        </w:rPr>
      </w:pPr>
      <w:r>
        <w:rPr>
          <w:rFonts w:hint="eastAsia" w:ascii="宋体" w:hAnsi="宋体" w:cs="宋体"/>
          <w:b/>
          <w:bCs/>
          <w:sz w:val="24"/>
          <w:szCs w:val="24"/>
        </w:rPr>
        <w:t>付款</w:t>
      </w:r>
    </w:p>
    <w:p w14:paraId="257E4E2E">
      <w:pPr>
        <w:pStyle w:val="30"/>
        <w:numPr>
          <w:ilvl w:val="1"/>
          <w:numId w:val="10"/>
        </w:numPr>
        <w:ind w:firstLine="480"/>
        <w:rPr>
          <w:rFonts w:ascii="宋体" w:hAnsi="宋体" w:cs="宋体"/>
          <w:sz w:val="24"/>
          <w:szCs w:val="24"/>
        </w:rPr>
      </w:pPr>
      <w:r>
        <w:rPr>
          <w:rFonts w:hint="eastAsia" w:ascii="宋体" w:hAnsi="宋体" w:cs="宋体"/>
          <w:sz w:val="24"/>
          <w:szCs w:val="24"/>
        </w:rPr>
        <w:t>作为协议服务的对价，甲方应当向乙方支付费用共计人民币【大写： 元整，小写  】元。具体包括： 服务费【 】元/每服务年度， 共【 】年度， 含【13】%税，详见附件</w:t>
      </w:r>
    </w:p>
    <w:p w14:paraId="257E4E2F">
      <w:pPr>
        <w:pStyle w:val="30"/>
        <w:numPr>
          <w:ilvl w:val="1"/>
          <w:numId w:val="10"/>
        </w:numPr>
        <w:ind w:firstLine="480"/>
        <w:rPr>
          <w:rFonts w:ascii="宋体" w:hAnsi="宋体" w:cs="宋体"/>
          <w:sz w:val="24"/>
          <w:szCs w:val="24"/>
        </w:rPr>
      </w:pPr>
      <w:bookmarkStart w:id="10" w:name="_Hlk93515674"/>
      <w:r>
        <w:rPr>
          <w:rFonts w:hint="eastAsia" w:ascii="宋体" w:hAnsi="宋体" w:cs="宋体"/>
          <w:sz w:val="24"/>
          <w:szCs w:val="24"/>
        </w:rPr>
        <w:t>除本合同另有明确约定外，服务费不包括以下任何费用：(1) 本合同规定的协议服务之外的测试维修费用；(2) 本合同范围以外的零部件和消耗品费用；(3) 为维修因本合同第4.3条所列明的情况造成的故障而产生的额外维修费用；(4) 由于仪器搬迁等原因造成的仪器重新安装及维修费用（为免歧义，本协议有效期内，如客户自行、或使用任何第三方对仪器进行搬迁的，则赛默飞世尔有权对搬迁后的仪器报修/检测等服务进行额外收费）；(5) 仪器使用培训费用；(6) 仪器软件升级服务费用；(7) 仪器外部电源维护及施工。上述费用将由双方协商后另行收费。</w:t>
      </w:r>
      <w:bookmarkEnd w:id="10"/>
    </w:p>
    <w:p w14:paraId="257E4E30">
      <w:pPr>
        <w:pStyle w:val="30"/>
        <w:numPr>
          <w:ilvl w:val="1"/>
          <w:numId w:val="10"/>
        </w:numPr>
        <w:ind w:firstLine="480"/>
        <w:rPr>
          <w:rFonts w:ascii="宋体" w:hAnsi="宋体" w:cs="宋体"/>
          <w:sz w:val="24"/>
          <w:szCs w:val="24"/>
        </w:rPr>
      </w:pPr>
      <w:r>
        <w:rPr>
          <w:rFonts w:hint="eastAsia" w:ascii="宋体" w:hAnsi="宋体" w:cs="宋体"/>
          <w:sz w:val="24"/>
          <w:szCs w:val="24"/>
        </w:rPr>
        <w:t>本合同项下的服务费用将按照以下方式收取：</w:t>
      </w:r>
    </w:p>
    <w:p w14:paraId="257E4E31">
      <w:pPr>
        <w:pStyle w:val="30"/>
        <w:numPr>
          <w:ilvl w:val="0"/>
          <w:numId w:val="13"/>
        </w:numPr>
        <w:ind w:firstLine="480"/>
        <w:rPr>
          <w:rFonts w:ascii="宋体" w:hAnsi="宋体" w:cs="宋体"/>
          <w:sz w:val="24"/>
          <w:szCs w:val="24"/>
        </w:rPr>
      </w:pPr>
      <w:r>
        <w:rPr>
          <w:rFonts w:hint="eastAsia" w:ascii="宋体" w:hAnsi="宋体" w:cs="宋体"/>
          <w:sz w:val="24"/>
          <w:szCs w:val="24"/>
        </w:rPr>
        <w:t>乙方应当在合同签署之后【30】个工作日内开具2025年服务年度上半年费用发票，即合同总金额的50%，</w:t>
      </w:r>
      <w:r>
        <w:rPr>
          <w:rFonts w:hint="eastAsia" w:ascii="宋体" w:hAnsi="宋体" w:cs="宋体"/>
          <w:color w:val="FF0000"/>
          <w:sz w:val="24"/>
          <w:szCs w:val="24"/>
        </w:rPr>
        <w:t>计人民币大写</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rPr>
        <w:t>元整</w:t>
      </w:r>
      <w:r>
        <w:rPr>
          <w:rFonts w:hint="eastAsia" w:ascii="宋体" w:hAnsi="宋体" w:cs="宋体"/>
          <w:sz w:val="24"/>
          <w:szCs w:val="24"/>
        </w:rPr>
        <w:t>。甲方应当在收到发票之后【30】个工作日内将合同额50%的维保费用一次性全额支付给乙方。</w:t>
      </w:r>
    </w:p>
    <w:p w14:paraId="257E4E32">
      <w:pPr>
        <w:pStyle w:val="30"/>
        <w:numPr>
          <w:ilvl w:val="0"/>
          <w:numId w:val="13"/>
        </w:numPr>
        <w:ind w:firstLine="480"/>
        <w:rPr>
          <w:rFonts w:ascii="宋体" w:hAnsi="宋体" w:cs="宋体"/>
          <w:sz w:val="24"/>
          <w:szCs w:val="24"/>
        </w:rPr>
      </w:pPr>
      <w:r>
        <w:rPr>
          <w:rFonts w:hint="eastAsia" w:ascii="宋体" w:hAnsi="宋体" w:cs="宋体"/>
          <w:sz w:val="24"/>
          <w:szCs w:val="24"/>
        </w:rPr>
        <w:t>合同执行下半年，经甲乙双方确认具体时间后，乙方开具服务年度剩余50%服务费发票，甲方在收到发票后【30】个工作日向乙方支付剩余50%服务费</w:t>
      </w:r>
      <w:r>
        <w:rPr>
          <w:rFonts w:hint="eastAsia" w:ascii="宋体" w:hAnsi="宋体" w:cs="宋体"/>
          <w:sz w:val="24"/>
          <w:szCs w:val="24"/>
          <w:lang w:eastAsia="zh-CN"/>
        </w:rPr>
        <w:t>，</w:t>
      </w:r>
      <w:r>
        <w:rPr>
          <w:rFonts w:hint="eastAsia" w:ascii="宋体" w:hAnsi="宋体" w:cs="宋体"/>
          <w:color w:val="FF0000"/>
          <w:sz w:val="24"/>
          <w:szCs w:val="24"/>
        </w:rPr>
        <w:t>计人民币大写</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rPr>
        <w:t>元整</w:t>
      </w:r>
      <w:r>
        <w:rPr>
          <w:rFonts w:hint="eastAsia" w:ascii="宋体" w:hAnsi="宋体" w:cs="宋体"/>
          <w:sz w:val="24"/>
          <w:szCs w:val="24"/>
        </w:rPr>
        <w:t>。</w:t>
      </w:r>
    </w:p>
    <w:p w14:paraId="257E4E33">
      <w:pPr>
        <w:pStyle w:val="30"/>
        <w:numPr>
          <w:ilvl w:val="1"/>
          <w:numId w:val="10"/>
        </w:numPr>
        <w:ind w:firstLine="480"/>
        <w:rPr>
          <w:rFonts w:ascii="宋体" w:hAnsi="宋体" w:cs="宋体"/>
          <w:sz w:val="24"/>
          <w:szCs w:val="24"/>
        </w:rPr>
      </w:pPr>
      <w:r>
        <w:rPr>
          <w:rFonts w:hint="eastAsia" w:ascii="宋体" w:hAnsi="宋体" w:cs="宋体"/>
          <w:sz w:val="24"/>
          <w:szCs w:val="24"/>
        </w:rPr>
        <w:t>甲方应及时付清年度服务费，因甲方迟延付款的，乙方将在提前通知甲方后，暂停提供服务直至甲方付清相应款项为止，因此造成的任何损失和责任由甲方承担，且暂停的服务期限不予顺延。</w:t>
      </w:r>
    </w:p>
    <w:p w14:paraId="257E4E34">
      <w:pPr>
        <w:pStyle w:val="30"/>
        <w:numPr>
          <w:ilvl w:val="1"/>
          <w:numId w:val="10"/>
        </w:numPr>
        <w:ind w:firstLine="480"/>
        <w:rPr>
          <w:rFonts w:ascii="宋体" w:hAnsi="宋体" w:cs="宋体"/>
          <w:sz w:val="24"/>
          <w:szCs w:val="24"/>
        </w:rPr>
      </w:pPr>
      <w:r>
        <w:rPr>
          <w:rFonts w:hint="eastAsia" w:ascii="宋体" w:hAnsi="宋体" w:cs="宋体"/>
          <w:sz w:val="24"/>
          <w:szCs w:val="24"/>
        </w:rPr>
        <w:t>甲方应当将服务款项付至乙方的以下银行账户：</w:t>
      </w:r>
    </w:p>
    <w:p w14:paraId="257E4E35">
      <w:pPr>
        <w:ind w:firstLine="1200" w:firstLineChars="500"/>
        <w:rPr>
          <w:rFonts w:ascii="宋体" w:hAnsi="宋体" w:cs="宋体"/>
        </w:rPr>
      </w:pPr>
      <w:r>
        <w:rPr>
          <w:rFonts w:hint="eastAsia" w:ascii="宋体" w:hAnsi="宋体" w:cs="宋体"/>
        </w:rPr>
        <w:t>【单位名称：</w:t>
      </w:r>
    </w:p>
    <w:p w14:paraId="257E4E36">
      <w:pPr>
        <w:pStyle w:val="30"/>
        <w:ind w:firstLine="1200" w:firstLineChars="500"/>
        <w:rPr>
          <w:rFonts w:ascii="宋体" w:hAnsi="宋体" w:cs="宋体"/>
          <w:sz w:val="24"/>
          <w:szCs w:val="24"/>
        </w:rPr>
      </w:pPr>
      <w:r>
        <w:rPr>
          <w:rFonts w:hint="eastAsia" w:ascii="宋体" w:hAnsi="宋体" w:cs="宋体"/>
          <w:sz w:val="24"/>
          <w:szCs w:val="24"/>
        </w:rPr>
        <w:t>开户行：</w:t>
      </w:r>
    </w:p>
    <w:p w14:paraId="257E4E37">
      <w:pPr>
        <w:ind w:firstLine="1200" w:firstLineChars="500"/>
        <w:rPr>
          <w:rFonts w:ascii="宋体" w:hAnsi="宋体" w:cs="宋体"/>
        </w:rPr>
      </w:pPr>
      <w:r>
        <w:rPr>
          <w:rFonts w:hint="eastAsia" w:ascii="宋体" w:hAnsi="宋体" w:cs="宋体"/>
        </w:rPr>
        <w:t>账  号：】</w:t>
      </w:r>
    </w:p>
    <w:p w14:paraId="257E4E38">
      <w:pPr>
        <w:pStyle w:val="30"/>
        <w:numPr>
          <w:ilvl w:val="1"/>
          <w:numId w:val="10"/>
        </w:numPr>
        <w:ind w:firstLine="480"/>
        <w:rPr>
          <w:rFonts w:ascii="宋体" w:hAnsi="宋体" w:cs="宋体"/>
          <w:sz w:val="24"/>
          <w:szCs w:val="24"/>
        </w:rPr>
      </w:pPr>
      <w:r>
        <w:rPr>
          <w:rFonts w:hint="eastAsia" w:ascii="宋体" w:hAnsi="宋体" w:cs="宋体"/>
          <w:sz w:val="24"/>
          <w:szCs w:val="24"/>
        </w:rPr>
        <w:t>乙方应向甲方开具【增值税专用】发票，开票信息如下：</w:t>
      </w:r>
    </w:p>
    <w:p w14:paraId="257E4E39">
      <w:pPr>
        <w:pStyle w:val="30"/>
        <w:ind w:left="360" w:firstLine="480"/>
        <w:rPr>
          <w:rFonts w:ascii="宋体" w:hAnsi="宋体" w:cs="宋体"/>
          <w:sz w:val="24"/>
          <w:szCs w:val="24"/>
        </w:rPr>
      </w:pPr>
      <w:r>
        <w:rPr>
          <w:rFonts w:hint="eastAsia" w:ascii="宋体" w:hAnsi="宋体" w:cs="宋体"/>
          <w:sz w:val="24"/>
          <w:szCs w:val="24"/>
        </w:rPr>
        <w:t>单位名称：【】</w:t>
      </w:r>
    </w:p>
    <w:p w14:paraId="257E4E3A">
      <w:pPr>
        <w:pStyle w:val="30"/>
        <w:ind w:left="360" w:firstLine="480"/>
        <w:rPr>
          <w:rFonts w:ascii="宋体" w:hAnsi="宋体" w:cs="宋体"/>
          <w:sz w:val="24"/>
          <w:szCs w:val="24"/>
        </w:rPr>
      </w:pPr>
      <w:r>
        <w:rPr>
          <w:rFonts w:hint="eastAsia" w:ascii="宋体" w:hAnsi="宋体" w:cs="宋体"/>
          <w:sz w:val="24"/>
          <w:szCs w:val="24"/>
        </w:rPr>
        <w:t>税号：【】</w:t>
      </w:r>
    </w:p>
    <w:p w14:paraId="257E4E3B">
      <w:pPr>
        <w:pStyle w:val="30"/>
        <w:ind w:left="360" w:firstLine="480"/>
        <w:rPr>
          <w:rFonts w:ascii="宋体" w:hAnsi="宋体" w:cs="宋体"/>
          <w:sz w:val="24"/>
          <w:szCs w:val="24"/>
        </w:rPr>
      </w:pPr>
      <w:r>
        <w:rPr>
          <w:rFonts w:hint="eastAsia" w:ascii="宋体" w:hAnsi="宋体" w:cs="宋体"/>
          <w:sz w:val="24"/>
          <w:szCs w:val="24"/>
        </w:rPr>
        <w:t>注册地址：【】</w:t>
      </w:r>
    </w:p>
    <w:p w14:paraId="257E4E3C">
      <w:pPr>
        <w:pStyle w:val="30"/>
        <w:ind w:left="360" w:firstLine="480"/>
        <w:rPr>
          <w:rFonts w:ascii="宋体" w:hAnsi="宋体" w:cs="宋体"/>
          <w:sz w:val="24"/>
          <w:szCs w:val="24"/>
        </w:rPr>
      </w:pPr>
      <w:r>
        <w:rPr>
          <w:rFonts w:hint="eastAsia" w:ascii="宋体" w:hAnsi="宋体" w:cs="宋体"/>
          <w:sz w:val="24"/>
          <w:szCs w:val="24"/>
        </w:rPr>
        <w:t>注册电话：【】</w:t>
      </w:r>
    </w:p>
    <w:p w14:paraId="257E4E3D">
      <w:pPr>
        <w:pStyle w:val="30"/>
        <w:ind w:left="360" w:firstLine="480"/>
        <w:rPr>
          <w:rFonts w:ascii="宋体" w:hAnsi="宋体" w:cs="宋体"/>
          <w:sz w:val="24"/>
          <w:szCs w:val="24"/>
        </w:rPr>
      </w:pPr>
      <w:r>
        <w:rPr>
          <w:rFonts w:hint="eastAsia" w:ascii="宋体" w:hAnsi="宋体" w:cs="宋体"/>
          <w:sz w:val="24"/>
          <w:szCs w:val="24"/>
        </w:rPr>
        <w:t>银行开户名称：【】</w:t>
      </w:r>
    </w:p>
    <w:p w14:paraId="257E4E3E">
      <w:pPr>
        <w:pStyle w:val="30"/>
        <w:ind w:left="360" w:firstLine="480"/>
        <w:rPr>
          <w:rFonts w:ascii="宋体" w:hAnsi="宋体" w:cs="宋体"/>
          <w:sz w:val="24"/>
          <w:szCs w:val="24"/>
        </w:rPr>
      </w:pPr>
      <w:r>
        <w:rPr>
          <w:rFonts w:hint="eastAsia" w:ascii="宋体" w:hAnsi="宋体" w:cs="宋体"/>
          <w:sz w:val="24"/>
          <w:szCs w:val="24"/>
        </w:rPr>
        <w:t>银行账号：【】</w:t>
      </w:r>
    </w:p>
    <w:p w14:paraId="257E4E3F">
      <w:pPr>
        <w:pStyle w:val="30"/>
        <w:ind w:firstLine="0" w:firstLineChars="0"/>
        <w:rPr>
          <w:rFonts w:ascii="宋体" w:hAnsi="宋体" w:cs="宋体"/>
          <w:b/>
          <w:bCs/>
          <w:sz w:val="24"/>
          <w:szCs w:val="24"/>
        </w:rPr>
      </w:pPr>
    </w:p>
    <w:p w14:paraId="257E4E40">
      <w:pPr>
        <w:pStyle w:val="30"/>
        <w:numPr>
          <w:ilvl w:val="0"/>
          <w:numId w:val="10"/>
        </w:numPr>
        <w:ind w:firstLine="482"/>
        <w:rPr>
          <w:rFonts w:ascii="宋体" w:hAnsi="宋体" w:cs="宋体"/>
          <w:b/>
          <w:bCs/>
          <w:sz w:val="24"/>
          <w:szCs w:val="24"/>
        </w:rPr>
      </w:pPr>
      <w:r>
        <w:rPr>
          <w:rFonts w:hint="eastAsia" w:ascii="宋体" w:hAnsi="宋体" w:cs="宋体"/>
          <w:b/>
          <w:bCs/>
          <w:sz w:val="24"/>
          <w:szCs w:val="24"/>
        </w:rPr>
        <w:t>赔偿</w:t>
      </w:r>
    </w:p>
    <w:p w14:paraId="257E4E41">
      <w:pPr>
        <w:pStyle w:val="30"/>
        <w:ind w:left="360" w:firstLine="480"/>
        <w:rPr>
          <w:rFonts w:ascii="宋体" w:hAnsi="宋体" w:cs="宋体"/>
          <w:sz w:val="24"/>
          <w:szCs w:val="24"/>
        </w:rPr>
      </w:pPr>
      <w:r>
        <w:rPr>
          <w:rFonts w:hint="eastAsia" w:ascii="宋体" w:hAnsi="宋体" w:cs="宋体"/>
          <w:sz w:val="24"/>
          <w:szCs w:val="24"/>
        </w:rPr>
        <w:t>以上述服务限制和除外条款为前提，乙方同意赔偿甲方及其高级职员、董事、雇员、代理以及代表并使其免于遭受因为乙方及其雇员、代理和代表与履行协议服务相关的故意和重大过失行为造成的人员伤亡和财产损失引致的所有损失、费用、要求和主张。</w:t>
      </w:r>
    </w:p>
    <w:p w14:paraId="257E4E42">
      <w:pPr>
        <w:pStyle w:val="30"/>
        <w:ind w:left="360" w:firstLine="480"/>
        <w:rPr>
          <w:rFonts w:ascii="宋体" w:hAnsi="宋体" w:cs="宋体"/>
          <w:sz w:val="24"/>
          <w:szCs w:val="24"/>
        </w:rPr>
      </w:pPr>
    </w:p>
    <w:p w14:paraId="257E4E43">
      <w:pPr>
        <w:pStyle w:val="30"/>
        <w:numPr>
          <w:ilvl w:val="0"/>
          <w:numId w:val="10"/>
        </w:numPr>
        <w:ind w:firstLine="482"/>
        <w:rPr>
          <w:rFonts w:ascii="宋体" w:hAnsi="宋体" w:cs="宋体"/>
          <w:sz w:val="24"/>
          <w:szCs w:val="24"/>
        </w:rPr>
      </w:pPr>
      <w:r>
        <w:rPr>
          <w:rFonts w:hint="eastAsia" w:ascii="宋体" w:hAnsi="宋体" w:cs="宋体"/>
          <w:b/>
          <w:bCs/>
          <w:sz w:val="24"/>
          <w:szCs w:val="24"/>
        </w:rPr>
        <w:t>合规条款</w:t>
      </w:r>
    </w:p>
    <w:p w14:paraId="257E4E44">
      <w:pPr>
        <w:pStyle w:val="30"/>
        <w:ind w:left="360" w:firstLine="480"/>
        <w:rPr>
          <w:rFonts w:ascii="宋体" w:hAnsi="宋体" w:cs="宋体"/>
          <w:sz w:val="24"/>
          <w:szCs w:val="24"/>
        </w:rPr>
      </w:pPr>
      <w:r>
        <w:rPr>
          <w:rFonts w:hint="eastAsia" w:ascii="宋体" w:hAnsi="宋体" w:cs="宋体"/>
          <w:sz w:val="24"/>
          <w:szCs w:val="24"/>
        </w:rPr>
        <w:t>如甲方作为经销商或以其他方式转售或转让乙方产品，应遵守以下规定：甲方声明并保证在与乙方的产品和服务相关的业务活动中遵守反腐败、反商业贿赂、反洗钱的法律：(1) 不会直接或者间接支付或提供有价物品给任何政府或政府组织机构或单位的官员、代表、或工作人员，来为任何个人或公司（如乙方）达成或者保留业务；(2) 甲方不会做出任何违反或导致乙方违反《美国反海外贿赂行为法》、《英国反贿赂法》或其他相关法律、法规的关于支付给政府、政府雇员以及相关人员的行为。甲方进一步声明和保证：尽甲方所知，上文中叙及的行为在过去并未发生过。并且，声明和保证甲方的拥有人、负责人、主管、雇员或其它职员不是任何政府、政府授权组织或政治组织的官员、办公人员、雇员或代表人，同时甲方也不会参与为投标成功而付出金钱报酬的决策过程。甲方同时声明和保证，将完整和准确地保持所有从乙方收到的佣金、服务费或者其它款项的记录，并且接受乙方和其代表人的检查和审计。</w:t>
      </w:r>
    </w:p>
    <w:p w14:paraId="257E4E45">
      <w:pPr>
        <w:pStyle w:val="30"/>
        <w:ind w:left="360" w:firstLine="480"/>
        <w:rPr>
          <w:rFonts w:ascii="宋体" w:hAnsi="宋体" w:cs="宋体"/>
          <w:sz w:val="24"/>
          <w:szCs w:val="24"/>
        </w:rPr>
      </w:pPr>
    </w:p>
    <w:p w14:paraId="257E4E46">
      <w:pPr>
        <w:pStyle w:val="30"/>
        <w:numPr>
          <w:ilvl w:val="0"/>
          <w:numId w:val="10"/>
        </w:numPr>
        <w:ind w:firstLine="482"/>
        <w:rPr>
          <w:rFonts w:ascii="宋体" w:hAnsi="宋体" w:cs="宋体"/>
          <w:sz w:val="24"/>
          <w:szCs w:val="24"/>
        </w:rPr>
      </w:pPr>
      <w:r>
        <w:rPr>
          <w:rFonts w:hint="eastAsia" w:ascii="宋体" w:hAnsi="宋体" w:cs="宋体"/>
          <w:b/>
          <w:bCs/>
          <w:sz w:val="24"/>
          <w:szCs w:val="24"/>
        </w:rPr>
        <w:t>出口合规</w:t>
      </w:r>
    </w:p>
    <w:p w14:paraId="257E4E47">
      <w:pPr>
        <w:pStyle w:val="30"/>
        <w:ind w:left="360" w:firstLine="480"/>
        <w:rPr>
          <w:rFonts w:ascii="宋体" w:hAnsi="宋体" w:cs="宋体"/>
          <w:sz w:val="24"/>
          <w:szCs w:val="24"/>
        </w:rPr>
      </w:pPr>
      <w:r>
        <w:rPr>
          <w:rFonts w:hint="eastAsia" w:ascii="宋体" w:hAnsi="宋体" w:cs="宋体"/>
          <w:sz w:val="24"/>
          <w:szCs w:val="24"/>
        </w:rPr>
        <w:t>甲方承认，乙方提供的产品（包括组件和零部件）、软件、服务（包括保修服务）、技术或知识产权，包括乙方提供或包含在文件中的技术信息（统称为“物品”），均受美国政府和其他司法管辖区（包括但不限于欧盟）适用的出口管制措施的约束。这些管制措施可能要求乙方或甲方首先从相关政府部门或监管机构获得许可证（或类似要求）。对于延迟获得或未能获得必要的许可或批准，乙方不对甲方承担任何责任。甲方应遵守所有适用的出口法律法规。在未事先从相关政府部门或监管机构获得合法出口所需的任何许可之前，甲方不得（直接或间接）将任何物品出口或再出口至：(i)任何受限制或遭禁运的国家，或被有关当局剥夺或限制其出口权的个人或组织；或(ii) 任何参与不当开发或使用核武器、化学/生物武器（CBW）或导弹，或参与恐怖主义活动的个人或组织。甲方同意不将任何提供的物品用于受限制或禁止的活动，例如核爆炸物、无保障的核活动、化学或生物武器开发、受限制的火箭系统或军事目的。如乙方要求，甲方应：(i)立即提供能够正确识别任何物品最终用户和最终用途的书面信息（包括可能与甲方随后转让此类物品有关的任何信息）；以及(ii)在依据适用的进出口管制法律法规所进行的、有关物品的官方或非官方审计或检查中，与乙方充分合作。甲方应确保乙方转售或转让物品的客户和最终用户以书面形式同意本条规定，且甲方承诺尽甲方最大努力督促客户和最终用户执行此类规定。如甲方或甲方的雇员、顾问、代理人和/或代表违反本条规定，甲方应对乙方进行赔偿，并使乙方免受损害。此外，甲方未遵守本条规定将构成对本合同的严重违约，乙方有权立即终止本合同。如为遵守适用的出口法律法规而有必要终止本合同，乙方保留在不提前通知的情况下终止本合同的权利。</w:t>
      </w:r>
    </w:p>
    <w:p w14:paraId="257E4E48">
      <w:pPr>
        <w:pStyle w:val="30"/>
        <w:ind w:left="360" w:firstLine="480"/>
        <w:rPr>
          <w:rFonts w:ascii="宋体" w:hAnsi="宋体" w:cs="宋体"/>
          <w:sz w:val="24"/>
          <w:szCs w:val="24"/>
        </w:rPr>
      </w:pPr>
    </w:p>
    <w:p w14:paraId="257E4E49">
      <w:pPr>
        <w:pStyle w:val="30"/>
        <w:numPr>
          <w:ilvl w:val="0"/>
          <w:numId w:val="10"/>
        </w:numPr>
        <w:ind w:firstLine="482"/>
        <w:rPr>
          <w:rFonts w:ascii="宋体" w:hAnsi="宋体" w:cs="宋体"/>
          <w:sz w:val="24"/>
          <w:szCs w:val="24"/>
        </w:rPr>
      </w:pPr>
      <w:r>
        <w:rPr>
          <w:rFonts w:hint="eastAsia" w:ascii="宋体" w:hAnsi="宋体" w:cs="宋体"/>
          <w:b/>
          <w:bCs/>
          <w:sz w:val="24"/>
          <w:szCs w:val="24"/>
        </w:rPr>
        <w:t>其他约定</w:t>
      </w:r>
    </w:p>
    <w:p w14:paraId="257E4E4A">
      <w:pPr>
        <w:pStyle w:val="30"/>
        <w:numPr>
          <w:ilvl w:val="1"/>
          <w:numId w:val="10"/>
        </w:numPr>
        <w:ind w:firstLine="480"/>
        <w:rPr>
          <w:rFonts w:ascii="宋体" w:hAnsi="宋体" w:cs="宋体"/>
          <w:sz w:val="24"/>
          <w:szCs w:val="24"/>
        </w:rPr>
      </w:pPr>
      <w:r>
        <w:rPr>
          <w:rFonts w:hint="eastAsia" w:ascii="宋体" w:hAnsi="宋体" w:cs="宋体"/>
          <w:sz w:val="24"/>
          <w:szCs w:val="24"/>
        </w:rPr>
        <w:t>如果甲方没有完全履行其在本合同项下的任</w:t>
      </w:r>
      <w:r>
        <w:rPr>
          <w:rFonts w:hint="eastAsia" w:ascii="宋体" w:hAnsi="宋体" w:cs="宋体"/>
          <w:sz w:val="24"/>
          <w:szCs w:val="24"/>
        </w:rPr>
        <w:tab/>
      </w:r>
      <w:r>
        <w:rPr>
          <w:rFonts w:hint="eastAsia" w:ascii="宋体" w:hAnsi="宋体" w:cs="宋体"/>
          <w:sz w:val="24"/>
          <w:szCs w:val="24"/>
        </w:rPr>
        <w:t>何义务，包括但不限于未能按时付款将构成对本合同的严重违约，乙方将有权停止协议服务直至甲方纠正该违约并承担相应责任。</w:t>
      </w:r>
    </w:p>
    <w:p w14:paraId="257E4E4B">
      <w:pPr>
        <w:pStyle w:val="30"/>
        <w:numPr>
          <w:ilvl w:val="1"/>
          <w:numId w:val="10"/>
        </w:numPr>
        <w:ind w:firstLine="480"/>
        <w:rPr>
          <w:rFonts w:ascii="宋体" w:hAnsi="宋体" w:cs="宋体"/>
          <w:sz w:val="24"/>
          <w:szCs w:val="24"/>
        </w:rPr>
      </w:pPr>
      <w:r>
        <w:rPr>
          <w:rFonts w:hint="eastAsia" w:ascii="宋体" w:hAnsi="宋体" w:cs="宋体"/>
          <w:sz w:val="24"/>
          <w:szCs w:val="24"/>
        </w:rPr>
        <w:t>自本合同生效后，除以下情况外，任何一方不得提前终止本合同：</w:t>
      </w:r>
    </w:p>
    <w:p w14:paraId="257E4E4C">
      <w:pPr>
        <w:pStyle w:val="30"/>
        <w:numPr>
          <w:ilvl w:val="0"/>
          <w:numId w:val="14"/>
        </w:numPr>
        <w:ind w:firstLine="480"/>
        <w:rPr>
          <w:rFonts w:ascii="宋体" w:hAnsi="宋体" w:cs="宋体"/>
          <w:sz w:val="24"/>
          <w:szCs w:val="24"/>
        </w:rPr>
      </w:pPr>
      <w:r>
        <w:rPr>
          <w:rFonts w:hint="eastAsia" w:ascii="宋体" w:hAnsi="宋体" w:cs="宋体"/>
          <w:sz w:val="24"/>
          <w:szCs w:val="24"/>
        </w:rPr>
        <w:t>在本合同的服务期限超过一年的情况下，如果任何一方希望提前终止本合同，则该方应当仅在本合同第二个服务年度及此后的每一服务年度开始前至少30日前发出该书面通知，并且取得另一方的同意，同时应当向另一方支付剩余服务年度合同金额的20%作为违约金；若特定服务年度已经开始，则该服务年度内不得提前终止；</w:t>
      </w:r>
    </w:p>
    <w:p w14:paraId="257E4E4D">
      <w:pPr>
        <w:pStyle w:val="30"/>
        <w:numPr>
          <w:ilvl w:val="0"/>
          <w:numId w:val="14"/>
        </w:numPr>
        <w:ind w:firstLine="480"/>
        <w:rPr>
          <w:rFonts w:ascii="宋体" w:hAnsi="宋体" w:cs="宋体"/>
          <w:sz w:val="24"/>
          <w:szCs w:val="24"/>
        </w:rPr>
      </w:pPr>
      <w:r>
        <w:rPr>
          <w:rFonts w:hint="eastAsia" w:ascii="宋体" w:hAnsi="宋体" w:cs="宋体"/>
          <w:sz w:val="24"/>
          <w:szCs w:val="24"/>
        </w:rPr>
        <w:t>如果任何一方违反本合同的约定，守约方均有权向该违约方发出有关违约行为的书面通知，若违约方在收到该通知之日起30日内未能纠正该违约行为，则守约方有权向违约方发出书面通知立即解除本合同，并追究违约方的违约责任。</w:t>
      </w:r>
    </w:p>
    <w:p w14:paraId="257E4E4E">
      <w:pPr>
        <w:pStyle w:val="30"/>
        <w:numPr>
          <w:ilvl w:val="1"/>
          <w:numId w:val="10"/>
        </w:numPr>
        <w:ind w:firstLine="480"/>
        <w:rPr>
          <w:rFonts w:ascii="宋体" w:hAnsi="宋体" w:cs="宋体"/>
          <w:sz w:val="24"/>
          <w:szCs w:val="24"/>
        </w:rPr>
      </w:pPr>
      <w:r>
        <w:rPr>
          <w:rFonts w:hint="eastAsia" w:ascii="宋体" w:hAnsi="宋体" w:cs="宋体"/>
          <w:sz w:val="24"/>
          <w:szCs w:val="24"/>
        </w:rPr>
        <w:t>本合同适用中国法律。双方同意尽量通过友好协商解决本合同项下之争议。但如果友好协商不成，则争议应提交【甲方】所在地法院通过诉讼的形式解决。</w:t>
      </w:r>
    </w:p>
    <w:p w14:paraId="257E4E4F">
      <w:pPr>
        <w:pStyle w:val="30"/>
        <w:numPr>
          <w:ilvl w:val="1"/>
          <w:numId w:val="10"/>
        </w:numPr>
        <w:ind w:firstLine="480"/>
        <w:rPr>
          <w:rFonts w:ascii="宋体" w:hAnsi="宋体" w:cs="宋体"/>
          <w:sz w:val="24"/>
          <w:szCs w:val="24"/>
        </w:rPr>
      </w:pPr>
      <w:r>
        <w:rPr>
          <w:rFonts w:hint="eastAsia" w:ascii="宋体" w:hAnsi="宋体" w:cs="宋体"/>
          <w:sz w:val="24"/>
          <w:szCs w:val="24"/>
        </w:rPr>
        <w:t>在合同期限及其终止后的三年内双方应本合同内容保密，未经另一方书面许可不得对第三方进行披露。乙方同意就为履行本合同获得的且甲方明示为保密的信息或数据保密。</w:t>
      </w:r>
    </w:p>
    <w:p w14:paraId="257E4E50">
      <w:pPr>
        <w:pStyle w:val="30"/>
        <w:numPr>
          <w:ilvl w:val="1"/>
          <w:numId w:val="10"/>
        </w:numPr>
        <w:ind w:firstLine="480"/>
        <w:rPr>
          <w:rFonts w:ascii="宋体" w:hAnsi="宋体" w:cs="宋体"/>
          <w:sz w:val="24"/>
          <w:szCs w:val="24"/>
        </w:rPr>
      </w:pPr>
      <w:r>
        <w:rPr>
          <w:rFonts w:hint="eastAsia" w:ascii="宋体" w:hAnsi="宋体" w:cs="宋体"/>
          <w:sz w:val="24"/>
          <w:szCs w:val="24"/>
        </w:rPr>
        <w:t>未经另一方书面同意，任何一方不能将本合同项下的权利和义务向第三方转让。</w:t>
      </w:r>
    </w:p>
    <w:p w14:paraId="257E4E51">
      <w:pPr>
        <w:pStyle w:val="30"/>
        <w:numPr>
          <w:ilvl w:val="1"/>
          <w:numId w:val="10"/>
        </w:numPr>
        <w:ind w:firstLine="480"/>
        <w:rPr>
          <w:rFonts w:ascii="宋体" w:hAnsi="宋体" w:cs="宋体"/>
          <w:sz w:val="24"/>
          <w:szCs w:val="24"/>
        </w:rPr>
      </w:pPr>
      <w:r>
        <w:rPr>
          <w:rFonts w:hint="eastAsia" w:ascii="宋体" w:hAnsi="宋体" w:cs="宋体"/>
          <w:sz w:val="24"/>
          <w:szCs w:val="24"/>
        </w:rPr>
        <w:t>本合同附件为本合同的组成部分，如附件与本合同冲突部分，优先依据本合同执行。</w:t>
      </w:r>
    </w:p>
    <w:p w14:paraId="257E4E52">
      <w:pPr>
        <w:pStyle w:val="30"/>
        <w:numPr>
          <w:ilvl w:val="1"/>
          <w:numId w:val="10"/>
        </w:numPr>
        <w:ind w:firstLine="480"/>
        <w:rPr>
          <w:rFonts w:ascii="宋体" w:hAnsi="宋体" w:cs="宋体"/>
          <w:sz w:val="24"/>
          <w:szCs w:val="24"/>
        </w:rPr>
      </w:pPr>
      <w:r>
        <w:rPr>
          <w:rFonts w:hint="eastAsia" w:ascii="宋体" w:hAnsi="宋体" w:cs="宋体"/>
          <w:sz w:val="24"/>
          <w:szCs w:val="24"/>
        </w:rPr>
        <w:t>本合同于文首日经双方签署生效，具体服务期间应当以附件一规定为准，至本合同项下服务完成之日持续有效。</w:t>
      </w:r>
    </w:p>
    <w:p w14:paraId="257E4E53">
      <w:pPr>
        <w:pStyle w:val="30"/>
        <w:numPr>
          <w:ilvl w:val="1"/>
          <w:numId w:val="10"/>
        </w:numPr>
        <w:ind w:firstLine="480"/>
        <w:rPr>
          <w:rFonts w:ascii="宋体" w:hAnsi="宋体" w:cs="宋体"/>
          <w:sz w:val="24"/>
          <w:szCs w:val="24"/>
        </w:rPr>
      </w:pPr>
      <w:r>
        <w:rPr>
          <w:rFonts w:hint="eastAsia" w:ascii="宋体" w:hAnsi="宋体" w:cs="宋体"/>
          <w:sz w:val="24"/>
          <w:szCs w:val="24"/>
        </w:rPr>
        <w:t>本合同正本一式【4】份，甲方持【2】份，乙方持【2】份，具有同等法律效力。</w:t>
      </w:r>
    </w:p>
    <w:p w14:paraId="257E4E54">
      <w:pPr>
        <w:rPr>
          <w:rFonts w:ascii="宋体" w:hAnsi="宋体" w:cs="宋体"/>
        </w:rPr>
      </w:pPr>
      <w:r>
        <w:rPr>
          <w:rFonts w:hint="eastAsia" w:ascii="宋体" w:hAnsi="宋体" w:cs="宋体"/>
        </w:rPr>
        <w:t>兹证明，本合同由双方盖章和正式授权代表签署：</w:t>
      </w:r>
    </w:p>
    <w:p w14:paraId="257E4E55">
      <w:pPr>
        <w:rPr>
          <w:rFonts w:ascii="宋体" w:hAnsi="宋体" w:cs="宋体"/>
        </w:rPr>
      </w:pPr>
    </w:p>
    <w:p w14:paraId="257E4E56">
      <w:pPr>
        <w:rPr>
          <w:rFonts w:ascii="宋体" w:hAnsi="宋体" w:cs="宋体"/>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1"/>
        <w:gridCol w:w="4427"/>
      </w:tblGrid>
      <w:tr w14:paraId="257E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257E4E57">
            <w:pPr>
              <w:rPr>
                <w:rFonts w:ascii="宋体" w:hAnsi="宋体" w:cs="宋体"/>
                <w:kern w:val="0"/>
              </w:rPr>
            </w:pPr>
            <w:r>
              <w:rPr>
                <w:rFonts w:hint="eastAsia" w:ascii="宋体" w:hAnsi="宋体" w:cs="宋体"/>
                <w:kern w:val="0"/>
              </w:rPr>
              <w:t>甲方：</w:t>
            </w:r>
            <w:r>
              <w:rPr>
                <w:rFonts w:hint="eastAsia" w:ascii="宋体" w:hAnsi="宋体" w:cs="宋体"/>
                <w:b/>
                <w:bCs/>
                <w:kern w:val="0"/>
              </w:rPr>
              <w:t>【】</w:t>
            </w:r>
          </w:p>
          <w:p w14:paraId="257E4E58">
            <w:pPr>
              <w:rPr>
                <w:rFonts w:ascii="宋体" w:hAnsi="宋体" w:cs="宋体"/>
                <w:kern w:val="0"/>
              </w:rPr>
            </w:pPr>
          </w:p>
          <w:p w14:paraId="257E4E59">
            <w:pPr>
              <w:rPr>
                <w:rFonts w:ascii="宋体" w:hAnsi="宋体" w:cs="宋体"/>
                <w:kern w:val="0"/>
              </w:rPr>
            </w:pPr>
          </w:p>
          <w:p w14:paraId="257E4E5A">
            <w:pPr>
              <w:rPr>
                <w:rFonts w:ascii="宋体" w:hAnsi="宋体" w:cs="宋体"/>
                <w:kern w:val="0"/>
              </w:rPr>
            </w:pPr>
          </w:p>
          <w:p w14:paraId="257E4E5B">
            <w:pPr>
              <w:rPr>
                <w:rFonts w:ascii="宋体" w:hAnsi="宋体" w:cs="宋体"/>
                <w:kern w:val="0"/>
              </w:rPr>
            </w:pPr>
          </w:p>
          <w:p w14:paraId="257E4E5C">
            <w:pPr>
              <w:rPr>
                <w:rFonts w:ascii="宋体" w:hAnsi="宋体" w:cs="宋体"/>
                <w:kern w:val="0"/>
              </w:rPr>
            </w:pPr>
            <w:r>
              <w:rPr>
                <w:rFonts w:hint="eastAsia" w:ascii="宋体" w:hAnsi="宋体" w:cs="宋体"/>
                <w:kern w:val="0"/>
              </w:rPr>
              <w:t>________________________________</w:t>
            </w:r>
          </w:p>
          <w:p w14:paraId="257E4E5D">
            <w:pPr>
              <w:rPr>
                <w:rFonts w:ascii="宋体" w:hAnsi="宋体" w:cs="宋体"/>
                <w:kern w:val="0"/>
              </w:rPr>
            </w:pPr>
            <w:r>
              <w:rPr>
                <w:rFonts w:hint="eastAsia" w:ascii="宋体" w:hAnsi="宋体" w:cs="宋体"/>
                <w:kern w:val="0"/>
              </w:rPr>
              <w:t>姓名：</w:t>
            </w:r>
          </w:p>
          <w:p w14:paraId="257E4E5E">
            <w:pPr>
              <w:rPr>
                <w:rFonts w:ascii="宋体" w:hAnsi="宋体" w:cs="宋体"/>
                <w:kern w:val="0"/>
              </w:rPr>
            </w:pPr>
            <w:r>
              <w:rPr>
                <w:rFonts w:hint="eastAsia" w:ascii="宋体" w:hAnsi="宋体" w:cs="宋体"/>
                <w:kern w:val="0"/>
              </w:rPr>
              <w:t>职务：</w:t>
            </w:r>
          </w:p>
        </w:tc>
        <w:tc>
          <w:tcPr>
            <w:tcW w:w="4942" w:type="dxa"/>
          </w:tcPr>
          <w:p w14:paraId="257E4E5F">
            <w:pPr>
              <w:rPr>
                <w:rFonts w:ascii="宋体" w:hAnsi="宋体" w:cs="宋体"/>
                <w:kern w:val="0"/>
              </w:rPr>
            </w:pPr>
            <w:r>
              <w:rPr>
                <w:rFonts w:hint="eastAsia" w:ascii="宋体" w:hAnsi="宋体" w:cs="宋体"/>
                <w:kern w:val="0"/>
              </w:rPr>
              <w:t>乙方：【】</w:t>
            </w:r>
          </w:p>
          <w:p w14:paraId="257E4E60">
            <w:pPr>
              <w:rPr>
                <w:rFonts w:ascii="宋体" w:hAnsi="宋体" w:cs="宋体"/>
                <w:kern w:val="0"/>
              </w:rPr>
            </w:pPr>
          </w:p>
          <w:p w14:paraId="257E4E61">
            <w:pPr>
              <w:rPr>
                <w:rFonts w:ascii="宋体" w:hAnsi="宋体" w:cs="宋体"/>
                <w:kern w:val="0"/>
              </w:rPr>
            </w:pPr>
          </w:p>
          <w:p w14:paraId="257E4E62">
            <w:pPr>
              <w:rPr>
                <w:rFonts w:ascii="宋体" w:hAnsi="宋体" w:cs="宋体"/>
                <w:kern w:val="0"/>
              </w:rPr>
            </w:pPr>
          </w:p>
          <w:p w14:paraId="257E4E63">
            <w:pPr>
              <w:rPr>
                <w:rFonts w:ascii="宋体" w:hAnsi="宋体" w:cs="宋体"/>
                <w:kern w:val="0"/>
              </w:rPr>
            </w:pPr>
          </w:p>
          <w:p w14:paraId="257E4E64">
            <w:pPr>
              <w:rPr>
                <w:rFonts w:ascii="宋体" w:hAnsi="宋体" w:cs="宋体"/>
                <w:kern w:val="0"/>
              </w:rPr>
            </w:pPr>
            <w:r>
              <w:rPr>
                <w:rFonts w:hint="eastAsia" w:ascii="宋体" w:hAnsi="宋体" w:cs="宋体"/>
                <w:kern w:val="0"/>
              </w:rPr>
              <w:t>_______________________________</w:t>
            </w:r>
          </w:p>
          <w:p w14:paraId="257E4E65">
            <w:pPr>
              <w:rPr>
                <w:rFonts w:ascii="宋体" w:hAnsi="宋体" w:cs="宋体"/>
                <w:kern w:val="0"/>
              </w:rPr>
            </w:pPr>
            <w:r>
              <w:rPr>
                <w:rFonts w:hint="eastAsia" w:ascii="宋体" w:hAnsi="宋体" w:cs="宋体"/>
                <w:kern w:val="0"/>
              </w:rPr>
              <w:t>姓名：</w:t>
            </w:r>
          </w:p>
          <w:p w14:paraId="257E4E66">
            <w:pPr>
              <w:rPr>
                <w:rFonts w:ascii="宋体" w:hAnsi="宋体" w:cs="宋体"/>
                <w:kern w:val="0"/>
              </w:rPr>
            </w:pPr>
            <w:r>
              <w:rPr>
                <w:rFonts w:hint="eastAsia" w:ascii="宋体" w:hAnsi="宋体" w:cs="宋体"/>
                <w:kern w:val="0"/>
              </w:rPr>
              <w:t>职务：</w:t>
            </w:r>
          </w:p>
        </w:tc>
      </w:tr>
    </w:tbl>
    <w:p w14:paraId="257E4E68">
      <w:pPr>
        <w:rPr>
          <w:rFonts w:ascii="宋体" w:hAnsi="宋体" w:cs="宋体"/>
        </w:rPr>
      </w:pPr>
    </w:p>
    <w:p w14:paraId="257E4E69">
      <w:pPr>
        <w:rPr>
          <w:rFonts w:ascii="宋体" w:hAnsi="宋体" w:cs="宋体"/>
          <w:b/>
          <w:bCs/>
        </w:rPr>
      </w:pPr>
      <w:r>
        <w:rPr>
          <w:rFonts w:hint="eastAsia" w:ascii="宋体" w:hAnsi="宋体" w:cs="宋体"/>
          <w:b/>
          <w:bCs/>
        </w:rPr>
        <w:t>附件一：协议服务及保养内容</w:t>
      </w:r>
    </w:p>
    <w:p w14:paraId="257E4E6A">
      <w:pPr>
        <w:rPr>
          <w:rFonts w:ascii="宋体" w:hAnsi="宋体" w:cs="宋体"/>
          <w:b/>
          <w:bCs/>
        </w:rPr>
      </w:pPr>
      <w:r>
        <w:rPr>
          <w:rFonts w:hint="eastAsia" w:ascii="宋体" w:hAnsi="宋体" w:cs="宋体"/>
          <w:b/>
          <w:bCs/>
        </w:rPr>
        <w:t>附件二：不包含在协议内的消耗品清单</w:t>
      </w:r>
    </w:p>
    <w:p w14:paraId="257E4E6B">
      <w:pPr>
        <w:rPr>
          <w:rFonts w:ascii="宋体" w:hAnsi="宋体" w:cs="宋体"/>
          <w:color w:val="000000"/>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4E71">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E4E74">
                          <w:pPr>
                            <w:pStyle w:val="16"/>
                            <w:rPr>
                              <w:rStyle w:val="25"/>
                            </w:rPr>
                          </w:pPr>
                          <w:r>
                            <w:rPr>
                              <w:rStyle w:val="25"/>
                            </w:rPr>
                            <w:fldChar w:fldCharType="begin"/>
                          </w:r>
                          <w:r>
                            <w:rPr>
                              <w:rStyle w:val="25"/>
                            </w:rPr>
                            <w:instrText xml:space="preserve"> PAGE  \* MERGEFORMAT </w:instrText>
                          </w:r>
                          <w:r>
                            <w:rPr>
                              <w:rStyle w:val="25"/>
                            </w:rPr>
                            <w:fldChar w:fldCharType="separate"/>
                          </w:r>
                          <w:r>
                            <w:rPr>
                              <w:rStyle w:val="25"/>
                            </w:rPr>
                            <w:t>1</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29</w:t>
                          </w:r>
                          <w:r>
                            <w:rPr>
                              <w:rStyle w:val="2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57E4E74">
                    <w:pPr>
                      <w:pStyle w:val="16"/>
                      <w:rPr>
                        <w:rStyle w:val="25"/>
                      </w:rPr>
                    </w:pPr>
                    <w:r>
                      <w:rPr>
                        <w:rStyle w:val="25"/>
                      </w:rPr>
                      <w:fldChar w:fldCharType="begin"/>
                    </w:r>
                    <w:r>
                      <w:rPr>
                        <w:rStyle w:val="25"/>
                      </w:rPr>
                      <w:instrText xml:space="preserve"> PAGE  \* MERGEFORMAT </w:instrText>
                    </w:r>
                    <w:r>
                      <w:rPr>
                        <w:rStyle w:val="25"/>
                      </w:rPr>
                      <w:fldChar w:fldCharType="separate"/>
                    </w:r>
                    <w:r>
                      <w:rPr>
                        <w:rStyle w:val="25"/>
                      </w:rPr>
                      <w:t>1</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29</w:t>
                    </w:r>
                    <w:r>
                      <w:rPr>
                        <w:rStyle w:val="2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4E70">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FE35"/>
    <w:multiLevelType w:val="singleLevel"/>
    <w:tmpl w:val="B2A7FE35"/>
    <w:lvl w:ilvl="0" w:tentative="0">
      <w:start w:val="1"/>
      <w:numFmt w:val="decimal"/>
      <w:lvlText w:val="(%1)"/>
      <w:lvlJc w:val="left"/>
      <w:pPr>
        <w:ind w:left="425" w:hanging="425"/>
      </w:pPr>
      <w:rPr>
        <w:rFonts w:hint="default"/>
      </w:rPr>
    </w:lvl>
  </w:abstractNum>
  <w:abstractNum w:abstractNumId="1">
    <w:nsid w:val="E51C78A0"/>
    <w:multiLevelType w:val="singleLevel"/>
    <w:tmpl w:val="E51C78A0"/>
    <w:lvl w:ilvl="0" w:tentative="0">
      <w:start w:val="1"/>
      <w:numFmt w:val="chineseCounting"/>
      <w:suff w:val="nothing"/>
      <w:lvlText w:val="（%1）"/>
      <w:lvlJc w:val="left"/>
      <w:pPr>
        <w:ind w:left="0" w:firstLine="420"/>
      </w:pPr>
      <w:rPr>
        <w:rFonts w:hint="eastAsia"/>
      </w:rPr>
    </w:lvl>
  </w:abstractNum>
  <w:abstractNum w:abstractNumId="2">
    <w:nsid w:val="07A60AB0"/>
    <w:multiLevelType w:val="multilevel"/>
    <w:tmpl w:val="07A60AB0"/>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187032B3"/>
    <w:multiLevelType w:val="multilevel"/>
    <w:tmpl w:val="187032B3"/>
    <w:lvl w:ilvl="0" w:tentative="0">
      <w:start w:val="1"/>
      <w:numFmt w:val="decimal"/>
      <w:lvlText w:val="%1)"/>
      <w:lvlJc w:val="left"/>
      <w:pPr>
        <w:ind w:left="720" w:hanging="360"/>
      </w:pPr>
      <w:rPr>
        <w:rFonts w:hint="default"/>
        <w:i w:val="0"/>
        <w:i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3E047C2"/>
    <w:multiLevelType w:val="multilevel"/>
    <w:tmpl w:val="33E047C2"/>
    <w:lvl w:ilvl="0" w:tentative="0">
      <w:start w:val="1"/>
      <w:numFmt w:val="decimal"/>
      <w:lvlText w:val="%1)"/>
      <w:lvlJc w:val="left"/>
      <w:pPr>
        <w:ind w:left="720" w:hanging="360"/>
      </w:pPr>
      <w:rPr>
        <w:rFonts w:hint="default"/>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4666132"/>
    <w:multiLevelType w:val="multilevel"/>
    <w:tmpl w:val="34666132"/>
    <w:lvl w:ilvl="0" w:tentative="0">
      <w:start w:val="1"/>
      <w:numFmt w:val="decimal"/>
      <w:lvlText w:val="%1)"/>
      <w:lvlJc w:val="left"/>
      <w:pPr>
        <w:ind w:left="780" w:hanging="420"/>
      </w:pPr>
      <w:rPr>
        <w:rFonts w:hint="default"/>
        <w:i w:val="0"/>
        <w:i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347359F7"/>
    <w:multiLevelType w:val="singleLevel"/>
    <w:tmpl w:val="347359F7"/>
    <w:lvl w:ilvl="0" w:tentative="0">
      <w:start w:val="1"/>
      <w:numFmt w:val="chineseCounting"/>
      <w:suff w:val="nothing"/>
      <w:lvlText w:val="%1、"/>
      <w:lvlJc w:val="left"/>
      <w:pPr>
        <w:ind w:left="0" w:firstLine="420"/>
      </w:pPr>
      <w:rPr>
        <w:rFonts w:hint="eastAsia"/>
      </w:rPr>
    </w:lvl>
  </w:abstractNum>
  <w:abstractNum w:abstractNumId="7">
    <w:nsid w:val="39A072F2"/>
    <w:multiLevelType w:val="multilevel"/>
    <w:tmpl w:val="39A072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58CA9B2"/>
    <w:multiLevelType w:val="multilevel"/>
    <w:tmpl w:val="458CA9B2"/>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9">
    <w:nsid w:val="479447CF"/>
    <w:multiLevelType w:val="multilevel"/>
    <w:tmpl w:val="479447C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0616019"/>
    <w:multiLevelType w:val="multilevel"/>
    <w:tmpl w:val="50616019"/>
    <w:lvl w:ilvl="0" w:tentative="0">
      <w:start w:val="1"/>
      <w:numFmt w:val="chineseCountingThousand"/>
      <w:pStyle w:val="27"/>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5C950B8"/>
    <w:multiLevelType w:val="multilevel"/>
    <w:tmpl w:val="55C950B8"/>
    <w:lvl w:ilvl="0" w:tentative="0">
      <w:start w:val="1"/>
      <w:numFmt w:val="decimal"/>
      <w:lvlText w:val="%1."/>
      <w:lvlJc w:val="left"/>
      <w:pPr>
        <w:tabs>
          <w:tab w:val="left" w:pos="360"/>
        </w:tabs>
        <w:ind w:left="360" w:hanging="360"/>
      </w:pPr>
      <w:rPr>
        <w:rFonts w:hint="default" w:ascii="Times New Roman" w:hAnsi="Times New Roman" w:eastAsia="黑体" w:cs="Times New Roman"/>
        <w:b/>
      </w:rPr>
    </w:lvl>
    <w:lvl w:ilvl="1" w:tentative="0">
      <w:start w:val="1"/>
      <w:numFmt w:val="decimal"/>
      <w:isLgl/>
      <w:lvlText w:val="%1.%2"/>
      <w:lvlJc w:val="left"/>
      <w:pPr>
        <w:tabs>
          <w:tab w:val="left" w:pos="360"/>
        </w:tabs>
        <w:ind w:left="360" w:hanging="360"/>
      </w:pPr>
      <w:rPr>
        <w:rFonts w:hint="default" w:ascii="Times New Roman" w:hAnsi="Times New Roman" w:cs="Times New Roman"/>
        <w:b w:val="0"/>
        <w:bCs w:val="0"/>
      </w:rPr>
    </w:lvl>
    <w:lvl w:ilvl="2" w:tentative="0">
      <w:start w:val="1"/>
      <w:numFmt w:val="decimal"/>
      <w:isLgl/>
      <w:lvlText w:val="%3)"/>
      <w:lvlJc w:val="left"/>
      <w:pPr>
        <w:tabs>
          <w:tab w:val="left" w:pos="720"/>
        </w:tabs>
        <w:ind w:left="720" w:hanging="360"/>
      </w:pPr>
      <w:rPr>
        <w:rFonts w:hint="default" w:ascii="Times New Roman" w:hAnsi="Times New Roman" w:cs="Times New Roman"/>
      </w:rPr>
    </w:lvl>
    <w:lvl w:ilvl="3" w:tentative="0">
      <w:start w:val="1"/>
      <w:numFmt w:val="decimal"/>
      <w:isLgl/>
      <w:lvlText w:val="%1.%2.%3.%4"/>
      <w:lvlJc w:val="left"/>
      <w:pPr>
        <w:tabs>
          <w:tab w:val="left" w:pos="360"/>
        </w:tabs>
        <w:ind w:left="360" w:hanging="360"/>
      </w:pPr>
      <w:rPr>
        <w:rFonts w:hint="default" w:ascii="Times New Roman" w:hAnsi="Times New Roman" w:cs="Times New Roman"/>
      </w:rPr>
    </w:lvl>
    <w:lvl w:ilvl="4" w:tentative="0">
      <w:start w:val="1"/>
      <w:numFmt w:val="decimal"/>
      <w:isLgl/>
      <w:lvlText w:val="%1.%2.%3.%4.%5"/>
      <w:lvlJc w:val="left"/>
      <w:pPr>
        <w:tabs>
          <w:tab w:val="left" w:pos="360"/>
        </w:tabs>
        <w:ind w:left="360" w:hanging="360"/>
      </w:pPr>
      <w:rPr>
        <w:rFonts w:hint="default" w:ascii="Times New Roman" w:hAnsi="Times New Roman" w:cs="Times New Roman"/>
      </w:rPr>
    </w:lvl>
    <w:lvl w:ilvl="5" w:tentative="0">
      <w:start w:val="1"/>
      <w:numFmt w:val="decimal"/>
      <w:isLgl/>
      <w:lvlText w:val="%1.%2.%3.%4.%5.%6"/>
      <w:lvlJc w:val="left"/>
      <w:pPr>
        <w:tabs>
          <w:tab w:val="left" w:pos="360"/>
        </w:tabs>
        <w:ind w:left="360" w:hanging="360"/>
      </w:pPr>
      <w:rPr>
        <w:rFonts w:hint="default" w:ascii="Times New Roman" w:hAnsi="Times New Roman" w:cs="Times New Roman"/>
      </w:rPr>
    </w:lvl>
    <w:lvl w:ilvl="6" w:tentative="0">
      <w:start w:val="1"/>
      <w:numFmt w:val="decimal"/>
      <w:isLgl/>
      <w:lvlText w:val="%1.%2.%3.%4.%5.%6.%7"/>
      <w:lvlJc w:val="left"/>
      <w:pPr>
        <w:tabs>
          <w:tab w:val="left" w:pos="360"/>
        </w:tabs>
        <w:ind w:left="360" w:hanging="360"/>
      </w:pPr>
      <w:rPr>
        <w:rFonts w:hint="default" w:ascii="Times New Roman" w:hAnsi="Times New Roman" w:cs="Times New Roman"/>
      </w:rPr>
    </w:lvl>
    <w:lvl w:ilvl="7" w:tentative="0">
      <w:start w:val="1"/>
      <w:numFmt w:val="decimal"/>
      <w:isLgl/>
      <w:lvlText w:val="%1.%2.%3.%4.%5.%6.%7.%8"/>
      <w:lvlJc w:val="left"/>
      <w:pPr>
        <w:tabs>
          <w:tab w:val="left" w:pos="360"/>
        </w:tabs>
        <w:ind w:left="360" w:hanging="360"/>
      </w:pPr>
      <w:rPr>
        <w:rFonts w:hint="default" w:ascii="Times New Roman" w:hAnsi="Times New Roman" w:cs="Times New Roman"/>
      </w:rPr>
    </w:lvl>
    <w:lvl w:ilvl="8" w:tentative="0">
      <w:start w:val="1"/>
      <w:numFmt w:val="decimal"/>
      <w:isLgl/>
      <w:lvlText w:val="%1.%2.%3.%4.%5.%6.%7.%8.%9"/>
      <w:lvlJc w:val="left"/>
      <w:pPr>
        <w:tabs>
          <w:tab w:val="left" w:pos="360"/>
        </w:tabs>
        <w:ind w:left="360" w:hanging="360"/>
      </w:pPr>
      <w:rPr>
        <w:rFonts w:hint="default" w:ascii="Times New Roman" w:hAnsi="Times New Roman" w:cs="Times New Roman"/>
      </w:rPr>
    </w:lvl>
  </w:abstractNum>
  <w:abstractNum w:abstractNumId="12">
    <w:nsid w:val="5636217C"/>
    <w:multiLevelType w:val="multilevel"/>
    <w:tmpl w:val="5636217C"/>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lvlText w:val="%6、"/>
      <w:lvlJc w:val="left"/>
      <w:pPr>
        <w:ind w:left="0" w:firstLine="0"/>
      </w:pPr>
      <w:rPr>
        <w:rFonts w:hint="default"/>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6C071543"/>
    <w:multiLevelType w:val="multilevel"/>
    <w:tmpl w:val="6C071543"/>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10"/>
  </w:num>
  <w:num w:numId="2">
    <w:abstractNumId w:val="6"/>
  </w:num>
  <w:num w:numId="3">
    <w:abstractNumId w:val="1"/>
  </w:num>
  <w:num w:numId="4">
    <w:abstractNumId w:val="9"/>
  </w:num>
  <w:num w:numId="5">
    <w:abstractNumId w:val="13"/>
  </w:num>
  <w:num w:numId="6">
    <w:abstractNumId w:val="8"/>
  </w:num>
  <w:num w:numId="7">
    <w:abstractNumId w:val="0"/>
  </w:num>
  <w:num w:numId="8">
    <w:abstractNumId w:val="7"/>
  </w:num>
  <w:num w:numId="9">
    <w:abstractNumId w:val="12"/>
  </w:num>
  <w:num w:numId="10">
    <w:abstractNumId w:val="11"/>
  </w:num>
  <w:num w:numId="11">
    <w:abstractNumId w:val="3"/>
  </w:num>
  <w:num w:numId="12">
    <w:abstractNumId w:val="4"/>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9D3A67"/>
    <w:rsid w:val="0000638A"/>
    <w:rsid w:val="00010A47"/>
    <w:rsid w:val="00011D14"/>
    <w:rsid w:val="0002048C"/>
    <w:rsid w:val="000359E9"/>
    <w:rsid w:val="000372A7"/>
    <w:rsid w:val="000416CB"/>
    <w:rsid w:val="00053C92"/>
    <w:rsid w:val="00072571"/>
    <w:rsid w:val="00073054"/>
    <w:rsid w:val="00086F42"/>
    <w:rsid w:val="00092CBF"/>
    <w:rsid w:val="00094404"/>
    <w:rsid w:val="00094AB9"/>
    <w:rsid w:val="000B424D"/>
    <w:rsid w:val="000B6DA2"/>
    <w:rsid w:val="000C0D07"/>
    <w:rsid w:val="000C622E"/>
    <w:rsid w:val="000C64A8"/>
    <w:rsid w:val="000E4092"/>
    <w:rsid w:val="000F1442"/>
    <w:rsid w:val="000F5D8E"/>
    <w:rsid w:val="0010334F"/>
    <w:rsid w:val="0010509D"/>
    <w:rsid w:val="00126409"/>
    <w:rsid w:val="00126CEC"/>
    <w:rsid w:val="00126FFB"/>
    <w:rsid w:val="00130778"/>
    <w:rsid w:val="00147ACE"/>
    <w:rsid w:val="00152F43"/>
    <w:rsid w:val="00161532"/>
    <w:rsid w:val="00166B68"/>
    <w:rsid w:val="00172CAF"/>
    <w:rsid w:val="00181FB8"/>
    <w:rsid w:val="00185A38"/>
    <w:rsid w:val="00192F25"/>
    <w:rsid w:val="00196744"/>
    <w:rsid w:val="00197171"/>
    <w:rsid w:val="001A0ABF"/>
    <w:rsid w:val="001A76ED"/>
    <w:rsid w:val="001B3998"/>
    <w:rsid w:val="001B5BB5"/>
    <w:rsid w:val="001B7952"/>
    <w:rsid w:val="001C3E7E"/>
    <w:rsid w:val="001C4690"/>
    <w:rsid w:val="001E388A"/>
    <w:rsid w:val="001E45F5"/>
    <w:rsid w:val="001E7A67"/>
    <w:rsid w:val="001F2FE0"/>
    <w:rsid w:val="00210917"/>
    <w:rsid w:val="00213432"/>
    <w:rsid w:val="0022160A"/>
    <w:rsid w:val="002235E1"/>
    <w:rsid w:val="0022733A"/>
    <w:rsid w:val="00227C3E"/>
    <w:rsid w:val="00234DF4"/>
    <w:rsid w:val="00244FC3"/>
    <w:rsid w:val="00245895"/>
    <w:rsid w:val="00245E81"/>
    <w:rsid w:val="00246901"/>
    <w:rsid w:val="00247C2A"/>
    <w:rsid w:val="002501E2"/>
    <w:rsid w:val="002644C8"/>
    <w:rsid w:val="00271C52"/>
    <w:rsid w:val="00281187"/>
    <w:rsid w:val="0028245B"/>
    <w:rsid w:val="002957B7"/>
    <w:rsid w:val="002B738E"/>
    <w:rsid w:val="002C6094"/>
    <w:rsid w:val="002E0303"/>
    <w:rsid w:val="002E18CA"/>
    <w:rsid w:val="002F29C0"/>
    <w:rsid w:val="00305273"/>
    <w:rsid w:val="00315121"/>
    <w:rsid w:val="00315752"/>
    <w:rsid w:val="003217AB"/>
    <w:rsid w:val="00332D0D"/>
    <w:rsid w:val="00343DE2"/>
    <w:rsid w:val="0035606C"/>
    <w:rsid w:val="00364EB0"/>
    <w:rsid w:val="00365961"/>
    <w:rsid w:val="003677B3"/>
    <w:rsid w:val="00377645"/>
    <w:rsid w:val="003A2941"/>
    <w:rsid w:val="003B37D9"/>
    <w:rsid w:val="003F0695"/>
    <w:rsid w:val="003F6CEF"/>
    <w:rsid w:val="003F6D5E"/>
    <w:rsid w:val="00403113"/>
    <w:rsid w:val="004167D5"/>
    <w:rsid w:val="00424464"/>
    <w:rsid w:val="004550E3"/>
    <w:rsid w:val="004559D6"/>
    <w:rsid w:val="00456497"/>
    <w:rsid w:val="0046148D"/>
    <w:rsid w:val="0047003F"/>
    <w:rsid w:val="00472D0B"/>
    <w:rsid w:val="004913BC"/>
    <w:rsid w:val="004925C1"/>
    <w:rsid w:val="004A1DAE"/>
    <w:rsid w:val="004B0374"/>
    <w:rsid w:val="004B3BBB"/>
    <w:rsid w:val="004B4D3F"/>
    <w:rsid w:val="004D405A"/>
    <w:rsid w:val="004E11BF"/>
    <w:rsid w:val="004E79A0"/>
    <w:rsid w:val="004F1904"/>
    <w:rsid w:val="004F5ED7"/>
    <w:rsid w:val="004F6FD9"/>
    <w:rsid w:val="00503738"/>
    <w:rsid w:val="00504526"/>
    <w:rsid w:val="00505CB6"/>
    <w:rsid w:val="0050706E"/>
    <w:rsid w:val="00512F4D"/>
    <w:rsid w:val="00513752"/>
    <w:rsid w:val="005278FE"/>
    <w:rsid w:val="00531394"/>
    <w:rsid w:val="00542251"/>
    <w:rsid w:val="005521BA"/>
    <w:rsid w:val="00566B23"/>
    <w:rsid w:val="00566B53"/>
    <w:rsid w:val="00581AAF"/>
    <w:rsid w:val="00582285"/>
    <w:rsid w:val="005846CD"/>
    <w:rsid w:val="005879BE"/>
    <w:rsid w:val="005A0358"/>
    <w:rsid w:val="005B1164"/>
    <w:rsid w:val="005C1FAC"/>
    <w:rsid w:val="005D24B1"/>
    <w:rsid w:val="005E1AEF"/>
    <w:rsid w:val="005E28C3"/>
    <w:rsid w:val="005F3626"/>
    <w:rsid w:val="005F59B1"/>
    <w:rsid w:val="005F7B72"/>
    <w:rsid w:val="0060243D"/>
    <w:rsid w:val="00607194"/>
    <w:rsid w:val="00621187"/>
    <w:rsid w:val="00627325"/>
    <w:rsid w:val="00627CA2"/>
    <w:rsid w:val="00633187"/>
    <w:rsid w:val="00640AF0"/>
    <w:rsid w:val="00641C1B"/>
    <w:rsid w:val="00675F96"/>
    <w:rsid w:val="006813C9"/>
    <w:rsid w:val="00684DA3"/>
    <w:rsid w:val="0068664D"/>
    <w:rsid w:val="006D2ED5"/>
    <w:rsid w:val="006D3F03"/>
    <w:rsid w:val="006D4932"/>
    <w:rsid w:val="006D59CA"/>
    <w:rsid w:val="006D736F"/>
    <w:rsid w:val="006E5D86"/>
    <w:rsid w:val="006F6D9D"/>
    <w:rsid w:val="006F755F"/>
    <w:rsid w:val="00707EB5"/>
    <w:rsid w:val="00711826"/>
    <w:rsid w:val="0071358A"/>
    <w:rsid w:val="007233C1"/>
    <w:rsid w:val="00724029"/>
    <w:rsid w:val="00733003"/>
    <w:rsid w:val="00747001"/>
    <w:rsid w:val="00747617"/>
    <w:rsid w:val="00750195"/>
    <w:rsid w:val="00753815"/>
    <w:rsid w:val="00791782"/>
    <w:rsid w:val="007A1C4D"/>
    <w:rsid w:val="007A260E"/>
    <w:rsid w:val="007B2F78"/>
    <w:rsid w:val="007C5588"/>
    <w:rsid w:val="007C7ACB"/>
    <w:rsid w:val="007D65B2"/>
    <w:rsid w:val="007E4F50"/>
    <w:rsid w:val="007E5693"/>
    <w:rsid w:val="00806D79"/>
    <w:rsid w:val="0082197B"/>
    <w:rsid w:val="00833A5D"/>
    <w:rsid w:val="00834D1A"/>
    <w:rsid w:val="00841E2A"/>
    <w:rsid w:val="00842E38"/>
    <w:rsid w:val="00851FD9"/>
    <w:rsid w:val="00857F67"/>
    <w:rsid w:val="00865256"/>
    <w:rsid w:val="008845AD"/>
    <w:rsid w:val="008B1C34"/>
    <w:rsid w:val="008C7B49"/>
    <w:rsid w:val="008D0D1D"/>
    <w:rsid w:val="008D4411"/>
    <w:rsid w:val="008E00BE"/>
    <w:rsid w:val="008E0A75"/>
    <w:rsid w:val="008E12E7"/>
    <w:rsid w:val="008E3058"/>
    <w:rsid w:val="008E35EE"/>
    <w:rsid w:val="008E7DAD"/>
    <w:rsid w:val="008F4603"/>
    <w:rsid w:val="009018B0"/>
    <w:rsid w:val="00901F6F"/>
    <w:rsid w:val="0091408D"/>
    <w:rsid w:val="00915C9D"/>
    <w:rsid w:val="00915F58"/>
    <w:rsid w:val="00935AB0"/>
    <w:rsid w:val="0094065C"/>
    <w:rsid w:val="00940862"/>
    <w:rsid w:val="009408BC"/>
    <w:rsid w:val="009523F0"/>
    <w:rsid w:val="0095698B"/>
    <w:rsid w:val="009579AF"/>
    <w:rsid w:val="009668A9"/>
    <w:rsid w:val="009774F9"/>
    <w:rsid w:val="00980CEB"/>
    <w:rsid w:val="009A0B3C"/>
    <w:rsid w:val="009A266C"/>
    <w:rsid w:val="009A3680"/>
    <w:rsid w:val="009A5B1C"/>
    <w:rsid w:val="009D3A67"/>
    <w:rsid w:val="009D520A"/>
    <w:rsid w:val="009E025A"/>
    <w:rsid w:val="009E5ABA"/>
    <w:rsid w:val="009F22F0"/>
    <w:rsid w:val="00A00354"/>
    <w:rsid w:val="00A117B4"/>
    <w:rsid w:val="00A171F8"/>
    <w:rsid w:val="00A22C41"/>
    <w:rsid w:val="00A25A64"/>
    <w:rsid w:val="00A311D2"/>
    <w:rsid w:val="00A40631"/>
    <w:rsid w:val="00A450F4"/>
    <w:rsid w:val="00A5007C"/>
    <w:rsid w:val="00A519D6"/>
    <w:rsid w:val="00A606B8"/>
    <w:rsid w:val="00A609D1"/>
    <w:rsid w:val="00A646A0"/>
    <w:rsid w:val="00A80678"/>
    <w:rsid w:val="00A80885"/>
    <w:rsid w:val="00A87018"/>
    <w:rsid w:val="00A87B0E"/>
    <w:rsid w:val="00A87C76"/>
    <w:rsid w:val="00AB6510"/>
    <w:rsid w:val="00AB7F7F"/>
    <w:rsid w:val="00AD257A"/>
    <w:rsid w:val="00AF2828"/>
    <w:rsid w:val="00AF47AE"/>
    <w:rsid w:val="00B03E75"/>
    <w:rsid w:val="00B04CE3"/>
    <w:rsid w:val="00B11B68"/>
    <w:rsid w:val="00B12A0F"/>
    <w:rsid w:val="00B164F2"/>
    <w:rsid w:val="00B17DEC"/>
    <w:rsid w:val="00B22CCC"/>
    <w:rsid w:val="00B55E51"/>
    <w:rsid w:val="00B62D6A"/>
    <w:rsid w:val="00B64D53"/>
    <w:rsid w:val="00B65EE0"/>
    <w:rsid w:val="00B73966"/>
    <w:rsid w:val="00B74A38"/>
    <w:rsid w:val="00B8159B"/>
    <w:rsid w:val="00B8215C"/>
    <w:rsid w:val="00B87A1C"/>
    <w:rsid w:val="00B902B0"/>
    <w:rsid w:val="00B91C13"/>
    <w:rsid w:val="00B924A6"/>
    <w:rsid w:val="00BC290C"/>
    <w:rsid w:val="00BC55B6"/>
    <w:rsid w:val="00BD3711"/>
    <w:rsid w:val="00C00BDB"/>
    <w:rsid w:val="00C03FAF"/>
    <w:rsid w:val="00C07E61"/>
    <w:rsid w:val="00C20470"/>
    <w:rsid w:val="00C2330C"/>
    <w:rsid w:val="00C26AED"/>
    <w:rsid w:val="00C278C8"/>
    <w:rsid w:val="00C35ED5"/>
    <w:rsid w:val="00C46289"/>
    <w:rsid w:val="00C66EC8"/>
    <w:rsid w:val="00C6785F"/>
    <w:rsid w:val="00C73691"/>
    <w:rsid w:val="00C82F08"/>
    <w:rsid w:val="00C83C8E"/>
    <w:rsid w:val="00C86791"/>
    <w:rsid w:val="00C929CE"/>
    <w:rsid w:val="00C94003"/>
    <w:rsid w:val="00CB35D9"/>
    <w:rsid w:val="00CC2724"/>
    <w:rsid w:val="00CC3DFA"/>
    <w:rsid w:val="00CC503A"/>
    <w:rsid w:val="00CD36AC"/>
    <w:rsid w:val="00CE4618"/>
    <w:rsid w:val="00CF31AD"/>
    <w:rsid w:val="00CF4E33"/>
    <w:rsid w:val="00D14FB0"/>
    <w:rsid w:val="00D21A79"/>
    <w:rsid w:val="00D2502F"/>
    <w:rsid w:val="00D27A1D"/>
    <w:rsid w:val="00D368B1"/>
    <w:rsid w:val="00D37F42"/>
    <w:rsid w:val="00D415AA"/>
    <w:rsid w:val="00D579C8"/>
    <w:rsid w:val="00D651EF"/>
    <w:rsid w:val="00D66F51"/>
    <w:rsid w:val="00D7149D"/>
    <w:rsid w:val="00D72790"/>
    <w:rsid w:val="00D739F4"/>
    <w:rsid w:val="00DA04D5"/>
    <w:rsid w:val="00DB3B6A"/>
    <w:rsid w:val="00DC41B4"/>
    <w:rsid w:val="00DC4D17"/>
    <w:rsid w:val="00DD05D3"/>
    <w:rsid w:val="00DD5092"/>
    <w:rsid w:val="00DD6D75"/>
    <w:rsid w:val="00DE2B6A"/>
    <w:rsid w:val="00DE7246"/>
    <w:rsid w:val="00DF186C"/>
    <w:rsid w:val="00DF2CDF"/>
    <w:rsid w:val="00DF60E2"/>
    <w:rsid w:val="00E0149C"/>
    <w:rsid w:val="00E1214D"/>
    <w:rsid w:val="00E21536"/>
    <w:rsid w:val="00E25718"/>
    <w:rsid w:val="00E25E41"/>
    <w:rsid w:val="00E26562"/>
    <w:rsid w:val="00E35BE0"/>
    <w:rsid w:val="00E42E13"/>
    <w:rsid w:val="00E4689B"/>
    <w:rsid w:val="00E57BB5"/>
    <w:rsid w:val="00E605F3"/>
    <w:rsid w:val="00E8025A"/>
    <w:rsid w:val="00E922E1"/>
    <w:rsid w:val="00EA1120"/>
    <w:rsid w:val="00EC1314"/>
    <w:rsid w:val="00ED009A"/>
    <w:rsid w:val="00EE55E7"/>
    <w:rsid w:val="00EF4231"/>
    <w:rsid w:val="00F06669"/>
    <w:rsid w:val="00F22A72"/>
    <w:rsid w:val="00F245C5"/>
    <w:rsid w:val="00F43D5D"/>
    <w:rsid w:val="00F51415"/>
    <w:rsid w:val="00F5332E"/>
    <w:rsid w:val="00F66D7E"/>
    <w:rsid w:val="00F712E7"/>
    <w:rsid w:val="00F7206B"/>
    <w:rsid w:val="00F80F51"/>
    <w:rsid w:val="00F81064"/>
    <w:rsid w:val="00F860B9"/>
    <w:rsid w:val="00F8622C"/>
    <w:rsid w:val="00F927FD"/>
    <w:rsid w:val="00F950A8"/>
    <w:rsid w:val="00F96619"/>
    <w:rsid w:val="00FA5D0E"/>
    <w:rsid w:val="00FB206D"/>
    <w:rsid w:val="00FC6276"/>
    <w:rsid w:val="00FC6ACB"/>
    <w:rsid w:val="00FD5E6A"/>
    <w:rsid w:val="00FF3B48"/>
    <w:rsid w:val="00FF5E88"/>
    <w:rsid w:val="010F15DB"/>
    <w:rsid w:val="010F7FF3"/>
    <w:rsid w:val="01203FAE"/>
    <w:rsid w:val="01973B44"/>
    <w:rsid w:val="02125AE5"/>
    <w:rsid w:val="022A340E"/>
    <w:rsid w:val="02CA62A2"/>
    <w:rsid w:val="033518DC"/>
    <w:rsid w:val="034229B5"/>
    <w:rsid w:val="045A5944"/>
    <w:rsid w:val="05341834"/>
    <w:rsid w:val="0534627A"/>
    <w:rsid w:val="05D21B3E"/>
    <w:rsid w:val="05ED07E5"/>
    <w:rsid w:val="06D849E3"/>
    <w:rsid w:val="06D870AD"/>
    <w:rsid w:val="074969A1"/>
    <w:rsid w:val="07D821A2"/>
    <w:rsid w:val="07FD3FB1"/>
    <w:rsid w:val="08A9449D"/>
    <w:rsid w:val="0BB1392D"/>
    <w:rsid w:val="0CB8757E"/>
    <w:rsid w:val="0CD3206C"/>
    <w:rsid w:val="0D762E4D"/>
    <w:rsid w:val="0E811F50"/>
    <w:rsid w:val="0E906868"/>
    <w:rsid w:val="0F7200CA"/>
    <w:rsid w:val="10C02CE5"/>
    <w:rsid w:val="12CC7B05"/>
    <w:rsid w:val="12D76D41"/>
    <w:rsid w:val="139B0CE8"/>
    <w:rsid w:val="14CA4EEE"/>
    <w:rsid w:val="168B2FD8"/>
    <w:rsid w:val="16F60BE0"/>
    <w:rsid w:val="178B7223"/>
    <w:rsid w:val="17FE655A"/>
    <w:rsid w:val="18421322"/>
    <w:rsid w:val="18610CDC"/>
    <w:rsid w:val="1B54381A"/>
    <w:rsid w:val="1BCC2910"/>
    <w:rsid w:val="1C997B4B"/>
    <w:rsid w:val="1D6923E1"/>
    <w:rsid w:val="1E4946EC"/>
    <w:rsid w:val="1E92075A"/>
    <w:rsid w:val="20A556BB"/>
    <w:rsid w:val="20F87800"/>
    <w:rsid w:val="228D293F"/>
    <w:rsid w:val="2649029F"/>
    <w:rsid w:val="26A61FB0"/>
    <w:rsid w:val="26E057A9"/>
    <w:rsid w:val="279B415B"/>
    <w:rsid w:val="288F719F"/>
    <w:rsid w:val="28B37BA6"/>
    <w:rsid w:val="28F84A17"/>
    <w:rsid w:val="29331990"/>
    <w:rsid w:val="2963534B"/>
    <w:rsid w:val="29923D4E"/>
    <w:rsid w:val="2A3A4989"/>
    <w:rsid w:val="2A5A09A1"/>
    <w:rsid w:val="2AF24829"/>
    <w:rsid w:val="2B484342"/>
    <w:rsid w:val="2D674805"/>
    <w:rsid w:val="2DCF5ABD"/>
    <w:rsid w:val="2E4834CF"/>
    <w:rsid w:val="2E8525A7"/>
    <w:rsid w:val="2ECB03BF"/>
    <w:rsid w:val="30470360"/>
    <w:rsid w:val="306C416A"/>
    <w:rsid w:val="31163885"/>
    <w:rsid w:val="311D5D13"/>
    <w:rsid w:val="314B4AA2"/>
    <w:rsid w:val="31863A2C"/>
    <w:rsid w:val="31A37635"/>
    <w:rsid w:val="31D418D1"/>
    <w:rsid w:val="32151D93"/>
    <w:rsid w:val="32503B79"/>
    <w:rsid w:val="34843550"/>
    <w:rsid w:val="349D399E"/>
    <w:rsid w:val="35523A2F"/>
    <w:rsid w:val="361D74EE"/>
    <w:rsid w:val="38862843"/>
    <w:rsid w:val="38AC2CF5"/>
    <w:rsid w:val="390E2362"/>
    <w:rsid w:val="398647D6"/>
    <w:rsid w:val="3A323E2F"/>
    <w:rsid w:val="3B19120E"/>
    <w:rsid w:val="3B6F511B"/>
    <w:rsid w:val="3D1F6E3A"/>
    <w:rsid w:val="3D3B5321"/>
    <w:rsid w:val="3D8A3F82"/>
    <w:rsid w:val="3E044BD4"/>
    <w:rsid w:val="3E75253C"/>
    <w:rsid w:val="3EC629AA"/>
    <w:rsid w:val="3EED47F1"/>
    <w:rsid w:val="3F233CB4"/>
    <w:rsid w:val="3F827606"/>
    <w:rsid w:val="4101455B"/>
    <w:rsid w:val="43727992"/>
    <w:rsid w:val="43F65ECD"/>
    <w:rsid w:val="44054362"/>
    <w:rsid w:val="44D02BC2"/>
    <w:rsid w:val="47037618"/>
    <w:rsid w:val="47C702AC"/>
    <w:rsid w:val="488C6E00"/>
    <w:rsid w:val="493F02BB"/>
    <w:rsid w:val="495C005F"/>
    <w:rsid w:val="49DE0D94"/>
    <w:rsid w:val="4A3E237C"/>
    <w:rsid w:val="4A9E2657"/>
    <w:rsid w:val="4CB47EB9"/>
    <w:rsid w:val="4CC01258"/>
    <w:rsid w:val="4D4E680E"/>
    <w:rsid w:val="4F085979"/>
    <w:rsid w:val="4F111DF0"/>
    <w:rsid w:val="50DC6D37"/>
    <w:rsid w:val="515F3303"/>
    <w:rsid w:val="51A76A58"/>
    <w:rsid w:val="51D82AE8"/>
    <w:rsid w:val="51EB6D32"/>
    <w:rsid w:val="525F4C27"/>
    <w:rsid w:val="52A511EA"/>
    <w:rsid w:val="52BE341B"/>
    <w:rsid w:val="53104095"/>
    <w:rsid w:val="537E4CD3"/>
    <w:rsid w:val="541B4981"/>
    <w:rsid w:val="54723C7D"/>
    <w:rsid w:val="54AF337F"/>
    <w:rsid w:val="54FF1A7A"/>
    <w:rsid w:val="55207A26"/>
    <w:rsid w:val="55833339"/>
    <w:rsid w:val="564451BE"/>
    <w:rsid w:val="56FA60FC"/>
    <w:rsid w:val="57C00874"/>
    <w:rsid w:val="588E2BFD"/>
    <w:rsid w:val="58A957AC"/>
    <w:rsid w:val="58C903E0"/>
    <w:rsid w:val="5B2F6B51"/>
    <w:rsid w:val="5C1F39F8"/>
    <w:rsid w:val="5D4F42C0"/>
    <w:rsid w:val="5E561F7F"/>
    <w:rsid w:val="5E766130"/>
    <w:rsid w:val="5F2133E5"/>
    <w:rsid w:val="5F277DC3"/>
    <w:rsid w:val="601D2D07"/>
    <w:rsid w:val="60CC366F"/>
    <w:rsid w:val="62741411"/>
    <w:rsid w:val="633640E0"/>
    <w:rsid w:val="63CF2E26"/>
    <w:rsid w:val="63D80CF3"/>
    <w:rsid w:val="63FD2BFC"/>
    <w:rsid w:val="64CB7B8C"/>
    <w:rsid w:val="658E3D60"/>
    <w:rsid w:val="65DB41EB"/>
    <w:rsid w:val="66604C22"/>
    <w:rsid w:val="66D83D92"/>
    <w:rsid w:val="67277FC8"/>
    <w:rsid w:val="682A627C"/>
    <w:rsid w:val="685D6838"/>
    <w:rsid w:val="687D4A7E"/>
    <w:rsid w:val="68EE41BB"/>
    <w:rsid w:val="690A194F"/>
    <w:rsid w:val="69280027"/>
    <w:rsid w:val="69F745C9"/>
    <w:rsid w:val="6CDA069F"/>
    <w:rsid w:val="6D5A0129"/>
    <w:rsid w:val="6DE217CF"/>
    <w:rsid w:val="6F2E0342"/>
    <w:rsid w:val="6F6F075E"/>
    <w:rsid w:val="701E3F32"/>
    <w:rsid w:val="703B4537"/>
    <w:rsid w:val="70FB23E1"/>
    <w:rsid w:val="71962829"/>
    <w:rsid w:val="719E7958"/>
    <w:rsid w:val="720F7FD6"/>
    <w:rsid w:val="72373677"/>
    <w:rsid w:val="72910844"/>
    <w:rsid w:val="744D70FD"/>
    <w:rsid w:val="74890D32"/>
    <w:rsid w:val="76A74C81"/>
    <w:rsid w:val="77B07B65"/>
    <w:rsid w:val="78F47F26"/>
    <w:rsid w:val="79BC7292"/>
    <w:rsid w:val="79C45B4A"/>
    <w:rsid w:val="79D632D0"/>
    <w:rsid w:val="7B9F3D95"/>
    <w:rsid w:val="7BE81A72"/>
    <w:rsid w:val="7D0F2E43"/>
    <w:rsid w:val="7D3B25C7"/>
    <w:rsid w:val="7DD577D2"/>
    <w:rsid w:val="7F887D4D"/>
    <w:rsid w:val="7F9D1317"/>
    <w:rsid w:val="7FAC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32"/>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34"/>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35"/>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9"/>
    <w:autoRedefine/>
    <w:unhideWhenUsed/>
    <w:qFormat/>
    <w:uiPriority w:val="0"/>
    <w:pPr>
      <w:keepNext/>
      <w:keepLines/>
      <w:spacing w:before="240" w:after="64" w:line="320" w:lineRule="auto"/>
      <w:outlineLvl w:val="5"/>
    </w:pPr>
    <w:rPr>
      <w:rFonts w:ascii="Cambria" w:hAnsi="Cambria"/>
      <w:b/>
      <w:bCs/>
    </w:rPr>
  </w:style>
  <w:style w:type="paragraph" w:styleId="8">
    <w:name w:val="heading 7"/>
    <w:basedOn w:val="1"/>
    <w:next w:val="1"/>
    <w:link w:val="36"/>
    <w:autoRedefine/>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37"/>
    <w:autoRedefine/>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38"/>
    <w:autoRedefine/>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next w:val="1"/>
    <w:autoRedefine/>
    <w:qFormat/>
    <w:uiPriority w:val="0"/>
    <w:pPr>
      <w:tabs>
        <w:tab w:val="left" w:pos="1155"/>
      </w:tabs>
      <w:spacing w:line="420" w:lineRule="exact"/>
    </w:pPr>
    <w:rPr>
      <w:rFonts w:ascii="宋体"/>
    </w:rPr>
  </w:style>
  <w:style w:type="paragraph" w:styleId="14">
    <w:name w:val="Body Text Indent"/>
    <w:basedOn w:val="1"/>
    <w:next w:val="1"/>
    <w:autoRedefine/>
    <w:qFormat/>
    <w:uiPriority w:val="0"/>
    <w:pPr>
      <w:spacing w:after="120"/>
      <w:ind w:left="420" w:leftChars="200"/>
    </w:pPr>
  </w:style>
  <w:style w:type="paragraph" w:styleId="15">
    <w:name w:val="Balloon Text"/>
    <w:basedOn w:val="1"/>
    <w:autoRedefine/>
    <w:semiHidden/>
    <w:qFormat/>
    <w:uiPriority w:val="0"/>
    <w:rPr>
      <w:sz w:val="18"/>
      <w:szCs w:val="18"/>
    </w:rPr>
  </w:style>
  <w:style w:type="paragraph" w:styleId="16">
    <w:name w:val="footer"/>
    <w:basedOn w:val="1"/>
    <w:link w:val="40"/>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autoRedefine/>
    <w:qFormat/>
    <w:uiPriority w:val="0"/>
    <w:pPr>
      <w:widowControl/>
      <w:spacing w:before="100" w:beforeAutospacing="1" w:after="100" w:afterAutospacing="1"/>
      <w:jc w:val="left"/>
    </w:pPr>
    <w:rPr>
      <w:rFonts w:ascii="宋体" w:hAnsi="宋体"/>
      <w:color w:val="000000"/>
      <w:kern w:val="0"/>
    </w:rPr>
  </w:style>
  <w:style w:type="paragraph" w:styleId="19">
    <w:name w:val="Title"/>
    <w:basedOn w:val="1"/>
    <w:autoRedefine/>
    <w:qFormat/>
    <w:uiPriority w:val="0"/>
    <w:pPr>
      <w:spacing w:before="240" w:after="60"/>
      <w:jc w:val="center"/>
      <w:outlineLvl w:val="0"/>
    </w:pPr>
    <w:rPr>
      <w:rFonts w:ascii="Arial" w:hAnsi="Arial" w:cs="Arial"/>
      <w:b/>
      <w:bCs/>
      <w:sz w:val="32"/>
      <w:szCs w:val="32"/>
    </w:rPr>
  </w:style>
  <w:style w:type="paragraph" w:styleId="20">
    <w:name w:val="Body Text First Indent"/>
    <w:basedOn w:val="13"/>
    <w:next w:val="1"/>
    <w:autoRedefine/>
    <w:qFormat/>
    <w:uiPriority w:val="0"/>
    <w:pPr>
      <w:tabs>
        <w:tab w:val="left" w:pos="567"/>
      </w:tabs>
      <w:ind w:firstLine="420" w:firstLineChars="100"/>
    </w:pPr>
    <w:rPr>
      <w:rFonts w:ascii="Calibri" w:hAnsi="Calibri"/>
    </w:rPr>
  </w:style>
  <w:style w:type="paragraph" w:styleId="21">
    <w:name w:val="Body Text First Indent 2"/>
    <w:basedOn w:val="14"/>
    <w:next w:val="1"/>
    <w:qFormat/>
    <w:uiPriority w:val="0"/>
    <w:pPr>
      <w:ind w:firstLine="420" w:firstLineChars="200"/>
    </w:pPr>
    <w:rPr>
      <w:sz w:val="21"/>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unhideWhenUsed/>
    <w:qFormat/>
    <w:uiPriority w:val="99"/>
  </w:style>
  <w:style w:type="character" w:styleId="26">
    <w:name w:val="Hyperlink"/>
    <w:basedOn w:val="24"/>
    <w:autoRedefine/>
    <w:qFormat/>
    <w:uiPriority w:val="0"/>
    <w:rPr>
      <w:color w:val="0563C1" w:themeColor="hyperlink"/>
      <w:u w:val="single"/>
      <w14:textFill>
        <w14:solidFill>
          <w14:schemeClr w14:val="hlink"/>
        </w14:solidFill>
      </w14:textFill>
    </w:rPr>
  </w:style>
  <w:style w:type="paragraph" w:customStyle="1" w:styleId="27">
    <w:name w:val="要点标题"/>
    <w:basedOn w:val="1"/>
    <w:autoRedefine/>
    <w:qFormat/>
    <w:uiPriority w:val="0"/>
    <w:pPr>
      <w:numPr>
        <w:ilvl w:val="0"/>
        <w:numId w:val="1"/>
      </w:numPr>
      <w:jc w:val="left"/>
    </w:pPr>
    <w:rPr>
      <w:rFonts w:ascii="宋体" w:hAnsi="宋体"/>
      <w:b/>
    </w:rPr>
  </w:style>
  <w:style w:type="paragraph" w:customStyle="1" w:styleId="28">
    <w:name w:val="样式 标题 6 + 黑色"/>
    <w:basedOn w:val="7"/>
    <w:autoRedefine/>
    <w:qFormat/>
    <w:uiPriority w:val="0"/>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29">
    <w:name w:val="Heading 6 Char"/>
    <w:link w:val="7"/>
    <w:autoRedefine/>
    <w:semiHidden/>
    <w:qFormat/>
    <w:uiPriority w:val="0"/>
    <w:rPr>
      <w:rFonts w:ascii="Cambria" w:hAnsi="Cambria" w:eastAsia="宋体" w:cs="Times New Roman"/>
      <w:b/>
      <w:bCs/>
      <w:kern w:val="2"/>
      <w:sz w:val="24"/>
      <w:szCs w:val="24"/>
    </w:rPr>
  </w:style>
  <w:style w:type="paragraph" w:styleId="30">
    <w:name w:val="List Paragraph"/>
    <w:basedOn w:val="1"/>
    <w:autoRedefine/>
    <w:qFormat/>
    <w:uiPriority w:val="34"/>
    <w:pPr>
      <w:ind w:firstLine="420" w:firstLineChars="200"/>
    </w:pPr>
    <w:rPr>
      <w:rFonts w:ascii="Calibri" w:hAnsi="Calibri"/>
      <w:sz w:val="21"/>
      <w:szCs w:val="22"/>
    </w:rPr>
  </w:style>
  <w:style w:type="character" w:customStyle="1" w:styleId="31">
    <w:name w:val="Heading 1 Char"/>
    <w:link w:val="2"/>
    <w:autoRedefine/>
    <w:qFormat/>
    <w:uiPriority w:val="0"/>
    <w:rPr>
      <w:b/>
      <w:bCs/>
      <w:kern w:val="44"/>
      <w:sz w:val="44"/>
      <w:szCs w:val="44"/>
    </w:rPr>
  </w:style>
  <w:style w:type="character" w:customStyle="1" w:styleId="32">
    <w:name w:val="Heading 2 Char"/>
    <w:link w:val="3"/>
    <w:autoRedefine/>
    <w:qFormat/>
    <w:uiPriority w:val="0"/>
    <w:rPr>
      <w:rFonts w:ascii="Arial" w:hAnsi="Arial" w:eastAsia="黑体"/>
      <w:b/>
      <w:bCs/>
      <w:sz w:val="32"/>
      <w:szCs w:val="32"/>
    </w:rPr>
  </w:style>
  <w:style w:type="character" w:customStyle="1" w:styleId="33">
    <w:name w:val="Heading 3 Char"/>
    <w:link w:val="4"/>
    <w:autoRedefine/>
    <w:qFormat/>
    <w:uiPriority w:val="0"/>
    <w:rPr>
      <w:b/>
      <w:bCs/>
      <w:sz w:val="32"/>
      <w:szCs w:val="32"/>
    </w:rPr>
  </w:style>
  <w:style w:type="character" w:customStyle="1" w:styleId="34">
    <w:name w:val="Heading 4 Char"/>
    <w:link w:val="5"/>
    <w:autoRedefine/>
    <w:qFormat/>
    <w:uiPriority w:val="0"/>
    <w:rPr>
      <w:rFonts w:ascii="Arial" w:hAnsi="Arial" w:eastAsia="黑体"/>
      <w:b/>
      <w:bCs/>
      <w:sz w:val="28"/>
      <w:szCs w:val="28"/>
    </w:rPr>
  </w:style>
  <w:style w:type="character" w:customStyle="1" w:styleId="35">
    <w:name w:val="Heading 5 Char"/>
    <w:link w:val="6"/>
    <w:autoRedefine/>
    <w:qFormat/>
    <w:uiPriority w:val="0"/>
    <w:rPr>
      <w:b/>
      <w:bCs/>
      <w:sz w:val="28"/>
      <w:szCs w:val="28"/>
    </w:rPr>
  </w:style>
  <w:style w:type="character" w:customStyle="1" w:styleId="36">
    <w:name w:val="Heading 7 Char"/>
    <w:link w:val="8"/>
    <w:autoRedefine/>
    <w:qFormat/>
    <w:uiPriority w:val="0"/>
    <w:rPr>
      <w:b/>
      <w:bCs/>
      <w:sz w:val="24"/>
      <w:szCs w:val="24"/>
    </w:rPr>
  </w:style>
  <w:style w:type="character" w:customStyle="1" w:styleId="37">
    <w:name w:val="Heading 8 Char"/>
    <w:link w:val="9"/>
    <w:autoRedefine/>
    <w:qFormat/>
    <w:uiPriority w:val="0"/>
    <w:rPr>
      <w:rFonts w:ascii="Arial" w:hAnsi="Arial" w:eastAsia="黑体"/>
      <w:sz w:val="24"/>
      <w:szCs w:val="24"/>
    </w:rPr>
  </w:style>
  <w:style w:type="character" w:customStyle="1" w:styleId="38">
    <w:name w:val="Heading 9 Char"/>
    <w:link w:val="10"/>
    <w:autoRedefine/>
    <w:qFormat/>
    <w:uiPriority w:val="0"/>
    <w:rPr>
      <w:rFonts w:ascii="Arial" w:hAnsi="Arial" w:eastAsia="黑体"/>
      <w:sz w:val="21"/>
      <w:szCs w:val="21"/>
    </w:rPr>
  </w:style>
  <w:style w:type="paragraph" w:customStyle="1" w:styleId="3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0">
    <w:name w:val="Footer Char"/>
    <w:basedOn w:val="24"/>
    <w:link w:val="16"/>
    <w:autoRedefine/>
    <w:qFormat/>
    <w:uiPriority w:val="99"/>
    <w:rPr>
      <w:kern w:val="2"/>
      <w:sz w:val="18"/>
      <w:szCs w:val="18"/>
    </w:rPr>
  </w:style>
  <w:style w:type="paragraph" w:customStyle="1" w:styleId="41">
    <w:name w:val="彩色列表 - 着色 11"/>
    <w:basedOn w:val="1"/>
    <w:autoRedefine/>
    <w:qFormat/>
    <w:uiPriority w:val="34"/>
    <w:pPr>
      <w:widowControl/>
      <w:ind w:firstLine="420" w:firstLineChars="200"/>
      <w:jc w:val="left"/>
    </w:pPr>
  </w:style>
  <w:style w:type="paragraph" w:customStyle="1" w:styleId="42">
    <w:name w:val="样式6"/>
    <w:basedOn w:val="1"/>
    <w:autoRedefine/>
    <w:qFormat/>
    <w:uiPriority w:val="0"/>
    <w:pPr>
      <w:spacing w:line="360" w:lineRule="auto"/>
      <w:ind w:firstLine="200" w:firstLineChars="200"/>
      <w:jc w:val="left"/>
    </w:pPr>
  </w:style>
  <w:style w:type="character" w:customStyle="1" w:styleId="43">
    <w:name w:val="font21"/>
    <w:basedOn w:val="24"/>
    <w:autoRedefine/>
    <w:qFormat/>
    <w:uiPriority w:val="0"/>
    <w:rPr>
      <w:rFonts w:hint="eastAsia" w:ascii="宋体" w:hAnsi="宋体" w:eastAsia="宋体" w:cs="宋体"/>
      <w:color w:val="000000"/>
      <w:sz w:val="18"/>
      <w:szCs w:val="18"/>
      <w:u w:val="none"/>
    </w:rPr>
  </w:style>
  <w:style w:type="character" w:customStyle="1" w:styleId="44">
    <w:name w:val="font31"/>
    <w:basedOn w:val="24"/>
    <w:autoRedefine/>
    <w:qFormat/>
    <w:uiPriority w:val="0"/>
    <w:rPr>
      <w:rFonts w:hint="eastAsia" w:ascii="宋体" w:hAnsi="宋体" w:eastAsia="宋体" w:cs="宋体"/>
      <w:color w:val="FF0000"/>
      <w:sz w:val="18"/>
      <w:szCs w:val="18"/>
      <w:u w:val="none"/>
    </w:rPr>
  </w:style>
  <w:style w:type="paragraph" w:customStyle="1" w:styleId="45">
    <w:name w:val="列出段落1"/>
    <w:basedOn w:val="1"/>
    <w:autoRedefine/>
    <w:qFormat/>
    <w:uiPriority w:val="34"/>
    <w:pPr>
      <w:ind w:firstLine="420" w:firstLineChars="200"/>
    </w:pPr>
    <w:rPr>
      <w:rFonts w:ascii="Calibri" w:hAnsi="Calibri"/>
      <w:szCs w:val="22"/>
    </w:rPr>
  </w:style>
  <w:style w:type="paragraph" w:customStyle="1" w:styleId="46">
    <w:name w:val="样式4"/>
    <w:basedOn w:val="1"/>
    <w:autoRedefine/>
    <w:qFormat/>
    <w:uiPriority w:val="0"/>
    <w:pPr>
      <w:spacing w:line="500" w:lineRule="exact"/>
      <w:jc w:val="left"/>
    </w:pPr>
    <w:rPr>
      <w:rFonts w:ascii="宋体" w:hAnsi="宋体"/>
      <w:b/>
      <w:bCs/>
      <w:color w:val="000000"/>
    </w:rPr>
  </w:style>
  <w:style w:type="paragraph" w:customStyle="1" w:styleId="47">
    <w:name w:val="样式5"/>
    <w:basedOn w:val="1"/>
    <w:autoRedefine/>
    <w:qFormat/>
    <w:uiPriority w:val="0"/>
    <w:pPr>
      <w:spacing w:line="360" w:lineRule="auto"/>
      <w:ind w:firstLine="200" w:firstLineChars="200"/>
      <w:jc w:val="left"/>
    </w:pPr>
  </w:style>
  <w:style w:type="paragraph" w:styleId="48">
    <w:name w:val="No Spacing"/>
    <w:autoRedefine/>
    <w:qFormat/>
    <w:uiPriority w:val="1"/>
    <w:rPr>
      <w:rFonts w:ascii="Times New Roman" w:hAnsi="Times New Roman" w:eastAsia="宋体" w:cs="Times New Roman"/>
      <w:sz w:val="22"/>
      <w:szCs w:val="22"/>
      <w:lang w:val="en-US" w:eastAsia="zh-CN" w:bidi="ar-SA"/>
    </w:rPr>
  </w:style>
  <w:style w:type="character" w:customStyle="1" w:styleId="49">
    <w:name w:val="font11"/>
    <w:basedOn w:val="24"/>
    <w:autoRedefine/>
    <w:qFormat/>
    <w:uiPriority w:val="0"/>
    <w:rPr>
      <w:rFonts w:hint="eastAsia" w:ascii="宋体" w:hAnsi="宋体" w:eastAsia="宋体" w:cs="宋体"/>
      <w:color w:val="000000"/>
      <w:sz w:val="18"/>
      <w:szCs w:val="18"/>
      <w:u w:val="none"/>
    </w:rPr>
  </w:style>
  <w:style w:type="character" w:customStyle="1" w:styleId="50">
    <w:name w:val="font41"/>
    <w:basedOn w:val="24"/>
    <w:autoRedefine/>
    <w:qFormat/>
    <w:uiPriority w:val="0"/>
    <w:rPr>
      <w:rFonts w:ascii="Verdana" w:hAnsi="Verdana" w:cs="Verdana"/>
      <w:color w:val="000000"/>
      <w:sz w:val="18"/>
      <w:szCs w:val="18"/>
      <w:u w:val="none"/>
    </w:rPr>
  </w:style>
  <w:style w:type="character" w:customStyle="1" w:styleId="51">
    <w:name w:val="font51"/>
    <w:basedOn w:val="24"/>
    <w:autoRedefine/>
    <w:qFormat/>
    <w:uiPriority w:val="0"/>
    <w:rPr>
      <w:rFonts w:hint="eastAsia" w:ascii="宋体" w:hAnsi="宋体" w:eastAsia="宋体" w:cs="宋体"/>
      <w:color w:val="FF0000"/>
      <w:sz w:val="18"/>
      <w:szCs w:val="18"/>
      <w:u w:val="none"/>
    </w:rPr>
  </w:style>
  <w:style w:type="character" w:customStyle="1" w:styleId="52">
    <w:name w:val="font61"/>
    <w:basedOn w:val="24"/>
    <w:autoRedefine/>
    <w:qFormat/>
    <w:uiPriority w:val="0"/>
    <w:rPr>
      <w:rFonts w:ascii="Calibri" w:hAnsi="Calibri" w:cs="Calibri"/>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E4E00-CFA0-4B7E-A962-4E584B9CC529}">
  <ds:schemaRefs/>
</ds:datastoreItem>
</file>

<file path=docProps/app.xml><?xml version="1.0" encoding="utf-8"?>
<Properties xmlns="http://schemas.openxmlformats.org/officeDocument/2006/extended-properties" xmlns:vt="http://schemas.openxmlformats.org/officeDocument/2006/docPropsVTypes">
  <Template>Normal</Template>
  <Pages>12</Pages>
  <Words>7894</Words>
  <Characters>8383</Characters>
  <Lines>13</Lines>
  <Paragraphs>19</Paragraphs>
  <TotalTime>5</TotalTime>
  <ScaleCrop>false</ScaleCrop>
  <LinksUpToDate>false</LinksUpToDate>
  <CharactersWithSpaces>8920</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2025-05-27T01:26:00Z</dcterms:created>
  <dc:creator>zz</dc:creator>
  <cp:lastModifiedBy>张捷</cp:lastModifiedBy>
  <cp:lastPrinted>2025-05-26T01:15:00Z</cp:lastPrinted>
  <dcterms:modified xsi:type="dcterms:W3CDTF">2025-05-28T08:08:34Z</dcterms:modified>
  <dc:title>单一品牌训练器材询价文件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2B6EA1D698524B9282FBFE5C9C0166B6_13</vt:lpwstr>
  </property>
  <property fmtid="{D5CDD505-2E9C-101B-9397-08002B2CF9AE}" pid="4" name="KSOTemplateDocerSaveRecord">
    <vt:lpwstr>eyJoZGlkIjoiOTlhMDVjOWI3ZTc4YTcwMzJhYjJmZjBhNGQwYTIyZDQiLCJ1c2VySWQiOiIzMjIzNjMzODUifQ==</vt:lpwstr>
  </property>
</Properties>
</file>