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AAB7D">
      <w:pPr>
        <w:shd w:val="clear"/>
        <w:adjustRightInd/>
        <w:spacing w:line="360" w:lineRule="auto"/>
        <w:jc w:val="both"/>
        <w:rPr>
          <w:rFonts w:hint="eastAsia" w:ascii="宋体" w:hAnsi="宋体" w:eastAsia="宋体" w:cs="宋体"/>
          <w:b/>
          <w:color w:val="auto"/>
          <w:sz w:val="48"/>
          <w:szCs w:val="48"/>
          <w:highlight w:val="none"/>
        </w:rPr>
      </w:pPr>
    </w:p>
    <w:p w14:paraId="65D347B0">
      <w:pPr>
        <w:shd w:val="clear"/>
        <w:adjustRightInd/>
        <w:spacing w:line="24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嵊州市应急消防管理站提质升级装备采购项目</w:t>
      </w:r>
    </w:p>
    <w:p w14:paraId="6E7CA431">
      <w:pPr>
        <w:pStyle w:val="5"/>
        <w:shd w:val="clear"/>
        <w:rPr>
          <w:rFonts w:hint="eastAsia"/>
          <w:color w:val="auto"/>
          <w:highlight w:val="none"/>
          <w:lang w:eastAsia="zh-CN"/>
        </w:rPr>
      </w:pPr>
    </w:p>
    <w:p w14:paraId="20020EF1">
      <w:pPr>
        <w:shd w:val="clear"/>
        <w:jc w:val="center"/>
        <w:outlineLvl w:val="0"/>
        <w:rPr>
          <w:rFonts w:hint="eastAsia" w:ascii="宋体" w:hAnsi="宋体" w:eastAsia="宋体" w:cs="宋体"/>
          <w:b/>
          <w:color w:val="auto"/>
          <w:sz w:val="72"/>
          <w:szCs w:val="72"/>
          <w:highlight w:val="none"/>
          <w:lang w:eastAsia="zh-CN"/>
        </w:rPr>
      </w:pPr>
      <w:r>
        <w:rPr>
          <w:rFonts w:hint="eastAsia" w:ascii="宋体" w:hAnsi="宋体" w:eastAsia="宋体" w:cs="宋体"/>
          <w:b/>
          <w:color w:val="auto"/>
          <w:sz w:val="28"/>
          <w:szCs w:val="28"/>
          <w:highlight w:val="none"/>
        </w:rPr>
        <w:t>招标编号:</w:t>
      </w:r>
      <w:r>
        <w:rPr>
          <w:rFonts w:hint="eastAsia" w:ascii="宋体" w:hAnsi="宋体" w:cs="宋体"/>
          <w:b/>
          <w:color w:val="auto"/>
          <w:sz w:val="28"/>
          <w:szCs w:val="28"/>
          <w:highlight w:val="none"/>
          <w:lang w:eastAsia="zh-CN"/>
        </w:rPr>
        <w:t>GTSZ-25-057</w:t>
      </w:r>
    </w:p>
    <w:p w14:paraId="4609C1BC">
      <w:pPr>
        <w:shd w:val="clear"/>
        <w:jc w:val="center"/>
        <w:outlineLvl w:val="0"/>
        <w:rPr>
          <w:rFonts w:hint="eastAsia" w:ascii="宋体" w:hAnsi="宋体" w:eastAsia="宋体" w:cs="宋体"/>
          <w:b/>
          <w:color w:val="auto"/>
          <w:sz w:val="72"/>
          <w:szCs w:val="72"/>
          <w:highlight w:val="none"/>
        </w:rPr>
      </w:pPr>
    </w:p>
    <w:p w14:paraId="0B657F40">
      <w:pPr>
        <w:shd w:val="clear"/>
        <w:jc w:val="center"/>
        <w:outlineLvl w:val="0"/>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w:t>
      </w:r>
    </w:p>
    <w:p w14:paraId="1AF78281">
      <w:pPr>
        <w:shd w:val="clear"/>
        <w:jc w:val="center"/>
        <w:outlineLvl w:val="0"/>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开</w:t>
      </w:r>
    </w:p>
    <w:p w14:paraId="6347992B">
      <w:pPr>
        <w:shd w:val="clear"/>
        <w:jc w:val="center"/>
        <w:outlineLvl w:val="0"/>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w:t>
      </w:r>
    </w:p>
    <w:p w14:paraId="0E5B8EB2">
      <w:pPr>
        <w:shd w:val="clear"/>
        <w:jc w:val="center"/>
        <w:outlineLvl w:val="0"/>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标</w:t>
      </w:r>
    </w:p>
    <w:p w14:paraId="3FF2729F">
      <w:pPr>
        <w:shd w:val="clear"/>
        <w:jc w:val="center"/>
        <w:outlineLvl w:val="0"/>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文</w:t>
      </w:r>
    </w:p>
    <w:p w14:paraId="6ED1EA1B">
      <w:pPr>
        <w:shd w:val="clear"/>
        <w:jc w:val="center"/>
        <w:outlineLvl w:val="0"/>
        <w:rPr>
          <w:rFonts w:hint="eastAsia" w:ascii="宋体" w:hAnsi="宋体" w:eastAsia="宋体" w:cs="宋体"/>
          <w:color w:val="auto"/>
          <w:sz w:val="44"/>
          <w:highlight w:val="none"/>
        </w:rPr>
      </w:pPr>
      <w:r>
        <w:rPr>
          <w:rFonts w:hint="eastAsia" w:ascii="宋体" w:hAnsi="宋体" w:eastAsia="宋体" w:cs="宋体"/>
          <w:b/>
          <w:color w:val="auto"/>
          <w:sz w:val="72"/>
          <w:szCs w:val="72"/>
          <w:highlight w:val="none"/>
        </w:rPr>
        <w:t>件</w:t>
      </w:r>
    </w:p>
    <w:p w14:paraId="5B8F41A1">
      <w:pPr>
        <w:shd w:val="clea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3A5E0746">
      <w:pPr>
        <w:shd w:val="clear"/>
        <w:spacing w:line="360" w:lineRule="auto"/>
        <w:jc w:val="both"/>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0DA334D1">
      <w:pPr>
        <w:shd w:val="clear"/>
        <w:jc w:val="center"/>
        <w:rPr>
          <w:rFonts w:hint="eastAsia" w:ascii="宋体" w:hAnsi="宋体" w:eastAsia="宋体" w:cs="宋体"/>
          <w:b/>
          <w:color w:val="auto"/>
          <w:sz w:val="28"/>
          <w:szCs w:val="28"/>
          <w:highlight w:val="none"/>
        </w:rPr>
      </w:pPr>
    </w:p>
    <w:tbl>
      <w:tblPr>
        <w:tblStyle w:val="64"/>
        <w:tblW w:w="7801" w:type="dxa"/>
        <w:jc w:val="center"/>
        <w:tblLayout w:type="fixed"/>
        <w:tblCellMar>
          <w:top w:w="0" w:type="dxa"/>
          <w:left w:w="108" w:type="dxa"/>
          <w:bottom w:w="0" w:type="dxa"/>
          <w:right w:w="108" w:type="dxa"/>
        </w:tblCellMar>
      </w:tblPr>
      <w:tblGrid>
        <w:gridCol w:w="2356"/>
        <w:gridCol w:w="5445"/>
      </w:tblGrid>
      <w:tr w14:paraId="64A017D2">
        <w:tblPrEx>
          <w:tblCellMar>
            <w:top w:w="0" w:type="dxa"/>
            <w:left w:w="108" w:type="dxa"/>
            <w:bottom w:w="0" w:type="dxa"/>
            <w:right w:w="108" w:type="dxa"/>
          </w:tblCellMar>
        </w:tblPrEx>
        <w:trPr>
          <w:trHeight w:val="443" w:hRule="atLeast"/>
          <w:jc w:val="center"/>
        </w:trPr>
        <w:tc>
          <w:tcPr>
            <w:tcW w:w="2356" w:type="dxa"/>
          </w:tcPr>
          <w:p w14:paraId="50674772">
            <w:pPr>
              <w:shd w:val="clear"/>
              <w:spacing w:after="100" w:afterAutospacing="1" w:line="440" w:lineRule="exact"/>
              <w:rPr>
                <w:rFonts w:hint="eastAsia" w:ascii="宋体" w:hAnsi="宋体" w:eastAsia="宋体" w:cs="宋体"/>
                <w:color w:val="auto"/>
                <w:sz w:val="28"/>
                <w:szCs w:val="28"/>
                <w:highlight w:val="none"/>
              </w:rPr>
            </w:pPr>
            <w:r>
              <w:rPr>
                <w:rFonts w:hint="eastAsia" w:ascii="宋体" w:hAnsi="宋体" w:eastAsia="宋体" w:cs="宋体"/>
                <w:color w:val="auto"/>
                <w:spacing w:val="93"/>
                <w:kern w:val="0"/>
                <w:sz w:val="28"/>
                <w:szCs w:val="28"/>
                <w:highlight w:val="none"/>
              </w:rPr>
              <w:t>采购单</w:t>
            </w:r>
            <w:r>
              <w:rPr>
                <w:rFonts w:hint="eastAsia" w:ascii="宋体" w:hAnsi="宋体" w:eastAsia="宋体" w:cs="宋体"/>
                <w:color w:val="auto"/>
                <w:spacing w:val="1"/>
                <w:kern w:val="0"/>
                <w:sz w:val="28"/>
                <w:szCs w:val="28"/>
                <w:highlight w:val="none"/>
              </w:rPr>
              <w:t>位</w:t>
            </w:r>
            <w:r>
              <w:rPr>
                <w:rFonts w:hint="eastAsia" w:ascii="宋体" w:hAnsi="宋体" w:eastAsia="宋体" w:cs="宋体"/>
                <w:color w:val="auto"/>
                <w:sz w:val="28"/>
                <w:szCs w:val="28"/>
                <w:highlight w:val="none"/>
              </w:rPr>
              <w:t>：</w:t>
            </w:r>
          </w:p>
        </w:tc>
        <w:tc>
          <w:tcPr>
            <w:tcW w:w="5445" w:type="dxa"/>
            <w:vAlign w:val="center"/>
          </w:tcPr>
          <w:p w14:paraId="5EB64605">
            <w:pPr>
              <w:shd w:val="clear"/>
              <w:spacing w:line="320" w:lineRule="exact"/>
              <w:outlineLvl w:val="0"/>
              <w:rPr>
                <w:rFonts w:hint="eastAsia" w:ascii="宋体" w:hAnsi="宋体" w:eastAsia="宋体" w:cs="宋体"/>
                <w:color w:val="auto"/>
                <w:sz w:val="28"/>
                <w:szCs w:val="28"/>
                <w:highlight w:val="none"/>
              </w:rPr>
            </w:pPr>
            <w:r>
              <w:rPr>
                <w:rFonts w:hint="eastAsia" w:ascii="宋体" w:hAnsi="宋体" w:cs="宋体"/>
                <w:color w:val="auto"/>
                <w:spacing w:val="1"/>
                <w:kern w:val="0"/>
                <w:sz w:val="28"/>
                <w:szCs w:val="28"/>
                <w:highlight w:val="none"/>
                <w:lang w:eastAsia="zh-CN"/>
              </w:rPr>
              <w:t>嵊州市应急管理局</w:t>
            </w:r>
          </w:p>
        </w:tc>
      </w:tr>
      <w:tr w14:paraId="74F8186F">
        <w:tblPrEx>
          <w:tblCellMar>
            <w:top w:w="0" w:type="dxa"/>
            <w:left w:w="108" w:type="dxa"/>
            <w:bottom w:w="0" w:type="dxa"/>
            <w:right w:w="108" w:type="dxa"/>
          </w:tblCellMar>
        </w:tblPrEx>
        <w:trPr>
          <w:trHeight w:val="494" w:hRule="atLeast"/>
          <w:jc w:val="center"/>
        </w:trPr>
        <w:tc>
          <w:tcPr>
            <w:tcW w:w="2356" w:type="dxa"/>
          </w:tcPr>
          <w:p w14:paraId="52C69386">
            <w:pPr>
              <w:shd w:val="clear"/>
              <w:spacing w:after="100" w:afterAutospacing="1" w:line="440" w:lineRule="exact"/>
              <w:rPr>
                <w:rFonts w:hint="eastAsia" w:ascii="宋体" w:hAnsi="宋体" w:eastAsia="宋体" w:cs="宋体"/>
                <w:color w:val="auto"/>
                <w:sz w:val="28"/>
                <w:szCs w:val="28"/>
                <w:highlight w:val="none"/>
              </w:rPr>
            </w:pPr>
            <w:r>
              <w:rPr>
                <w:rFonts w:hint="eastAsia" w:ascii="宋体" w:hAnsi="宋体" w:eastAsia="宋体" w:cs="宋体"/>
                <w:color w:val="auto"/>
                <w:spacing w:val="0"/>
                <w:w w:val="100"/>
                <w:kern w:val="0"/>
                <w:sz w:val="28"/>
                <w:szCs w:val="28"/>
                <w:highlight w:val="none"/>
                <w:fitText w:val="1680" w:id="190345957"/>
              </w:rPr>
              <w:t>采购代理机构</w:t>
            </w:r>
            <w:r>
              <w:rPr>
                <w:rFonts w:hint="eastAsia" w:ascii="宋体" w:hAnsi="宋体" w:eastAsia="宋体" w:cs="宋体"/>
                <w:color w:val="auto"/>
                <w:sz w:val="28"/>
                <w:szCs w:val="28"/>
                <w:highlight w:val="none"/>
              </w:rPr>
              <w:t>：</w:t>
            </w:r>
          </w:p>
        </w:tc>
        <w:tc>
          <w:tcPr>
            <w:tcW w:w="5445" w:type="dxa"/>
          </w:tcPr>
          <w:p w14:paraId="76C77CC6">
            <w:pPr>
              <w:shd w:val="clear"/>
              <w:spacing w:after="100" w:afterAutospacing="1" w:line="440" w:lineRule="exact"/>
              <w:rPr>
                <w:rFonts w:hint="eastAsia" w:ascii="宋体" w:hAnsi="宋体" w:eastAsia="宋体" w:cs="宋体"/>
                <w:color w:val="auto"/>
                <w:sz w:val="28"/>
                <w:szCs w:val="28"/>
                <w:highlight w:val="none"/>
              </w:rPr>
            </w:pPr>
            <w:r>
              <w:rPr>
                <w:rFonts w:hint="eastAsia" w:ascii="宋体" w:hAnsi="宋体" w:eastAsia="宋体" w:cs="宋体"/>
                <w:color w:val="auto"/>
                <w:spacing w:val="1"/>
                <w:kern w:val="0"/>
                <w:sz w:val="28"/>
                <w:szCs w:val="28"/>
                <w:highlight w:val="none"/>
                <w:lang w:eastAsia="zh-CN"/>
              </w:rPr>
              <w:t>浙江广通工程咨询有限公司</w:t>
            </w:r>
          </w:p>
        </w:tc>
      </w:tr>
      <w:tr w14:paraId="06D39382">
        <w:tblPrEx>
          <w:tblCellMar>
            <w:top w:w="0" w:type="dxa"/>
            <w:left w:w="108" w:type="dxa"/>
            <w:bottom w:w="0" w:type="dxa"/>
            <w:right w:w="108" w:type="dxa"/>
          </w:tblCellMar>
        </w:tblPrEx>
        <w:trPr>
          <w:trHeight w:val="397" w:hRule="atLeast"/>
          <w:jc w:val="center"/>
        </w:trPr>
        <w:tc>
          <w:tcPr>
            <w:tcW w:w="2356" w:type="dxa"/>
            <w:vAlign w:val="center"/>
          </w:tcPr>
          <w:p w14:paraId="63FD802F">
            <w:pPr>
              <w:shd w:val="clear"/>
              <w:spacing w:after="100" w:afterAutospacing="1" w:line="440" w:lineRule="exact"/>
              <w:rPr>
                <w:rFonts w:hint="eastAsia" w:ascii="宋体" w:hAnsi="宋体" w:eastAsia="宋体" w:cs="宋体"/>
                <w:color w:val="auto"/>
                <w:sz w:val="28"/>
                <w:szCs w:val="28"/>
                <w:highlight w:val="none"/>
              </w:rPr>
            </w:pPr>
            <w:r>
              <w:rPr>
                <w:rFonts w:hint="eastAsia" w:ascii="宋体" w:hAnsi="宋体" w:eastAsia="宋体" w:cs="宋体"/>
                <w:color w:val="auto"/>
                <w:spacing w:val="93"/>
                <w:kern w:val="0"/>
                <w:sz w:val="28"/>
                <w:szCs w:val="28"/>
                <w:highlight w:val="none"/>
                <w:fitText w:val="1680" w:id="1"/>
              </w:rPr>
              <w:t>监督单</w:t>
            </w:r>
            <w:r>
              <w:rPr>
                <w:rFonts w:hint="eastAsia" w:ascii="宋体" w:hAnsi="宋体" w:eastAsia="宋体" w:cs="宋体"/>
                <w:color w:val="auto"/>
                <w:spacing w:val="1"/>
                <w:kern w:val="0"/>
                <w:sz w:val="28"/>
                <w:szCs w:val="28"/>
                <w:highlight w:val="none"/>
                <w:fitText w:val="1680" w:id="1"/>
              </w:rPr>
              <w:t>位</w:t>
            </w:r>
            <w:r>
              <w:rPr>
                <w:rFonts w:hint="eastAsia" w:ascii="宋体" w:hAnsi="宋体" w:eastAsia="宋体" w:cs="宋体"/>
                <w:color w:val="auto"/>
                <w:sz w:val="28"/>
                <w:szCs w:val="28"/>
                <w:highlight w:val="none"/>
              </w:rPr>
              <w:t>：</w:t>
            </w:r>
          </w:p>
        </w:tc>
        <w:tc>
          <w:tcPr>
            <w:tcW w:w="5445" w:type="dxa"/>
          </w:tcPr>
          <w:p w14:paraId="73C53157">
            <w:pPr>
              <w:shd w:val="clear"/>
              <w:spacing w:after="100" w:afterAutospacing="1" w:line="440" w:lineRule="exact"/>
              <w:rPr>
                <w:rFonts w:hint="eastAsia" w:ascii="宋体" w:hAnsi="宋体" w:eastAsia="宋体" w:cs="宋体"/>
                <w:color w:val="auto"/>
                <w:sz w:val="28"/>
                <w:szCs w:val="28"/>
                <w:highlight w:val="none"/>
              </w:rPr>
            </w:pPr>
            <w:r>
              <w:rPr>
                <w:rFonts w:hint="eastAsia" w:ascii="宋体" w:hAnsi="宋体" w:eastAsia="宋体" w:cs="宋体"/>
                <w:color w:val="auto"/>
                <w:spacing w:val="1"/>
                <w:kern w:val="0"/>
                <w:sz w:val="28"/>
                <w:szCs w:val="28"/>
                <w:highlight w:val="none"/>
                <w:lang w:val="en-US" w:eastAsia="zh-CN"/>
              </w:rPr>
              <w:t>嵊州市采购监管</w:t>
            </w:r>
          </w:p>
        </w:tc>
      </w:tr>
      <w:tr w14:paraId="5853CA7F">
        <w:tblPrEx>
          <w:tblCellMar>
            <w:top w:w="0" w:type="dxa"/>
            <w:left w:w="108" w:type="dxa"/>
            <w:bottom w:w="0" w:type="dxa"/>
            <w:right w:w="108" w:type="dxa"/>
          </w:tblCellMar>
        </w:tblPrEx>
        <w:trPr>
          <w:trHeight w:val="333" w:hRule="atLeast"/>
          <w:jc w:val="center"/>
        </w:trPr>
        <w:tc>
          <w:tcPr>
            <w:tcW w:w="7801" w:type="dxa"/>
            <w:gridSpan w:val="2"/>
          </w:tcPr>
          <w:p w14:paraId="3947B617">
            <w:pPr>
              <w:shd w:val="clear"/>
              <w:spacing w:after="100" w:afterAutospacing="1" w:line="440" w:lineRule="exact"/>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二〇二五</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月</w:t>
            </w:r>
          </w:p>
        </w:tc>
      </w:tr>
    </w:tbl>
    <w:p w14:paraId="2DAF48A2">
      <w:pPr>
        <w:pStyle w:val="637"/>
        <w:shd w:val="clear"/>
        <w:rPr>
          <w:rFonts w:hint="eastAsia" w:ascii="宋体" w:hAnsi="宋体" w:eastAsia="宋体" w:cs="宋体"/>
          <w:color w:val="auto"/>
          <w:highlight w:val="none"/>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35932C62">
      <w:pPr>
        <w:pStyle w:val="637"/>
        <w:pageBreakBefore w:val="0"/>
        <w:widowControl w:val="0"/>
        <w:shd w:val="clear"/>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color w:val="auto"/>
          <w:highlight w:val="none"/>
        </w:rPr>
      </w:pPr>
    </w:p>
    <w:p w14:paraId="442B6D76">
      <w:pPr>
        <w:pageBreakBefore w:val="0"/>
        <w:widowControl w:val="0"/>
        <w:shd w:val="clear"/>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color w:val="auto"/>
          <w:sz w:val="44"/>
          <w:szCs w:val="44"/>
          <w:highlight w:val="none"/>
        </w:rPr>
      </w:pPr>
      <w:bookmarkStart w:id="0" w:name="_Hlt91233176"/>
      <w:bookmarkEnd w:id="0"/>
      <w:bookmarkStart w:id="1" w:name="_Toc91899869"/>
      <w:r>
        <w:rPr>
          <w:rFonts w:hint="eastAsia" w:ascii="宋体" w:hAnsi="宋体" w:eastAsia="宋体" w:cs="宋体"/>
          <w:b/>
          <w:color w:val="auto"/>
          <w:sz w:val="44"/>
          <w:szCs w:val="44"/>
          <w:highlight w:val="none"/>
        </w:rPr>
        <w:t>目录</w:t>
      </w:r>
    </w:p>
    <w:p w14:paraId="5F839513">
      <w:pPr>
        <w:pageBreakBefore w:val="0"/>
        <w:widowControl w:val="0"/>
        <w:shd w:val="clear"/>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color w:val="auto"/>
          <w:sz w:val="44"/>
          <w:szCs w:val="44"/>
          <w:highlight w:val="none"/>
        </w:rPr>
      </w:pPr>
    </w:p>
    <w:p w14:paraId="68A00B16">
      <w:pPr>
        <w:pageBreakBefore w:val="0"/>
        <w:widowControl w:val="0"/>
        <w:shd w:val="clear"/>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highlight w:val="none"/>
        </w:rPr>
      </w:pPr>
    </w:p>
    <w:p w14:paraId="3F6F32D9">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第一部分    招标公告</w:t>
      </w:r>
    </w:p>
    <w:p w14:paraId="66DC73C8">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第二部分   </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投标须知</w:t>
      </w:r>
    </w:p>
    <w:p w14:paraId="1DB94EE8">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招标项目范围及要求</w:t>
      </w:r>
    </w:p>
    <w:p w14:paraId="73A28031">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合同的主要条款</w:t>
      </w:r>
    </w:p>
    <w:p w14:paraId="5FEF5ED6">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评标方法及标准</w:t>
      </w:r>
    </w:p>
    <w:p w14:paraId="3EA90402">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    投标文件及其附件格式</w:t>
      </w:r>
    </w:p>
    <w:p w14:paraId="3D4A1E2F">
      <w:pPr>
        <w:shd w:val="clear"/>
        <w:spacing w:line="360" w:lineRule="auto"/>
        <w:ind w:firstLine="549" w:firstLineChars="229"/>
        <w:rPr>
          <w:rFonts w:hint="eastAsia" w:ascii="宋体" w:hAnsi="宋体" w:eastAsia="宋体" w:cs="宋体"/>
          <w:color w:val="auto"/>
          <w:sz w:val="24"/>
          <w:highlight w:val="none"/>
        </w:rPr>
      </w:pPr>
    </w:p>
    <w:p w14:paraId="0C669D28">
      <w:pPr>
        <w:shd w:val="clear"/>
        <w:spacing w:line="360" w:lineRule="auto"/>
        <w:ind w:firstLine="549" w:firstLineChars="229"/>
        <w:rPr>
          <w:rFonts w:hint="eastAsia" w:ascii="宋体" w:hAnsi="宋体" w:eastAsia="宋体" w:cs="宋体"/>
          <w:color w:val="auto"/>
          <w:sz w:val="24"/>
          <w:highlight w:val="none"/>
        </w:rPr>
      </w:pPr>
    </w:p>
    <w:p w14:paraId="43C8959E">
      <w:pPr>
        <w:shd w:val="clear"/>
        <w:spacing w:line="360" w:lineRule="auto"/>
        <w:ind w:firstLine="549" w:firstLineChars="229"/>
        <w:rPr>
          <w:rFonts w:hint="eastAsia" w:ascii="宋体" w:hAnsi="宋体" w:eastAsia="宋体" w:cs="宋体"/>
          <w:color w:val="auto"/>
          <w:sz w:val="24"/>
          <w:highlight w:val="none"/>
        </w:rPr>
      </w:pPr>
    </w:p>
    <w:p w14:paraId="4F216984">
      <w:pPr>
        <w:shd w:val="clear"/>
        <w:spacing w:line="360" w:lineRule="auto"/>
        <w:ind w:firstLine="549" w:firstLineChars="229"/>
        <w:rPr>
          <w:rFonts w:hint="eastAsia" w:ascii="宋体" w:hAnsi="宋体" w:eastAsia="宋体" w:cs="宋体"/>
          <w:color w:val="auto"/>
          <w:sz w:val="24"/>
          <w:highlight w:val="none"/>
        </w:rPr>
      </w:pPr>
    </w:p>
    <w:p w14:paraId="78D3156E">
      <w:pPr>
        <w:shd w:val="clear"/>
        <w:spacing w:line="360" w:lineRule="auto"/>
        <w:ind w:firstLine="549" w:firstLineChars="229"/>
        <w:rPr>
          <w:rFonts w:hint="eastAsia" w:ascii="宋体" w:hAnsi="宋体" w:eastAsia="宋体" w:cs="宋体"/>
          <w:color w:val="auto"/>
          <w:sz w:val="24"/>
          <w:highlight w:val="none"/>
        </w:rPr>
      </w:pPr>
    </w:p>
    <w:p w14:paraId="38405EF9">
      <w:pPr>
        <w:shd w:val="clear"/>
        <w:spacing w:line="360" w:lineRule="auto"/>
        <w:ind w:firstLine="549" w:firstLineChars="229"/>
        <w:rPr>
          <w:rFonts w:hint="eastAsia" w:ascii="宋体" w:hAnsi="宋体" w:eastAsia="宋体" w:cs="宋体"/>
          <w:color w:val="auto"/>
          <w:sz w:val="24"/>
          <w:highlight w:val="none"/>
        </w:rPr>
      </w:pPr>
    </w:p>
    <w:p w14:paraId="34BCA7F2">
      <w:pPr>
        <w:shd w:val="clear"/>
        <w:spacing w:line="360" w:lineRule="auto"/>
        <w:ind w:firstLine="549" w:firstLineChars="229"/>
        <w:rPr>
          <w:rFonts w:hint="eastAsia" w:ascii="宋体" w:hAnsi="宋体" w:eastAsia="宋体" w:cs="宋体"/>
          <w:color w:val="auto"/>
          <w:sz w:val="24"/>
          <w:highlight w:val="none"/>
        </w:rPr>
      </w:pPr>
    </w:p>
    <w:p w14:paraId="5028C031">
      <w:pPr>
        <w:shd w:val="clear"/>
        <w:spacing w:line="360" w:lineRule="auto"/>
        <w:ind w:firstLine="549" w:firstLineChars="229"/>
        <w:rPr>
          <w:rFonts w:hint="eastAsia" w:ascii="宋体" w:hAnsi="宋体" w:eastAsia="宋体" w:cs="宋体"/>
          <w:color w:val="auto"/>
          <w:sz w:val="24"/>
          <w:highlight w:val="none"/>
        </w:rPr>
      </w:pPr>
    </w:p>
    <w:p w14:paraId="7B1F9E34">
      <w:pPr>
        <w:shd w:val="clear"/>
        <w:spacing w:line="360" w:lineRule="auto"/>
        <w:ind w:firstLine="549" w:firstLineChars="229"/>
        <w:rPr>
          <w:rFonts w:hint="eastAsia" w:ascii="宋体" w:hAnsi="宋体" w:eastAsia="宋体" w:cs="宋体"/>
          <w:color w:val="auto"/>
          <w:sz w:val="24"/>
          <w:highlight w:val="none"/>
        </w:rPr>
      </w:pPr>
    </w:p>
    <w:p w14:paraId="50957859">
      <w:pPr>
        <w:shd w:val="clear"/>
        <w:spacing w:line="360" w:lineRule="auto"/>
        <w:ind w:firstLine="549" w:firstLineChars="229"/>
        <w:rPr>
          <w:rFonts w:hint="eastAsia" w:ascii="宋体" w:hAnsi="宋体" w:eastAsia="宋体" w:cs="宋体"/>
          <w:color w:val="auto"/>
          <w:sz w:val="24"/>
          <w:highlight w:val="none"/>
        </w:rPr>
      </w:pPr>
    </w:p>
    <w:p w14:paraId="17B71E88">
      <w:pPr>
        <w:shd w:val="clear"/>
        <w:spacing w:line="360" w:lineRule="auto"/>
        <w:ind w:firstLine="549" w:firstLineChars="229"/>
        <w:rPr>
          <w:rFonts w:hint="eastAsia" w:ascii="宋体" w:hAnsi="宋体" w:eastAsia="宋体" w:cs="宋体"/>
          <w:color w:val="auto"/>
          <w:sz w:val="24"/>
          <w:highlight w:val="none"/>
        </w:rPr>
      </w:pPr>
    </w:p>
    <w:p w14:paraId="3CECBB50">
      <w:pPr>
        <w:shd w:val="clear"/>
        <w:spacing w:line="360" w:lineRule="auto"/>
        <w:rPr>
          <w:rFonts w:hint="eastAsia" w:ascii="宋体" w:hAnsi="宋体" w:eastAsia="宋体" w:cs="宋体"/>
          <w:color w:val="auto"/>
          <w:sz w:val="24"/>
          <w:highlight w:val="none"/>
        </w:rPr>
      </w:pPr>
    </w:p>
    <w:bookmarkEnd w:id="1"/>
    <w:p w14:paraId="2B949A92">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highlight w:val="none"/>
        </w:rPr>
      </w:pPr>
      <w:bookmarkStart w:id="2" w:name="第二部分"/>
      <w:bookmarkStart w:id="3" w:name="_Toc91899870"/>
      <w:bookmarkStart w:id="4" w:name="_Toc91899871"/>
    </w:p>
    <w:p w14:paraId="149B7F2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highlight w:val="none"/>
        </w:rPr>
      </w:pPr>
    </w:p>
    <w:p w14:paraId="1FCE2555">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highlight w:val="none"/>
        </w:rPr>
        <w:sectPr>
          <w:footerReference r:id="rId6" w:type="default"/>
          <w:pgSz w:w="11906" w:h="16838"/>
          <w:pgMar w:top="1474" w:right="1814" w:bottom="1474" w:left="1814" w:header="851" w:footer="992" w:gutter="0"/>
          <w:pgNumType w:start="1"/>
          <w:cols w:space="720" w:num="1"/>
          <w:docGrid w:linePitch="312" w:charSpace="0"/>
        </w:sectPr>
      </w:pPr>
    </w:p>
    <w:p w14:paraId="3533718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0181E923">
      <w:pPr>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项目概况</w:t>
      </w:r>
      <w:r>
        <w:rPr>
          <w:rFonts w:hint="eastAsia" w:ascii="宋体" w:hAnsi="宋体" w:eastAsia="宋体" w:cs="宋体"/>
          <w:color w:val="auto"/>
          <w:sz w:val="24"/>
          <w:highlight w:val="none"/>
          <w:lang w:eastAsia="zh-CN"/>
        </w:rPr>
        <w:t>：</w:t>
      </w:r>
    </w:p>
    <w:p w14:paraId="63EAED54">
      <w:pPr>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val="en-US" w:eastAsia="zh-CN"/>
        </w:rPr>
        <w:t>嵊州市应急消防管理站提质升级装备采购项目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eastAsia="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 xml:space="preserve"> </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 xml:space="preserve"> </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9</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0FB144B">
      <w:pPr>
        <w:pageBreakBefore w:val="0"/>
        <w:widowControl w:val="0"/>
        <w:shd w:val="clear"/>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val="0"/>
          <w:color w:val="auto"/>
          <w:sz w:val="24"/>
          <w:highlight w:val="none"/>
        </w:rPr>
        <w:t>一、项目基本情况</w:t>
      </w:r>
      <w:r>
        <w:rPr>
          <w:rFonts w:hint="eastAsia" w:ascii="宋体" w:hAnsi="宋体" w:eastAsia="宋体" w:cs="宋体"/>
          <w:b w:val="0"/>
          <w:bCs/>
          <w:color w:val="auto"/>
          <w:sz w:val="24"/>
          <w:highlight w:val="none"/>
        </w:rPr>
        <w:t xml:space="preserve">  </w:t>
      </w:r>
      <w:r>
        <w:rPr>
          <w:rFonts w:hint="eastAsia" w:ascii="宋体" w:hAnsi="宋体" w:eastAsia="宋体" w:cs="宋体"/>
          <w:b/>
          <w:color w:val="auto"/>
          <w:sz w:val="24"/>
          <w:highlight w:val="none"/>
        </w:rPr>
        <w:t xml:space="preserve">                                          </w:t>
      </w:r>
    </w:p>
    <w:p w14:paraId="49EB4413">
      <w:pPr>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val="en-US" w:eastAsia="zh-CN"/>
        </w:rPr>
        <w:t>GTSZ-25-057</w:t>
      </w:r>
    </w:p>
    <w:p w14:paraId="333DEEB1">
      <w:pPr>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val="en-US" w:eastAsia="zh-CN"/>
        </w:rPr>
        <w:t>嵊州市应急消防管理站提质升级装备采购项目</w:t>
      </w:r>
      <w:r>
        <w:rPr>
          <w:rFonts w:hint="eastAsia" w:ascii="宋体" w:hAnsi="宋体" w:eastAsia="宋体" w:cs="宋体"/>
          <w:color w:val="auto"/>
          <w:sz w:val="24"/>
          <w:highlight w:val="none"/>
          <w:lang w:val="en-US" w:eastAsia="zh-CN"/>
        </w:rPr>
        <w:t xml:space="preserve"> </w:t>
      </w:r>
    </w:p>
    <w:p w14:paraId="10DDF101">
      <w:pPr>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 xml:space="preserve">预算金额（元）： </w:t>
      </w:r>
      <w:r>
        <w:rPr>
          <w:rFonts w:hint="eastAsia" w:ascii="宋体" w:hAnsi="宋体" w:cs="宋体"/>
          <w:color w:val="auto"/>
          <w:sz w:val="24"/>
          <w:highlight w:val="none"/>
          <w:lang w:val="en-US" w:eastAsia="zh-CN"/>
        </w:rPr>
        <w:t>4400000</w:t>
      </w:r>
      <w:r>
        <w:rPr>
          <w:rFonts w:hint="eastAsia" w:ascii="宋体" w:hAnsi="宋体" w:eastAsia="宋体" w:cs="宋体"/>
          <w:color w:val="auto"/>
          <w:sz w:val="24"/>
          <w:highlight w:val="none"/>
          <w:lang w:val="en-US" w:eastAsia="zh-CN"/>
        </w:rPr>
        <w:t>.00</w:t>
      </w:r>
    </w:p>
    <w:p w14:paraId="03A16D68">
      <w:pPr>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 xml:space="preserve">最高限价（元）： </w:t>
      </w:r>
      <w:r>
        <w:rPr>
          <w:rFonts w:hint="eastAsia" w:ascii="宋体" w:hAnsi="宋体" w:cs="宋体"/>
          <w:color w:val="auto"/>
          <w:sz w:val="24"/>
          <w:highlight w:val="none"/>
          <w:lang w:val="en-US" w:eastAsia="zh-CN"/>
        </w:rPr>
        <w:t>4400000</w:t>
      </w:r>
      <w:r>
        <w:rPr>
          <w:rFonts w:hint="eastAsia" w:ascii="宋体" w:hAnsi="宋体" w:eastAsia="宋体" w:cs="宋体"/>
          <w:color w:val="auto"/>
          <w:sz w:val="24"/>
          <w:highlight w:val="none"/>
          <w:lang w:val="en-US" w:eastAsia="zh-CN"/>
        </w:rPr>
        <w:t>.00</w:t>
      </w:r>
    </w:p>
    <w:p w14:paraId="2A9A6AF5">
      <w:pPr>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7B746425">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标项一：</w:t>
      </w:r>
    </w:p>
    <w:p w14:paraId="11ABFBF9">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标项名称：</w:t>
      </w:r>
      <w:r>
        <w:rPr>
          <w:rFonts w:hint="eastAsia" w:ascii="宋体" w:hAnsi="宋体" w:cs="宋体"/>
          <w:color w:val="auto"/>
          <w:sz w:val="24"/>
          <w:highlight w:val="none"/>
          <w:lang w:val="en-US" w:eastAsia="zh-CN"/>
        </w:rPr>
        <w:t>嵊州市应急消防管理站提质升级装备采购项目</w:t>
      </w:r>
    </w:p>
    <w:p w14:paraId="789B9237">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数量：1项</w:t>
      </w:r>
    </w:p>
    <w:p w14:paraId="78AA4F56">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lang w:val="en-US" w:eastAsia="zh-CN"/>
        </w:rPr>
        <w:t>预算金额：</w:t>
      </w:r>
      <w:r>
        <w:rPr>
          <w:rFonts w:hint="eastAsia" w:ascii="宋体" w:hAnsi="宋体" w:cs="宋体"/>
          <w:color w:val="auto"/>
          <w:sz w:val="24"/>
          <w:highlight w:val="none"/>
          <w:lang w:val="en-US" w:eastAsia="zh-CN"/>
        </w:rPr>
        <w:t>2734000</w:t>
      </w:r>
      <w:r>
        <w:rPr>
          <w:rFonts w:hint="eastAsia" w:ascii="宋体" w:hAnsi="宋体" w:eastAsia="宋体" w:cs="宋体"/>
          <w:color w:val="auto"/>
          <w:sz w:val="24"/>
          <w:highlight w:val="none"/>
          <w:lang w:val="en-US" w:eastAsia="zh-CN"/>
        </w:rPr>
        <w:t>.00</w:t>
      </w:r>
    </w:p>
    <w:p w14:paraId="14DED4FA">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主要内容：</w:t>
      </w: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招标</w:t>
      </w:r>
      <w:r>
        <w:rPr>
          <w:rFonts w:hint="eastAsia" w:ascii="宋体" w:hAnsi="宋体" w:eastAsia="宋体" w:cs="宋体"/>
          <w:b/>
          <w:color w:val="auto"/>
          <w:sz w:val="24"/>
          <w:highlight w:val="none"/>
        </w:rPr>
        <w:t>文件。</w:t>
      </w:r>
    </w:p>
    <w:p w14:paraId="2E4B5188">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标项</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lang w:val="en-US" w:eastAsia="zh-CN"/>
        </w:rPr>
        <w:t>：</w:t>
      </w:r>
    </w:p>
    <w:p w14:paraId="3A509952">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标项名称：</w:t>
      </w:r>
      <w:r>
        <w:rPr>
          <w:rFonts w:hint="eastAsia" w:ascii="宋体" w:hAnsi="宋体" w:cs="宋体"/>
          <w:color w:val="auto"/>
          <w:sz w:val="24"/>
          <w:highlight w:val="none"/>
          <w:lang w:val="en-US" w:eastAsia="zh-CN"/>
        </w:rPr>
        <w:t>嵊州市应急消防管理站提质升级装备采购项目</w:t>
      </w:r>
    </w:p>
    <w:p w14:paraId="5437F24E">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数量：1项</w:t>
      </w:r>
    </w:p>
    <w:p w14:paraId="0CD8C8BD">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预算金额：</w:t>
      </w:r>
      <w:r>
        <w:rPr>
          <w:rFonts w:hint="eastAsia" w:ascii="宋体" w:hAnsi="宋体" w:cs="宋体"/>
          <w:color w:val="auto"/>
          <w:sz w:val="24"/>
          <w:highlight w:val="none"/>
          <w:lang w:val="en-US" w:eastAsia="zh-CN"/>
        </w:rPr>
        <w:t>1666000</w:t>
      </w:r>
      <w:r>
        <w:rPr>
          <w:rFonts w:hint="eastAsia" w:ascii="宋体" w:hAnsi="宋体" w:eastAsia="宋体" w:cs="宋体"/>
          <w:color w:val="auto"/>
          <w:sz w:val="24"/>
          <w:highlight w:val="none"/>
          <w:lang w:val="en-US" w:eastAsia="zh-CN"/>
        </w:rPr>
        <w:t>.00</w:t>
      </w:r>
    </w:p>
    <w:p w14:paraId="66C148CE">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bCs/>
          <w:color w:val="auto"/>
          <w:sz w:val="24"/>
          <w:highlight w:val="none"/>
        </w:rPr>
        <w:t>主要内容：</w:t>
      </w: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招标</w:t>
      </w:r>
      <w:r>
        <w:rPr>
          <w:rFonts w:hint="eastAsia" w:ascii="宋体" w:hAnsi="宋体" w:eastAsia="宋体" w:cs="宋体"/>
          <w:b/>
          <w:color w:val="auto"/>
          <w:sz w:val="24"/>
          <w:highlight w:val="none"/>
        </w:rPr>
        <w:t>文件。合同履行期限</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招标</w:t>
      </w:r>
      <w:r>
        <w:rPr>
          <w:rFonts w:hint="eastAsia" w:ascii="宋体" w:hAnsi="宋体" w:eastAsia="宋体" w:cs="宋体"/>
          <w:b/>
          <w:color w:val="auto"/>
          <w:sz w:val="24"/>
          <w:highlight w:val="none"/>
        </w:rPr>
        <w:t>文件</w:t>
      </w:r>
      <w:r>
        <w:rPr>
          <w:rFonts w:hint="eastAsia" w:ascii="宋体" w:hAnsi="宋体" w:cs="宋体"/>
          <w:b/>
          <w:color w:val="auto"/>
          <w:sz w:val="24"/>
          <w:highlight w:val="none"/>
          <w:lang w:eastAsia="zh-CN"/>
        </w:rPr>
        <w:t>。</w:t>
      </w:r>
    </w:p>
    <w:p w14:paraId="4CB7A86C">
      <w:pPr>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color w:val="auto"/>
          <w:sz w:val="24"/>
          <w:highlight w:val="none"/>
        </w:rPr>
        <w:t>是，</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 xml:space="preserve"> </w:t>
      </w:r>
      <w:r>
        <w:rPr>
          <w:rFonts w:hint="eastAsia" w:ascii="宋体" w:hAnsi="宋体" w:eastAsia="宋体" w:cs="宋体"/>
          <w:b/>
          <w:color w:val="auto"/>
          <w:sz w:val="24"/>
          <w:highlight w:val="none"/>
        </w:rPr>
        <w:t>否。</w:t>
      </w:r>
    </w:p>
    <w:p w14:paraId="0B730369">
      <w:pPr>
        <w:pageBreakBefore w:val="0"/>
        <w:widowControl w:val="0"/>
        <w:shd w:val="clear"/>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二、申请人的资格要求</w:t>
      </w:r>
    </w:p>
    <w:p w14:paraId="33B63670">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3D3089F">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w:t>
      </w:r>
    </w:p>
    <w:p w14:paraId="62AA0B06">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27247EB8">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标项一：</w:t>
      </w:r>
    </w:p>
    <w:p w14:paraId="76FE129E">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12FF9120">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sym w:font="Wingdings" w:char="00FE"/>
      </w:r>
      <w:r>
        <w:rPr>
          <w:rFonts w:hint="eastAsia" w:ascii="宋体" w:hAnsi="宋体" w:eastAsia="宋体" w:cs="宋体"/>
          <w:b w:val="0"/>
          <w:bCs w:val="0"/>
          <w:color w:val="auto"/>
          <w:kern w:val="0"/>
          <w:sz w:val="24"/>
          <w:highlight w:val="none"/>
        </w:rPr>
        <w:t>专</w:t>
      </w:r>
      <w:r>
        <w:rPr>
          <w:rFonts w:hint="eastAsia" w:ascii="宋体" w:hAnsi="宋体" w:eastAsia="宋体" w:cs="宋体"/>
          <w:b w:val="0"/>
          <w:bCs w:val="0"/>
          <w:color w:val="auto"/>
          <w:sz w:val="24"/>
          <w:highlight w:val="none"/>
        </w:rPr>
        <w:t>门面向中小企业</w:t>
      </w:r>
    </w:p>
    <w:p w14:paraId="0356C9B0">
      <w:pPr>
        <w:shd w:val="clear"/>
        <w:spacing w:line="360" w:lineRule="auto"/>
        <w:ind w:firstLine="897" w:firstLineChars="374"/>
        <w:rPr>
          <w:rFonts w:hint="eastAsia" w:ascii="宋体" w:hAnsi="宋体" w:eastAsia="宋体" w:cs="宋体"/>
          <w:b w:val="0"/>
          <w:bCs w:val="0"/>
          <w:color w:val="auto"/>
          <w:sz w:val="24"/>
          <w:highlight w:val="none"/>
          <w:u w:val="single"/>
        </w:rPr>
      </w:pPr>
      <w:r>
        <w:rPr>
          <w:rFonts w:hint="eastAsia" w:ascii="宋体" w:hAnsi="宋体" w:eastAsia="宋体" w:cs="宋体"/>
          <w:b w:val="0"/>
          <w:bCs w:val="0"/>
          <w:color w:val="auto"/>
          <w:kern w:val="0"/>
          <w:sz w:val="24"/>
          <w:szCs w:val="24"/>
          <w:highlight w:val="none"/>
          <w:lang w:val="en-US" w:eastAsia="zh-CN" w:bidi="ar-SA"/>
        </w:rPr>
        <w:sym w:font="Wingdings" w:char="00FE"/>
      </w:r>
      <w:r>
        <w:rPr>
          <w:rFonts w:hint="eastAsia" w:ascii="宋体" w:hAnsi="宋体" w:eastAsia="宋体" w:cs="宋体"/>
          <w:b w:val="0"/>
          <w:bCs w:val="0"/>
          <w:color w:val="auto"/>
          <w:sz w:val="24"/>
          <w:highlight w:val="none"/>
        </w:rPr>
        <w:t>货物全部由符合政策要求的中小企业制造，提供中小企业声明函；</w:t>
      </w:r>
    </w:p>
    <w:p w14:paraId="39DBCB50">
      <w:pPr>
        <w:shd w:val="clear"/>
        <w:spacing w:line="360" w:lineRule="auto"/>
        <w:ind w:firstLine="897" w:firstLineChars="374"/>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sym w:font="Wingdings" w:char="00FE"/>
      </w:r>
      <w:r>
        <w:rPr>
          <w:rFonts w:hint="eastAsia" w:ascii="宋体" w:hAnsi="宋体" w:eastAsia="宋体" w:cs="宋体"/>
          <w:b w:val="0"/>
          <w:bCs w:val="0"/>
          <w:color w:val="auto"/>
          <w:sz w:val="24"/>
          <w:highlight w:val="none"/>
        </w:rPr>
        <w:t>货物全部由符合政策要求的小微企业制造，提供中小企业声明函；</w:t>
      </w:r>
    </w:p>
    <w:p w14:paraId="4B7DC148">
      <w:pPr>
        <w:shd w:val="clear"/>
        <w:spacing w:line="360" w:lineRule="auto"/>
        <w:ind w:firstLine="897" w:firstLineChars="374"/>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sz w:val="24"/>
          <w:highlight w:val="none"/>
        </w:rPr>
        <w:t>服务全部由符合政策要求的中小企业承接，提供中小企业声明函；</w:t>
      </w:r>
    </w:p>
    <w:p w14:paraId="7908AC3C">
      <w:pPr>
        <w:shd w:val="clear"/>
        <w:spacing w:line="360" w:lineRule="auto"/>
        <w:ind w:firstLine="897" w:firstLineChars="374"/>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sz w:val="24"/>
          <w:highlight w:val="none"/>
        </w:rPr>
        <w:t>服务全部由符合政策要求的小微企业承接，提供中小企业声明函；</w:t>
      </w:r>
    </w:p>
    <w:p w14:paraId="1EF6F706">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标项二：</w:t>
      </w:r>
    </w:p>
    <w:p w14:paraId="52D07AC0">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46F61844">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sym w:font="Wingdings" w:char="00A8"/>
      </w:r>
      <w:r>
        <w:rPr>
          <w:rFonts w:hint="eastAsia" w:ascii="宋体" w:hAnsi="宋体" w:eastAsia="宋体" w:cs="宋体"/>
          <w:b w:val="0"/>
          <w:bCs w:val="0"/>
          <w:color w:val="auto"/>
          <w:kern w:val="0"/>
          <w:sz w:val="24"/>
          <w:highlight w:val="none"/>
        </w:rPr>
        <w:t>专</w:t>
      </w:r>
      <w:r>
        <w:rPr>
          <w:rFonts w:hint="eastAsia" w:ascii="宋体" w:hAnsi="宋体" w:eastAsia="宋体" w:cs="宋体"/>
          <w:b w:val="0"/>
          <w:bCs w:val="0"/>
          <w:color w:val="auto"/>
          <w:sz w:val="24"/>
          <w:highlight w:val="none"/>
        </w:rPr>
        <w:t>门面向中小企业</w:t>
      </w:r>
    </w:p>
    <w:p w14:paraId="75956A28">
      <w:pPr>
        <w:shd w:val="clear"/>
        <w:spacing w:line="360" w:lineRule="auto"/>
        <w:ind w:firstLine="897" w:firstLineChars="374"/>
        <w:rPr>
          <w:rFonts w:hint="eastAsia" w:ascii="宋体" w:hAnsi="宋体" w:eastAsia="宋体" w:cs="宋体"/>
          <w:b w:val="0"/>
          <w:bCs w:val="0"/>
          <w:color w:val="auto"/>
          <w:sz w:val="24"/>
          <w:highlight w:val="none"/>
          <w:u w:val="single"/>
        </w:rPr>
      </w:pPr>
      <w:r>
        <w:rPr>
          <w:rFonts w:hint="eastAsia" w:ascii="宋体" w:hAnsi="宋体" w:eastAsia="宋体" w:cs="宋体"/>
          <w:b w:val="0"/>
          <w:bCs w:val="0"/>
          <w:color w:val="auto"/>
          <w:kern w:val="0"/>
          <w:sz w:val="24"/>
          <w:szCs w:val="24"/>
          <w:highlight w:val="none"/>
          <w:lang w:val="en-US" w:eastAsia="zh-CN" w:bidi="ar-SA"/>
        </w:rPr>
        <w:sym w:font="Wingdings" w:char="00A8"/>
      </w:r>
      <w:r>
        <w:rPr>
          <w:rFonts w:hint="eastAsia" w:ascii="宋体" w:hAnsi="宋体" w:eastAsia="宋体" w:cs="宋体"/>
          <w:b w:val="0"/>
          <w:bCs w:val="0"/>
          <w:color w:val="auto"/>
          <w:sz w:val="24"/>
          <w:highlight w:val="none"/>
        </w:rPr>
        <w:t>货物全部由符合政策要求的中小企业制造，提供中小企业声明函；</w:t>
      </w:r>
    </w:p>
    <w:p w14:paraId="3552178C">
      <w:pPr>
        <w:shd w:val="clear"/>
        <w:spacing w:line="360" w:lineRule="auto"/>
        <w:ind w:firstLine="897" w:firstLineChars="374"/>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sym w:font="Wingdings" w:char="00A8"/>
      </w:r>
      <w:r>
        <w:rPr>
          <w:rFonts w:hint="eastAsia" w:ascii="宋体" w:hAnsi="宋体" w:eastAsia="宋体" w:cs="宋体"/>
          <w:b w:val="0"/>
          <w:bCs w:val="0"/>
          <w:color w:val="auto"/>
          <w:sz w:val="24"/>
          <w:highlight w:val="none"/>
        </w:rPr>
        <w:t>货物全部由符合政策要求的小微企业制造，提供中小企业声明函；</w:t>
      </w:r>
    </w:p>
    <w:p w14:paraId="33B7B91A">
      <w:pPr>
        <w:shd w:val="clear"/>
        <w:spacing w:line="360" w:lineRule="auto"/>
        <w:ind w:firstLine="897" w:firstLineChars="374"/>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sz w:val="24"/>
          <w:highlight w:val="none"/>
        </w:rPr>
        <w:t>服务全部由符合政策要求的中小企业承接，提供中小企业声明函；</w:t>
      </w:r>
    </w:p>
    <w:p w14:paraId="22773F60">
      <w:pPr>
        <w:shd w:val="clear"/>
        <w:spacing w:line="360" w:lineRule="auto"/>
        <w:ind w:firstLine="897" w:firstLineChars="374"/>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sz w:val="24"/>
          <w:highlight w:val="none"/>
        </w:rPr>
        <w:t>服务全部由符合政策要求的小微企业承接，提供中小企业声明函；</w:t>
      </w:r>
    </w:p>
    <w:p w14:paraId="13387901">
      <w:pPr>
        <w:pStyle w:val="2"/>
        <w:shd w:val="clea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4.本项目的特定资格要求：</w:t>
      </w:r>
      <w:r>
        <w:rPr>
          <w:rFonts w:hint="eastAsia" w:ascii="宋体" w:hAnsi="宋体" w:cs="宋体"/>
          <w:b w:val="0"/>
          <w:bCs w:val="0"/>
          <w:color w:val="auto"/>
          <w:sz w:val="24"/>
          <w:highlight w:val="none"/>
          <w:lang w:val="en-US" w:eastAsia="zh-CN"/>
        </w:rPr>
        <w:t>无</w:t>
      </w:r>
      <w:r>
        <w:rPr>
          <w:rFonts w:hint="eastAsia" w:ascii="宋体" w:hAnsi="宋体" w:eastAsia="宋体" w:cs="宋体"/>
          <w:b w:val="0"/>
          <w:bCs w:val="0"/>
          <w:color w:val="auto"/>
          <w:sz w:val="24"/>
          <w:highlight w:val="none"/>
        </w:rPr>
        <w:t>；</w:t>
      </w:r>
    </w:p>
    <w:p w14:paraId="58E2AEA3">
      <w:pPr>
        <w:pageBreakBefore w:val="0"/>
        <w:widowControl w:val="0"/>
        <w:shd w:val="clear"/>
        <w:kinsoku/>
        <w:wordWrap/>
        <w:overflowPunct/>
        <w:topLinePunct w:val="0"/>
        <w:autoSpaceDE/>
        <w:autoSpaceDN/>
        <w:bidi w:val="0"/>
        <w:snapToGrid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84B9A8">
      <w:pPr>
        <w:pageBreakBefore w:val="0"/>
        <w:widowControl w:val="0"/>
        <w:shd w:val="clear"/>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bCs w:val="0"/>
          <w:color w:val="auto"/>
          <w:sz w:val="24"/>
          <w:highlight w:val="none"/>
        </w:rPr>
        <w:t>三、获取招标文件</w:t>
      </w:r>
      <w:r>
        <w:rPr>
          <w:rFonts w:hint="eastAsia" w:ascii="宋体" w:hAnsi="宋体" w:eastAsia="宋体" w:cs="宋体"/>
          <w:b w:val="0"/>
          <w:bCs/>
          <w:color w:val="auto"/>
          <w:sz w:val="24"/>
          <w:highlight w:val="none"/>
        </w:rPr>
        <w:t xml:space="preserve"> </w:t>
      </w:r>
    </w:p>
    <w:p w14:paraId="3EEB1928">
      <w:pPr>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C12112D">
      <w:pPr>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10FA9CC1">
      <w:pPr>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4886C12">
      <w:pPr>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06AFEEF8">
      <w:pPr>
        <w:pageBreakBefore w:val="0"/>
        <w:widowControl w:val="0"/>
        <w:shd w:val="clear"/>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四、提交投标文件截止时间、开标时间和地点</w:t>
      </w:r>
    </w:p>
    <w:p w14:paraId="6D53F160">
      <w:pPr>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2C3EC12F">
      <w:pPr>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32F64719">
      <w:pPr>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14:paraId="7CCFEBDA">
      <w:pPr>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5F17471F">
      <w:pPr>
        <w:pageBreakBefore w:val="0"/>
        <w:widowControl w:val="0"/>
        <w:shd w:val="clear"/>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bCs w:val="0"/>
          <w:color w:val="auto"/>
          <w:sz w:val="24"/>
          <w:highlight w:val="none"/>
        </w:rPr>
        <w:t>五、公告期限</w:t>
      </w:r>
      <w:r>
        <w:rPr>
          <w:rFonts w:hint="eastAsia" w:ascii="宋体" w:hAnsi="宋体" w:eastAsia="宋体" w:cs="宋体"/>
          <w:b w:val="0"/>
          <w:bCs/>
          <w:color w:val="auto"/>
          <w:sz w:val="24"/>
          <w:highlight w:val="none"/>
        </w:rPr>
        <w:t xml:space="preserve"> </w:t>
      </w:r>
    </w:p>
    <w:p w14:paraId="7BE1A804">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CF77847">
      <w:pPr>
        <w:pageBreakBefore w:val="0"/>
        <w:widowControl w:val="0"/>
        <w:shd w:val="clear"/>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六、其他补充事宜</w:t>
      </w:r>
    </w:p>
    <w:p w14:paraId="10B29C3C">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3B1E588">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eastAsia="宋体" w:cs="宋体"/>
          <w:color w:val="auto"/>
          <w:sz w:val="24"/>
          <w:highlight w:val="none"/>
          <w:lang w:eastAsia="zh-CN"/>
        </w:rPr>
        <w:t>政务</w:t>
      </w:r>
      <w:r>
        <w:rPr>
          <w:rFonts w:hint="eastAsia" w:ascii="宋体" w:hAnsi="宋体" w:eastAsia="宋体" w:cs="宋体"/>
          <w:color w:val="auto"/>
          <w:sz w:val="24"/>
          <w:highlight w:val="none"/>
        </w:rPr>
        <w:t>服务网-政府采购投诉处理-在线办理。</w:t>
      </w:r>
    </w:p>
    <w:p w14:paraId="5E8D2A2C">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3FDC93">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⑨投标文件的解密：投标人按照平台提示和招标文件的规定在半小时内完成在线解密。通过“政府采购云平台”上传递交的投标文件无法按时解密的，视为投标文件撤回；⑩具体操作指南：详见政采云平台“服务中心-帮助文档-项目采购-操作流程-电子招投标-政府采购项目电子交易管理操作指南-供应商”。（3）招标文件公告期限与招标公告的公告期限一致。</w:t>
      </w:r>
    </w:p>
    <w:p w14:paraId="4FAC6198">
      <w:pPr>
        <w:pageBreakBefore w:val="0"/>
        <w:widowControl w:val="0"/>
        <w:shd w:val="clear"/>
        <w:kinsoku/>
        <w:wordWrap/>
        <w:overflowPunct/>
        <w:topLinePunct w:val="0"/>
        <w:autoSpaceDE/>
        <w:autoSpaceDN/>
        <w:bidi w:val="0"/>
        <w:spacing w:line="360" w:lineRule="auto"/>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七、对本次采购提出询问、质疑、投诉，请按以下方式联系</w:t>
      </w:r>
    </w:p>
    <w:p w14:paraId="30B513B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66156AB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嵊州市应急管理局</w:t>
      </w:r>
      <w:r>
        <w:rPr>
          <w:rFonts w:hint="eastAsia" w:ascii="宋体" w:hAnsi="宋体" w:eastAsia="宋体" w:cs="宋体"/>
          <w:color w:val="auto"/>
          <w:sz w:val="24"/>
          <w:highlight w:val="none"/>
        </w:rPr>
        <w:t xml:space="preserve"> </w:t>
      </w:r>
    </w:p>
    <w:p w14:paraId="3B8232E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eastAsia="zh-CN"/>
        </w:rPr>
        <w:fldChar w:fldCharType="begin"/>
      </w:r>
      <w:r>
        <w:rPr>
          <w:rFonts w:hint="eastAsia" w:ascii="宋体" w:hAnsi="宋体" w:cs="宋体"/>
          <w:color w:val="auto"/>
          <w:sz w:val="24"/>
          <w:highlight w:val="none"/>
          <w:lang w:eastAsia="zh-CN"/>
        </w:rPr>
        <w:instrText xml:space="preserve"> HYPERLINK "https://map.360.cn/?pid=904c9cd6513740da&amp;src=onebox-map_new_singleC_new_gov-address" \t "https://www.so.com/_blank" </w:instrText>
      </w:r>
      <w:r>
        <w:rPr>
          <w:rFonts w:hint="eastAsia" w:ascii="宋体" w:hAnsi="宋体" w:cs="宋体"/>
          <w:color w:val="auto"/>
          <w:sz w:val="24"/>
          <w:highlight w:val="none"/>
          <w:lang w:eastAsia="zh-CN"/>
        </w:rPr>
        <w:fldChar w:fldCharType="separate"/>
      </w:r>
      <w:r>
        <w:rPr>
          <w:rFonts w:hint="eastAsia" w:ascii="宋体" w:hAnsi="宋体" w:cs="宋体"/>
          <w:color w:val="auto"/>
          <w:sz w:val="24"/>
          <w:highlight w:val="none"/>
          <w:lang w:eastAsia="zh-CN"/>
        </w:rPr>
        <w:t>嵊州市领带园五路5号一楼二楼</w:t>
      </w:r>
      <w:r>
        <w:rPr>
          <w:rFonts w:hint="eastAsia" w:ascii="宋体" w:hAnsi="宋体" w:cs="宋体"/>
          <w:color w:val="auto"/>
          <w:sz w:val="24"/>
          <w:highlight w:val="none"/>
          <w:lang w:eastAsia="zh-CN"/>
        </w:rPr>
        <w:fldChar w:fldCharType="end"/>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3F2CEAC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02148C1E">
      <w:pPr>
        <w:shd w:val="clea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姚女士</w:t>
      </w:r>
    </w:p>
    <w:p w14:paraId="5BBCDA27">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项目联系方式（询问）：</w:t>
      </w:r>
      <w:r>
        <w:rPr>
          <w:rFonts w:hint="eastAsia" w:ascii="宋体" w:hAnsi="宋体" w:cs="宋体"/>
          <w:i w:val="0"/>
          <w:caps w:val="0"/>
          <w:color w:val="auto"/>
          <w:spacing w:val="0"/>
          <w:sz w:val="24"/>
          <w:szCs w:val="24"/>
          <w:highlight w:val="none"/>
          <w:lang w:eastAsia="zh-CN"/>
        </w:rPr>
        <w:t>0575-83128909</w:t>
      </w:r>
    </w:p>
    <w:p w14:paraId="38ED9A6E">
      <w:pPr>
        <w:shd w:val="clea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 </w:t>
      </w:r>
      <w:r>
        <w:rPr>
          <w:rFonts w:hint="eastAsia" w:ascii="宋体" w:hAnsi="宋体" w:cs="宋体"/>
          <w:color w:val="auto"/>
          <w:sz w:val="24"/>
          <w:highlight w:val="none"/>
          <w:lang w:val="en-US" w:eastAsia="zh-CN"/>
        </w:rPr>
        <w:t>王</w:t>
      </w:r>
      <w:r>
        <w:rPr>
          <w:rFonts w:hint="eastAsia" w:ascii="宋体" w:hAnsi="宋体" w:eastAsia="宋体" w:cs="宋体"/>
          <w:color w:val="auto"/>
          <w:sz w:val="24"/>
          <w:highlight w:val="none"/>
          <w:lang w:val="en-US" w:eastAsia="zh-CN"/>
        </w:rPr>
        <w:t>先生</w:t>
      </w:r>
    </w:p>
    <w:p w14:paraId="4C9ED060">
      <w:pPr>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0575-83128909</w:t>
      </w:r>
    </w:p>
    <w:p w14:paraId="03046523">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387E649D">
      <w:pPr>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浙江广通工程咨询有限公司</w:t>
      </w:r>
    </w:p>
    <w:p w14:paraId="5D1D2C2E">
      <w:pPr>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地    址： </w:t>
      </w:r>
      <w:r>
        <w:rPr>
          <w:rFonts w:hint="eastAsia" w:ascii="宋体" w:hAnsi="宋体" w:eastAsia="宋体" w:cs="宋体"/>
          <w:color w:val="auto"/>
          <w:sz w:val="24"/>
          <w:highlight w:val="none"/>
          <w:lang w:eastAsia="zh-CN"/>
        </w:rPr>
        <w:t>嵊州市文创园12幢108号</w:t>
      </w:r>
    </w:p>
    <w:p w14:paraId="39F8132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081EAD9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童工</w:t>
      </w:r>
      <w:r>
        <w:rPr>
          <w:rFonts w:hint="eastAsia" w:ascii="宋体" w:hAnsi="宋体" w:eastAsia="宋体" w:cs="宋体"/>
          <w:color w:val="auto"/>
          <w:sz w:val="24"/>
          <w:highlight w:val="none"/>
        </w:rPr>
        <w:t xml:space="preserve">         </w:t>
      </w:r>
    </w:p>
    <w:p w14:paraId="52F67BEB">
      <w:pPr>
        <w:shd w:val="clea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19883579796</w:t>
      </w:r>
    </w:p>
    <w:p w14:paraId="41B7DB5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裘工</w:t>
      </w:r>
      <w:r>
        <w:rPr>
          <w:rFonts w:hint="eastAsia" w:ascii="宋体" w:hAnsi="宋体" w:eastAsia="宋体" w:cs="宋体"/>
          <w:color w:val="auto"/>
          <w:sz w:val="24"/>
          <w:highlight w:val="none"/>
        </w:rPr>
        <w:t xml:space="preserve">             </w:t>
      </w:r>
    </w:p>
    <w:p w14:paraId="4D854FE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0575-83088551</w:t>
      </w:r>
      <w:r>
        <w:rPr>
          <w:rFonts w:hint="eastAsia" w:ascii="宋体" w:hAnsi="宋体" w:eastAsia="宋体" w:cs="宋体"/>
          <w:color w:val="auto"/>
          <w:sz w:val="24"/>
          <w:highlight w:val="none"/>
        </w:rPr>
        <w:t>　</w:t>
      </w:r>
    </w:p>
    <w:p w14:paraId="0057976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1875F15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 嵊州市采购监管</w:t>
      </w:r>
    </w:p>
    <w:p w14:paraId="1600261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 </w:t>
      </w:r>
      <w:r>
        <w:rPr>
          <w:rFonts w:hint="eastAsia" w:ascii="宋体" w:hAnsi="宋体" w:eastAsia="宋体" w:cs="宋体"/>
          <w:color w:val="auto"/>
          <w:sz w:val="24"/>
          <w:highlight w:val="none"/>
          <w:lang w:eastAsia="zh-CN"/>
        </w:rPr>
        <w:t>嵊州市三江街道国资综合大楼1004室</w:t>
      </w:r>
    </w:p>
    <w:p w14:paraId="3153A09A">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p>
    <w:p w14:paraId="5A0E594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 </w:t>
      </w:r>
      <w:r>
        <w:rPr>
          <w:rFonts w:hint="eastAsia" w:ascii="宋体" w:hAnsi="宋体" w:eastAsia="宋体" w:cs="宋体"/>
          <w:color w:val="auto"/>
          <w:sz w:val="24"/>
          <w:highlight w:val="none"/>
          <w:lang w:eastAsia="zh-CN"/>
        </w:rPr>
        <w:t>郑老师</w:t>
      </w:r>
      <w:r>
        <w:rPr>
          <w:rFonts w:hint="eastAsia" w:ascii="宋体" w:hAnsi="宋体" w:eastAsia="宋体" w:cs="宋体"/>
          <w:color w:val="auto"/>
          <w:sz w:val="24"/>
          <w:highlight w:val="none"/>
        </w:rPr>
        <w:t xml:space="preserve">  </w:t>
      </w:r>
    </w:p>
    <w:p w14:paraId="1F80306F">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 0575-8</w:t>
      </w:r>
      <w:r>
        <w:rPr>
          <w:rFonts w:hint="eastAsia" w:ascii="宋体" w:hAnsi="宋体" w:eastAsia="宋体" w:cs="宋体"/>
          <w:color w:val="auto"/>
          <w:sz w:val="24"/>
          <w:highlight w:val="none"/>
          <w:lang w:val="en-US" w:eastAsia="zh-CN"/>
        </w:rPr>
        <w:t>3032507</w:t>
      </w:r>
      <w:r>
        <w:rPr>
          <w:rFonts w:hint="eastAsia" w:ascii="宋体" w:hAnsi="宋体" w:eastAsia="宋体" w:cs="宋体"/>
          <w:color w:val="auto"/>
          <w:sz w:val="24"/>
          <w:highlight w:val="none"/>
        </w:rPr>
        <w:t xml:space="preserve">  </w:t>
      </w:r>
    </w:p>
    <w:p w14:paraId="2711B6D6">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1A912245">
      <w:pPr>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2DF2A0D">
      <w:pPr>
        <w:widowControl/>
        <w:shd w:val="clear"/>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EA12E9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2"/>
      <w:r>
        <w:rPr>
          <w:rFonts w:hint="eastAsia" w:ascii="宋体" w:hAnsi="宋体" w:eastAsia="宋体" w:cs="宋体"/>
          <w:b/>
          <w:color w:val="auto"/>
          <w:sz w:val="36"/>
          <w:szCs w:val="20"/>
          <w:highlight w:val="none"/>
        </w:rPr>
        <w:t xml:space="preserve"> 投标须知</w:t>
      </w:r>
      <w:bookmarkEnd w:id="3"/>
    </w:p>
    <w:p w14:paraId="3949D17F">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3B6D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870" w:type="dxa"/>
            <w:vAlign w:val="center"/>
          </w:tcPr>
          <w:p w14:paraId="097B1332">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370" w:type="dxa"/>
            <w:gridSpan w:val="2"/>
            <w:vAlign w:val="center"/>
          </w:tcPr>
          <w:p w14:paraId="59F6B602">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14:paraId="73B5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9AD60D7">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370" w:type="dxa"/>
            <w:gridSpan w:val="2"/>
            <w:vAlign w:val="center"/>
          </w:tcPr>
          <w:p w14:paraId="57499883">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投标人按照项目要求特许资格、资信证明文件（如有）：</w:t>
            </w:r>
          </w:p>
          <w:p w14:paraId="6B82B655">
            <w:pPr>
              <w:keepNext w:val="0"/>
              <w:keepLines w:val="0"/>
              <w:pageBreakBefore w:val="0"/>
              <w:widowControl w:val="0"/>
              <w:shd w:val="clear"/>
              <w:kinsoku/>
              <w:wordWrap/>
              <w:overflowPunct/>
              <w:topLinePunct w:val="0"/>
              <w:bidi w:val="0"/>
              <w:adjustRightInd w:val="0"/>
              <w:spacing w:line="440" w:lineRule="exact"/>
              <w:ind w:left="0" w:leftChars="0" w:right="0" w:rightChars="0"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21DD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5F632F1">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370" w:type="dxa"/>
            <w:gridSpan w:val="2"/>
            <w:vAlign w:val="center"/>
          </w:tcPr>
          <w:p w14:paraId="4A4D4645">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资格审查方式：</w:t>
            </w:r>
          </w:p>
          <w:p w14:paraId="14A63FAA">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1.资格后审。</w:t>
            </w:r>
          </w:p>
          <w:p w14:paraId="6C82DC6B">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053A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4BB07255">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370" w:type="dxa"/>
            <w:gridSpan w:val="2"/>
            <w:vAlign w:val="center"/>
          </w:tcPr>
          <w:p w14:paraId="36D4986E">
            <w:pPr>
              <w:keepNext w:val="0"/>
              <w:keepLines w:val="0"/>
              <w:pageBreakBefore w:val="0"/>
              <w:widowControl w:val="0"/>
              <w:shd w:val="clear"/>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投标有效期：</w:t>
            </w:r>
            <w:r>
              <w:rPr>
                <w:rFonts w:hint="eastAsia" w:ascii="宋体" w:hAnsi="宋体" w:eastAsia="宋体" w:cs="宋体"/>
                <w:color w:val="auto"/>
                <w:sz w:val="24"/>
                <w:highlight w:val="none"/>
              </w:rPr>
              <w:t>投标有效期为从提交投标文件的截止之日起90天。</w:t>
            </w:r>
            <w:r>
              <w:rPr>
                <w:rFonts w:hint="eastAsia" w:ascii="宋体" w:hAnsi="宋体" w:eastAsia="宋体" w:cs="宋体"/>
                <w:b/>
                <w:color w:val="auto"/>
                <w:sz w:val="24"/>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tc>
      </w:tr>
      <w:tr w14:paraId="47AC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C2FA2E2">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370" w:type="dxa"/>
            <w:gridSpan w:val="2"/>
            <w:vAlign w:val="center"/>
          </w:tcPr>
          <w:p w14:paraId="5415B153">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b/>
                <w:color w:val="auto"/>
                <w:sz w:val="24"/>
                <w:highlight w:val="none"/>
              </w:rPr>
              <w:t>转包：</w:t>
            </w:r>
            <w:r>
              <w:rPr>
                <w:rFonts w:hint="eastAsia" w:ascii="宋体" w:hAnsi="宋体" w:eastAsia="宋体" w:cs="宋体"/>
                <w:color w:val="auto"/>
                <w:sz w:val="24"/>
                <w:highlight w:val="none"/>
              </w:rPr>
              <w:t>本项目不得转包。</w:t>
            </w:r>
          </w:p>
        </w:tc>
      </w:tr>
      <w:tr w14:paraId="7E3D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F3653F0">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370" w:type="dxa"/>
            <w:gridSpan w:val="2"/>
            <w:vAlign w:val="center"/>
          </w:tcPr>
          <w:p w14:paraId="21F24FCA">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b/>
                <w:color w:val="auto"/>
                <w:sz w:val="24"/>
                <w:highlight w:val="none"/>
              </w:rPr>
              <w:t>分包：</w:t>
            </w:r>
            <w:r>
              <w:rPr>
                <w:rFonts w:hint="eastAsia" w:ascii="宋体" w:hAnsi="宋体" w:eastAsia="宋体" w:cs="宋体"/>
                <w:color w:val="auto"/>
                <w:kern w:val="0"/>
                <w:sz w:val="24"/>
                <w:highlight w:val="none"/>
              </w:rPr>
              <w:t>☐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51530F21">
            <w:pPr>
              <w:keepNext w:val="0"/>
              <w:keepLines w:val="0"/>
              <w:pageBreakBefore w:val="0"/>
              <w:widowControl w:val="0"/>
              <w:shd w:val="clear"/>
              <w:kinsoku/>
              <w:wordWrap/>
              <w:overflowPunct/>
              <w:topLinePunct w:val="0"/>
              <w:bidi w:val="0"/>
              <w:adjustRightInd w:val="0"/>
              <w:spacing w:line="440" w:lineRule="exact"/>
              <w:ind w:left="0" w:leftChars="0" w:right="0" w:rightChars="0" w:firstLine="720" w:firstLineChars="300"/>
              <w:rPr>
                <w:rFonts w:hint="eastAsia" w:ascii="宋体" w:hAnsi="宋体" w:eastAsia="宋体" w:cs="宋体"/>
                <w:b/>
                <w:color w:val="auto"/>
                <w:sz w:val="24"/>
                <w:highlight w:val="none"/>
              </w:rPr>
            </w:pP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7DB9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0DC42715">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370" w:type="dxa"/>
            <w:gridSpan w:val="2"/>
            <w:vAlign w:val="center"/>
          </w:tcPr>
          <w:p w14:paraId="19BB6316">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投标文件份数：</w:t>
            </w:r>
            <w:r>
              <w:rPr>
                <w:rFonts w:hint="eastAsia" w:ascii="宋体" w:hAnsi="宋体" w:eastAsia="宋体" w:cs="宋体"/>
                <w:color w:val="auto"/>
                <w:sz w:val="24"/>
                <w:highlight w:val="none"/>
              </w:rPr>
              <w:t>本项目实行网上投标，供应商于“政采云”上提供电子投标文件。</w:t>
            </w:r>
          </w:p>
        </w:tc>
      </w:tr>
      <w:tr w14:paraId="4D92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9BCBE7F">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370" w:type="dxa"/>
            <w:gridSpan w:val="2"/>
            <w:vAlign w:val="center"/>
          </w:tcPr>
          <w:p w14:paraId="6960E84E">
            <w:pPr>
              <w:keepNext w:val="0"/>
              <w:keepLines w:val="0"/>
              <w:pageBreakBefore w:val="0"/>
              <w:widowControl w:val="0"/>
              <w:shd w:val="clear"/>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p w14:paraId="52CC943B">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sz w:val="24"/>
                <w:highlight w:val="none"/>
              </w:rPr>
            </w:pP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295C328">
            <w:pPr>
              <w:keepNext w:val="0"/>
              <w:keepLines w:val="0"/>
              <w:pageBreakBefore w:val="0"/>
              <w:widowControl w:val="0"/>
              <w:shd w:val="clear"/>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60FD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E8666CE">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370" w:type="dxa"/>
            <w:gridSpan w:val="2"/>
            <w:vAlign w:val="center"/>
          </w:tcPr>
          <w:p w14:paraId="188A670B">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p w14:paraId="7BB5BFB6">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sz w:val="24"/>
                <w:highlight w:val="none"/>
              </w:rPr>
            </w:pP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6F8A74E1">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B要求提供，</w:t>
            </w:r>
          </w:p>
          <w:p w14:paraId="3CF57D5A">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标项一：（1）卫星电话底座+室外天线（2）缓降器</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标项二：（1）单兵式音视频采集装备（2）小型或中型无人机（支持一机多用）</w:t>
            </w:r>
            <w:r>
              <w:rPr>
                <w:rFonts w:hint="eastAsia" w:ascii="宋体" w:hAnsi="宋体" w:eastAsia="宋体" w:cs="宋体"/>
                <w:color w:val="auto"/>
                <w:kern w:val="0"/>
                <w:sz w:val="24"/>
                <w:highlight w:val="none"/>
              </w:rPr>
              <w:t>；</w:t>
            </w:r>
          </w:p>
          <w:p w14:paraId="44DA11EE">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详见第三部分 招标项目范围及要求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1F5E48C">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08191C71">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40D0089">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lang w:val="en-US" w:eastAsia="zh-CN"/>
              </w:rPr>
              <w:t>在2025年  月   日9:00开标截止前送达，逾期送达不予接收</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嵊州市公共资源交易中心三楼评标室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童工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19883579796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6AA96B93">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6</w:t>
            </w:r>
            <w:r>
              <w:rPr>
                <w:rFonts w:hint="eastAsia" w:ascii="宋体" w:hAnsi="宋体" w:eastAsia="宋体" w:cs="宋体"/>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EEF6D92">
            <w:pPr>
              <w:keepNext w:val="0"/>
              <w:keepLines w:val="0"/>
              <w:pageBreakBefore w:val="0"/>
              <w:widowControl w:val="0"/>
              <w:shd w:val="clear"/>
              <w:kinsoku/>
              <w:wordWrap/>
              <w:overflowPunct/>
              <w:topLinePunct w:val="0"/>
              <w:autoSpaceDE w:val="0"/>
              <w:autoSpaceDN w:val="0"/>
              <w:bidi w:val="0"/>
              <w:adjustRightInd w:val="0"/>
              <w:spacing w:line="440" w:lineRule="exact"/>
              <w:ind w:left="0" w:leftChars="0" w:right="0" w:rightChars="0"/>
              <w:jc w:val="left"/>
              <w:rPr>
                <w:rFonts w:hint="eastAsia" w:ascii="宋体" w:hAnsi="宋体" w:eastAsia="宋体" w:cs="宋体"/>
                <w:color w:val="auto"/>
                <w:highlight w:val="none"/>
                <w:lang w:val="en-US"/>
              </w:rPr>
            </w:pPr>
            <w:r>
              <w:rPr>
                <w:rFonts w:hint="eastAsia" w:ascii="宋体" w:hAnsi="宋体" w:eastAsia="宋体" w:cs="宋体"/>
                <w:color w:val="auto"/>
                <w:sz w:val="24"/>
                <w:highlight w:val="none"/>
              </w:rPr>
              <w:t>（7）制作、运输、安装和保管样品所发生的一切费用由投标人自理。</w:t>
            </w:r>
          </w:p>
        </w:tc>
      </w:tr>
      <w:tr w14:paraId="30E7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7A30D963">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8370" w:type="dxa"/>
            <w:gridSpan w:val="2"/>
            <w:vAlign w:val="center"/>
          </w:tcPr>
          <w:p w14:paraId="64F869C9">
            <w:pPr>
              <w:shd w:val="clear"/>
              <w:spacing w:beforeLines="0" w:afterLines="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方案讲解演示：</w:t>
            </w:r>
          </w:p>
          <w:p w14:paraId="7B4EB9F1">
            <w:pPr>
              <w:shd w:val="clear"/>
              <w:spacing w:beforeLines="0" w:afterLines="0"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A无方案讲解演示。</w:t>
            </w:r>
          </w:p>
          <w:p w14:paraId="7CD6ABEE">
            <w:pPr>
              <w:shd w:val="clear"/>
              <w:spacing w:beforeLines="0" w:afterLines="0" w:line="440" w:lineRule="exact"/>
              <w:rPr>
                <w:rFonts w:hint="eastAsia" w:ascii="宋体" w:hAnsi="宋体" w:eastAsia="宋体" w:cs="宋体"/>
                <w:b/>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B有方案讲解演示：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标项一需方案讲解演示</w:t>
            </w:r>
            <w:r>
              <w:rPr>
                <w:rFonts w:hint="eastAsia" w:ascii="宋体" w:hAnsi="宋体" w:cs="宋体"/>
                <w:color w:val="auto"/>
                <w:sz w:val="24"/>
                <w:szCs w:val="24"/>
                <w:highlight w:val="none"/>
                <w:lang w:eastAsia="zh-CN"/>
              </w:rPr>
              <w:t>）</w:t>
            </w:r>
          </w:p>
          <w:p w14:paraId="1B3C8983">
            <w:pPr>
              <w:shd w:val="clea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（1）在评标时安排每个供应商进行方案讲解演示。每个供应商时间不超过</w:t>
            </w:r>
            <w:r>
              <w:rPr>
                <w:rFonts w:hint="eastAsia" w:ascii="宋体" w:hAnsi="宋体" w:cs="宋体"/>
                <w:color w:val="auto"/>
                <w:sz w:val="24"/>
                <w:szCs w:val="24"/>
                <w:highlight w:val="none"/>
                <w:u w:val="single"/>
                <w:shd w:val="clear" w:fill="B6DDE8" w:themeFill="accent5" w:themeFillTint="66"/>
                <w:lang w:val="en-US" w:eastAsia="zh-CN"/>
              </w:rPr>
              <w:t>10</w:t>
            </w:r>
            <w:r>
              <w:rPr>
                <w:rFonts w:hint="eastAsia" w:ascii="宋体" w:hAnsi="宋体" w:eastAsia="宋体" w:cs="宋体"/>
                <w:color w:val="auto"/>
                <w:sz w:val="24"/>
                <w:szCs w:val="24"/>
                <w:highlight w:val="none"/>
                <w:u w:val="single"/>
                <w:shd w:val="clear" w:fill="B6DDE8" w:themeFill="accent5" w:themeFillTint="66"/>
                <w:lang w:val="en-US" w:eastAsia="zh-CN"/>
              </w:rPr>
              <w:t xml:space="preserve"> </w:t>
            </w:r>
            <w:r>
              <w:rPr>
                <w:rFonts w:hint="eastAsia" w:ascii="宋体" w:hAnsi="宋体" w:eastAsia="宋体" w:cs="宋体"/>
                <w:color w:val="auto"/>
                <w:sz w:val="24"/>
                <w:szCs w:val="24"/>
                <w:highlight w:val="none"/>
                <w:lang w:val="zh-CN"/>
              </w:rPr>
              <w:t>分钟，讲解次序以投标文件解密时间先后次序为准。讲解演示结束后按要求解答评标委员会提问。</w:t>
            </w:r>
          </w:p>
          <w:p w14:paraId="1CD56098">
            <w:pPr>
              <w:shd w:val="clea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（2）方案讲解演示可选择以下其中一种方式：</w:t>
            </w:r>
          </w:p>
          <w:p w14:paraId="1836EFD8">
            <w:pPr>
              <w:shd w:val="clea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方式一：政采云平台在线讲解演示。政采云平台在线讲解需供应商根据政采云平台操作要求做好准备工作，提前完善软硬件配置环境。</w:t>
            </w:r>
          </w:p>
          <w:p w14:paraId="61EB8F3E">
            <w:pPr>
              <w:shd w:val="clea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方式二：现场讲解演示。现场讲解地点为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highlight w:val="none"/>
                <w:lang w:val="zh-CN"/>
              </w:rPr>
              <w:t>讲解演示人员不超过</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lang w:val="zh-CN"/>
              </w:rPr>
              <w:t>人。</w:t>
            </w:r>
            <w:r>
              <w:rPr>
                <w:rFonts w:hint="eastAsia" w:ascii="宋体" w:hAnsi="宋体" w:eastAsia="宋体" w:cs="宋体"/>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5FBF315D">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4E0E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vAlign w:val="center"/>
          </w:tcPr>
          <w:p w14:paraId="188E5DBA">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855" w:type="dxa"/>
            <w:vAlign w:val="center"/>
          </w:tcPr>
          <w:p w14:paraId="67CE1F74">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进口产品</w:t>
            </w:r>
          </w:p>
        </w:tc>
        <w:tc>
          <w:tcPr>
            <w:tcW w:w="7515" w:type="dxa"/>
            <w:vAlign w:val="center"/>
          </w:tcPr>
          <w:p w14:paraId="6399E670">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本项目不允许采购进口产品。</w:t>
            </w:r>
          </w:p>
          <w:p w14:paraId="3C4E0077">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82F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23EB2DC">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855" w:type="dxa"/>
            <w:vAlign w:val="center"/>
          </w:tcPr>
          <w:p w14:paraId="72DA8FB2">
            <w:pPr>
              <w:keepNext w:val="0"/>
              <w:keepLines w:val="0"/>
              <w:pageBreakBefore w:val="0"/>
              <w:widowControl w:val="0"/>
              <w:shd w:val="clear"/>
              <w:kinsoku/>
              <w:wordWrap/>
              <w:overflowPunct/>
              <w:topLinePunct w:val="0"/>
              <w:bidi w:val="0"/>
              <w:adjustRightInd w:val="0"/>
              <w:snapToGrid w:val="0"/>
              <w:spacing w:line="440" w:lineRule="exact"/>
              <w:ind w:left="14" w:leftChars="0" w:right="0" w:rightChars="0" w:hanging="14" w:hangingChars="7"/>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项目属性与核心产品</w:t>
            </w:r>
          </w:p>
        </w:tc>
        <w:tc>
          <w:tcPr>
            <w:tcW w:w="7515" w:type="dxa"/>
            <w:vAlign w:val="center"/>
          </w:tcPr>
          <w:p w14:paraId="4C3DAAAF">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w:t>
            </w:r>
            <w:r>
              <w:rPr>
                <w:rFonts w:hint="eastAsia" w:ascii="宋体" w:hAnsi="宋体" w:eastAsia="宋体" w:cs="宋体"/>
                <w:color w:val="auto"/>
                <w:kern w:val="0"/>
                <w:sz w:val="24"/>
                <w:highlight w:val="none"/>
              </w:rPr>
              <w:t>单一产品或核心产品为：</w:t>
            </w:r>
            <w:r>
              <w:rPr>
                <w:rFonts w:hint="eastAsia" w:ascii="宋体" w:hAnsi="宋体" w:cs="宋体"/>
                <w:color w:val="auto"/>
                <w:sz w:val="24"/>
                <w:highlight w:val="none"/>
                <w:u w:val="single"/>
                <w:lang w:val="en-US" w:eastAsia="zh-CN"/>
              </w:rPr>
              <w:t>/</w:t>
            </w:r>
          </w:p>
          <w:p w14:paraId="16E57DF4">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rPr>
            </w:pP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14:paraId="0DB0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42FBE50">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855" w:type="dxa"/>
            <w:vAlign w:val="center"/>
          </w:tcPr>
          <w:p w14:paraId="53614934">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hanging="1"/>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采购标的对应的中小企业划分标准所属行业</w:t>
            </w:r>
          </w:p>
        </w:tc>
        <w:tc>
          <w:tcPr>
            <w:tcW w:w="7515" w:type="dxa"/>
            <w:vAlign w:val="center"/>
          </w:tcPr>
          <w:p w14:paraId="3690285F">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highlight w:val="none"/>
              </w:rPr>
            </w:pPr>
            <w:r>
              <w:rPr>
                <w:rFonts w:hint="eastAsia" w:ascii="宋体" w:hAnsi="宋体" w:eastAsia="宋体" w:cs="宋体"/>
                <w:color w:val="auto"/>
                <w:kern w:val="0"/>
                <w:sz w:val="24"/>
                <w:highlight w:val="none"/>
              </w:rPr>
              <w:t>（1）标的：</w:t>
            </w:r>
            <w:r>
              <w:rPr>
                <w:rFonts w:hint="eastAsia" w:ascii="宋体" w:hAnsi="宋体" w:cs="宋体"/>
                <w:color w:val="auto"/>
                <w:sz w:val="24"/>
                <w:highlight w:val="none"/>
                <w:u w:val="single"/>
                <w:lang w:eastAsia="zh-CN"/>
              </w:rPr>
              <w:t>嵊州市应急消防管理站提质升级装备采购项目</w:t>
            </w:r>
            <w:r>
              <w:rPr>
                <w:rFonts w:hint="eastAsia" w:ascii="宋体" w:hAnsi="宋体" w:eastAsia="宋体" w:cs="宋体"/>
                <w:color w:val="auto"/>
                <w:kern w:val="0"/>
                <w:sz w:val="24"/>
                <w:highlight w:val="none"/>
              </w:rPr>
              <w:t>，属于</w:t>
            </w:r>
            <w:r>
              <w:rPr>
                <w:rFonts w:hint="eastAsia" w:ascii="宋体" w:hAnsi="宋体" w:eastAsia="宋体" w:cs="宋体"/>
                <w:b w:val="0"/>
                <w:bCs w:val="0"/>
                <w:color w:val="auto"/>
                <w:sz w:val="24"/>
                <w:highlight w:val="none"/>
                <w:u w:val="single"/>
                <w:lang w:val="en-US" w:eastAsia="zh-CN"/>
              </w:rPr>
              <w:t>工业</w:t>
            </w:r>
            <w:r>
              <w:rPr>
                <w:rFonts w:hint="eastAsia" w:ascii="宋体" w:hAnsi="宋体" w:eastAsia="宋体" w:cs="宋体"/>
                <w:color w:val="auto"/>
                <w:kern w:val="0"/>
                <w:sz w:val="24"/>
                <w:highlight w:val="none"/>
              </w:rPr>
              <w:t>；</w:t>
            </w:r>
          </w:p>
        </w:tc>
      </w:tr>
      <w:tr w14:paraId="032D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1E2418F6">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855" w:type="dxa"/>
            <w:vMerge w:val="restart"/>
            <w:vAlign w:val="center"/>
          </w:tcPr>
          <w:p w14:paraId="10885D38">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投标人信用信息事项</w:t>
            </w:r>
          </w:p>
        </w:tc>
        <w:tc>
          <w:tcPr>
            <w:tcW w:w="7515" w:type="dxa"/>
            <w:vAlign w:val="center"/>
          </w:tcPr>
          <w:p w14:paraId="67F99658">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信用信息查询渠道及截止时间：</w:t>
            </w:r>
            <w:r>
              <w:rPr>
                <w:rFonts w:hint="eastAsia" w:ascii="宋体" w:hAnsi="宋体" w:eastAsia="宋体" w:cs="宋体"/>
                <w:color w:val="auto"/>
                <w:sz w:val="24"/>
                <w:highlight w:val="none"/>
              </w:rPr>
              <w:t>采购人或采购人委托的评审小组或采购代理机构将通过“信用中国”网站(www.creditchina.gov.cn)、中国政府采购网(www.ccgp.gov.cn)渠道查询投标人</w:t>
            </w:r>
            <w:r>
              <w:rPr>
                <w:rFonts w:hint="eastAsia" w:ascii="宋体" w:hAnsi="宋体" w:eastAsia="宋体" w:cs="宋体"/>
                <w:b/>
                <w:color w:val="auto"/>
                <w:sz w:val="24"/>
                <w:highlight w:val="none"/>
              </w:rPr>
              <w:t>开标当天</w:t>
            </w:r>
            <w:r>
              <w:rPr>
                <w:rFonts w:hint="eastAsia" w:ascii="宋体" w:hAnsi="宋体" w:eastAsia="宋体" w:cs="宋体"/>
                <w:color w:val="auto"/>
                <w:sz w:val="24"/>
                <w:highlight w:val="none"/>
              </w:rPr>
              <w:t>的信用记录。</w:t>
            </w:r>
          </w:p>
        </w:tc>
      </w:tr>
      <w:tr w14:paraId="47D7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C57BEB7">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p>
        </w:tc>
        <w:tc>
          <w:tcPr>
            <w:tcW w:w="855" w:type="dxa"/>
            <w:vMerge w:val="continue"/>
            <w:vAlign w:val="center"/>
          </w:tcPr>
          <w:p w14:paraId="4C3FDA61">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highlight w:val="none"/>
              </w:rPr>
            </w:pPr>
          </w:p>
        </w:tc>
        <w:tc>
          <w:tcPr>
            <w:tcW w:w="7515" w:type="dxa"/>
            <w:vAlign w:val="center"/>
          </w:tcPr>
          <w:p w14:paraId="48D77626">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信用信息查询记录和证据留存的具体方式：</w:t>
            </w:r>
            <w:r>
              <w:rPr>
                <w:rFonts w:hint="eastAsia" w:ascii="宋体" w:hAnsi="宋体" w:eastAsia="宋体" w:cs="宋体"/>
                <w:color w:val="auto"/>
                <w:sz w:val="24"/>
                <w:highlight w:val="none"/>
              </w:rPr>
              <w:t>采购人或采购人委托的评审小组或采购代理机构现场查询投标人的信用记录，查询结果经确认后与采购文件一起存档。</w:t>
            </w:r>
          </w:p>
        </w:tc>
      </w:tr>
      <w:tr w14:paraId="1485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2C44247">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p>
        </w:tc>
        <w:tc>
          <w:tcPr>
            <w:tcW w:w="855" w:type="dxa"/>
            <w:vMerge w:val="continue"/>
            <w:vAlign w:val="center"/>
          </w:tcPr>
          <w:p w14:paraId="140CE850">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highlight w:val="none"/>
              </w:rPr>
            </w:pPr>
          </w:p>
        </w:tc>
        <w:tc>
          <w:tcPr>
            <w:tcW w:w="7515" w:type="dxa"/>
            <w:vAlign w:val="center"/>
          </w:tcPr>
          <w:p w14:paraId="0EF0C121">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b/>
                <w:color w:val="auto"/>
                <w:sz w:val="24"/>
                <w:highlight w:val="none"/>
              </w:rPr>
              <w:t>信用信息的使用规则：</w:t>
            </w:r>
            <w:r>
              <w:rPr>
                <w:rFonts w:hint="eastAsia" w:ascii="宋体" w:hAnsi="宋体" w:eastAsia="宋体" w:cs="宋体"/>
                <w:color w:val="auto"/>
                <w:sz w:val="24"/>
                <w:highlight w:val="none"/>
              </w:rPr>
              <w:t>经查询列入失信被执行人名单、重大税收违法案件当事人名单、政府采购严重违法失信行为记录名单的投标人将被拒绝参与政府采购活动。</w:t>
            </w:r>
          </w:p>
          <w:p w14:paraId="69397776">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highlight w:val="none"/>
              </w:rPr>
            </w:pPr>
            <w:r>
              <w:rPr>
                <w:rFonts w:hint="eastAsia" w:ascii="宋体" w:hAnsi="宋体" w:eastAsia="宋体" w:cs="宋体"/>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7D7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58FBBDCD">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rPr>
              <w:t>4</w:t>
            </w:r>
          </w:p>
        </w:tc>
        <w:tc>
          <w:tcPr>
            <w:tcW w:w="8370" w:type="dxa"/>
            <w:gridSpan w:val="2"/>
            <w:vAlign w:val="center"/>
          </w:tcPr>
          <w:p w14:paraId="24E2EC82">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需要落实的政府采购政策：包括保护环境、节约能源、促进中小企业发展等。详见招标文件第二部分总则。</w:t>
            </w:r>
          </w:p>
        </w:tc>
      </w:tr>
      <w:tr w14:paraId="5112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66A38F57">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rPr>
              <w:t>5</w:t>
            </w:r>
          </w:p>
        </w:tc>
        <w:tc>
          <w:tcPr>
            <w:tcW w:w="8370" w:type="dxa"/>
            <w:gridSpan w:val="2"/>
            <w:vAlign w:val="center"/>
          </w:tcPr>
          <w:p w14:paraId="07E283CD">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更正补充公告请自行登录浙江政府采购网或绍兴公共资源交易网查看下载。</w:t>
            </w:r>
          </w:p>
        </w:tc>
      </w:tr>
      <w:tr w14:paraId="20D3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01B4975">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rPr>
              <w:t>6</w:t>
            </w:r>
            <w:r>
              <w:rPr>
                <w:rFonts w:hint="eastAsia" w:ascii="宋体" w:hAnsi="宋体" w:eastAsia="宋体" w:cs="宋体"/>
                <w:color w:val="auto"/>
                <w:sz w:val="24"/>
                <w:highlight w:val="none"/>
              </w:rPr>
              <w:t xml:space="preserve">                                                                                                                                                                                                                                                                                                                                                                                                                                                                                                                                                                                                                                                                                                                                                                                                                                                                                                                                                                                                                                                                                                                                                                                                                                                                                                                                        </w:t>
            </w:r>
          </w:p>
        </w:tc>
        <w:tc>
          <w:tcPr>
            <w:tcW w:w="8370" w:type="dxa"/>
            <w:gridSpan w:val="2"/>
            <w:vAlign w:val="center"/>
          </w:tcPr>
          <w:p w14:paraId="5F8A15F3">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投标与开标注意事项：</w:t>
            </w:r>
          </w:p>
          <w:p w14:paraId="35BD3B50">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1.本项目实行网上投标，采用电子投标文件。若供应商参与投标，自行承担投标一切费用。</w:t>
            </w:r>
          </w:p>
          <w:p w14:paraId="03EFCCBB">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23BE23E9">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注：供应商CA相关操作可参考政采云平台</w:t>
            </w:r>
            <w:r>
              <w:rPr>
                <w:rFonts w:hint="eastAsia" w:ascii="宋体" w:hAnsi="宋体" w:eastAsia="宋体" w:cs="宋体"/>
                <w:color w:val="auto"/>
                <w:highlight w:val="none"/>
              </w:rPr>
              <w:t>https://www.zcygov.cn/</w:t>
            </w:r>
            <w:r>
              <w:rPr>
                <w:rFonts w:hint="eastAsia" w:ascii="宋体" w:hAnsi="宋体" w:eastAsia="宋体" w:cs="宋体"/>
                <w:color w:val="auto"/>
                <w:sz w:val="24"/>
                <w:highlight w:val="none"/>
              </w:rPr>
              <w:t>《CA申领操作指南》和《CA管理操作指南》。完成CA数字证书办理在资料齐全的情况下预计7个工作日左右，建议供应商获取招标文件后立即办理。</w:t>
            </w:r>
          </w:p>
          <w:p w14:paraId="11E97B99">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3.投标文件制作、递交、解密：</w:t>
            </w:r>
          </w:p>
          <w:p w14:paraId="1FC75AC7">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7621C4F0">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3.2投标人通过“政采云”平台制作电子投标文件，投标文件制作详见“供应商-政府采购项目电子交易操作指南。</w:t>
            </w:r>
          </w:p>
          <w:p w14:paraId="79061A79">
            <w:pPr>
              <w:keepNext w:val="0"/>
              <w:keepLines w:val="0"/>
              <w:pageBreakBefore w:val="0"/>
              <w:widowControl w:val="0"/>
              <w:shd w:val="clea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3.3开标时间后30分钟内供应商可以登录“政采云”平台，用“项目采购-开标评标”功能进行解密投标文件。若供应商</w:t>
            </w:r>
            <w:r>
              <w:rPr>
                <w:rFonts w:hint="eastAsia" w:ascii="宋体" w:hAnsi="宋体" w:eastAsia="宋体" w:cs="宋体"/>
                <w:b/>
                <w:color w:val="auto"/>
                <w:sz w:val="24"/>
                <w:highlight w:val="none"/>
                <w:u w:val="single"/>
              </w:rPr>
              <w:t>未按时解密的</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u w:val="single"/>
              </w:rPr>
              <w:t>视为投标文件撤回</w:t>
            </w:r>
            <w:r>
              <w:rPr>
                <w:rFonts w:hint="eastAsia" w:ascii="宋体" w:hAnsi="宋体" w:eastAsia="宋体" w:cs="宋体"/>
                <w:color w:val="auto"/>
                <w:sz w:val="24"/>
                <w:highlight w:val="none"/>
              </w:rPr>
              <w:t>。</w:t>
            </w:r>
          </w:p>
        </w:tc>
      </w:tr>
      <w:tr w14:paraId="4308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0DAD3DCF">
            <w:pPr>
              <w:keepNext w:val="0"/>
              <w:keepLines w:val="0"/>
              <w:pageBreakBefore w:val="0"/>
              <w:widowControl w:val="0"/>
              <w:shd w:val="clear"/>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rPr>
              <w:t>7</w:t>
            </w:r>
          </w:p>
        </w:tc>
        <w:tc>
          <w:tcPr>
            <w:tcW w:w="8370" w:type="dxa"/>
            <w:gridSpan w:val="2"/>
            <w:vAlign w:val="center"/>
          </w:tcPr>
          <w:p w14:paraId="31CC2C28">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p w14:paraId="72C10D88">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highlight w:val="none"/>
              </w:rPr>
              <w:t>。</w:t>
            </w:r>
          </w:p>
        </w:tc>
      </w:tr>
      <w:tr w14:paraId="2AE2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6BDCA158">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sz w:val="24"/>
                <w:highlight w:val="none"/>
              </w:rPr>
            </w:pPr>
          </w:p>
        </w:tc>
        <w:tc>
          <w:tcPr>
            <w:tcW w:w="8370" w:type="dxa"/>
            <w:gridSpan w:val="2"/>
            <w:vAlign w:val="center"/>
          </w:tcPr>
          <w:p w14:paraId="0951BE0A">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联合体投标的，联合体各方均需按招标文件第五部分评标标准要求提供资信证明文件，否则视为不符合相关要求。</w:t>
            </w:r>
          </w:p>
          <w:p w14:paraId="0BC20CC5">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3EB1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14A1CAE0">
            <w:pPr>
              <w:shd w:val="clear"/>
              <w:snapToGrid w:val="0"/>
              <w:spacing w:line="33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18</w:t>
            </w:r>
          </w:p>
        </w:tc>
        <w:tc>
          <w:tcPr>
            <w:tcW w:w="8370" w:type="dxa"/>
            <w:gridSpan w:val="2"/>
            <w:vAlign w:val="center"/>
          </w:tcPr>
          <w:p w14:paraId="5F87BA7D">
            <w:pPr>
              <w:shd w:val="clear"/>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p w14:paraId="79348AEA">
            <w:pPr>
              <w:widowControl w:val="0"/>
              <w:shd w:val="clear"/>
              <w:autoSpaceDE w:val="0"/>
              <w:autoSpaceDN w:val="0"/>
              <w:snapToGrid w:val="0"/>
              <w:spacing w:line="288" w:lineRule="auto"/>
              <w:textAlignment w:val="bottom"/>
              <w:rPr>
                <w:rFonts w:hAnsi="宋体" w:cs="宋体"/>
                <w:color w:val="auto"/>
                <w:szCs w:val="24"/>
                <w:highlight w:val="none"/>
              </w:rPr>
            </w:pPr>
            <w:r>
              <w:rPr>
                <w:rFonts w:hint="eastAsia" w:ascii="宋体" w:hAnsi="宋体" w:eastAsia="宋体" w:cs="宋体"/>
                <w:color w:val="auto"/>
                <w:sz w:val="24"/>
                <w:szCs w:val="24"/>
                <w:highlight w:val="none"/>
              </w:rPr>
              <w:t>1、</w:t>
            </w:r>
            <w:r>
              <w:rPr>
                <w:rFonts w:hint="eastAsia" w:hAnsi="宋体" w:cs="宋体"/>
                <w:color w:val="auto"/>
                <w:szCs w:val="24"/>
                <w:highlight w:val="none"/>
              </w:rPr>
              <w:t>本项目代理服务费按照以下标准收取（招标代理费按差额定率累进法计算</w:t>
            </w:r>
            <w:r>
              <w:rPr>
                <w:rFonts w:hint="eastAsia" w:hAnsi="宋体" w:cs="宋体"/>
                <w:color w:val="auto"/>
                <w:szCs w:val="24"/>
                <w:highlight w:val="none"/>
                <w:lang w:val="en-US" w:eastAsia="zh-CN"/>
              </w:rPr>
              <w:t>*94%</w:t>
            </w:r>
            <w:r>
              <w:rPr>
                <w:rFonts w:hint="eastAsia" w:hAnsi="宋体" w:cs="宋体"/>
                <w:color w:val="auto"/>
                <w:szCs w:val="24"/>
                <w:highlight w:val="none"/>
              </w:rPr>
              <w:t>），</w:t>
            </w:r>
            <w:r>
              <w:rPr>
                <w:rFonts w:hint="eastAsia" w:asciiTheme="minorEastAsia" w:hAnsiTheme="minorEastAsia" w:eastAsiaTheme="minorEastAsia" w:cstheme="minorEastAsia"/>
                <w:color w:val="auto"/>
                <w:szCs w:val="24"/>
                <w:highlight w:val="none"/>
              </w:rPr>
              <w:t>其他费用按实结算。</w:t>
            </w:r>
          </w:p>
          <w:tbl>
            <w:tblPr>
              <w:tblStyle w:val="64"/>
              <w:tblW w:w="6488" w:type="dxa"/>
              <w:tblInd w:w="91" w:type="dxa"/>
              <w:tblLayout w:type="fixed"/>
              <w:tblCellMar>
                <w:top w:w="0" w:type="dxa"/>
                <w:left w:w="108" w:type="dxa"/>
                <w:bottom w:w="0" w:type="dxa"/>
                <w:right w:w="108" w:type="dxa"/>
              </w:tblCellMar>
            </w:tblPr>
            <w:tblGrid>
              <w:gridCol w:w="3110"/>
              <w:gridCol w:w="3378"/>
            </w:tblGrid>
            <w:tr w14:paraId="6DEE19EB">
              <w:tblPrEx>
                <w:tblCellMar>
                  <w:top w:w="0" w:type="dxa"/>
                  <w:left w:w="108" w:type="dxa"/>
                  <w:bottom w:w="0" w:type="dxa"/>
                  <w:right w:w="108" w:type="dxa"/>
                </w:tblCellMar>
              </w:tblPrEx>
              <w:trPr>
                <w:trHeight w:val="840" w:hRule="atLeast"/>
              </w:trPr>
              <w:tc>
                <w:tcPr>
                  <w:tcW w:w="3110"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4F9C8BE0">
                  <w:pPr>
                    <w:widowControl/>
                    <w:shd w:val="clear"/>
                    <w:spacing w:line="440" w:lineRule="exact"/>
                    <w:ind w:firstLine="480"/>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        服务类型金额</w:t>
                  </w:r>
                </w:p>
                <w:p w14:paraId="29BABB0A">
                  <w:pPr>
                    <w:widowControl/>
                    <w:shd w:val="clear"/>
                    <w:spacing w:line="440" w:lineRule="exact"/>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（万元）        </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8C9F">
                  <w:pPr>
                    <w:widowControl/>
                    <w:shd w:val="clear"/>
                    <w:spacing w:line="440" w:lineRule="exact"/>
                    <w:ind w:firstLine="480" w:firstLineChars="200"/>
                    <w:jc w:val="center"/>
                    <w:textAlignment w:val="center"/>
                    <w:rPr>
                      <w:rFonts w:ascii="宋体" w:hAnsi="宋体" w:cs="宋体"/>
                      <w:color w:val="auto"/>
                      <w:sz w:val="24"/>
                      <w:szCs w:val="24"/>
                      <w:highlight w:val="none"/>
                    </w:rPr>
                  </w:pPr>
                  <w:r>
                    <w:rPr>
                      <w:rFonts w:hint="eastAsia" w:ascii="宋体" w:hAnsi="宋体" w:cs="宋体"/>
                      <w:color w:val="auto"/>
                      <w:kern w:val="0"/>
                      <w:sz w:val="24"/>
                      <w:highlight w:val="none"/>
                      <w:lang w:val="en-US" w:eastAsia="zh-CN" w:bidi="ar"/>
                    </w:rPr>
                    <w:t>货物</w:t>
                  </w:r>
                  <w:r>
                    <w:rPr>
                      <w:rFonts w:hint="eastAsia" w:ascii="宋体" w:hAnsi="宋体" w:cs="宋体"/>
                      <w:color w:val="auto"/>
                      <w:kern w:val="0"/>
                      <w:sz w:val="24"/>
                      <w:highlight w:val="none"/>
                      <w:lang w:bidi="ar"/>
                    </w:rPr>
                    <w:t>招标</w:t>
                  </w:r>
                </w:p>
              </w:tc>
            </w:tr>
            <w:tr w14:paraId="38B55A56">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430A">
                  <w:pPr>
                    <w:widowControl/>
                    <w:shd w:val="clear"/>
                    <w:spacing w:line="440" w:lineRule="exact"/>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100以下</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DC0C">
                  <w:pPr>
                    <w:widowControl/>
                    <w:shd w:val="clear"/>
                    <w:spacing w:line="440" w:lineRule="exact"/>
                    <w:ind w:firstLine="480" w:firstLineChars="200"/>
                    <w:jc w:val="center"/>
                    <w:textAlignment w:val="center"/>
                    <w:rPr>
                      <w:rFonts w:ascii="宋体" w:hAnsi="宋体" w:cs="宋体"/>
                      <w:color w:val="auto"/>
                      <w:sz w:val="24"/>
                      <w:szCs w:val="24"/>
                      <w:highlight w:val="none"/>
                    </w:rPr>
                  </w:pPr>
                  <w:r>
                    <w:rPr>
                      <w:rFonts w:hint="eastAsia" w:ascii="宋体" w:hAnsi="宋体" w:cs="宋体"/>
                      <w:color w:val="auto"/>
                      <w:kern w:val="0"/>
                      <w:sz w:val="24"/>
                      <w:highlight w:val="none"/>
                      <w:lang w:bidi="ar"/>
                    </w:rPr>
                    <w:t>1.5%</w:t>
                  </w:r>
                </w:p>
              </w:tc>
            </w:tr>
            <w:tr w14:paraId="1ACFD751">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73D6">
                  <w:pPr>
                    <w:widowControl/>
                    <w:shd w:val="clear"/>
                    <w:spacing w:line="440" w:lineRule="exact"/>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100-500</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8006">
                  <w:pPr>
                    <w:widowControl/>
                    <w:shd w:val="clear"/>
                    <w:spacing w:line="440" w:lineRule="exact"/>
                    <w:ind w:firstLine="480" w:firstLineChars="200"/>
                    <w:jc w:val="center"/>
                    <w:textAlignment w:val="center"/>
                    <w:rPr>
                      <w:rFonts w:ascii="宋体" w:hAnsi="宋体" w:cs="宋体"/>
                      <w:color w:val="auto"/>
                      <w:sz w:val="24"/>
                      <w:szCs w:val="24"/>
                      <w:highlight w:val="none"/>
                    </w:rPr>
                  </w:pPr>
                  <w:r>
                    <w:rPr>
                      <w:rFonts w:hint="eastAsia" w:ascii="宋体" w:hAnsi="宋体" w:cs="宋体"/>
                      <w:color w:val="auto"/>
                      <w:kern w:val="0"/>
                      <w:sz w:val="24"/>
                      <w:highlight w:val="none"/>
                      <w:lang w:val="en-US" w:eastAsia="zh-CN" w:bidi="ar"/>
                    </w:rPr>
                    <w:t>1.1</w:t>
                  </w:r>
                  <w:r>
                    <w:rPr>
                      <w:rFonts w:hint="eastAsia" w:ascii="宋体" w:hAnsi="宋体" w:cs="宋体"/>
                      <w:color w:val="auto"/>
                      <w:kern w:val="0"/>
                      <w:sz w:val="24"/>
                      <w:highlight w:val="none"/>
                      <w:lang w:bidi="ar"/>
                    </w:rPr>
                    <w:t>%</w:t>
                  </w:r>
                </w:p>
              </w:tc>
            </w:tr>
          </w:tbl>
          <w:p w14:paraId="36DCE5BC">
            <w:pPr>
              <w:shd w:val="clear"/>
              <w:spacing w:line="440" w:lineRule="exact"/>
              <w:ind w:firstLine="0" w:firstLineChars="0"/>
              <w:rPr>
                <w:rFonts w:hint="eastAsia" w:ascii="宋体" w:hAnsi="宋体" w:eastAsia="宋体" w:cs="宋体"/>
                <w:color w:val="auto"/>
                <w:kern w:val="2"/>
                <w:sz w:val="24"/>
                <w:szCs w:val="24"/>
                <w:highlight w:val="none"/>
              </w:rPr>
            </w:pPr>
            <w:r>
              <w:rPr>
                <w:rFonts w:hint="eastAsia" w:ascii="宋体" w:hAnsi="宋体" w:cs="宋体"/>
                <w:color w:val="auto"/>
                <w:sz w:val="24"/>
                <w:szCs w:val="24"/>
                <w:highlight w:val="none"/>
              </w:rPr>
              <w:t>由中标人在领取中标通知书时支付；</w:t>
            </w:r>
          </w:p>
          <w:p w14:paraId="0A2F0289">
            <w:pPr>
              <w:pStyle w:val="59"/>
              <w:keepNext w:val="0"/>
              <w:keepLines w:val="0"/>
              <w:pageBreakBefore w:val="0"/>
              <w:widowControl w:val="0"/>
              <w:shd w:val="clear"/>
              <w:kinsoku/>
              <w:wordWrap/>
              <w:overflowPunct/>
              <w:topLinePunct w:val="0"/>
              <w:autoSpaceDE w:val="0"/>
              <w:autoSpaceDN w:val="0"/>
              <w:bidi w:val="0"/>
              <w:adjustRightInd/>
              <w:snapToGrid w:val="0"/>
              <w:spacing w:before="0" w:beforeAutospacing="0" w:after="0" w:afterAutospacing="0" w:line="400" w:lineRule="exact"/>
              <w:textAlignment w:val="bottom"/>
              <w:rPr>
                <w:rFonts w:hint="eastAsia" w:ascii="宋体" w:hAnsi="宋体" w:eastAsia="宋体" w:cs="宋体"/>
                <w:color w:val="auto"/>
                <w:kern w:val="2"/>
                <w:sz w:val="24"/>
                <w:szCs w:val="24"/>
                <w:highlight w:val="none"/>
                <w:lang w:bidi="ar"/>
              </w:rPr>
            </w:pPr>
            <w:r>
              <w:rPr>
                <w:rFonts w:hint="eastAsia"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bidi="ar"/>
              </w:rPr>
              <w:t>用银行支票、电汇、现金等付款方式直接交纳中标服务费。</w:t>
            </w:r>
          </w:p>
          <w:p w14:paraId="52CCFDE8">
            <w:pPr>
              <w:pStyle w:val="59"/>
              <w:keepNext w:val="0"/>
              <w:keepLines w:val="0"/>
              <w:pageBreakBefore w:val="0"/>
              <w:widowControl w:val="0"/>
              <w:shd w:val="clear"/>
              <w:kinsoku/>
              <w:wordWrap/>
              <w:overflowPunct/>
              <w:topLinePunct w:val="0"/>
              <w:autoSpaceDE w:val="0"/>
              <w:autoSpaceDN w:val="0"/>
              <w:bidi w:val="0"/>
              <w:adjustRightInd/>
              <w:snapToGrid w:val="0"/>
              <w:spacing w:before="0" w:beforeAutospacing="0" w:after="0" w:afterAutospacing="0" w:line="400" w:lineRule="exact"/>
              <w:textAlignment w:val="bottom"/>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bidi="ar"/>
              </w:rPr>
              <w:t>户</w:t>
            </w: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bidi="ar"/>
              </w:rPr>
              <w:t>名：</w:t>
            </w:r>
            <w:r>
              <w:rPr>
                <w:rFonts w:hint="eastAsia" w:ascii="宋体" w:hAnsi="宋体" w:eastAsia="宋体" w:cs="宋体"/>
                <w:color w:val="auto"/>
                <w:kern w:val="2"/>
                <w:sz w:val="24"/>
                <w:szCs w:val="24"/>
                <w:highlight w:val="none"/>
                <w:u w:val="single"/>
                <w:lang w:eastAsia="zh-CN" w:bidi="ar"/>
              </w:rPr>
              <w:t>浙江广通工程咨询有限公司</w:t>
            </w:r>
            <w:r>
              <w:rPr>
                <w:rFonts w:hint="eastAsia" w:ascii="宋体" w:hAnsi="宋体" w:eastAsia="宋体" w:cs="宋体"/>
                <w:color w:val="auto"/>
                <w:kern w:val="2"/>
                <w:sz w:val="24"/>
                <w:szCs w:val="24"/>
                <w:highlight w:val="none"/>
                <w:u w:val="single"/>
                <w:lang w:bidi="ar"/>
              </w:rPr>
              <w:t>嵊州分公司</w:t>
            </w:r>
          </w:p>
          <w:p w14:paraId="7413D744">
            <w:pPr>
              <w:pStyle w:val="59"/>
              <w:keepNext w:val="0"/>
              <w:keepLines w:val="0"/>
              <w:pageBreakBefore w:val="0"/>
              <w:widowControl w:val="0"/>
              <w:shd w:val="clear"/>
              <w:kinsoku/>
              <w:wordWrap/>
              <w:overflowPunct/>
              <w:topLinePunct w:val="0"/>
              <w:autoSpaceDE w:val="0"/>
              <w:autoSpaceDN w:val="0"/>
              <w:bidi w:val="0"/>
              <w:adjustRightInd/>
              <w:snapToGrid w:val="0"/>
              <w:spacing w:before="0" w:beforeAutospacing="0" w:after="0" w:afterAutospacing="0" w:line="400" w:lineRule="exact"/>
              <w:textAlignment w:val="bottom"/>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bidi="ar"/>
              </w:rPr>
              <w:t>开户行：</w:t>
            </w:r>
            <w:r>
              <w:rPr>
                <w:rFonts w:hint="eastAsia" w:ascii="宋体" w:hAnsi="宋体" w:eastAsia="宋体" w:cs="宋体"/>
                <w:color w:val="auto"/>
                <w:kern w:val="2"/>
                <w:sz w:val="24"/>
                <w:szCs w:val="24"/>
                <w:highlight w:val="none"/>
                <w:u w:val="single"/>
                <w:lang w:bidi="ar"/>
              </w:rPr>
              <w:t>嵊州农商银行</w:t>
            </w:r>
            <w:r>
              <w:rPr>
                <w:rFonts w:hint="eastAsia" w:ascii="宋体" w:hAnsi="宋体" w:eastAsia="宋体" w:cs="宋体"/>
                <w:color w:val="auto"/>
                <w:kern w:val="2"/>
                <w:sz w:val="24"/>
                <w:szCs w:val="24"/>
                <w:highlight w:val="none"/>
                <w:u w:val="single"/>
                <w:lang w:val="en-US" w:eastAsia="zh-CN" w:bidi="ar"/>
              </w:rPr>
              <w:t>甘霖</w:t>
            </w:r>
            <w:r>
              <w:rPr>
                <w:rFonts w:hint="eastAsia" w:ascii="宋体" w:hAnsi="宋体" w:eastAsia="宋体" w:cs="宋体"/>
                <w:color w:val="auto"/>
                <w:kern w:val="2"/>
                <w:sz w:val="24"/>
                <w:szCs w:val="24"/>
                <w:highlight w:val="none"/>
                <w:u w:val="single"/>
                <w:lang w:bidi="ar"/>
              </w:rPr>
              <w:t>支行</w:t>
            </w:r>
          </w:p>
          <w:p w14:paraId="6C6E2AD3">
            <w:pPr>
              <w:shd w:val="clear"/>
              <w:spacing w:line="336"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4"/>
                <w:szCs w:val="24"/>
                <w:highlight w:val="none"/>
                <w:lang w:bidi="ar"/>
              </w:rPr>
              <w:t>账</w:t>
            </w: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bidi="ar"/>
              </w:rPr>
              <w:t>号：</w:t>
            </w:r>
            <w:r>
              <w:rPr>
                <w:rFonts w:hint="eastAsia" w:ascii="宋体" w:hAnsi="宋体" w:eastAsia="宋体" w:cs="宋体"/>
                <w:color w:val="auto"/>
                <w:kern w:val="2"/>
                <w:sz w:val="24"/>
                <w:szCs w:val="24"/>
                <w:highlight w:val="none"/>
                <w:u w:val="single"/>
                <w:lang w:bidi="ar"/>
              </w:rPr>
              <w:t>201000309849681</w:t>
            </w:r>
          </w:p>
        </w:tc>
      </w:tr>
      <w:tr w14:paraId="6422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6B6E26A">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解释：凡涉及本招标文件的解释权属于采购人。</w:t>
            </w:r>
          </w:p>
        </w:tc>
      </w:tr>
      <w:tr w14:paraId="5E53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8DC54BC">
            <w:pPr>
              <w:keepNext w:val="0"/>
              <w:keepLines w:val="0"/>
              <w:pageBreakBefore w:val="0"/>
              <w:widowControl w:val="0"/>
              <w:shd w:val="clear"/>
              <w:kinsoku/>
              <w:wordWrap/>
              <w:overflowPunct/>
              <w:topLinePunct w:val="0"/>
              <w:bidi w:val="0"/>
              <w:adjustRightInd w:val="0"/>
              <w:spacing w:line="440" w:lineRule="exact"/>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注：中标人放弃中标资格或因质疑、投诉被取消中标资格或不能履行合同的，本项目重新组织采购。</w:t>
            </w:r>
          </w:p>
        </w:tc>
      </w:tr>
      <w:bookmarkEnd w:id="4"/>
    </w:tbl>
    <w:p w14:paraId="7CE57E58">
      <w:pPr>
        <w:shd w:val="clear"/>
        <w:rPr>
          <w:color w:val="auto"/>
          <w:highlight w:val="none"/>
        </w:rPr>
      </w:pPr>
      <w:bookmarkStart w:id="5" w:name="第四部分"/>
    </w:p>
    <w:p w14:paraId="0A544DA3">
      <w:pPr>
        <w:numPr>
          <w:ilvl w:val="0"/>
          <w:numId w:val="2"/>
        </w:numPr>
        <w:shd w:val="clea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总则</w:t>
      </w:r>
    </w:p>
    <w:p w14:paraId="2972D94B">
      <w:pPr>
        <w:pStyle w:val="62"/>
        <w:numPr>
          <w:ilvl w:val="0"/>
          <w:numId w:val="0"/>
        </w:numPr>
        <w:shd w:val="clear"/>
        <w:rPr>
          <w:rFonts w:hint="eastAsia"/>
          <w:color w:val="auto"/>
          <w:highlight w:val="none"/>
        </w:rPr>
      </w:pPr>
    </w:p>
    <w:p w14:paraId="32618FF8">
      <w:pPr>
        <w:shd w:val="clear"/>
        <w:snapToGrid w:val="0"/>
        <w:spacing w:line="44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4FEF6EE6">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05276318">
      <w:pPr>
        <w:shd w:val="clear"/>
        <w:adjustRightInd/>
        <w:spacing w:line="44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62B9EA7C">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75F86EE5">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53B54563">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“投标人”“供应商”系指是指响应招标、参加投标竞争的法人、其他组织或者自然人。</w:t>
      </w:r>
    </w:p>
    <w:p w14:paraId="50560139">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2.4“监督单位”系指政府采购法定义监督管理部门。</w:t>
      </w:r>
    </w:p>
    <w:p w14:paraId="4AE00FFA">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“负责人”系指法人企业的法定负责人，或其他组织为法律、行政法规规定代表单位行使职权的主要负责人，或自然人本人。</w:t>
      </w:r>
    </w:p>
    <w:p w14:paraId="3F9213B7">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19F20BB0">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2.7“电子交易平台”系指本项目政府采购活动所依托的政府采购云平台（https://www.zcygov.cn/）。</w:t>
      </w:r>
    </w:p>
    <w:p w14:paraId="45BCB56B">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”系指适用本项目的要求，“☐”系指不适用本项目的要求。</w:t>
      </w:r>
    </w:p>
    <w:p w14:paraId="243F63A4">
      <w:pPr>
        <w:shd w:val="clea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14:paraId="19D8650E">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F14B3A6">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09E63B86">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AC2889C">
      <w:pPr>
        <w:shd w:val="clea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★3.2.2</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14:paraId="39222999">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纳入政府采购管理的修缮、装修类项目采购建材的，采购单位应将绿色建材性能、指标等作为实质性条件纳入采购文件和合同，具体性能指标要求按照相关绿色建材政府采购需求标准执行。</w:t>
      </w:r>
    </w:p>
    <w:p w14:paraId="3BF3A678">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024868F">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5395F723">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bCs/>
          <w:color w:val="auto"/>
          <w:sz w:val="24"/>
          <w:highlight w:val="none"/>
        </w:rPr>
        <w:t>小微</w:t>
      </w:r>
      <w:r>
        <w:rPr>
          <w:rFonts w:hint="eastAsia" w:ascii="宋体" w:hAnsi="宋体" w:eastAsia="宋体" w:cs="宋体"/>
          <w:color w:val="auto"/>
          <w:sz w:val="24"/>
          <w:highlight w:val="none"/>
        </w:rPr>
        <w:t>企业价格扣除（按财库〔2022〕19号文件规定执行）</w:t>
      </w:r>
    </w:p>
    <w:p w14:paraId="533E45DC">
      <w:pPr>
        <w:shd w:val="clea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3.3.1小微企业是指</w:t>
      </w:r>
      <w:r>
        <w:rPr>
          <w:rFonts w:hint="eastAsia" w:ascii="宋体" w:hAnsi="宋体" w:eastAsia="宋体" w:cs="宋体"/>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1676DBF0">
      <w:pPr>
        <w:shd w:val="clea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符合中小企业划分标准的个体工商户，在政府采购活动中视同中小企业。</w:t>
      </w:r>
    </w:p>
    <w:p w14:paraId="450A3BD3">
      <w:pPr>
        <w:shd w:val="clea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3.3.2在货物采购项目中，货物由小微企业制造，即货物由小微企业生产且使用该小微企业商号或者注册商标。</w:t>
      </w:r>
      <w:r>
        <w:rPr>
          <w:rFonts w:hint="eastAsia" w:ascii="宋体" w:hAnsi="宋体" w:eastAsia="宋体" w:cs="宋体"/>
          <w:b/>
          <w:bCs/>
          <w:color w:val="auto"/>
          <w:sz w:val="24"/>
          <w:highlight w:val="none"/>
        </w:rPr>
        <w:t>供应商提供的货物既有中小企业制造货物，也有大型企业制造货物的，不享受中小企业扶持政策。</w:t>
      </w:r>
    </w:p>
    <w:p w14:paraId="1A0959B5">
      <w:pPr>
        <w:shd w:val="clea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3.3.3在服务采购项目中，服务由小微企业承接，即提供服务的人员为小微企业依照《中华人民共和国劳动合同法》订立劳动合同的从业人员。</w:t>
      </w:r>
    </w:p>
    <w:p w14:paraId="598B382D">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3.3.4小微企业应按照招标文件格式要求提供《中小企业声明函》。</w:t>
      </w:r>
    </w:p>
    <w:p w14:paraId="4F270275">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3.3.5对于经主管预算单位统筹后未预留份额专门面向中小企业采购的采购项目，以及预留份额项目中的非预留部分采购包，采购人、采购代理机构将对符合规定的小微企业报价给予</w:t>
      </w: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val="en-US" w:eastAsia="zh-CN"/>
        </w:rPr>
        <w:t>%</w:t>
      </w:r>
      <w:r>
        <w:rPr>
          <w:rFonts w:hint="eastAsia" w:ascii="宋体" w:hAnsi="宋体" w:eastAsia="宋体" w:cs="宋体"/>
          <w:color w:val="auto"/>
          <w:sz w:val="24"/>
          <w:highlight w:val="none"/>
        </w:rPr>
        <w:t>的扣除</w:t>
      </w:r>
      <w:r>
        <w:rPr>
          <w:rFonts w:hint="eastAsia" w:ascii="宋体" w:hAnsi="宋体" w:eastAsia="宋体" w:cs="宋体"/>
          <w:color w:val="auto"/>
          <w:sz w:val="24"/>
          <w:highlight w:val="none"/>
          <w:lang w:eastAsia="zh-CN"/>
        </w:rPr>
        <w:t>（由采购人或其委托代理机构根据项目情况自行确定扣除比例）</w:t>
      </w:r>
      <w:r>
        <w:rPr>
          <w:rFonts w:hint="eastAsia" w:ascii="宋体" w:hAnsi="宋体" w:eastAsia="宋体" w:cs="宋体"/>
          <w:color w:val="auto"/>
          <w:sz w:val="24"/>
          <w:highlight w:val="none"/>
        </w:rPr>
        <w:t>，用扣除后的价格参加评审。</w:t>
      </w:r>
    </w:p>
    <w:p w14:paraId="066E5DC5">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w:t>
      </w:r>
      <w:r>
        <w:rPr>
          <w:rFonts w:hint="eastAsia" w:ascii="宋体" w:hAnsi="宋体" w:eastAsia="宋体" w:cs="宋体"/>
          <w:color w:val="auto"/>
          <w:sz w:val="24"/>
          <w:highlight w:val="none"/>
          <w:lang w:eastAsia="zh-CN"/>
        </w:rPr>
        <w:t>（由采购人或其委托代理机构根据项目情况自行确定扣除比例）</w:t>
      </w:r>
      <w:r>
        <w:rPr>
          <w:rFonts w:hint="eastAsia" w:ascii="宋体" w:hAnsi="宋体" w:eastAsia="宋体" w:cs="宋体"/>
          <w:color w:val="auto"/>
          <w:sz w:val="24"/>
          <w:highlight w:val="none"/>
        </w:rPr>
        <w:t>，用扣除后的价格参加评审。组成联合体或者接受分包的小微企业与联合体内其他企业、分包企业之间存在直接控股、管理关系的，不享受价格扣除优惠政策。</w:t>
      </w:r>
    </w:p>
    <w:p w14:paraId="15CAB7E6">
      <w:pPr>
        <w:shd w:val="clea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以联合体形式参加政府采购活动， 联合体各方均为中小企业的，联合体视同中小企业。其中，联合体各方均为小微企业的，联合体视同小微企业。</w:t>
      </w:r>
    </w:p>
    <w:p w14:paraId="3413EF65">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3.3.7符合《关于促进残疾人就业政府采购政策的通知》（财库〔2017〕141号）规定的条件并提供《残疾人福利性单位声明函》的残疾人福利性单位视同小微企业；</w:t>
      </w:r>
    </w:p>
    <w:p w14:paraId="356FEF14">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320148D4">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支持科技创新发展</w:t>
      </w:r>
    </w:p>
    <w:p w14:paraId="03CE031D">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对省级以上主管部门认定的首台套产品，自纳入《省推广应用指导目录》起三年内参加政府采购活动，视同已具备相应销售业绩，业绩分为满分。</w:t>
      </w:r>
    </w:p>
    <w:p w14:paraId="2ACF5E72">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0202FBC8">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27038506">
      <w:pPr>
        <w:shd w:val="clea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★4.特别说明：</w:t>
      </w:r>
    </w:p>
    <w:p w14:paraId="602A0C96">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4.1供应商投标所使用的资格、信誉、荣誉与企业认证必须为投标单位所拥有。供应商投标所使用的采购项目实施人员必须为投标单位正式员工。</w:t>
      </w:r>
    </w:p>
    <w:p w14:paraId="60349339">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4.2供应商应仔细阅读招标文件的所有内容，按照招标文件的要求提交投标文件，并对所提供的全部资料的真实性承担法律责任。</w:t>
      </w:r>
    </w:p>
    <w:p w14:paraId="05E55920">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156F84F">
      <w:pPr>
        <w:shd w:val="clear"/>
        <w:adjustRightInd/>
        <w:spacing w:line="360" w:lineRule="auto"/>
        <w:jc w:val="both"/>
        <w:outlineLvl w:val="0"/>
        <w:rPr>
          <w:rFonts w:hint="eastAsia" w:ascii="宋体" w:hAnsi="宋体" w:eastAsia="宋体" w:cs="宋体"/>
          <w:b/>
          <w:color w:val="auto"/>
          <w:sz w:val="32"/>
          <w:szCs w:val="32"/>
          <w:highlight w:val="none"/>
        </w:rPr>
      </w:pPr>
    </w:p>
    <w:p w14:paraId="67EA2DC1">
      <w:pPr>
        <w:numPr>
          <w:ilvl w:val="0"/>
          <w:numId w:val="3"/>
        </w:numPr>
        <w:shd w:val="clea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招标文件</w:t>
      </w:r>
    </w:p>
    <w:p w14:paraId="3ACB5047">
      <w:pPr>
        <w:pStyle w:val="62"/>
        <w:numPr>
          <w:ilvl w:val="0"/>
          <w:numId w:val="0"/>
        </w:numPr>
        <w:shd w:val="clear"/>
        <w:rPr>
          <w:rFonts w:hint="eastAsia"/>
          <w:color w:val="auto"/>
          <w:highlight w:val="none"/>
        </w:rPr>
      </w:pPr>
    </w:p>
    <w:p w14:paraId="55D54555">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1．招标方式</w:t>
      </w:r>
    </w:p>
    <w:p w14:paraId="1AE04E74">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本次招标采用公开招标方式进行。</w:t>
      </w:r>
    </w:p>
    <w:p w14:paraId="74AF4036">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如某一标项投标人或实质性响应招标文件的投标人不足三家时，由采购人重新组织招标或按有关规定实施。</w:t>
      </w:r>
    </w:p>
    <w:p w14:paraId="3EB6B90A">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本次招标设定限价，即招标公告中公布的各标项预算金额或最高限价（各标项之间的预算金额不能互相调整）。</w:t>
      </w:r>
    </w:p>
    <w:p w14:paraId="62062C27">
      <w:pPr>
        <w:pStyle w:val="25"/>
        <w:shd w:val="clear"/>
        <w:snapToGrid w:val="0"/>
        <w:spacing w:line="440" w:lineRule="exact"/>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2.授权委托</w:t>
      </w:r>
    </w:p>
    <w:p w14:paraId="1231FC93">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本项目为电子投标项目，投标人的法定代表人或其授权代表或个体工商户不需要参加现场投标和开标。</w:t>
      </w:r>
    </w:p>
    <w:p w14:paraId="0C25BE53">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投标费用</w:t>
      </w:r>
    </w:p>
    <w:p w14:paraId="18B0BA2A">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投标人应自行承担编制投标文件及参加本次投标所涉及的一切费用。不管投标结果如何，招标人对上述费用不负任何责任。</w:t>
      </w:r>
    </w:p>
    <w:p w14:paraId="1063DC15">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招标文件的修改</w:t>
      </w:r>
    </w:p>
    <w:p w14:paraId="0437EE81">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4.1招标文件包括本招标文件及所有的招标答疑记录（澄清、修改）和发出的补充通知。</w:t>
      </w:r>
    </w:p>
    <w:p w14:paraId="6211142D">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4.2招标文件的澄清 </w:t>
      </w:r>
    </w:p>
    <w:p w14:paraId="30C643A7">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4065E9F4">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4.3招标文件的修改</w:t>
      </w:r>
    </w:p>
    <w:p w14:paraId="62564BAE">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7B1A6DE8">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102A1049">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5.参考品牌</w:t>
      </w:r>
    </w:p>
    <w:p w14:paraId="2B0C154B">
      <w:pPr>
        <w:pStyle w:val="23"/>
        <w:shd w:val="clear"/>
        <w:ind w:firstLine="480" w:firstLineChars="200"/>
        <w:rPr>
          <w:rFonts w:hint="eastAsia" w:ascii="宋体" w:hAnsi="宋体" w:eastAsia="宋体" w:cs="宋体"/>
          <w:color w:val="auto"/>
          <w:sz w:val="32"/>
          <w:szCs w:val="32"/>
          <w:highlight w:val="none"/>
          <w:lang w:val="en-US"/>
        </w:rPr>
      </w:pPr>
      <w:r>
        <w:rPr>
          <w:rFonts w:hint="eastAsia" w:ascii="宋体" w:hAnsi="宋体" w:eastAsia="宋体" w:cs="宋体"/>
          <w:color w:val="auto"/>
          <w:sz w:val="24"/>
          <w:highlight w:val="none"/>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r>
        <w:rPr>
          <w:rFonts w:hint="eastAsia" w:ascii="宋体" w:hAnsi="宋体" w:eastAsia="宋体" w:cs="宋体"/>
          <w:color w:val="auto"/>
          <w:szCs w:val="24"/>
          <w:highlight w:val="none"/>
          <w:lang w:val="en-US"/>
        </w:rPr>
        <w:t xml:space="preserve">  </w:t>
      </w:r>
      <w:r>
        <w:rPr>
          <w:rFonts w:hint="eastAsia" w:ascii="宋体" w:hAnsi="宋体" w:eastAsia="宋体" w:cs="宋体"/>
          <w:color w:val="auto"/>
          <w:sz w:val="32"/>
          <w:szCs w:val="32"/>
          <w:highlight w:val="none"/>
          <w:lang w:val="en-US"/>
        </w:rPr>
        <w:t xml:space="preserve">  </w:t>
      </w:r>
    </w:p>
    <w:p w14:paraId="20CC86CE">
      <w:pPr>
        <w:numPr>
          <w:ilvl w:val="0"/>
          <w:numId w:val="4"/>
        </w:numPr>
        <w:shd w:val="clea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投标文件</w:t>
      </w:r>
    </w:p>
    <w:p w14:paraId="1E241AFE">
      <w:pPr>
        <w:pStyle w:val="62"/>
        <w:numPr>
          <w:ilvl w:val="0"/>
          <w:numId w:val="0"/>
        </w:numPr>
        <w:shd w:val="clear"/>
        <w:rPr>
          <w:rFonts w:hint="eastAsia"/>
          <w:color w:val="auto"/>
          <w:highlight w:val="none"/>
        </w:rPr>
      </w:pPr>
    </w:p>
    <w:p w14:paraId="7327EF2C">
      <w:pPr>
        <w:shd w:val="clea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1.投标文件的语言、计量单位、形式及效力</w:t>
      </w:r>
    </w:p>
    <w:p w14:paraId="711971D2">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1.1投标人应仔细阅读招标文件中的所有内容，按照招标文件要求，详细编制投标文件，并保证投标文件的正确性和真实性。</w:t>
      </w:r>
    </w:p>
    <w:p w14:paraId="3911D2E9">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 投标文件以及投标方与招标方就有关投标事宜的所有来往函电，均应以中文书写（技术术语除外）。</w:t>
      </w:r>
    </w:p>
    <w:p w14:paraId="32FC981D">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 投标计量单位，除招标文件中有特殊要求外，应采用中华人民共和国法定计量单位，货币单位：人民币元。</w:t>
      </w:r>
    </w:p>
    <w:p w14:paraId="2F1F3654">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1.4不按招标文件的要求提供的投标文件可能导致被拒绝。</w:t>
      </w:r>
    </w:p>
    <w:p w14:paraId="7BC42CC6">
      <w:pPr>
        <w:shd w:val="clear"/>
        <w:snapToGrid w:val="0"/>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1.5投标文件的形式和效力</w:t>
      </w:r>
    </w:p>
    <w:p w14:paraId="6D62A696">
      <w:pPr>
        <w:shd w:val="clear"/>
        <w:snapToGrid w:val="0"/>
        <w:spacing w:line="440" w:lineRule="exact"/>
        <w:ind w:firstLine="723" w:firstLineChars="3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1.5.1投标文件为电子投标文件，电子投标文件按“政采云供应商项目采购-电子招投标操作指南”及本招标文件要求制作、加密传输。</w:t>
      </w:r>
    </w:p>
    <w:p w14:paraId="4D5C7A0D">
      <w:pPr>
        <w:shd w:val="clear"/>
        <w:snapToGrid w:val="0"/>
        <w:spacing w:line="440" w:lineRule="exact"/>
        <w:ind w:firstLine="723" w:firstLineChars="300"/>
        <w:jc w:val="lef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1.5.2投标文件的效力：</w:t>
      </w:r>
    </w:p>
    <w:p w14:paraId="39A1172F">
      <w:pPr>
        <w:shd w:val="clear"/>
        <w:snapToGrid w:val="0"/>
        <w:spacing w:line="440" w:lineRule="exact"/>
        <w:ind w:firstLine="723" w:firstLineChars="300"/>
        <w:jc w:val="lef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投标文件未在投标截止时间前完成传输的，视为投标文件撤回；投标文件未按时解密，亦视为投标文件撤回。</w:t>
      </w:r>
    </w:p>
    <w:p w14:paraId="435C1C84">
      <w:pPr>
        <w:pStyle w:val="33"/>
        <w:shd w:val="clea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投标文件的组成</w:t>
      </w:r>
    </w:p>
    <w:p w14:paraId="647E9305">
      <w:pPr>
        <w:shd w:val="clea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投标文件由“资格文件”、“商务技术文件资料”、“报价文件资料”三部分组成，其中</w:t>
      </w:r>
      <w:r>
        <w:rPr>
          <w:rFonts w:hint="eastAsia" w:ascii="宋体" w:hAnsi="宋体" w:eastAsia="宋体" w:cs="宋体"/>
          <w:b/>
          <w:color w:val="auto"/>
          <w:sz w:val="24"/>
          <w:highlight w:val="none"/>
        </w:rPr>
        <w:t>电子投标文件中所须加盖公章部分均应采用电子签章。</w:t>
      </w:r>
    </w:p>
    <w:p w14:paraId="4B7B7978">
      <w:pPr>
        <w:shd w:val="clear"/>
        <w:snapToGrid w:val="0"/>
        <w:spacing w:line="440" w:lineRule="exact"/>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zh-CN"/>
        </w:rPr>
        <w:t>.1资格文件：</w:t>
      </w:r>
    </w:p>
    <w:p w14:paraId="5C01A6C7">
      <w:pPr>
        <w:shd w:val="clear"/>
        <w:snapToGrid w:val="0"/>
        <w:spacing w:line="44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2.1.1营业执照扫描件；</w:t>
      </w:r>
    </w:p>
    <w:p w14:paraId="772961CE">
      <w:pPr>
        <w:shd w:val="clear"/>
        <w:snapToGrid w:val="0"/>
        <w:spacing w:line="44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2.1.2符合参加政府采购活动应当具备的一般条件的承诺函；</w:t>
      </w:r>
    </w:p>
    <w:p w14:paraId="7BF566AA">
      <w:pPr>
        <w:shd w:val="clear"/>
        <w:snapToGrid w:val="0"/>
        <w:spacing w:line="44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2.1.3联合协议（如有)；</w:t>
      </w:r>
    </w:p>
    <w:p w14:paraId="2B049DF7">
      <w:pPr>
        <w:shd w:val="clear"/>
        <w:snapToGrid w:val="0"/>
        <w:spacing w:line="440" w:lineRule="exact"/>
        <w:ind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rPr>
        <w:t>2.1.4分包意向协议</w:t>
      </w:r>
      <w:r>
        <w:rPr>
          <w:rFonts w:hint="eastAsia" w:ascii="宋体" w:hAnsi="宋体" w:eastAsia="宋体" w:cs="宋体"/>
          <w:snapToGrid w:val="0"/>
          <w:color w:val="auto"/>
          <w:kern w:val="28"/>
          <w:sz w:val="24"/>
          <w:szCs w:val="20"/>
          <w:highlight w:val="none"/>
        </w:rPr>
        <w:t>（如有)</w:t>
      </w:r>
      <w:r>
        <w:rPr>
          <w:rFonts w:hint="eastAsia" w:ascii="宋体" w:hAnsi="宋体" w:eastAsia="宋体" w:cs="宋体"/>
          <w:color w:val="auto"/>
          <w:sz w:val="24"/>
          <w:highlight w:val="none"/>
        </w:rPr>
        <w:t>；</w:t>
      </w:r>
    </w:p>
    <w:p w14:paraId="122BA81E">
      <w:pPr>
        <w:shd w:val="clear"/>
        <w:snapToGrid w:val="0"/>
        <w:spacing w:line="44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2.1.5落实政府采购政策需满足的资格要求（如有)；</w:t>
      </w:r>
    </w:p>
    <w:p w14:paraId="43D16372">
      <w:pPr>
        <w:shd w:val="clear"/>
        <w:snapToGrid w:val="0"/>
        <w:spacing w:line="44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2.1.6本项目的特定资格要求（如有)；</w:t>
      </w:r>
    </w:p>
    <w:p w14:paraId="4EA93001">
      <w:pPr>
        <w:shd w:val="clear"/>
        <w:snapToGrid w:val="0"/>
        <w:spacing w:line="44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2.1.7开标时提供《政府采购活动现场确认声明书》，发送至邮箱</w:t>
      </w:r>
      <w:r>
        <w:rPr>
          <w:rFonts w:hint="eastAsia" w:ascii="宋体" w:hAnsi="宋体" w:cs="宋体"/>
          <w:color w:val="auto"/>
          <w:sz w:val="24"/>
          <w:highlight w:val="none"/>
          <w:lang w:val="en-US" w:eastAsia="zh-CN"/>
        </w:rPr>
        <w:t>2225023245</w:t>
      </w:r>
      <w:r>
        <w:rPr>
          <w:rFonts w:hint="eastAsia" w:ascii="宋体" w:hAnsi="宋体" w:eastAsia="宋体" w:cs="宋体"/>
          <w:color w:val="auto"/>
          <w:sz w:val="24"/>
          <w:highlight w:val="none"/>
        </w:rPr>
        <w:t>@qq.com。</w:t>
      </w:r>
    </w:p>
    <w:p w14:paraId="223A4C74">
      <w:pPr>
        <w:shd w:val="clear"/>
        <w:snapToGrid w:val="0"/>
        <w:spacing w:line="440" w:lineRule="exact"/>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w:t>
      </w:r>
      <w:r>
        <w:rPr>
          <w:rFonts w:hint="eastAsia" w:ascii="宋体" w:hAnsi="宋体" w:eastAsia="宋体" w:cs="宋体"/>
          <w:b/>
          <w:color w:val="auto"/>
          <w:sz w:val="24"/>
          <w:highlight w:val="none"/>
        </w:rPr>
        <w:t>2商务技术</w:t>
      </w:r>
      <w:r>
        <w:rPr>
          <w:rFonts w:hint="eastAsia" w:ascii="宋体" w:hAnsi="宋体" w:eastAsia="宋体" w:cs="宋体"/>
          <w:b/>
          <w:color w:val="auto"/>
          <w:sz w:val="24"/>
          <w:highlight w:val="none"/>
          <w:lang w:val="zh-CN"/>
        </w:rPr>
        <w:t>文件：</w:t>
      </w:r>
    </w:p>
    <w:p w14:paraId="49D2DBE1">
      <w:pPr>
        <w:shd w:val="clea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2.2.1评分索引表；</w:t>
      </w:r>
    </w:p>
    <w:p w14:paraId="2A5C9065">
      <w:pPr>
        <w:shd w:val="clea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2.2.2投标函；</w:t>
      </w:r>
      <w:r>
        <w:rPr>
          <w:rFonts w:hint="eastAsia" w:ascii="宋体" w:hAnsi="宋体" w:eastAsia="宋体" w:cs="宋体"/>
          <w:color w:val="auto"/>
          <w:sz w:val="24"/>
          <w:highlight w:val="none"/>
          <w:lang w:val="zh-CN"/>
        </w:rPr>
        <w:t xml:space="preserve"> </w:t>
      </w:r>
    </w:p>
    <w:p w14:paraId="3B7E1D57">
      <w:pPr>
        <w:shd w:val="clear"/>
        <w:snapToGrid w:val="0"/>
        <w:spacing w:line="360" w:lineRule="auto"/>
        <w:ind w:firstLine="720" w:firstLineChars="300"/>
        <w:rPr>
          <w:rFonts w:hint="eastAsia" w:ascii="宋体" w:hAnsi="宋体" w:eastAsia="宋体" w:cs="宋体"/>
          <w:color w:val="auto"/>
          <w:sz w:val="24"/>
          <w:highlight w:val="none"/>
        </w:rPr>
      </w:pPr>
      <w:bookmarkStart w:id="6" w:name="OLE_LINK3"/>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3</w:t>
      </w:r>
      <w:bookmarkEnd w:id="6"/>
      <w:r>
        <w:rPr>
          <w:rFonts w:hint="eastAsia" w:ascii="宋体" w:hAnsi="宋体" w:eastAsia="宋体" w:cs="宋体"/>
          <w:color w:val="auto"/>
          <w:sz w:val="24"/>
          <w:highlight w:val="none"/>
        </w:rPr>
        <w:t>法定代表人授权委托书；</w:t>
      </w:r>
    </w:p>
    <w:p w14:paraId="4CC6991F">
      <w:pPr>
        <w:shd w:val="clear"/>
        <w:snapToGrid w:val="0"/>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法定代表人及其授权代表身份证复印件</w:t>
      </w:r>
      <w:r>
        <w:rPr>
          <w:rFonts w:hint="eastAsia" w:ascii="宋体" w:hAnsi="宋体" w:eastAsia="宋体" w:cs="宋体"/>
          <w:color w:val="auto"/>
          <w:sz w:val="24"/>
          <w:highlight w:val="none"/>
          <w:lang w:eastAsia="zh-CN"/>
        </w:rPr>
        <w:t>；</w:t>
      </w:r>
    </w:p>
    <w:p w14:paraId="080DDD6F">
      <w:pPr>
        <w:shd w:val="clea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2.2.5授权代表社保证明；</w:t>
      </w:r>
    </w:p>
    <w:p w14:paraId="50EBFEB5">
      <w:pPr>
        <w:shd w:val="clea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2.2.6法定代表人身份证明书；</w:t>
      </w:r>
    </w:p>
    <w:p w14:paraId="7D5AC7B1">
      <w:pPr>
        <w:shd w:val="clea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2.2.7商务资信响应表</w:t>
      </w:r>
    </w:p>
    <w:p w14:paraId="5BA1ED43">
      <w:pPr>
        <w:shd w:val="clea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2.2.8</w:t>
      </w:r>
      <w:bookmarkStart w:id="7" w:name="OLE_LINK4"/>
      <w:r>
        <w:rPr>
          <w:rFonts w:hint="eastAsia" w:ascii="宋体" w:hAnsi="宋体" w:eastAsia="宋体" w:cs="宋体"/>
          <w:color w:val="auto"/>
          <w:sz w:val="24"/>
          <w:highlight w:val="none"/>
        </w:rPr>
        <w:t>技术响应偏离表</w:t>
      </w:r>
      <w:bookmarkEnd w:id="7"/>
      <w:r>
        <w:rPr>
          <w:rFonts w:hint="eastAsia" w:ascii="宋体" w:hAnsi="宋体" w:eastAsia="宋体" w:cs="宋体"/>
          <w:color w:val="auto"/>
          <w:sz w:val="24"/>
          <w:highlight w:val="none"/>
        </w:rPr>
        <w:t>；</w:t>
      </w:r>
    </w:p>
    <w:p w14:paraId="559AD0CC">
      <w:pPr>
        <w:shd w:val="clear"/>
        <w:spacing w:line="360" w:lineRule="auto"/>
        <w:ind w:right="-510" w:rightChars="-243"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2.2.9</w:t>
      </w:r>
      <w:r>
        <w:rPr>
          <w:rFonts w:hint="eastAsia" w:ascii="宋体" w:hAnsi="宋体" w:eastAsia="宋体" w:cs="宋体"/>
          <w:color w:val="auto"/>
          <w:sz w:val="24"/>
          <w:highlight w:val="none"/>
          <w:lang w:val="zh-CN"/>
        </w:rPr>
        <w:t>主要业绩证明；</w:t>
      </w:r>
    </w:p>
    <w:p w14:paraId="3069C5AF">
      <w:pPr>
        <w:shd w:val="clea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2.2.10项目小组人员名单</w:t>
      </w:r>
      <w:r>
        <w:rPr>
          <w:rFonts w:hint="eastAsia" w:ascii="宋体" w:hAnsi="宋体" w:eastAsia="宋体" w:cs="宋体"/>
          <w:color w:val="auto"/>
          <w:sz w:val="24"/>
          <w:highlight w:val="none"/>
          <w:lang w:val="zh-CN"/>
        </w:rPr>
        <w:t>；</w:t>
      </w:r>
    </w:p>
    <w:p w14:paraId="0348850D">
      <w:pPr>
        <w:shd w:val="clea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2.2.11</w:t>
      </w:r>
      <w:r>
        <w:rPr>
          <w:rFonts w:hint="eastAsia" w:ascii="宋体" w:hAnsi="宋体" w:eastAsia="宋体" w:cs="宋体"/>
          <w:color w:val="auto"/>
          <w:sz w:val="24"/>
          <w:highlight w:val="none"/>
          <w:lang w:val="zh-CN"/>
        </w:rPr>
        <w:t>政府采购供应商廉洁自律承诺书；</w:t>
      </w:r>
    </w:p>
    <w:p w14:paraId="68964827">
      <w:pPr>
        <w:shd w:val="clea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2.2.12</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sz w:val="24"/>
          <w:highlight w:val="none"/>
          <w:lang w:val="zh-CN"/>
        </w:rPr>
        <w:t>；</w:t>
      </w:r>
    </w:p>
    <w:p w14:paraId="23127647">
      <w:pPr>
        <w:shd w:val="clea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2.2.13</w:t>
      </w:r>
      <w:r>
        <w:rPr>
          <w:rFonts w:hint="eastAsia" w:ascii="宋体" w:hAnsi="宋体" w:eastAsia="宋体" w:cs="宋体"/>
          <w:color w:val="auto"/>
          <w:sz w:val="24"/>
          <w:highlight w:val="none"/>
          <w:lang w:val="zh-CN"/>
        </w:rPr>
        <w:t>认为需要的其他商务技术（资信）文件或说明（</w:t>
      </w:r>
      <w:r>
        <w:rPr>
          <w:rFonts w:hint="eastAsia" w:ascii="宋体" w:hAnsi="宋体" w:eastAsia="宋体" w:cs="宋体"/>
          <w:color w:val="auto"/>
          <w:sz w:val="24"/>
          <w:highlight w:val="none"/>
          <w:lang w:val="en-US" w:eastAsia="zh-CN"/>
        </w:rPr>
        <w:t>格式自拟</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w:t>
      </w:r>
    </w:p>
    <w:p w14:paraId="5737C299">
      <w:pPr>
        <w:shd w:val="clear"/>
        <w:snapToGrid w:val="0"/>
        <w:spacing w:line="440" w:lineRule="exact"/>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2.3报价文件： </w:t>
      </w:r>
    </w:p>
    <w:p w14:paraId="4B2B6C5E">
      <w:pPr>
        <w:pStyle w:val="62"/>
        <w:shd w:val="clear"/>
        <w:autoSpaceDE/>
        <w:autoSpaceDN/>
        <w:snapToGrid w:val="0"/>
        <w:spacing w:line="440" w:lineRule="exact"/>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2.3.1</w:t>
      </w:r>
      <w:bookmarkStart w:id="8" w:name="OLE_LINK1"/>
      <w:r>
        <w:rPr>
          <w:rFonts w:hint="eastAsia" w:ascii="宋体" w:hAnsi="宋体" w:eastAsia="宋体" w:cs="宋体"/>
          <w:color w:val="auto"/>
          <w:highlight w:val="none"/>
        </w:rPr>
        <w:t>开标一览表</w:t>
      </w:r>
      <w:bookmarkEnd w:id="8"/>
      <w:r>
        <w:rPr>
          <w:rFonts w:hint="eastAsia" w:ascii="宋体" w:hAnsi="宋体" w:eastAsia="宋体" w:cs="宋体"/>
          <w:color w:val="auto"/>
          <w:highlight w:val="none"/>
        </w:rPr>
        <w:t>；</w:t>
      </w:r>
    </w:p>
    <w:p w14:paraId="711EE415">
      <w:pPr>
        <w:pStyle w:val="62"/>
        <w:shd w:val="clear"/>
        <w:autoSpaceDE/>
        <w:autoSpaceDN/>
        <w:snapToGrid w:val="0"/>
        <w:spacing w:line="440" w:lineRule="exact"/>
        <w:ind w:firstLine="720" w:firstLineChars="3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rPr>
        <w:t>2.3.2</w:t>
      </w:r>
      <w:r>
        <w:rPr>
          <w:rFonts w:hint="eastAsia" w:hAnsi="宋体" w:cs="宋体"/>
          <w:color w:val="auto"/>
          <w:highlight w:val="none"/>
          <w:lang w:val="en-US" w:eastAsia="zh-CN"/>
        </w:rPr>
        <w:t>报价明细表；</w:t>
      </w:r>
    </w:p>
    <w:p w14:paraId="39C1E009">
      <w:pPr>
        <w:pStyle w:val="62"/>
        <w:shd w:val="clear"/>
        <w:autoSpaceDE/>
        <w:autoSpaceDN/>
        <w:snapToGrid w:val="0"/>
        <w:spacing w:line="440" w:lineRule="exact"/>
        <w:ind w:firstLine="720" w:firstLineChars="300"/>
        <w:rPr>
          <w:rFonts w:hint="eastAsia" w:ascii="宋体" w:hAnsi="宋体" w:eastAsia="宋体" w:cs="宋体"/>
          <w:color w:val="auto"/>
          <w:highlight w:val="none"/>
        </w:rPr>
      </w:pPr>
      <w:r>
        <w:rPr>
          <w:rFonts w:hint="eastAsia" w:hAnsi="宋体" w:cs="宋体"/>
          <w:color w:val="auto"/>
          <w:highlight w:val="none"/>
          <w:lang w:val="en-US" w:eastAsia="zh-CN"/>
        </w:rPr>
        <w:t>2.3.3</w:t>
      </w:r>
      <w:r>
        <w:rPr>
          <w:rFonts w:hint="eastAsia" w:ascii="宋体" w:hAnsi="宋体" w:eastAsia="宋体" w:cs="宋体"/>
          <w:color w:val="auto"/>
          <w:highlight w:val="none"/>
        </w:rPr>
        <w:t>中小企业声明函（如有）；</w:t>
      </w:r>
    </w:p>
    <w:p w14:paraId="14DC24ED">
      <w:pPr>
        <w:pStyle w:val="62"/>
        <w:shd w:val="clear"/>
        <w:autoSpaceDE/>
        <w:autoSpaceDN/>
        <w:snapToGrid w:val="0"/>
        <w:spacing w:line="440" w:lineRule="exact"/>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2.3.</w:t>
      </w:r>
      <w:r>
        <w:rPr>
          <w:rFonts w:hint="eastAsia" w:hAnsi="宋体" w:cs="宋体"/>
          <w:color w:val="auto"/>
          <w:highlight w:val="none"/>
          <w:lang w:val="en-US" w:eastAsia="zh-CN"/>
        </w:rPr>
        <w:t>4</w:t>
      </w:r>
      <w:r>
        <w:rPr>
          <w:rFonts w:hint="eastAsia" w:ascii="宋体" w:hAnsi="宋体" w:eastAsia="宋体" w:cs="宋体"/>
          <w:color w:val="auto"/>
          <w:highlight w:val="none"/>
        </w:rPr>
        <w:t>残疾人福利性单位声明函（如有）。</w:t>
      </w:r>
    </w:p>
    <w:p w14:paraId="04DBEC8E">
      <w:pPr>
        <w:pStyle w:val="62"/>
        <w:shd w:val="clear"/>
        <w:autoSpaceDE/>
        <w:autoSpaceDN/>
        <w:snapToGrid w:val="0"/>
        <w:spacing w:line="440" w:lineRule="exact"/>
        <w:ind w:firstLine="0"/>
        <w:rPr>
          <w:rFonts w:hint="eastAsia" w:ascii="宋体" w:hAnsi="宋体" w:eastAsia="宋体" w:cs="宋体"/>
          <w:b/>
          <w:bCs/>
          <w:color w:val="auto"/>
          <w:highlight w:val="none"/>
        </w:rPr>
      </w:pPr>
      <w:r>
        <w:rPr>
          <w:rFonts w:hint="eastAsia" w:ascii="宋体" w:hAnsi="宋体" w:eastAsia="宋体" w:cs="宋体"/>
          <w:b/>
          <w:bCs/>
          <w:color w:val="auto"/>
          <w:highlight w:val="none"/>
          <w:lang w:val="en-US"/>
        </w:rPr>
        <w:t>3.投标报价</w:t>
      </w:r>
    </w:p>
    <w:p w14:paraId="3540E933">
      <w:pPr>
        <w:shd w:val="clear"/>
        <w:adjustRightInd w:val="0"/>
        <w:snapToGrid w:val="0"/>
        <w:spacing w:line="440" w:lineRule="exact"/>
        <w:ind w:left="0" w:leftChars="0" w:firstLine="480" w:firstLineChars="200"/>
        <w:jc w:val="both"/>
        <w:rPr>
          <w:rFonts w:hint="eastAsia" w:ascii="宋体" w:hAnsi="宋体" w:eastAsia="宋体" w:cs="宋体"/>
          <w:b/>
          <w:color w:val="auto"/>
          <w:sz w:val="32"/>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3.1报价为采购人可以合格使用产品的价格，包括货款、包装、运输、保险、货到就位以及安装、调试、培训、保修及产品知识产权等一切费用。</w:t>
      </w:r>
    </w:p>
    <w:p w14:paraId="7A0375BD">
      <w:pPr>
        <w:shd w:val="clear"/>
        <w:adjustRightInd w:val="0"/>
        <w:snapToGrid w:val="0"/>
        <w:spacing w:line="440" w:lineRule="exact"/>
        <w:ind w:left="0" w:leftChars="0" w:firstLine="480" w:firstLineChars="200"/>
        <w:jc w:val="both"/>
        <w:rPr>
          <w:rFonts w:hint="eastAsia" w:ascii="宋体" w:hAnsi="宋体" w:eastAsia="宋体" w:cs="宋体"/>
          <w:b/>
          <w:color w:val="auto"/>
          <w:sz w:val="32"/>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3.2招标文件未列明，而投标人认为必需的费用也需列入报价。</w:t>
      </w:r>
    </w:p>
    <w:p w14:paraId="5845B75C">
      <w:pPr>
        <w:shd w:val="clear"/>
        <w:adjustRightInd w:val="0"/>
        <w:snapToGrid w:val="0"/>
        <w:spacing w:line="440" w:lineRule="exact"/>
        <w:ind w:left="0" w:leftChars="0" w:firstLine="480" w:firstLineChars="200"/>
        <w:jc w:val="both"/>
        <w:rPr>
          <w:rFonts w:hint="eastAsia" w:ascii="宋体" w:hAnsi="宋体" w:eastAsia="宋体" w:cs="宋体"/>
          <w:b/>
          <w:color w:val="auto"/>
          <w:sz w:val="32"/>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3.3投标报价只允许有一个报价，有选择的报价将不予接受（除指定外）。</w:t>
      </w:r>
    </w:p>
    <w:p w14:paraId="0CEA6D8C">
      <w:pPr>
        <w:shd w:val="clear"/>
        <w:adjustRightInd w:val="0"/>
        <w:snapToGrid w:val="0"/>
        <w:spacing w:line="440" w:lineRule="exact"/>
        <w:ind w:left="0" w:leftChars="0" w:firstLine="480" w:firstLineChars="200"/>
        <w:jc w:val="both"/>
        <w:rPr>
          <w:rFonts w:hint="eastAsia" w:ascii="宋体" w:hAnsi="宋体" w:eastAsia="宋体" w:cs="宋体"/>
          <w:b/>
          <w:color w:val="auto"/>
          <w:sz w:val="32"/>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3.4投标人提供虚假材料投标的，投标无效。</w:t>
      </w:r>
    </w:p>
    <w:p w14:paraId="0F3161C0">
      <w:pPr>
        <w:pStyle w:val="62"/>
        <w:shd w:val="clear"/>
        <w:autoSpaceDE/>
        <w:autoSpaceDN/>
        <w:snapToGrid w:val="0"/>
        <w:spacing w:line="440" w:lineRule="exact"/>
        <w:ind w:firstLine="0"/>
        <w:rPr>
          <w:rFonts w:hint="eastAsia" w:ascii="宋体" w:hAnsi="宋体" w:eastAsia="宋体" w:cs="宋体"/>
          <w:b/>
          <w:color w:val="auto"/>
          <w:szCs w:val="24"/>
          <w:highlight w:val="none"/>
        </w:rPr>
      </w:pPr>
      <w:r>
        <w:rPr>
          <w:rFonts w:hint="eastAsia" w:ascii="宋体" w:hAnsi="宋体" w:eastAsia="宋体" w:cs="宋体"/>
          <w:b/>
          <w:color w:val="auto"/>
          <w:kern w:val="0"/>
          <w:szCs w:val="24"/>
          <w:highlight w:val="none"/>
        </w:rPr>
        <w:t xml:space="preserve">4. </w:t>
      </w:r>
      <w:r>
        <w:rPr>
          <w:rFonts w:hint="eastAsia" w:ascii="宋体" w:hAnsi="宋体" w:eastAsia="宋体" w:cs="宋体"/>
          <w:b/>
          <w:color w:val="auto"/>
          <w:szCs w:val="24"/>
          <w:highlight w:val="none"/>
        </w:rPr>
        <w:t>投标文件的编制和</w:t>
      </w:r>
      <w:r>
        <w:rPr>
          <w:rFonts w:hint="eastAsia" w:ascii="宋体" w:hAnsi="宋体" w:eastAsia="宋体" w:cs="宋体"/>
          <w:b/>
          <w:color w:val="auto"/>
          <w:highlight w:val="none"/>
        </w:rPr>
        <w:t>签署</w:t>
      </w:r>
    </w:p>
    <w:p w14:paraId="3E036655">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4DFDE05">
      <w:pPr>
        <w:shd w:val="clear"/>
        <w:snapToGrid w:val="0"/>
        <w:spacing w:line="44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1B827B2B">
      <w:pPr>
        <w:shd w:val="clear"/>
        <w:snapToGrid w:val="0"/>
        <w:spacing w:line="44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.3使用“政采云电子交易客户端”需要提前申领CA数字证书，申领流程请自行前往“浙江政府采购网-下载专区-电子交易客户端-CA驱动和申领流程”进行查阅。</w:t>
      </w:r>
    </w:p>
    <w:p w14:paraId="3F8F63B8">
      <w:pPr>
        <w:shd w:val="clear"/>
        <w:snapToGrid w:val="0"/>
        <w:spacing w:line="44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4.4</w:t>
      </w:r>
      <w:r>
        <w:rPr>
          <w:rFonts w:hint="eastAsia" w:ascii="宋体" w:hAnsi="宋体" w:eastAsia="宋体" w:cs="宋体"/>
          <w:color w:val="auto"/>
          <w:sz w:val="24"/>
          <w:highlight w:val="none"/>
          <w:lang w:val="zh-CN"/>
        </w:rPr>
        <w:t>投标文件按照招标文件第六部分格式要求进行签署、盖章。投标人的投标文件未按照招标文件要求签署、盖章的，其投标无效。</w:t>
      </w:r>
    </w:p>
    <w:p w14:paraId="57B51C32">
      <w:pPr>
        <w:shd w:val="clear"/>
        <w:snapToGrid w:val="0"/>
        <w:spacing w:line="44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4.5</w:t>
      </w:r>
      <w:r>
        <w:rPr>
          <w:rFonts w:hint="eastAsia" w:ascii="宋体" w:hAnsi="宋体" w:eastAsia="宋体" w:cs="宋体"/>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2DF54B90">
      <w:pPr>
        <w:shd w:val="clear"/>
        <w:snapToGrid w:val="0"/>
        <w:spacing w:line="44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4.6</w:t>
      </w:r>
      <w:r>
        <w:rPr>
          <w:rFonts w:hint="eastAsia" w:ascii="宋体" w:hAnsi="宋体" w:eastAsia="宋体" w:cs="宋体"/>
          <w:color w:val="auto"/>
          <w:sz w:val="24"/>
          <w:highlight w:val="none"/>
          <w:lang w:val="zh-CN"/>
        </w:rPr>
        <w:t>招标文件对投标文件签署、盖章的要求适用于电子签名。</w:t>
      </w:r>
    </w:p>
    <w:p w14:paraId="1307045F">
      <w:pPr>
        <w:pStyle w:val="132"/>
        <w:shd w:val="clear"/>
        <w:spacing w:before="0" w:line="44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投标文件的提交、补充、修改、撤回</w:t>
      </w:r>
    </w:p>
    <w:p w14:paraId="3A9863D2">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3BB1F37">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3C6F68EC">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464008ED">
      <w:pPr>
        <w:shd w:val="clear"/>
        <w:spacing w:line="440" w:lineRule="exact"/>
        <w:rPr>
          <w:rFonts w:hint="eastAsia" w:ascii="宋体" w:hAnsi="宋体" w:eastAsia="宋体" w:cs="宋体"/>
          <w:b/>
          <w:color w:val="auto"/>
          <w:sz w:val="32"/>
          <w:highlight w:val="none"/>
        </w:rPr>
      </w:pPr>
      <w:r>
        <w:rPr>
          <w:rFonts w:hint="eastAsia" w:ascii="宋体" w:hAnsi="宋体" w:eastAsia="宋体" w:cs="宋体"/>
          <w:b/>
          <w:bCs/>
          <w:color w:val="auto"/>
          <w:sz w:val="24"/>
          <w:highlight w:val="none"/>
        </w:rPr>
        <w:t>6.投标有效期</w:t>
      </w:r>
    </w:p>
    <w:p w14:paraId="14EB34E9">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6.1投标有效期为从提交投标文件的截止之日起90天。投标人的投标文件中承诺的投标有效期少于招标文件中载明的投标有效期的，投标无效。</w:t>
      </w:r>
    </w:p>
    <w:p w14:paraId="539CD507">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6.2投标文件合格投递后，自投标截止日期起，在投标有效期内有效。</w:t>
      </w:r>
    </w:p>
    <w:p w14:paraId="2BB4CD7D">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175B12BB">
      <w:pPr>
        <w:pStyle w:val="132"/>
        <w:shd w:val="clear"/>
        <w:spacing w:before="0"/>
        <w:ind w:firstLine="643"/>
        <w:rPr>
          <w:rFonts w:hint="eastAsia" w:ascii="宋体" w:hAnsi="宋体" w:eastAsia="宋体" w:cs="宋体"/>
          <w:b/>
          <w:color w:val="auto"/>
          <w:sz w:val="32"/>
          <w:highlight w:val="none"/>
        </w:rPr>
      </w:pPr>
    </w:p>
    <w:p w14:paraId="318F8BA9">
      <w:pPr>
        <w:numPr>
          <w:ilvl w:val="0"/>
          <w:numId w:val="5"/>
        </w:numPr>
        <w:shd w:val="clear"/>
        <w:spacing w:line="360" w:lineRule="auto"/>
        <w:jc w:val="center"/>
        <w:rPr>
          <w:rFonts w:hint="eastAsia" w:ascii="宋体" w:hAnsi="宋体" w:eastAsia="宋体" w:cs="宋体"/>
          <w:b/>
          <w:color w:val="auto"/>
          <w:sz w:val="32"/>
          <w:szCs w:val="32"/>
          <w:highlight w:val="none"/>
        </w:rPr>
      </w:pPr>
      <w:bookmarkStart w:id="9" w:name="_Toc91899903"/>
      <w:r>
        <w:rPr>
          <w:rFonts w:hint="eastAsia" w:ascii="宋体" w:hAnsi="宋体" w:eastAsia="宋体" w:cs="宋体"/>
          <w:b/>
          <w:color w:val="auto"/>
          <w:sz w:val="32"/>
          <w:szCs w:val="32"/>
          <w:highlight w:val="none"/>
        </w:rPr>
        <w:t>开标和评标</w:t>
      </w:r>
    </w:p>
    <w:p w14:paraId="100CB99A">
      <w:pPr>
        <w:pStyle w:val="62"/>
        <w:numPr>
          <w:ilvl w:val="0"/>
          <w:numId w:val="0"/>
        </w:numPr>
        <w:shd w:val="clear"/>
        <w:rPr>
          <w:rFonts w:hint="eastAsia"/>
          <w:color w:val="auto"/>
          <w:highlight w:val="none"/>
        </w:rPr>
      </w:pPr>
    </w:p>
    <w:p w14:paraId="03E87290">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1．电子招投标开标及评审程序</w:t>
      </w:r>
    </w:p>
    <w:p w14:paraId="27815A0E">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1.1投标截止时间后，主持人宣布开标会开始。</w:t>
      </w:r>
    </w:p>
    <w:p w14:paraId="2C9511D1">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1.2投标人登录政采云平台，用“项目采购-开标评标”功能对电子投标文件进行在线解密。在线解密电子投标文件时间为开标时间起30分钟内。</w:t>
      </w:r>
    </w:p>
    <w:p w14:paraId="45952315">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1.3评标委员会对商务技术响应文件进行评审。</w:t>
      </w:r>
    </w:p>
    <w:p w14:paraId="7DACBD36">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1.4主持人宣布商务技术得分及无效（废）投标情形（如有），公布经商务技术（资信）评审符合招标文件要求的投标人名单及其商务技术得分。</w:t>
      </w:r>
    </w:p>
    <w:p w14:paraId="0C55316A">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1.5启封报价文件资料，主持人宣读投标人名称、投标价格和投标文件的其他内容。未宣读的投标报价和招标文件未允许提供的备选投标方案等实质性内容，评标时不予承认。</w:t>
      </w:r>
    </w:p>
    <w:p w14:paraId="10B2D125">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1.6评标委员会对投标文件报价文件资料进行评审，核准投标报价及计算价格分，汇总商务技术分、价格分，根据得分排序确定中标候选人。</w:t>
      </w:r>
    </w:p>
    <w:p w14:paraId="0B79CE9C">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1.7主持人公布评标结果。</w:t>
      </w:r>
    </w:p>
    <w:p w14:paraId="1E289DAA">
      <w:pPr>
        <w:shd w:val="clear"/>
        <w:snapToGrid w:val="0"/>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特别说明：政采云公司如对电子化开标及评审程序有调整的，按调整后的程序操作。</w:t>
      </w:r>
    </w:p>
    <w:p w14:paraId="55565AEB">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2.采购过程中出现以下情形，导致电子交易平台无法正常运行，或者无法保证电子交易的公平、公正和安全时，采购组织机构可中止电子交易活动：</w:t>
      </w:r>
    </w:p>
    <w:p w14:paraId="2D32B9FB">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2.1电子交易平台发生故障而无法登录访问的； </w:t>
      </w:r>
    </w:p>
    <w:p w14:paraId="3F5446F0">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2.2电子交易平台应用或数据库出现错误，不能进行正常操作的；</w:t>
      </w:r>
    </w:p>
    <w:p w14:paraId="5DC1D78F">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2.3电子交易平台发现严重安全漏洞，有潜在泄密危险的；</w:t>
      </w:r>
    </w:p>
    <w:p w14:paraId="538D9101">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2.4病毒发作导致不能进行正常操作的； </w:t>
      </w:r>
    </w:p>
    <w:p w14:paraId="1F369FE6">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2.5其他无法保证电子交易的公平、公正和安全的情况。</w:t>
      </w:r>
    </w:p>
    <w:p w14:paraId="18B80FC0">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45818E0">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3．评标</w:t>
      </w:r>
    </w:p>
    <w:p w14:paraId="06636A6D">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3.1评标委员会由招标采购单位依法组建，负责评标活动。评标委员会遵循公开、公平、公正、科学合理、竞争择优的原则。</w:t>
      </w:r>
    </w:p>
    <w:p w14:paraId="1044F2A5">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3.2评标委员会由采购人代表和有关方面的专家组成，成员人数为五人以上单数。</w:t>
      </w:r>
    </w:p>
    <w:p w14:paraId="446AC88C">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3.3评标委员会负责对投标人资格的最终审定。</w:t>
      </w:r>
    </w:p>
    <w:p w14:paraId="6DD8C97B">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3.4评标委员会可以要求投标人对其投标文件中含义不明确的内容作必要的澄清或者说明，但澄清或者说明不得超过投标文件的范围或者改变投标文件的实质性内容。</w:t>
      </w:r>
    </w:p>
    <w:p w14:paraId="4E10DEE3">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27AFE745">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供应商通过政采云平台交换的数据电文必须进行电子签章。</w:t>
      </w:r>
    </w:p>
    <w:p w14:paraId="4AC0CB7B">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评审小组组长组织评审人员独立评审。评审小组对拟认定为采购响应文件无效，应组织相关供应商代表进行陈述、澄清或申辩；采购组织机构可协助评审小组组长对打分结果进行校对、核对并汇总统计；评审人员的评审、修改记录应保留原件，随项目其他资料一并存档。</w:t>
      </w:r>
    </w:p>
    <w:p w14:paraId="32A2F900">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3.6评标委员会对投标文件的判定，只依据投标文件和招标文件内容本身，不依据任何外来证明。</w:t>
      </w:r>
    </w:p>
    <w:p w14:paraId="6574CDDF">
      <w:pPr>
        <w:shd w:val="clear"/>
        <w:snapToGri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3.7评标委员会不向落标方解释落标的原因。</w:t>
      </w:r>
    </w:p>
    <w:p w14:paraId="1DD96943">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4．投标文件的初审鉴定</w:t>
      </w:r>
    </w:p>
    <w:p w14:paraId="7292934C">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4.1资格性审查</w:t>
      </w:r>
    </w:p>
    <w:p w14:paraId="560FE629">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4.1.1依据法律、法规和招标文件规定，采购人或采购人代表对投标人进行资格审查，以确定投标人是否具备投标资格。</w:t>
      </w:r>
    </w:p>
    <w:p w14:paraId="1C2D6AB7">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4.2符合性审查</w:t>
      </w:r>
    </w:p>
    <w:p w14:paraId="5CD04134">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4014A69">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14:paraId="57B02535">
      <w:pPr>
        <w:shd w:val="clea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 xml:space="preserve">5. </w:t>
      </w:r>
      <w:r>
        <w:rPr>
          <w:rFonts w:hint="eastAsia" w:ascii="宋体" w:hAnsi="宋体" w:eastAsia="宋体" w:cs="宋体"/>
          <w:b/>
          <w:color w:val="auto"/>
          <w:sz w:val="24"/>
          <w:highlight w:val="none"/>
        </w:rPr>
        <w:t>投标文件报价出现前后不一致的，按照下列规定修正：</w:t>
      </w:r>
    </w:p>
    <w:p w14:paraId="687CAC7A">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5.1投标文件中开标一览表（报价表）内容与投标文件中相应内容不一致的，以开标一览表（报价表）为准；</w:t>
      </w:r>
    </w:p>
    <w:p w14:paraId="7ECC1421">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5.2大写金额和小写金额不一致的，以大写金额为准；</w:t>
      </w:r>
    </w:p>
    <w:p w14:paraId="44F2D46C">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5.3单价金额小数点或者百分比有明显错位的，以开标一览表的总价为准，并修改单价；</w:t>
      </w:r>
    </w:p>
    <w:p w14:paraId="00CEBCF4">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5.4总价金额与按单价汇总金额不一致的，以单价金额计算结果为准。</w:t>
      </w:r>
    </w:p>
    <w:p w14:paraId="0E3C14CC">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0CE42175">
      <w:pPr>
        <w:shd w:val="clea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6.投标文件的评审、比较和否决</w:t>
      </w:r>
    </w:p>
    <w:p w14:paraId="251314D4">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6.1评标委员会将对在实质上响应招标文件要求的投标文件进行评估和比较。</w:t>
      </w:r>
    </w:p>
    <w:p w14:paraId="268C9509">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1E771713">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6.3在评标过程中，如发现与招标文件要求相偏离的，评标委员会可对其偏离情形进行必要的核实。</w:t>
      </w:r>
    </w:p>
    <w:p w14:paraId="4519FFB4">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6.4在评审过程中，如属于实质性偏离或符合无效响应条件的，应当询问相关投标人，并可对其通过政采云平台进行线上确认，但不允许对偏离条款进行补充、修正或撤回。</w:t>
      </w:r>
    </w:p>
    <w:p w14:paraId="6FA1FE8F">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6.5比较与评价。评标委员会应当按照评标标准，对符合性审查合格的投标文件进行商务和技术评估，综合比较与评价。</w:t>
      </w:r>
    </w:p>
    <w:p w14:paraId="1679EEE0">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6.6汇总（商务技术得分情况）。评标委员会各成员应当独立对每个投标人的商务技术文件进行评价，并汇总商务技术得分情况。</w:t>
      </w:r>
    </w:p>
    <w:p w14:paraId="2BDE3DD3">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6.7 报价审核。对符合采购需求且通过商务技术（资信）评审的投标人的报价的合理性、准确性等进行审查核实。</w:t>
      </w:r>
    </w:p>
    <w:p w14:paraId="41D5C9E9">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18E8DCB9">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6.7.2根据财政部发布的《政府采购促进中小企业发展暂行办法》规定，对于非专门面向中小企业的项目，对小型和微型企业产品的价格给予一定的扣除，用扣除后的价格参与评审。</w:t>
      </w:r>
    </w:p>
    <w:p w14:paraId="3456F60C">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6.7.3如需投标价格修正，按财政部87号令第五十九条的规定对投标价格进行修正。</w:t>
      </w:r>
    </w:p>
    <w:p w14:paraId="5FD2DCCB">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6.8评标委员会依据招标文件规定的评标标准和方法，对投标文件进行评审和比较后，向采购人或其委托的采购代理机构提供书面评标报告，并按得分高低排序推荐中标候选供应商。</w:t>
      </w:r>
    </w:p>
    <w:p w14:paraId="4457DA00">
      <w:pPr>
        <w:pStyle w:val="15"/>
        <w:widowControl w:val="0"/>
        <w:shd w:val="clear"/>
        <w:tabs>
          <w:tab w:val="clear" w:pos="390"/>
          <w:tab w:val="clear" w:pos="454"/>
        </w:tabs>
        <w:spacing w:after="120" w:line="440" w:lineRule="exact"/>
        <w:ind w:left="0" w:firstLine="0"/>
        <w:rPr>
          <w:rFonts w:hint="eastAsia" w:ascii="宋体" w:hAnsi="宋体" w:eastAsia="宋体" w:cs="宋体"/>
          <w:b/>
          <w:color w:val="auto"/>
          <w:highlight w:val="none"/>
        </w:rPr>
      </w:pPr>
      <w:r>
        <w:rPr>
          <w:rFonts w:hint="eastAsia" w:ascii="宋体" w:hAnsi="宋体" w:eastAsia="宋体" w:cs="宋体"/>
          <w:b/>
          <w:color w:val="auto"/>
          <w:highlight w:val="none"/>
        </w:rPr>
        <w:t>7.投标文件的澄清</w:t>
      </w:r>
    </w:p>
    <w:p w14:paraId="7C327A29">
      <w:pPr>
        <w:pStyle w:val="15"/>
        <w:widowControl w:val="0"/>
        <w:shd w:val="clear"/>
        <w:tabs>
          <w:tab w:val="clear" w:pos="390"/>
          <w:tab w:val="clear" w:pos="454"/>
        </w:tabs>
        <w:spacing w:after="120" w:line="440" w:lineRule="exact"/>
        <w:ind w:left="0" w:firstLine="480" w:firstLineChars="200"/>
        <w:rPr>
          <w:rFonts w:hint="eastAsia" w:ascii="宋体" w:hAnsi="宋体" w:eastAsia="宋体" w:cs="宋体"/>
          <w:color w:val="auto"/>
          <w:highlight w:val="none"/>
        </w:rPr>
      </w:pPr>
      <w:r>
        <w:rPr>
          <w:rFonts w:hint="eastAsia" w:ascii="宋体" w:hAnsi="宋体" w:eastAsia="宋体" w:cs="宋体"/>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2849BC97">
      <w:pPr>
        <w:pStyle w:val="33"/>
        <w:shd w:val="clea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8.无效投标的情形</w:t>
      </w:r>
    </w:p>
    <w:p w14:paraId="601FB4FD">
      <w:pPr>
        <w:shd w:val="clear"/>
        <w:tabs>
          <w:tab w:val="left" w:pos="4085"/>
        </w:tabs>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投标文件有下列情形之一的作无效投标处理：</w:t>
      </w:r>
    </w:p>
    <w:p w14:paraId="7C0B6F96">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8.1未按照招标文件规定要求电子签章、签字或盖章的；</w:t>
      </w:r>
    </w:p>
    <w:p w14:paraId="393C4549">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8.2单位负责人为同一人或者存在直接控股、管理关系的不同供应商参加同一合同项下的政府采购活动的（均无效）；</w:t>
      </w:r>
    </w:p>
    <w:p w14:paraId="5FB1CC76">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8.3为采购项目提供整体设计、规范编制或者项目管理、监理、检测等服务的供应商参加该采购项目的其他采购活动的； </w:t>
      </w:r>
    </w:p>
    <w:p w14:paraId="321495E3">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8.4投标人未提供招标文件中规定的基本资格条件书面承诺函的，或投标人未提供有效的特定资格证明文件的，视为投标人不具备招标文件中规定的资格要求；</w:t>
      </w:r>
    </w:p>
    <w:p w14:paraId="3D75B69D">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8.5《法定代表人身份证明书》与提供的身份证复印件信息不符的；《法定代表人授权委托书》与提供的身份证复印件信息不符的；</w:t>
      </w:r>
    </w:p>
    <w:p w14:paraId="3270E29B">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8.6《法定代表人授权委托书》或《法定代表人身份证明书》填写不全、错误、未电子签章(《法定代表人授权委托书》要求“电子签章”和“签字或盖章”缺一不可）的；</w:t>
      </w:r>
    </w:p>
    <w:p w14:paraId="10770BD9">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8.7授权代表非投标单位正式职工的（以社保证明为准，如授权代表为离退休返聘人员的，需提供退休证明及单位聘用证明），法定代表人及个体工商户除外；</w:t>
      </w:r>
    </w:p>
    <w:p w14:paraId="6A1B0F47">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8.8投标文件中的投标函无投标人的电子签章或填写不全的；</w:t>
      </w:r>
    </w:p>
    <w:p w14:paraId="50E9F3EC">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8.9报价一经涂改，未在涂改处加盖投标单位公章或者未经法定代表人或其授权代表签字或盖章的；</w:t>
      </w:r>
    </w:p>
    <w:p w14:paraId="316F8731">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8.10未按招标文件规定的格式填写，或对招标服务或技术或产品等要求未详细应答或应答内容不全、有缺失的,经评标委员会认定为无法评审的；</w:t>
      </w:r>
    </w:p>
    <w:p w14:paraId="2951F1A9">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8.11出现同一标的物或本次招标产品(服务)内的主要产品(重要组成部分)出现商务技术文件资料、报价文件资料描述不一致或前后描述不一致，经评标委员会认定后为无法评审的；</w:t>
      </w:r>
    </w:p>
    <w:p w14:paraId="7D58E8D3">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8.12《技术偏离说明表》不真实填写或弄虚作假的；</w:t>
      </w:r>
    </w:p>
    <w:p w14:paraId="31AD7891">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8.13投标文件含有采购人不能接受的附加条件；</w:t>
      </w:r>
    </w:p>
    <w:p w14:paraId="09FFF263">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3ECD9DE7">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8.15报价超过招标文件中规定的预算金额或最高限价的；</w:t>
      </w:r>
    </w:p>
    <w:p w14:paraId="38E1E41E">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8.16投标文件“商务技术文件资料”部分中出现《开标一览表》相关内容的；</w:t>
      </w:r>
    </w:p>
    <w:p w14:paraId="72F90C00">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8.17采购人拟采购的产品属于政府强制采购的节能产品品目清单范围的，投标人未按招标文件要求提供国家确定的认证机构出具的、处于有效期之内的节能产品认证证书的；</w:t>
      </w:r>
    </w:p>
    <w:p w14:paraId="65C4BD94">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8.18《开标一览表》填写不完整或字迹不能辨认或有漏项的，经评标委员会认定属于重大偏差的；</w:t>
      </w:r>
    </w:p>
    <w:p w14:paraId="5C908070">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8.19投标人对根据修正原则修正后的报价不确认的；</w:t>
      </w:r>
    </w:p>
    <w:p w14:paraId="32AA0F64">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8.20投标人提供虚假材料投标的（包括但不限于以下情节）；</w:t>
      </w:r>
    </w:p>
    <w:p w14:paraId="450906D1">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8.20.1使用伪造、变造的许可证件；</w:t>
      </w:r>
    </w:p>
    <w:p w14:paraId="07123985">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8.20.2提供虚假的财务状况或者业绩；</w:t>
      </w:r>
    </w:p>
    <w:p w14:paraId="54DA5396">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8.20.3提供虚假的项目负责人或者主要技术人员简历、劳动关系证明；</w:t>
      </w:r>
    </w:p>
    <w:p w14:paraId="11F94ABE">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8.20.4提供虚假的信用状况；</w:t>
      </w:r>
    </w:p>
    <w:p w14:paraId="237345A6">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8.20.5其他弄虚作假的行为。</w:t>
      </w:r>
    </w:p>
    <w:p w14:paraId="7CCEEF2C">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8.21下列情形之一的，视为投标人串通投标，其投标无效：</w:t>
      </w:r>
    </w:p>
    <w:p w14:paraId="7EDD82DF">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8.21.1不同投标人的投标文件由同一单位或者个人编制；</w:t>
      </w:r>
    </w:p>
    <w:p w14:paraId="78A50A42">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8.21.2不同投标人委托同一单位或者个人办理投标事宜；</w:t>
      </w:r>
    </w:p>
    <w:p w14:paraId="612AB30C">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8.21.3不同投标人的投标文件载明的项目管理成员或者联系人员为同一人；</w:t>
      </w:r>
    </w:p>
    <w:p w14:paraId="08BB25BD">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8.21.4不同投标人的投标文件异常一致或者投标报价呈规律性差异；</w:t>
      </w:r>
    </w:p>
    <w:p w14:paraId="189AA947">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8.21.5不同投标人的投标文件相互混装；</w:t>
      </w:r>
    </w:p>
    <w:p w14:paraId="561F765C">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8.21.6有二份及二份以上投标文件的相互之间有特别相同或相似之处，且经询标澄清投标人无令人信服的理由和可靠证据证明其合理性的，经评标委员会半数以上成员确认有串通投标嫌疑的</w:t>
      </w:r>
      <w:r>
        <w:rPr>
          <w:rFonts w:hint="eastAsia" w:ascii="宋体" w:hAnsi="宋体" w:eastAsia="宋体" w:cs="宋体"/>
          <w:color w:val="auto"/>
          <w:sz w:val="24"/>
          <w:highlight w:val="none"/>
          <w:lang w:eastAsia="zh-CN"/>
        </w:rPr>
        <w:t>。</w:t>
      </w:r>
    </w:p>
    <w:p w14:paraId="1684AA77">
      <w:pPr>
        <w:keepNext w:val="0"/>
        <w:keepLines w:val="0"/>
        <w:pageBreakBefore w:val="0"/>
        <w:widowControl w:val="0"/>
        <w:shd w:val="clear"/>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8.22有下列情形之一的，属于恶意串通，其投标无效：</w:t>
      </w:r>
    </w:p>
    <w:p w14:paraId="65F858D4">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8.22.1供应商直接或者间接从采购人或者采购机构处获得其他供应商的相关情况并修改其投标文件或者响应文件；</w:t>
      </w:r>
    </w:p>
    <w:p w14:paraId="1D4E694B">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8.22.2供应商按照采购人或者采购机构的授意撤换、修改投标文件或者响应文件；</w:t>
      </w:r>
    </w:p>
    <w:p w14:paraId="7C539F14">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8.22.3供应商之间协商报价、技术方案等投标文件或者响应文件的实质性内容；</w:t>
      </w:r>
    </w:p>
    <w:p w14:paraId="1AE6B4D9">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8.22.4属于同一集团、协会、商会等组织成员的供应商按照该组织要求协同参加政府采购活动；</w:t>
      </w:r>
    </w:p>
    <w:p w14:paraId="6A7B4AC4">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8.22.5供应商之间事先约定由某一特定供应商中标、成交；</w:t>
      </w:r>
    </w:p>
    <w:p w14:paraId="24F20F8F">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8.22.6供应商之间商定部分供应商放弃参加政府采购活动或者放弃中标、成交；</w:t>
      </w:r>
    </w:p>
    <w:p w14:paraId="2AA17E71">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8.22.7供应商与采购人或者采购机构之间、供应商相互之间，为谋求特定供应商中标、成交或者排斥其他供应商的其他串通行为。</w:t>
      </w:r>
    </w:p>
    <w:p w14:paraId="2D354B40">
      <w:pPr>
        <w:keepNext w:val="0"/>
        <w:keepLines w:val="0"/>
        <w:pageBreakBefore w:val="0"/>
        <w:widowControl w:val="0"/>
        <w:shd w:val="clear"/>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8.23评标委员会认定有重大偏差或实质性不响应招标文件要求的；</w:t>
      </w:r>
    </w:p>
    <w:p w14:paraId="64CA4D9E">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8.24投标文件出现不是唯一的、有选择性投标报价的；</w:t>
      </w:r>
    </w:p>
    <w:p w14:paraId="5996A1D0">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8.25 未按招标文件要求提供样品或提供样品不满足采购需求实质性条件的；</w:t>
      </w:r>
    </w:p>
    <w:p w14:paraId="1992A383">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rPr>
        <w:t>8.2</w:t>
      </w:r>
      <w:r>
        <w:rPr>
          <w:rFonts w:hint="eastAsia" w:ascii="宋体" w:hAnsi="宋体" w:eastAsia="宋体" w:cs="宋体"/>
          <w:b/>
          <w:bCs/>
          <w:color w:val="auto"/>
          <w:sz w:val="24"/>
          <w:highlight w:val="none"/>
          <w:lang w:val="en-US"/>
        </w:rPr>
        <w:t>6参与同一个采购包(标段)的供应商存在下列情形之一的其投标(响应)文件无效:</w:t>
      </w:r>
    </w:p>
    <w:p w14:paraId="4E77DDE2">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8.26.1</w:t>
      </w:r>
      <w:r>
        <w:rPr>
          <w:rFonts w:hint="eastAsia" w:ascii="宋体" w:hAnsi="宋体" w:eastAsia="宋体" w:cs="宋体"/>
          <w:b/>
          <w:bCs/>
          <w:color w:val="auto"/>
          <w:sz w:val="24"/>
          <w:highlight w:val="none"/>
          <w:lang w:val="en-US"/>
        </w:rPr>
        <w:t>不同供应商的电子投标(响应)文件上传计算机的网卡MAC地址、CPU序列号和硬盘序列号等硬件信息相同的;</w:t>
      </w:r>
    </w:p>
    <w:p w14:paraId="6CBC981D">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8.26.2</w:t>
      </w:r>
      <w:r>
        <w:rPr>
          <w:rFonts w:hint="eastAsia" w:ascii="宋体" w:hAnsi="宋体" w:eastAsia="宋体" w:cs="宋体"/>
          <w:b/>
          <w:bCs/>
          <w:color w:val="auto"/>
          <w:sz w:val="24"/>
          <w:highlight w:val="none"/>
          <w:lang w:val="en-US"/>
        </w:rPr>
        <w:t>上传的电子投标(响应)文件若出现使用本项目其他投标(响应)供应商的数字证书加密的，或者加盖本项目其他投标(响应)供应商的电子印章的;</w:t>
      </w:r>
    </w:p>
    <w:p w14:paraId="7CFE199A">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8.26.3</w:t>
      </w:r>
      <w:r>
        <w:rPr>
          <w:rFonts w:hint="eastAsia" w:ascii="宋体" w:hAnsi="宋体" w:eastAsia="宋体" w:cs="宋体"/>
          <w:b/>
          <w:bCs/>
          <w:color w:val="auto"/>
          <w:sz w:val="24"/>
          <w:highlight w:val="none"/>
          <w:lang w:val="en-US"/>
        </w:rPr>
        <w:t>不同供应商的投标(响应)文件的内容存在三处(含)以上错误一致，且无法合理解释的;</w:t>
      </w:r>
    </w:p>
    <w:p w14:paraId="1EFF3298">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8.26.4</w:t>
      </w:r>
      <w:r>
        <w:rPr>
          <w:rFonts w:hint="eastAsia" w:ascii="宋体" w:hAnsi="宋体" w:eastAsia="宋体" w:cs="宋体"/>
          <w:b/>
          <w:bCs/>
          <w:color w:val="auto"/>
          <w:sz w:val="24"/>
          <w:highlight w:val="none"/>
          <w:lang w:val="en-US"/>
        </w:rPr>
        <w:t>不同供应商联系人为同一人或不同联系人的联系电话一致，且无法合理解释的。</w:t>
      </w:r>
    </w:p>
    <w:p w14:paraId="70A36CF3">
      <w:pPr>
        <w:shd w:val="clear"/>
        <w:snapToGrid w:val="0"/>
        <w:spacing w:line="440" w:lineRule="exact"/>
        <w:ind w:firstLine="482" w:firstLineChars="200"/>
        <w:jc w:val="left"/>
        <w:rPr>
          <w:rFonts w:hint="eastAsia" w:ascii="宋体" w:hAnsi="宋体" w:eastAsia="宋体" w:cs="宋体"/>
          <w:color w:val="auto"/>
          <w:highlight w:val="none"/>
        </w:rPr>
      </w:pPr>
      <w:r>
        <w:rPr>
          <w:rFonts w:hint="eastAsia" w:ascii="宋体" w:hAnsi="宋体" w:eastAsia="宋体" w:cs="宋体"/>
          <w:b/>
          <w:color w:val="auto"/>
          <w:sz w:val="24"/>
          <w:highlight w:val="none"/>
        </w:rPr>
        <w:t>8.2</w:t>
      </w:r>
      <w:r>
        <w:rPr>
          <w:rFonts w:hint="eastAsia" w:ascii="宋体" w:hAnsi="宋体" w:eastAsia="宋体" w:cs="宋体"/>
          <w:b/>
          <w:color w:val="auto"/>
          <w:sz w:val="24"/>
          <w:highlight w:val="none"/>
          <w:lang w:val="en-US"/>
        </w:rPr>
        <w:t>7</w:t>
      </w:r>
      <w:r>
        <w:rPr>
          <w:rFonts w:hint="eastAsia" w:ascii="宋体" w:hAnsi="宋体" w:eastAsia="宋体" w:cs="宋体"/>
          <w:b/>
          <w:color w:val="auto"/>
          <w:sz w:val="24"/>
          <w:highlight w:val="none"/>
        </w:rPr>
        <w:t>其他违反法律、法规的情形。</w:t>
      </w:r>
    </w:p>
    <w:p w14:paraId="32FD1844">
      <w:pPr>
        <w:pStyle w:val="25"/>
        <w:pageBreakBefore w:val="0"/>
        <w:widowControl w:val="0"/>
        <w:shd w:val="clear"/>
        <w:kinsoku/>
        <w:wordWrap/>
        <w:overflowPunct/>
        <w:topLinePunct w:val="0"/>
        <w:autoSpaceDE/>
        <w:autoSpaceDN/>
        <w:bidi w:val="0"/>
        <w:snapToGrid w:val="0"/>
        <w:spacing w:line="42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color w:val="auto"/>
          <w:kern w:val="0"/>
          <w:sz w:val="24"/>
          <w:highlight w:val="none"/>
        </w:rPr>
        <w:t xml:space="preserve">9. </w:t>
      </w:r>
      <w:r>
        <w:rPr>
          <w:rFonts w:hint="eastAsia" w:ascii="宋体" w:hAnsi="宋体" w:eastAsia="宋体" w:cs="宋体"/>
          <w:b w:val="0"/>
          <w:bCs w:val="0"/>
          <w:color w:val="auto"/>
          <w:kern w:val="2"/>
          <w:sz w:val="24"/>
          <w:szCs w:val="24"/>
          <w:highlight w:val="none"/>
          <w:lang w:val="en-US" w:eastAsia="zh-CN" w:bidi="ar-SA"/>
        </w:rPr>
        <w:t>根据《中华人民共和国政府采购法》第三十六条之规定，在采购中，出现下列情形之一的，应予废标：</w:t>
      </w:r>
    </w:p>
    <w:p w14:paraId="021A7D0C">
      <w:pPr>
        <w:pStyle w:val="25"/>
        <w:pageBreakBefore w:val="0"/>
        <w:widowControl w:val="0"/>
        <w:shd w:val="clear"/>
        <w:kinsoku/>
        <w:wordWrap/>
        <w:overflowPunct/>
        <w:topLinePunct w:val="0"/>
        <w:autoSpaceDE/>
        <w:autoSpaceDN/>
        <w:bidi w:val="0"/>
        <w:snapToGrid w:val="0"/>
        <w:spacing w:line="420" w:lineRule="exact"/>
        <w:ind w:left="0"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1符合专业条件的供应商或者对招标文件作实质响应的供应商不足3家的；</w:t>
      </w:r>
    </w:p>
    <w:p w14:paraId="015EDD78">
      <w:pPr>
        <w:pStyle w:val="25"/>
        <w:pageBreakBefore w:val="0"/>
        <w:widowControl w:val="0"/>
        <w:shd w:val="clear"/>
        <w:kinsoku/>
        <w:wordWrap/>
        <w:overflowPunct/>
        <w:topLinePunct w:val="0"/>
        <w:autoSpaceDE/>
        <w:autoSpaceDN/>
        <w:bidi w:val="0"/>
        <w:snapToGrid w:val="0"/>
        <w:spacing w:line="420" w:lineRule="exact"/>
        <w:ind w:left="0"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2出现影响采购公正的违法、违规行为的；</w:t>
      </w:r>
    </w:p>
    <w:p w14:paraId="252D3411">
      <w:pPr>
        <w:pStyle w:val="25"/>
        <w:pageBreakBefore w:val="0"/>
        <w:widowControl w:val="0"/>
        <w:shd w:val="clear"/>
        <w:kinsoku/>
        <w:wordWrap/>
        <w:overflowPunct/>
        <w:topLinePunct w:val="0"/>
        <w:autoSpaceDE/>
        <w:autoSpaceDN/>
        <w:bidi w:val="0"/>
        <w:snapToGrid w:val="0"/>
        <w:spacing w:line="420" w:lineRule="exact"/>
        <w:ind w:left="0"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3投标人的报价均超过了采购预算，采购人不能支付的；</w:t>
      </w:r>
    </w:p>
    <w:p w14:paraId="1AB0FA36">
      <w:pPr>
        <w:pStyle w:val="25"/>
        <w:pageBreakBefore w:val="0"/>
        <w:widowControl w:val="0"/>
        <w:shd w:val="clear"/>
        <w:kinsoku/>
        <w:wordWrap/>
        <w:overflowPunct/>
        <w:topLinePunct w:val="0"/>
        <w:autoSpaceDE/>
        <w:autoSpaceDN/>
        <w:bidi w:val="0"/>
        <w:snapToGrid w:val="0"/>
        <w:spacing w:line="420" w:lineRule="exact"/>
        <w:ind w:left="0"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.4因重大变故，采购任务取消的。</w:t>
      </w:r>
    </w:p>
    <w:p w14:paraId="430835C6">
      <w:pPr>
        <w:shd w:val="clear"/>
        <w:snapToGrid w:val="0"/>
        <w:spacing w:line="440" w:lineRule="exact"/>
        <w:rPr>
          <w:rFonts w:hint="eastAsia" w:ascii="宋体" w:hAnsi="宋体" w:eastAsia="宋体" w:cs="宋体"/>
          <w:b/>
          <w:color w:val="auto"/>
          <w:kern w:val="0"/>
          <w:sz w:val="24"/>
          <w:highlight w:val="none"/>
        </w:rPr>
      </w:pPr>
      <w:r>
        <w:rPr>
          <w:rFonts w:hint="eastAsia" w:ascii="宋体" w:hAnsi="宋体" w:cs="宋体"/>
          <w:b/>
          <w:color w:val="auto"/>
          <w:kern w:val="0"/>
          <w:sz w:val="24"/>
          <w:highlight w:val="none"/>
          <w:lang w:val="en-US" w:eastAsia="zh-CN"/>
        </w:rPr>
        <w:t>10.</w:t>
      </w:r>
      <w:r>
        <w:rPr>
          <w:rFonts w:hint="eastAsia" w:ascii="宋体" w:hAnsi="宋体" w:eastAsia="宋体" w:cs="宋体"/>
          <w:b/>
          <w:color w:val="auto"/>
          <w:kern w:val="0"/>
          <w:sz w:val="24"/>
          <w:highlight w:val="none"/>
        </w:rPr>
        <w:t>评标过程保密</w:t>
      </w:r>
    </w:p>
    <w:p w14:paraId="5526DD49">
      <w:pPr>
        <w:shd w:val="clea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评审活动在严格保密的情况下进行。评审过程中凡是与采购响应文件评审和比较、中标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推荐等评审有关的情况和评审文件的，以及涉及国家秘密和商业秘密等信息，评审委员会成员、采购人和采购机构工作人员、相关监督人员等与评审有关的人员应当予以保密。</w:t>
      </w:r>
    </w:p>
    <w:p w14:paraId="2DF3CC70">
      <w:pPr>
        <w:shd w:val="clear"/>
        <w:snapToGrid w:val="0"/>
        <w:spacing w:line="440" w:lineRule="exact"/>
        <w:ind w:firstLine="480" w:firstLineChars="200"/>
        <w:rPr>
          <w:rFonts w:hint="eastAsia" w:ascii="宋体" w:hAnsi="宋体" w:eastAsia="宋体" w:cs="宋体"/>
          <w:b/>
          <w:color w:val="auto"/>
          <w:sz w:val="32"/>
          <w:highlight w:val="none"/>
        </w:rPr>
      </w:pP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.2 在评标期间，投标人企图影响招标人或</w:t>
      </w:r>
      <w:r>
        <w:rPr>
          <w:rFonts w:hint="eastAsia" w:ascii="宋体" w:hAnsi="宋体" w:eastAsia="宋体" w:cs="宋体"/>
          <w:color w:val="auto"/>
          <w:sz w:val="24"/>
          <w:highlight w:val="none"/>
        </w:rPr>
        <w:t>评标委员会</w:t>
      </w:r>
      <w:r>
        <w:rPr>
          <w:rFonts w:hint="eastAsia" w:ascii="宋体" w:hAnsi="宋体" w:eastAsia="宋体" w:cs="宋体"/>
          <w:color w:val="auto"/>
          <w:kern w:val="0"/>
          <w:sz w:val="24"/>
          <w:highlight w:val="none"/>
        </w:rPr>
        <w:t>的任何活动，都将导致投标被拒绝，并由其承担相应的法律责任。</w:t>
      </w:r>
    </w:p>
    <w:bookmarkEnd w:id="9"/>
    <w:p w14:paraId="78F51B13">
      <w:pPr>
        <w:pStyle w:val="33"/>
        <w:shd w:val="clear"/>
        <w:spacing w:line="360" w:lineRule="auto"/>
        <w:ind w:firstLine="726"/>
        <w:jc w:val="center"/>
        <w:rPr>
          <w:rFonts w:hint="eastAsia" w:ascii="宋体" w:hAnsi="宋体" w:eastAsia="宋体" w:cs="宋体"/>
          <w:b/>
          <w:color w:val="auto"/>
          <w:sz w:val="32"/>
          <w:szCs w:val="32"/>
          <w:highlight w:val="none"/>
        </w:rPr>
      </w:pPr>
      <w:bookmarkStart w:id="10" w:name="_Hlt68072990"/>
      <w:bookmarkEnd w:id="10"/>
      <w:bookmarkStart w:id="11" w:name="_Hlt68057669"/>
      <w:bookmarkEnd w:id="11"/>
      <w:bookmarkStart w:id="12" w:name="_Hlt68072998"/>
      <w:bookmarkEnd w:id="12"/>
      <w:bookmarkStart w:id="13" w:name="_Hlt68403820"/>
      <w:bookmarkEnd w:id="13"/>
      <w:bookmarkStart w:id="14" w:name="_Hlt75236290"/>
      <w:bookmarkEnd w:id="14"/>
      <w:bookmarkStart w:id="15" w:name="_Hlt75236011"/>
      <w:bookmarkEnd w:id="15"/>
      <w:bookmarkStart w:id="16" w:name="_Hlt74714665"/>
      <w:bookmarkEnd w:id="16"/>
      <w:bookmarkStart w:id="17" w:name="_Hlt75236101"/>
      <w:bookmarkEnd w:id="17"/>
      <w:bookmarkStart w:id="18" w:name="_Hlt74730295"/>
      <w:bookmarkEnd w:id="18"/>
      <w:bookmarkStart w:id="19" w:name="_Hlt74707468"/>
      <w:bookmarkEnd w:id="19"/>
      <w:bookmarkStart w:id="20" w:name="_Hlt74729768"/>
      <w:bookmarkEnd w:id="20"/>
      <w:bookmarkStart w:id="21" w:name="_Hlt68073093"/>
      <w:bookmarkEnd w:id="21"/>
      <w:bookmarkStart w:id="22" w:name="_Toc84325929"/>
      <w:bookmarkStart w:id="23" w:name="_Toc81372776"/>
      <w:bookmarkStart w:id="24" w:name="_Toc81372953"/>
      <w:r>
        <w:rPr>
          <w:rFonts w:hint="eastAsia" w:ascii="宋体" w:hAnsi="宋体" w:eastAsia="宋体" w:cs="宋体"/>
          <w:b/>
          <w:color w:val="auto"/>
          <w:sz w:val="32"/>
          <w:szCs w:val="32"/>
          <w:highlight w:val="none"/>
        </w:rPr>
        <w:t>五、授予合同</w:t>
      </w:r>
    </w:p>
    <w:bookmarkEnd w:id="22"/>
    <w:bookmarkEnd w:id="23"/>
    <w:bookmarkEnd w:id="24"/>
    <w:p w14:paraId="42588840">
      <w:pPr>
        <w:pStyle w:val="15"/>
        <w:shd w:val="clear"/>
        <w:tabs>
          <w:tab w:val="clear" w:pos="390"/>
          <w:tab w:val="clear" w:pos="454"/>
        </w:tabs>
        <w:spacing w:after="120" w:line="440" w:lineRule="exact"/>
        <w:ind w:left="0" w:firstLine="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1.中标条件</w:t>
      </w:r>
    </w:p>
    <w:p w14:paraId="1F07AAF5">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1.1投标文件基本符合招标文件要求；</w:t>
      </w:r>
    </w:p>
    <w:p w14:paraId="0DCBB112">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1.2投标人有很好的执行合同的能力；</w:t>
      </w:r>
    </w:p>
    <w:p w14:paraId="6045C8DA">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1.3实施方案最合理并对招标人最为有利，最大限度满足招标文件的要求；</w:t>
      </w:r>
    </w:p>
    <w:p w14:paraId="489E56E8">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1.4投标人能够提供质量技术、商务经济占综合优势的系统及服务。</w:t>
      </w:r>
    </w:p>
    <w:p w14:paraId="115EB844">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1.5招标人将把中标通知书授予最佳投标者，但最低价不是中标的绝对保证。</w:t>
      </w:r>
    </w:p>
    <w:p w14:paraId="33745845">
      <w:pPr>
        <w:shd w:val="clea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2.中标确认</w:t>
      </w:r>
    </w:p>
    <w:p w14:paraId="2F3BF301">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2.1采购人应当自收到评标报告之日起５个工作日内，在评标报告确定的中标候选人名单中按顺序确定</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w:t>
      </w:r>
    </w:p>
    <w:p w14:paraId="6DA2B239">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2.2采购人在收到评标报告5个工作日内未按评标报告推荐的中标候选人顺序确定</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，视同按评标报告推荐的顺序确定的中标候选人为</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w:t>
      </w:r>
    </w:p>
    <w:p w14:paraId="4EFA54C0">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2.3采购人应在确认</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前再次对资格条件和相关证件材料进一步查验核实。</w:t>
      </w:r>
    </w:p>
    <w:p w14:paraId="3A033F2D">
      <w:pPr>
        <w:shd w:val="clea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3．中标通知</w:t>
      </w:r>
    </w:p>
    <w:p w14:paraId="00EFB7B3">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3.1采购代理机构对中标结果在指定媒体（浙江政府采购网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http://zfcg.czt.zj.gov.cn/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）发布中标公告，中标公告期限为1个工作日。</w:t>
      </w:r>
    </w:p>
    <w:p w14:paraId="66642B4C">
      <w:pPr>
        <w:shd w:val="clear"/>
        <w:snapToGrid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采购代理机构向</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签发中标通知书。在采购代理机构发出中标通知书前，</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如有违反有关法律法规和本项目要求行为的，则取消该投标人的中标资格</w:t>
      </w:r>
      <w:r>
        <w:rPr>
          <w:rFonts w:hint="eastAsia" w:ascii="宋体" w:hAnsi="宋体" w:eastAsia="宋体" w:cs="宋体"/>
          <w:color w:val="auto"/>
          <w:sz w:val="24"/>
          <w:highlight w:val="none"/>
          <w:lang w:val="zh-CN"/>
        </w:rPr>
        <w:t>。</w:t>
      </w:r>
    </w:p>
    <w:p w14:paraId="567DA516">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采购代理机构对中标结果不作任何说明和解释，也不回答任何提问。</w:t>
      </w:r>
    </w:p>
    <w:p w14:paraId="51B99174">
      <w:pPr>
        <w:shd w:val="clea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4．履约保证金</w:t>
      </w:r>
    </w:p>
    <w:p w14:paraId="3F224ED2">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4.1采购人在签订合同时，按规定可向</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收取不高于中标额的1%的履约保证金，采购人不得以供应商事先提交履约保证金作为签订合同的条件。鼓励采购人根据项目特点、供应商诚信等情况免收履约保证金或降低缴纳比例。</w:t>
      </w:r>
    </w:p>
    <w:p w14:paraId="01B3843D">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4.2服务期满且没有服务质量问题的，采购人应及时退还履约保证金。</w:t>
      </w:r>
    </w:p>
    <w:p w14:paraId="1398B6CB">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4.3供应商以银行、保险公司出具保函形式提交履约保证金的，采购人不得拒收。</w:t>
      </w:r>
    </w:p>
    <w:p w14:paraId="50DC1672">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4.4政府采购货物和服务项目不得收取质量保证金。</w:t>
      </w:r>
    </w:p>
    <w:p w14:paraId="0355607D">
      <w:pPr>
        <w:shd w:val="clea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5．合同签订及备案</w:t>
      </w:r>
    </w:p>
    <w:p w14:paraId="7C9CB494">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应当在中标通知书发出之日起30天内与采购人签订合同，自采购合同签订之日起</w:t>
      </w:r>
      <w:r>
        <w:rPr>
          <w:rFonts w:hint="eastAsia" w:ascii="宋体" w:hAnsi="宋体" w:eastAsia="宋体" w:cs="宋体"/>
          <w:color w:val="auto"/>
          <w:sz w:val="24"/>
          <w:highlight w:val="none"/>
          <w:lang w:val="en-US" w:eastAsia="zh-CN"/>
        </w:rPr>
        <w:t>2</w:t>
      </w:r>
      <w:r>
        <w:rPr>
          <w:rFonts w:hint="eastAsia" w:ascii="宋体" w:hAnsi="宋体" w:eastAsia="宋体" w:cs="宋体"/>
          <w:b/>
          <w:bCs/>
          <w:color w:val="auto"/>
          <w:sz w:val="24"/>
          <w:highlight w:val="none"/>
        </w:rPr>
        <w:t>个工作日内</w:t>
      </w:r>
      <w:r>
        <w:rPr>
          <w:rFonts w:hint="eastAsia" w:ascii="宋体" w:hAnsi="宋体" w:eastAsia="宋体" w:cs="宋体"/>
          <w:color w:val="auto"/>
          <w:sz w:val="24"/>
          <w:highlight w:val="none"/>
        </w:rPr>
        <w:t>，通过电子交易平台进行备案。</w:t>
      </w:r>
    </w:p>
    <w:p w14:paraId="0B3AAED5">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5.2如</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为联合体的，由联合体成员各方法定代表人或其授权代表与采购人代表签订合同。</w:t>
      </w:r>
    </w:p>
    <w:p w14:paraId="1A1277CD">
      <w:pPr>
        <w:shd w:val="clea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6.验收</w:t>
      </w:r>
    </w:p>
    <w:p w14:paraId="3D1954CC">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6.1采购人组织对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须承担由此发生的一切损失和费用，并承担相应的法律责任。</w:t>
      </w:r>
    </w:p>
    <w:p w14:paraId="2CB898BD">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6.2采购人可以邀请参加本项目的其他投标人或者第三方机构参与验收。参与验收的投标人或者第三方机构的意见作为验收书的参考资料一并存档。</w:t>
      </w:r>
    </w:p>
    <w:p w14:paraId="4D33A4FC">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 采购人负责加强对</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的履约管理，并按照采购合同约定，及时向</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支付采购资金。对于</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违反采购合同约定的行为，采购人应当及时处理，依法追究其违约责任。</w:t>
      </w:r>
    </w:p>
    <w:p w14:paraId="2BA5C9D8">
      <w:pPr>
        <w:shd w:val="clea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.售后服务考核</w:t>
      </w:r>
    </w:p>
    <w:p w14:paraId="3313FFCC">
      <w:pPr>
        <w:shd w:val="clea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7D238969">
      <w:pPr>
        <w:shd w:val="clear"/>
        <w:tabs>
          <w:tab w:val="left" w:pos="0"/>
        </w:tabs>
        <w:spacing w:line="360" w:lineRule="auto"/>
        <w:ind w:firstLine="480"/>
        <w:rPr>
          <w:rFonts w:hint="eastAsia" w:ascii="宋体" w:hAnsi="宋体" w:eastAsia="宋体" w:cs="宋体"/>
          <w:color w:val="auto"/>
          <w:kern w:val="0"/>
          <w:sz w:val="24"/>
          <w:highlight w:val="none"/>
        </w:rPr>
      </w:pPr>
    </w:p>
    <w:p w14:paraId="4DE420F2">
      <w:pPr>
        <w:numPr>
          <w:ilvl w:val="0"/>
          <w:numId w:val="6"/>
        </w:numPr>
        <w:shd w:val="clear"/>
        <w:adjustRightInd/>
        <w:spacing w:line="336" w:lineRule="auto"/>
        <w:jc w:val="center"/>
        <w:outlineLvl w:val="0"/>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rPr>
        <w:t>询问、质疑与投诉</w:t>
      </w:r>
    </w:p>
    <w:p w14:paraId="3BAF1EC4">
      <w:pPr>
        <w:pStyle w:val="62"/>
        <w:numPr>
          <w:ilvl w:val="0"/>
          <w:numId w:val="0"/>
        </w:numPr>
        <w:shd w:val="clear"/>
        <w:rPr>
          <w:rFonts w:hint="eastAsia"/>
          <w:color w:val="auto"/>
          <w:highlight w:val="none"/>
        </w:rPr>
      </w:pPr>
    </w:p>
    <w:p w14:paraId="7ACA92B4">
      <w:pPr>
        <w:shd w:val="clear"/>
        <w:spacing w:line="336" w:lineRule="auto"/>
        <w:rPr>
          <w:rFonts w:hint="eastAsia" w:ascii="宋体" w:hAnsi="宋体" w:eastAsia="宋体" w:cs="宋体"/>
          <w:b/>
          <w:color w:val="auto"/>
          <w:sz w:val="32"/>
          <w:szCs w:val="32"/>
          <w:highlight w:val="none"/>
        </w:rPr>
      </w:pPr>
      <w:r>
        <w:rPr>
          <w:rFonts w:hint="eastAsia" w:ascii="宋体" w:hAnsi="宋体" w:eastAsia="宋体" w:cs="宋体"/>
          <w:b/>
          <w:bCs/>
          <w:color w:val="auto"/>
          <w:sz w:val="24"/>
          <w:szCs w:val="20"/>
          <w:highlight w:val="none"/>
        </w:rPr>
        <w:t>1.在线询问、质疑、投诉</w:t>
      </w:r>
    </w:p>
    <w:p w14:paraId="0AD8CC3D">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根据《浙江省财政厅关于进一步促进政府采购公平竞争打造最优营商环境的通知》</w:t>
      </w:r>
      <w:r>
        <w:rPr>
          <w:rFonts w:hint="eastAsia" w:ascii="宋体" w:hAnsi="宋体" w:eastAsia="宋体" w:cs="宋体"/>
          <w:b w:val="0"/>
          <w:bCs w:val="0"/>
          <w:i w:val="0"/>
          <w:iCs w:val="0"/>
          <w:color w:val="auto"/>
          <w:kern w:val="2"/>
          <w:sz w:val="24"/>
          <w:szCs w:val="20"/>
          <w:highlight w:val="none"/>
          <w:vertAlign w:val="baseline"/>
          <w:lang w:val="en-US" w:eastAsia="zh-CN" w:bidi="ar-SA"/>
        </w:rPr>
        <w:t>（浙财</w:t>
      </w:r>
      <w:r>
        <w:rPr>
          <w:rFonts w:hint="eastAsia" w:ascii="宋体" w:hAnsi="宋体" w:eastAsia="宋体" w:cs="宋体"/>
          <w:color w:val="auto"/>
          <w:sz w:val="24"/>
          <w:szCs w:val="20"/>
          <w:highlight w:val="none"/>
          <w:lang w:val="en-US" w:eastAsia="zh-CN"/>
        </w:rPr>
        <w:t>采监</w:t>
      </w:r>
      <w:r>
        <w:rPr>
          <w:rFonts w:hint="eastAsia" w:ascii="宋体" w:hAnsi="宋体" w:eastAsia="宋体" w:cs="宋体"/>
          <w:color w:val="auto"/>
          <w:sz w:val="24"/>
          <w:szCs w:val="20"/>
          <w:highlight w:val="none"/>
        </w:rPr>
        <w:t>〔2021</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22号）</w:t>
      </w:r>
      <w:r>
        <w:rPr>
          <w:rFonts w:hint="eastAsia" w:ascii="宋体" w:hAnsi="宋体" w:eastAsia="宋体" w:cs="宋体"/>
          <w:color w:val="auto"/>
          <w:sz w:val="24"/>
          <w:szCs w:val="20"/>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宋体" w:hAnsi="宋体" w:eastAsia="宋体" w:cs="宋体"/>
          <w:color w:val="auto"/>
          <w:sz w:val="24"/>
          <w:szCs w:val="20"/>
          <w:highlight w:val="none"/>
          <w:lang w:eastAsia="zh-CN"/>
        </w:rPr>
        <w:t>务</w:t>
      </w:r>
      <w:r>
        <w:rPr>
          <w:rFonts w:hint="eastAsia" w:ascii="宋体" w:hAnsi="宋体" w:eastAsia="宋体" w:cs="宋体"/>
          <w:color w:val="auto"/>
          <w:sz w:val="24"/>
          <w:szCs w:val="20"/>
          <w:highlight w:val="none"/>
        </w:rPr>
        <w:t>服务网-政府采购投诉处理-在线办理。</w:t>
      </w:r>
    </w:p>
    <w:p w14:paraId="3896618C">
      <w:pPr>
        <w:shd w:val="clear"/>
        <w:spacing w:line="336" w:lineRule="auto"/>
        <w:rPr>
          <w:rFonts w:hint="eastAsia" w:ascii="宋体" w:hAnsi="宋体" w:eastAsia="宋体" w:cs="宋体"/>
          <w:b/>
          <w:color w:val="auto"/>
          <w:sz w:val="32"/>
          <w:szCs w:val="32"/>
          <w:highlight w:val="none"/>
        </w:rPr>
      </w:pPr>
      <w:r>
        <w:rPr>
          <w:rFonts w:hint="eastAsia" w:ascii="宋体" w:hAnsi="宋体" w:eastAsia="宋体" w:cs="宋体"/>
          <w:b/>
          <w:bCs/>
          <w:color w:val="auto"/>
          <w:sz w:val="24"/>
          <w:highlight w:val="none"/>
        </w:rPr>
        <w:t>2. 供应商询问</w:t>
      </w:r>
    </w:p>
    <w:p w14:paraId="752DA8AF">
      <w:pPr>
        <w:shd w:val="clear"/>
        <w:autoSpaceDE w:val="0"/>
        <w:autoSpaceDN w:val="0"/>
        <w:spacing w:line="336" w:lineRule="auto"/>
        <w:ind w:firstLine="480" w:firstLineChars="200"/>
        <w:jc w:val="left"/>
        <w:rPr>
          <w:rFonts w:hint="eastAsia" w:ascii="宋体" w:hAnsi="宋体" w:eastAsia="宋体" w:cs="宋体"/>
          <w:b/>
          <w:color w:val="auto"/>
          <w:sz w:val="32"/>
          <w:szCs w:val="32"/>
          <w:highlight w:val="none"/>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F4D3F4">
      <w:pPr>
        <w:shd w:val="clear"/>
        <w:spacing w:line="336" w:lineRule="auto"/>
        <w:rPr>
          <w:rFonts w:hint="eastAsia" w:ascii="宋体" w:hAnsi="宋体" w:eastAsia="宋体" w:cs="宋体"/>
          <w:b/>
          <w:color w:val="auto"/>
          <w:sz w:val="32"/>
          <w:szCs w:val="32"/>
          <w:highlight w:val="none"/>
        </w:rPr>
      </w:pPr>
      <w:r>
        <w:rPr>
          <w:rFonts w:hint="eastAsia" w:ascii="宋体" w:hAnsi="宋体" w:eastAsia="宋体" w:cs="宋体"/>
          <w:b/>
          <w:bCs/>
          <w:color w:val="auto"/>
          <w:sz w:val="24"/>
          <w:highlight w:val="none"/>
        </w:rPr>
        <w:t>3. 供应商质疑</w:t>
      </w:r>
    </w:p>
    <w:p w14:paraId="07EBCEDC">
      <w:pPr>
        <w:shd w:val="clear"/>
        <w:spacing w:line="336" w:lineRule="auto"/>
        <w:ind w:firstLine="482" w:firstLineChars="200"/>
        <w:rPr>
          <w:rFonts w:hint="eastAsia" w:ascii="宋体" w:hAnsi="宋体" w:eastAsia="宋体" w:cs="宋体"/>
          <w:b/>
          <w:color w:val="auto"/>
          <w:sz w:val="32"/>
          <w:szCs w:val="32"/>
          <w:highlight w:val="none"/>
        </w:rPr>
      </w:pPr>
      <w:r>
        <w:rPr>
          <w:rFonts w:hint="eastAsia" w:ascii="宋体" w:hAnsi="宋体" w:eastAsia="宋体" w:cs="宋体"/>
          <w:b/>
          <w:bCs/>
          <w:color w:val="auto"/>
          <w:kern w:val="0"/>
          <w:sz w:val="24"/>
          <w:szCs w:val="20"/>
          <w:highlight w:val="none"/>
          <w:lang w:val="zh-CN"/>
        </w:rPr>
        <w:t>3</w:t>
      </w:r>
      <w:r>
        <w:rPr>
          <w:rFonts w:hint="eastAsia" w:ascii="宋体" w:hAnsi="宋体" w:eastAsia="宋体" w:cs="宋体"/>
          <w:b/>
          <w:bCs/>
          <w:color w:val="auto"/>
          <w:sz w:val="24"/>
          <w:szCs w:val="20"/>
          <w:highlight w:val="none"/>
        </w:rPr>
        <w:t>.1质疑提出时效</w:t>
      </w:r>
    </w:p>
    <w:p w14:paraId="3CD31120">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3.1.1提出质疑的供应商应当是参与所质疑项目采购活动的供应商。潜在供应商已依法获取其可质疑的采购文件的，可以对该文件提出质疑。</w:t>
      </w:r>
    </w:p>
    <w:p w14:paraId="57345215">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kern w:val="0"/>
          <w:sz w:val="24"/>
          <w:szCs w:val="20"/>
          <w:highlight w:val="none"/>
          <w:lang w:val="zh-CN"/>
        </w:rPr>
        <w:t>3</w:t>
      </w:r>
      <w:r>
        <w:rPr>
          <w:rFonts w:hint="eastAsia" w:ascii="宋体" w:hAnsi="宋体" w:eastAsia="宋体" w:cs="宋体"/>
          <w:color w:val="auto"/>
          <w:sz w:val="24"/>
          <w:szCs w:val="20"/>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61E9C70">
      <w:pPr>
        <w:widowControl/>
        <w:shd w:val="clear"/>
        <w:snapToGrid w:val="0"/>
        <w:spacing w:line="336" w:lineRule="auto"/>
        <w:ind w:firstLine="434" w:firstLineChars="181"/>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01559E6">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3.1.2.2对采购过程提出质疑的，质疑期限为各采购程序环节结束之日起计算。</w:t>
      </w:r>
    </w:p>
    <w:p w14:paraId="6FA09E7A">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3.1.2.3对采购结果提出质疑的，质疑期限自采购结果公告期限届满之日起计算。</w:t>
      </w:r>
    </w:p>
    <w:p w14:paraId="3B383C2A">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3.1.2.4对同一采购程序环节的质疑，供应商须一次性提出。</w:t>
      </w:r>
    </w:p>
    <w:p w14:paraId="68EDA192">
      <w:pPr>
        <w:shd w:val="clear"/>
        <w:spacing w:line="336" w:lineRule="auto"/>
        <w:ind w:firstLine="482" w:firstLineChars="200"/>
        <w:rPr>
          <w:rFonts w:hint="eastAsia" w:ascii="宋体" w:hAnsi="宋体" w:eastAsia="宋体" w:cs="宋体"/>
          <w:b/>
          <w:color w:val="auto"/>
          <w:sz w:val="32"/>
          <w:szCs w:val="32"/>
          <w:highlight w:val="none"/>
        </w:rPr>
      </w:pPr>
      <w:r>
        <w:rPr>
          <w:rFonts w:hint="eastAsia" w:ascii="宋体" w:hAnsi="宋体" w:eastAsia="宋体" w:cs="宋体"/>
          <w:b/>
          <w:bCs/>
          <w:color w:val="auto"/>
          <w:kern w:val="0"/>
          <w:sz w:val="24"/>
          <w:szCs w:val="20"/>
          <w:highlight w:val="none"/>
          <w:lang w:val="zh-CN"/>
        </w:rPr>
        <w:t>3.</w:t>
      </w:r>
      <w:r>
        <w:rPr>
          <w:rFonts w:hint="eastAsia" w:ascii="宋体" w:hAnsi="宋体" w:eastAsia="宋体" w:cs="宋体"/>
          <w:b/>
          <w:bCs/>
          <w:color w:val="auto"/>
          <w:kern w:val="0"/>
          <w:sz w:val="24"/>
          <w:szCs w:val="20"/>
          <w:highlight w:val="none"/>
        </w:rPr>
        <w:t>2</w:t>
      </w:r>
      <w:r>
        <w:rPr>
          <w:rFonts w:hint="eastAsia" w:ascii="宋体" w:hAnsi="宋体" w:eastAsia="宋体" w:cs="宋体"/>
          <w:b/>
          <w:bCs/>
          <w:color w:val="auto"/>
          <w:kern w:val="0"/>
          <w:sz w:val="24"/>
          <w:szCs w:val="20"/>
          <w:highlight w:val="none"/>
          <w:lang w:val="zh-CN"/>
        </w:rPr>
        <w:t>质疑函</w:t>
      </w:r>
    </w:p>
    <w:p w14:paraId="11726C72">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3.2.1供应商提出质疑应当提交质疑函和必要的证明材料。质疑函应当包括下列内容：</w:t>
      </w:r>
    </w:p>
    <w:p w14:paraId="41448366">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供应商的姓名或者名称、地址、邮编、联系人及联系电话；</w:t>
      </w:r>
    </w:p>
    <w:p w14:paraId="5E42A055">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质疑项目的名称、编号；</w:t>
      </w:r>
    </w:p>
    <w:p w14:paraId="219F764F">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具体、明确的质疑事项和与质疑事项相关的请求；</w:t>
      </w:r>
    </w:p>
    <w:p w14:paraId="1F31BE0C">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事实依据；</w:t>
      </w:r>
    </w:p>
    <w:p w14:paraId="470B16CD">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必要的法律依据；</w:t>
      </w:r>
    </w:p>
    <w:p w14:paraId="6A68552C">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提出质疑的日期。</w:t>
      </w:r>
    </w:p>
    <w:p w14:paraId="1308F051">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供应商提交的质疑函需一式三份。供应商为自然人的，应当由本人签字；供应商为法人或者其他组织的，应当由法定代表人、主要负责人，或者其授权代表签字或者盖章，并加盖公章。</w:t>
      </w:r>
    </w:p>
    <w:p w14:paraId="4A1A7E33">
      <w:pPr>
        <w:shd w:val="clear"/>
        <w:spacing w:line="336" w:lineRule="auto"/>
        <w:ind w:firstLine="482" w:firstLineChars="200"/>
        <w:rPr>
          <w:rFonts w:hint="eastAsia" w:ascii="宋体" w:hAnsi="宋体" w:eastAsia="宋体" w:cs="宋体"/>
          <w:b/>
          <w:color w:val="auto"/>
          <w:sz w:val="32"/>
          <w:szCs w:val="32"/>
          <w:highlight w:val="none"/>
        </w:rPr>
      </w:pPr>
      <w:r>
        <w:rPr>
          <w:rFonts w:hint="eastAsia" w:ascii="宋体" w:hAnsi="宋体" w:eastAsia="宋体" w:cs="宋体"/>
          <w:b/>
          <w:bCs/>
          <w:color w:val="auto"/>
          <w:sz w:val="24"/>
          <w:szCs w:val="20"/>
          <w:highlight w:val="none"/>
        </w:rPr>
        <w:t>质疑函范本及制作说明详见附件1。</w:t>
      </w:r>
    </w:p>
    <w:p w14:paraId="4C8B9470">
      <w:pPr>
        <w:shd w:val="clear"/>
        <w:spacing w:line="336" w:lineRule="auto"/>
        <w:rPr>
          <w:rFonts w:hint="eastAsia" w:ascii="宋体" w:hAnsi="宋体" w:eastAsia="宋体" w:cs="宋体"/>
          <w:b/>
          <w:color w:val="auto"/>
          <w:sz w:val="32"/>
          <w:szCs w:val="32"/>
          <w:highlight w:val="none"/>
        </w:rPr>
      </w:pPr>
      <w:r>
        <w:rPr>
          <w:rFonts w:hint="eastAsia" w:ascii="宋体" w:hAnsi="宋体" w:eastAsia="宋体" w:cs="宋体"/>
          <w:b/>
          <w:bCs/>
          <w:color w:val="auto"/>
          <w:sz w:val="24"/>
          <w:highlight w:val="none"/>
        </w:rPr>
        <w:t>4.供应商投诉</w:t>
      </w:r>
    </w:p>
    <w:p w14:paraId="06D93A40">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4.1质疑供应商对采购人或采购代理机构的答复不满意或者采购人、采购代理机构未在规定的时间内作出答复的，可以在答复期满后十五个工作日内向同级政府采购监督管理部门提出投诉。</w:t>
      </w:r>
    </w:p>
    <w:p w14:paraId="068E8729">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4.2供应商投诉的事项不得超出已质疑事项的范围，基于质疑答复内容提出的投诉事项除外。</w:t>
      </w:r>
    </w:p>
    <w:p w14:paraId="142873AB">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4.3供应商投诉应当有明确的请求和必要的证明材料。</w:t>
      </w:r>
    </w:p>
    <w:p w14:paraId="134C7236">
      <w:pPr>
        <w:shd w:val="clear"/>
        <w:spacing w:line="336"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4.4以联合体形式参加政府采购活动的，其投诉应当由组成联合体的所有供应商共同提出。</w:t>
      </w:r>
    </w:p>
    <w:p w14:paraId="0EF5F62B">
      <w:pPr>
        <w:shd w:val="clear"/>
        <w:snapToGrid w:val="0"/>
        <w:spacing w:line="360" w:lineRule="auto"/>
        <w:ind w:firstLine="482" w:firstLineChars="200"/>
        <w:jc w:val="left"/>
        <w:outlineLvl w:val="0"/>
        <w:rPr>
          <w:rFonts w:hint="eastAsia" w:ascii="宋体" w:hAnsi="宋体" w:eastAsia="宋体" w:cs="宋体"/>
          <w:b/>
          <w:color w:val="auto"/>
          <w:sz w:val="32"/>
          <w:szCs w:val="32"/>
          <w:highlight w:val="none"/>
        </w:rPr>
      </w:pPr>
      <w:r>
        <w:rPr>
          <w:rFonts w:hint="eastAsia" w:ascii="宋体" w:hAnsi="宋体" w:eastAsia="宋体" w:cs="宋体"/>
          <w:b/>
          <w:bCs/>
          <w:color w:val="auto"/>
          <w:sz w:val="24"/>
          <w:szCs w:val="20"/>
          <w:highlight w:val="none"/>
        </w:rPr>
        <w:t>投诉书范本及制作说明详见附件2。</w:t>
      </w:r>
    </w:p>
    <w:p w14:paraId="795E374D">
      <w:pPr>
        <w:keepNext w:val="0"/>
        <w:keepLines w:val="0"/>
        <w:pageBreakBefore w:val="0"/>
        <w:widowControl w:val="0"/>
        <w:shd w:val="clear"/>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highlight w:val="none"/>
        </w:rPr>
      </w:pPr>
    </w:p>
    <w:p w14:paraId="1E90B34E">
      <w:pPr>
        <w:keepNext w:val="0"/>
        <w:keepLines w:val="0"/>
        <w:pageBreakBefore w:val="0"/>
        <w:widowControl w:val="0"/>
        <w:shd w:val="clear"/>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highlight w:val="none"/>
        </w:rPr>
        <w:sectPr>
          <w:footerReference r:id="rId7" w:type="default"/>
          <w:pgSz w:w="11907" w:h="16840"/>
          <w:pgMar w:top="1474" w:right="1814" w:bottom="1474" w:left="1814" w:header="851" w:footer="851" w:gutter="0"/>
          <w:pgNumType w:fmt="decimal"/>
          <w:cols w:space="720" w:num="1"/>
        </w:sectPr>
      </w:pPr>
    </w:p>
    <w:p w14:paraId="344E78C6">
      <w:pPr>
        <w:keepNext w:val="0"/>
        <w:keepLines w:val="0"/>
        <w:pageBreakBefore w:val="0"/>
        <w:widowControl w:val="0"/>
        <w:shd w:val="clear"/>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招标项目范围及要求</w:t>
      </w:r>
    </w:p>
    <w:p w14:paraId="33B921FB">
      <w:pPr>
        <w:pStyle w:val="2"/>
        <w:keepNext/>
        <w:keepLines w:val="0"/>
        <w:pageBreakBefore w:val="0"/>
        <w:widowControl w:val="0"/>
        <w:shd w:val="clear"/>
        <w:tabs>
          <w:tab w:val="left" w:pos="358"/>
          <w:tab w:val="clear" w:pos="432"/>
        </w:tabs>
        <w:kinsoku/>
        <w:wordWrap/>
        <w:overflowPunct/>
        <w:topLinePunct w:val="0"/>
        <w:autoSpaceDE/>
        <w:autoSpaceDN/>
        <w:bidi w:val="0"/>
        <w:adjustRightInd w:val="0"/>
        <w:snapToGrid w:val="0"/>
        <w:spacing w:before="156" w:beforeLines="50" w:line="360" w:lineRule="auto"/>
        <w:ind w:left="0"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项目概况</w:t>
      </w:r>
    </w:p>
    <w:p w14:paraId="036A411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根据《浙江省应急管理厅 浙江省消防救援总队关于印发2025年基层应急消防治理体系建设提质升级行动方案的通知》(浙应急〔2025〕11号)、《浙江省应急管理厅 浙江省消防救援总队关于印发 &lt;乡镇(街道)应急消防管理站、专职消防队提质升级工作指南&gt;的通知》(浙应急〔2025〕13号)及我市《嵊州市安全生产委员会办公室关于印发&lt;2025年基层应急消防治理体系建设提质升级行动方案&gt;》(嵊安委办〔2025〕16号)的通知文件精神，完善嵊州市提质升级的8个应急消防管理站的装备配备。</w:t>
      </w:r>
    </w:p>
    <w:p w14:paraId="51BC4550">
      <w:pPr>
        <w:pStyle w:val="2"/>
        <w:keepNext/>
        <w:keepLines w:val="0"/>
        <w:pageBreakBefore w:val="0"/>
        <w:widowControl w:val="0"/>
        <w:shd w:val="clear"/>
        <w:tabs>
          <w:tab w:val="left" w:pos="358"/>
          <w:tab w:val="clear" w:pos="432"/>
        </w:tabs>
        <w:kinsoku/>
        <w:wordWrap/>
        <w:overflowPunct/>
        <w:topLinePunct w:val="0"/>
        <w:autoSpaceDE/>
        <w:autoSpaceDN/>
        <w:bidi w:val="0"/>
        <w:adjustRightInd w:val="0"/>
        <w:snapToGrid w:val="0"/>
        <w:spacing w:before="156" w:beforeLines="50" w:line="360" w:lineRule="auto"/>
        <w:ind w:left="0" w:firstLine="482"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二、采购清单</w:t>
      </w:r>
    </w:p>
    <w:p w14:paraId="4F4E93C9">
      <w:pPr>
        <w:shd w:val="clear"/>
        <w:rPr>
          <w:rFonts w:hint="default"/>
          <w:b/>
          <w:bCs/>
          <w:color w:val="auto"/>
          <w:highlight w:val="none"/>
          <w:lang w:val="en-US" w:eastAsia="zh-CN"/>
        </w:rPr>
      </w:pPr>
      <w:r>
        <w:rPr>
          <w:rFonts w:hint="eastAsia"/>
          <w:b/>
          <w:bCs/>
          <w:color w:val="auto"/>
          <w:highlight w:val="none"/>
          <w:lang w:val="en-US" w:eastAsia="zh-CN"/>
        </w:rPr>
        <w:t>（1）标项一采购清单</w:t>
      </w:r>
    </w:p>
    <w:tbl>
      <w:tblPr>
        <w:tblStyle w:val="64"/>
        <w:tblW w:w="136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660"/>
        <w:gridCol w:w="830"/>
        <w:gridCol w:w="10260"/>
        <w:gridCol w:w="707"/>
        <w:gridCol w:w="675"/>
      </w:tblGrid>
      <w:tr w14:paraId="247F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B621A1E">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FE96C0C">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类别</w:t>
            </w:r>
          </w:p>
        </w:tc>
        <w:tc>
          <w:tcPr>
            <w:tcW w:w="83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9A742BB">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1026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9E7D891">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w:t>
            </w:r>
          </w:p>
        </w:tc>
        <w:tc>
          <w:tcPr>
            <w:tcW w:w="7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9175FD4">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90858EB">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6FA1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52B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w:t>
            </w:r>
          </w:p>
        </w:tc>
        <w:tc>
          <w:tcPr>
            <w:tcW w:w="660" w:type="dxa"/>
            <w:vMerge w:val="restart"/>
            <w:tcBorders>
              <w:top w:val="single" w:color="000000" w:sz="4" w:space="0"/>
              <w:left w:val="single" w:color="000000" w:sz="4" w:space="0"/>
              <w:right w:val="single" w:color="000000" w:sz="4" w:space="0"/>
            </w:tcBorders>
            <w:shd w:val="clear" w:color="auto" w:fill="auto"/>
            <w:vAlign w:val="center"/>
          </w:tcPr>
          <w:p w14:paraId="4BAD36D3">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DCBB">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野外应急电源</w:t>
            </w:r>
          </w:p>
        </w:tc>
        <w:tc>
          <w:tcPr>
            <w:tcW w:w="10260" w:type="dxa"/>
            <w:tcBorders>
              <w:top w:val="single" w:color="000000" w:sz="4" w:space="0"/>
              <w:left w:val="single" w:color="000000" w:sz="4" w:space="0"/>
              <w:bottom w:val="single" w:color="000000" w:sz="4" w:space="0"/>
              <w:right w:val="single" w:color="auto" w:sz="4" w:space="0"/>
            </w:tcBorders>
            <w:shd w:val="clear" w:color="auto" w:fill="auto"/>
            <w:vAlign w:val="top"/>
          </w:tcPr>
          <w:p w14:paraId="5F5B87B5">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▲1.电池容量≥51.2V 100AH(5120WH)，循环寿命：＞3000times</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电池类型为磷酸铁锂；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2.输出功率：≥6000W；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3.峰值功率：≥12000W；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4.交流输出电压：220V±5%；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5.输出波形：纯正弦波；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6.频率：50/60 Hz±3%；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7.转换效率：≥9</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%(DC→AC)；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8.直流输出电源电流：≥5V/2A  12V/10A  24V/10A  48V/20A；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9.保护功能：欠压、过流、过压、短路反接、过充、过放、过载过热；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10.交流输入：≥220V/10A；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11.充电交流输入电压：≥185V-240V</w:t>
            </w:r>
            <w:r>
              <w:rPr>
                <w:rFonts w:hint="eastAsia" w:ascii="宋体" w:hAnsi="宋体" w:cs="宋体"/>
                <w:i w:val="0"/>
                <w:iCs w:val="0"/>
                <w:color w:val="auto"/>
                <w:kern w:val="0"/>
                <w:sz w:val="20"/>
                <w:szCs w:val="20"/>
                <w:highlight w:val="none"/>
                <w:u w:val="none"/>
                <w:lang w:val="en-US" w:eastAsia="zh-CN" w:bidi="ar"/>
              </w:rPr>
              <w:t>。</w:t>
            </w:r>
          </w:p>
        </w:tc>
        <w:tc>
          <w:tcPr>
            <w:tcW w:w="70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250E39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67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69BB88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6EBF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9CC7">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7A7A1">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7A0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卫星电话底座+室外天线</w:t>
            </w:r>
            <w:r>
              <w:rPr>
                <w:rFonts w:hint="eastAsia" w:ascii="宋体" w:hAnsi="宋体" w:cs="宋体"/>
                <w:b/>
                <w:bCs/>
                <w:i w:val="0"/>
                <w:iCs w:val="0"/>
                <w:color w:val="auto"/>
                <w:kern w:val="0"/>
                <w:sz w:val="20"/>
                <w:szCs w:val="20"/>
                <w:highlight w:val="none"/>
                <w:u w:val="none"/>
                <w:lang w:val="en-US" w:eastAsia="zh-CN" w:bidi="ar"/>
              </w:rPr>
              <w:t>（演示+样品）</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00385120">
            <w:pPr>
              <w:keepNext w:val="0"/>
              <w:keepLines w:val="0"/>
              <w:widowControl/>
              <w:numPr>
                <w:ilvl w:val="0"/>
                <w:numId w:val="7"/>
              </w:numPr>
              <w:suppressLineNumbers w:val="0"/>
              <w:shd w:val="clear"/>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固移两用：基座设备支持手持卫星电话放入基座后变身室内座机使用，解决卫星电话在室内无法拨打电话，发送短信，获取信息等问题；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▲2.具有兼容性：智能基座设备需要兼容市场主流品牌卫星电话；</w:t>
            </w:r>
            <w:r>
              <w:rPr>
                <w:rFonts w:hint="eastAsia" w:ascii="宋体" w:hAnsi="宋体" w:eastAsia="宋体" w:cs="宋体"/>
                <w:b/>
                <w:bCs/>
                <w:i w:val="0"/>
                <w:iCs w:val="0"/>
                <w:color w:val="auto"/>
                <w:kern w:val="0"/>
                <w:sz w:val="20"/>
                <w:szCs w:val="20"/>
                <w:highlight w:val="none"/>
                <w:u w:val="none"/>
                <w:lang w:val="en-US" w:eastAsia="zh-CN" w:bidi="ar"/>
              </w:rPr>
              <w:t>(</w:t>
            </w:r>
            <w:r>
              <w:rPr>
                <w:rFonts w:hint="eastAsia" w:ascii="宋体" w:hAnsi="宋体" w:cs="宋体"/>
                <w:b/>
                <w:bCs/>
                <w:i w:val="0"/>
                <w:iCs w:val="0"/>
                <w:color w:val="auto"/>
                <w:kern w:val="0"/>
                <w:sz w:val="20"/>
                <w:szCs w:val="20"/>
                <w:highlight w:val="none"/>
                <w:u w:val="none"/>
                <w:lang w:val="en-US" w:eastAsia="zh-CN" w:bidi="ar"/>
              </w:rPr>
              <w:t>须提供承诺函</w:t>
            </w:r>
            <w:r>
              <w:rPr>
                <w:rFonts w:hint="eastAsia" w:ascii="宋体" w:hAnsi="宋体" w:eastAsia="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3.支持Cat1功能，实现对卫星电话的智能化管理及接收应急广播等；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4.能够远程登记提交保管人信息及终端信息等；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▲5.配备内置电池，电池容量≥10000mAh，断电时可以继续工作，无外部供电时可以持续工作≥24小时；同时配备可取出的充电宝，充电宝容量≥10000mAh，作为备用电源使用；</w:t>
            </w:r>
          </w:p>
          <w:p w14:paraId="2A872E84">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6.实现来电摘机接听电话，挂机挂断电话、铃声自适应、自动唤醒等功能，支持手机充电保护；</w:t>
            </w:r>
          </w:p>
          <w:p w14:paraId="784BB00B">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7.基座可适配无源或有源天通室外天线、北斗定位天线，满足所有点位的安装要求；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8.产品工作频段支持：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定位：L1/B1:1575.42MHzH±1.023MHz/1561.098MHz±2.046MHz;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9.支持卫星电话和基座通过蓝牙连接，设计可调节电话卡槽，兼容市面主流卫星电话品牌机型;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▲10.产品配套提供管理平台：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A．配套管理平台支持对卫星设备的离在线、设备电量、位置情况、应急通知接收状态等进行分析展示，支持省、市、区县一张图管理；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B、支持通过系统向基座按区域下发应急广播；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C、支持按单次或周期向基座上安装的手持卫星电话按区域下发点名任务，并展示应答情况、点名统计等信息。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(二）参数要求：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（1）防护等级：≥IP54；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（2）工作温度不低于-20℃～55℃；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（3）存储温度不低于-40℃～70℃；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（4）蓝牙：支持；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（5）物联网传输：支持；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（6）处理器：双核CPU，主频320MHz；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（7）指示灯：具备设备蓝牙、平台、电源等连接状态指示灯；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（8）卡槽：具备天线收纳槽*2、手机伸缩卡槽、Cat1 NANO SIM卡槽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（9）语音播报：支持播放设备状态改变时对应的提示音，支持播放应急广播和通知消息</w:t>
            </w:r>
          </w:p>
          <w:p w14:paraId="3AEC0827">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中标单位需提供所有设备的安装服务，提供5年的开卡服务费用，统一组织培训使用。</w:t>
            </w:r>
          </w:p>
        </w:tc>
        <w:tc>
          <w:tcPr>
            <w:tcW w:w="70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4E544C">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297</w:t>
            </w:r>
          </w:p>
        </w:tc>
        <w:tc>
          <w:tcPr>
            <w:tcW w:w="67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FB99AAB">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r>
      <w:tr w14:paraId="7E62C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9F0F">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3</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53B1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救援类</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2D5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便携式发电机</w:t>
            </w:r>
          </w:p>
        </w:tc>
        <w:tc>
          <w:tcPr>
            <w:tcW w:w="10260" w:type="dxa"/>
            <w:tcBorders>
              <w:top w:val="single" w:color="000000" w:sz="4" w:space="0"/>
              <w:left w:val="single" w:color="000000" w:sz="4" w:space="0"/>
              <w:bottom w:val="single" w:color="000000" w:sz="4" w:space="0"/>
              <w:right w:val="single" w:color="auto" w:sz="4" w:space="0"/>
            </w:tcBorders>
            <w:shd w:val="clear" w:color="auto" w:fill="auto"/>
            <w:vAlign w:val="top"/>
          </w:tcPr>
          <w:p w14:paraId="67EE3510">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▲1.发动机型式: 单缸四冲程风冷直喷式柴油机；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2.启动方式：手拉启动、电启动（双启动方式）；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3.发动机最大输出功率：≤65KW/3600(kw/rpm)；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4.机油容量≥1.65L（±0.3L）</w:t>
            </w:r>
            <w:r>
              <w:rPr>
                <w:rFonts w:hint="eastAsia" w:ascii="宋体" w:hAnsi="宋体" w:cs="宋体"/>
                <w:i w:val="0"/>
                <w:iCs w:val="0"/>
                <w:color w:val="auto"/>
                <w:kern w:val="0"/>
                <w:sz w:val="20"/>
                <w:szCs w:val="20"/>
                <w:highlight w:val="none"/>
                <w:u w:val="none"/>
                <w:lang w:val="en-US" w:eastAsia="zh-CN" w:bidi="ar"/>
              </w:rPr>
              <w:t>，燃油容量</w:t>
            </w:r>
            <w:r>
              <w:rPr>
                <w:rFonts w:hint="eastAsia" w:ascii="宋体" w:hAnsi="宋体" w:eastAsia="宋体" w:cs="宋体"/>
                <w:i w:val="0"/>
                <w:iCs w:val="0"/>
                <w:color w:val="auto"/>
                <w:kern w:val="0"/>
                <w:sz w:val="20"/>
                <w:szCs w:val="20"/>
                <w:highlight w:val="none"/>
                <w:u w:val="none"/>
                <w:lang w:val="en-US" w:eastAsia="zh-CN" w:bidi="ar"/>
              </w:rPr>
              <w:t>≤16L；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5.噪音值：≤90dB（A）/7m；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6.电机类型：单三相通用（双电压等功率）；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7.额定功率：≤5kW；最大功率（kW）：≤55kW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8.额定电压：230V、230/400V（双电压）；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9.额定电流：单相≥21.7A，三相≥9A；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10.额定频率：50Hz；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11.仪表：数显表，可显示电压、频率、运行时间；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12.发电机组具有自动电压调节系统（AVR）功能；</w:t>
            </w:r>
          </w:p>
        </w:tc>
        <w:tc>
          <w:tcPr>
            <w:tcW w:w="70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24D9C6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67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959DF1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1664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BEF0">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A46FC">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5AE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移动照明平台</w:t>
            </w:r>
          </w:p>
        </w:tc>
        <w:tc>
          <w:tcPr>
            <w:tcW w:w="10260" w:type="dxa"/>
            <w:tcBorders>
              <w:top w:val="single" w:color="000000" w:sz="4" w:space="0"/>
              <w:left w:val="single" w:color="000000" w:sz="4" w:space="0"/>
              <w:bottom w:val="single" w:color="000000" w:sz="4" w:space="0"/>
              <w:right w:val="single" w:color="auto" w:sz="4" w:space="0"/>
            </w:tcBorders>
            <w:shd w:val="clear" w:color="auto" w:fill="auto"/>
            <w:vAlign w:val="top"/>
          </w:tcPr>
          <w:p w14:paraId="5A1FFC4C">
            <w:pPr>
              <w:keepNext w:val="0"/>
              <w:keepLines w:val="0"/>
              <w:widowControl/>
              <w:numPr>
                <w:ilvl w:val="0"/>
                <w:numId w:val="0"/>
              </w:numPr>
              <w:suppressLineNumbers w:val="0"/>
              <w:shd w:val="clear"/>
              <w:jc w:val="left"/>
              <w:textAlignment w:val="top"/>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一、主照明平台配置：产品满足GB 26755-2011《消防移动式照明装置》的标准要求；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1.由发电机、气杆、灯头、底盘、万向轮、定向轮、气泵等组成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2.采用LED灯头</w:t>
            </w:r>
            <w:r>
              <w:rPr>
                <w:rFonts w:hint="eastAsia" w:ascii="宋体" w:hAnsi="宋体" w:cs="宋体"/>
                <w:i w:val="0"/>
                <w:iCs w:val="0"/>
                <w:color w:val="auto"/>
                <w:kern w:val="0"/>
                <w:sz w:val="20"/>
                <w:szCs w:val="20"/>
                <w:highlight w:val="none"/>
                <w:u w:val="none"/>
                <w:lang w:val="en-US" w:eastAsia="zh-CN" w:bidi="ar"/>
              </w:rPr>
              <w:t>或卤毋灯头</w:t>
            </w:r>
            <w:r>
              <w:rPr>
                <w:rFonts w:hint="eastAsia" w:ascii="宋体" w:hAnsi="宋体" w:eastAsia="宋体" w:cs="宋体"/>
                <w:i w:val="0"/>
                <w:iCs w:val="0"/>
                <w:color w:val="auto"/>
                <w:kern w:val="0"/>
                <w:sz w:val="20"/>
                <w:szCs w:val="20"/>
                <w:highlight w:val="none"/>
                <w:u w:val="none"/>
                <w:lang w:val="en-US" w:eastAsia="zh-CN" w:bidi="ar"/>
              </w:rPr>
              <w:t>，总功率≥2000W；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3.灯头数量≥</w:t>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个，可单向照明，也可360°环照；满足多角度大范围的照明需要；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▲4.照度要求照度按照GB26755-2011消防移动式照明装置标准要求10米处照度≥100lx;50米处照度为：5lx。；</w:t>
            </w:r>
            <w:r>
              <w:rPr>
                <w:rFonts w:hint="eastAsia" w:ascii="宋体" w:hAnsi="宋体" w:eastAsia="宋体" w:cs="宋体"/>
                <w:b/>
                <w:bCs/>
                <w:i w:val="0"/>
                <w:iCs w:val="0"/>
                <w:color w:val="auto"/>
                <w:kern w:val="0"/>
                <w:sz w:val="20"/>
                <w:szCs w:val="20"/>
                <w:highlight w:val="none"/>
                <w:u w:val="none"/>
                <w:lang w:val="en-US" w:eastAsia="zh-CN" w:bidi="ar"/>
              </w:rPr>
              <w:t>（须在具有CMA或CNAS标识的检测机构出具的检测报告中体现)</w:t>
            </w:r>
            <w:r>
              <w:rPr>
                <w:rFonts w:hint="eastAsia" w:ascii="宋体" w:hAnsi="宋体" w:eastAsia="宋体" w:cs="宋体"/>
                <w:i w:val="0"/>
                <w:iCs w:val="0"/>
                <w:color w:val="auto"/>
                <w:kern w:val="0"/>
                <w:sz w:val="20"/>
                <w:szCs w:val="20"/>
                <w:highlight w:val="none"/>
                <w:u w:val="none"/>
                <w:shd w:val="clear" w:fill="B6DDE8" w:themeFill="accent5" w:themeFillTint="66"/>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5.应具备升降功能，最大升起高度≥4.5米，最小收起高度≤1.8米；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6.启动方式：手启动</w:t>
            </w:r>
            <w:r>
              <w:rPr>
                <w:rFonts w:hint="eastAsia" w:ascii="宋体" w:hAnsi="宋体" w:cs="宋体"/>
                <w:i w:val="0"/>
                <w:iCs w:val="0"/>
                <w:color w:val="auto"/>
                <w:kern w:val="0"/>
                <w:sz w:val="20"/>
                <w:szCs w:val="20"/>
                <w:highlight w:val="none"/>
                <w:u w:val="none"/>
                <w:lang w:val="en-US" w:eastAsia="zh-CN" w:bidi="ar"/>
              </w:rPr>
              <w:t>或</w:t>
            </w:r>
            <w:r>
              <w:rPr>
                <w:rFonts w:hint="eastAsia" w:ascii="宋体" w:hAnsi="宋体" w:eastAsia="宋体" w:cs="宋体"/>
                <w:i w:val="0"/>
                <w:iCs w:val="0"/>
                <w:color w:val="auto"/>
                <w:kern w:val="0"/>
                <w:sz w:val="20"/>
                <w:szCs w:val="20"/>
                <w:highlight w:val="none"/>
                <w:u w:val="none"/>
                <w:lang w:val="en-US" w:eastAsia="zh-CN" w:bidi="ar"/>
              </w:rPr>
              <w:t>电启动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7.油箱容量：油箱容积:≥</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5L，一次性加满燃油并在满负荷连续运行情况下的工作时间不少于10个小时。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8.抗风等级≥5级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9.防护等级：≥IP6</w:t>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.具备遥控功能，可通过遥控器实现灯具开关调节，控制距离≥</w:t>
            </w:r>
            <w:r>
              <w:rPr>
                <w:rFonts w:hint="eastAsia" w:ascii="宋体" w:hAnsi="宋体" w:cs="宋体"/>
                <w:i w:val="0"/>
                <w:iCs w:val="0"/>
                <w:color w:val="auto"/>
                <w:kern w:val="0"/>
                <w:sz w:val="20"/>
                <w:szCs w:val="20"/>
                <w:highlight w:val="none"/>
                <w:u w:val="none"/>
                <w:lang w:val="en-US" w:eastAsia="zh-CN" w:bidi="ar"/>
              </w:rPr>
              <w:t>30</w:t>
            </w:r>
            <w:r>
              <w:rPr>
                <w:rFonts w:hint="eastAsia" w:ascii="宋体" w:hAnsi="宋体" w:eastAsia="宋体" w:cs="宋体"/>
                <w:i w:val="0"/>
                <w:iCs w:val="0"/>
                <w:color w:val="auto"/>
                <w:kern w:val="0"/>
                <w:sz w:val="20"/>
                <w:szCs w:val="20"/>
                <w:highlight w:val="none"/>
                <w:u w:val="none"/>
                <w:lang w:val="en-US" w:eastAsia="zh-CN" w:bidi="ar"/>
              </w:rPr>
              <w:t>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.配置大功率广播喇叭，功率不低于150W，声音7米处不低于120分贝，可用于现场喊话指挥。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二、照明平台辅助照明配备多功能应急手提式强光灯 1 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1.主光源额定功率≥30w，超强光模式5米处照度值≥1000lx。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2.灯具主光源工作模式≥5种，泛光有工作模式≥3种，充满电聚光强光可连续工作时间≥6h，工作光连续工作时间≥12h，节能光连续工作时间≥100h，侧泛光≥12h，充电时间≤2.5h；</w:t>
            </w:r>
            <w:r>
              <w:rPr>
                <w:rFonts w:hint="eastAsia" w:ascii="宋体" w:hAnsi="宋体" w:eastAsia="宋体" w:cs="宋体"/>
                <w:b/>
                <w:bCs/>
                <w:i w:val="0"/>
                <w:iCs w:val="0"/>
                <w:color w:val="auto"/>
                <w:kern w:val="0"/>
                <w:sz w:val="20"/>
                <w:szCs w:val="20"/>
                <w:highlight w:val="none"/>
                <w:u w:val="none"/>
                <w:lang w:val="en-US" w:eastAsia="zh-CN" w:bidi="ar"/>
              </w:rPr>
              <w:t>（须在具有CMA或CNAS标识的检测机构出具的检测报告中体现)</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3.防爆等级:检测依据需满足GB/T3836.1-2021《爆炸性环境 第1部分：设备通用要求》，防爆标志Ex db ia mbⅡC T4 Gb</w:t>
            </w:r>
            <w:r>
              <w:rPr>
                <w:rFonts w:hint="eastAsia" w:ascii="宋体" w:hAnsi="宋体" w:cs="宋体"/>
                <w:i w:val="0"/>
                <w:iCs w:val="0"/>
                <w:color w:val="auto"/>
                <w:kern w:val="0"/>
                <w:sz w:val="20"/>
                <w:szCs w:val="20"/>
                <w:highlight w:val="none"/>
                <w:u w:val="none"/>
                <w:lang w:val="en-US" w:eastAsia="zh-CN" w:bidi="ar"/>
              </w:rPr>
              <w:t>；</w:t>
            </w:r>
          </w:p>
          <w:p w14:paraId="7227F30A">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4.充电形式:Type-C 快充充电。</w:t>
            </w:r>
          </w:p>
        </w:tc>
        <w:tc>
          <w:tcPr>
            <w:tcW w:w="70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81D46D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67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7BD523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1623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DE36">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5308E">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BFD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前线指挥部帐篷</w:t>
            </w:r>
          </w:p>
        </w:tc>
        <w:tc>
          <w:tcPr>
            <w:tcW w:w="10260" w:type="dxa"/>
            <w:tcBorders>
              <w:top w:val="single" w:color="000000" w:sz="4" w:space="0"/>
              <w:left w:val="single" w:color="000000" w:sz="4" w:space="0"/>
              <w:bottom w:val="single" w:color="000000" w:sz="4" w:space="0"/>
              <w:right w:val="single" w:color="auto" w:sz="4" w:space="0"/>
            </w:tcBorders>
            <w:shd w:val="clear" w:color="auto" w:fill="auto"/>
            <w:vAlign w:val="top"/>
          </w:tcPr>
          <w:p w14:paraId="2F90F987">
            <w:pPr>
              <w:keepNext w:val="0"/>
              <w:keepLines w:val="0"/>
              <w:widowControl/>
              <w:suppressLineNumbers w:val="0"/>
              <w:shd w:val="clear"/>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1.总体尺寸：≥8*6*2.5m投影面积48㎡；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2.形体结构：双面坡屋脊型；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3.外篷布：600D</w:t>
            </w:r>
            <w:r>
              <w:rPr>
                <w:rFonts w:hint="eastAsia" w:ascii="宋体" w:hAnsi="宋体" w:cs="宋体"/>
                <w:i w:val="0"/>
                <w:iCs w:val="0"/>
                <w:color w:val="auto"/>
                <w:kern w:val="0"/>
                <w:sz w:val="20"/>
                <w:szCs w:val="20"/>
                <w:highlight w:val="none"/>
                <w:u w:val="none"/>
                <w:lang w:val="en-US" w:eastAsia="zh-CN" w:bidi="ar"/>
              </w:rPr>
              <w:t>单面图层防水</w:t>
            </w:r>
            <w:r>
              <w:rPr>
                <w:rFonts w:hint="eastAsia" w:ascii="宋体" w:hAnsi="宋体" w:eastAsia="宋体" w:cs="宋体"/>
                <w:i w:val="0"/>
                <w:iCs w:val="0"/>
                <w:color w:val="auto"/>
                <w:kern w:val="0"/>
                <w:sz w:val="20"/>
                <w:szCs w:val="20"/>
                <w:highlight w:val="none"/>
                <w:u w:val="none"/>
                <w:lang w:val="en-US" w:eastAsia="zh-CN" w:bidi="ar"/>
              </w:rPr>
              <w:t>牛津布，厚度≥0.4mm；</w:t>
            </w:r>
            <w:r>
              <w:rPr>
                <w:rFonts w:hint="eastAsia" w:ascii="宋体" w:hAnsi="宋体" w:eastAsia="宋体" w:cs="宋体"/>
                <w:i w:val="0"/>
                <w:iCs w:val="0"/>
                <w:color w:val="auto"/>
                <w:kern w:val="0"/>
                <w:sz w:val="20"/>
                <w:szCs w:val="20"/>
                <w:highlight w:val="none"/>
                <w:u w:val="none"/>
                <w:shd w:val="clear" w:fill="B6DDE8" w:themeFill="accent5" w:themeFillTint="66"/>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4.气柱：0.7mm气密布，气柱B1级阻燃；厚度≥0.7mm，克重≥760g/㎡；</w:t>
            </w:r>
          </w:p>
          <w:p w14:paraId="6E8C0094">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shd w:val="clear"/>
                <w:lang w:val="en-US" w:eastAsia="zh-CN" w:bidi="ar"/>
              </w:rPr>
              <w:t>5.内衬：210D</w:t>
            </w:r>
            <w:r>
              <w:rPr>
                <w:rFonts w:hint="eastAsia" w:ascii="宋体" w:hAnsi="宋体" w:cs="宋体"/>
                <w:i w:val="0"/>
                <w:iCs w:val="0"/>
                <w:color w:val="auto"/>
                <w:kern w:val="0"/>
                <w:sz w:val="20"/>
                <w:szCs w:val="20"/>
                <w:highlight w:val="none"/>
                <w:u w:val="none"/>
                <w:shd w:val="clear"/>
                <w:lang w:val="en-US" w:eastAsia="zh-CN" w:bidi="ar"/>
              </w:rPr>
              <w:t>牛津布；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6.地布：≥550g加厚环保PVC地布，厚度≥0.4mm；</w:t>
            </w:r>
            <w:r>
              <w:rPr>
                <w:rFonts w:hint="eastAsia" w:ascii="宋体" w:hAnsi="宋体" w:eastAsia="宋体" w:cs="宋体"/>
                <w:i w:val="0"/>
                <w:iCs w:val="0"/>
                <w:color w:val="auto"/>
                <w:kern w:val="0"/>
                <w:sz w:val="20"/>
                <w:szCs w:val="20"/>
                <w:highlight w:val="none"/>
                <w:u w:val="none"/>
                <w:shd w:val="clear" w:fill="B6DDE8" w:themeFill="accent5" w:themeFillTint="66"/>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7.气柱安装阀</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组（1个充排阀、1 个安全阀,1个补气阀；）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8.帐篷配通风口≥2个、 阀门口≥1个；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9.抗雪载：≥10kg/m2,1h(抗雪试验满足GJB 6645-2009)；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10.防雨试验：≥100L/（m2.h）,1h(淋浴试验满足GJB 2711-1996)；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11.抗风等级：≥8级风速,0.5h（抗风试验满足GJB6645-2009）；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12.配件：高压电动充排泵1台，修补包1套，固定配件1套（6根带扣抗风拉绳，6根军用地钎），烟雾机1台（含2瓶烟油），1个LED假火，1个报警器，1台750W鼓风机;6个安全指示牌</w:t>
            </w:r>
          </w:p>
        </w:tc>
        <w:tc>
          <w:tcPr>
            <w:tcW w:w="70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729439C">
            <w:pPr>
              <w:keepNext w:val="0"/>
              <w:keepLines w:val="0"/>
              <w:widowControl/>
              <w:suppressLineNumbers w:val="0"/>
              <w:shd w:val="clear"/>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67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B4887EF">
            <w:pPr>
              <w:keepNext w:val="0"/>
              <w:keepLines w:val="0"/>
              <w:widowControl/>
              <w:suppressLineNumbers w:val="0"/>
              <w:shd w:val="clear"/>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个</w:t>
            </w:r>
          </w:p>
        </w:tc>
      </w:tr>
      <w:tr w14:paraId="29E8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A55F">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4AF50">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16A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缓降器</w:t>
            </w:r>
            <w:r>
              <w:rPr>
                <w:rFonts w:hint="eastAsia" w:ascii="宋体" w:hAnsi="宋体" w:cs="宋体"/>
                <w:b/>
                <w:bCs/>
                <w:i w:val="0"/>
                <w:iCs w:val="0"/>
                <w:color w:val="auto"/>
                <w:kern w:val="0"/>
                <w:sz w:val="20"/>
                <w:szCs w:val="20"/>
                <w:highlight w:val="none"/>
                <w:u w:val="none"/>
                <w:lang w:val="en-US" w:eastAsia="zh-CN" w:bidi="ar"/>
              </w:rPr>
              <w:t>（样品）</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75DABAE5">
            <w:pPr>
              <w:keepNext w:val="0"/>
              <w:keepLines w:val="0"/>
              <w:widowControl/>
              <w:numPr>
                <w:ilvl w:val="0"/>
                <w:numId w:val="8"/>
              </w:numPr>
              <w:suppressLineNumbers w:val="0"/>
              <w:shd w:val="clear"/>
              <w:jc w:val="left"/>
              <w:textAlignment w:val="top"/>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应用范围：适合消防演练、救援、高层逃生等用途，具有抗冲击、耐热、耐磨性能；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2.符合GB21976.2-2012《建筑火灾逃生避难器材 第2部分：逃生缓降器》标准要求：安全负荷不低于 1300N，救生高度 10-100M；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3.结构组件：调速器，绳索，安全带 ，安全钩、卷绳盘、备用绳套等；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4.主机重量：≤4kg；</w:t>
            </w:r>
          </w:p>
          <w:p w14:paraId="01F1BB3D">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使用负荷重量：35-100kg</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每次限载人数：1 个；</w:t>
            </w:r>
          </w:p>
          <w:p w14:paraId="42A28237">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缓降绳索载荷：＞10000N 安全带载荷：＞10000N；安全钩载荷：＞6000N</w:t>
            </w:r>
            <w:r>
              <w:rPr>
                <w:rFonts w:hint="eastAsia" w:ascii="宋体" w:hAnsi="宋体" w:eastAsia="宋体" w:cs="宋体"/>
                <w:b/>
                <w:bCs/>
                <w:i w:val="0"/>
                <w:iCs w:val="0"/>
                <w:color w:val="auto"/>
                <w:kern w:val="0"/>
                <w:sz w:val="20"/>
                <w:szCs w:val="20"/>
                <w:highlight w:val="none"/>
                <w:u w:val="none"/>
                <w:lang w:val="en-US" w:eastAsia="zh-CN" w:bidi="ar"/>
              </w:rPr>
              <w:t>（须在具有CMA或CNAS标识的检测机构出具的检测报告中体现)</w:t>
            </w:r>
            <w:r>
              <w:rPr>
                <w:rFonts w:hint="eastAsia" w:ascii="宋体" w:hAnsi="宋体" w:eastAsia="宋体" w:cs="宋体"/>
                <w:i w:val="0"/>
                <w:iCs w:val="0"/>
                <w:color w:val="auto"/>
                <w:kern w:val="0"/>
                <w:sz w:val="20"/>
                <w:szCs w:val="20"/>
                <w:highlight w:val="none"/>
                <w:u w:val="none"/>
                <w:lang w:val="en-US" w:eastAsia="zh-CN" w:bidi="ar"/>
              </w:rPr>
              <w:t>；</w:t>
            </w:r>
          </w:p>
          <w:p w14:paraId="5FF8BF1D">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缓降速度：0．16-1．5m/s。</w:t>
            </w:r>
          </w:p>
        </w:tc>
        <w:tc>
          <w:tcPr>
            <w:tcW w:w="70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4D8236">
            <w:pPr>
              <w:keepNext w:val="0"/>
              <w:keepLines w:val="0"/>
              <w:widowControl/>
              <w:suppressLineNumbers w:val="0"/>
              <w:shd w:val="clear"/>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0</w:t>
            </w:r>
          </w:p>
        </w:tc>
        <w:tc>
          <w:tcPr>
            <w:tcW w:w="67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374CA2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5CED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D78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B8131">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84D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防洪子堤</w:t>
            </w:r>
          </w:p>
        </w:tc>
        <w:tc>
          <w:tcPr>
            <w:tcW w:w="10260" w:type="dxa"/>
            <w:tcBorders>
              <w:top w:val="single" w:color="000000" w:sz="4" w:space="0"/>
              <w:left w:val="single" w:color="000000" w:sz="4" w:space="0"/>
              <w:bottom w:val="single" w:color="000000" w:sz="4" w:space="0"/>
              <w:right w:val="single" w:color="auto" w:sz="4" w:space="0"/>
            </w:tcBorders>
            <w:shd w:val="clear" w:color="auto" w:fill="auto"/>
            <w:vAlign w:val="top"/>
          </w:tcPr>
          <w:p w14:paraId="465BA9D7">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1.用于堤防漫溢险情和地下车库、地下通道等临时加高；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2.每套（长度不低于10米）防洪子堤由角(支)架、横梁、挡水板、固定地钉、止水等组成,满足在挡水深度 1.0m 时结构安全，可回收重复使用；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3.防洪子堤每组长≥10m，单元宽≥1m，高≥1.3m(垂直),挡水深度≥1m;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4.角架、横梁为冲压镀锌钢板或铝合金等金属材质，固定地钉为镀锌圆钢材质;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5.挡水板为玻璃钢材料，面板厚度≥4mm，与支架或横梁连接紧密;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6.组与组、单元间连接应牢固、设止水；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7.单套角(支)架整体可快速打开安装、折叠;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8.每组防洪子堤装箱包装，便于运输和储存，每箱包装内放置产品合格证1份、操作保养手册1份。</w:t>
            </w:r>
          </w:p>
        </w:tc>
        <w:tc>
          <w:tcPr>
            <w:tcW w:w="70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D690FA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7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48EE2B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r>
      <w:tr w14:paraId="55630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DD1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73C70">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365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救生抛投器</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7DAAE36D">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1.符合 GB/T 27906-2011《救生抛投器》标准要求。用于远距离救援抛绳器，能适用于各种复杂、危险需要远距离救援的场合。可作为船对船、船对岸、高楼和山涧的抛绳救援及抢救落水者等场所使用。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配置：发射主机1个（抛投器主机内置1.5升碳纤维气瓶）、多功能底座1个、陆用救援弹≥2个（内置救援绳）、水用救援弹≥2个（内置水用救援绳，带自动充气救生圈）、训练弹≥1个、绳包≥2个（分别内含≥190米水用救援绳，与水用救援弹和训练弹配合使用）、装绳器≥1个、收绳器≥1套、双滚珠角度仪≥1套、气瓶充绳器≥1套、16克CO2压缩气瓶≥4个、触发剂≥4个、救生圈保护套≥2套、高尔夫球包一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3.工作压力：8.5Mpa（±0.1 Mpa），重量≤8.5KG（净重）；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4.抛射距离：陆用时抛射距离≥357米；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水用时抛射自动充气救生圈距离≥256米；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▲5.抛绳规格：陆用抛绳规格：抛绳断裂强度≥2360N</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水用抛绳规格：抛绳断裂强度≥7150N；</w:t>
            </w:r>
            <w:r>
              <w:rPr>
                <w:rFonts w:hint="eastAsia" w:ascii="宋体" w:hAnsi="宋体" w:eastAsia="宋体" w:cs="宋体"/>
                <w:b/>
                <w:bCs/>
                <w:i w:val="0"/>
                <w:iCs w:val="0"/>
                <w:color w:val="auto"/>
                <w:kern w:val="0"/>
                <w:sz w:val="20"/>
                <w:szCs w:val="20"/>
                <w:highlight w:val="none"/>
                <w:u w:val="none"/>
                <w:lang w:val="en-US" w:eastAsia="zh-CN" w:bidi="ar"/>
              </w:rPr>
              <w:t>（须在具有CMA或CNAS标识的检测机构出具的检测报告中体现)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6.抛射偏差角≤0.5°；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7.枪体上有手动泄压阀，精准控制抛投器工作压力；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8.配备有充绳用的气瓶收绳器，连接G5/8国标气瓶空呼气瓶进行充绳，实现现场充装弹头。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9.配备金属多功能底座，有30°、45°、55°、65°、75°等5个调整角度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带有2个钢钎及防滑橡胶，适用多种复杂环境下使用；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10.枪体上装有压力表（内嵌枪体里），实时显示阀体工作压力；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11.配备有调校发射角度的双滚珠角度仪，便于控制发射角度，实现有效抛投，能使救援弹抛射的更加接近目的地、且抛射距离更远；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12.铝合金航空包装箱，坚固防水抗震，可规则堆放在救援车上，方便快速投入救援；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13.配备有收绳用的收绳器，能快速回收救援绳，提高救援的时间和效率；</w:t>
            </w:r>
          </w:p>
        </w:tc>
        <w:tc>
          <w:tcPr>
            <w:tcW w:w="70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8C84AD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DD41CF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583D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D2E8">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309DC">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D5D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救生绳</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7571E244">
            <w:pPr>
              <w:keepNext w:val="0"/>
              <w:keepLines w:val="0"/>
              <w:widowControl/>
              <w:numPr>
                <w:ilvl w:val="0"/>
                <w:numId w:val="0"/>
              </w:numPr>
              <w:suppressLineNumbers w:val="0"/>
              <w:shd w:val="clear"/>
              <w:jc w:val="left"/>
              <w:textAlignment w:val="top"/>
              <w:rPr>
                <w:rFonts w:hint="eastAsia"/>
                <w:color w:val="auto"/>
                <w:highlight w:val="none"/>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.材质：高强涤纶；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.直径≥9.5mm，长度≥30米；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.破断强度：≥23KN；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.延伸率：当承重达到最小破断强度的10%时，安全绳的延伸率≤</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经204±5℃的耐高温性能试验后，不出现熔融、焦化现象</w:t>
            </w:r>
            <w:r>
              <w:rPr>
                <w:rFonts w:hint="eastAsia" w:ascii="宋体" w:hAnsi="宋体" w:cs="宋体"/>
                <w:i w:val="0"/>
                <w:iCs w:val="0"/>
                <w:color w:val="auto"/>
                <w:kern w:val="0"/>
                <w:sz w:val="20"/>
                <w:szCs w:val="20"/>
                <w:highlight w:val="none"/>
                <w:u w:val="none"/>
                <w:lang w:val="en-US" w:eastAsia="zh-CN" w:bidi="ar"/>
              </w:rPr>
              <w:t>；</w:t>
            </w:r>
          </w:p>
          <w:p w14:paraId="17311C16">
            <w:pPr>
              <w:pStyle w:val="2"/>
              <w:shd w:val="clear"/>
              <w:rPr>
                <w:rFonts w:hint="eastAsia" w:eastAsia="仿宋_GB2312"/>
                <w:color w:val="auto"/>
                <w:highlight w:val="none"/>
                <w:lang w:val="en-US" w:eastAsia="zh-CN"/>
              </w:rPr>
            </w:pPr>
            <w:r>
              <w:rPr>
                <w:rFonts w:hint="eastAsia" w:ascii="宋体" w:hAnsi="宋体" w:eastAsia="宋体" w:cs="宋体"/>
                <w:b w:val="0"/>
                <w:bCs w:val="0"/>
                <w:i w:val="0"/>
                <w:iCs w:val="0"/>
                <w:color w:val="auto"/>
                <w:kern w:val="0"/>
                <w:sz w:val="20"/>
                <w:szCs w:val="20"/>
                <w:highlight w:val="none"/>
                <w:u w:val="none"/>
                <w:lang w:val="en-US" w:eastAsia="zh-CN" w:bidi="ar"/>
              </w:rPr>
              <w:t>6.符合国家XF 494-2023《消防用防坠落装备》标准要求。</w:t>
            </w:r>
          </w:p>
        </w:tc>
        <w:tc>
          <w:tcPr>
            <w:tcW w:w="707" w:type="dxa"/>
            <w:tcBorders>
              <w:top w:val="nil"/>
              <w:left w:val="single" w:color="000000" w:sz="4" w:space="0"/>
              <w:bottom w:val="single" w:color="000000" w:sz="4" w:space="0"/>
              <w:right w:val="single" w:color="000000" w:sz="4" w:space="0"/>
            </w:tcBorders>
            <w:shd w:val="clear" w:color="auto" w:fill="auto"/>
            <w:noWrap/>
            <w:vAlign w:val="center"/>
          </w:tcPr>
          <w:p w14:paraId="743068C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4C80AD1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r>
      <w:tr w14:paraId="319B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2084">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24E38">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54D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救援伸缩杆</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6F731E0A">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1.节数：≥6节；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2.抗拉离性能(头部钢丝绳与杆体结合处)1915N；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3.漂浮性能：试样置于常温水中2小时后,仍漂浮于水面；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4.收缩≤1.8m，展开≥6m；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5.耐腐蚀性能经48h中性盐雾试验后,外观符合GB/T6461-2002外观等级评定轻微级的要求。</w:t>
            </w:r>
          </w:p>
        </w:tc>
        <w:tc>
          <w:tcPr>
            <w:tcW w:w="707" w:type="dxa"/>
            <w:tcBorders>
              <w:top w:val="nil"/>
              <w:left w:val="single" w:color="000000" w:sz="4" w:space="0"/>
              <w:bottom w:val="single" w:color="000000" w:sz="4" w:space="0"/>
              <w:right w:val="single" w:color="000000" w:sz="4" w:space="0"/>
            </w:tcBorders>
            <w:shd w:val="clear" w:color="auto" w:fill="auto"/>
            <w:noWrap/>
            <w:vAlign w:val="center"/>
          </w:tcPr>
          <w:p w14:paraId="468988B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6ABCDD5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1D9F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1E49">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2D39A">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1F4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除雪装备</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29420770">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整套包含：推雪铲、刮雪铲、手扶扫雪机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推雪铲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1.推板宽度：≥lm；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2.推板高度：≥42cm；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3.推板材质：冷轧铁板，表面喷塑；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4.推板左右调节：7档调节；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5.手把高低调节：5档调节；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6.手把套材质：橡胶；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7.手把拆分：上下两段；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8.轮胎：3.00-4.00，直径25±2厘米；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9.刮条：塑料刮条，螺丝固定；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刮雪铲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1.加厚铝合金杆不易生锈断裂；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2.长度：≥80cm;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手扶扫雪机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1.最大工作宽度：≥110cm；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2.最大工作厚度：≥20cm；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3.毛刷材质：尼龙+钢丝；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4.毛刷直径：≥50cm；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5.毛刷头旋转角度：左右各15度；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6.发动机类型：汽油或柴油；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7.发动机参数：排量420CC，单缸，四冲程；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8.功率：≥15HP；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9.启动方式：手启动和电启动一体；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10.最大负重：≥24001bs./分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11.最大工作效率：≥4200平方每小时；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12.油箱容量：≥6.5L；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13.每箱油工作时间：≥4.5小时；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14.机油箱容量：1.1L(5W-30四冲程防冻机油)；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15.传动形式：全齿轮传动；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16.离合方式：车用干式离合；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17.档位：3个前进档，3个后退档；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18.多功能表现：可以更换抛雪头，推铲。</w:t>
            </w:r>
          </w:p>
        </w:tc>
        <w:tc>
          <w:tcPr>
            <w:tcW w:w="707" w:type="dxa"/>
            <w:tcBorders>
              <w:top w:val="nil"/>
              <w:left w:val="single" w:color="000000" w:sz="4" w:space="0"/>
              <w:bottom w:val="single" w:color="000000" w:sz="4" w:space="0"/>
              <w:right w:val="single" w:color="000000" w:sz="4" w:space="0"/>
            </w:tcBorders>
            <w:shd w:val="clear" w:color="auto" w:fill="auto"/>
            <w:noWrap/>
            <w:vAlign w:val="center"/>
          </w:tcPr>
          <w:p w14:paraId="5181FCE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73FF24E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7422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BEBA">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8B177">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F99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电动U型救生圈</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490A8B07">
            <w:pPr>
              <w:keepNext w:val="0"/>
              <w:keepLines w:val="0"/>
              <w:widowControl/>
              <w:suppressLineNumbers w:val="0"/>
              <w:shd w:val="clear"/>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1.U型人体工学设计，机身两侧配置两个固定抓手及两条反光拉绳，机身外部左右两侧自带警示灯各一个；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2.产品外形尺寸（长*宽*高）：≤980*760*220mm；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3.产品整机（含电池）重量：≤16kg；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4.推进器数量：2个推进器（防砂防水草结构）；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5.防水等级≥IP68。在淡水环境下放在1M水深持续2H，无损坏且能正常工作</w:t>
            </w:r>
            <w:r>
              <w:rPr>
                <w:rFonts w:hint="eastAsia" w:ascii="宋体" w:hAnsi="宋体" w:eastAsia="宋体" w:cs="宋体"/>
                <w:b/>
                <w:bCs/>
                <w:i w:val="0"/>
                <w:iCs w:val="0"/>
                <w:color w:val="auto"/>
                <w:kern w:val="0"/>
                <w:sz w:val="20"/>
                <w:szCs w:val="20"/>
                <w:highlight w:val="none"/>
                <w:u w:val="none"/>
                <w:lang w:val="en-US" w:eastAsia="zh-CN" w:bidi="ar"/>
              </w:rPr>
              <w:t>（须在具有CMA或CNAS标识的检测机构出具的检测报告中体现)</w:t>
            </w:r>
            <w:r>
              <w:rPr>
                <w:rFonts w:hint="eastAsia" w:ascii="宋体" w:hAnsi="宋体" w:eastAsia="宋体" w:cs="宋体"/>
                <w:i w:val="0"/>
                <w:iCs w:val="0"/>
                <w:color w:val="auto"/>
                <w:kern w:val="0"/>
                <w:sz w:val="20"/>
                <w:szCs w:val="20"/>
                <w:highlight w:val="none"/>
                <w:u w:val="none"/>
                <w:shd w:val="clear" w:fill="B6DDE8" w:themeFill="accent5" w:themeFillTint="66"/>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6.水上浮力：≥1000N 水上拖力:≥500</w:t>
            </w:r>
            <w:r>
              <w:rPr>
                <w:rFonts w:hint="eastAsia" w:ascii="宋体" w:hAnsi="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7.空载速度≥7m/s，载人速度≥3m/s（载人≥85kg时）</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（须在具有CMA或CNAS标识的检测机构出具的检测报告中体现)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最大续航时间≥90min；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.电池：电池两组磷酸铁锂电池，1500次充放。电池具有过充、过放、过流及短路保护，在水中过放后，等电压自恢复后能自动开机保持通讯。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.控制系统：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1采用船控系统，最大遥控距离≥1800M；</w:t>
            </w:r>
          </w:p>
          <w:p w14:paraId="607BF62D">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.2遥控器工作时间≥8小时，遥控器屏幕显示：电量，航行速度，导航转态等功能；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.3遥控器可单手操作，GPS/北斗双定位系统，支持一键返航、失航返航和低电量关机自动返航，定点投放，返回起始位置误差≤1米；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.反光拉绳要求：采用高性能浮力材料，具有夜间反光和夜光标识性能，直径≥8MM ,破断强度≥30KN；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.跌落性能：自≥25M高度抛落入水中，仍可正常使用；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.安全保障：船体或其电源具有防水性能，防止船体内部溢水影响遥控救生圈正常工作。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.艇体反光警示膜反光性能:装备具备反光警示标识，淋水后反光条带在观测角 12'，入射角5°时逆反射系数 60cd/(lxm )；</w:t>
            </w:r>
          </w:p>
        </w:tc>
        <w:tc>
          <w:tcPr>
            <w:tcW w:w="707" w:type="dxa"/>
            <w:tcBorders>
              <w:top w:val="nil"/>
              <w:left w:val="single" w:color="000000" w:sz="4" w:space="0"/>
              <w:bottom w:val="single" w:color="auto" w:sz="4" w:space="0"/>
              <w:right w:val="single" w:color="000000" w:sz="4" w:space="0"/>
            </w:tcBorders>
            <w:shd w:val="clear" w:color="auto" w:fill="auto"/>
            <w:noWrap/>
            <w:vAlign w:val="center"/>
          </w:tcPr>
          <w:p w14:paraId="592D983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75" w:type="dxa"/>
            <w:tcBorders>
              <w:top w:val="nil"/>
              <w:left w:val="single" w:color="000000" w:sz="4" w:space="0"/>
              <w:bottom w:val="single" w:color="auto" w:sz="4" w:space="0"/>
              <w:right w:val="single" w:color="000000" w:sz="4" w:space="0"/>
            </w:tcBorders>
            <w:shd w:val="clear" w:color="auto" w:fill="auto"/>
            <w:noWrap/>
            <w:vAlign w:val="center"/>
          </w:tcPr>
          <w:p w14:paraId="0B3E6AE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423A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0D4F">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917C9">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6830">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w:t>
            </w:r>
          </w:p>
        </w:tc>
        <w:tc>
          <w:tcPr>
            <w:tcW w:w="10260" w:type="dxa"/>
            <w:tcBorders>
              <w:top w:val="single" w:color="000000" w:sz="4" w:space="0"/>
              <w:left w:val="single" w:color="000000" w:sz="4" w:space="0"/>
              <w:bottom w:val="single" w:color="000000" w:sz="4" w:space="0"/>
              <w:right w:val="single" w:color="auto" w:sz="4" w:space="0"/>
            </w:tcBorders>
            <w:shd w:val="clear" w:color="auto" w:fill="auto"/>
            <w:vAlign w:val="top"/>
          </w:tcPr>
          <w:p w14:paraId="67CC1C71">
            <w:pPr>
              <w:keepNext w:val="0"/>
              <w:keepLines w:val="0"/>
              <w:widowControl/>
              <w:suppressLineNumbers w:val="0"/>
              <w:shd w:val="clear"/>
              <w:jc w:val="left"/>
              <w:textAlignment w:val="top"/>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1.发动机为二冲程、单缸、强制水冷循环系统和自然风冷复合冷却方</w:t>
            </w:r>
            <w:r>
              <w:rPr>
                <w:rFonts w:hint="eastAsia" w:ascii="宋体" w:hAnsi="宋体" w:eastAsia="宋体" w:cs="宋体"/>
                <w:b w:val="0"/>
                <w:bCs w:val="0"/>
                <w:i w:val="0"/>
                <w:iCs w:val="0"/>
                <w:color w:val="auto"/>
                <w:kern w:val="0"/>
                <w:sz w:val="20"/>
                <w:szCs w:val="20"/>
                <w:highlight w:val="none"/>
                <w:u w:val="none"/>
                <w:lang w:val="en-US" w:eastAsia="zh-CN" w:bidi="ar"/>
              </w:rPr>
              <w:t>式的汽油发动机,功率≥10HP，水泵结构为三级离心水泵；</w:t>
            </w:r>
            <w:r>
              <w:rPr>
                <w:rFonts w:hint="eastAsia" w:ascii="宋体" w:hAnsi="宋体" w:eastAsia="宋体" w:cs="宋体"/>
                <w:b w:val="0"/>
                <w:bCs w:val="0"/>
                <w:i w:val="0"/>
                <w:iCs w:val="0"/>
                <w:color w:val="auto"/>
                <w:kern w:val="0"/>
                <w:sz w:val="20"/>
                <w:szCs w:val="20"/>
                <w:highlight w:val="none"/>
                <w:u w:val="none"/>
                <w:shd w:val="clear" w:fill="B6DDE8" w:themeFill="accent5" w:themeFillTint="66"/>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2.启动方式为电启动和手拉启动；</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3.水泵配有全包围、防撕裂面料双肩安全保护背包；</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4.保护方式有超速、过热、无水三重保护系统装置、电源具有过流、过压、过放三重保护系统装置；</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5.采用外挂油箱，容积≥9L，带有过滤的独立加油口、有油位显示，可实现不停机加油；</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6.冷却方式为强制水冷却及空气复合冷却；</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7.手动引水：手动真空膜片式引水；</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 xml:space="preserve">8.引水最大真空度≥85kPa，引水真空密封性能≤2.6kPa，引水时间≤15s；  </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9.净重：≤13kg；</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10.最大压力≥2.4Mpa，最大流量≥4.5L/s；</w:t>
            </w:r>
            <w:r>
              <w:rPr>
                <w:rFonts w:hint="eastAsia" w:ascii="宋体" w:hAnsi="宋体" w:eastAsia="宋体" w:cs="宋体"/>
                <w:b/>
                <w:bCs/>
                <w:i w:val="0"/>
                <w:iCs w:val="0"/>
                <w:color w:val="auto"/>
                <w:kern w:val="0"/>
                <w:sz w:val="20"/>
                <w:szCs w:val="20"/>
                <w:highlight w:val="none"/>
                <w:u w:val="none"/>
                <w:lang w:val="en-US" w:eastAsia="zh-CN" w:bidi="ar"/>
              </w:rPr>
              <w:t>（须在具有CMA或CNAS标识的检测机构出具的检测报告中体现)</w:t>
            </w:r>
            <w:r>
              <w:rPr>
                <w:rFonts w:hint="eastAsia" w:ascii="宋体" w:hAnsi="宋体" w:eastAsia="宋体" w:cs="宋体"/>
                <w:b w:val="0"/>
                <w:bCs w:val="0"/>
                <w:i w:val="0"/>
                <w:iCs w:val="0"/>
                <w:color w:val="auto"/>
                <w:kern w:val="0"/>
                <w:sz w:val="20"/>
                <w:szCs w:val="20"/>
                <w:highlight w:val="none"/>
                <w:u w:val="none"/>
                <w:shd w:val="clear" w:fill="B6DDE8" w:themeFill="accent5" w:themeFillTint="66"/>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11.当时压力为0.6MPa 时、流量≥3.0L/s，当时压力为 1.6MPa 时、流量≥1.5L/s；</w:t>
            </w:r>
            <w:r>
              <w:rPr>
                <w:rFonts w:hint="eastAsia" w:ascii="宋体" w:hAnsi="宋体" w:eastAsia="宋体" w:cs="宋体"/>
                <w:b/>
                <w:bCs/>
                <w:i w:val="0"/>
                <w:iCs w:val="0"/>
                <w:color w:val="auto"/>
                <w:kern w:val="0"/>
                <w:sz w:val="20"/>
                <w:szCs w:val="20"/>
                <w:highlight w:val="none"/>
                <w:u w:val="none"/>
                <w:lang w:val="en-US" w:eastAsia="zh-CN" w:bidi="ar"/>
              </w:rPr>
              <w:t>（须在具有CMA或CNAS标识的检测机构出具的检测报告中体现)</w:t>
            </w:r>
          </w:p>
          <w:p w14:paraId="1E79B7F5">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12.出水：40mm±1标准接口，进水：50mm±1标准接口；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13.最高扬程≥150m；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14.吸程：≥6m；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15.用于高强度灭火，可实现多台水泵串、并联架设；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16.配置要求：油箱 1 个、油管 1 条、水泵背包1个、启动电源1套、三孔一体直流喷枪1把、水雾喷枪1把、单向阀1个、三通阀1个、底阀1个、止水钳1把、水带扳手2把、接力转换接头1个、可背负的附包1个、红色轻便吸水管1条、1.5寸耐磨水带1条（50-40-10）、规格30-40-30涤纶长丝 PU衬里1.5寸消防水带不少于1000米、专用工具包1套，铝合金高级包装箱1个。</w:t>
            </w:r>
          </w:p>
        </w:tc>
        <w:tc>
          <w:tcPr>
            <w:tcW w:w="70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33B5B6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7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AA7F56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7DB9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539A">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CBE4A">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BF1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铁锹</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34E460A0">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1.产品材质：锰钢头+实木；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2.锹头：≥40*24*30cm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3.长度：≥120cm;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4.重量：≤1.5kg。</w:t>
            </w:r>
          </w:p>
        </w:tc>
        <w:tc>
          <w:tcPr>
            <w:tcW w:w="70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E7A4E7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440</w:t>
            </w:r>
          </w:p>
        </w:tc>
        <w:tc>
          <w:tcPr>
            <w:tcW w:w="67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CF86A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r>
      <w:tr w14:paraId="16DE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06C7">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5FD5">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D40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高音喇叭</w:t>
            </w:r>
          </w:p>
        </w:tc>
        <w:tc>
          <w:tcPr>
            <w:tcW w:w="10260" w:type="dxa"/>
            <w:tcBorders>
              <w:top w:val="single" w:color="000000" w:sz="4" w:space="0"/>
              <w:left w:val="single" w:color="000000" w:sz="4" w:space="0"/>
              <w:bottom w:val="single" w:color="000000" w:sz="4" w:space="0"/>
              <w:right w:val="single" w:color="auto" w:sz="4" w:space="0"/>
            </w:tcBorders>
            <w:shd w:val="clear" w:color="auto" w:fill="auto"/>
            <w:vAlign w:val="top"/>
          </w:tcPr>
          <w:p w14:paraId="696C25D7">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1.功率：≥50W;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2.传输距离：≥800m;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3.重量：≤0.95kg（不含电池）；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4.续航时间：≥6小时；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5.尺寸：≤380x230x65mm;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6.不少于三种供电方式；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7.具有报警功能；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8.功能:喊话/扩音/播放音频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9.插槽接口:USB接口/TF卡插槽/AUX音频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配件：工具包、工具包、说明书、保修卡。</w:t>
            </w:r>
          </w:p>
        </w:tc>
        <w:tc>
          <w:tcPr>
            <w:tcW w:w="70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5FD46D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67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04A52A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113D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DC38">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D8539">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FB1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警戒带</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1DA8E274">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1.长度：≥50m，宽度≥4.5cm；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2.带反光；</w:t>
            </w:r>
          </w:p>
        </w:tc>
        <w:tc>
          <w:tcPr>
            <w:tcW w:w="70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846159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6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116F58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r>
      <w:tr w14:paraId="1F5C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9BED">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3138">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433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救援担架</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0ED4017F">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1.折叠担架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2.展开尺寸≥2000x530x180mm±20mm；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3.重量：≤5kg；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4.承重：≥1</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0kg</w:t>
            </w:r>
          </w:p>
        </w:tc>
        <w:tc>
          <w:tcPr>
            <w:tcW w:w="707" w:type="dxa"/>
            <w:tcBorders>
              <w:top w:val="nil"/>
              <w:left w:val="single" w:color="000000" w:sz="4" w:space="0"/>
              <w:bottom w:val="single" w:color="000000" w:sz="4" w:space="0"/>
              <w:right w:val="single" w:color="000000" w:sz="4" w:space="0"/>
            </w:tcBorders>
            <w:shd w:val="clear" w:color="auto" w:fill="auto"/>
            <w:noWrap/>
            <w:vAlign w:val="center"/>
          </w:tcPr>
          <w:p w14:paraId="1026B4A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150D687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3C1E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EF70">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FB91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执法类</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5DE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测电笔</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5D7CAEA6">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1.测试范围：12V-</w:t>
            </w:r>
            <w:r>
              <w:rPr>
                <w:rFonts w:hint="eastAsia" w:ascii="宋体" w:hAnsi="宋体" w:cs="宋体"/>
                <w:i w:val="0"/>
                <w:iCs w:val="0"/>
                <w:color w:val="auto"/>
                <w:kern w:val="0"/>
                <w:sz w:val="20"/>
                <w:szCs w:val="20"/>
                <w:highlight w:val="none"/>
                <w:u w:val="none"/>
                <w:lang w:val="en-US" w:eastAsia="zh-CN" w:bidi="ar"/>
              </w:rPr>
              <w:t>400</w:t>
            </w:r>
            <w:r>
              <w:rPr>
                <w:rFonts w:hint="eastAsia" w:ascii="宋体" w:hAnsi="宋体" w:eastAsia="宋体" w:cs="宋体"/>
                <w:i w:val="0"/>
                <w:iCs w:val="0"/>
                <w:color w:val="auto"/>
                <w:kern w:val="0"/>
                <w:sz w:val="20"/>
                <w:szCs w:val="20"/>
                <w:highlight w:val="none"/>
                <w:u w:val="none"/>
                <w:lang w:val="en-US" w:eastAsia="zh-CN" w:bidi="ar"/>
              </w:rPr>
              <w:t>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2.工作温度：支持最低温度≤0℃，最高温度≥40℃;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3.有显示屏</w:t>
            </w:r>
          </w:p>
        </w:tc>
        <w:tc>
          <w:tcPr>
            <w:tcW w:w="707" w:type="dxa"/>
            <w:tcBorders>
              <w:top w:val="nil"/>
              <w:left w:val="single" w:color="000000" w:sz="4" w:space="0"/>
              <w:bottom w:val="single" w:color="000000" w:sz="4" w:space="0"/>
              <w:right w:val="single" w:color="000000" w:sz="4" w:space="0"/>
            </w:tcBorders>
            <w:shd w:val="clear" w:color="auto" w:fill="auto"/>
            <w:noWrap/>
            <w:vAlign w:val="center"/>
          </w:tcPr>
          <w:p w14:paraId="249A048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675" w:type="dxa"/>
            <w:tcBorders>
              <w:top w:val="nil"/>
              <w:left w:val="single" w:color="000000" w:sz="4" w:space="0"/>
              <w:bottom w:val="single" w:color="000000" w:sz="4" w:space="0"/>
              <w:right w:val="single" w:color="000000" w:sz="4" w:space="0"/>
            </w:tcBorders>
            <w:shd w:val="clear" w:color="auto" w:fill="auto"/>
            <w:noWrap/>
            <w:vAlign w:val="center"/>
          </w:tcPr>
          <w:p w14:paraId="6DBBC66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r>
      <w:tr w14:paraId="67B1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59B5">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4738C">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316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强光手电（头灯）</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0C134178">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1.符合 GB 30734-2014《消防员照明灯具》标准要求；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2.符合GB/T3836.1-2021和GB/T3836.4-2021的标准要求,防爆标志：Ex ib ⅡC T4 Gb，适用于各种易燃易爆场所安全工作；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3.电压≥3.7V，电池容量≥1900mAh,连续放电时间：强光≥5h，弱光≥10h；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4.灯具应具有强、弱光切换功能，带闪烁方式的低电压警告功能；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5.采用Type-c充电口设计；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6.灯具外壳防护等级应满足GB 4208-2008规定的IP66的要求，可在1.5米深的水中持续潜水1h，不影响使用。</w:t>
            </w:r>
          </w:p>
        </w:tc>
        <w:tc>
          <w:tcPr>
            <w:tcW w:w="707" w:type="dxa"/>
            <w:tcBorders>
              <w:top w:val="nil"/>
              <w:left w:val="single" w:color="000000" w:sz="4" w:space="0"/>
              <w:bottom w:val="single" w:color="auto" w:sz="4" w:space="0"/>
              <w:right w:val="single" w:color="000000" w:sz="4" w:space="0"/>
            </w:tcBorders>
            <w:shd w:val="clear" w:color="auto" w:fill="auto"/>
            <w:noWrap/>
            <w:vAlign w:val="center"/>
          </w:tcPr>
          <w:p w14:paraId="23E6AAD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675" w:type="dxa"/>
            <w:tcBorders>
              <w:top w:val="nil"/>
              <w:left w:val="single" w:color="000000" w:sz="4" w:space="0"/>
              <w:bottom w:val="single" w:color="auto" w:sz="4" w:space="0"/>
              <w:right w:val="single" w:color="000000" w:sz="4" w:space="0"/>
            </w:tcBorders>
            <w:shd w:val="clear" w:color="auto" w:fill="auto"/>
            <w:noWrap/>
            <w:vAlign w:val="center"/>
          </w:tcPr>
          <w:p w14:paraId="339B6DF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盏</w:t>
            </w:r>
          </w:p>
        </w:tc>
      </w:tr>
      <w:tr w14:paraId="3819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2EB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039B6">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53E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卷尺</w:t>
            </w:r>
          </w:p>
        </w:tc>
        <w:tc>
          <w:tcPr>
            <w:tcW w:w="10260" w:type="dxa"/>
            <w:tcBorders>
              <w:top w:val="single" w:color="000000" w:sz="4" w:space="0"/>
              <w:left w:val="single" w:color="000000" w:sz="4" w:space="0"/>
              <w:bottom w:val="single" w:color="000000" w:sz="4" w:space="0"/>
              <w:right w:val="single" w:color="auto" w:sz="4" w:space="0"/>
            </w:tcBorders>
            <w:shd w:val="clear" w:color="auto" w:fill="auto"/>
            <w:vAlign w:val="top"/>
          </w:tcPr>
          <w:p w14:paraId="10C724B0">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1.钢制卷尺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2.尺带长度：≥5m；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3.尺带宽度：≥19mm；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4.卷带制式：厘米/cm；</w:t>
            </w:r>
          </w:p>
        </w:tc>
        <w:tc>
          <w:tcPr>
            <w:tcW w:w="70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599B19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67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DF7C30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2A36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F19E">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98A6F">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D93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绝缘手套</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3857027C">
            <w:pPr>
              <w:keepNext w:val="0"/>
              <w:keepLines w:val="0"/>
              <w:widowControl/>
              <w:suppressLineNumbers w:val="0"/>
              <w:shd w:val="clear"/>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1.符合GB17622-2008《带电作业用绝缘手套》标准要求</w:t>
            </w:r>
          </w:p>
          <w:p w14:paraId="47FB1E8C">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2.材质：橡胶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3.耐电压≥12KV；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4.机械性能要求：平均拉伸强度≥</w:t>
            </w:r>
            <w:r>
              <w:rPr>
                <w:rFonts w:hint="eastAsia" w:ascii="宋体" w:hAnsi="宋体" w:cs="宋体"/>
                <w:i w:val="0"/>
                <w:iCs w:val="0"/>
                <w:color w:val="auto"/>
                <w:kern w:val="0"/>
                <w:sz w:val="20"/>
                <w:szCs w:val="20"/>
                <w:highlight w:val="none"/>
                <w:u w:val="none"/>
                <w:lang w:val="en-US" w:eastAsia="zh-CN" w:bidi="ar"/>
              </w:rPr>
              <w:t>16</w:t>
            </w:r>
            <w:r>
              <w:rPr>
                <w:rFonts w:hint="eastAsia" w:ascii="宋体" w:hAnsi="宋体" w:eastAsia="宋体" w:cs="宋体"/>
                <w:i w:val="0"/>
                <w:iCs w:val="0"/>
                <w:color w:val="auto"/>
                <w:kern w:val="0"/>
                <w:sz w:val="20"/>
                <w:szCs w:val="20"/>
                <w:highlight w:val="none"/>
                <w:u w:val="none"/>
                <w:lang w:val="en-US" w:eastAsia="zh-CN" w:bidi="ar"/>
              </w:rPr>
              <w:t>MPa，平均扯断伸长率≥600%，拉伸永久变形≤</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5%，抗机械刺穿强度≥</w:t>
            </w:r>
            <w:r>
              <w:rPr>
                <w:rFonts w:hint="eastAsia" w:ascii="宋体" w:hAnsi="宋体" w:cs="宋体"/>
                <w:i w:val="0"/>
                <w:iCs w:val="0"/>
                <w:color w:val="auto"/>
                <w:kern w:val="0"/>
                <w:sz w:val="20"/>
                <w:szCs w:val="20"/>
                <w:highlight w:val="none"/>
                <w:u w:val="none"/>
                <w:lang w:val="en-US" w:eastAsia="zh-CN" w:bidi="ar"/>
              </w:rPr>
              <w:t>18</w:t>
            </w:r>
            <w:r>
              <w:rPr>
                <w:rFonts w:hint="eastAsia" w:ascii="宋体" w:hAnsi="宋体" w:eastAsia="宋体" w:cs="宋体"/>
                <w:i w:val="0"/>
                <w:iCs w:val="0"/>
                <w:color w:val="auto"/>
                <w:kern w:val="0"/>
                <w:sz w:val="20"/>
                <w:szCs w:val="20"/>
                <w:highlight w:val="none"/>
                <w:u w:val="none"/>
                <w:lang w:val="en-US" w:eastAsia="zh-CN" w:bidi="ar"/>
              </w:rPr>
              <w:t>N/mm；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5.电气性能要求：交流电压12 KV，保持3分钟，泄露电流≤5mA;直流电压20KV，保持3分钟，应不发生击穿现象，击穿时电压值≥40KV。</w:t>
            </w:r>
            <w:r>
              <w:rPr>
                <w:rFonts w:hint="eastAsia" w:ascii="宋体" w:hAnsi="宋体" w:eastAsia="宋体" w:cs="宋体"/>
                <w:b/>
                <w:bCs/>
                <w:i w:val="0"/>
                <w:iCs w:val="0"/>
                <w:color w:val="auto"/>
                <w:kern w:val="0"/>
                <w:sz w:val="20"/>
                <w:szCs w:val="20"/>
                <w:highlight w:val="none"/>
                <w:u w:val="none"/>
                <w:lang w:val="en-US" w:eastAsia="zh-CN" w:bidi="ar"/>
              </w:rPr>
              <w:t>（须在具有CMA或CNAS标识的检测机构出具的检测报告中体现)</w:t>
            </w:r>
          </w:p>
        </w:tc>
        <w:tc>
          <w:tcPr>
            <w:tcW w:w="70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BAD352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6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8CB32E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r>
      <w:tr w14:paraId="3E5E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C0BE">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A862">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039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防爆照相机</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364FABF3">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1.防爆型式：本质安全型；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2.相机需通过化工防爆认证防爆等级不低于Ex ib IIC T4 Gb，粉尘防爆不低于Ex ib ⅢC T130℃ Db</w:t>
            </w:r>
            <w:r>
              <w:rPr>
                <w:rFonts w:hint="eastAsia" w:ascii="宋体" w:hAnsi="宋体" w:eastAsia="宋体" w:cs="宋体"/>
                <w:b/>
                <w:bCs/>
                <w:i w:val="0"/>
                <w:iCs w:val="0"/>
                <w:color w:val="auto"/>
                <w:kern w:val="0"/>
                <w:sz w:val="20"/>
                <w:szCs w:val="20"/>
                <w:highlight w:val="none"/>
                <w:u w:val="none"/>
                <w:lang w:val="en-US" w:eastAsia="zh-CN" w:bidi="ar"/>
              </w:rPr>
              <w:t>（须在具有CMA或CNAS标识的检测机构出具的检测报告中体现)</w:t>
            </w:r>
            <w:r>
              <w:rPr>
                <w:rFonts w:hint="eastAsia" w:ascii="宋体" w:hAnsi="宋体" w:eastAsia="宋体" w:cs="宋体"/>
                <w:i w:val="0"/>
                <w:iCs w:val="0"/>
                <w:color w:val="auto"/>
                <w:kern w:val="0"/>
                <w:sz w:val="20"/>
                <w:szCs w:val="20"/>
                <w:highlight w:val="none"/>
                <w:u w:val="none"/>
                <w:shd w:val="clear" w:fill="B6DDE8" w:themeFill="accent5" w:themeFillTint="66"/>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3.分辨率：4K 3840X2160p(30FPS)/2.7K 2688X1520p(30FPS) FHD 1920X1080p(60/30FPS)HD 1280x720p(120/60/30FPS)；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4.有效像素≥1600万像素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5.镜头：AF镜头，F/2.2，f=2.0mm，支持电子防抖；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6.存储介质：支持micro SD卡，标配32G(支持卡扩展256G(选配)；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7.数码变焦：≥12倍数码变焦；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8.支持无线WIFI；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9.数据接口：TYPE-C；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10.防护等级：≥IP6</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（须在具有CMA或CNAS标识的检测机构出具的检测报告中体现)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11.电池容量：一体化防爆锂电池≥1200mAh；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12.文件格式：RAW(12bit无损压缩）、JPEG、RAW+JPEG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13.可设置时间水印打开或关闭；</w:t>
            </w:r>
          </w:p>
        </w:tc>
        <w:tc>
          <w:tcPr>
            <w:tcW w:w="707" w:type="dxa"/>
            <w:tcBorders>
              <w:top w:val="nil"/>
              <w:left w:val="single" w:color="000000" w:sz="4" w:space="0"/>
              <w:bottom w:val="single" w:color="auto" w:sz="4" w:space="0"/>
              <w:right w:val="single" w:color="000000" w:sz="4" w:space="0"/>
            </w:tcBorders>
            <w:shd w:val="clear" w:color="auto" w:fill="auto"/>
            <w:noWrap/>
            <w:vAlign w:val="center"/>
          </w:tcPr>
          <w:p w14:paraId="0039179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75" w:type="dxa"/>
            <w:tcBorders>
              <w:top w:val="nil"/>
              <w:left w:val="single" w:color="000000" w:sz="4" w:space="0"/>
              <w:bottom w:val="single" w:color="auto" w:sz="4" w:space="0"/>
              <w:right w:val="single" w:color="000000" w:sz="4" w:space="0"/>
            </w:tcBorders>
            <w:shd w:val="clear" w:color="auto" w:fill="auto"/>
            <w:noWrap/>
            <w:vAlign w:val="center"/>
          </w:tcPr>
          <w:p w14:paraId="26A1E99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6361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625C">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6F5A0">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6B3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取样器</w:t>
            </w:r>
          </w:p>
        </w:tc>
        <w:tc>
          <w:tcPr>
            <w:tcW w:w="10260" w:type="dxa"/>
            <w:tcBorders>
              <w:top w:val="single" w:color="000000" w:sz="4" w:space="0"/>
              <w:left w:val="single" w:color="000000" w:sz="4" w:space="0"/>
              <w:bottom w:val="single" w:color="000000" w:sz="4" w:space="0"/>
              <w:right w:val="single" w:color="auto" w:sz="4" w:space="0"/>
            </w:tcBorders>
            <w:shd w:val="clear" w:color="auto" w:fill="auto"/>
            <w:vAlign w:val="top"/>
          </w:tcPr>
          <w:p w14:paraId="55189D22">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2.防爆，符合国家标准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3.容积：整套配容量≥1000ml广口瓶2个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4.分身设计工艺，拆卸简单，方便清洗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5.含15米防静电采样绳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6.配防化手套1副、取样器辅助设备（包括：试管瓶、测试盒、取样铲及夹子镊子等）</w:t>
            </w:r>
          </w:p>
        </w:tc>
        <w:tc>
          <w:tcPr>
            <w:tcW w:w="70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AFAE0F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7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B8FDAD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5078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4278">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26</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39D5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防护类</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C4A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安全帽</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2D280B09">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1.符合GB 2811-2019《头部防护 安全帽》标准要求；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2.冲击吸收性能：高温处理，冲击力≤3300N,帽壳不得有碎片脱落；浸水处理，冲击力≤3010N，,帽壳不得有碎片脱落；紫外线400h照射，冲击力≤3530N</w:t>
            </w:r>
            <w:r>
              <w:rPr>
                <w:rFonts w:hint="eastAsia" w:ascii="宋体" w:hAnsi="宋体" w:eastAsia="宋体" w:cs="宋体"/>
                <w:b/>
                <w:bCs/>
                <w:i w:val="0"/>
                <w:iCs w:val="0"/>
                <w:color w:val="auto"/>
                <w:kern w:val="0"/>
                <w:sz w:val="20"/>
                <w:szCs w:val="20"/>
                <w:highlight w:val="none"/>
                <w:u w:val="none"/>
                <w:lang w:val="en-US" w:eastAsia="zh-CN" w:bidi="ar"/>
              </w:rPr>
              <w:t>（须在具有CMA或CNAS标识的检测机构出具的检测报告中体现)</w:t>
            </w:r>
            <w:r>
              <w:rPr>
                <w:rFonts w:hint="eastAsia" w:ascii="宋体" w:hAnsi="宋体" w:eastAsia="宋体" w:cs="宋体"/>
                <w:i w:val="0"/>
                <w:iCs w:val="0"/>
                <w:color w:val="auto"/>
                <w:kern w:val="0"/>
                <w:sz w:val="20"/>
                <w:szCs w:val="20"/>
                <w:highlight w:val="none"/>
                <w:u w:val="none"/>
                <w:shd w:val="clear" w:fill="B6DDE8" w:themeFill="accent5" w:themeFillTint="66"/>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3.采用高性能ABS材料制作；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4.具有抗冲击，耐高温，抗寒冷，耐腐蚀和耐燃烧等性能；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5.印应急管理综合行政执法统一标志。</w:t>
            </w:r>
          </w:p>
        </w:tc>
        <w:tc>
          <w:tcPr>
            <w:tcW w:w="70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4935C8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6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855EC6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w:t>
            </w:r>
          </w:p>
        </w:tc>
      </w:tr>
      <w:tr w14:paraId="7A1F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83C2">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A2844">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5ACA">
            <w:pPr>
              <w:shd w:val="clea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有毒气体检测仪</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367B1373">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1.四气体毒气便携式探测仪，可检测可燃气、氧气、一氧化碳、硫化氢四种气体，采样方式：泵吸扩散两用型，通过屏幕显示气体类型，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2.仪表检测范围：可燃气 0-100%LEL，分辨率1%LEL；氧气 0-30%Vol， 分辨率 0.1%Vol；一氧化碳0-100</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ppm，分辨率 1ppm；硫化氢 0-100ppm，分辨率1ppm；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3.仪器采用可充电防爆锂电池，防水防尘，工作时长≥10h；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4.气体探测仪具备声、光、震动三重报警，95dB蜂鸣器（@30cm），震动报警以及闪烁红色LED和屏幕上的报警状态指示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5.防护等级</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IP68，防爆等级不低于 Ex da iaⅡC T4 Ga；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6.仪表探测气体响应时间：≤15S；探头标定通气时间≤60S；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7.传感器寿命：传感器典型使用寿命4年，传感器质保期 2年；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8.自动存储数据，存储间隔可自定义，超10万组存储数据，可数据导出，配数据线；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9.投标人需提供防爆认证证书、防爆认证的测试报告、CPA 计量器具型式批准证书、计量器具型式评价报告、防跌落认证等。</w:t>
            </w:r>
          </w:p>
        </w:tc>
        <w:tc>
          <w:tcPr>
            <w:tcW w:w="707" w:type="dxa"/>
            <w:tcBorders>
              <w:top w:val="nil"/>
              <w:left w:val="single" w:color="000000" w:sz="4" w:space="0"/>
              <w:bottom w:val="single" w:color="auto" w:sz="4" w:space="0"/>
              <w:right w:val="single" w:color="000000" w:sz="4" w:space="0"/>
            </w:tcBorders>
            <w:shd w:val="clear" w:color="auto" w:fill="auto"/>
            <w:noWrap/>
            <w:vAlign w:val="center"/>
          </w:tcPr>
          <w:p w14:paraId="0744CE4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675" w:type="dxa"/>
            <w:tcBorders>
              <w:top w:val="nil"/>
              <w:left w:val="single" w:color="000000" w:sz="4" w:space="0"/>
              <w:bottom w:val="single" w:color="auto" w:sz="4" w:space="0"/>
              <w:right w:val="single" w:color="000000" w:sz="4" w:space="0"/>
            </w:tcBorders>
            <w:shd w:val="clear" w:color="auto" w:fill="auto"/>
            <w:noWrap/>
            <w:vAlign w:val="center"/>
          </w:tcPr>
          <w:p w14:paraId="36647A3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58B05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4088">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28</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41AE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监测预警类</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7A6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手摇报警器</w:t>
            </w:r>
          </w:p>
        </w:tc>
        <w:tc>
          <w:tcPr>
            <w:tcW w:w="10260" w:type="dxa"/>
            <w:tcBorders>
              <w:top w:val="single" w:color="000000" w:sz="4" w:space="0"/>
              <w:left w:val="single" w:color="000000" w:sz="4" w:space="0"/>
              <w:bottom w:val="single" w:color="000000" w:sz="4" w:space="0"/>
              <w:right w:val="single" w:color="auto" w:sz="4" w:space="0"/>
            </w:tcBorders>
            <w:shd w:val="clear" w:color="auto" w:fill="auto"/>
            <w:vAlign w:val="top"/>
          </w:tcPr>
          <w:p w14:paraId="36A8B7EE">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噪声：110±2dB（A）；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.重量：≤1.2kg；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.声音：550±20Hz；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.传送距离：＞1000m</w:t>
            </w:r>
            <w:r>
              <w:rPr>
                <w:rFonts w:hint="eastAsia" w:ascii="宋体" w:hAnsi="宋体" w:cs="宋体"/>
                <w:i w:val="0"/>
                <w:iCs w:val="0"/>
                <w:color w:val="auto"/>
                <w:kern w:val="0"/>
                <w:sz w:val="20"/>
                <w:szCs w:val="20"/>
                <w:highlight w:val="none"/>
                <w:u w:val="none"/>
                <w:lang w:val="en-US" w:eastAsia="zh-CN" w:bidi="ar"/>
              </w:rPr>
              <w:t>。</w:t>
            </w:r>
          </w:p>
        </w:tc>
        <w:tc>
          <w:tcPr>
            <w:tcW w:w="70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AB707B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67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585C3EE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2504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302A">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D1F04">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A81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望远镜</w:t>
            </w:r>
          </w:p>
        </w:tc>
        <w:tc>
          <w:tcPr>
            <w:tcW w:w="10260" w:type="dxa"/>
            <w:tcBorders>
              <w:top w:val="single" w:color="000000" w:sz="4" w:space="0"/>
              <w:left w:val="single" w:color="000000" w:sz="4" w:space="0"/>
              <w:bottom w:val="single" w:color="000000" w:sz="4" w:space="0"/>
              <w:right w:val="single" w:color="000000" w:sz="4" w:space="0"/>
            </w:tcBorders>
            <w:shd w:val="clear" w:color="auto" w:fill="auto"/>
            <w:vAlign w:val="top"/>
          </w:tcPr>
          <w:p w14:paraId="4BC3FD3B">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放大倍数：≥10x</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2.目镜直径（mm）：≥24.5mm</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3.物镜直径（mm）：≥50mm</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4.视场角（deg）：≥6.5º</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5.视场范围：≥114m/1000m/342ft/1000yds</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6.出瞳距离(mm)：≥16mm</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7.出瞳直径 (mm)：≥5.0mm</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8.最近焦距 (m)：≥3m/9.84ft</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9.视度调节范围: ≥-5 TO +5 D</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10.瞳距调节范围:≥ 59.2mm-73mm</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11.棱镜材质：BAK4</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12.棱镜类型：保罗式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13.调焦系统: 中调</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14.表面护皮: 橡胶</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15.目镜:   PVC 眼罩</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16.分辨率:  ≥ 6.18"</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17.相对亮度:  ≥ 39</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18.黄昏系数:≥ 20</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19.透光率: ≥69%</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20.防水等级：：≥IP43</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21.产品尺寸：(mm)：≤145X185X60mm</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22.重量：≤913g</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23.三脚架：支持（选配，普通相机脚架接口）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24.产品配件：望远镜、防尘目镜盖、防尘物镜盖、便携包、背带、擦镜布、说明书、保修卡、彩盒</w:t>
            </w:r>
          </w:p>
        </w:tc>
        <w:tc>
          <w:tcPr>
            <w:tcW w:w="70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492175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7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E804E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r>
      <w:tr w14:paraId="0993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3F20">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30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A363C">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8A3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红外热成像夜视仪</w:t>
            </w:r>
          </w:p>
        </w:tc>
        <w:tc>
          <w:tcPr>
            <w:tcW w:w="10260" w:type="dxa"/>
            <w:tcBorders>
              <w:top w:val="single" w:color="000000" w:sz="4" w:space="0"/>
              <w:left w:val="single" w:color="000000" w:sz="4" w:space="0"/>
              <w:bottom w:val="single" w:color="000000" w:sz="4" w:space="0"/>
              <w:right w:val="single" w:color="auto" w:sz="4" w:space="0"/>
            </w:tcBorders>
            <w:shd w:val="clear" w:color="auto" w:fill="auto"/>
            <w:vAlign w:val="top"/>
          </w:tcPr>
          <w:p w14:paraId="0DBB3BDF">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 xml:space="preserve">热成像分辨率：≥96x96，ISR功能开启后分辨率≥192x192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2.测温范围：-20℃~150℃，100℃~550℃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3.支持中心点、最高温、最低温测温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4.图片存储全屏测温信息，支持离线测温分析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5.可见光：分辨率≥ 640×480，最大图像尺寸≥240x240，图片分辨率240 x 240</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6.图像显示：显示器 2.4英寸 LCD屏（320×240）</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7.画面显示模式 融合、热成像、可见光，最大图像尺寸 240 x 240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8.工作温度和湿度：-10 °C~50 °C， ≤95%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9.存储温度和湿度：-40 °C~70 °C， ≤95%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10.防护等级 IP54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11.电池工作时间 &gt;8 h@25 °C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12.高温试验：温度50+3℃，持续时间2h，处于工作状态；低温试验：温度-10+3℃，持续时间2h，处于工作状态；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13.具有0SD叠加功能；具有热成像、可见光、双光融合3种图像显示模式；</w:t>
            </w:r>
          </w:p>
        </w:tc>
        <w:tc>
          <w:tcPr>
            <w:tcW w:w="70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BAD07E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7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23B853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bl>
    <w:p w14:paraId="62A846C3">
      <w:pPr>
        <w:shd w:val="clear"/>
        <w:rPr>
          <w:rFonts w:hint="eastAsia"/>
          <w:b/>
          <w:bCs/>
          <w:color w:val="auto"/>
          <w:highlight w:val="none"/>
          <w:lang w:val="en-US" w:eastAsia="zh-CN"/>
        </w:rPr>
      </w:pPr>
    </w:p>
    <w:p w14:paraId="3205149F">
      <w:pPr>
        <w:shd w:val="clear"/>
        <w:rPr>
          <w:rFonts w:hint="eastAsia"/>
          <w:b/>
          <w:bCs/>
          <w:color w:val="auto"/>
          <w:highlight w:val="none"/>
          <w:lang w:val="en-US" w:eastAsia="zh-CN"/>
        </w:rPr>
      </w:pPr>
    </w:p>
    <w:p w14:paraId="1345DB80">
      <w:pPr>
        <w:shd w:val="clear"/>
        <w:rPr>
          <w:rFonts w:hint="eastAsia"/>
          <w:b/>
          <w:bCs/>
          <w:color w:val="auto"/>
          <w:highlight w:val="none"/>
          <w:lang w:val="en-US" w:eastAsia="zh-CN"/>
        </w:rPr>
      </w:pPr>
    </w:p>
    <w:p w14:paraId="7D8F64E3">
      <w:pPr>
        <w:shd w:val="clear"/>
        <w:rPr>
          <w:rFonts w:hint="eastAsia"/>
          <w:b/>
          <w:bCs/>
          <w:color w:val="auto"/>
          <w:highlight w:val="none"/>
          <w:lang w:val="en-US" w:eastAsia="zh-CN"/>
        </w:rPr>
      </w:pPr>
    </w:p>
    <w:p w14:paraId="7DA241E7">
      <w:pPr>
        <w:shd w:val="clear"/>
        <w:rPr>
          <w:rFonts w:hint="default"/>
          <w:b/>
          <w:bCs/>
          <w:color w:val="auto"/>
          <w:highlight w:val="none"/>
          <w:lang w:val="en-US" w:eastAsia="zh-CN"/>
        </w:rPr>
      </w:pPr>
      <w:r>
        <w:rPr>
          <w:rFonts w:hint="eastAsia"/>
          <w:b/>
          <w:bCs/>
          <w:color w:val="auto"/>
          <w:highlight w:val="none"/>
          <w:lang w:val="en-US" w:eastAsia="zh-CN"/>
        </w:rPr>
        <w:t>（2）标项二采购清单</w:t>
      </w:r>
    </w:p>
    <w:tbl>
      <w:tblPr>
        <w:tblStyle w:val="64"/>
        <w:tblW w:w="136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660"/>
        <w:gridCol w:w="830"/>
        <w:gridCol w:w="10260"/>
        <w:gridCol w:w="707"/>
        <w:gridCol w:w="675"/>
      </w:tblGrid>
      <w:tr w14:paraId="3BBA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auto" w:sz="4" w:space="0"/>
              <w:right w:val="single" w:color="000000" w:sz="4" w:space="0"/>
            </w:tcBorders>
            <w:shd w:val="clear" w:color="auto" w:fill="E7E6E6"/>
            <w:vAlign w:val="center"/>
          </w:tcPr>
          <w:p w14:paraId="7B68AC4D">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660" w:type="dxa"/>
            <w:tcBorders>
              <w:top w:val="single" w:color="000000" w:sz="4" w:space="0"/>
              <w:left w:val="single" w:color="000000" w:sz="4" w:space="0"/>
              <w:bottom w:val="single" w:color="auto" w:sz="4" w:space="0"/>
              <w:right w:val="single" w:color="000000" w:sz="4" w:space="0"/>
            </w:tcBorders>
            <w:shd w:val="clear" w:color="auto" w:fill="E7E6E6"/>
            <w:vAlign w:val="center"/>
          </w:tcPr>
          <w:p w14:paraId="7718668E">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类别</w:t>
            </w:r>
          </w:p>
        </w:tc>
        <w:tc>
          <w:tcPr>
            <w:tcW w:w="830" w:type="dxa"/>
            <w:tcBorders>
              <w:top w:val="single" w:color="000000" w:sz="4" w:space="0"/>
              <w:left w:val="single" w:color="000000" w:sz="4" w:space="0"/>
              <w:bottom w:val="single" w:color="auto" w:sz="4" w:space="0"/>
              <w:right w:val="single" w:color="000000" w:sz="4" w:space="0"/>
            </w:tcBorders>
            <w:shd w:val="clear" w:color="auto" w:fill="E7E6E6"/>
            <w:vAlign w:val="center"/>
          </w:tcPr>
          <w:p w14:paraId="724A827A">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10260" w:type="dxa"/>
            <w:tcBorders>
              <w:top w:val="single" w:color="000000" w:sz="4" w:space="0"/>
              <w:left w:val="single" w:color="000000" w:sz="4" w:space="0"/>
              <w:bottom w:val="single" w:color="auto" w:sz="4" w:space="0"/>
              <w:right w:val="single" w:color="000000" w:sz="4" w:space="0"/>
            </w:tcBorders>
            <w:shd w:val="clear" w:color="auto" w:fill="E7E6E6"/>
            <w:vAlign w:val="center"/>
          </w:tcPr>
          <w:p w14:paraId="5DA63938">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w:t>
            </w:r>
          </w:p>
        </w:tc>
        <w:tc>
          <w:tcPr>
            <w:tcW w:w="7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304D454">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9533364">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30DD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DFBEA50">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8C999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指挥调度类</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725D76E">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单兵式音视频采集装备</w:t>
            </w:r>
          </w:p>
          <w:p w14:paraId="4C495D0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样品</w:t>
            </w:r>
          </w:p>
        </w:tc>
        <w:tc>
          <w:tcPr>
            <w:tcW w:w="10260" w:type="dxa"/>
            <w:tcBorders>
              <w:top w:val="single" w:color="auto" w:sz="4" w:space="0"/>
              <w:left w:val="single" w:color="auto" w:sz="4" w:space="0"/>
              <w:bottom w:val="single" w:color="auto" w:sz="4" w:space="0"/>
              <w:right w:val="single" w:color="auto" w:sz="4" w:space="0"/>
            </w:tcBorders>
            <w:shd w:val="clear" w:color="auto" w:fill="auto"/>
            <w:vAlign w:val="top"/>
          </w:tcPr>
          <w:p w14:paraId="01EC7AB9">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1.5G全网通，支持WIFI6；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2.内置高灵敏度卫星定位模块，支持GPS和北斗双模定位；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3.H.264/H.265视频压缩编码技术；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4.视频支持双码流技术，支持实时流和存储流，本地存储，支持128GB TF卡存储；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5.SIM卡槽：≥2个Nano SIM卡槽；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6.内置大功率锂电池，可连续供电6小时；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7.视频特性：支持1080P、720P、4CIF、CIF，帧率5~60帧可选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8.支持双向语音对讲、音频编码多样可选，AAC、AMR、G711；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9.支持国标GB28181平台对接</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b w:val="0"/>
                <w:bCs w:val="0"/>
                <w:i w:val="0"/>
                <w:iCs w:val="0"/>
                <w:color w:val="auto"/>
                <w:kern w:val="0"/>
                <w:sz w:val="20"/>
                <w:szCs w:val="20"/>
                <w:highlight w:val="none"/>
                <w:u w:val="none"/>
                <w:lang w:val="en-US" w:eastAsia="zh-CN" w:bidi="ar"/>
              </w:rPr>
              <w:t>要求与省市实现全面互通</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10.防护等级≥IP66；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11.需提供开卡服务期限不少于5年。</w:t>
            </w:r>
          </w:p>
        </w:tc>
        <w:tc>
          <w:tcPr>
            <w:tcW w:w="707" w:type="dxa"/>
            <w:tcBorders>
              <w:top w:val="nil"/>
              <w:left w:val="single" w:color="auto" w:sz="4" w:space="0"/>
              <w:bottom w:val="nil"/>
              <w:right w:val="single" w:color="000000" w:sz="4" w:space="0"/>
            </w:tcBorders>
            <w:shd w:val="clear" w:color="auto" w:fill="auto"/>
            <w:noWrap/>
            <w:vAlign w:val="center"/>
          </w:tcPr>
          <w:p w14:paraId="4C033D7D">
            <w:pPr>
              <w:keepNext w:val="0"/>
              <w:keepLines w:val="0"/>
              <w:widowControl/>
              <w:suppressLineNumbers w:val="0"/>
              <w:shd w:val="clear"/>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675" w:type="dxa"/>
            <w:tcBorders>
              <w:top w:val="nil"/>
              <w:left w:val="single" w:color="000000" w:sz="4" w:space="0"/>
              <w:bottom w:val="nil"/>
              <w:right w:val="single" w:color="000000" w:sz="4" w:space="0"/>
            </w:tcBorders>
            <w:shd w:val="clear" w:color="auto" w:fill="auto"/>
            <w:noWrap/>
            <w:vAlign w:val="center"/>
          </w:tcPr>
          <w:p w14:paraId="11D4122D">
            <w:pPr>
              <w:keepNext w:val="0"/>
              <w:keepLines w:val="0"/>
              <w:widowControl/>
              <w:suppressLineNumbers w:val="0"/>
              <w:shd w:val="clear"/>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r>
      <w:tr w14:paraId="234E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660AD64">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6178B">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2B2CA1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日常巡检无人机巢</w:t>
            </w:r>
          </w:p>
        </w:tc>
        <w:tc>
          <w:tcPr>
            <w:tcW w:w="10260" w:type="dxa"/>
            <w:tcBorders>
              <w:top w:val="single" w:color="auto" w:sz="4" w:space="0"/>
              <w:left w:val="single" w:color="auto" w:sz="4" w:space="0"/>
              <w:bottom w:val="single" w:color="auto" w:sz="4" w:space="0"/>
              <w:right w:val="single" w:color="auto" w:sz="4" w:space="0"/>
            </w:tcBorders>
            <w:shd w:val="clear" w:color="auto" w:fill="auto"/>
            <w:vAlign w:val="top"/>
          </w:tcPr>
          <w:p w14:paraId="298E9C10">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套配置包含：机场*1台，无人机*1台，无人机电池*3块，探照灯*1个，喊话器*1个、遥控器*1个、256内存卡*1、4g传输模块*1，车载云台固定装置*1套、含3年无人机维修服务保险、含3年无人机底座维修服务保险；管理平台*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一、机场参数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1.整机重量：≤55kg（不包含飞行器）；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2.外形尺寸：640x745x770±50mm（舱盖闭合）；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3.防护等级≥IP55;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4.设备最大允许降落风速不小于5级；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5.设备最大运行海拔高度不小于4000米；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6.RTK基站同时接收GPS、GLONASS、BEIDOU、GALILEO四种卫星信号。；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7.机场传感器具备：风速传感器、雨量传感器、环境温度传感器、水浸传感器、舱内温度传感器、舱内湿度传感器；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8.机场备用电池续航时间：≥4h;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9.机场舱盖监控相机分辨率：≥1920*1080，机场舱内监控相机分辨率：≥1920*1080；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10.机场防雷交流电接口：20千安防护（额定值），满足 EN 61643-11的Type 2 和IEC 61643-1的Class Ⅱ 保护等级；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11.机场支持边缘计算扩展能力；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二、飞行器参数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1.飞行器裸机重量≤1850g±200g;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2.飞行器尺寸：377x416x212mm±20mm（不含浆叶）；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3.防护等级不小于IP55；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4.最大飞行时间：≥50分钟；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5.最大上升速度：≥6m/s（普通档）；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6.最大下降速度：≥6m/s（普通档）；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7.最大可抗风速≥5级；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8.飞行器对角线轴距：≤500mm；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9.同时具备广角相机、中长焦相机、长焦相机、热成像相机、近红外补光灯；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10.广角相机像素：≥4800万；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11.长焦相机像素：≥1200万像素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12.红外传感器分辨率：≥640*512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13.红外传感器帧率：≥30Hz；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14.红外热成像测温方式：支持点测温、区域测温；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15.定位悬停精度：在 RTK 正常工作时飞行器悬停精度水平≤ ±0.1m，垂直≤ ±0.1m。</w:t>
            </w:r>
          </w:p>
        </w:tc>
        <w:tc>
          <w:tcPr>
            <w:tcW w:w="70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2796F4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67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C617F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312F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1B2F21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3</w:t>
            </w: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B681DC">
            <w:pPr>
              <w:shd w:val="clear"/>
              <w:jc w:val="center"/>
              <w:rPr>
                <w:rFonts w:hint="eastAsia" w:ascii="宋体" w:hAnsi="宋体" w:eastAsia="宋体" w:cs="宋体"/>
                <w:i w:val="0"/>
                <w:iCs w:val="0"/>
                <w:color w:val="auto"/>
                <w:sz w:val="20"/>
                <w:szCs w:val="20"/>
                <w:highlight w:val="none"/>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0866778">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小型或中型无人机（支持一机多用）</w:t>
            </w:r>
            <w:r>
              <w:rPr>
                <w:rFonts w:hint="eastAsia" w:ascii="宋体" w:hAnsi="宋体" w:cs="宋体"/>
                <w:i w:val="0"/>
                <w:iCs w:val="0"/>
                <w:color w:val="auto"/>
                <w:kern w:val="0"/>
                <w:sz w:val="20"/>
                <w:szCs w:val="20"/>
                <w:highlight w:val="none"/>
                <w:u w:val="none"/>
                <w:lang w:val="en-US" w:eastAsia="zh-CN" w:bidi="ar"/>
              </w:rPr>
              <w:t xml:space="preserve">  </w:t>
            </w:r>
            <w:r>
              <w:rPr>
                <w:rFonts w:hint="eastAsia" w:ascii="宋体" w:hAnsi="宋体" w:cs="宋体"/>
                <w:b/>
                <w:bCs/>
                <w:i w:val="0"/>
                <w:iCs w:val="0"/>
                <w:color w:val="auto"/>
                <w:kern w:val="0"/>
                <w:sz w:val="20"/>
                <w:szCs w:val="20"/>
                <w:highlight w:val="none"/>
                <w:u w:val="none"/>
                <w:lang w:val="en-US" w:eastAsia="zh-CN" w:bidi="ar"/>
              </w:rPr>
              <w:t>样品</w:t>
            </w:r>
          </w:p>
        </w:tc>
        <w:tc>
          <w:tcPr>
            <w:tcW w:w="10260" w:type="dxa"/>
            <w:tcBorders>
              <w:top w:val="single" w:color="auto" w:sz="4" w:space="0"/>
              <w:left w:val="single" w:color="auto" w:sz="4" w:space="0"/>
              <w:bottom w:val="single" w:color="auto" w:sz="4" w:space="0"/>
              <w:right w:val="single" w:color="auto" w:sz="4" w:space="0"/>
            </w:tcBorders>
            <w:shd w:val="clear" w:color="auto" w:fill="auto"/>
            <w:vAlign w:val="top"/>
          </w:tcPr>
          <w:p w14:paraId="6271FD94">
            <w:pPr>
              <w:keepNext w:val="0"/>
              <w:keepLines w:val="0"/>
              <w:widowControl/>
              <w:suppressLineNumbers w:val="0"/>
              <w:shd w:val="clear"/>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全套配置包含：无人机*1 台，无人机电池*3块，探照灯*1，喊话器*1，无人机充电管家*1，256内存卡*1,4g传输模块*1，含3年无人机维修服务保险；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一、飞行器参数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color w:val="auto"/>
                <w:kern w:val="0"/>
                <w:sz w:val="20"/>
                <w:szCs w:val="20"/>
                <w:highlight w:val="none"/>
                <w:lang w:bidi="ar"/>
              </w:rPr>
              <w:t>1.展开尺寸:≤</w:t>
            </w:r>
            <w:r>
              <w:rPr>
                <w:rFonts w:hint="eastAsia" w:ascii="宋体" w:hAnsi="宋体" w:cs="宋体"/>
                <w:color w:val="auto"/>
                <w:kern w:val="0"/>
                <w:sz w:val="20"/>
                <w:szCs w:val="20"/>
                <w:highlight w:val="none"/>
                <w:lang w:val="en-US" w:eastAsia="zh-CN" w:bidi="ar"/>
              </w:rPr>
              <w:t>565</w:t>
            </w:r>
            <w:r>
              <w:rPr>
                <w:rFonts w:hint="eastAsia" w:ascii="宋体" w:hAnsi="宋体" w:cs="宋体"/>
                <w:color w:val="auto"/>
                <w:kern w:val="0"/>
                <w:sz w:val="20"/>
                <w:szCs w:val="20"/>
                <w:highlight w:val="none"/>
                <w:lang w:bidi="ar"/>
              </w:rPr>
              <w:t>mmX</w:t>
            </w:r>
            <w:r>
              <w:rPr>
                <w:rFonts w:hint="eastAsia" w:ascii="宋体" w:hAnsi="宋体" w:cs="宋体"/>
                <w:color w:val="auto"/>
                <w:kern w:val="0"/>
                <w:sz w:val="20"/>
                <w:szCs w:val="20"/>
                <w:highlight w:val="none"/>
                <w:lang w:val="en-US" w:eastAsia="zh-CN" w:bidi="ar"/>
              </w:rPr>
              <w:t>650</w:t>
            </w:r>
            <w:r>
              <w:rPr>
                <w:rFonts w:hint="eastAsia" w:ascii="宋体" w:hAnsi="宋体" w:cs="宋体"/>
                <w:color w:val="auto"/>
                <w:kern w:val="0"/>
                <w:sz w:val="20"/>
                <w:szCs w:val="20"/>
                <w:highlight w:val="none"/>
                <w:lang w:bidi="ar"/>
              </w:rPr>
              <w:t>mmX250mm；</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2.重量：≤1300g（裸机）；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3.对角线轴距：≤450mm；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4.最大抗风：≥</w:t>
            </w:r>
            <w:r>
              <w:rPr>
                <w:rFonts w:hint="eastAsia" w:ascii="宋体" w:hAnsi="宋体" w:cs="宋体"/>
                <w:i w:val="0"/>
                <w:iCs w:val="0"/>
                <w:color w:val="auto"/>
                <w:kern w:val="0"/>
                <w:sz w:val="20"/>
                <w:szCs w:val="20"/>
                <w:highlight w:val="none"/>
                <w:u w:val="none"/>
                <w:lang w:val="en-US" w:eastAsia="zh-CN" w:bidi="ar"/>
              </w:rPr>
              <w:t>8m/s</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5.防护等级：≥IP55；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6.最大续航时间：≥</w:t>
            </w:r>
            <w:r>
              <w:rPr>
                <w:rFonts w:hint="eastAsia" w:ascii="宋体" w:hAnsi="宋体" w:cs="宋体"/>
                <w:i w:val="0"/>
                <w:iCs w:val="0"/>
                <w:color w:val="auto"/>
                <w:kern w:val="0"/>
                <w:sz w:val="20"/>
                <w:szCs w:val="20"/>
                <w:highlight w:val="none"/>
                <w:u w:val="none"/>
                <w:lang w:val="en-US" w:eastAsia="zh-CN" w:bidi="ar"/>
              </w:rPr>
              <w:t>42</w:t>
            </w:r>
            <w:r>
              <w:rPr>
                <w:rFonts w:hint="eastAsia" w:ascii="宋体" w:hAnsi="宋体" w:eastAsia="宋体" w:cs="宋体"/>
                <w:i w:val="0"/>
                <w:iCs w:val="0"/>
                <w:color w:val="auto"/>
                <w:kern w:val="0"/>
                <w:sz w:val="20"/>
                <w:szCs w:val="20"/>
                <w:highlight w:val="none"/>
                <w:u w:val="none"/>
                <w:lang w:val="en-US" w:eastAsia="zh-CN" w:bidi="ar"/>
              </w:rPr>
              <w:t>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7.工作温度范围：-</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 xml:space="preserve">0°C 至 </w:t>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0°C；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8.GNSS悬停精度垂直≤0.5 m，水平≤0.5 m,RTK悬停精度垂直≤0.1 m，水平≤0.1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9.卫星定位系统支持：GPS+GLONASS+BeiDou+Galileo；</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10.飞行器感知系统：全向双目视觉系统，辅以机身底部三维红外传感器；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11.图传：支持4G图传；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12.广角镜头有效像素：≥4800万，中长焦镜头有效像素：≥4800万，长焦镜头有效像素：≥4800万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热成像相机：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变焦倍数：≥28倍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视频分辨率≥1280×1024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红外传感器分辨率：≥640*512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帧率：≥30Hz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测温方式支持点测温和区域测温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14.</w:t>
            </w:r>
            <w:r>
              <w:rPr>
                <w:rFonts w:hint="eastAsia" w:ascii="宋体" w:hAnsi="宋体" w:eastAsia="宋体" w:cs="宋体"/>
                <w:i w:val="0"/>
                <w:iCs w:val="0"/>
                <w:color w:val="auto"/>
                <w:kern w:val="0"/>
                <w:sz w:val="20"/>
                <w:szCs w:val="20"/>
                <w:highlight w:val="none"/>
                <w:u w:val="none"/>
                <w:lang w:val="en-US" w:eastAsia="zh-CN" w:bidi="ar"/>
              </w:rPr>
              <w:t>其他要求：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1.电池容量：≥6000毫安时；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2.遥控器屏幕分辨率：≥1920 X 1200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3.屏幕亮度：≥1400尼特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4.幕触控：≥10点触控</w:t>
            </w: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8959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7F41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6E36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14201F1">
            <w:pPr>
              <w:keepNext w:val="0"/>
              <w:keepLines w:val="0"/>
              <w:widowControl/>
              <w:suppressLineNumbers w:val="0"/>
              <w:shd w:val="clear"/>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4</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9D1FC48">
            <w:pPr>
              <w:shd w:val="clear"/>
              <w:jc w:val="center"/>
              <w:rPr>
                <w:rFonts w:hint="eastAsia" w:ascii="宋体" w:hAnsi="宋体" w:eastAsia="宋体" w:cs="宋体"/>
                <w:i w:val="0"/>
                <w:iCs w:val="0"/>
                <w:color w:val="auto"/>
                <w:kern w:val="2"/>
                <w:sz w:val="20"/>
                <w:szCs w:val="20"/>
                <w:highlight w:val="none"/>
                <w:u w:val="none"/>
                <w:lang w:val="en-US" w:eastAsia="zh-CN" w:bidi="ar-SA"/>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7F72B39">
            <w:pPr>
              <w:keepNext w:val="0"/>
              <w:keepLines w:val="0"/>
              <w:widowControl/>
              <w:suppressLineNumbers w:val="0"/>
              <w:shd w:val="clear"/>
              <w:jc w:val="center"/>
              <w:textAlignment w:val="center"/>
              <w:rPr>
                <w:rFonts w:hint="eastAsia" w:ascii="宋体" w:hAnsi="宋体" w:eastAsia="宋体" w:cs="宋体"/>
                <w:b w:val="0"/>
                <w:bCs w:val="0"/>
                <w:i w:val="0"/>
                <w:iCs w:val="0"/>
                <w:color w:val="auto"/>
                <w:kern w:val="2"/>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移动视频终端设备</w:t>
            </w:r>
          </w:p>
        </w:tc>
        <w:tc>
          <w:tcPr>
            <w:tcW w:w="10260" w:type="dxa"/>
            <w:tcBorders>
              <w:top w:val="single" w:color="auto" w:sz="4" w:space="0"/>
              <w:left w:val="single" w:color="auto" w:sz="4" w:space="0"/>
              <w:bottom w:val="single" w:color="auto" w:sz="4" w:space="0"/>
              <w:right w:val="single" w:color="auto" w:sz="4" w:space="0"/>
            </w:tcBorders>
            <w:shd w:val="clear" w:color="auto" w:fill="auto"/>
            <w:vAlign w:val="top"/>
          </w:tcPr>
          <w:p w14:paraId="5F6B042A">
            <w:pPr>
              <w:keepNext w:val="0"/>
              <w:keepLines w:val="0"/>
              <w:widowControl/>
              <w:numPr>
                <w:ilvl w:val="0"/>
                <w:numId w:val="0"/>
              </w:numPr>
              <w:suppressLineNumbers w:val="0"/>
              <w:shd w:val="clear"/>
              <w:ind w:left="0" w:leftChars="0" w:firstLine="0" w:firstLineChars="0"/>
              <w:jc w:val="left"/>
              <w:textAlignment w:val="top"/>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1.一体式设计，触摸显示屏（≥11英寸）、摄像头、麦克风、音响等高度集成</w:t>
            </w:r>
            <w:r>
              <w:rPr>
                <w:rFonts w:hint="eastAsia" w:ascii="宋体" w:hAnsi="宋体" w:cs="宋体"/>
                <w:b w:val="0"/>
                <w:bCs w:val="0"/>
                <w:i w:val="0"/>
                <w:iCs w:val="0"/>
                <w:color w:val="auto"/>
                <w:kern w:val="0"/>
                <w:sz w:val="20"/>
                <w:szCs w:val="20"/>
                <w:highlight w:val="none"/>
                <w:u w:val="none"/>
                <w:lang w:val="en-US" w:eastAsia="zh-CN" w:bidi="ar"/>
              </w:rPr>
              <w:t>；</w:t>
            </w:r>
          </w:p>
          <w:p w14:paraId="2C98228D">
            <w:pPr>
              <w:keepNext w:val="0"/>
              <w:keepLines w:val="0"/>
              <w:widowControl/>
              <w:numPr>
                <w:ilvl w:val="0"/>
                <w:numId w:val="0"/>
              </w:numPr>
              <w:suppressLineNumbers w:val="0"/>
              <w:shd w:val="clear"/>
              <w:ind w:left="0" w:leftChars="0" w:firstLine="0" w:firstLineChars="0"/>
              <w:jc w:val="left"/>
              <w:textAlignment w:val="top"/>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2.内置高性能电池，使用电池进行视频会商续航不低于2小时</w:t>
            </w:r>
            <w:r>
              <w:rPr>
                <w:rFonts w:hint="eastAsia" w:ascii="宋体" w:hAnsi="宋体" w:cs="宋体"/>
                <w:b w:val="0"/>
                <w:bCs w:val="0"/>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（须在具有CMA或CNAS标识的检测机构出具的检测报告中体现)</w:t>
            </w:r>
          </w:p>
          <w:p w14:paraId="6C9A3D0B">
            <w:pPr>
              <w:keepNext w:val="0"/>
              <w:keepLines w:val="0"/>
              <w:widowControl/>
              <w:numPr>
                <w:ilvl w:val="0"/>
                <w:numId w:val="0"/>
              </w:numPr>
              <w:suppressLineNumbers w:val="0"/>
              <w:shd w:val="clear"/>
              <w:ind w:left="0" w:leftChars="0" w:firstLine="0" w:firstLineChars="0"/>
              <w:jc w:val="left"/>
              <w:textAlignment w:val="top"/>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2.具备≥1路HDMI视频输出接口，具备≥1路HDMI视频输入接口，可以外接摄像头，终端可以在内置摄像头和外接摄像头之间灵活选择切换输入视频源，支持发送双流；支持独立的音频输入、输出接口；支持USB接口，可外接USB耳麦</w:t>
            </w:r>
            <w:r>
              <w:rPr>
                <w:rFonts w:hint="eastAsia" w:ascii="宋体" w:hAnsi="宋体" w:cs="宋体"/>
                <w:b w:val="0"/>
                <w:bCs w:val="0"/>
                <w:i w:val="0"/>
                <w:iCs w:val="0"/>
                <w:color w:val="auto"/>
                <w:kern w:val="0"/>
                <w:sz w:val="20"/>
                <w:szCs w:val="20"/>
                <w:highlight w:val="none"/>
                <w:u w:val="none"/>
                <w:lang w:val="en-US" w:eastAsia="zh-CN" w:bidi="ar"/>
              </w:rPr>
              <w:t>；</w:t>
            </w:r>
          </w:p>
          <w:p w14:paraId="1D8321D1">
            <w:pPr>
              <w:keepNext w:val="0"/>
              <w:keepLines w:val="0"/>
              <w:widowControl/>
              <w:numPr>
                <w:ilvl w:val="0"/>
                <w:numId w:val="0"/>
              </w:numPr>
              <w:suppressLineNumbers w:val="0"/>
              <w:shd w:val="clear"/>
              <w:ind w:left="0" w:leftChars="0" w:firstLine="0" w:firstLineChars="0"/>
              <w:jc w:val="left"/>
              <w:textAlignment w:val="top"/>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3.内置≥1080P高清摄像头，摄像头具备物理开关。不低于80°水平视角，+45°/-10°仰俯角可调，+180°/-90°水平可转动</w:t>
            </w:r>
            <w:r>
              <w:rPr>
                <w:rFonts w:hint="eastAsia" w:ascii="宋体" w:hAnsi="宋体" w:cs="宋体"/>
                <w:b w:val="0"/>
                <w:bCs w:val="0"/>
                <w:i w:val="0"/>
                <w:iCs w:val="0"/>
                <w:color w:val="auto"/>
                <w:kern w:val="0"/>
                <w:sz w:val="20"/>
                <w:szCs w:val="20"/>
                <w:highlight w:val="none"/>
                <w:u w:val="none"/>
                <w:lang w:val="en-US" w:eastAsia="zh-CN" w:bidi="ar"/>
              </w:rPr>
              <w:t>；</w:t>
            </w:r>
          </w:p>
          <w:p w14:paraId="77D074A6">
            <w:pPr>
              <w:keepNext w:val="0"/>
              <w:keepLines w:val="0"/>
              <w:widowControl/>
              <w:numPr>
                <w:ilvl w:val="0"/>
                <w:numId w:val="0"/>
              </w:numPr>
              <w:suppressLineNumbers w:val="0"/>
              <w:shd w:val="clear"/>
              <w:ind w:left="0" w:leftChars="0" w:firstLine="0" w:firstLineChars="0"/>
              <w:jc w:val="left"/>
              <w:textAlignment w:val="top"/>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4.支持有线及Wifi网络、4GSIM卡接入；</w:t>
            </w:r>
          </w:p>
          <w:p w14:paraId="7E44FFC4">
            <w:pPr>
              <w:keepNext w:val="0"/>
              <w:keepLines w:val="0"/>
              <w:widowControl/>
              <w:numPr>
                <w:ilvl w:val="0"/>
                <w:numId w:val="0"/>
              </w:numPr>
              <w:suppressLineNumbers w:val="0"/>
              <w:shd w:val="clear"/>
              <w:ind w:left="0" w:leftChars="0" w:firstLine="0" w:firstLineChars="0"/>
              <w:jc w:val="left"/>
              <w:textAlignment w:val="top"/>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5.支持H.264、H.265等视频编解码协议，支持Opus、G.711、G.722等音频编解码协议</w:t>
            </w:r>
            <w:r>
              <w:rPr>
                <w:rFonts w:hint="eastAsia" w:ascii="宋体" w:hAnsi="宋体" w:cs="宋体"/>
                <w:b w:val="0"/>
                <w:bCs w:val="0"/>
                <w:i w:val="0"/>
                <w:iCs w:val="0"/>
                <w:color w:val="auto"/>
                <w:kern w:val="0"/>
                <w:sz w:val="20"/>
                <w:szCs w:val="20"/>
                <w:highlight w:val="none"/>
                <w:u w:val="none"/>
                <w:lang w:val="en-US" w:eastAsia="zh-CN" w:bidi="ar"/>
              </w:rPr>
              <w:t>；</w:t>
            </w:r>
          </w:p>
          <w:p w14:paraId="23CF6EF4">
            <w:pPr>
              <w:keepNext w:val="0"/>
              <w:keepLines w:val="0"/>
              <w:widowControl/>
              <w:numPr>
                <w:ilvl w:val="0"/>
                <w:numId w:val="0"/>
              </w:numPr>
              <w:suppressLineNumbers w:val="0"/>
              <w:shd w:val="clear"/>
              <w:ind w:left="0" w:leftChars="0" w:firstLine="0" w:firstLineChars="0"/>
              <w:jc w:val="left"/>
              <w:textAlignment w:val="top"/>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6.一体化终端内置SIM卡槽，可以接入中国电信/中国联通/中国移动/中国广电移动网络进行视频通话</w:t>
            </w:r>
            <w:r>
              <w:rPr>
                <w:rFonts w:hint="eastAsia" w:ascii="宋体" w:hAnsi="宋体" w:cs="宋体"/>
                <w:b w:val="0"/>
                <w:bCs w:val="0"/>
                <w:i w:val="0"/>
                <w:iCs w:val="0"/>
                <w:color w:val="auto"/>
                <w:kern w:val="0"/>
                <w:sz w:val="20"/>
                <w:szCs w:val="20"/>
                <w:highlight w:val="none"/>
                <w:u w:val="none"/>
                <w:lang w:val="en-US" w:eastAsia="zh-CN" w:bidi="ar"/>
              </w:rPr>
              <w:t>；</w:t>
            </w:r>
          </w:p>
          <w:p w14:paraId="0914B759">
            <w:pPr>
              <w:keepNext w:val="0"/>
              <w:keepLines w:val="0"/>
              <w:widowControl/>
              <w:numPr>
                <w:ilvl w:val="0"/>
                <w:numId w:val="0"/>
              </w:numPr>
              <w:suppressLineNumbers w:val="0"/>
              <w:shd w:val="clear"/>
              <w:ind w:left="0" w:leftChars="0" w:firstLine="0" w:firstLineChars="0"/>
              <w:jc w:val="left"/>
              <w:textAlignment w:val="top"/>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7.为方便管理，需考虑互联互通：要求与省市实现全面互通，提供承诺函</w:t>
            </w:r>
            <w:r>
              <w:rPr>
                <w:rFonts w:hint="eastAsia" w:ascii="宋体" w:hAnsi="宋体" w:cs="宋体"/>
                <w:b w:val="0"/>
                <w:bCs w:val="0"/>
                <w:i w:val="0"/>
                <w:iCs w:val="0"/>
                <w:color w:val="auto"/>
                <w:kern w:val="0"/>
                <w:sz w:val="20"/>
                <w:szCs w:val="20"/>
                <w:highlight w:val="none"/>
                <w:u w:val="none"/>
                <w:lang w:val="en-US" w:eastAsia="zh-CN" w:bidi="ar"/>
              </w:rPr>
              <w:t>；</w:t>
            </w:r>
          </w:p>
          <w:p w14:paraId="147D6F9F">
            <w:pPr>
              <w:keepNext w:val="0"/>
              <w:keepLines w:val="0"/>
              <w:widowControl/>
              <w:numPr>
                <w:ilvl w:val="0"/>
                <w:numId w:val="0"/>
              </w:numPr>
              <w:suppressLineNumbers w:val="0"/>
              <w:shd w:val="clear"/>
              <w:ind w:left="0" w:leftChars="0" w:firstLine="0" w:firstLineChars="0"/>
              <w:jc w:val="left"/>
              <w:textAlignment w:val="top"/>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▲8、在网络丢包率65%的情况下，音视频清晰流畅、无卡顿、无马赛克花屏（帧率不低于30帧/秒）；在网络丢包率85%的情况下，语音清晰流畅、无卡顿</w:t>
            </w:r>
            <w:r>
              <w:rPr>
                <w:rFonts w:hint="eastAsia" w:ascii="宋体" w:hAnsi="宋体" w:cs="宋体"/>
                <w:b w:val="0"/>
                <w:bCs w:val="0"/>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（须在具有CMA或CNAS标识的检测机构出具的检测报告中体现)</w:t>
            </w:r>
          </w:p>
          <w:p w14:paraId="27016207">
            <w:pPr>
              <w:keepNext w:val="0"/>
              <w:keepLines w:val="0"/>
              <w:widowControl/>
              <w:numPr>
                <w:ilvl w:val="0"/>
                <w:numId w:val="0"/>
              </w:numPr>
              <w:suppressLineNumbers w:val="0"/>
              <w:shd w:val="clear"/>
              <w:ind w:left="0" w:leftChars="0" w:firstLine="0" w:firstLineChars="0"/>
              <w:jc w:val="left"/>
              <w:textAlignment w:val="top"/>
              <w:rPr>
                <w:rFonts w:hint="eastAsia" w:ascii="宋体" w:hAnsi="宋体" w:eastAsia="宋体" w:cs="宋体"/>
                <w:b w:val="0"/>
                <w:bCs w:val="0"/>
                <w:i w:val="0"/>
                <w:iCs w:val="0"/>
                <w:color w:val="auto"/>
                <w:kern w:val="2"/>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9.提供五年期设备双向互通流量，且每年不低于50G。</w:t>
            </w: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70CD2">
            <w:pPr>
              <w:keepNext w:val="0"/>
              <w:keepLines w:val="0"/>
              <w:widowControl/>
              <w:suppressLineNumbers w:val="0"/>
              <w:shd w:val="clear"/>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C57DA">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bl>
    <w:p w14:paraId="0B7F7569">
      <w:pPr>
        <w:keepNext w:val="0"/>
        <w:keepLines w:val="0"/>
        <w:pageBreakBefore w:val="0"/>
        <w:widowControl w:val="0"/>
        <w:shd w:val="clear"/>
        <w:kinsoku/>
        <w:wordWrap/>
        <w:overflowPunct/>
        <w:topLinePunct w:val="0"/>
        <w:autoSpaceDE/>
        <w:autoSpaceDN/>
        <w:bidi w:val="0"/>
        <w:adjustRightInd w:val="0"/>
        <w:snapToGrid/>
        <w:spacing w:line="360" w:lineRule="auto"/>
        <w:jc w:val="left"/>
        <w:textAlignment w:val="auto"/>
        <w:outlineLvl w:val="0"/>
        <w:rPr>
          <w:rFonts w:hint="eastAsia" w:ascii="宋体" w:hAnsi="宋体" w:eastAsia="宋体" w:cs="宋体"/>
          <w:b/>
          <w:color w:val="auto"/>
          <w:sz w:val="36"/>
          <w:szCs w:val="36"/>
          <w:highlight w:val="none"/>
        </w:rPr>
      </w:pPr>
    </w:p>
    <w:p w14:paraId="125ED82C">
      <w:pPr>
        <w:shd w:val="clear"/>
        <w:bidi w:val="0"/>
        <w:spacing w:line="360" w:lineRule="auto"/>
        <w:jc w:val="left"/>
        <w:rPr>
          <w:rFonts w:hint="eastAsia"/>
          <w:color w:val="auto"/>
          <w:sz w:val="22"/>
          <w:szCs w:val="22"/>
          <w:highlight w:val="none"/>
          <w:lang w:val="en-US" w:eastAsia="zh-CN"/>
        </w:rPr>
      </w:pPr>
      <w:r>
        <w:rPr>
          <w:rFonts w:hint="eastAsia"/>
          <w:b/>
          <w:bCs/>
          <w:color w:val="auto"/>
          <w:sz w:val="21"/>
          <w:szCs w:val="24"/>
          <w:highlight w:val="none"/>
          <w:lang w:val="en-US" w:eastAsia="zh-CN"/>
        </w:rPr>
        <w:t>注：标项一、二样品不得出现任何标识，不提供样品的不得分；</w:t>
      </w:r>
      <w:r>
        <w:rPr>
          <w:rFonts w:hint="eastAsia"/>
          <w:color w:val="auto"/>
          <w:sz w:val="22"/>
          <w:szCs w:val="22"/>
          <w:highlight w:val="none"/>
          <w:lang w:val="en-US" w:eastAsia="zh-CN"/>
        </w:rPr>
        <w:t>并在开标截止时间前送达至指定地点（嵊州市公共资源交易中心三楼评标室，童工，19883579796），演示视频和样品须在2025年  月   日9:00开标截止前送达，逾期送达不予接收。</w:t>
      </w:r>
    </w:p>
    <w:p w14:paraId="0ABC5420">
      <w:pPr>
        <w:shd w:val="clear"/>
        <w:bidi w:val="0"/>
        <w:spacing w:line="360" w:lineRule="auto"/>
        <w:rPr>
          <w:rFonts w:hint="default"/>
          <w:color w:val="auto"/>
          <w:sz w:val="21"/>
          <w:szCs w:val="24"/>
          <w:highlight w:val="none"/>
          <w:lang w:val="en-US" w:eastAsia="zh-CN"/>
        </w:rPr>
        <w:sectPr>
          <w:pgSz w:w="16840" w:h="11907" w:orient="landscape"/>
          <w:pgMar w:top="1814" w:right="1474" w:bottom="1814" w:left="1474" w:header="851" w:footer="851" w:gutter="0"/>
          <w:pgNumType w:fmt="decimal"/>
          <w:cols w:space="720" w:num="1"/>
        </w:sectPr>
      </w:pPr>
      <w:r>
        <w:rPr>
          <w:rFonts w:hint="eastAsia"/>
          <w:color w:val="auto"/>
          <w:sz w:val="21"/>
          <w:szCs w:val="24"/>
          <w:highlight w:val="none"/>
          <w:lang w:val="en-US" w:eastAsia="zh-CN"/>
        </w:rPr>
        <w:t>标项一样品：（1）卫星电话底座+室外天线（2）缓降器 ；标项二样品：（1）单兵式音视频采集装备（2）小型或中型无人机（支持一机多用）；</w:t>
      </w:r>
    </w:p>
    <w:bookmarkEnd w:id="5"/>
    <w:p w14:paraId="11A33601">
      <w:pPr>
        <w:widowControl/>
        <w:shd w:val="clear"/>
        <w:spacing w:line="460" w:lineRule="exact"/>
        <w:ind w:firstLine="482"/>
        <w:jc w:val="left"/>
        <w:outlineLvl w:val="1"/>
        <w:rPr>
          <w:rStyle w:val="966"/>
          <w:rFonts w:hint="eastAsia" w:ascii="宋体" w:hAnsi="宋体"/>
          <w:b/>
          <w:bCs/>
          <w:color w:val="auto"/>
          <w:sz w:val="24"/>
          <w:szCs w:val="24"/>
          <w:highlight w:val="none"/>
        </w:rPr>
      </w:pPr>
      <w:bookmarkStart w:id="25" w:name="第五部分"/>
      <w:bookmarkStart w:id="26" w:name="_Toc86217003"/>
      <w:r>
        <w:rPr>
          <w:rStyle w:val="966"/>
          <w:rFonts w:hint="eastAsia" w:ascii="宋体" w:hAnsi="宋体"/>
          <w:b/>
          <w:bCs/>
          <w:color w:val="auto"/>
          <w:sz w:val="24"/>
          <w:szCs w:val="24"/>
          <w:highlight w:val="none"/>
          <w:lang w:val="en-US" w:eastAsia="zh-CN"/>
        </w:rPr>
        <w:t>六</w:t>
      </w:r>
      <w:r>
        <w:rPr>
          <w:rStyle w:val="966"/>
          <w:rFonts w:hint="eastAsia" w:ascii="宋体" w:hAnsi="宋体"/>
          <w:b/>
          <w:bCs/>
          <w:color w:val="auto"/>
          <w:sz w:val="24"/>
          <w:szCs w:val="24"/>
          <w:highlight w:val="none"/>
        </w:rPr>
        <w:t>、商务要求</w:t>
      </w:r>
    </w:p>
    <w:tbl>
      <w:tblPr>
        <w:tblStyle w:val="65"/>
        <w:tblW w:w="900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990"/>
      </w:tblGrid>
      <w:tr w14:paraId="4EF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noWrap w:val="0"/>
            <w:vAlign w:val="center"/>
          </w:tcPr>
          <w:p w14:paraId="4AA6A068">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履约保证金</w:t>
            </w:r>
          </w:p>
        </w:tc>
        <w:tc>
          <w:tcPr>
            <w:tcW w:w="6990" w:type="dxa"/>
            <w:shd w:val="clear" w:color="auto" w:fill="auto"/>
            <w:noWrap w:val="0"/>
            <w:vAlign w:val="top"/>
          </w:tcPr>
          <w:p w14:paraId="13007E75">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①履约保证金：中标价的1%</w:t>
            </w:r>
          </w:p>
          <w:p w14:paraId="34C41DCD">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②履约保证金缴纳形式：保函、转账、网银、现金的形式；</w:t>
            </w:r>
          </w:p>
          <w:p w14:paraId="2E29F3E5">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③履约保证金缴纳时间：合同签订后；</w:t>
            </w:r>
          </w:p>
          <w:p w14:paraId="00A7C8E3">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④履约保证金接收人：</w:t>
            </w:r>
            <w:r>
              <w:rPr>
                <w:rFonts w:hint="eastAsia" w:ascii="宋体" w:hAnsi="宋体" w:cs="宋体"/>
                <w:b w:val="0"/>
                <w:bCs w:val="0"/>
                <w:color w:val="auto"/>
                <w:sz w:val="24"/>
                <w:szCs w:val="24"/>
                <w:highlight w:val="none"/>
                <w:vertAlign w:val="baseline"/>
                <w:lang w:val="en-US" w:eastAsia="zh-CN"/>
              </w:rPr>
              <w:t>采购人</w:t>
            </w:r>
            <w:r>
              <w:rPr>
                <w:rFonts w:hint="eastAsia" w:ascii="宋体" w:hAnsi="宋体" w:eastAsia="宋体" w:cs="宋体"/>
                <w:b w:val="0"/>
                <w:bCs w:val="0"/>
                <w:color w:val="auto"/>
                <w:sz w:val="24"/>
                <w:szCs w:val="24"/>
                <w:highlight w:val="none"/>
                <w:vertAlign w:val="baseline"/>
                <w:lang w:val="en-US" w:eastAsia="zh-CN"/>
              </w:rPr>
              <w:t>；</w:t>
            </w:r>
          </w:p>
          <w:p w14:paraId="629D29D1">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⑤履约保证金有效期限：合同履行完成后无违约问题（</w:t>
            </w:r>
            <w:r>
              <w:rPr>
                <w:rFonts w:hint="eastAsia" w:ascii="宋体" w:hAnsi="宋体" w:cs="宋体"/>
                <w:b w:val="0"/>
                <w:bCs w:val="0"/>
                <w:color w:val="auto"/>
                <w:sz w:val="24"/>
                <w:szCs w:val="24"/>
                <w:highlight w:val="none"/>
                <w:vertAlign w:val="baseline"/>
                <w:lang w:val="en-US" w:eastAsia="zh-CN"/>
              </w:rPr>
              <w:t>30日内</w:t>
            </w:r>
            <w:r>
              <w:rPr>
                <w:rFonts w:hint="eastAsia" w:ascii="宋体" w:hAnsi="宋体" w:eastAsia="宋体" w:cs="宋体"/>
                <w:b w:val="0"/>
                <w:bCs w:val="0"/>
                <w:color w:val="auto"/>
                <w:sz w:val="24"/>
                <w:szCs w:val="24"/>
                <w:highlight w:val="none"/>
                <w:vertAlign w:val="baseline"/>
                <w:lang w:val="en-US" w:eastAsia="zh-CN"/>
              </w:rPr>
              <w:t>）无息退还。</w:t>
            </w:r>
          </w:p>
        </w:tc>
      </w:tr>
      <w:tr w14:paraId="7033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0" w:type="dxa"/>
            <w:noWrap w:val="0"/>
            <w:vAlign w:val="center"/>
          </w:tcPr>
          <w:p w14:paraId="0A1DD157">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rPr>
              <w:t>付款</w:t>
            </w:r>
            <w:r>
              <w:rPr>
                <w:rFonts w:hint="eastAsia" w:ascii="宋体" w:hAnsi="宋体" w:eastAsia="宋体" w:cs="宋体"/>
                <w:b/>
                <w:bCs/>
                <w:color w:val="auto"/>
                <w:sz w:val="24"/>
                <w:szCs w:val="24"/>
                <w:highlight w:val="none"/>
                <w:lang w:val="en-US" w:eastAsia="zh-CN"/>
              </w:rPr>
              <w:t>方式</w:t>
            </w:r>
          </w:p>
        </w:tc>
        <w:tc>
          <w:tcPr>
            <w:tcW w:w="6990" w:type="dxa"/>
            <w:shd w:val="clear" w:color="auto" w:fill="auto"/>
            <w:noWrap w:val="0"/>
            <w:vAlign w:val="center"/>
          </w:tcPr>
          <w:p w14:paraId="06963624">
            <w:pPr>
              <w:shd w:val="clea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合同生效且具备实施条件之日起7个工作日内，向中标人支付合同总额的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0%作为预付款；通过验收合格之日起7个工作日内支付剩余应付合同款。</w:t>
            </w:r>
          </w:p>
          <w:p w14:paraId="1F7DB2DA">
            <w:pPr>
              <w:shd w:val="clea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1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合同签订时，中标人明确表示无需预付款或者主动降低预付款比例的，采购人将根据情况调整预付款及其他期合同款的支付。</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2 \* GB3</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未通过相应产品验收的，采购人有权不支付对应的合同款项。③实际供货数量以项目实际发生量为准。</w:t>
            </w:r>
          </w:p>
        </w:tc>
      </w:tr>
      <w:tr w14:paraId="6F97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noWrap w:val="0"/>
            <w:vAlign w:val="center"/>
          </w:tcPr>
          <w:p w14:paraId="16D53A44">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实施周期</w:t>
            </w:r>
          </w:p>
        </w:tc>
        <w:tc>
          <w:tcPr>
            <w:tcW w:w="6990" w:type="dxa"/>
            <w:shd w:val="clear" w:color="auto" w:fill="auto"/>
            <w:noWrap w:val="0"/>
            <w:vAlign w:val="top"/>
          </w:tcPr>
          <w:p w14:paraId="321ED6A3">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rPr>
              <w:t>自合同签订生效之日起</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个日历天内供货50%（以数量计）；合同签订生效之日起</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个日历天内完成全部货物的采购、供货；合同生效之日起30个日历天内完成安装调试以及交付验收；待验收通过后，30个日历天内完成</w:t>
            </w:r>
            <w:r>
              <w:rPr>
                <w:rFonts w:hint="eastAsia" w:ascii="宋体" w:hAnsi="宋体" w:cs="宋体"/>
                <w:b w:val="0"/>
                <w:bCs w:val="0"/>
                <w:color w:val="auto"/>
                <w:sz w:val="24"/>
                <w:szCs w:val="24"/>
                <w:highlight w:val="none"/>
                <w:lang w:val="en-US" w:eastAsia="zh-CN"/>
              </w:rPr>
              <w:t>设备使用</w:t>
            </w:r>
            <w:r>
              <w:rPr>
                <w:rFonts w:hint="eastAsia" w:ascii="宋体" w:hAnsi="宋体" w:eastAsia="宋体" w:cs="宋体"/>
                <w:b w:val="0"/>
                <w:bCs w:val="0"/>
                <w:color w:val="auto"/>
                <w:sz w:val="24"/>
                <w:szCs w:val="24"/>
                <w:highlight w:val="none"/>
              </w:rPr>
              <w:t>人员</w:t>
            </w:r>
            <w:r>
              <w:rPr>
                <w:rFonts w:hint="eastAsia" w:ascii="宋体" w:hAnsi="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培训工作。</w:t>
            </w:r>
          </w:p>
        </w:tc>
      </w:tr>
      <w:tr w14:paraId="6F2F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noWrap w:val="0"/>
            <w:vAlign w:val="center"/>
          </w:tcPr>
          <w:p w14:paraId="58C5EC08">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人员要求</w:t>
            </w:r>
          </w:p>
        </w:tc>
        <w:tc>
          <w:tcPr>
            <w:tcW w:w="6990" w:type="dxa"/>
            <w:noWrap w:val="0"/>
            <w:vAlign w:val="top"/>
          </w:tcPr>
          <w:p w14:paraId="6F0D61D1">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投标人应根据项目范围，配置具有相关丰富经验的项目管理人员，要求项目团队成员充足、专业能力突出，参与的同类项目案例丰富。团队组成方案能有力支撑本项目工作效率，保障成果质量。</w:t>
            </w:r>
          </w:p>
        </w:tc>
      </w:tr>
      <w:tr w14:paraId="0562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noWrap w:val="0"/>
            <w:vAlign w:val="center"/>
          </w:tcPr>
          <w:p w14:paraId="0D1D83CB">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地点</w:t>
            </w:r>
          </w:p>
        </w:tc>
        <w:tc>
          <w:tcPr>
            <w:tcW w:w="6990" w:type="dxa"/>
            <w:noWrap w:val="0"/>
            <w:vAlign w:val="top"/>
          </w:tcPr>
          <w:p w14:paraId="632EF2A0">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采购人指定地点</w:t>
            </w:r>
          </w:p>
        </w:tc>
      </w:tr>
      <w:tr w14:paraId="7160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noWrap w:val="0"/>
            <w:vAlign w:val="center"/>
          </w:tcPr>
          <w:p w14:paraId="26E17A7E">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质量要求</w:t>
            </w:r>
          </w:p>
        </w:tc>
        <w:tc>
          <w:tcPr>
            <w:tcW w:w="6990" w:type="dxa"/>
            <w:noWrap w:val="0"/>
            <w:vAlign w:val="top"/>
          </w:tcPr>
          <w:p w14:paraId="69891ADE">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符合《乡镇(街道)应急消防管理站建设与运行规范》(DB33T1376-2024)、《浙江省应急管理厅浙江省消防救援总队关于印发&lt;乡镇(街道) 应急消防管理站、专职消防队提质升级工作指南&gt;的通知》(浙应急[2025〕13 号)等文件要求。</w:t>
            </w:r>
          </w:p>
        </w:tc>
      </w:tr>
      <w:tr w14:paraId="4D21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noWrap w:val="0"/>
            <w:vAlign w:val="center"/>
          </w:tcPr>
          <w:p w14:paraId="4567507B">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质保期（运维期）</w:t>
            </w:r>
          </w:p>
        </w:tc>
        <w:tc>
          <w:tcPr>
            <w:tcW w:w="6990" w:type="dxa"/>
            <w:noWrap w:val="0"/>
            <w:vAlign w:val="top"/>
          </w:tcPr>
          <w:p w14:paraId="484FDCDE">
            <w:pPr>
              <w:shd w:val="clea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本项目所采购的设备及相关服务质保期从项目验收合格之日开始计算，期限为不少于3年（原厂质保超过3年的按照原厂质保期限提供质保），在质保期内</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应免费上门对损坏的部件或设备进行维修、安装、更换、调试等；质保期内免费更换的设备零部质保期应自更换之日起计不少于3年。</w:t>
            </w:r>
          </w:p>
        </w:tc>
      </w:tr>
      <w:tr w14:paraId="28FE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010" w:type="dxa"/>
            <w:noWrap w:val="0"/>
            <w:vAlign w:val="center"/>
          </w:tcPr>
          <w:p w14:paraId="45E2982C">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rPr>
              <w:t>费用和风险责任</w:t>
            </w:r>
          </w:p>
        </w:tc>
        <w:tc>
          <w:tcPr>
            <w:tcW w:w="6990" w:type="dxa"/>
            <w:noWrap w:val="0"/>
            <w:vAlign w:val="center"/>
          </w:tcPr>
          <w:p w14:paraId="6F95E151">
            <w:pPr>
              <w:keepNext w:val="0"/>
              <w:keepLines w:val="0"/>
              <w:pageBreakBefore w:val="0"/>
              <w:widowControl w:val="0"/>
              <w:shd w:val="clear"/>
              <w:tabs>
                <w:tab w:val="left" w:pos="360"/>
                <w:tab w:val="left" w:pos="540"/>
              </w:tabs>
              <w:kinsoku/>
              <w:wordWrap/>
              <w:overflowPunct/>
              <w:topLinePunct w:val="0"/>
              <w:autoSpaceDE/>
              <w:autoSpaceDN/>
              <w:bidi w:val="0"/>
              <w:adjustRightInd/>
              <w:snapToGrid/>
              <w:spacing w:line="400" w:lineRule="exact"/>
              <w:ind w:left="0" w:leftChars="0" w:right="-21" w:rightChars="-10" w:firstLine="0" w:firstLineChars="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rPr>
              <w:t>投标人需要自行了解采购人相关系统情况，获取与本项目实施有关的资料，所需的费用和风险责任由投标人自行承担。</w:t>
            </w:r>
          </w:p>
        </w:tc>
      </w:tr>
      <w:tr w14:paraId="729A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010" w:type="dxa"/>
            <w:noWrap w:val="0"/>
            <w:vAlign w:val="center"/>
          </w:tcPr>
          <w:p w14:paraId="79BD4263">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维护标准</w:t>
            </w:r>
          </w:p>
        </w:tc>
        <w:tc>
          <w:tcPr>
            <w:tcW w:w="6990" w:type="dxa"/>
            <w:noWrap w:val="0"/>
            <w:vAlign w:val="center"/>
          </w:tcPr>
          <w:p w14:paraId="37258F0C">
            <w:pPr>
              <w:shd w:val="clea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提供售后服务为7*24小时服务。</w:t>
            </w:r>
          </w:p>
          <w:p w14:paraId="71C48F82">
            <w:pPr>
              <w:shd w:val="clear"/>
              <w:adjustRightInd w:val="0"/>
              <w:snapToGrid w:val="0"/>
              <w:spacing w:line="360" w:lineRule="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2、因设计、工艺或质量问题发生故障的，由</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进行免费更换或修复。故障修复时间不得大于24小时（除不可抗力），如排除故障所需时间超过24小时的，</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应免费为采购人提供替代设备以供采购人正常使用。如投标方未按上述时间进行调试、修理、更换的，采购人可另行委托具有相应资质的其他企业代为修理、调试或进行更换，由此产生的费用，由</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承担。</w:t>
            </w:r>
          </w:p>
        </w:tc>
      </w:tr>
      <w:tr w14:paraId="5C37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010" w:type="dxa"/>
            <w:noWrap w:val="0"/>
            <w:vAlign w:val="center"/>
          </w:tcPr>
          <w:p w14:paraId="3F2C5455">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报价说明</w:t>
            </w:r>
          </w:p>
        </w:tc>
        <w:tc>
          <w:tcPr>
            <w:tcW w:w="6990" w:type="dxa"/>
            <w:noWrap w:val="0"/>
            <w:vAlign w:val="center"/>
          </w:tcPr>
          <w:p w14:paraId="56285C37">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报价包括提供并完成本次招标的所有材料设备的设计、制造、供应、运输、保险、装卸、现场就位安装（组装）、调试、试运行合格直至验收合格、备品备件、技术培训、售后服务、总包配合费及招标代理服务费等方面所需的所有工作和服务的全部费用。</w:t>
            </w:r>
          </w:p>
        </w:tc>
      </w:tr>
      <w:tr w14:paraId="225F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010" w:type="dxa"/>
            <w:noWrap w:val="0"/>
            <w:vAlign w:val="center"/>
          </w:tcPr>
          <w:p w14:paraId="74A9599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验收</w:t>
            </w:r>
          </w:p>
        </w:tc>
        <w:tc>
          <w:tcPr>
            <w:tcW w:w="6990" w:type="dxa"/>
            <w:noWrap w:val="0"/>
            <w:vAlign w:val="center"/>
          </w:tcPr>
          <w:p w14:paraId="61B9196D">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设备供货并安装调试完成后，</w:t>
            </w:r>
            <w:r>
              <w:rPr>
                <w:rFonts w:hint="eastAsia" w:ascii="宋体" w:hAnsi="宋体" w:cs="宋体"/>
                <w:b w:val="0"/>
                <w:bCs w:val="0"/>
                <w:color w:val="auto"/>
                <w:sz w:val="24"/>
                <w:szCs w:val="24"/>
                <w:highlight w:val="none"/>
                <w:shd w:val="clear" w:fill="92D050"/>
                <w:lang w:val="en-US" w:eastAsia="zh-CN"/>
              </w:rPr>
              <w:t>按照采购需求、合同约定及国家有关标准进行验收</w:t>
            </w:r>
            <w:r>
              <w:rPr>
                <w:rFonts w:hint="eastAsia" w:ascii="宋体" w:hAnsi="宋体" w:eastAsia="宋体" w:cs="宋体"/>
                <w:b w:val="0"/>
                <w:bCs w:val="0"/>
                <w:color w:val="auto"/>
                <w:sz w:val="24"/>
                <w:szCs w:val="24"/>
                <w:highlight w:val="none"/>
                <w:shd w:val="clear" w:fill="92D050"/>
                <w:lang w:val="en-US" w:eastAsia="zh-CN"/>
              </w:rPr>
              <w:t>。</w:t>
            </w:r>
            <w:r>
              <w:rPr>
                <w:rFonts w:hint="eastAsia" w:ascii="宋体" w:hAnsi="宋体" w:eastAsia="宋体" w:cs="宋体"/>
                <w:b w:val="0"/>
                <w:bCs w:val="0"/>
                <w:color w:val="auto"/>
                <w:sz w:val="24"/>
                <w:szCs w:val="24"/>
                <w:highlight w:val="none"/>
                <w:lang w:val="en-US" w:eastAsia="zh-CN"/>
              </w:rPr>
              <w:t>验收前，中标人应提交所有验收必备资料。</w:t>
            </w:r>
          </w:p>
          <w:p w14:paraId="30BC902F">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1、履约验收主体：</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w:t>
            </w:r>
          </w:p>
          <w:p w14:paraId="7F7AE5C0">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2、履约验收时间：设备供货、安装调试完成后10个工作日内组织验收；</w:t>
            </w:r>
          </w:p>
          <w:p w14:paraId="01060925">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3、履约验收程序：一次性验收；</w:t>
            </w:r>
          </w:p>
          <w:p w14:paraId="43E575A4">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4、履约验收内容：设备的品牌、数量、规格型号、技术指标、合格证、装箱单、说明书、保修卡等内容；</w:t>
            </w:r>
          </w:p>
          <w:p w14:paraId="4748EEA4">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5、履约验收标准：交付设备的品牌、数量、规格型号、技术指标等符合合同约定；</w:t>
            </w:r>
          </w:p>
          <w:p w14:paraId="1CCFD37A">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6、验收费用由采购人承担，因中标人原因导致验收不通过的，限期内整改完成，重新组织验收的费用由中标人承担；</w:t>
            </w:r>
          </w:p>
          <w:p w14:paraId="22DE40F2">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7、如采购人认为产品存在质量问题，将对产品进行送检，检验合格的，采购人支付相关费用，不合格的，中标人承担检测费用并赔偿采购人的损失。</w:t>
            </w:r>
          </w:p>
        </w:tc>
      </w:tr>
    </w:tbl>
    <w:p w14:paraId="4BB1F135">
      <w:pPr>
        <w:keepNext w:val="0"/>
        <w:keepLines w:val="0"/>
        <w:pageBreakBefore w:val="0"/>
        <w:widowControl w:val="0"/>
        <w:shd w:val="clear"/>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b/>
          <w:color w:val="auto"/>
          <w:sz w:val="36"/>
          <w:szCs w:val="36"/>
          <w:highlight w:val="none"/>
        </w:rPr>
        <w:sectPr>
          <w:pgSz w:w="11907" w:h="16840"/>
          <w:pgMar w:top="1474" w:right="1814" w:bottom="1474" w:left="1814" w:header="851" w:footer="851" w:gutter="0"/>
          <w:pgNumType w:fmt="decimal"/>
          <w:cols w:space="720" w:num="1"/>
        </w:sectPr>
      </w:pPr>
    </w:p>
    <w:p w14:paraId="28BB3AC7">
      <w:pPr>
        <w:keepNext w:val="0"/>
        <w:keepLines w:val="0"/>
        <w:pageBreakBefore w:val="0"/>
        <w:widowControl w:val="0"/>
        <w:shd w:val="clear"/>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b/>
          <w:color w:val="auto"/>
          <w:sz w:val="36"/>
          <w:szCs w:val="36"/>
          <w:highlight w:val="none"/>
        </w:rPr>
      </w:pPr>
    </w:p>
    <w:p w14:paraId="3A6BA44F">
      <w:pPr>
        <w:keepNext w:val="0"/>
        <w:keepLines w:val="0"/>
        <w:pageBreakBefore w:val="0"/>
        <w:widowControl w:val="0"/>
        <w:shd w:val="clear"/>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四</w:t>
      </w:r>
      <w:r>
        <w:rPr>
          <w:rFonts w:hint="eastAsia" w:ascii="宋体" w:hAnsi="宋体" w:eastAsia="宋体" w:cs="宋体"/>
          <w:b/>
          <w:color w:val="auto"/>
          <w:sz w:val="36"/>
          <w:szCs w:val="36"/>
          <w:highlight w:val="none"/>
        </w:rPr>
        <w:t>部分 拟签订的合同文本</w:t>
      </w:r>
    </w:p>
    <w:p w14:paraId="0EBC2E42">
      <w:pPr>
        <w:shd w:val="clea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647DE47">
      <w:pPr>
        <w:shd w:val="clear"/>
        <w:spacing w:line="480" w:lineRule="auto"/>
        <w:jc w:val="center"/>
        <w:rPr>
          <w:rFonts w:hint="eastAsia" w:ascii="宋体" w:hAnsi="宋体" w:eastAsia="宋体" w:cs="宋体"/>
          <w:b/>
          <w:color w:val="auto"/>
          <w:sz w:val="28"/>
          <w:szCs w:val="28"/>
          <w:highlight w:val="none"/>
        </w:rPr>
      </w:pPr>
    </w:p>
    <w:p w14:paraId="3F5ADA02">
      <w:pPr>
        <w:shd w:val="clear"/>
        <w:spacing w:line="480" w:lineRule="auto"/>
        <w:jc w:val="center"/>
        <w:rPr>
          <w:rFonts w:hint="eastAsia" w:ascii="宋体" w:hAnsi="宋体" w:eastAsia="宋体" w:cs="宋体"/>
          <w:b/>
          <w:color w:val="auto"/>
          <w:sz w:val="24"/>
          <w:highlight w:val="none"/>
        </w:rPr>
      </w:pPr>
    </w:p>
    <w:p w14:paraId="57C7E608">
      <w:pPr>
        <w:shd w:val="clear"/>
        <w:spacing w:line="480" w:lineRule="auto"/>
        <w:jc w:val="center"/>
        <w:rPr>
          <w:rFonts w:hint="eastAsia" w:ascii="宋体" w:hAnsi="宋体" w:eastAsia="宋体" w:cs="宋体"/>
          <w:b/>
          <w:color w:val="auto"/>
          <w:sz w:val="24"/>
          <w:highlight w:val="none"/>
        </w:rPr>
      </w:pPr>
    </w:p>
    <w:p w14:paraId="76DFB657">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0DB9B6CE">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eastAsia="宋体" w:cs="宋体"/>
          <w:b/>
          <w:color w:val="auto"/>
          <w:sz w:val="36"/>
          <w:szCs w:val="36"/>
          <w:highlight w:val="none"/>
        </w:rPr>
        <w:t>类）</w:t>
      </w:r>
    </w:p>
    <w:p w14:paraId="683FE8AC">
      <w:pPr>
        <w:shd w:val="clear"/>
        <w:spacing w:before="120" w:line="22" w:lineRule="atLeast"/>
        <w:rPr>
          <w:rFonts w:hint="eastAsia" w:ascii="宋体" w:hAnsi="宋体" w:eastAsia="宋体" w:cs="宋体"/>
          <w:color w:val="auto"/>
          <w:sz w:val="24"/>
          <w:highlight w:val="none"/>
        </w:rPr>
      </w:pPr>
    </w:p>
    <w:p w14:paraId="1937DA00">
      <w:pPr>
        <w:pStyle w:val="2"/>
        <w:shd w:val="clear"/>
        <w:rPr>
          <w:rFonts w:hint="eastAsia" w:ascii="宋体" w:hAnsi="宋体" w:eastAsia="宋体" w:cs="宋体"/>
          <w:color w:val="auto"/>
          <w:highlight w:val="none"/>
        </w:rPr>
      </w:pPr>
    </w:p>
    <w:p w14:paraId="71E25551">
      <w:pPr>
        <w:shd w:val="clear"/>
        <w:spacing w:before="120" w:line="22" w:lineRule="atLeast"/>
        <w:ind w:left="96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7F3121E2">
      <w:pPr>
        <w:pStyle w:val="599"/>
        <w:shd w:val="clear"/>
        <w:spacing w:before="120" w:line="22" w:lineRule="atLeast"/>
        <w:rPr>
          <w:rFonts w:hint="eastAsia" w:ascii="宋体" w:hAnsi="宋体" w:eastAsia="宋体" w:cs="宋体"/>
          <w:color w:val="auto"/>
          <w:szCs w:val="24"/>
          <w:highlight w:val="none"/>
        </w:rPr>
      </w:pPr>
    </w:p>
    <w:p w14:paraId="6AC149F9">
      <w:pPr>
        <w:pStyle w:val="599"/>
        <w:shd w:val="clear"/>
        <w:spacing w:before="120" w:line="22" w:lineRule="atLeast"/>
        <w:rPr>
          <w:rFonts w:hint="eastAsia" w:ascii="宋体" w:hAnsi="宋体" w:eastAsia="宋体" w:cs="宋体"/>
          <w:color w:val="auto"/>
          <w:szCs w:val="24"/>
          <w:highlight w:val="none"/>
        </w:rPr>
      </w:pPr>
    </w:p>
    <w:p w14:paraId="3FD0D537">
      <w:pPr>
        <w:shd w:val="clear"/>
        <w:rPr>
          <w:rFonts w:hint="eastAsia" w:ascii="宋体" w:hAnsi="宋体" w:eastAsia="宋体" w:cs="宋体"/>
          <w:color w:val="auto"/>
          <w:sz w:val="24"/>
          <w:highlight w:val="none"/>
        </w:rPr>
      </w:pPr>
    </w:p>
    <w:p w14:paraId="1A349D96">
      <w:pPr>
        <w:shd w:val="clear"/>
        <w:spacing w:before="120" w:line="22" w:lineRule="atLeast"/>
        <w:ind w:left="96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73BF9ED2">
      <w:pPr>
        <w:shd w:val="clear"/>
        <w:spacing w:before="120" w:line="22" w:lineRule="atLeast"/>
        <w:rPr>
          <w:rFonts w:hint="eastAsia" w:ascii="宋体" w:hAnsi="宋体" w:eastAsia="宋体" w:cs="宋体"/>
          <w:color w:val="auto"/>
          <w:sz w:val="24"/>
          <w:highlight w:val="none"/>
        </w:rPr>
      </w:pPr>
    </w:p>
    <w:p w14:paraId="074B16D5">
      <w:pPr>
        <w:shd w:val="clear"/>
        <w:spacing w:before="120" w:line="22" w:lineRule="atLeast"/>
        <w:ind w:left="96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9EEBE0B">
      <w:pPr>
        <w:shd w:val="clear"/>
        <w:spacing w:before="120" w:line="22" w:lineRule="atLeast"/>
        <w:rPr>
          <w:rFonts w:hint="eastAsia" w:ascii="宋体" w:hAnsi="宋体" w:eastAsia="宋体" w:cs="宋体"/>
          <w:color w:val="auto"/>
          <w:sz w:val="24"/>
          <w:highlight w:val="none"/>
        </w:rPr>
      </w:pPr>
    </w:p>
    <w:p w14:paraId="20C992E5">
      <w:pPr>
        <w:shd w:val="clear"/>
        <w:spacing w:before="120" w:line="22" w:lineRule="atLeast"/>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6F08E722">
      <w:pPr>
        <w:shd w:val="clear"/>
        <w:spacing w:before="120" w:line="22" w:lineRule="atLeast"/>
        <w:rPr>
          <w:rFonts w:hint="eastAsia" w:ascii="宋体" w:hAnsi="宋体" w:eastAsia="宋体" w:cs="宋体"/>
          <w:color w:val="auto"/>
          <w:sz w:val="24"/>
          <w:highlight w:val="none"/>
        </w:rPr>
      </w:pPr>
    </w:p>
    <w:p w14:paraId="238DCCD3">
      <w:pPr>
        <w:shd w:val="clear"/>
        <w:spacing w:before="120" w:line="22" w:lineRule="atLeast"/>
        <w:ind w:firstLine="1440" w:firstLineChars="600"/>
        <w:rPr>
          <w:rFonts w:hint="eastAsia" w:ascii="宋体" w:hAnsi="宋体" w:eastAsia="宋体" w:cs="宋体"/>
          <w:color w:val="auto"/>
          <w:kern w:val="0"/>
          <w:sz w:val="24"/>
          <w:highlight w:val="none"/>
        </w:rPr>
        <w:sectPr>
          <w:pgSz w:w="11907" w:h="16840"/>
          <w:pgMar w:top="1474" w:right="1814" w:bottom="1474" w:left="1814" w:header="851" w:footer="851" w:gutter="0"/>
          <w:pgNumType w:fmt="decimal"/>
          <w:cols w:space="720" w:num="1"/>
        </w:sect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E2A9A9D">
      <w:pPr>
        <w:shd w:val="clear"/>
        <w:rPr>
          <w:rFonts w:hint="eastAsia" w:ascii="宋体" w:hAnsi="宋体" w:eastAsia="宋体" w:cs="宋体"/>
          <w:b/>
          <w:color w:val="auto"/>
          <w:sz w:val="24"/>
          <w:highlight w:val="none"/>
        </w:rPr>
      </w:pPr>
    </w:p>
    <w:p w14:paraId="73C24961">
      <w:pPr>
        <w:pStyle w:val="33"/>
        <w:shd w:val="clea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项目名称：                                      项目编号：</w:t>
      </w:r>
      <w:r>
        <w:rPr>
          <w:rFonts w:hint="eastAsia" w:ascii="宋体" w:hAnsi="宋体" w:eastAsia="宋体" w:cs="宋体"/>
          <w:b/>
          <w:color w:val="auto"/>
          <w:sz w:val="24"/>
          <w:szCs w:val="24"/>
          <w:highlight w:val="none"/>
        </w:rPr>
        <w:t xml:space="preserve">                             </w:t>
      </w:r>
    </w:p>
    <w:p w14:paraId="4B4F3C09">
      <w:pPr>
        <w:pStyle w:val="33"/>
        <w:shd w:val="clear"/>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采购方</w:t>
      </w:r>
      <w:r>
        <w:rPr>
          <w:rFonts w:hint="eastAsia" w:ascii="宋体" w:hAnsi="宋体" w:eastAsia="宋体" w:cs="宋体"/>
          <w:color w:val="auto"/>
          <w:sz w:val="24"/>
          <w:highlight w:val="none"/>
        </w:rPr>
        <w:t>）：</w:t>
      </w:r>
    </w:p>
    <w:p w14:paraId="30746F5D">
      <w:pPr>
        <w:pStyle w:val="33"/>
        <w:shd w:val="clear"/>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乙</w:t>
      </w:r>
      <w:r>
        <w:rPr>
          <w:rFonts w:hint="eastAsia" w:ascii="宋体" w:hAnsi="宋体" w:eastAsia="宋体" w:cs="宋体"/>
          <w:color w:val="auto"/>
          <w:sz w:val="24"/>
          <w:highlight w:val="none"/>
        </w:rPr>
        <w:t>方（</w:t>
      </w:r>
      <w:r>
        <w:rPr>
          <w:rFonts w:hint="eastAsia" w:ascii="宋体" w:hAnsi="宋体" w:eastAsia="宋体" w:cs="宋体"/>
          <w:color w:val="auto"/>
          <w:sz w:val="24"/>
          <w:highlight w:val="none"/>
          <w:lang w:val="en-US" w:eastAsia="zh-CN"/>
        </w:rPr>
        <w:t>供应方</w:t>
      </w:r>
      <w:r>
        <w:rPr>
          <w:rFonts w:hint="eastAsia" w:ascii="宋体" w:hAnsi="宋体" w:eastAsia="宋体" w:cs="宋体"/>
          <w:color w:val="auto"/>
          <w:sz w:val="24"/>
          <w:highlight w:val="none"/>
        </w:rPr>
        <w:t xml:space="preserve">）： </w:t>
      </w:r>
    </w:p>
    <w:p w14:paraId="14B7F90C">
      <w:pPr>
        <w:shd w:val="clear"/>
        <w:spacing w:line="380" w:lineRule="exact"/>
        <w:ind w:firstLine="480" w:firstLineChars="200"/>
        <w:jc w:val="left"/>
        <w:rPr>
          <w:rFonts w:hint="eastAsia" w:ascii="宋体" w:hAnsi="宋体" w:eastAsia="宋体" w:cs="宋体"/>
          <w:color w:val="auto"/>
          <w:sz w:val="24"/>
          <w:highlight w:val="none"/>
        </w:rPr>
      </w:pPr>
    </w:p>
    <w:p w14:paraId="72E1356E">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根据《中华人民共和国政府采购法》、《中华人民共和国民法典》之规定，本合同当事人在平等、自愿的基础上，经协商一致，同意按下述条款和条件签署本合同：</w:t>
      </w:r>
    </w:p>
    <w:p w14:paraId="111EC4E9">
      <w:pPr>
        <w:shd w:val="clear"/>
        <w:spacing w:line="380" w:lineRule="exact"/>
        <w:ind w:firstLine="482" w:firstLineChars="200"/>
        <w:jc w:val="left"/>
        <w:rPr>
          <w:rFonts w:hint="eastAsia" w:ascii="宋体" w:hAnsi="宋体" w:eastAsia="宋体" w:cs="宋体"/>
          <w:b/>
          <w:bCs/>
          <w:color w:val="auto"/>
          <w:sz w:val="24"/>
          <w:highlight w:val="none"/>
        </w:rPr>
      </w:pPr>
      <w:bookmarkStart w:id="27" w:name="_Toc340322172"/>
      <w:bookmarkStart w:id="28" w:name="_Toc340321917"/>
      <w:bookmarkStart w:id="29" w:name="_Toc480884136"/>
      <w:bookmarkStart w:id="30" w:name="_Toc19146"/>
      <w:bookmarkStart w:id="31" w:name="_Toc339302133"/>
      <w:bookmarkStart w:id="32" w:name="_Toc269217275"/>
      <w:r>
        <w:rPr>
          <w:rFonts w:hint="eastAsia" w:ascii="宋体" w:hAnsi="宋体" w:eastAsia="宋体" w:cs="宋体"/>
          <w:b/>
          <w:bCs/>
          <w:color w:val="auto"/>
          <w:sz w:val="24"/>
          <w:highlight w:val="none"/>
        </w:rPr>
        <w:t>第一条 乙方根据本合同的规定向甲方提供以下设备：</w:t>
      </w:r>
      <w:bookmarkEnd w:id="27"/>
      <w:bookmarkEnd w:id="28"/>
      <w:bookmarkEnd w:id="29"/>
      <w:bookmarkEnd w:id="30"/>
      <w:bookmarkEnd w:id="31"/>
      <w:bookmarkEnd w:id="32"/>
    </w:p>
    <w:p w14:paraId="32ADE292">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（一）合同货物</w:t>
      </w:r>
    </w:p>
    <w:tbl>
      <w:tblPr>
        <w:tblStyle w:val="64"/>
        <w:tblW w:w="5580" w:type="pct"/>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420"/>
        <w:gridCol w:w="1012"/>
        <w:gridCol w:w="1408"/>
        <w:gridCol w:w="724"/>
        <w:gridCol w:w="674"/>
        <w:gridCol w:w="1330"/>
        <w:gridCol w:w="1099"/>
      </w:tblGrid>
      <w:tr w14:paraId="3145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trPr>
        <w:tc>
          <w:tcPr>
            <w:tcW w:w="336" w:type="pct"/>
            <w:shd w:val="clear" w:color="000000" w:fill="BFBFBF"/>
            <w:noWrap w:val="0"/>
            <w:vAlign w:val="center"/>
          </w:tcPr>
          <w:p w14:paraId="446BF03D">
            <w:pPr>
              <w:widowControl/>
              <w:shd w:val="clear"/>
              <w:jc w:val="center"/>
              <w:rPr>
                <w:rFonts w:hint="eastAsia" w:ascii="宋体" w:hAnsi="宋体" w:eastAsia="宋体" w:cs="宋体"/>
                <w:b/>
                <w:bCs/>
                <w:color w:val="auto"/>
                <w:kern w:val="0"/>
                <w:sz w:val="21"/>
                <w:szCs w:val="21"/>
                <w:highlight w:val="none"/>
              </w:rPr>
            </w:pPr>
            <w:bookmarkStart w:id="33" w:name="_Toc339302134"/>
            <w:bookmarkStart w:id="34" w:name="_Toc340321918"/>
            <w:bookmarkStart w:id="35" w:name="_Toc15932"/>
            <w:bookmarkStart w:id="36" w:name="_Toc340322173"/>
            <w:bookmarkStart w:id="37" w:name="_Toc269217276"/>
            <w:r>
              <w:rPr>
                <w:rFonts w:hint="eastAsia" w:ascii="宋体" w:hAnsi="宋体" w:eastAsia="宋体" w:cs="宋体"/>
                <w:b/>
                <w:bCs/>
                <w:color w:val="auto"/>
                <w:kern w:val="0"/>
                <w:sz w:val="21"/>
                <w:szCs w:val="21"/>
                <w:highlight w:val="none"/>
              </w:rPr>
              <w:t>序号</w:t>
            </w:r>
          </w:p>
        </w:tc>
        <w:tc>
          <w:tcPr>
            <w:tcW w:w="1649" w:type="pct"/>
            <w:shd w:val="clear" w:color="000000" w:fill="BFBFBF"/>
            <w:noWrap w:val="0"/>
            <w:vAlign w:val="center"/>
          </w:tcPr>
          <w:p w14:paraId="7C59CBCA">
            <w:pPr>
              <w:widowControl/>
              <w:shd w:val="clear"/>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名称</w:t>
            </w:r>
          </w:p>
        </w:tc>
        <w:tc>
          <w:tcPr>
            <w:tcW w:w="488" w:type="pct"/>
            <w:shd w:val="clear" w:color="000000" w:fill="BFBFBF"/>
            <w:noWrap w:val="0"/>
            <w:vAlign w:val="center"/>
          </w:tcPr>
          <w:p w14:paraId="0462A201">
            <w:pPr>
              <w:widowControl/>
              <w:shd w:val="clear"/>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品牌</w:t>
            </w:r>
          </w:p>
        </w:tc>
        <w:tc>
          <w:tcPr>
            <w:tcW w:w="679" w:type="pct"/>
            <w:shd w:val="clear" w:color="000000" w:fill="BFBFBF"/>
            <w:noWrap w:val="0"/>
            <w:vAlign w:val="center"/>
          </w:tcPr>
          <w:p w14:paraId="34DB1393">
            <w:pPr>
              <w:widowControl/>
              <w:shd w:val="clear"/>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规格</w:t>
            </w:r>
          </w:p>
        </w:tc>
        <w:tc>
          <w:tcPr>
            <w:tcW w:w="349" w:type="pct"/>
            <w:shd w:val="clear" w:color="000000" w:fill="BFBFBF"/>
            <w:noWrap w:val="0"/>
            <w:vAlign w:val="center"/>
          </w:tcPr>
          <w:p w14:paraId="286E101F">
            <w:pPr>
              <w:widowControl/>
              <w:shd w:val="clear"/>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单位</w:t>
            </w:r>
          </w:p>
        </w:tc>
        <w:tc>
          <w:tcPr>
            <w:tcW w:w="325" w:type="pct"/>
            <w:shd w:val="clear" w:color="000000" w:fill="BFBFBF"/>
            <w:noWrap w:val="0"/>
            <w:vAlign w:val="center"/>
          </w:tcPr>
          <w:p w14:paraId="6B32A345">
            <w:pPr>
              <w:widowControl/>
              <w:shd w:val="clear"/>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数量</w:t>
            </w:r>
          </w:p>
        </w:tc>
        <w:tc>
          <w:tcPr>
            <w:tcW w:w="641" w:type="pct"/>
            <w:shd w:val="clear" w:color="000000" w:fill="BFBFBF"/>
            <w:noWrap w:val="0"/>
            <w:vAlign w:val="center"/>
          </w:tcPr>
          <w:p w14:paraId="5AA247E1">
            <w:pPr>
              <w:widowControl/>
              <w:shd w:val="clear"/>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单价（元）</w:t>
            </w:r>
          </w:p>
        </w:tc>
        <w:tc>
          <w:tcPr>
            <w:tcW w:w="530" w:type="pct"/>
            <w:shd w:val="clear" w:color="000000" w:fill="BFBFBF"/>
            <w:noWrap w:val="0"/>
            <w:vAlign w:val="center"/>
          </w:tcPr>
          <w:p w14:paraId="3770C374">
            <w:pPr>
              <w:widowControl/>
              <w:shd w:val="clear"/>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总价（元）</w:t>
            </w:r>
          </w:p>
        </w:tc>
      </w:tr>
      <w:tr w14:paraId="1E37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 w:type="pct"/>
            <w:noWrap/>
            <w:vAlign w:val="center"/>
          </w:tcPr>
          <w:p w14:paraId="57A38B05">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49" w:type="pct"/>
            <w:noWrap w:val="0"/>
            <w:vAlign w:val="center"/>
          </w:tcPr>
          <w:p w14:paraId="717F0490">
            <w:pPr>
              <w:widowControl/>
              <w:shd w:val="clear"/>
              <w:jc w:val="center"/>
              <w:rPr>
                <w:rFonts w:hint="eastAsia" w:ascii="宋体" w:hAnsi="宋体" w:eastAsia="宋体" w:cs="宋体"/>
                <w:color w:val="auto"/>
                <w:sz w:val="21"/>
                <w:szCs w:val="21"/>
                <w:highlight w:val="none"/>
                <w:vertAlign w:val="baseline"/>
                <w:lang w:val="en-US" w:eastAsia="zh-CN"/>
              </w:rPr>
            </w:pPr>
          </w:p>
        </w:tc>
        <w:tc>
          <w:tcPr>
            <w:tcW w:w="488" w:type="pct"/>
            <w:noWrap w:val="0"/>
            <w:vAlign w:val="center"/>
          </w:tcPr>
          <w:p w14:paraId="59B7C775">
            <w:pPr>
              <w:widowControl/>
              <w:shd w:val="clear"/>
              <w:jc w:val="center"/>
              <w:rPr>
                <w:rFonts w:hint="eastAsia" w:ascii="宋体" w:hAnsi="宋体" w:eastAsia="宋体" w:cs="宋体"/>
                <w:color w:val="auto"/>
                <w:kern w:val="0"/>
                <w:sz w:val="21"/>
                <w:szCs w:val="21"/>
                <w:highlight w:val="none"/>
                <w:lang w:val="en-US" w:eastAsia="zh-CN"/>
              </w:rPr>
            </w:pPr>
          </w:p>
        </w:tc>
        <w:tc>
          <w:tcPr>
            <w:tcW w:w="679" w:type="pct"/>
            <w:noWrap/>
            <w:vAlign w:val="center"/>
          </w:tcPr>
          <w:p w14:paraId="0F2D800B">
            <w:pPr>
              <w:widowControl/>
              <w:shd w:val="clear"/>
              <w:jc w:val="center"/>
              <w:rPr>
                <w:rFonts w:hint="eastAsia" w:ascii="宋体" w:hAnsi="宋体" w:eastAsia="宋体" w:cs="宋体"/>
                <w:color w:val="auto"/>
                <w:sz w:val="21"/>
                <w:szCs w:val="21"/>
                <w:highlight w:val="none"/>
                <w:vertAlign w:val="baseline"/>
                <w:lang w:val="en-US" w:eastAsia="zh-CN"/>
              </w:rPr>
            </w:pPr>
          </w:p>
        </w:tc>
        <w:tc>
          <w:tcPr>
            <w:tcW w:w="349" w:type="pct"/>
            <w:noWrap/>
            <w:vAlign w:val="center"/>
          </w:tcPr>
          <w:p w14:paraId="36B37377">
            <w:pPr>
              <w:widowControl/>
              <w:shd w:val="clear"/>
              <w:jc w:val="center"/>
              <w:rPr>
                <w:rFonts w:hint="eastAsia" w:ascii="宋体" w:hAnsi="宋体" w:eastAsia="宋体" w:cs="宋体"/>
                <w:color w:val="auto"/>
                <w:kern w:val="0"/>
                <w:sz w:val="21"/>
                <w:szCs w:val="21"/>
                <w:highlight w:val="none"/>
                <w:lang w:val="en-US" w:eastAsia="zh-CN"/>
              </w:rPr>
            </w:pPr>
          </w:p>
        </w:tc>
        <w:tc>
          <w:tcPr>
            <w:tcW w:w="325" w:type="pct"/>
            <w:noWrap/>
            <w:vAlign w:val="center"/>
          </w:tcPr>
          <w:p w14:paraId="147D41B6">
            <w:pPr>
              <w:widowControl/>
              <w:shd w:val="clear"/>
              <w:jc w:val="center"/>
              <w:rPr>
                <w:rFonts w:hint="eastAsia" w:ascii="宋体" w:hAnsi="宋体" w:eastAsia="宋体" w:cs="宋体"/>
                <w:color w:val="auto"/>
                <w:kern w:val="0"/>
                <w:sz w:val="21"/>
                <w:szCs w:val="21"/>
                <w:highlight w:val="none"/>
                <w:lang w:val="en-US" w:eastAsia="zh-CN"/>
              </w:rPr>
            </w:pPr>
          </w:p>
        </w:tc>
        <w:tc>
          <w:tcPr>
            <w:tcW w:w="641" w:type="pct"/>
            <w:noWrap/>
            <w:vAlign w:val="center"/>
          </w:tcPr>
          <w:p w14:paraId="179D6D5A">
            <w:pPr>
              <w:widowControl/>
              <w:shd w:val="clear"/>
              <w:jc w:val="center"/>
              <w:rPr>
                <w:rFonts w:hint="eastAsia" w:ascii="宋体" w:hAnsi="宋体" w:eastAsia="宋体" w:cs="宋体"/>
                <w:color w:val="auto"/>
                <w:sz w:val="21"/>
                <w:szCs w:val="21"/>
                <w:highlight w:val="none"/>
                <w:vertAlign w:val="baseline"/>
                <w:lang w:val="en-US" w:eastAsia="zh-CN"/>
              </w:rPr>
            </w:pPr>
          </w:p>
        </w:tc>
        <w:tc>
          <w:tcPr>
            <w:tcW w:w="530" w:type="pct"/>
            <w:noWrap/>
            <w:vAlign w:val="center"/>
          </w:tcPr>
          <w:p w14:paraId="0EEE5418">
            <w:pPr>
              <w:widowControl/>
              <w:shd w:val="clear"/>
              <w:jc w:val="center"/>
              <w:rPr>
                <w:rFonts w:hint="eastAsia" w:ascii="宋体" w:hAnsi="宋体" w:eastAsia="宋体" w:cs="宋体"/>
                <w:color w:val="auto"/>
                <w:sz w:val="21"/>
                <w:szCs w:val="21"/>
                <w:highlight w:val="none"/>
                <w:vertAlign w:val="baseline"/>
                <w:lang w:val="en-US" w:eastAsia="zh-CN"/>
              </w:rPr>
            </w:pPr>
          </w:p>
        </w:tc>
      </w:tr>
      <w:tr w14:paraId="2FDD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 w:type="pct"/>
            <w:noWrap/>
            <w:vAlign w:val="center"/>
          </w:tcPr>
          <w:p w14:paraId="68C5C1E2">
            <w:pPr>
              <w:widowControl/>
              <w:shd w:val="clea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649" w:type="pct"/>
            <w:noWrap w:val="0"/>
            <w:vAlign w:val="center"/>
          </w:tcPr>
          <w:p w14:paraId="679ED377">
            <w:pPr>
              <w:widowControl/>
              <w:shd w:val="clear"/>
              <w:jc w:val="center"/>
              <w:rPr>
                <w:rFonts w:hint="eastAsia" w:ascii="宋体" w:hAnsi="宋体" w:eastAsia="宋体" w:cs="宋体"/>
                <w:color w:val="auto"/>
                <w:sz w:val="21"/>
                <w:szCs w:val="21"/>
                <w:highlight w:val="none"/>
                <w:vertAlign w:val="baseline"/>
                <w:lang w:val="en-US" w:eastAsia="zh-CN"/>
              </w:rPr>
            </w:pPr>
          </w:p>
        </w:tc>
        <w:tc>
          <w:tcPr>
            <w:tcW w:w="488" w:type="pct"/>
            <w:noWrap w:val="0"/>
            <w:vAlign w:val="center"/>
          </w:tcPr>
          <w:p w14:paraId="4512AE11">
            <w:pPr>
              <w:widowControl/>
              <w:shd w:val="clear"/>
              <w:jc w:val="center"/>
              <w:rPr>
                <w:rFonts w:hint="eastAsia" w:ascii="宋体" w:hAnsi="宋体" w:eastAsia="宋体" w:cs="宋体"/>
                <w:color w:val="auto"/>
                <w:kern w:val="0"/>
                <w:sz w:val="21"/>
                <w:szCs w:val="21"/>
                <w:highlight w:val="none"/>
                <w:lang w:val="en-US" w:eastAsia="zh-CN" w:bidi="ar-SA"/>
              </w:rPr>
            </w:pPr>
          </w:p>
        </w:tc>
        <w:tc>
          <w:tcPr>
            <w:tcW w:w="679" w:type="pct"/>
            <w:noWrap/>
            <w:vAlign w:val="center"/>
          </w:tcPr>
          <w:p w14:paraId="0E2E34D7">
            <w:pPr>
              <w:widowControl/>
              <w:shd w:val="clear"/>
              <w:jc w:val="center"/>
              <w:rPr>
                <w:rFonts w:hint="eastAsia" w:ascii="宋体" w:hAnsi="宋体" w:eastAsia="宋体" w:cs="宋体"/>
                <w:color w:val="auto"/>
                <w:sz w:val="21"/>
                <w:szCs w:val="21"/>
                <w:highlight w:val="none"/>
                <w:vertAlign w:val="baseline"/>
                <w:lang w:val="en-US" w:eastAsia="zh-CN"/>
              </w:rPr>
            </w:pPr>
          </w:p>
        </w:tc>
        <w:tc>
          <w:tcPr>
            <w:tcW w:w="349" w:type="pct"/>
            <w:noWrap/>
            <w:vAlign w:val="center"/>
          </w:tcPr>
          <w:p w14:paraId="41A5C904">
            <w:pPr>
              <w:widowControl/>
              <w:shd w:val="clear"/>
              <w:jc w:val="center"/>
              <w:rPr>
                <w:rFonts w:hint="eastAsia" w:ascii="宋体" w:hAnsi="宋体" w:eastAsia="宋体" w:cs="宋体"/>
                <w:color w:val="auto"/>
                <w:kern w:val="0"/>
                <w:sz w:val="21"/>
                <w:szCs w:val="21"/>
                <w:highlight w:val="none"/>
                <w:lang w:val="en-US" w:eastAsia="zh-CN"/>
              </w:rPr>
            </w:pPr>
          </w:p>
        </w:tc>
        <w:tc>
          <w:tcPr>
            <w:tcW w:w="325" w:type="pct"/>
            <w:noWrap/>
            <w:vAlign w:val="center"/>
          </w:tcPr>
          <w:p w14:paraId="3AD3B91C">
            <w:pPr>
              <w:widowControl/>
              <w:shd w:val="clear"/>
              <w:jc w:val="center"/>
              <w:rPr>
                <w:rFonts w:hint="eastAsia" w:ascii="宋体" w:hAnsi="宋体" w:eastAsia="宋体" w:cs="宋体"/>
                <w:color w:val="auto"/>
                <w:kern w:val="0"/>
                <w:sz w:val="21"/>
                <w:szCs w:val="21"/>
                <w:highlight w:val="none"/>
                <w:lang w:val="en-US" w:eastAsia="zh-CN"/>
              </w:rPr>
            </w:pPr>
          </w:p>
        </w:tc>
        <w:tc>
          <w:tcPr>
            <w:tcW w:w="641" w:type="pct"/>
            <w:noWrap/>
            <w:vAlign w:val="center"/>
          </w:tcPr>
          <w:p w14:paraId="50F98FCA">
            <w:pPr>
              <w:widowControl/>
              <w:shd w:val="clear"/>
              <w:jc w:val="center"/>
              <w:rPr>
                <w:rFonts w:hint="eastAsia" w:ascii="宋体" w:hAnsi="宋体" w:eastAsia="宋体" w:cs="宋体"/>
                <w:color w:val="auto"/>
                <w:sz w:val="21"/>
                <w:szCs w:val="21"/>
                <w:highlight w:val="none"/>
                <w:vertAlign w:val="baseline"/>
                <w:lang w:val="en-US" w:eastAsia="zh-CN"/>
              </w:rPr>
            </w:pPr>
          </w:p>
        </w:tc>
        <w:tc>
          <w:tcPr>
            <w:tcW w:w="530" w:type="pct"/>
            <w:noWrap/>
            <w:vAlign w:val="center"/>
          </w:tcPr>
          <w:p w14:paraId="757BEF26">
            <w:pPr>
              <w:widowControl/>
              <w:shd w:val="clear"/>
              <w:jc w:val="center"/>
              <w:rPr>
                <w:rFonts w:hint="eastAsia" w:ascii="宋体" w:hAnsi="宋体" w:eastAsia="宋体" w:cs="宋体"/>
                <w:color w:val="auto"/>
                <w:sz w:val="21"/>
                <w:szCs w:val="21"/>
                <w:highlight w:val="none"/>
                <w:vertAlign w:val="baseline"/>
                <w:lang w:val="en-US" w:eastAsia="zh-CN"/>
              </w:rPr>
            </w:pPr>
          </w:p>
        </w:tc>
      </w:tr>
      <w:tr w14:paraId="6FA3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36" w:type="pct"/>
            <w:noWrap/>
            <w:vAlign w:val="center"/>
          </w:tcPr>
          <w:p w14:paraId="75D778F1">
            <w:pPr>
              <w:widowControl/>
              <w:shd w:val="clea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649" w:type="pct"/>
            <w:noWrap/>
            <w:vAlign w:val="center"/>
          </w:tcPr>
          <w:p w14:paraId="48A7FB79">
            <w:pPr>
              <w:widowControl/>
              <w:shd w:val="clear"/>
              <w:jc w:val="center"/>
              <w:rPr>
                <w:rFonts w:hint="eastAsia" w:ascii="宋体" w:hAnsi="宋体" w:eastAsia="宋体" w:cs="宋体"/>
                <w:color w:val="auto"/>
                <w:kern w:val="2"/>
                <w:sz w:val="21"/>
                <w:szCs w:val="21"/>
                <w:highlight w:val="none"/>
                <w:vertAlign w:val="baseline"/>
                <w:lang w:val="en-US" w:eastAsia="zh-CN" w:bidi="ar-SA"/>
              </w:rPr>
            </w:pPr>
          </w:p>
        </w:tc>
        <w:tc>
          <w:tcPr>
            <w:tcW w:w="488" w:type="pct"/>
            <w:noWrap/>
            <w:vAlign w:val="center"/>
          </w:tcPr>
          <w:p w14:paraId="405EEDED">
            <w:pPr>
              <w:widowControl/>
              <w:shd w:val="clear"/>
              <w:jc w:val="both"/>
              <w:rPr>
                <w:rFonts w:hint="eastAsia" w:ascii="宋体" w:hAnsi="宋体" w:eastAsia="宋体" w:cs="宋体"/>
                <w:color w:val="auto"/>
                <w:sz w:val="21"/>
                <w:szCs w:val="21"/>
                <w:highlight w:val="none"/>
                <w:vertAlign w:val="baseline"/>
                <w:lang w:val="en-US" w:eastAsia="zh-CN"/>
              </w:rPr>
            </w:pPr>
          </w:p>
        </w:tc>
        <w:tc>
          <w:tcPr>
            <w:tcW w:w="679" w:type="pct"/>
            <w:noWrap/>
            <w:vAlign w:val="center"/>
          </w:tcPr>
          <w:p w14:paraId="2D2AB751">
            <w:pPr>
              <w:widowControl/>
              <w:shd w:val="clear"/>
              <w:jc w:val="center"/>
              <w:rPr>
                <w:rFonts w:hint="eastAsia" w:ascii="宋体" w:hAnsi="宋体" w:eastAsia="宋体" w:cs="宋体"/>
                <w:color w:val="auto"/>
                <w:sz w:val="21"/>
                <w:szCs w:val="21"/>
                <w:highlight w:val="none"/>
                <w:vertAlign w:val="baseline"/>
                <w:lang w:val="en-US" w:eastAsia="zh-CN"/>
              </w:rPr>
            </w:pPr>
          </w:p>
        </w:tc>
        <w:tc>
          <w:tcPr>
            <w:tcW w:w="349" w:type="pct"/>
            <w:noWrap/>
            <w:vAlign w:val="center"/>
          </w:tcPr>
          <w:p w14:paraId="741D16AC">
            <w:pPr>
              <w:widowControl/>
              <w:shd w:val="clear"/>
              <w:jc w:val="center"/>
              <w:rPr>
                <w:rFonts w:hint="eastAsia" w:ascii="宋体" w:hAnsi="宋体" w:eastAsia="宋体" w:cs="宋体"/>
                <w:color w:val="auto"/>
                <w:sz w:val="21"/>
                <w:szCs w:val="21"/>
                <w:highlight w:val="none"/>
                <w:vertAlign w:val="baseline"/>
                <w:lang w:val="en-US" w:eastAsia="zh-CN"/>
              </w:rPr>
            </w:pPr>
          </w:p>
        </w:tc>
        <w:tc>
          <w:tcPr>
            <w:tcW w:w="325" w:type="pct"/>
            <w:noWrap/>
            <w:vAlign w:val="center"/>
          </w:tcPr>
          <w:p w14:paraId="3048328C">
            <w:pPr>
              <w:widowControl/>
              <w:shd w:val="clear"/>
              <w:jc w:val="center"/>
              <w:rPr>
                <w:rFonts w:hint="eastAsia" w:ascii="宋体" w:hAnsi="宋体" w:eastAsia="宋体" w:cs="宋体"/>
                <w:color w:val="auto"/>
                <w:sz w:val="21"/>
                <w:szCs w:val="21"/>
                <w:highlight w:val="none"/>
                <w:vertAlign w:val="baseline"/>
                <w:lang w:val="en-US" w:eastAsia="zh-CN"/>
              </w:rPr>
            </w:pPr>
          </w:p>
        </w:tc>
        <w:tc>
          <w:tcPr>
            <w:tcW w:w="641" w:type="pct"/>
            <w:noWrap/>
            <w:vAlign w:val="center"/>
          </w:tcPr>
          <w:p w14:paraId="5466EA3C">
            <w:pPr>
              <w:widowControl/>
              <w:shd w:val="clear"/>
              <w:jc w:val="center"/>
              <w:rPr>
                <w:rFonts w:hint="eastAsia" w:ascii="宋体" w:hAnsi="宋体" w:eastAsia="宋体" w:cs="宋体"/>
                <w:color w:val="auto"/>
                <w:sz w:val="21"/>
                <w:szCs w:val="21"/>
                <w:highlight w:val="none"/>
                <w:vertAlign w:val="baseline"/>
                <w:lang w:val="en-US" w:eastAsia="zh-CN"/>
              </w:rPr>
            </w:pPr>
          </w:p>
        </w:tc>
        <w:tc>
          <w:tcPr>
            <w:tcW w:w="530" w:type="pct"/>
            <w:noWrap/>
            <w:vAlign w:val="center"/>
          </w:tcPr>
          <w:p w14:paraId="481EEEA9">
            <w:pPr>
              <w:widowControl/>
              <w:shd w:val="clear"/>
              <w:jc w:val="center"/>
              <w:rPr>
                <w:rFonts w:hint="eastAsia" w:ascii="宋体" w:hAnsi="宋体" w:eastAsia="宋体" w:cs="宋体"/>
                <w:color w:val="auto"/>
                <w:sz w:val="21"/>
                <w:szCs w:val="21"/>
                <w:highlight w:val="none"/>
                <w:vertAlign w:val="baseline"/>
                <w:lang w:val="en-US" w:eastAsia="zh-CN"/>
              </w:rPr>
            </w:pPr>
          </w:p>
        </w:tc>
      </w:tr>
      <w:tr w14:paraId="3ED1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8"/>
            <w:noWrap/>
            <w:vAlign w:val="center"/>
          </w:tcPr>
          <w:p w14:paraId="2D75BB03">
            <w:pPr>
              <w:widowControl/>
              <w:shd w:val="clear"/>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总金额：大写：人民币        </w:t>
            </w:r>
            <w:r>
              <w:rPr>
                <w:rFonts w:hint="eastAsia" w:ascii="宋体" w:hAnsi="宋体" w:eastAsia="宋体" w:cs="宋体"/>
                <w:color w:val="auto"/>
                <w:sz w:val="21"/>
                <w:szCs w:val="21"/>
                <w:highlight w:val="none"/>
                <w:u w:val="none"/>
                <w:vertAlign w:val="baseline"/>
                <w:lang w:val="en-US" w:eastAsia="zh-CN"/>
              </w:rPr>
              <w:t xml:space="preserve">     </w:t>
            </w:r>
            <w:r>
              <w:rPr>
                <w:rFonts w:hint="eastAsia" w:ascii="宋体" w:hAnsi="宋体" w:eastAsia="宋体" w:cs="宋体"/>
                <w:color w:val="auto"/>
                <w:sz w:val="21"/>
                <w:szCs w:val="21"/>
                <w:highlight w:val="none"/>
                <w:u w:val="none"/>
                <w:lang w:val="zh-CN"/>
              </w:rPr>
              <w:t>元</w:t>
            </w:r>
            <w:r>
              <w:rPr>
                <w:rFonts w:hint="eastAsia" w:ascii="宋体" w:hAnsi="宋体" w:eastAsia="宋体" w:cs="宋体"/>
                <w:color w:val="auto"/>
                <w:sz w:val="21"/>
                <w:szCs w:val="21"/>
                <w:highlight w:val="none"/>
                <w:u w:val="none"/>
                <w:lang w:val="en-US" w:eastAsia="zh-CN"/>
              </w:rPr>
              <w:t>（小写：</w:t>
            </w:r>
            <w:r>
              <w:rPr>
                <w:rFonts w:hint="eastAsia" w:ascii="宋体" w:hAnsi="宋体" w:eastAsia="宋体" w:cs="宋体"/>
                <w:color w:val="auto"/>
                <w:sz w:val="21"/>
                <w:szCs w:val="21"/>
                <w:highlight w:val="none"/>
                <w:u w:val="none"/>
                <w:lang w:val="zh-CN"/>
              </w:rPr>
              <w:t>¥</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vertAlign w:val="baseline"/>
                <w:lang w:val="en-US" w:eastAsia="zh-CN"/>
              </w:rPr>
              <w:t>元整）</w:t>
            </w:r>
          </w:p>
        </w:tc>
      </w:tr>
    </w:tbl>
    <w:p w14:paraId="62BDA33B">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本合同总价内包含的内容：货款、标准附件、专用工具、管理费、利润、安装调试费、包装、运输、装卸、相关验收费用、保险、税金、货到就位、技术指导、培训、服务费、检验费、设计费等完成招标内容及评审涉及的一切费用。</w:t>
      </w:r>
    </w:p>
    <w:p w14:paraId="476B85D0">
      <w:pPr>
        <w:shd w:val="clear"/>
        <w:spacing w:line="380" w:lineRule="exact"/>
        <w:ind w:firstLine="482" w:firstLineChars="200"/>
        <w:jc w:val="left"/>
        <w:rPr>
          <w:rFonts w:hint="eastAsia" w:ascii="宋体" w:hAnsi="宋体" w:eastAsia="宋体" w:cs="宋体"/>
          <w:b/>
          <w:bCs/>
          <w:color w:val="auto"/>
          <w:sz w:val="24"/>
          <w:highlight w:val="none"/>
        </w:rPr>
      </w:pPr>
      <w:bookmarkStart w:id="38" w:name="_Toc480884137"/>
      <w:r>
        <w:rPr>
          <w:rFonts w:hint="eastAsia" w:ascii="宋体" w:hAnsi="宋体" w:eastAsia="宋体" w:cs="宋体"/>
          <w:b/>
          <w:bCs/>
          <w:color w:val="auto"/>
          <w:sz w:val="24"/>
          <w:highlight w:val="none"/>
        </w:rPr>
        <w:t>第二条  供货、安装及验收</w:t>
      </w:r>
      <w:bookmarkEnd w:id="33"/>
      <w:bookmarkEnd w:id="34"/>
      <w:bookmarkEnd w:id="35"/>
      <w:bookmarkEnd w:id="36"/>
      <w:bookmarkEnd w:id="37"/>
      <w:bookmarkEnd w:id="38"/>
    </w:p>
    <w:p w14:paraId="12AE1902">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供货及安装时间。</w:t>
      </w:r>
      <w:r>
        <w:rPr>
          <w:rFonts w:hint="eastAsia" w:ascii="宋体" w:hAnsi="宋体" w:eastAsia="宋体" w:cs="宋体"/>
          <w:color w:val="auto"/>
          <w:sz w:val="24"/>
          <w:highlight w:val="none"/>
        </w:rPr>
        <w:t>自合同签订生效之日起10个日历天内供货50%（以数量计）；合同签订生效之日起20个日历天内完成全部货物的采购、供货；合同生效之日起30个日历天内完成安装调试以及交付验收；待验收通过后，30个日历天内完成设备使用人员的培训工作。</w:t>
      </w:r>
    </w:p>
    <w:p w14:paraId="6684F88F">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1.乙方</w:t>
      </w:r>
      <w:r>
        <w:rPr>
          <w:rFonts w:hint="eastAsia" w:ascii="宋体" w:hAnsi="宋体" w:eastAsia="宋体" w:cs="宋体"/>
          <w:color w:val="auto"/>
          <w:sz w:val="24"/>
          <w:highlight w:val="none"/>
        </w:rPr>
        <w:t>在施工过程中应严格遵守国家安全生产规范，杜绝安全事故的发生，</w:t>
      </w:r>
      <w:r>
        <w:rPr>
          <w:rFonts w:hint="eastAsia" w:ascii="宋体" w:hAnsi="宋体" w:eastAsia="宋体" w:cs="宋体"/>
          <w:color w:val="auto"/>
          <w:sz w:val="24"/>
          <w:highlight w:val="none"/>
          <w:lang w:val="en-US" w:eastAsia="zh-CN"/>
        </w:rPr>
        <w:t>并为施</w:t>
      </w:r>
      <w:r>
        <w:rPr>
          <w:rFonts w:hint="eastAsia" w:ascii="宋体" w:hAnsi="宋体" w:eastAsia="宋体" w:cs="宋体"/>
          <w:color w:val="auto"/>
          <w:sz w:val="24"/>
          <w:highlight w:val="none"/>
        </w:rPr>
        <w:t>工人</w:t>
      </w:r>
      <w:r>
        <w:rPr>
          <w:rFonts w:hint="eastAsia" w:ascii="宋体" w:hAnsi="宋体" w:eastAsia="宋体" w:cs="宋体"/>
          <w:color w:val="auto"/>
          <w:sz w:val="24"/>
          <w:highlight w:val="none"/>
          <w:lang w:val="en-US" w:eastAsia="zh-CN"/>
        </w:rPr>
        <w:t>员</w:t>
      </w:r>
      <w:r>
        <w:rPr>
          <w:rFonts w:hint="eastAsia" w:ascii="宋体" w:hAnsi="宋体" w:eastAsia="宋体" w:cs="宋体"/>
          <w:color w:val="auto"/>
          <w:sz w:val="24"/>
          <w:highlight w:val="none"/>
        </w:rPr>
        <w:t>投保人身意外伤害保险等。如发生安全生产事故由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承担一切责任，与</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无关。</w:t>
      </w:r>
    </w:p>
    <w:p w14:paraId="00A85B07">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（二）项目及产品的质量、技术标准按招标文件规定和投标文件承诺执行。</w:t>
      </w:r>
    </w:p>
    <w:p w14:paraId="01926F8B">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zh-CN"/>
        </w:rPr>
        <w:t>的货物必须为全新的，符合国家标准的合格产品，</w:t>
      </w:r>
      <w:r>
        <w:rPr>
          <w:rFonts w:hint="eastAsia" w:ascii="宋体" w:hAnsi="宋体" w:eastAsia="宋体" w:cs="宋体"/>
          <w:color w:val="auto"/>
          <w:sz w:val="24"/>
          <w:highlight w:val="none"/>
        </w:rPr>
        <w:t>产品及服务必须是经合法途径取得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zh-CN"/>
        </w:rPr>
        <w:t>不会侵犯任何第三方的知识产权和其它权益。如因此发生任何针对采购人的争议、索赔、诉讼等，生产的一切法律责任与费用均由中标人承担。</w:t>
      </w:r>
    </w:p>
    <w:p w14:paraId="0585D3A4">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应按现行的国家或行业技术及验收标准和招标文件的规定提供工程、货物或服务，因</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提供的工程、货物或服务达不到约定的质量标准，</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承担违约责任。</w:t>
      </w:r>
    </w:p>
    <w:p w14:paraId="15DD350F">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验收</w:t>
      </w:r>
    </w:p>
    <w:p w14:paraId="25545B71">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1．甲方对乙方提</w:t>
      </w:r>
      <w:r>
        <w:rPr>
          <w:rFonts w:hint="eastAsia" w:ascii="宋体" w:hAnsi="宋体" w:eastAsia="宋体" w:cs="宋体"/>
          <w:color w:val="auto"/>
          <w:sz w:val="24"/>
          <w:highlight w:val="none"/>
          <w:lang w:val="en-US" w:eastAsia="zh-CN"/>
        </w:rPr>
        <w:t>供</w:t>
      </w:r>
      <w:r>
        <w:rPr>
          <w:rFonts w:hint="eastAsia" w:ascii="宋体" w:hAnsi="宋体" w:eastAsia="宋体" w:cs="宋体"/>
          <w:color w:val="auto"/>
          <w:sz w:val="24"/>
          <w:highlight w:val="none"/>
        </w:rPr>
        <w:t>的货物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依据招标文件上的技术规格要求和国家有关质量标准进行现场初步验收，外观、说明书符合招标文件技术要求的，给予验收。</w:t>
      </w:r>
    </w:p>
    <w:p w14:paraId="169CAE94">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2．乙方交货前应对产品作出全面检查，提交验收文件清单，作为甲方收货验收和使用的技术条件依据，检验的结果应随货物交甲方。</w:t>
      </w:r>
    </w:p>
    <w:p w14:paraId="08846DF2">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3．甲方对乙方提供的货物在使用前进行调试时，乙方需负责协助甲方调试并培训甲方的使用操作人员，直到符合技术要求，甲方才做最终验收。</w:t>
      </w:r>
    </w:p>
    <w:p w14:paraId="628972BE">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4．验收时乙方必须在现场，验收完毕后作出验收结果报告，验收费用由乙方负责。 </w:t>
      </w:r>
    </w:p>
    <w:p w14:paraId="6B50269B">
      <w:pPr>
        <w:shd w:val="clear"/>
        <w:spacing w:line="380" w:lineRule="exact"/>
        <w:ind w:firstLine="482" w:firstLineChars="200"/>
        <w:jc w:val="left"/>
        <w:rPr>
          <w:rFonts w:hint="eastAsia" w:ascii="宋体" w:hAnsi="宋体" w:eastAsia="宋体" w:cs="宋体"/>
          <w:b/>
          <w:bCs/>
          <w:color w:val="auto"/>
          <w:sz w:val="24"/>
          <w:highlight w:val="none"/>
        </w:rPr>
      </w:pPr>
      <w:bookmarkStart w:id="39" w:name="_Toc340322175"/>
      <w:bookmarkStart w:id="40" w:name="_Toc25232"/>
      <w:bookmarkStart w:id="41" w:name="_Toc269217278"/>
      <w:bookmarkStart w:id="42" w:name="_Toc340321920"/>
      <w:bookmarkStart w:id="43" w:name="_Toc339302136"/>
      <w:bookmarkStart w:id="44" w:name="_Toc480884138"/>
      <w:r>
        <w:rPr>
          <w:rFonts w:hint="eastAsia" w:ascii="宋体" w:hAnsi="宋体" w:eastAsia="宋体" w:cs="宋体"/>
          <w:b/>
          <w:bCs/>
          <w:color w:val="auto"/>
          <w:sz w:val="24"/>
          <w:highlight w:val="none"/>
        </w:rPr>
        <w:t>第三条  售后服务</w:t>
      </w:r>
      <w:bookmarkEnd w:id="39"/>
      <w:bookmarkEnd w:id="40"/>
      <w:bookmarkEnd w:id="41"/>
      <w:bookmarkEnd w:id="42"/>
      <w:bookmarkEnd w:id="43"/>
      <w:bookmarkEnd w:id="44"/>
    </w:p>
    <w:p w14:paraId="5F5DE20F">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（一）本项目所采购的设备及相关服务质保期从项目验收合格之日开始计算，期限为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rPr>
        <w:t>（原厂质保超过3年的按照原厂质保期限提供质保），在质保期内</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应免费上门对损坏的部件或设备进行维修、安装、更换、调试等；质保期内免费更换的设备零部质保期应自更换之日起计不少于3年。</w:t>
      </w:r>
    </w:p>
    <w:p w14:paraId="32F02AE9">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（二）保修期外，乙方承诺提供终身服务。</w:t>
      </w:r>
    </w:p>
    <w:p w14:paraId="287F7262">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（三）备品备件供应：</w:t>
      </w:r>
    </w:p>
    <w:p w14:paraId="69C0E001">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1．乙方供货时应根据投标文件的承诺提供一定量的常用备品备件给采购人。</w:t>
      </w:r>
    </w:p>
    <w:p w14:paraId="2FFD3B85">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2．确保有足够的原厂备件、附件和易损件满足采购人正常使用需求。</w:t>
      </w:r>
    </w:p>
    <w:p w14:paraId="2D3E1AEF">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3．乙方应按照甲方要求在投标时承诺提供常用备件、附件和易损件，并明确承诺优惠供货价格。</w:t>
      </w:r>
    </w:p>
    <w:p w14:paraId="13A9A56F">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（四）其他售后服务标准按照乙方投标承诺的服务计划实施。</w:t>
      </w:r>
    </w:p>
    <w:p w14:paraId="3EE0C1A3">
      <w:pPr>
        <w:shd w:val="clear"/>
        <w:spacing w:line="380" w:lineRule="exact"/>
        <w:ind w:firstLine="482" w:firstLineChars="200"/>
        <w:jc w:val="left"/>
        <w:rPr>
          <w:rFonts w:hint="eastAsia" w:ascii="宋体" w:hAnsi="宋体" w:eastAsia="宋体" w:cs="宋体"/>
          <w:b/>
          <w:bCs/>
          <w:color w:val="auto"/>
          <w:sz w:val="24"/>
          <w:highlight w:val="none"/>
        </w:rPr>
      </w:pPr>
      <w:bookmarkStart w:id="45" w:name="_Toc340322176"/>
      <w:bookmarkStart w:id="46" w:name="_Toc339302137"/>
      <w:bookmarkStart w:id="47" w:name="_Toc28298"/>
      <w:bookmarkStart w:id="48" w:name="_Toc480884140"/>
      <w:bookmarkStart w:id="49" w:name="_Toc269217280"/>
      <w:bookmarkStart w:id="50" w:name="_Toc340321921"/>
      <w:r>
        <w:rPr>
          <w:rFonts w:hint="eastAsia" w:ascii="宋体" w:hAnsi="宋体" w:eastAsia="宋体" w:cs="宋体"/>
          <w:b/>
          <w:bCs/>
          <w:color w:val="auto"/>
          <w:sz w:val="24"/>
          <w:highlight w:val="none"/>
        </w:rPr>
        <w:t>第四条 付款方法</w:t>
      </w:r>
      <w:bookmarkEnd w:id="45"/>
      <w:bookmarkEnd w:id="46"/>
      <w:bookmarkEnd w:id="47"/>
      <w:bookmarkEnd w:id="48"/>
      <w:bookmarkEnd w:id="49"/>
      <w:bookmarkEnd w:id="50"/>
    </w:p>
    <w:p w14:paraId="5833D634">
      <w:pPr>
        <w:shd w:val="clear"/>
        <w:spacing w:line="380" w:lineRule="exact"/>
        <w:ind w:firstLine="480" w:firstLineChars="200"/>
        <w:jc w:val="left"/>
        <w:rPr>
          <w:rFonts w:hint="eastAsia" w:ascii="宋体" w:hAnsi="宋体" w:eastAsia="宋体" w:cs="宋体"/>
          <w:color w:val="auto"/>
          <w:sz w:val="24"/>
          <w:highlight w:val="none"/>
        </w:rPr>
      </w:pPr>
      <w:bookmarkStart w:id="51" w:name="_Toc339302138"/>
      <w:bookmarkStart w:id="52" w:name="_Toc28139"/>
      <w:bookmarkStart w:id="53" w:name="_Toc269217281"/>
      <w:bookmarkStart w:id="54" w:name="_Toc340322177"/>
      <w:bookmarkStart w:id="55" w:name="_Toc340321922"/>
      <w:r>
        <w:rPr>
          <w:rFonts w:hint="eastAsia" w:ascii="宋体" w:hAnsi="宋体" w:eastAsia="宋体" w:cs="宋体"/>
          <w:color w:val="auto"/>
          <w:sz w:val="24"/>
          <w:highlight w:val="none"/>
        </w:rPr>
        <w:t>（一）合同履约保证金：签订合同前向采购人缴纳合同金额的1%作为履约保证金，项目验收合格后退还。</w:t>
      </w:r>
    </w:p>
    <w:p w14:paraId="3ABC7994">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（二）付款方式：合同生效且具备实施条件之日起7个工作日内，向中标人支付合同总额的</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0%作为预付款；通过验收合格之日起7个工作日内支付剩余应付合同款。</w:t>
      </w:r>
    </w:p>
    <w:p w14:paraId="184F0569">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①合同签订时，中标人明确表示无需预付款或者主动降低预付款比例的，采购人将根据情况调整预付款及其他期合同款的支付。②未通过相应产品验收的，采购人有权不支付对应的合同款项。③实际供货数量以项目实际发生量为准。</w:t>
      </w:r>
    </w:p>
    <w:p w14:paraId="4082FA7F">
      <w:pPr>
        <w:shd w:val="clear"/>
        <w:spacing w:line="380" w:lineRule="exact"/>
        <w:ind w:firstLine="482" w:firstLineChars="200"/>
        <w:jc w:val="left"/>
        <w:rPr>
          <w:rFonts w:hint="eastAsia" w:ascii="宋体" w:hAnsi="宋体" w:eastAsia="宋体" w:cs="宋体"/>
          <w:b/>
          <w:bCs/>
          <w:color w:val="auto"/>
          <w:sz w:val="24"/>
          <w:highlight w:val="none"/>
        </w:rPr>
      </w:pPr>
      <w:bookmarkStart w:id="56" w:name="_Toc480884141"/>
      <w:r>
        <w:rPr>
          <w:rFonts w:hint="eastAsia" w:ascii="宋体" w:hAnsi="宋体" w:eastAsia="宋体" w:cs="宋体"/>
          <w:b/>
          <w:bCs/>
          <w:color w:val="auto"/>
          <w:sz w:val="24"/>
          <w:highlight w:val="none"/>
        </w:rPr>
        <w:t>第五条  违约责任</w:t>
      </w:r>
      <w:bookmarkEnd w:id="51"/>
      <w:bookmarkEnd w:id="52"/>
      <w:bookmarkEnd w:id="53"/>
      <w:bookmarkEnd w:id="54"/>
      <w:bookmarkEnd w:id="55"/>
      <w:bookmarkEnd w:id="56"/>
    </w:p>
    <w:p w14:paraId="0ACAFB94">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（一）如乙方在合同期间有未能达到甲方的招标文件所明示的采购要求之行为的，除责令改正外，甲方即有权单方解除本合同。</w:t>
      </w:r>
    </w:p>
    <w:p w14:paraId="5CC06650">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（二）甲方未按约定时间及时付款（有正当理由的除外），每逾期一天，甲方支付200元违约金。</w:t>
      </w:r>
    </w:p>
    <w:p w14:paraId="053A3288">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乙方未在约定时间按质供货并安装调试完毕且验收合格的（有正当理由的除外），每逾期一天，则按每天200元向甲方支付违约金，如违约金不足以抵付甲方造成的经济损失，乙方还应另行作出相应赔偿。与此同时，甲方还有权视情形作出解除本合同，乙方因此给甲方造成其他经济损失的，则乙方还应作出相应赔偿。</w:t>
      </w:r>
    </w:p>
    <w:p w14:paraId="04B7AE69">
      <w:pPr>
        <w:shd w:val="clear"/>
        <w:spacing w:line="380" w:lineRule="exact"/>
        <w:ind w:firstLine="482" w:firstLineChars="200"/>
        <w:jc w:val="left"/>
        <w:rPr>
          <w:rFonts w:hint="eastAsia" w:ascii="宋体" w:hAnsi="宋体" w:eastAsia="宋体" w:cs="宋体"/>
          <w:b/>
          <w:bCs/>
          <w:color w:val="auto"/>
          <w:sz w:val="24"/>
          <w:highlight w:val="none"/>
        </w:rPr>
      </w:pPr>
      <w:bookmarkStart w:id="57" w:name="_Toc340322178"/>
      <w:bookmarkStart w:id="58" w:name="_Toc339302139"/>
      <w:bookmarkStart w:id="59" w:name="_Toc15180"/>
      <w:bookmarkStart w:id="60" w:name="_Toc269217282"/>
      <w:bookmarkStart w:id="61" w:name="_Toc480884142"/>
      <w:bookmarkStart w:id="62" w:name="_Toc340321923"/>
      <w:r>
        <w:rPr>
          <w:rFonts w:hint="eastAsia" w:ascii="宋体" w:hAnsi="宋体" w:eastAsia="宋体" w:cs="宋体"/>
          <w:b/>
          <w:bCs/>
          <w:color w:val="auto"/>
          <w:sz w:val="24"/>
          <w:highlight w:val="none"/>
        </w:rPr>
        <w:t>第六条 合同相关文件</w:t>
      </w:r>
      <w:bookmarkEnd w:id="57"/>
      <w:bookmarkEnd w:id="58"/>
      <w:bookmarkEnd w:id="59"/>
      <w:bookmarkEnd w:id="60"/>
      <w:bookmarkEnd w:id="61"/>
      <w:bookmarkEnd w:id="62"/>
    </w:p>
    <w:p w14:paraId="0C17BD55">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有关本次采购项目的采购文件以及相关的函件如答疑函、承诺函等均为本合同不可分割的一部份。</w:t>
      </w:r>
      <w:bookmarkStart w:id="63" w:name="_Toc339302140"/>
      <w:bookmarkStart w:id="64" w:name="_Toc340322179"/>
      <w:bookmarkStart w:id="65" w:name="_Toc340321924"/>
    </w:p>
    <w:p w14:paraId="2B879832">
      <w:pPr>
        <w:shd w:val="clear"/>
        <w:spacing w:line="380" w:lineRule="exact"/>
        <w:ind w:firstLine="482" w:firstLineChars="200"/>
        <w:jc w:val="left"/>
        <w:rPr>
          <w:rFonts w:hint="eastAsia" w:ascii="宋体" w:hAnsi="宋体" w:eastAsia="宋体" w:cs="宋体"/>
          <w:b/>
          <w:bCs/>
          <w:color w:val="auto"/>
          <w:sz w:val="24"/>
          <w:highlight w:val="none"/>
        </w:rPr>
      </w:pPr>
      <w:bookmarkStart w:id="66" w:name="_Toc480884143"/>
      <w:r>
        <w:rPr>
          <w:rFonts w:hint="eastAsia" w:ascii="宋体" w:hAnsi="宋体" w:eastAsia="宋体" w:cs="宋体"/>
          <w:b/>
          <w:bCs/>
          <w:color w:val="auto"/>
          <w:sz w:val="24"/>
          <w:highlight w:val="none"/>
        </w:rPr>
        <w:t>第七条  争议解决</w:t>
      </w:r>
      <w:bookmarkEnd w:id="63"/>
      <w:bookmarkEnd w:id="64"/>
      <w:bookmarkEnd w:id="65"/>
      <w:bookmarkEnd w:id="66"/>
    </w:p>
    <w:p w14:paraId="031F9322">
      <w:pPr>
        <w:shd w:val="clear"/>
        <w:spacing w:line="38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w:t>
      </w:r>
      <w:r>
        <w:rPr>
          <w:rFonts w:hint="eastAsia" w:ascii="宋体" w:hAnsi="宋体" w:eastAsia="宋体" w:cs="宋体"/>
          <w:color w:val="auto"/>
          <w:sz w:val="24"/>
          <w:highlight w:val="none"/>
          <w:lang w:eastAsia="zh-CN"/>
        </w:rPr>
        <w:t>向嵊州市仲裁委员会申请仲裁</w:t>
      </w:r>
      <w:r>
        <w:rPr>
          <w:rFonts w:hint="eastAsia" w:ascii="宋体" w:hAnsi="宋体" w:eastAsia="宋体" w:cs="宋体"/>
          <w:color w:val="auto"/>
          <w:sz w:val="24"/>
          <w:highlight w:val="none"/>
        </w:rPr>
        <w:t>解决</w:t>
      </w:r>
      <w:r>
        <w:rPr>
          <w:rFonts w:hint="eastAsia" w:ascii="宋体" w:hAnsi="宋体" w:eastAsia="宋体" w:cs="宋体"/>
          <w:color w:val="auto"/>
          <w:sz w:val="24"/>
          <w:highlight w:val="none"/>
          <w:lang w:eastAsia="zh-CN"/>
        </w:rPr>
        <w:t>。</w:t>
      </w:r>
    </w:p>
    <w:p w14:paraId="577325C6">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w:t>
      </w:r>
      <w:r>
        <w:rPr>
          <w:rFonts w:hint="eastAsia" w:ascii="宋体" w:hAnsi="宋体" w:eastAsia="宋体" w:cs="宋体"/>
          <w:color w:val="auto"/>
          <w:sz w:val="24"/>
          <w:highlight w:val="none"/>
          <w:lang w:eastAsia="zh-CN"/>
        </w:rPr>
        <w:t>甲乙双方</w:t>
      </w:r>
      <w:r>
        <w:rPr>
          <w:rFonts w:hint="eastAsia" w:ascii="宋体" w:hAnsi="宋体" w:eastAsia="宋体" w:cs="宋体"/>
          <w:color w:val="auto"/>
          <w:sz w:val="24"/>
          <w:highlight w:val="none"/>
        </w:rPr>
        <w:t>有争议的事项不影响合同其他部分的履行，在争议解决期间，合同其他部分应</w:t>
      </w:r>
      <w:r>
        <w:rPr>
          <w:rFonts w:hint="eastAsia" w:ascii="宋体" w:hAnsi="宋体" w:eastAsia="宋体" w:cs="宋体"/>
          <w:color w:val="auto"/>
          <w:sz w:val="24"/>
          <w:highlight w:val="none"/>
          <w:lang w:eastAsia="zh-CN"/>
        </w:rPr>
        <w:t>当</w:t>
      </w:r>
      <w:r>
        <w:rPr>
          <w:rFonts w:hint="eastAsia" w:ascii="宋体" w:hAnsi="宋体" w:eastAsia="宋体" w:cs="宋体"/>
          <w:color w:val="auto"/>
          <w:sz w:val="24"/>
          <w:highlight w:val="none"/>
        </w:rPr>
        <w:t>继续履行。</w:t>
      </w:r>
    </w:p>
    <w:p w14:paraId="73752375">
      <w:pPr>
        <w:shd w:val="clear"/>
        <w:spacing w:line="380" w:lineRule="exact"/>
        <w:ind w:firstLine="482" w:firstLineChars="200"/>
        <w:jc w:val="left"/>
        <w:rPr>
          <w:rFonts w:hint="eastAsia" w:ascii="宋体" w:hAnsi="宋体" w:eastAsia="宋体" w:cs="宋体"/>
          <w:b/>
          <w:bCs/>
          <w:color w:val="auto"/>
          <w:sz w:val="24"/>
          <w:highlight w:val="none"/>
        </w:rPr>
      </w:pPr>
      <w:bookmarkStart w:id="67" w:name="_Toc339302141"/>
      <w:bookmarkStart w:id="68" w:name="_Toc340322180"/>
      <w:bookmarkStart w:id="69" w:name="_Toc340321925"/>
      <w:bookmarkStart w:id="70" w:name="_Toc480884144"/>
      <w:r>
        <w:rPr>
          <w:rFonts w:hint="eastAsia" w:ascii="宋体" w:hAnsi="宋体" w:eastAsia="宋体" w:cs="宋体"/>
          <w:b/>
          <w:bCs/>
          <w:color w:val="auto"/>
          <w:sz w:val="24"/>
          <w:highlight w:val="none"/>
        </w:rPr>
        <w:t>第八条 免责条款</w:t>
      </w:r>
      <w:bookmarkEnd w:id="67"/>
      <w:bookmarkEnd w:id="68"/>
      <w:bookmarkEnd w:id="69"/>
      <w:bookmarkEnd w:id="70"/>
    </w:p>
    <w:p w14:paraId="5780B69A">
      <w:pPr>
        <w:shd w:val="clear"/>
        <w:spacing w:line="380" w:lineRule="exact"/>
        <w:ind w:firstLine="480" w:firstLineChars="20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因自然灾害和不可抗力因素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由于不可抗力导致协议不能或者没有必要继续履行的，本协议可由双方协商解除。</w:t>
      </w:r>
    </w:p>
    <w:p w14:paraId="3D93006F">
      <w:pPr>
        <w:shd w:val="clear"/>
        <w:spacing w:line="380" w:lineRule="exact"/>
        <w:ind w:firstLine="482" w:firstLineChars="200"/>
        <w:jc w:val="left"/>
        <w:rPr>
          <w:rFonts w:hint="eastAsia" w:ascii="宋体" w:hAnsi="宋体" w:eastAsia="宋体" w:cs="宋体"/>
          <w:b/>
          <w:bCs/>
          <w:color w:val="auto"/>
          <w:sz w:val="24"/>
          <w:highlight w:val="none"/>
        </w:rPr>
      </w:pPr>
      <w:bookmarkStart w:id="71" w:name="_Toc339302142"/>
      <w:bookmarkStart w:id="72" w:name="_Toc340322181"/>
      <w:bookmarkStart w:id="73" w:name="_Toc480884145"/>
      <w:bookmarkStart w:id="74" w:name="_Toc340321926"/>
      <w:r>
        <w:rPr>
          <w:rFonts w:hint="eastAsia" w:ascii="宋体" w:hAnsi="宋体" w:eastAsia="宋体" w:cs="宋体"/>
          <w:b/>
          <w:bCs/>
          <w:color w:val="auto"/>
          <w:sz w:val="24"/>
          <w:highlight w:val="none"/>
        </w:rPr>
        <w:t>第九条 协议生效</w:t>
      </w:r>
      <w:bookmarkEnd w:id="71"/>
      <w:bookmarkEnd w:id="72"/>
      <w:bookmarkEnd w:id="73"/>
      <w:bookmarkEnd w:id="74"/>
    </w:p>
    <w:p w14:paraId="349214CF">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本协议及所含附件自双方签订之日即生效。</w:t>
      </w:r>
    </w:p>
    <w:p w14:paraId="20450542">
      <w:pPr>
        <w:shd w:val="clear"/>
        <w:spacing w:line="380" w:lineRule="exact"/>
        <w:ind w:firstLine="482" w:firstLineChars="200"/>
        <w:jc w:val="left"/>
        <w:rPr>
          <w:rFonts w:hint="eastAsia" w:ascii="宋体" w:hAnsi="宋体" w:eastAsia="宋体" w:cs="宋体"/>
          <w:b/>
          <w:bCs/>
          <w:color w:val="auto"/>
          <w:sz w:val="24"/>
          <w:highlight w:val="none"/>
        </w:rPr>
      </w:pPr>
      <w:bookmarkStart w:id="75" w:name="_Toc480884146"/>
      <w:bookmarkStart w:id="76" w:name="_Toc339302143"/>
      <w:bookmarkStart w:id="77" w:name="_Toc340322182"/>
      <w:bookmarkStart w:id="78" w:name="_Toc340321927"/>
      <w:r>
        <w:rPr>
          <w:rFonts w:hint="eastAsia" w:ascii="宋体" w:hAnsi="宋体" w:eastAsia="宋体" w:cs="宋体"/>
          <w:b/>
          <w:bCs/>
          <w:color w:val="auto"/>
          <w:sz w:val="24"/>
          <w:highlight w:val="none"/>
        </w:rPr>
        <w:t>第十条  附  则</w:t>
      </w:r>
      <w:bookmarkEnd w:id="75"/>
      <w:bookmarkEnd w:id="76"/>
      <w:bookmarkEnd w:id="77"/>
      <w:bookmarkEnd w:id="78"/>
    </w:p>
    <w:p w14:paraId="549EB0D3">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（一）协议正本条款受国家《中华人民共和国民法典》的保护。</w:t>
      </w:r>
    </w:p>
    <w:p w14:paraId="608B71E2">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（二）未经甲乙双方书面确认，任何一方不得自行变更或修改本协议。甲方委托相关学校负责本项目的施工、协调、监督、验收等具体事项。</w:t>
      </w:r>
    </w:p>
    <w:p w14:paraId="0AE009C5">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合同在执行过程中出现的未尽事宜，遵照《中华人民共和国民法典》有关条文，双方在不违背本合同和招标文件的原则下，协商解决，协商结果以书面形式盖章记录在案，作为本合同的附件，具有同等效力。</w:t>
      </w:r>
    </w:p>
    <w:p w14:paraId="6ECE61D3">
      <w:pPr>
        <w:shd w:val="clear"/>
        <w:spacing w:line="3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（四）本协议一式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合同附件和本合同均具有同等法律效力。</w:t>
      </w:r>
    </w:p>
    <w:p w14:paraId="01D5278C">
      <w:pPr>
        <w:shd w:val="clear"/>
        <w:spacing w:line="360" w:lineRule="auto"/>
        <w:ind w:firstLine="720" w:firstLineChars="300"/>
        <w:rPr>
          <w:rFonts w:hint="eastAsia" w:ascii="宋体" w:hAnsi="宋体" w:eastAsia="宋体" w:cs="宋体"/>
          <w:color w:val="auto"/>
          <w:sz w:val="24"/>
          <w:highlight w:val="none"/>
        </w:rPr>
      </w:pPr>
    </w:p>
    <w:p w14:paraId="6616D5B8">
      <w:pPr>
        <w:shd w:val="clear"/>
        <w:spacing w:line="24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14:paraId="0C671922">
      <w:pPr>
        <w:shd w:val="clear"/>
        <w:spacing w:line="240" w:lineRule="auto"/>
        <w:ind w:left="239" w:leftChars="114" w:firstLine="477" w:firstLineChars="19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法定代表人或受委托人                 法定代表人或受委托人</w:t>
      </w:r>
    </w:p>
    <w:p w14:paraId="56D35A44">
      <w:pPr>
        <w:shd w:val="clear"/>
        <w:spacing w:line="240" w:lineRule="auto"/>
        <w:ind w:left="239" w:leftChars="114"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（签名或盖章）                      （签名或盖章）</w:t>
      </w:r>
    </w:p>
    <w:p w14:paraId="1D3CB9E9">
      <w:pPr>
        <w:shd w:val="clear"/>
        <w:spacing w:line="240" w:lineRule="auto"/>
        <w:ind w:left="239" w:leftChars="114" w:firstLine="477" w:firstLineChars="19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地址： </w:t>
      </w:r>
    </w:p>
    <w:p w14:paraId="74A0DA84">
      <w:pPr>
        <w:shd w:val="clear"/>
        <w:spacing w:line="240" w:lineRule="auto"/>
        <w:ind w:left="239" w:leftChars="114" w:firstLine="477" w:firstLineChars="199"/>
        <w:rPr>
          <w:rFonts w:hint="eastAsia" w:ascii="宋体" w:hAnsi="宋体" w:eastAsia="宋体" w:cs="宋体"/>
          <w:color w:val="auto"/>
          <w:sz w:val="24"/>
          <w:highlight w:val="none"/>
        </w:rPr>
      </w:pPr>
      <w:r>
        <w:rPr>
          <w:rFonts w:hint="eastAsia" w:ascii="宋体" w:hAnsi="宋体" w:eastAsia="宋体" w:cs="宋体"/>
          <w:color w:val="auto"/>
          <w:sz w:val="24"/>
          <w:highlight w:val="none"/>
        </w:rPr>
        <w:t>邮编：                               邮编：</w:t>
      </w:r>
    </w:p>
    <w:p w14:paraId="6E68E0FE">
      <w:pPr>
        <w:shd w:val="clear"/>
        <w:spacing w:line="240" w:lineRule="auto"/>
        <w:ind w:left="239" w:leftChars="114" w:firstLine="477" w:firstLineChars="199"/>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14:paraId="50C6D73F">
      <w:pPr>
        <w:shd w:val="clear"/>
        <w:spacing w:line="240" w:lineRule="auto"/>
        <w:ind w:left="239" w:leftChars="114" w:firstLine="477" w:firstLineChars="199"/>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14:paraId="30CA30DC">
      <w:pPr>
        <w:shd w:val="clear"/>
        <w:spacing w:line="240" w:lineRule="auto"/>
        <w:ind w:left="239" w:leftChars="114" w:firstLine="477" w:firstLineChars="199"/>
        <w:rPr>
          <w:rFonts w:hint="eastAsia" w:ascii="宋体" w:hAnsi="宋体" w:eastAsia="宋体" w:cs="宋体"/>
          <w:color w:val="auto"/>
          <w:sz w:val="24"/>
          <w:highlight w:val="none"/>
        </w:rPr>
      </w:pPr>
      <w:r>
        <w:rPr>
          <w:rFonts w:hint="eastAsia" w:ascii="宋体" w:hAnsi="宋体" w:cs="宋体"/>
          <w:color w:val="auto"/>
          <w:sz w:val="24"/>
          <w:highlight w:val="none"/>
          <w:lang w:eastAsia="zh-CN"/>
        </w:rPr>
        <w:t>账号</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账号</w:t>
      </w:r>
      <w:r>
        <w:rPr>
          <w:rFonts w:hint="eastAsia" w:ascii="宋体" w:hAnsi="宋体" w:eastAsia="宋体" w:cs="宋体"/>
          <w:color w:val="auto"/>
          <w:sz w:val="24"/>
          <w:highlight w:val="none"/>
        </w:rPr>
        <w:t>：</w:t>
      </w:r>
    </w:p>
    <w:p w14:paraId="4EA06FE0">
      <w:pPr>
        <w:shd w:val="clear"/>
        <w:spacing w:line="24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                        年   月   日</w:t>
      </w:r>
    </w:p>
    <w:p w14:paraId="152FECCD">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286F50E9">
      <w:pPr>
        <w:shd w:val="clea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38D5363C">
      <w:pPr>
        <w:keepNext w:val="0"/>
        <w:keepLines w:val="0"/>
        <w:pageBreakBefore w:val="0"/>
        <w:widowControl w:val="0"/>
        <w:shd w:val="clea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评标方法及标准</w:t>
      </w:r>
    </w:p>
    <w:p w14:paraId="6564DA6E">
      <w:pPr>
        <w:keepNext w:val="0"/>
        <w:keepLines w:val="0"/>
        <w:pageBreakBefore w:val="0"/>
        <w:widowControl w:val="0"/>
        <w:shd w:val="clear"/>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1、评标方法：</w:t>
      </w:r>
    </w:p>
    <w:p w14:paraId="794723AC">
      <w:pPr>
        <w:keepNext w:val="0"/>
        <w:keepLines w:val="0"/>
        <w:pageBreakBefore w:val="0"/>
        <w:widowControl w:val="0"/>
        <w:shd w:val="clear"/>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9675C8C">
      <w:pPr>
        <w:keepNext w:val="0"/>
        <w:keepLines w:val="0"/>
        <w:pageBreakBefore w:val="0"/>
        <w:widowControl w:val="0"/>
        <w:shd w:val="clear"/>
        <w:kinsoku/>
        <w:wordWrap/>
        <w:overflowPunct/>
        <w:topLinePunct w:val="0"/>
        <w:autoSpaceDE/>
        <w:autoSpaceDN/>
        <w:bidi w:val="0"/>
        <w:adjustRightInd w:val="0"/>
        <w:snapToGrid/>
        <w:spacing w:line="440" w:lineRule="exact"/>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DEF5E30">
      <w:pPr>
        <w:keepNext w:val="0"/>
        <w:keepLines w:val="0"/>
        <w:pageBreakBefore w:val="0"/>
        <w:widowControl w:val="0"/>
        <w:shd w:val="clear"/>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32B9BA2A">
      <w:pPr>
        <w:keepNext w:val="0"/>
        <w:keepLines w:val="0"/>
        <w:pageBreakBefore w:val="0"/>
        <w:widowControl w:val="0"/>
        <w:shd w:val="clear"/>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2.评分标准：</w:t>
      </w:r>
      <w:r>
        <w:rPr>
          <w:rFonts w:hint="eastAsia" w:ascii="宋体" w:hAnsi="宋体" w:eastAsia="宋体" w:cs="宋体"/>
          <w:color w:val="auto"/>
          <w:sz w:val="24"/>
          <w:highlight w:val="none"/>
        </w:rPr>
        <w:t>共100分，其中商务技术分</w:t>
      </w:r>
      <w:r>
        <w:rPr>
          <w:rFonts w:hint="eastAsia" w:ascii="宋体" w:hAnsi="宋体" w:cs="宋体"/>
          <w:color w:val="auto"/>
          <w:sz w:val="24"/>
          <w:highlight w:val="none"/>
          <w:u w:val="single"/>
          <w:lang w:val="en-US" w:eastAsia="zh-CN"/>
        </w:rPr>
        <w:t>70</w:t>
      </w:r>
      <w:r>
        <w:rPr>
          <w:rFonts w:hint="eastAsia" w:ascii="宋体" w:hAnsi="宋体" w:eastAsia="宋体" w:cs="宋体"/>
          <w:color w:val="auto"/>
          <w:sz w:val="24"/>
          <w:highlight w:val="none"/>
        </w:rPr>
        <w:t>分，价格分</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rPr>
        <w:t>分。评分依下述所列为评标打分依据，分值如下（计算分值时，按其算术平均值保留小数2位）。</w:t>
      </w:r>
    </w:p>
    <w:p w14:paraId="13DC8D5D">
      <w:pPr>
        <w:keepNext w:val="0"/>
        <w:keepLines w:val="0"/>
        <w:pageBreakBefore w:val="0"/>
        <w:widowControl w:val="0"/>
        <w:shd w:val="clear"/>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b/>
          <w:bCs/>
          <w:iCs/>
          <w:color w:val="auto"/>
          <w:sz w:val="24"/>
          <w:highlight w:val="none"/>
        </w:rPr>
      </w:pPr>
      <w:r>
        <w:rPr>
          <w:rFonts w:hint="eastAsia" w:ascii="宋体" w:hAnsi="宋体" w:eastAsia="宋体" w:cs="宋体"/>
          <w:b/>
          <w:bCs/>
          <w:iCs/>
          <w:color w:val="auto"/>
          <w:sz w:val="24"/>
          <w:highlight w:val="none"/>
        </w:rPr>
        <w:t>2.1商务技术分</w:t>
      </w:r>
    </w:p>
    <w:p w14:paraId="51AE2876">
      <w:pPr>
        <w:pStyle w:val="2"/>
        <w:shd w:val="clear"/>
        <w:rPr>
          <w:rFonts w:hint="default" w:eastAsia="宋体"/>
          <w:color w:val="auto"/>
          <w:sz w:val="28"/>
          <w:szCs w:val="28"/>
          <w:highlight w:val="none"/>
          <w:lang w:val="en-US" w:eastAsia="zh-CN"/>
        </w:rPr>
      </w:pPr>
      <w:r>
        <w:rPr>
          <w:rFonts w:hint="eastAsia" w:ascii="宋体" w:hAnsi="宋体" w:eastAsia="宋体" w:cs="宋体"/>
          <w:b/>
          <w:bCs/>
          <w:iCs/>
          <w:color w:val="auto"/>
          <w:sz w:val="22"/>
          <w:szCs w:val="28"/>
          <w:highlight w:val="none"/>
          <w:lang w:val="en-US" w:eastAsia="zh-CN"/>
        </w:rPr>
        <w:t>2.1.1标项一商务技术分（70分）</w:t>
      </w:r>
    </w:p>
    <w:tbl>
      <w:tblPr>
        <w:tblStyle w:val="64"/>
        <w:tblW w:w="9344" w:type="dxa"/>
        <w:tblInd w:w="8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2"/>
        <w:gridCol w:w="887"/>
        <w:gridCol w:w="6749"/>
        <w:gridCol w:w="976"/>
      </w:tblGrid>
      <w:tr w14:paraId="545BA0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2" w:type="dxa"/>
            <w:tcBorders>
              <w:top w:val="single" w:color="auto" w:sz="2" w:space="0"/>
              <w:left w:val="single" w:color="auto" w:sz="2" w:space="0"/>
              <w:bottom w:val="single" w:color="auto" w:sz="2" w:space="0"/>
              <w:right w:val="single" w:color="auto" w:sz="2" w:space="0"/>
            </w:tcBorders>
            <w:noWrap w:val="0"/>
            <w:vAlign w:val="center"/>
          </w:tcPr>
          <w:p w14:paraId="10D4F65A">
            <w:pPr>
              <w:keepNext w:val="0"/>
              <w:keepLines w:val="0"/>
              <w:pageBreakBefore w:val="0"/>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序号</w:t>
            </w:r>
          </w:p>
        </w:tc>
        <w:tc>
          <w:tcPr>
            <w:tcW w:w="887" w:type="dxa"/>
            <w:tcBorders>
              <w:top w:val="single" w:color="auto" w:sz="2" w:space="0"/>
              <w:left w:val="single" w:color="auto" w:sz="2" w:space="0"/>
              <w:bottom w:val="single" w:color="auto" w:sz="2" w:space="0"/>
              <w:right w:val="single" w:color="auto" w:sz="2" w:space="0"/>
            </w:tcBorders>
            <w:noWrap w:val="0"/>
            <w:vAlign w:val="center"/>
          </w:tcPr>
          <w:p w14:paraId="1F4E5966">
            <w:pPr>
              <w:keepNext w:val="0"/>
              <w:keepLines w:val="0"/>
              <w:pageBreakBefore w:val="0"/>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评审内容</w:t>
            </w:r>
          </w:p>
        </w:tc>
        <w:tc>
          <w:tcPr>
            <w:tcW w:w="6749" w:type="dxa"/>
            <w:tcBorders>
              <w:top w:val="single" w:color="auto" w:sz="2" w:space="0"/>
              <w:left w:val="single" w:color="auto" w:sz="2" w:space="0"/>
              <w:bottom w:val="single" w:color="auto" w:sz="2" w:space="0"/>
              <w:right w:val="single" w:color="auto" w:sz="2" w:space="0"/>
            </w:tcBorders>
            <w:noWrap w:val="0"/>
            <w:vAlign w:val="center"/>
          </w:tcPr>
          <w:p w14:paraId="0219977A">
            <w:pPr>
              <w:keepNext w:val="0"/>
              <w:keepLines w:val="0"/>
              <w:pageBreakBefore w:val="0"/>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评分细则及要求</w:t>
            </w:r>
          </w:p>
        </w:tc>
        <w:tc>
          <w:tcPr>
            <w:tcW w:w="976" w:type="dxa"/>
            <w:tcBorders>
              <w:top w:val="single" w:color="auto" w:sz="2" w:space="0"/>
              <w:left w:val="single" w:color="auto" w:sz="2" w:space="0"/>
              <w:bottom w:val="single" w:color="auto" w:sz="2" w:space="0"/>
              <w:right w:val="single" w:color="auto" w:sz="2" w:space="0"/>
            </w:tcBorders>
            <w:noWrap w:val="0"/>
            <w:vAlign w:val="center"/>
          </w:tcPr>
          <w:p w14:paraId="1C9842CD">
            <w:pPr>
              <w:keepNext w:val="0"/>
              <w:keepLines w:val="0"/>
              <w:pageBreakBefore w:val="0"/>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分值</w:t>
            </w:r>
          </w:p>
        </w:tc>
      </w:tr>
      <w:tr w14:paraId="5562B4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99" w:hRule="atLeast"/>
        </w:trPr>
        <w:tc>
          <w:tcPr>
            <w:tcW w:w="732" w:type="dxa"/>
            <w:tcBorders>
              <w:left w:val="single" w:color="auto" w:sz="2" w:space="0"/>
              <w:right w:val="single" w:color="auto" w:sz="2" w:space="0"/>
            </w:tcBorders>
            <w:noWrap w:val="0"/>
            <w:vAlign w:val="center"/>
          </w:tcPr>
          <w:p w14:paraId="36A2635D">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87" w:type="dxa"/>
            <w:tcBorders>
              <w:left w:val="single" w:color="auto" w:sz="2" w:space="0"/>
              <w:right w:val="single" w:color="auto" w:sz="2" w:space="0"/>
            </w:tcBorders>
            <w:noWrap w:val="0"/>
            <w:vAlign w:val="center"/>
          </w:tcPr>
          <w:p w14:paraId="2FC60F65">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类似业绩</w:t>
            </w:r>
          </w:p>
        </w:tc>
        <w:tc>
          <w:tcPr>
            <w:tcW w:w="6749" w:type="dxa"/>
            <w:tcBorders>
              <w:top w:val="single" w:color="auto" w:sz="2" w:space="0"/>
              <w:left w:val="single" w:color="auto" w:sz="2" w:space="0"/>
              <w:bottom w:val="single" w:color="auto" w:sz="2" w:space="0"/>
              <w:right w:val="single" w:color="auto" w:sz="2" w:space="0"/>
            </w:tcBorders>
            <w:noWrap w:val="0"/>
            <w:vAlign w:val="center"/>
          </w:tcPr>
          <w:p w14:paraId="20510B62">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投标人自202</w:t>
            </w: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年1月1日（以合同签订时间为准）以来承接过类似项目业绩的，每提供一份合同得</w:t>
            </w: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分，最高得</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分。（提供合同扫描件或复印件并加盖公章）</w:t>
            </w:r>
          </w:p>
        </w:tc>
        <w:tc>
          <w:tcPr>
            <w:tcW w:w="976" w:type="dxa"/>
            <w:tcBorders>
              <w:top w:val="single" w:color="auto" w:sz="2" w:space="0"/>
              <w:left w:val="single" w:color="auto" w:sz="2" w:space="0"/>
              <w:bottom w:val="single" w:color="auto" w:sz="2" w:space="0"/>
              <w:right w:val="single" w:color="auto" w:sz="2" w:space="0"/>
            </w:tcBorders>
            <w:noWrap w:val="0"/>
            <w:vAlign w:val="center"/>
          </w:tcPr>
          <w:p w14:paraId="4FCCEEF6">
            <w:pPr>
              <w:widowControl/>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0-3分</w:t>
            </w:r>
          </w:p>
        </w:tc>
      </w:tr>
      <w:tr w14:paraId="19962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52" w:hRule="atLeast"/>
        </w:trPr>
        <w:tc>
          <w:tcPr>
            <w:tcW w:w="732" w:type="dxa"/>
            <w:tcBorders>
              <w:left w:val="single" w:color="auto" w:sz="2" w:space="0"/>
              <w:right w:val="single" w:color="auto" w:sz="2" w:space="0"/>
            </w:tcBorders>
            <w:noWrap w:val="0"/>
            <w:vAlign w:val="center"/>
          </w:tcPr>
          <w:p w14:paraId="17F75608">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887" w:type="dxa"/>
            <w:tcBorders>
              <w:left w:val="single" w:color="auto" w:sz="2" w:space="0"/>
              <w:right w:val="single" w:color="auto" w:sz="2" w:space="0"/>
            </w:tcBorders>
            <w:noWrap w:val="0"/>
            <w:vAlign w:val="center"/>
          </w:tcPr>
          <w:p w14:paraId="13A4805F">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体系认证</w:t>
            </w:r>
          </w:p>
        </w:tc>
        <w:tc>
          <w:tcPr>
            <w:tcW w:w="6749" w:type="dxa"/>
            <w:tcBorders>
              <w:top w:val="single" w:color="auto" w:sz="2" w:space="0"/>
              <w:left w:val="single" w:color="auto" w:sz="2" w:space="0"/>
              <w:bottom w:val="single" w:color="auto" w:sz="2" w:space="0"/>
              <w:right w:val="single" w:color="auto" w:sz="2" w:space="0"/>
            </w:tcBorders>
            <w:noWrap w:val="0"/>
            <w:vAlign w:val="center"/>
          </w:tcPr>
          <w:p w14:paraId="2C59ECA2">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投标人具有质量管理体系认证证书的得1分</w:t>
            </w:r>
            <w:r>
              <w:rPr>
                <w:rFonts w:hint="eastAsia" w:ascii="宋体" w:hAnsi="宋体" w:cs="宋体"/>
                <w:color w:val="auto"/>
                <w:kern w:val="2"/>
                <w:sz w:val="22"/>
                <w:szCs w:val="22"/>
                <w:highlight w:val="none"/>
                <w:lang w:val="en-US" w:eastAsia="zh-CN" w:bidi="ar-SA"/>
              </w:rPr>
              <w:t>；</w:t>
            </w:r>
          </w:p>
          <w:p w14:paraId="35093551">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具有环境管理体系认证</w:t>
            </w:r>
            <w:r>
              <w:rPr>
                <w:rFonts w:hint="eastAsia" w:ascii="宋体" w:hAnsi="宋体" w:eastAsia="宋体" w:cs="宋体"/>
                <w:color w:val="auto"/>
                <w:kern w:val="2"/>
                <w:sz w:val="22"/>
                <w:szCs w:val="22"/>
                <w:highlight w:val="none"/>
                <w:lang w:val="zh-CN" w:eastAsia="zh-CN" w:bidi="ar-SA"/>
              </w:rPr>
              <w:t>证书</w:t>
            </w:r>
            <w:r>
              <w:rPr>
                <w:rFonts w:hint="eastAsia" w:ascii="宋体" w:hAnsi="宋体" w:eastAsia="宋体" w:cs="宋体"/>
                <w:color w:val="auto"/>
                <w:kern w:val="2"/>
                <w:sz w:val="22"/>
                <w:szCs w:val="22"/>
                <w:highlight w:val="none"/>
                <w:lang w:val="en-US" w:eastAsia="zh-CN" w:bidi="ar-SA"/>
              </w:rPr>
              <w:t>的得1分</w:t>
            </w:r>
            <w:r>
              <w:rPr>
                <w:rFonts w:hint="eastAsia" w:ascii="宋体" w:hAnsi="宋体" w:cs="宋体"/>
                <w:color w:val="auto"/>
                <w:kern w:val="2"/>
                <w:sz w:val="22"/>
                <w:szCs w:val="22"/>
                <w:highlight w:val="none"/>
                <w:lang w:val="zh-CN" w:eastAsia="zh-CN" w:bidi="ar-SA"/>
              </w:rPr>
              <w:t>；</w:t>
            </w:r>
          </w:p>
          <w:p w14:paraId="65A713AE">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具有信息安全服务资质认证</w:t>
            </w:r>
            <w:r>
              <w:rPr>
                <w:rFonts w:hint="eastAsia" w:ascii="宋体" w:hAnsi="宋体" w:eastAsia="宋体" w:cs="宋体"/>
                <w:color w:val="auto"/>
                <w:kern w:val="2"/>
                <w:sz w:val="22"/>
                <w:szCs w:val="22"/>
                <w:highlight w:val="none"/>
                <w:lang w:val="zh-CN" w:eastAsia="zh-CN" w:bidi="ar-SA"/>
              </w:rPr>
              <w:t>证书</w:t>
            </w:r>
            <w:r>
              <w:rPr>
                <w:rFonts w:hint="eastAsia" w:ascii="宋体" w:hAnsi="宋体" w:eastAsia="宋体" w:cs="宋体"/>
                <w:color w:val="auto"/>
                <w:kern w:val="2"/>
                <w:sz w:val="22"/>
                <w:szCs w:val="22"/>
                <w:highlight w:val="none"/>
                <w:lang w:val="en-US" w:eastAsia="zh-CN" w:bidi="ar-SA"/>
              </w:rPr>
              <w:t>的得1分</w:t>
            </w:r>
            <w:r>
              <w:rPr>
                <w:rFonts w:hint="eastAsia" w:ascii="宋体" w:hAnsi="宋体" w:cs="宋体"/>
                <w:color w:val="auto"/>
                <w:kern w:val="2"/>
                <w:sz w:val="22"/>
                <w:szCs w:val="22"/>
                <w:highlight w:val="none"/>
                <w:lang w:val="en-US" w:eastAsia="zh-CN" w:bidi="ar-SA"/>
              </w:rPr>
              <w:t>；</w:t>
            </w:r>
          </w:p>
          <w:p w14:paraId="2B7BD1E5">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本项最高得3分。</w:t>
            </w:r>
          </w:p>
          <w:p w14:paraId="1910D9B4">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bidi="ar-SA"/>
              </w:rPr>
              <w:t>注：提供有效的</w:t>
            </w:r>
            <w:r>
              <w:rPr>
                <w:rFonts w:hint="eastAsia" w:ascii="宋体" w:hAnsi="宋体" w:eastAsia="宋体" w:cs="宋体"/>
                <w:color w:val="auto"/>
                <w:kern w:val="2"/>
                <w:sz w:val="22"/>
                <w:szCs w:val="22"/>
                <w:highlight w:val="none"/>
                <w:lang w:val="zh-CN" w:eastAsia="zh-CN" w:bidi="ar-SA"/>
              </w:rPr>
              <w:t>证书</w:t>
            </w:r>
            <w:r>
              <w:rPr>
                <w:rFonts w:hint="eastAsia" w:ascii="宋体" w:hAnsi="宋体" w:eastAsia="宋体" w:cs="宋体"/>
                <w:color w:val="auto"/>
                <w:kern w:val="2"/>
                <w:sz w:val="22"/>
                <w:szCs w:val="22"/>
                <w:highlight w:val="none"/>
                <w:lang w:val="en-US" w:eastAsia="zh-CN" w:bidi="ar-SA"/>
              </w:rPr>
              <w:t>扫描件</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提供</w:t>
            </w:r>
            <w:r>
              <w:rPr>
                <w:rFonts w:hint="eastAsia" w:ascii="宋体" w:hAnsi="宋体" w:eastAsia="宋体" w:cs="宋体"/>
                <w:color w:val="auto"/>
                <w:kern w:val="2"/>
                <w:sz w:val="22"/>
                <w:szCs w:val="22"/>
                <w:highlight w:val="none"/>
                <w:lang w:val="zh-CN" w:eastAsia="zh-CN" w:bidi="ar-SA"/>
              </w:rPr>
              <w:t>在“全国认证认可信息公共服务平台http://cx.cnca.cn/CertECloud/index/index/page”查询</w:t>
            </w:r>
            <w:r>
              <w:rPr>
                <w:rFonts w:hint="eastAsia" w:ascii="宋体" w:hAnsi="宋体" w:eastAsia="宋体" w:cs="宋体"/>
                <w:color w:val="auto"/>
                <w:kern w:val="2"/>
                <w:sz w:val="22"/>
                <w:szCs w:val="22"/>
                <w:highlight w:val="none"/>
                <w:lang w:val="en-US" w:eastAsia="zh-CN" w:bidi="ar-SA"/>
              </w:rPr>
              <w:t>结果的截图</w:t>
            </w:r>
            <w:r>
              <w:rPr>
                <w:rFonts w:hint="eastAsia" w:ascii="宋体" w:hAnsi="宋体" w:cs="宋体"/>
                <w:color w:val="auto"/>
                <w:kern w:val="2"/>
                <w:sz w:val="22"/>
                <w:szCs w:val="22"/>
                <w:highlight w:val="none"/>
                <w:lang w:val="zh-CN" w:eastAsia="zh-CN" w:bidi="ar-SA"/>
              </w:rPr>
              <w:t>，</w:t>
            </w:r>
            <w:r>
              <w:rPr>
                <w:rFonts w:hint="eastAsia" w:ascii="宋体" w:hAnsi="宋体" w:cs="宋体"/>
                <w:color w:val="auto"/>
                <w:kern w:val="2"/>
                <w:sz w:val="22"/>
                <w:szCs w:val="22"/>
                <w:highlight w:val="none"/>
                <w:lang w:val="en-US" w:eastAsia="zh-CN" w:bidi="ar-SA"/>
              </w:rPr>
              <w:t>不提供的不得分。</w:t>
            </w:r>
          </w:p>
        </w:tc>
        <w:tc>
          <w:tcPr>
            <w:tcW w:w="976" w:type="dxa"/>
            <w:tcBorders>
              <w:top w:val="single" w:color="auto" w:sz="2" w:space="0"/>
              <w:left w:val="single" w:color="auto" w:sz="2" w:space="0"/>
              <w:bottom w:val="single" w:color="auto" w:sz="2" w:space="0"/>
              <w:right w:val="single" w:color="auto" w:sz="2" w:space="0"/>
            </w:tcBorders>
            <w:noWrap w:val="0"/>
            <w:vAlign w:val="center"/>
          </w:tcPr>
          <w:p w14:paraId="221045CF">
            <w:pPr>
              <w:widowControl/>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0-3分</w:t>
            </w:r>
          </w:p>
        </w:tc>
      </w:tr>
      <w:tr w14:paraId="35FC60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1" w:hRule="atLeast"/>
        </w:trPr>
        <w:tc>
          <w:tcPr>
            <w:tcW w:w="732" w:type="dxa"/>
            <w:vMerge w:val="restart"/>
            <w:tcBorders>
              <w:left w:val="single" w:color="auto" w:sz="2" w:space="0"/>
              <w:right w:val="single" w:color="auto" w:sz="2" w:space="0"/>
            </w:tcBorders>
            <w:noWrap w:val="0"/>
            <w:vAlign w:val="center"/>
          </w:tcPr>
          <w:p w14:paraId="43927672">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87" w:type="dxa"/>
            <w:vMerge w:val="restart"/>
            <w:tcBorders>
              <w:left w:val="single" w:color="auto" w:sz="2" w:space="0"/>
              <w:right w:val="single" w:color="auto" w:sz="2" w:space="0"/>
            </w:tcBorders>
            <w:shd w:val="clear" w:color="auto" w:fill="auto"/>
            <w:noWrap w:val="0"/>
            <w:vAlign w:val="center"/>
          </w:tcPr>
          <w:p w14:paraId="794CEE8D">
            <w:pPr>
              <w:keepNext w:val="0"/>
              <w:keepLines w:val="0"/>
              <w:pageBreakBefore w:val="0"/>
              <w:widowControl/>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人员配备</w:t>
            </w:r>
          </w:p>
        </w:tc>
        <w:tc>
          <w:tcPr>
            <w:tcW w:w="6749"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418680DB">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lang w:val="zh-CN" w:eastAsia="zh-CN" w:bidi="ar-SA"/>
              </w:rPr>
              <w:t>投标</w:t>
            </w:r>
            <w:r>
              <w:rPr>
                <w:rFonts w:hint="eastAsia" w:ascii="宋体" w:hAnsi="宋体" w:eastAsia="宋体" w:cs="宋体"/>
                <w:color w:val="auto"/>
                <w:kern w:val="2"/>
                <w:sz w:val="22"/>
                <w:szCs w:val="22"/>
                <w:highlight w:val="none"/>
                <w:lang w:val="en-US" w:eastAsia="zh-CN" w:bidi="ar-SA"/>
              </w:rPr>
              <w:t>人拟派</w:t>
            </w:r>
            <w:r>
              <w:rPr>
                <w:rFonts w:hint="eastAsia" w:ascii="宋体" w:hAnsi="宋体" w:eastAsia="宋体" w:cs="宋体"/>
                <w:color w:val="auto"/>
                <w:kern w:val="2"/>
                <w:sz w:val="22"/>
                <w:szCs w:val="22"/>
                <w:highlight w:val="none"/>
                <w:lang w:val="zh-CN" w:eastAsia="zh-CN" w:bidi="ar-SA"/>
              </w:rPr>
              <w:t>项目负责人具有信息系统项目管理师</w:t>
            </w:r>
            <w:r>
              <w:rPr>
                <w:rFonts w:hint="eastAsia" w:ascii="宋体" w:hAnsi="宋体" w:eastAsia="宋体" w:cs="宋体"/>
                <w:color w:val="auto"/>
                <w:kern w:val="2"/>
                <w:sz w:val="22"/>
                <w:szCs w:val="22"/>
                <w:highlight w:val="none"/>
                <w:lang w:val="en-US" w:eastAsia="zh-CN" w:bidi="ar-SA"/>
              </w:rPr>
              <w:t>证书</w:t>
            </w:r>
            <w:r>
              <w:rPr>
                <w:rFonts w:hint="eastAsia" w:ascii="宋体" w:hAnsi="宋体" w:eastAsia="宋体" w:cs="宋体"/>
                <w:color w:val="auto"/>
                <w:kern w:val="2"/>
                <w:sz w:val="22"/>
                <w:szCs w:val="22"/>
                <w:highlight w:val="none"/>
                <w:lang w:val="zh-CN" w:eastAsia="zh-CN" w:bidi="ar-SA"/>
              </w:rPr>
              <w:t>、信息安全工程师</w:t>
            </w:r>
            <w:r>
              <w:rPr>
                <w:rFonts w:hint="eastAsia" w:ascii="宋体" w:hAnsi="宋体" w:eastAsia="宋体" w:cs="宋体"/>
                <w:color w:val="auto"/>
                <w:kern w:val="2"/>
                <w:sz w:val="22"/>
                <w:szCs w:val="22"/>
                <w:highlight w:val="none"/>
                <w:lang w:val="en-US" w:eastAsia="zh-CN" w:bidi="ar-SA"/>
              </w:rPr>
              <w:t>证书的</w:t>
            </w:r>
            <w:r>
              <w:rPr>
                <w:rFonts w:hint="eastAsia" w:ascii="宋体" w:hAnsi="宋体" w:eastAsia="宋体" w:cs="宋体"/>
                <w:color w:val="auto"/>
                <w:kern w:val="2"/>
                <w:sz w:val="22"/>
                <w:szCs w:val="22"/>
                <w:highlight w:val="none"/>
                <w:lang w:val="zh-CN" w:eastAsia="zh-CN" w:bidi="ar-SA"/>
              </w:rPr>
              <w:t>，每提供一类证书得1分，最高得2分。（需提供相关证书复印件、</w:t>
            </w:r>
            <w:r>
              <w:rPr>
                <w:rFonts w:hint="eastAsia" w:ascii="宋体" w:hAnsi="宋体" w:eastAsia="宋体" w:cs="宋体"/>
                <w:color w:val="auto"/>
                <w:kern w:val="2"/>
                <w:sz w:val="22"/>
                <w:szCs w:val="22"/>
                <w:highlight w:val="none"/>
                <w:lang w:val="en-US" w:eastAsia="zh-CN" w:bidi="ar-SA"/>
              </w:rPr>
              <w:t>由投标人为其缴纳的</w:t>
            </w:r>
            <w:r>
              <w:rPr>
                <w:rFonts w:hint="eastAsia" w:ascii="宋体" w:hAnsi="宋体" w:eastAsia="宋体" w:cs="宋体"/>
                <w:color w:val="auto"/>
                <w:kern w:val="2"/>
                <w:sz w:val="22"/>
                <w:szCs w:val="22"/>
                <w:highlight w:val="none"/>
                <w:lang w:val="zh-CN" w:eastAsia="zh-CN" w:bidi="ar-SA"/>
              </w:rPr>
              <w:t>近</w:t>
            </w:r>
            <w:r>
              <w:rPr>
                <w:rFonts w:hint="eastAsia" w:ascii="宋体" w:hAnsi="宋体" w:cs="宋体"/>
                <w:color w:val="auto"/>
                <w:kern w:val="2"/>
                <w:sz w:val="22"/>
                <w:szCs w:val="22"/>
                <w:highlight w:val="none"/>
                <w:lang w:val="en-US" w:eastAsia="zh-CN" w:bidi="ar-SA"/>
              </w:rPr>
              <w:t>一</w:t>
            </w:r>
            <w:r>
              <w:rPr>
                <w:rFonts w:hint="eastAsia" w:ascii="宋体" w:hAnsi="宋体" w:eastAsia="宋体" w:cs="宋体"/>
                <w:color w:val="auto"/>
                <w:kern w:val="2"/>
                <w:sz w:val="22"/>
                <w:szCs w:val="22"/>
                <w:highlight w:val="none"/>
                <w:lang w:val="zh-CN" w:eastAsia="zh-CN" w:bidi="ar-SA"/>
              </w:rPr>
              <w:t>个月单位社保证明复印件，并加盖投标人公章,否则不得分）。</w:t>
            </w:r>
          </w:p>
        </w:tc>
        <w:tc>
          <w:tcPr>
            <w:tcW w:w="976"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3EEE7AA5">
            <w:pPr>
              <w:keepNext w:val="0"/>
              <w:keepLines w:val="0"/>
              <w:pageBreakBefore w:val="0"/>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0-2分</w:t>
            </w:r>
          </w:p>
        </w:tc>
      </w:tr>
      <w:tr w14:paraId="186EE4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1" w:hRule="atLeast"/>
        </w:trPr>
        <w:tc>
          <w:tcPr>
            <w:tcW w:w="732" w:type="dxa"/>
            <w:vMerge w:val="continue"/>
            <w:tcBorders>
              <w:left w:val="single" w:color="auto" w:sz="2" w:space="0"/>
              <w:right w:val="single" w:color="auto" w:sz="2" w:space="0"/>
            </w:tcBorders>
            <w:noWrap w:val="0"/>
            <w:vAlign w:val="center"/>
          </w:tcPr>
          <w:p w14:paraId="5A8CC836">
            <w:pPr>
              <w:keepNext w:val="0"/>
              <w:keepLines w:val="0"/>
              <w:pageBreakBefore w:val="0"/>
              <w:shd w:val="clear"/>
              <w:kinsoku/>
              <w:wordWrap/>
              <w:overflowPunct/>
              <w:topLinePunct w:val="0"/>
              <w:autoSpaceDE/>
              <w:autoSpaceDN/>
              <w:bidi w:val="0"/>
              <w:adjustRightInd w:val="0"/>
              <w:snapToGrid/>
              <w:spacing w:line="300" w:lineRule="exact"/>
              <w:ind w:left="0" w:leftChars="0" w:firstLine="0" w:firstLineChars="0"/>
              <w:jc w:val="center"/>
              <w:textAlignment w:val="auto"/>
              <w:rPr>
                <w:color w:val="auto"/>
                <w:highlight w:val="none"/>
              </w:rPr>
            </w:pPr>
          </w:p>
        </w:tc>
        <w:tc>
          <w:tcPr>
            <w:tcW w:w="887" w:type="dxa"/>
            <w:vMerge w:val="continue"/>
            <w:tcBorders>
              <w:left w:val="single" w:color="auto" w:sz="2" w:space="0"/>
              <w:right w:val="single" w:color="auto" w:sz="2" w:space="0"/>
            </w:tcBorders>
            <w:shd w:val="clear" w:color="auto" w:fill="auto"/>
            <w:noWrap w:val="0"/>
            <w:vAlign w:val="center"/>
          </w:tcPr>
          <w:p w14:paraId="6C82EEC7">
            <w:pPr>
              <w:keepNext w:val="0"/>
              <w:keepLines w:val="0"/>
              <w:pageBreakBefore w:val="0"/>
              <w:shd w:val="clear"/>
              <w:kinsoku/>
              <w:wordWrap/>
              <w:overflowPunct/>
              <w:topLinePunct w:val="0"/>
              <w:autoSpaceDE/>
              <w:autoSpaceDN/>
              <w:bidi w:val="0"/>
              <w:adjustRightInd w:val="0"/>
              <w:snapToGrid/>
              <w:spacing w:line="300" w:lineRule="exact"/>
              <w:ind w:left="0" w:leftChars="0" w:firstLine="0" w:firstLineChars="0"/>
              <w:jc w:val="center"/>
              <w:textAlignment w:val="auto"/>
              <w:rPr>
                <w:color w:val="auto"/>
                <w:highlight w:val="none"/>
              </w:rPr>
            </w:pPr>
          </w:p>
        </w:tc>
        <w:tc>
          <w:tcPr>
            <w:tcW w:w="6749"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56BC4060">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投标人项目团队中（除项目负责人之外）具有</w:t>
            </w:r>
            <w:r>
              <w:rPr>
                <w:rFonts w:hint="eastAsia" w:ascii="宋体" w:hAnsi="宋体" w:eastAsia="宋体" w:cs="宋体"/>
                <w:color w:val="auto"/>
                <w:kern w:val="2"/>
                <w:sz w:val="22"/>
                <w:szCs w:val="22"/>
                <w:highlight w:val="none"/>
                <w:lang w:val="zh-CN" w:eastAsia="zh-CN" w:bidi="ar-SA"/>
              </w:rPr>
              <w:t>信息系统项目管理师</w:t>
            </w:r>
            <w:r>
              <w:rPr>
                <w:rFonts w:hint="eastAsia" w:ascii="宋体" w:hAnsi="宋体" w:eastAsia="宋体" w:cs="宋体"/>
                <w:color w:val="auto"/>
                <w:kern w:val="2"/>
                <w:sz w:val="22"/>
                <w:szCs w:val="22"/>
                <w:highlight w:val="none"/>
                <w:lang w:val="en-US" w:eastAsia="zh-CN" w:bidi="ar-SA"/>
              </w:rPr>
              <w:t>证书</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信息安全工程师证书</w:t>
            </w:r>
            <w:r>
              <w:rPr>
                <w:rFonts w:hint="eastAsia" w:ascii="宋体" w:hAnsi="宋体" w:cs="宋体"/>
                <w:color w:val="auto"/>
                <w:kern w:val="2"/>
                <w:sz w:val="22"/>
                <w:szCs w:val="22"/>
                <w:highlight w:val="none"/>
                <w:lang w:val="en-US" w:eastAsia="zh-CN" w:bidi="ar-SA"/>
              </w:rPr>
              <w:t>、注册安全工程师证书</w:t>
            </w:r>
            <w:r>
              <w:rPr>
                <w:rFonts w:hint="eastAsia" w:ascii="宋体" w:hAnsi="宋体" w:eastAsia="宋体" w:cs="宋体"/>
                <w:color w:val="auto"/>
                <w:kern w:val="2"/>
                <w:sz w:val="22"/>
                <w:szCs w:val="22"/>
                <w:highlight w:val="none"/>
                <w:lang w:val="en-US" w:eastAsia="zh-CN" w:bidi="ar-SA"/>
              </w:rPr>
              <w:t>的，每提供一类证书得1分，最高得</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分。</w:t>
            </w:r>
            <w:r>
              <w:rPr>
                <w:rFonts w:hint="eastAsia" w:ascii="宋体" w:hAnsi="宋体" w:eastAsia="宋体" w:cs="宋体"/>
                <w:color w:val="auto"/>
                <w:kern w:val="2"/>
                <w:sz w:val="22"/>
                <w:szCs w:val="22"/>
                <w:highlight w:val="none"/>
                <w:lang w:val="zh-CN" w:eastAsia="zh-CN" w:bidi="ar-SA"/>
              </w:rPr>
              <w:t>（需提供相关证书复印件、</w:t>
            </w:r>
            <w:r>
              <w:rPr>
                <w:rFonts w:hint="eastAsia" w:ascii="宋体" w:hAnsi="宋体" w:eastAsia="宋体" w:cs="宋体"/>
                <w:color w:val="auto"/>
                <w:kern w:val="2"/>
                <w:sz w:val="22"/>
                <w:szCs w:val="22"/>
                <w:highlight w:val="none"/>
                <w:lang w:val="en-US" w:eastAsia="zh-CN" w:bidi="ar-SA"/>
              </w:rPr>
              <w:t>由投标人为其缴纳的</w:t>
            </w:r>
            <w:r>
              <w:rPr>
                <w:rFonts w:hint="eastAsia" w:ascii="宋体" w:hAnsi="宋体" w:eastAsia="宋体" w:cs="宋体"/>
                <w:color w:val="auto"/>
                <w:kern w:val="2"/>
                <w:sz w:val="22"/>
                <w:szCs w:val="22"/>
                <w:highlight w:val="none"/>
                <w:lang w:val="zh-CN" w:eastAsia="zh-CN" w:bidi="ar-SA"/>
              </w:rPr>
              <w:t>近</w:t>
            </w:r>
            <w:r>
              <w:rPr>
                <w:rFonts w:hint="eastAsia" w:ascii="宋体" w:hAnsi="宋体" w:cs="宋体"/>
                <w:color w:val="auto"/>
                <w:kern w:val="2"/>
                <w:sz w:val="22"/>
                <w:szCs w:val="22"/>
                <w:highlight w:val="none"/>
                <w:lang w:val="en-US" w:eastAsia="zh-CN" w:bidi="ar-SA"/>
              </w:rPr>
              <w:t>一</w:t>
            </w:r>
            <w:r>
              <w:rPr>
                <w:rFonts w:hint="eastAsia" w:ascii="宋体" w:hAnsi="宋体" w:eastAsia="宋体" w:cs="宋体"/>
                <w:color w:val="auto"/>
                <w:kern w:val="2"/>
                <w:sz w:val="22"/>
                <w:szCs w:val="22"/>
                <w:highlight w:val="none"/>
                <w:lang w:val="zh-CN" w:eastAsia="zh-CN" w:bidi="ar-SA"/>
              </w:rPr>
              <w:t>个月单位社保证明复印件，并加盖投标人公章, 否则不得分）。</w:t>
            </w:r>
          </w:p>
        </w:tc>
        <w:tc>
          <w:tcPr>
            <w:tcW w:w="976"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1446F34E">
            <w:pPr>
              <w:keepNext w:val="0"/>
              <w:keepLines w:val="0"/>
              <w:pageBreakBefore w:val="0"/>
              <w:widowControl/>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bCs/>
                <w:color w:val="auto"/>
                <w:sz w:val="24"/>
                <w:szCs w:val="24"/>
                <w:highlight w:val="none"/>
                <w:lang w:val="en-US" w:eastAsia="zh-CN"/>
              </w:rPr>
              <w:t>0-3分</w:t>
            </w:r>
          </w:p>
        </w:tc>
      </w:tr>
      <w:tr w14:paraId="612AE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793" w:hRule="atLeast"/>
        </w:trPr>
        <w:tc>
          <w:tcPr>
            <w:tcW w:w="732" w:type="dxa"/>
            <w:tcBorders>
              <w:left w:val="single" w:color="auto" w:sz="2" w:space="0"/>
              <w:right w:val="single" w:color="auto" w:sz="2" w:space="0"/>
            </w:tcBorders>
            <w:noWrap w:val="0"/>
            <w:vAlign w:val="center"/>
          </w:tcPr>
          <w:p w14:paraId="3980B009">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887" w:type="dxa"/>
            <w:tcBorders>
              <w:left w:val="single" w:color="auto" w:sz="2" w:space="0"/>
              <w:right w:val="single" w:color="auto" w:sz="2" w:space="0"/>
            </w:tcBorders>
            <w:shd w:val="clear" w:color="auto" w:fill="auto"/>
            <w:noWrap w:val="0"/>
            <w:vAlign w:val="center"/>
          </w:tcPr>
          <w:p w14:paraId="41EDEEF6">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技术要求响应情况</w:t>
            </w:r>
          </w:p>
        </w:tc>
        <w:tc>
          <w:tcPr>
            <w:tcW w:w="6749"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40750933">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详细技术参数”，完全满足指标参数得</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打“▲”为主要性能指标，每有一项负偏离扣2分；其他</w:t>
            </w:r>
            <w:r>
              <w:rPr>
                <w:rFonts w:hint="eastAsia" w:ascii="宋体" w:hAnsi="宋体" w:cs="宋体"/>
                <w:color w:val="auto"/>
                <w:sz w:val="22"/>
                <w:szCs w:val="22"/>
                <w:highlight w:val="none"/>
                <w:shd w:val="clear"/>
                <w:lang w:val="en-US" w:eastAsia="zh-CN"/>
              </w:rPr>
              <w:t>技术指标或参数要求</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指标，每有一项负偏离扣1分，扣完为止。</w:t>
            </w:r>
          </w:p>
        </w:tc>
        <w:tc>
          <w:tcPr>
            <w:tcW w:w="976"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1DD6FAA5">
            <w:pPr>
              <w:widowControl/>
              <w:shd w:val="clear"/>
              <w:spacing w:line="360" w:lineRule="auto"/>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shd w:val="clear"/>
                <w:lang w:val="en-US" w:eastAsia="zh-CN"/>
              </w:rPr>
              <w:t>0-25</w:t>
            </w:r>
            <w:r>
              <w:rPr>
                <w:rFonts w:hint="eastAsia" w:ascii="宋体" w:hAnsi="宋体" w:cs="宋体"/>
                <w:bCs/>
                <w:color w:val="auto"/>
                <w:sz w:val="24"/>
                <w:szCs w:val="24"/>
                <w:highlight w:val="none"/>
                <w:lang w:val="en-US" w:eastAsia="zh-CN"/>
              </w:rPr>
              <w:t>分</w:t>
            </w:r>
          </w:p>
        </w:tc>
      </w:tr>
      <w:tr w14:paraId="6447E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793" w:hRule="atLeast"/>
        </w:trPr>
        <w:tc>
          <w:tcPr>
            <w:tcW w:w="732" w:type="dxa"/>
            <w:tcBorders>
              <w:left w:val="single" w:color="auto" w:sz="2" w:space="0"/>
              <w:right w:val="single" w:color="auto" w:sz="2" w:space="0"/>
            </w:tcBorders>
            <w:noWrap w:val="0"/>
            <w:vAlign w:val="center"/>
          </w:tcPr>
          <w:p w14:paraId="5C178474">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87" w:type="dxa"/>
            <w:tcBorders>
              <w:left w:val="single" w:color="auto" w:sz="2" w:space="0"/>
              <w:right w:val="single" w:color="auto" w:sz="2" w:space="0"/>
            </w:tcBorders>
            <w:shd w:val="clear" w:color="auto" w:fill="auto"/>
            <w:noWrap w:val="0"/>
            <w:vAlign w:val="center"/>
          </w:tcPr>
          <w:p w14:paraId="3392B820">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培训方案</w:t>
            </w:r>
          </w:p>
        </w:tc>
        <w:tc>
          <w:tcPr>
            <w:tcW w:w="6749"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273AF0E4">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根据投标人提供的本项目培训方案进行打分，包含但不限于设备功能培训、培训科目和培训方式等方面；</w:t>
            </w:r>
          </w:p>
          <w:p w14:paraId="65C03660">
            <w:pPr>
              <w:keepNext w:val="0"/>
              <w:keepLines w:val="0"/>
              <w:pageBreakBefore w:val="0"/>
              <w:widowControl w:val="0"/>
              <w:numPr>
                <w:ilvl w:val="0"/>
                <w:numId w:val="9"/>
              </w:numPr>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设备功能培训（</w:t>
            </w:r>
            <w:r>
              <w:rPr>
                <w:rFonts w:hint="eastAsia" w:ascii="宋体" w:hAnsi="宋体" w:eastAsia="宋体" w:cs="宋体"/>
                <w:color w:val="auto"/>
                <w:sz w:val="22"/>
                <w:szCs w:val="22"/>
                <w:highlight w:val="none"/>
                <w:lang w:val="en-US" w:eastAsia="zh-CN"/>
              </w:rPr>
              <w:t>0-1分，步长0.1</w:t>
            </w:r>
            <w:r>
              <w:rPr>
                <w:rFonts w:hint="eastAsia" w:ascii="宋体" w:hAnsi="宋体" w:eastAsia="宋体" w:cs="宋体"/>
                <w:color w:val="auto"/>
                <w:sz w:val="22"/>
                <w:szCs w:val="22"/>
                <w:highlight w:val="none"/>
                <w:lang w:eastAsia="zh-CN"/>
              </w:rPr>
              <w:t>）；</w:t>
            </w:r>
          </w:p>
          <w:p w14:paraId="533817AD">
            <w:pPr>
              <w:keepNext w:val="0"/>
              <w:keepLines w:val="0"/>
              <w:pageBreakBefore w:val="0"/>
              <w:widowControl w:val="0"/>
              <w:numPr>
                <w:ilvl w:val="0"/>
                <w:numId w:val="9"/>
              </w:numPr>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培训科目（</w:t>
            </w:r>
            <w:r>
              <w:rPr>
                <w:rFonts w:hint="eastAsia" w:ascii="宋体" w:hAnsi="宋体" w:eastAsia="宋体" w:cs="宋体"/>
                <w:color w:val="auto"/>
                <w:sz w:val="22"/>
                <w:szCs w:val="22"/>
                <w:highlight w:val="none"/>
                <w:lang w:val="en-US" w:eastAsia="zh-CN"/>
              </w:rPr>
              <w:t>0-1分，步长0.1</w:t>
            </w:r>
            <w:r>
              <w:rPr>
                <w:rFonts w:hint="eastAsia" w:ascii="宋体" w:hAnsi="宋体" w:eastAsia="宋体" w:cs="宋体"/>
                <w:color w:val="auto"/>
                <w:sz w:val="22"/>
                <w:szCs w:val="22"/>
                <w:highlight w:val="none"/>
                <w:lang w:eastAsia="zh-CN"/>
              </w:rPr>
              <w:t>）；</w:t>
            </w:r>
          </w:p>
          <w:p w14:paraId="2E0F02E6">
            <w:pPr>
              <w:keepNext w:val="0"/>
              <w:keepLines w:val="0"/>
              <w:pageBreakBefore w:val="0"/>
              <w:widowControl w:val="0"/>
              <w:numPr>
                <w:ilvl w:val="0"/>
                <w:numId w:val="9"/>
              </w:numPr>
              <w:shd w:val="clear"/>
              <w:kinsoku/>
              <w:wordWrap/>
              <w:overflowPunct/>
              <w:topLinePunct w:val="0"/>
              <w:autoSpaceDE/>
              <w:autoSpaceDN/>
              <w:bidi w:val="0"/>
              <w:spacing w:before="156" w:line="360" w:lineRule="auto"/>
              <w:ind w:firstLine="0" w:firstLineChars="0"/>
              <w:jc w:val="left"/>
              <w:textAlignment w:val="auto"/>
              <w:rPr>
                <w:rFonts w:hint="default" w:ascii="仿宋_GB2312" w:hAnsi="仿宋_GB2312" w:eastAsia="仿宋_GB2312" w:cs="仿宋_GB2312"/>
                <w:color w:val="auto"/>
                <w:sz w:val="22"/>
                <w:szCs w:val="22"/>
                <w:highlight w:val="none"/>
                <w:lang w:val="en-US" w:eastAsia="zh-CN"/>
              </w:rPr>
            </w:pPr>
            <w:r>
              <w:rPr>
                <w:rFonts w:hint="eastAsia" w:ascii="宋体" w:hAnsi="宋体" w:eastAsia="宋体" w:cs="宋体"/>
                <w:color w:val="auto"/>
                <w:sz w:val="22"/>
                <w:szCs w:val="22"/>
                <w:highlight w:val="none"/>
                <w:lang w:eastAsia="zh-CN"/>
              </w:rPr>
              <w:t>培训方式（</w:t>
            </w:r>
            <w:r>
              <w:rPr>
                <w:rFonts w:hint="eastAsia" w:ascii="宋体" w:hAnsi="宋体" w:eastAsia="宋体" w:cs="宋体"/>
                <w:color w:val="auto"/>
                <w:sz w:val="22"/>
                <w:szCs w:val="22"/>
                <w:highlight w:val="none"/>
                <w:lang w:val="en-US" w:eastAsia="zh-CN"/>
              </w:rPr>
              <w:t>0-1分，步长0.1</w:t>
            </w:r>
            <w:r>
              <w:rPr>
                <w:rFonts w:hint="eastAsia" w:ascii="宋体" w:hAnsi="宋体" w:eastAsia="宋体" w:cs="宋体"/>
                <w:color w:val="auto"/>
                <w:sz w:val="22"/>
                <w:szCs w:val="22"/>
                <w:highlight w:val="none"/>
                <w:lang w:eastAsia="zh-CN"/>
              </w:rPr>
              <w:t>）。</w:t>
            </w:r>
          </w:p>
        </w:tc>
        <w:tc>
          <w:tcPr>
            <w:tcW w:w="976"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0CE1B921">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0-3分</w:t>
            </w:r>
          </w:p>
        </w:tc>
      </w:tr>
      <w:tr w14:paraId="3832B0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52" w:hRule="atLeast"/>
        </w:trPr>
        <w:tc>
          <w:tcPr>
            <w:tcW w:w="732" w:type="dxa"/>
            <w:tcBorders>
              <w:left w:val="single" w:color="auto" w:sz="2" w:space="0"/>
              <w:right w:val="single" w:color="auto" w:sz="2" w:space="0"/>
            </w:tcBorders>
            <w:noWrap w:val="0"/>
            <w:vAlign w:val="center"/>
          </w:tcPr>
          <w:p w14:paraId="79DE28C6">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87" w:type="dxa"/>
            <w:tcBorders>
              <w:left w:val="single" w:color="auto" w:sz="2" w:space="0"/>
              <w:right w:val="single" w:color="auto" w:sz="2" w:space="0"/>
            </w:tcBorders>
            <w:shd w:val="clear" w:color="auto" w:fill="auto"/>
            <w:noWrap w:val="0"/>
            <w:vAlign w:val="center"/>
          </w:tcPr>
          <w:p w14:paraId="4637E4D3">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实施方案</w:t>
            </w:r>
          </w:p>
        </w:tc>
        <w:tc>
          <w:tcPr>
            <w:tcW w:w="6749"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60BBB7A2">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货物供货、验货、安装调试的方案</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（0-3分，步长0.5）；</w:t>
            </w:r>
          </w:p>
          <w:p w14:paraId="233EC919">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组织机构、人员配置、工作时间进度表、工作程序和步骤</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（0-3分，步长0.5）；</w:t>
            </w:r>
          </w:p>
          <w:p w14:paraId="64ECB746">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3、本项目的运维服务方案</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服务响应等</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（0-3分，步长0.5）</w:t>
            </w:r>
          </w:p>
        </w:tc>
        <w:tc>
          <w:tcPr>
            <w:tcW w:w="976"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28D1FFA6">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0-9分</w:t>
            </w:r>
          </w:p>
        </w:tc>
      </w:tr>
      <w:tr w14:paraId="77DFE0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39" w:hRule="atLeast"/>
        </w:trPr>
        <w:tc>
          <w:tcPr>
            <w:tcW w:w="732" w:type="dxa"/>
            <w:vMerge w:val="restart"/>
            <w:tcBorders>
              <w:left w:val="single" w:color="auto" w:sz="2" w:space="0"/>
              <w:right w:val="single" w:color="auto" w:sz="2" w:space="0"/>
            </w:tcBorders>
            <w:noWrap w:val="0"/>
            <w:vAlign w:val="center"/>
          </w:tcPr>
          <w:p w14:paraId="45B599F4">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887" w:type="dxa"/>
            <w:vMerge w:val="restart"/>
            <w:tcBorders>
              <w:left w:val="single" w:color="auto" w:sz="2" w:space="0"/>
              <w:right w:val="single" w:color="auto" w:sz="2" w:space="0"/>
            </w:tcBorders>
            <w:shd w:val="clear" w:color="auto" w:fill="auto"/>
            <w:noWrap w:val="0"/>
            <w:vAlign w:val="center"/>
          </w:tcPr>
          <w:p w14:paraId="33881DFE">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售后服务</w:t>
            </w:r>
          </w:p>
        </w:tc>
        <w:tc>
          <w:tcPr>
            <w:tcW w:w="6749" w:type="dxa"/>
            <w:tcBorders>
              <w:top w:val="single" w:color="auto" w:sz="4" w:space="0"/>
              <w:left w:val="single" w:color="auto" w:sz="2" w:space="0"/>
              <w:bottom w:val="single" w:color="auto" w:sz="4" w:space="0"/>
              <w:right w:val="single" w:color="auto" w:sz="2" w:space="0"/>
            </w:tcBorders>
            <w:shd w:val="clear" w:color="auto" w:fill="auto"/>
            <w:noWrap w:val="0"/>
            <w:vAlign w:val="center"/>
          </w:tcPr>
          <w:p w14:paraId="74D19265">
            <w:pPr>
              <w:keepNext w:val="0"/>
              <w:keepLines w:val="0"/>
              <w:pageBreakBefore w:val="0"/>
              <w:widowControl w:val="0"/>
              <w:numPr>
                <w:ilvl w:val="0"/>
                <w:numId w:val="10"/>
              </w:numPr>
              <w:shd w:val="clear"/>
              <w:kinsoku/>
              <w:wordWrap/>
              <w:overflowPunct/>
              <w:topLinePunct w:val="0"/>
              <w:autoSpaceDE/>
              <w:autoSpaceDN/>
              <w:bidi w:val="0"/>
              <w:spacing w:before="156" w:line="360" w:lineRule="auto"/>
              <w:ind w:left="0" w:leftChars="0" w:firstLine="0" w:firstLineChars="0"/>
              <w:jc w:val="left"/>
              <w:textAlignment w:val="auto"/>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培训</w:t>
            </w:r>
            <w:r>
              <w:rPr>
                <w:rFonts w:hint="eastAsia" w:ascii="宋体" w:hAnsi="宋体" w:cs="宋体"/>
                <w:color w:val="auto"/>
                <w:sz w:val="22"/>
                <w:szCs w:val="22"/>
                <w:highlight w:val="none"/>
                <w:lang w:val="en-US" w:eastAsia="zh-CN"/>
              </w:rPr>
              <w:t>措施及承诺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0-1分，步长0.1</w:t>
            </w:r>
            <w:r>
              <w:rPr>
                <w:rFonts w:hint="eastAsia" w:ascii="宋体" w:hAnsi="宋体" w:cs="宋体"/>
                <w:color w:val="auto"/>
                <w:sz w:val="22"/>
                <w:szCs w:val="22"/>
                <w:highlight w:val="none"/>
                <w:lang w:eastAsia="zh-CN"/>
              </w:rPr>
              <w:t>）</w:t>
            </w:r>
          </w:p>
          <w:p w14:paraId="450F5EDA">
            <w:pPr>
              <w:keepNext w:val="0"/>
              <w:keepLines w:val="0"/>
              <w:pageBreakBefore w:val="0"/>
              <w:widowControl w:val="0"/>
              <w:numPr>
                <w:ilvl w:val="0"/>
                <w:numId w:val="10"/>
              </w:numPr>
              <w:shd w:val="clear"/>
              <w:kinsoku/>
              <w:wordWrap/>
              <w:overflowPunct/>
              <w:topLinePunct w:val="0"/>
              <w:autoSpaceDE/>
              <w:autoSpaceDN/>
              <w:bidi w:val="0"/>
              <w:spacing w:before="156" w:line="360" w:lineRule="auto"/>
              <w:ind w:left="0" w:leftChars="0"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技术服务维护</w:t>
            </w:r>
            <w:r>
              <w:rPr>
                <w:rFonts w:hint="eastAsia" w:ascii="宋体" w:hAnsi="宋体" w:cs="宋体"/>
                <w:color w:val="auto"/>
                <w:sz w:val="22"/>
                <w:szCs w:val="22"/>
                <w:highlight w:val="none"/>
                <w:lang w:val="en-US" w:eastAsia="zh-CN"/>
              </w:rPr>
              <w:t>措施及承诺；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0-1分，步长0.1</w:t>
            </w:r>
            <w:r>
              <w:rPr>
                <w:rFonts w:hint="eastAsia" w:ascii="宋体" w:hAnsi="宋体" w:cs="宋体"/>
                <w:color w:val="auto"/>
                <w:sz w:val="22"/>
                <w:szCs w:val="22"/>
                <w:highlight w:val="none"/>
                <w:lang w:eastAsia="zh-CN"/>
              </w:rPr>
              <w:t>）</w:t>
            </w:r>
          </w:p>
          <w:p w14:paraId="7BC54F10">
            <w:pPr>
              <w:keepNext w:val="0"/>
              <w:keepLines w:val="0"/>
              <w:pageBreakBefore w:val="0"/>
              <w:widowControl w:val="0"/>
              <w:numPr>
                <w:ilvl w:val="0"/>
                <w:numId w:val="10"/>
              </w:numPr>
              <w:shd w:val="clear"/>
              <w:kinsoku/>
              <w:wordWrap/>
              <w:overflowPunct/>
              <w:topLinePunct w:val="0"/>
              <w:autoSpaceDE/>
              <w:autoSpaceDN/>
              <w:bidi w:val="0"/>
              <w:spacing w:before="156" w:line="360" w:lineRule="auto"/>
              <w:ind w:left="0" w:leftChars="0" w:firstLine="0" w:firstLineChars="0"/>
              <w:jc w:val="left"/>
              <w:textAlignment w:val="auto"/>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设备维护</w:t>
            </w:r>
            <w:r>
              <w:rPr>
                <w:rFonts w:hint="eastAsia" w:ascii="宋体" w:hAnsi="宋体" w:cs="宋体"/>
                <w:color w:val="auto"/>
                <w:sz w:val="22"/>
                <w:szCs w:val="22"/>
                <w:highlight w:val="none"/>
                <w:lang w:val="en-US" w:eastAsia="zh-CN"/>
              </w:rPr>
              <w:t>措施及</w:t>
            </w:r>
            <w:r>
              <w:rPr>
                <w:rFonts w:hint="eastAsia" w:ascii="宋体" w:hAnsi="宋体" w:eastAsia="宋体" w:cs="宋体"/>
                <w:color w:val="auto"/>
                <w:sz w:val="22"/>
                <w:szCs w:val="22"/>
                <w:highlight w:val="none"/>
              </w:rPr>
              <w:t>承诺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维护人员配备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维护响应时间</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0-1分，步长0.1</w:t>
            </w:r>
            <w:r>
              <w:rPr>
                <w:rFonts w:hint="eastAsia" w:ascii="宋体" w:hAnsi="宋体" w:cs="宋体"/>
                <w:color w:val="auto"/>
                <w:sz w:val="22"/>
                <w:szCs w:val="22"/>
                <w:highlight w:val="none"/>
                <w:lang w:eastAsia="zh-CN"/>
              </w:rPr>
              <w:t>）</w:t>
            </w:r>
          </w:p>
          <w:p w14:paraId="6B9D3F85">
            <w:pPr>
              <w:keepNext w:val="0"/>
              <w:keepLines w:val="0"/>
              <w:pageBreakBefore w:val="0"/>
              <w:widowControl w:val="0"/>
              <w:numPr>
                <w:ilvl w:val="0"/>
                <w:numId w:val="0"/>
              </w:numPr>
              <w:shd w:val="clear"/>
              <w:kinsoku/>
              <w:wordWrap/>
              <w:overflowPunct/>
              <w:topLinePunct w:val="0"/>
              <w:autoSpaceDE/>
              <w:autoSpaceDN/>
              <w:bidi w:val="0"/>
              <w:spacing w:before="156" w:line="360" w:lineRule="auto"/>
              <w:ind w:left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质量</w:t>
            </w:r>
            <w:r>
              <w:rPr>
                <w:rFonts w:hint="eastAsia" w:ascii="宋体" w:hAnsi="宋体" w:cs="宋体"/>
                <w:color w:val="auto"/>
                <w:sz w:val="22"/>
                <w:szCs w:val="22"/>
                <w:highlight w:val="none"/>
                <w:lang w:val="en-US" w:eastAsia="zh-CN"/>
              </w:rPr>
              <w:t>保证</w:t>
            </w:r>
            <w:r>
              <w:rPr>
                <w:rFonts w:hint="eastAsia" w:ascii="宋体" w:hAnsi="宋体" w:eastAsia="宋体" w:cs="宋体"/>
                <w:color w:val="auto"/>
                <w:sz w:val="22"/>
                <w:szCs w:val="22"/>
                <w:highlight w:val="none"/>
              </w:rPr>
              <w:t>以及提供的后续技术支持</w:t>
            </w:r>
            <w:r>
              <w:rPr>
                <w:rFonts w:hint="eastAsia" w:ascii="宋体" w:hAnsi="宋体" w:cs="宋体"/>
                <w:color w:val="auto"/>
                <w:sz w:val="22"/>
                <w:szCs w:val="22"/>
                <w:highlight w:val="none"/>
                <w:lang w:val="en-US" w:eastAsia="zh-CN"/>
              </w:rPr>
              <w:t>措施及</w:t>
            </w:r>
            <w:r>
              <w:rPr>
                <w:rFonts w:hint="eastAsia" w:ascii="宋体" w:hAnsi="宋体" w:eastAsia="宋体" w:cs="宋体"/>
                <w:color w:val="auto"/>
                <w:sz w:val="22"/>
                <w:szCs w:val="22"/>
                <w:highlight w:val="none"/>
              </w:rPr>
              <w:t>承诺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0-1分，步长0.1</w:t>
            </w:r>
            <w:r>
              <w:rPr>
                <w:rFonts w:hint="eastAsia" w:ascii="宋体" w:hAnsi="宋体" w:cs="宋体"/>
                <w:color w:val="auto"/>
                <w:sz w:val="22"/>
                <w:szCs w:val="22"/>
                <w:highlight w:val="none"/>
                <w:lang w:eastAsia="zh-CN"/>
              </w:rPr>
              <w:t>）</w:t>
            </w:r>
          </w:p>
        </w:tc>
        <w:tc>
          <w:tcPr>
            <w:tcW w:w="976" w:type="dxa"/>
            <w:vMerge w:val="restart"/>
            <w:tcBorders>
              <w:top w:val="single" w:color="auto" w:sz="4" w:space="0"/>
              <w:left w:val="single" w:color="auto" w:sz="2" w:space="0"/>
              <w:right w:val="single" w:color="auto" w:sz="2" w:space="0"/>
            </w:tcBorders>
            <w:shd w:val="clear" w:color="auto" w:fill="auto"/>
            <w:noWrap w:val="0"/>
            <w:vAlign w:val="center"/>
          </w:tcPr>
          <w:p w14:paraId="7E52D2D7">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0-8分</w:t>
            </w:r>
          </w:p>
        </w:tc>
      </w:tr>
      <w:tr w14:paraId="3C8F3B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732" w:type="dxa"/>
            <w:vMerge w:val="continue"/>
            <w:tcBorders>
              <w:left w:val="single" w:color="auto" w:sz="2" w:space="0"/>
              <w:right w:val="single" w:color="auto" w:sz="2" w:space="0"/>
            </w:tcBorders>
            <w:noWrap w:val="0"/>
            <w:vAlign w:val="center"/>
          </w:tcPr>
          <w:p w14:paraId="3703E16E">
            <w:pPr>
              <w:keepNext w:val="0"/>
              <w:keepLines w:val="0"/>
              <w:pageBreakBefore w:val="0"/>
              <w:widowControl w:val="0"/>
              <w:shd w:val="clear"/>
              <w:kinsoku/>
              <w:wordWrap/>
              <w:overflowPunct/>
              <w:topLinePunct w:val="0"/>
              <w:autoSpaceDE/>
              <w:autoSpaceDN/>
              <w:bidi w:val="0"/>
              <w:spacing w:before="156" w:line="360" w:lineRule="auto"/>
              <w:ind w:left="0" w:leftChars="0" w:firstLine="0" w:firstLineChars="0"/>
              <w:jc w:val="left"/>
              <w:textAlignment w:val="auto"/>
              <w:rPr>
                <w:color w:val="auto"/>
                <w:highlight w:val="none"/>
              </w:rPr>
            </w:pPr>
          </w:p>
        </w:tc>
        <w:tc>
          <w:tcPr>
            <w:tcW w:w="887" w:type="dxa"/>
            <w:vMerge w:val="continue"/>
            <w:tcBorders>
              <w:left w:val="single" w:color="auto" w:sz="2" w:space="0"/>
              <w:right w:val="single" w:color="auto" w:sz="2" w:space="0"/>
            </w:tcBorders>
            <w:shd w:val="clear" w:color="auto" w:fill="auto"/>
            <w:noWrap w:val="0"/>
            <w:vAlign w:val="center"/>
          </w:tcPr>
          <w:p w14:paraId="0E23FFEA">
            <w:pPr>
              <w:keepNext w:val="0"/>
              <w:keepLines w:val="0"/>
              <w:pageBreakBefore w:val="0"/>
              <w:widowControl w:val="0"/>
              <w:shd w:val="clear"/>
              <w:kinsoku/>
              <w:wordWrap/>
              <w:overflowPunct/>
              <w:topLinePunct w:val="0"/>
              <w:autoSpaceDE/>
              <w:autoSpaceDN/>
              <w:bidi w:val="0"/>
              <w:spacing w:before="156" w:line="360" w:lineRule="auto"/>
              <w:ind w:left="0" w:leftChars="0" w:firstLine="0" w:firstLineChars="0"/>
              <w:jc w:val="left"/>
              <w:textAlignment w:val="auto"/>
              <w:rPr>
                <w:color w:val="auto"/>
                <w:highlight w:val="none"/>
              </w:rPr>
            </w:pPr>
          </w:p>
        </w:tc>
        <w:tc>
          <w:tcPr>
            <w:tcW w:w="6749" w:type="dxa"/>
            <w:tcBorders>
              <w:top w:val="single" w:color="auto" w:sz="4" w:space="0"/>
              <w:left w:val="single" w:color="auto" w:sz="2" w:space="0"/>
              <w:bottom w:val="single" w:color="auto" w:sz="4" w:space="0"/>
              <w:right w:val="single" w:color="auto" w:sz="2" w:space="0"/>
            </w:tcBorders>
            <w:shd w:val="clear" w:color="auto" w:fill="auto"/>
            <w:noWrap w:val="0"/>
            <w:vAlign w:val="center"/>
          </w:tcPr>
          <w:p w14:paraId="3C957913">
            <w:pPr>
              <w:keepNext w:val="0"/>
              <w:keepLines w:val="0"/>
              <w:pageBreakBefore w:val="0"/>
              <w:widowControl w:val="0"/>
              <w:numPr>
                <w:ilvl w:val="0"/>
                <w:numId w:val="0"/>
              </w:numPr>
              <w:shd w:val="clear"/>
              <w:kinsoku/>
              <w:wordWrap/>
              <w:overflowPunct/>
              <w:topLinePunct w:val="0"/>
              <w:autoSpaceDE/>
              <w:autoSpaceDN/>
              <w:bidi w:val="0"/>
              <w:spacing w:before="156" w:line="360" w:lineRule="auto"/>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根据投标人随设备提供的备品备件及耗材是否满足采购需求且确保设备的正常使用情况进行打分</w:t>
            </w:r>
            <w:r>
              <w:rPr>
                <w:rFonts w:hint="eastAsia" w:ascii="宋体" w:hAnsi="宋体" w:eastAsia="宋体" w:cs="宋体"/>
                <w:color w:val="auto"/>
                <w:kern w:val="2"/>
                <w:sz w:val="22"/>
                <w:szCs w:val="22"/>
                <w:highlight w:val="none"/>
                <w:lang w:val="en-US" w:eastAsia="zh-CN" w:bidi="ar-SA"/>
              </w:rPr>
              <w:t>（0-2分，步长0.5）</w:t>
            </w:r>
          </w:p>
        </w:tc>
        <w:tc>
          <w:tcPr>
            <w:tcW w:w="976" w:type="dxa"/>
            <w:vMerge w:val="continue"/>
            <w:tcBorders>
              <w:left w:val="single" w:color="auto" w:sz="2" w:space="0"/>
              <w:right w:val="single" w:color="auto" w:sz="2" w:space="0"/>
            </w:tcBorders>
            <w:shd w:val="clear" w:color="auto" w:fill="auto"/>
            <w:noWrap w:val="0"/>
            <w:vAlign w:val="center"/>
          </w:tcPr>
          <w:p w14:paraId="60E9639F">
            <w:pPr>
              <w:keepNext w:val="0"/>
              <w:keepLines w:val="0"/>
              <w:pageBreakBefore w:val="0"/>
              <w:widowControl w:val="0"/>
              <w:shd w:val="clear"/>
              <w:kinsoku/>
              <w:wordWrap/>
              <w:overflowPunct/>
              <w:topLinePunct w:val="0"/>
              <w:autoSpaceDE/>
              <w:autoSpaceDN/>
              <w:bidi w:val="0"/>
              <w:spacing w:before="156" w:line="360" w:lineRule="auto"/>
              <w:ind w:left="0" w:leftChars="0" w:firstLine="0" w:firstLineChars="0"/>
              <w:jc w:val="left"/>
              <w:textAlignment w:val="auto"/>
              <w:rPr>
                <w:rFonts w:hint="eastAsia" w:ascii="宋体" w:hAnsi="宋体" w:eastAsia="宋体" w:cs="宋体"/>
                <w:color w:val="auto"/>
                <w:sz w:val="22"/>
                <w:szCs w:val="22"/>
                <w:highlight w:val="none"/>
              </w:rPr>
            </w:pPr>
          </w:p>
        </w:tc>
      </w:tr>
      <w:tr w14:paraId="6D8CBA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69" w:hRule="atLeast"/>
        </w:trPr>
        <w:tc>
          <w:tcPr>
            <w:tcW w:w="732" w:type="dxa"/>
            <w:vMerge w:val="continue"/>
            <w:tcBorders>
              <w:left w:val="single" w:color="auto" w:sz="2" w:space="0"/>
              <w:right w:val="single" w:color="auto" w:sz="2" w:space="0"/>
            </w:tcBorders>
            <w:noWrap w:val="0"/>
            <w:vAlign w:val="center"/>
          </w:tcPr>
          <w:p w14:paraId="09866F9F">
            <w:pPr>
              <w:keepNext w:val="0"/>
              <w:keepLines w:val="0"/>
              <w:pageBreakBefore w:val="0"/>
              <w:widowControl w:val="0"/>
              <w:shd w:val="clear"/>
              <w:kinsoku/>
              <w:wordWrap/>
              <w:overflowPunct/>
              <w:topLinePunct w:val="0"/>
              <w:autoSpaceDE/>
              <w:autoSpaceDN/>
              <w:bidi w:val="0"/>
              <w:spacing w:before="156" w:line="360" w:lineRule="auto"/>
              <w:ind w:left="0" w:leftChars="0" w:firstLine="0" w:firstLineChars="0"/>
              <w:jc w:val="left"/>
              <w:textAlignment w:val="auto"/>
              <w:rPr>
                <w:color w:val="auto"/>
                <w:highlight w:val="none"/>
              </w:rPr>
            </w:pPr>
          </w:p>
        </w:tc>
        <w:tc>
          <w:tcPr>
            <w:tcW w:w="887" w:type="dxa"/>
            <w:vMerge w:val="continue"/>
            <w:tcBorders>
              <w:left w:val="single" w:color="auto" w:sz="2" w:space="0"/>
              <w:right w:val="single" w:color="auto" w:sz="2" w:space="0"/>
            </w:tcBorders>
            <w:shd w:val="clear" w:color="auto" w:fill="auto"/>
            <w:noWrap w:val="0"/>
            <w:vAlign w:val="center"/>
          </w:tcPr>
          <w:p w14:paraId="72DB4961">
            <w:pPr>
              <w:keepNext w:val="0"/>
              <w:keepLines w:val="0"/>
              <w:pageBreakBefore w:val="0"/>
              <w:widowControl w:val="0"/>
              <w:shd w:val="clear"/>
              <w:kinsoku/>
              <w:wordWrap/>
              <w:overflowPunct/>
              <w:topLinePunct w:val="0"/>
              <w:autoSpaceDE/>
              <w:autoSpaceDN/>
              <w:bidi w:val="0"/>
              <w:spacing w:before="156" w:line="360" w:lineRule="auto"/>
              <w:ind w:left="0" w:leftChars="0" w:firstLine="0" w:firstLineChars="0"/>
              <w:jc w:val="left"/>
              <w:textAlignment w:val="auto"/>
              <w:rPr>
                <w:color w:val="auto"/>
                <w:sz w:val="20"/>
                <w:szCs w:val="22"/>
                <w:highlight w:val="none"/>
              </w:rPr>
            </w:pPr>
          </w:p>
        </w:tc>
        <w:tc>
          <w:tcPr>
            <w:tcW w:w="6749" w:type="dxa"/>
            <w:tcBorders>
              <w:top w:val="single" w:color="auto" w:sz="4" w:space="0"/>
              <w:left w:val="single" w:color="auto" w:sz="2" w:space="0"/>
              <w:bottom w:val="single" w:color="auto" w:sz="4" w:space="0"/>
              <w:right w:val="single" w:color="auto" w:sz="2" w:space="0"/>
            </w:tcBorders>
            <w:shd w:val="clear" w:color="auto" w:fill="auto"/>
            <w:noWrap w:val="0"/>
            <w:vAlign w:val="center"/>
          </w:tcPr>
          <w:p w14:paraId="788D4FDD">
            <w:pPr>
              <w:keepNext w:val="0"/>
              <w:keepLines w:val="0"/>
              <w:pageBreakBefore w:val="0"/>
              <w:widowControl w:val="0"/>
              <w:numPr>
                <w:ilvl w:val="0"/>
                <w:numId w:val="0"/>
              </w:numPr>
              <w:shd w:val="clear"/>
              <w:kinsoku/>
              <w:wordWrap/>
              <w:overflowPunct/>
              <w:topLinePunct w:val="0"/>
              <w:autoSpaceDE/>
              <w:autoSpaceDN/>
              <w:bidi w:val="0"/>
              <w:spacing w:before="156" w:line="360" w:lineRule="auto"/>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质保期承诺：</w:t>
            </w:r>
            <w:r>
              <w:rPr>
                <w:rFonts w:hint="eastAsia" w:ascii="宋体" w:hAnsi="宋体" w:eastAsia="宋体" w:cs="宋体"/>
                <w:bCs/>
                <w:color w:val="auto"/>
                <w:sz w:val="22"/>
                <w:szCs w:val="22"/>
                <w:highlight w:val="none"/>
              </w:rPr>
              <w:t>质保期在招标文件要求的基础上</w:t>
            </w:r>
            <w:r>
              <w:rPr>
                <w:rFonts w:hint="eastAsia" w:ascii="宋体" w:hAnsi="宋体" w:cs="宋体"/>
                <w:bCs/>
                <w:color w:val="auto"/>
                <w:sz w:val="22"/>
                <w:szCs w:val="22"/>
                <w:highlight w:val="none"/>
                <w:lang w:val="en-US" w:eastAsia="zh-CN"/>
              </w:rPr>
              <w:t>每</w:t>
            </w:r>
            <w:r>
              <w:rPr>
                <w:rFonts w:hint="eastAsia" w:ascii="宋体" w:hAnsi="宋体" w:eastAsia="宋体" w:cs="宋体"/>
                <w:bCs/>
                <w:color w:val="auto"/>
                <w:sz w:val="22"/>
                <w:szCs w:val="22"/>
                <w:highlight w:val="none"/>
              </w:rPr>
              <w:t>增加一年</w:t>
            </w:r>
            <w:r>
              <w:rPr>
                <w:rFonts w:hint="eastAsia" w:ascii="宋体" w:hAnsi="宋体" w:cs="宋体"/>
                <w:bCs/>
                <w:color w:val="auto"/>
                <w:sz w:val="22"/>
                <w:szCs w:val="22"/>
                <w:highlight w:val="none"/>
                <w:lang w:val="en-US" w:eastAsia="zh-CN"/>
              </w:rPr>
              <w:t>得</w:t>
            </w:r>
            <w:r>
              <w:rPr>
                <w:rFonts w:hint="eastAsia" w:ascii="宋体" w:hAnsi="宋体" w:eastAsia="宋体" w:cs="宋体"/>
                <w:bCs/>
                <w:color w:val="auto"/>
                <w:sz w:val="22"/>
                <w:szCs w:val="22"/>
                <w:highlight w:val="none"/>
              </w:rPr>
              <w:t>1分，本项最多</w:t>
            </w:r>
            <w:r>
              <w:rPr>
                <w:rFonts w:hint="eastAsia" w:ascii="宋体" w:hAnsi="宋体" w:cs="宋体"/>
                <w:bCs/>
                <w:color w:val="auto"/>
                <w:sz w:val="22"/>
                <w:szCs w:val="22"/>
                <w:highlight w:val="none"/>
                <w:lang w:val="en-US" w:eastAsia="zh-CN"/>
              </w:rPr>
              <w:t>得</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p>
        </w:tc>
        <w:tc>
          <w:tcPr>
            <w:tcW w:w="976" w:type="dxa"/>
            <w:vMerge w:val="continue"/>
            <w:tcBorders>
              <w:left w:val="single" w:color="auto" w:sz="2" w:space="0"/>
              <w:bottom w:val="single" w:color="auto" w:sz="4" w:space="0"/>
              <w:right w:val="single" w:color="auto" w:sz="2" w:space="0"/>
            </w:tcBorders>
            <w:shd w:val="clear" w:color="auto" w:fill="auto"/>
            <w:noWrap w:val="0"/>
            <w:vAlign w:val="center"/>
          </w:tcPr>
          <w:p w14:paraId="68573070">
            <w:pPr>
              <w:keepNext w:val="0"/>
              <w:keepLines w:val="0"/>
              <w:pageBreakBefore w:val="0"/>
              <w:widowControl w:val="0"/>
              <w:shd w:val="clear"/>
              <w:kinsoku/>
              <w:wordWrap/>
              <w:overflowPunct/>
              <w:topLinePunct w:val="0"/>
              <w:autoSpaceDE/>
              <w:autoSpaceDN/>
              <w:bidi w:val="0"/>
              <w:spacing w:before="156" w:line="360" w:lineRule="auto"/>
              <w:ind w:left="0" w:leftChars="0" w:firstLine="0" w:firstLineChars="0"/>
              <w:jc w:val="left"/>
              <w:textAlignment w:val="auto"/>
              <w:rPr>
                <w:rFonts w:hint="eastAsia" w:ascii="仿宋" w:hAnsi="仿宋" w:eastAsia="仿宋" w:cs="仿宋"/>
                <w:color w:val="auto"/>
                <w:sz w:val="24"/>
                <w:szCs w:val="24"/>
                <w:highlight w:val="none"/>
              </w:rPr>
            </w:pPr>
          </w:p>
        </w:tc>
      </w:tr>
      <w:tr w14:paraId="0CDF15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65" w:hRule="atLeast"/>
        </w:trPr>
        <w:tc>
          <w:tcPr>
            <w:tcW w:w="732" w:type="dxa"/>
            <w:tcBorders>
              <w:left w:val="single" w:color="auto" w:sz="2" w:space="0"/>
              <w:right w:val="single" w:color="auto" w:sz="2" w:space="0"/>
            </w:tcBorders>
            <w:noWrap w:val="0"/>
            <w:vAlign w:val="center"/>
          </w:tcPr>
          <w:p w14:paraId="68C1108E">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887" w:type="dxa"/>
            <w:tcBorders>
              <w:left w:val="single" w:color="auto" w:sz="2" w:space="0"/>
              <w:right w:val="single" w:color="auto" w:sz="2" w:space="0"/>
            </w:tcBorders>
            <w:shd w:val="clear" w:color="auto" w:fill="auto"/>
            <w:noWrap w:val="0"/>
            <w:vAlign w:val="center"/>
          </w:tcPr>
          <w:p w14:paraId="4C8A53DD">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lang w:eastAsia="zh-CN"/>
              </w:rPr>
              <w:t>应急</w:t>
            </w:r>
            <w:r>
              <w:rPr>
                <w:rFonts w:hint="eastAsia" w:ascii="宋体" w:hAnsi="宋体" w:cs="宋体"/>
                <w:bCs/>
                <w:color w:val="auto"/>
                <w:sz w:val="22"/>
                <w:szCs w:val="22"/>
                <w:highlight w:val="none"/>
                <w:lang w:val="en-US" w:eastAsia="zh-CN"/>
              </w:rPr>
              <w:t>方案</w:t>
            </w:r>
          </w:p>
        </w:tc>
        <w:tc>
          <w:tcPr>
            <w:tcW w:w="6749" w:type="dxa"/>
            <w:tcBorders>
              <w:top w:val="single" w:color="auto" w:sz="4" w:space="0"/>
              <w:left w:val="single" w:color="auto" w:sz="2" w:space="0"/>
              <w:bottom w:val="single" w:color="auto" w:sz="4" w:space="0"/>
              <w:right w:val="single" w:color="auto" w:sz="2" w:space="0"/>
            </w:tcBorders>
            <w:shd w:val="clear" w:color="auto" w:fill="auto"/>
            <w:noWrap w:val="0"/>
            <w:vAlign w:val="center"/>
          </w:tcPr>
          <w:p w14:paraId="4C81EB49">
            <w:pPr>
              <w:keepNext w:val="0"/>
              <w:keepLines w:val="0"/>
              <w:pageBreakBefore w:val="0"/>
              <w:widowControl w:val="0"/>
              <w:numPr>
                <w:ilvl w:val="0"/>
                <w:numId w:val="11"/>
              </w:numPr>
              <w:shd w:val="clear"/>
              <w:kinsoku/>
              <w:wordWrap/>
              <w:overflowPunct/>
              <w:topLinePunct w:val="0"/>
              <w:autoSpaceDE/>
              <w:autoSpaceDN/>
              <w:bidi w:val="0"/>
              <w:spacing w:before="156" w:line="360" w:lineRule="auto"/>
              <w:ind w:firstLine="0" w:firstLineChars="0"/>
              <w:jc w:val="left"/>
              <w:textAlignment w:val="auto"/>
              <w:rPr>
                <w:rStyle w:val="971"/>
                <w:rFonts w:hint="eastAsia" w:ascii="宋体" w:hAnsi="宋体" w:cs="宋体"/>
                <w:color w:val="auto"/>
                <w:kern w:val="0"/>
                <w:sz w:val="22"/>
                <w:szCs w:val="22"/>
                <w:highlight w:val="none"/>
                <w:lang w:val="en-US" w:eastAsia="zh-CN"/>
              </w:rPr>
            </w:pPr>
            <w:r>
              <w:rPr>
                <w:rStyle w:val="971"/>
                <w:rFonts w:hint="eastAsia" w:ascii="宋体" w:hAnsi="宋体" w:eastAsia="宋体" w:cs="宋体"/>
                <w:color w:val="auto"/>
                <w:kern w:val="0"/>
                <w:sz w:val="22"/>
                <w:szCs w:val="22"/>
                <w:highlight w:val="none"/>
                <w:lang w:val="zh-CN"/>
              </w:rPr>
              <w:t>针对可能出现的突发性、应急性等事件</w:t>
            </w:r>
            <w:r>
              <w:rPr>
                <w:rStyle w:val="971"/>
                <w:rFonts w:hint="eastAsia" w:ascii="宋体" w:hAnsi="宋体" w:cs="宋体"/>
                <w:color w:val="auto"/>
                <w:kern w:val="0"/>
                <w:sz w:val="22"/>
                <w:szCs w:val="22"/>
                <w:highlight w:val="none"/>
                <w:lang w:val="zh-CN"/>
              </w:rPr>
              <w:t>的</w:t>
            </w:r>
            <w:r>
              <w:rPr>
                <w:rStyle w:val="971"/>
                <w:rFonts w:hint="eastAsia" w:ascii="宋体" w:hAnsi="宋体" w:cs="宋体"/>
                <w:color w:val="auto"/>
                <w:kern w:val="0"/>
                <w:sz w:val="22"/>
                <w:szCs w:val="22"/>
                <w:highlight w:val="none"/>
                <w:lang w:val="en-US" w:eastAsia="zh-CN"/>
              </w:rPr>
              <w:t>措施；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0-1分，步长0.1</w:t>
            </w:r>
            <w:r>
              <w:rPr>
                <w:rFonts w:hint="eastAsia" w:ascii="宋体" w:hAnsi="宋体" w:cs="宋体"/>
                <w:color w:val="auto"/>
                <w:sz w:val="22"/>
                <w:szCs w:val="22"/>
                <w:highlight w:val="none"/>
                <w:lang w:eastAsia="zh-CN"/>
              </w:rPr>
              <w:t>）</w:t>
            </w:r>
          </w:p>
          <w:p w14:paraId="3B088826">
            <w:pPr>
              <w:keepNext w:val="0"/>
              <w:keepLines w:val="0"/>
              <w:pageBreakBefore w:val="0"/>
              <w:widowControl w:val="0"/>
              <w:numPr>
                <w:ilvl w:val="0"/>
                <w:numId w:val="11"/>
              </w:numPr>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Style w:val="971"/>
                <w:rFonts w:hint="eastAsia" w:ascii="宋体" w:hAnsi="宋体" w:eastAsia="宋体" w:cs="宋体"/>
                <w:color w:val="auto"/>
                <w:kern w:val="0"/>
                <w:sz w:val="22"/>
                <w:szCs w:val="22"/>
                <w:highlight w:val="none"/>
                <w:lang w:val="zh-CN"/>
              </w:rPr>
              <w:t>设置应对</w:t>
            </w:r>
            <w:r>
              <w:rPr>
                <w:rStyle w:val="971"/>
                <w:rFonts w:hint="eastAsia" w:ascii="宋体" w:hAnsi="宋体" w:eastAsia="宋体" w:cs="宋体"/>
                <w:color w:val="auto"/>
                <w:kern w:val="0"/>
                <w:sz w:val="22"/>
                <w:szCs w:val="22"/>
                <w:highlight w:val="none"/>
              </w:rPr>
              <w:t>机构、人员及</w:t>
            </w:r>
            <w:r>
              <w:rPr>
                <w:rStyle w:val="971"/>
                <w:rFonts w:hint="eastAsia" w:ascii="宋体" w:hAnsi="宋体" w:eastAsia="宋体" w:cs="宋体"/>
                <w:color w:val="auto"/>
                <w:kern w:val="0"/>
                <w:sz w:val="22"/>
                <w:szCs w:val="22"/>
                <w:highlight w:val="none"/>
                <w:lang w:val="zh-CN"/>
              </w:rPr>
              <w:t>措施</w:t>
            </w:r>
            <w:r>
              <w:rPr>
                <w:rStyle w:val="971"/>
                <w:rFonts w:hint="eastAsia" w:ascii="宋体" w:hAnsi="宋体" w:cs="宋体"/>
                <w:color w:val="auto"/>
                <w:kern w:val="0"/>
                <w:sz w:val="22"/>
                <w:szCs w:val="22"/>
                <w:highlight w:val="none"/>
                <w:lang w:val="zh-CN"/>
              </w:rPr>
              <w:t>；</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0-1分，步长0.1</w:t>
            </w:r>
            <w:r>
              <w:rPr>
                <w:rFonts w:hint="eastAsia" w:ascii="宋体" w:hAnsi="宋体" w:cs="宋体"/>
                <w:color w:val="auto"/>
                <w:sz w:val="22"/>
                <w:szCs w:val="22"/>
                <w:highlight w:val="none"/>
                <w:lang w:eastAsia="zh-CN"/>
              </w:rPr>
              <w:t>）</w:t>
            </w:r>
          </w:p>
          <w:p w14:paraId="618BE320">
            <w:pPr>
              <w:keepNext w:val="0"/>
              <w:keepLines w:val="0"/>
              <w:pageBreakBefore w:val="0"/>
              <w:widowControl w:val="0"/>
              <w:numPr>
                <w:ilvl w:val="0"/>
                <w:numId w:val="11"/>
              </w:numPr>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Style w:val="971"/>
                <w:rFonts w:hint="eastAsia" w:ascii="宋体" w:hAnsi="宋体" w:eastAsia="宋体" w:cs="宋体"/>
                <w:color w:val="auto"/>
                <w:kern w:val="0"/>
                <w:sz w:val="22"/>
                <w:szCs w:val="22"/>
                <w:highlight w:val="none"/>
                <w:lang w:val="zh-CN"/>
              </w:rPr>
              <w:t>提供有效保障等内容</w:t>
            </w:r>
            <w:r>
              <w:rPr>
                <w:rStyle w:val="971"/>
                <w:rFonts w:hint="eastAsia" w:ascii="宋体" w:hAnsi="宋体" w:cs="宋体"/>
                <w:color w:val="auto"/>
                <w:kern w:val="0"/>
                <w:sz w:val="22"/>
                <w:szCs w:val="22"/>
                <w:highlight w:val="none"/>
                <w:lang w:val="zh-CN"/>
              </w:rPr>
              <w:t>。</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0-1分，步长0.1</w:t>
            </w:r>
            <w:r>
              <w:rPr>
                <w:rFonts w:hint="eastAsia" w:ascii="宋体" w:hAnsi="宋体" w:cs="宋体"/>
                <w:color w:val="auto"/>
                <w:sz w:val="22"/>
                <w:szCs w:val="22"/>
                <w:highlight w:val="none"/>
                <w:lang w:eastAsia="zh-CN"/>
              </w:rPr>
              <w:t>）</w:t>
            </w:r>
          </w:p>
        </w:tc>
        <w:tc>
          <w:tcPr>
            <w:tcW w:w="976" w:type="dxa"/>
            <w:tcBorders>
              <w:top w:val="single" w:color="auto" w:sz="4" w:space="0"/>
              <w:left w:val="single" w:color="auto" w:sz="2" w:space="0"/>
              <w:bottom w:val="single" w:color="auto" w:sz="4" w:space="0"/>
              <w:right w:val="single" w:color="auto" w:sz="2" w:space="0"/>
            </w:tcBorders>
            <w:shd w:val="clear" w:color="auto" w:fill="auto"/>
            <w:noWrap w:val="0"/>
            <w:vAlign w:val="center"/>
          </w:tcPr>
          <w:p w14:paraId="2B1BD896">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0-3分</w:t>
            </w:r>
          </w:p>
        </w:tc>
      </w:tr>
      <w:tr w14:paraId="74C429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05" w:hRule="atLeast"/>
        </w:trPr>
        <w:tc>
          <w:tcPr>
            <w:tcW w:w="732" w:type="dxa"/>
            <w:tcBorders>
              <w:left w:val="single" w:color="auto" w:sz="2" w:space="0"/>
              <w:right w:val="single" w:color="auto" w:sz="2" w:space="0"/>
            </w:tcBorders>
            <w:noWrap w:val="0"/>
            <w:vAlign w:val="center"/>
          </w:tcPr>
          <w:p w14:paraId="3868C986">
            <w:pPr>
              <w:keepNext w:val="0"/>
              <w:keepLines w:val="0"/>
              <w:pageBreakBefore w:val="0"/>
              <w:widowControl/>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887" w:type="dxa"/>
            <w:tcBorders>
              <w:left w:val="single" w:color="auto" w:sz="2" w:space="0"/>
              <w:right w:val="single" w:color="auto" w:sz="2" w:space="0"/>
            </w:tcBorders>
            <w:noWrap w:val="0"/>
            <w:vAlign w:val="center"/>
          </w:tcPr>
          <w:p w14:paraId="0A5055EC">
            <w:pPr>
              <w:widowControl/>
              <w:shd w:val="clear"/>
              <w:spacing w:line="360" w:lineRule="auto"/>
              <w:jc w:val="center"/>
              <w:rPr>
                <w:rFonts w:hint="eastAsia" w:ascii="宋体" w:hAnsi="宋体" w:eastAsia="宋体" w:cs="宋体"/>
                <w:color w:val="auto"/>
                <w:sz w:val="22"/>
                <w:szCs w:val="22"/>
                <w:highlight w:val="none"/>
              </w:rPr>
            </w:pPr>
            <w:r>
              <w:rPr>
                <w:rFonts w:hint="eastAsia" w:ascii="宋体" w:hAnsi="宋体" w:cs="宋体"/>
                <w:bCs/>
                <w:color w:val="auto"/>
                <w:sz w:val="22"/>
                <w:szCs w:val="22"/>
                <w:highlight w:val="none"/>
                <w:lang w:val="en-US" w:eastAsia="zh-CN"/>
              </w:rPr>
              <w:t>演示部分</w:t>
            </w:r>
          </w:p>
        </w:tc>
        <w:tc>
          <w:tcPr>
            <w:tcW w:w="6749" w:type="dxa"/>
            <w:tcBorders>
              <w:top w:val="single" w:color="auto" w:sz="4" w:space="0"/>
              <w:left w:val="single" w:color="auto" w:sz="2" w:space="0"/>
              <w:bottom w:val="single" w:color="auto" w:sz="4" w:space="0"/>
              <w:right w:val="single" w:color="auto" w:sz="2" w:space="0"/>
            </w:tcBorders>
            <w:noWrap w:val="0"/>
            <w:vAlign w:val="center"/>
          </w:tcPr>
          <w:p w14:paraId="7EEDF793">
            <w:pPr>
              <w:keepNext w:val="0"/>
              <w:keepLines w:val="0"/>
              <w:pageBreakBefore w:val="0"/>
              <w:widowControl w:val="0"/>
              <w:shd w:val="clear"/>
              <w:kinsoku/>
              <w:wordWrap/>
              <w:overflowPunct/>
              <w:topLinePunct w:val="0"/>
              <w:autoSpaceDE/>
              <w:autoSpaceDN/>
              <w:bidi w:val="0"/>
              <w:spacing w:before="156" w:line="360" w:lineRule="auto"/>
              <w:ind w:firstLine="0"/>
              <w:jc w:val="left"/>
              <w:textAlignment w:val="auto"/>
              <w:rPr>
                <w:rFonts w:hint="eastAsia"/>
                <w:color w:val="auto"/>
                <w:sz w:val="22"/>
                <w:szCs w:val="22"/>
                <w:highlight w:val="none"/>
                <w:lang w:val="en-US" w:eastAsia="zh-CN"/>
              </w:rPr>
            </w:pPr>
            <w:r>
              <w:rPr>
                <w:rFonts w:hint="eastAsia"/>
                <w:color w:val="auto"/>
                <w:sz w:val="22"/>
                <w:szCs w:val="22"/>
                <w:highlight w:val="none"/>
                <w:lang w:val="en-US" w:eastAsia="zh-CN"/>
              </w:rPr>
              <w:t>演示视频应稳定、清晰，以整体不间断拍摄视频存储于U盘中，每个投标人的讲解视频时间总长不得多于10分钟。投标人应当确保U盘能够打开运行并正式使用，超过演示时间或未按规定递交的，采用PPT、word文档、讲义等其他形式演示的该项不得分（0-7分，步长0.5）</w:t>
            </w:r>
          </w:p>
          <w:p w14:paraId="24A113C7">
            <w:pPr>
              <w:keepNext w:val="0"/>
              <w:keepLines w:val="0"/>
              <w:pageBreakBefore w:val="0"/>
              <w:widowControl w:val="0"/>
              <w:shd w:val="clear"/>
              <w:kinsoku/>
              <w:wordWrap/>
              <w:overflowPunct/>
              <w:topLinePunct w:val="0"/>
              <w:autoSpaceDE/>
              <w:autoSpaceDN/>
              <w:bidi w:val="0"/>
              <w:spacing w:before="156" w:line="360" w:lineRule="auto"/>
              <w:ind w:firstLine="0"/>
              <w:jc w:val="left"/>
              <w:textAlignment w:val="auto"/>
              <w:rPr>
                <w:rFonts w:hint="eastAsia"/>
                <w:color w:val="auto"/>
                <w:sz w:val="22"/>
                <w:szCs w:val="22"/>
                <w:highlight w:val="none"/>
                <w:lang w:val="en-US" w:eastAsia="zh-CN"/>
              </w:rPr>
            </w:pPr>
            <w:r>
              <w:rPr>
                <w:rFonts w:hint="eastAsia"/>
                <w:color w:val="auto"/>
                <w:sz w:val="22"/>
                <w:szCs w:val="22"/>
                <w:highlight w:val="none"/>
                <w:lang w:val="en-US" w:eastAsia="zh-CN"/>
              </w:rPr>
              <w:t>演示内容如下：</w:t>
            </w:r>
          </w:p>
          <w:p w14:paraId="39EC7BAB">
            <w:pPr>
              <w:keepNext w:val="0"/>
              <w:keepLines w:val="0"/>
              <w:pageBreakBefore w:val="0"/>
              <w:widowControl w:val="0"/>
              <w:shd w:val="clear"/>
              <w:kinsoku/>
              <w:wordWrap/>
              <w:overflowPunct/>
              <w:topLinePunct w:val="0"/>
              <w:autoSpaceDE/>
              <w:autoSpaceDN/>
              <w:bidi w:val="0"/>
              <w:spacing w:before="156" w:line="240" w:lineRule="auto"/>
              <w:ind w:firstLine="0" w:firstLineChars="0"/>
              <w:jc w:val="left"/>
              <w:textAlignment w:val="auto"/>
              <w:rPr>
                <w:rFonts w:hint="eastAsia"/>
                <w:color w:val="auto"/>
                <w:sz w:val="22"/>
                <w:szCs w:val="22"/>
                <w:highlight w:val="none"/>
                <w:lang w:val="en-US" w:eastAsia="zh-CN"/>
              </w:rPr>
            </w:pPr>
            <w:r>
              <w:rPr>
                <w:rFonts w:hint="eastAsia"/>
                <w:color w:val="auto"/>
                <w:sz w:val="22"/>
                <w:szCs w:val="22"/>
                <w:highlight w:val="none"/>
                <w:lang w:val="en-US" w:eastAsia="zh-CN"/>
              </w:rPr>
              <w:t>1.固移两用：基座设备支持手持卫星电话放入基座后变身室内座机使用，解决卫星电话在室内无法拨打电话，发送短信，获取信息等问题；</w:t>
            </w:r>
          </w:p>
          <w:p w14:paraId="18AAC265">
            <w:pPr>
              <w:keepNext w:val="0"/>
              <w:keepLines w:val="0"/>
              <w:pageBreakBefore w:val="0"/>
              <w:widowControl w:val="0"/>
              <w:shd w:val="clear"/>
              <w:kinsoku/>
              <w:wordWrap/>
              <w:overflowPunct/>
              <w:topLinePunct w:val="0"/>
              <w:autoSpaceDE/>
              <w:autoSpaceDN/>
              <w:bidi w:val="0"/>
              <w:spacing w:before="156" w:line="240" w:lineRule="auto"/>
              <w:ind w:firstLine="0" w:firstLineChars="0"/>
              <w:jc w:val="left"/>
              <w:textAlignment w:val="auto"/>
              <w:rPr>
                <w:rFonts w:hint="eastAsia"/>
                <w:color w:val="auto"/>
                <w:sz w:val="22"/>
                <w:szCs w:val="22"/>
                <w:highlight w:val="none"/>
                <w:lang w:val="en-US" w:eastAsia="zh-CN"/>
              </w:rPr>
            </w:pPr>
            <w:r>
              <w:rPr>
                <w:rFonts w:hint="eastAsia"/>
                <w:color w:val="auto"/>
                <w:sz w:val="22"/>
                <w:szCs w:val="22"/>
                <w:highlight w:val="none"/>
                <w:lang w:val="en-US" w:eastAsia="zh-CN"/>
              </w:rPr>
              <w:t>2.支持Cat1功能，实现对卫星电话的智能化管理及接收应急广播等；</w:t>
            </w:r>
          </w:p>
          <w:p w14:paraId="65825C46">
            <w:pPr>
              <w:keepNext w:val="0"/>
              <w:keepLines w:val="0"/>
              <w:pageBreakBefore w:val="0"/>
              <w:widowControl w:val="0"/>
              <w:shd w:val="clear"/>
              <w:kinsoku/>
              <w:wordWrap/>
              <w:overflowPunct/>
              <w:topLinePunct w:val="0"/>
              <w:autoSpaceDE/>
              <w:autoSpaceDN/>
              <w:bidi w:val="0"/>
              <w:spacing w:before="156" w:line="240" w:lineRule="auto"/>
              <w:ind w:firstLine="0" w:firstLineChars="0"/>
              <w:jc w:val="left"/>
              <w:textAlignment w:val="auto"/>
              <w:rPr>
                <w:rFonts w:hint="eastAsia"/>
                <w:color w:val="auto"/>
                <w:sz w:val="22"/>
                <w:szCs w:val="22"/>
                <w:highlight w:val="none"/>
                <w:lang w:val="en-US" w:eastAsia="zh-CN"/>
              </w:rPr>
            </w:pPr>
            <w:r>
              <w:rPr>
                <w:rFonts w:hint="eastAsia"/>
                <w:color w:val="auto"/>
                <w:sz w:val="22"/>
                <w:szCs w:val="22"/>
                <w:highlight w:val="none"/>
                <w:lang w:val="en-US" w:eastAsia="zh-CN"/>
              </w:rPr>
              <w:t>3.实现来电摘机接听电话，挂机挂断电话、铃声自适应、自动唤醒等功能，支持手机充电保护；</w:t>
            </w:r>
          </w:p>
          <w:p w14:paraId="72C8BA40">
            <w:pPr>
              <w:keepNext w:val="0"/>
              <w:keepLines w:val="0"/>
              <w:pageBreakBefore w:val="0"/>
              <w:widowControl w:val="0"/>
              <w:shd w:val="clear"/>
              <w:kinsoku/>
              <w:wordWrap/>
              <w:overflowPunct/>
              <w:topLinePunct w:val="0"/>
              <w:autoSpaceDE/>
              <w:autoSpaceDN/>
              <w:bidi w:val="0"/>
              <w:spacing w:before="156" w:line="240" w:lineRule="auto"/>
              <w:ind w:firstLine="0" w:firstLineChars="0"/>
              <w:jc w:val="left"/>
              <w:textAlignment w:val="auto"/>
              <w:rPr>
                <w:rFonts w:hint="eastAsia"/>
                <w:color w:val="auto"/>
                <w:sz w:val="22"/>
                <w:szCs w:val="22"/>
                <w:highlight w:val="none"/>
                <w:lang w:val="en-US" w:eastAsia="zh-CN"/>
              </w:rPr>
            </w:pPr>
            <w:r>
              <w:rPr>
                <w:rFonts w:hint="eastAsia"/>
                <w:color w:val="auto"/>
                <w:sz w:val="22"/>
                <w:szCs w:val="22"/>
                <w:highlight w:val="none"/>
                <w:lang w:val="en-US" w:eastAsia="zh-CN"/>
              </w:rPr>
              <w:t>4.支持卫星电话和基座通过蓝牙连接，设计可调节电话卡槽，兼容市面主流卫星电话品牌机型;</w:t>
            </w:r>
          </w:p>
          <w:p w14:paraId="2A89D76F">
            <w:pPr>
              <w:keepNext w:val="0"/>
              <w:keepLines w:val="0"/>
              <w:pageBreakBefore w:val="0"/>
              <w:widowControl w:val="0"/>
              <w:shd w:val="clear"/>
              <w:kinsoku/>
              <w:wordWrap/>
              <w:overflowPunct/>
              <w:topLinePunct w:val="0"/>
              <w:autoSpaceDE/>
              <w:autoSpaceDN/>
              <w:bidi w:val="0"/>
              <w:spacing w:before="156" w:line="240" w:lineRule="auto"/>
              <w:ind w:firstLine="0" w:firstLineChars="0"/>
              <w:jc w:val="left"/>
              <w:textAlignment w:val="auto"/>
              <w:rPr>
                <w:rFonts w:hint="eastAsia"/>
                <w:color w:val="auto"/>
                <w:sz w:val="22"/>
                <w:szCs w:val="22"/>
                <w:highlight w:val="none"/>
                <w:lang w:val="en-US" w:eastAsia="zh-CN"/>
              </w:rPr>
            </w:pPr>
            <w:r>
              <w:rPr>
                <w:rFonts w:hint="eastAsia"/>
                <w:color w:val="auto"/>
                <w:sz w:val="22"/>
                <w:szCs w:val="22"/>
                <w:highlight w:val="none"/>
                <w:lang w:val="en-US" w:eastAsia="zh-CN"/>
              </w:rPr>
              <w:t>5.产品配套提供管理平台：</w:t>
            </w:r>
          </w:p>
          <w:p w14:paraId="6DDB91A8">
            <w:pPr>
              <w:keepNext w:val="0"/>
              <w:keepLines w:val="0"/>
              <w:pageBreakBefore w:val="0"/>
              <w:widowControl w:val="0"/>
              <w:shd w:val="clear"/>
              <w:kinsoku/>
              <w:wordWrap/>
              <w:overflowPunct/>
              <w:topLinePunct w:val="0"/>
              <w:autoSpaceDE/>
              <w:autoSpaceDN/>
              <w:bidi w:val="0"/>
              <w:spacing w:before="156" w:line="240" w:lineRule="auto"/>
              <w:ind w:firstLine="0" w:firstLineChars="0"/>
              <w:jc w:val="left"/>
              <w:textAlignment w:val="auto"/>
              <w:rPr>
                <w:rFonts w:hint="eastAsia"/>
                <w:color w:val="auto"/>
                <w:sz w:val="22"/>
                <w:szCs w:val="22"/>
                <w:highlight w:val="none"/>
                <w:lang w:val="en-US" w:eastAsia="zh-CN"/>
              </w:rPr>
            </w:pPr>
            <w:r>
              <w:rPr>
                <w:rFonts w:hint="eastAsia"/>
                <w:color w:val="auto"/>
                <w:sz w:val="22"/>
                <w:szCs w:val="22"/>
                <w:highlight w:val="none"/>
                <w:lang w:val="en-US" w:eastAsia="zh-CN"/>
              </w:rPr>
              <w:t>A．配套管理平台支持对卫星设备的离在线、设备电量、位置情况、应急通知接收状态等进行分析展示，支持省、市、区县一张图管理；</w:t>
            </w:r>
          </w:p>
          <w:p w14:paraId="507A4123">
            <w:pPr>
              <w:keepNext w:val="0"/>
              <w:keepLines w:val="0"/>
              <w:pageBreakBefore w:val="0"/>
              <w:widowControl w:val="0"/>
              <w:shd w:val="clear"/>
              <w:kinsoku/>
              <w:wordWrap/>
              <w:overflowPunct/>
              <w:topLinePunct w:val="0"/>
              <w:autoSpaceDE/>
              <w:autoSpaceDN/>
              <w:bidi w:val="0"/>
              <w:spacing w:before="156" w:line="240" w:lineRule="auto"/>
              <w:ind w:firstLine="0" w:firstLineChars="0"/>
              <w:jc w:val="left"/>
              <w:textAlignment w:val="auto"/>
              <w:rPr>
                <w:rFonts w:hint="eastAsia"/>
                <w:color w:val="auto"/>
                <w:sz w:val="22"/>
                <w:szCs w:val="22"/>
                <w:highlight w:val="none"/>
                <w:lang w:val="en-US" w:eastAsia="zh-CN"/>
              </w:rPr>
            </w:pPr>
            <w:r>
              <w:rPr>
                <w:rFonts w:hint="eastAsia"/>
                <w:color w:val="auto"/>
                <w:sz w:val="22"/>
                <w:szCs w:val="22"/>
                <w:highlight w:val="none"/>
                <w:lang w:val="en-US" w:eastAsia="zh-CN"/>
              </w:rPr>
              <w:t>B、支持通过系统向基座按区域下发应急广播；</w:t>
            </w:r>
          </w:p>
          <w:p w14:paraId="0AEA0564">
            <w:pPr>
              <w:keepNext w:val="0"/>
              <w:keepLines w:val="0"/>
              <w:pageBreakBefore w:val="0"/>
              <w:widowControl w:val="0"/>
              <w:shd w:val="clear"/>
              <w:kinsoku/>
              <w:wordWrap/>
              <w:overflowPunct/>
              <w:topLinePunct w:val="0"/>
              <w:autoSpaceDE/>
              <w:autoSpaceDN/>
              <w:bidi w:val="0"/>
              <w:spacing w:before="156" w:line="240" w:lineRule="auto"/>
              <w:ind w:firstLine="0" w:firstLineChars="0"/>
              <w:jc w:val="left"/>
              <w:textAlignment w:val="auto"/>
              <w:rPr>
                <w:rFonts w:hint="eastAsia" w:ascii="宋体" w:hAnsi="宋体" w:eastAsia="宋体" w:cs="宋体"/>
                <w:color w:val="auto"/>
                <w:sz w:val="22"/>
                <w:szCs w:val="22"/>
                <w:highlight w:val="none"/>
              </w:rPr>
            </w:pPr>
            <w:r>
              <w:rPr>
                <w:rFonts w:hint="eastAsia"/>
                <w:color w:val="auto"/>
                <w:sz w:val="22"/>
                <w:szCs w:val="22"/>
                <w:highlight w:val="none"/>
                <w:lang w:val="en-US" w:eastAsia="zh-CN"/>
              </w:rPr>
              <w:t>C、支持按单次或周期向基座上安装的手持卫星电话按区域下发点名任务，并展示应答情况、点名统计等信息。</w:t>
            </w:r>
          </w:p>
        </w:tc>
        <w:tc>
          <w:tcPr>
            <w:tcW w:w="976" w:type="dxa"/>
            <w:tcBorders>
              <w:top w:val="single" w:color="auto" w:sz="4" w:space="0"/>
              <w:left w:val="single" w:color="auto" w:sz="2" w:space="0"/>
              <w:bottom w:val="single" w:color="auto" w:sz="4" w:space="0"/>
              <w:right w:val="single" w:color="auto" w:sz="2" w:space="0"/>
            </w:tcBorders>
            <w:noWrap w:val="0"/>
            <w:vAlign w:val="center"/>
          </w:tcPr>
          <w:p w14:paraId="4F9BCB13">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0-7分</w:t>
            </w:r>
          </w:p>
        </w:tc>
      </w:tr>
      <w:tr w14:paraId="662D37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84" w:hRule="atLeast"/>
        </w:trPr>
        <w:tc>
          <w:tcPr>
            <w:tcW w:w="732" w:type="dxa"/>
            <w:tcBorders>
              <w:left w:val="single" w:color="auto" w:sz="2" w:space="0"/>
              <w:right w:val="single" w:color="auto" w:sz="2" w:space="0"/>
            </w:tcBorders>
            <w:noWrap w:val="0"/>
            <w:vAlign w:val="center"/>
          </w:tcPr>
          <w:p w14:paraId="2E32A51E">
            <w:pPr>
              <w:keepNext w:val="0"/>
              <w:keepLines w:val="0"/>
              <w:pageBreakBefore w:val="0"/>
              <w:widowControl/>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887" w:type="dxa"/>
            <w:tcBorders>
              <w:left w:val="single" w:color="auto" w:sz="2" w:space="0"/>
              <w:right w:val="single" w:color="auto" w:sz="2" w:space="0"/>
            </w:tcBorders>
            <w:noWrap w:val="0"/>
            <w:vAlign w:val="center"/>
          </w:tcPr>
          <w:p w14:paraId="51D0421D">
            <w:pPr>
              <w:widowControl/>
              <w:shd w:val="clear"/>
              <w:spacing w:line="360" w:lineRule="auto"/>
              <w:jc w:val="center"/>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样品</w:t>
            </w:r>
          </w:p>
        </w:tc>
        <w:tc>
          <w:tcPr>
            <w:tcW w:w="6749" w:type="dxa"/>
            <w:tcBorders>
              <w:top w:val="single" w:color="auto" w:sz="4" w:space="0"/>
              <w:left w:val="single" w:color="auto" w:sz="2" w:space="0"/>
              <w:bottom w:val="single" w:color="auto" w:sz="4" w:space="0"/>
              <w:right w:val="single" w:color="auto" w:sz="2" w:space="0"/>
            </w:tcBorders>
            <w:noWrap w:val="0"/>
            <w:vAlign w:val="center"/>
          </w:tcPr>
          <w:p w14:paraId="2828C5EB">
            <w:pPr>
              <w:keepNext w:val="0"/>
              <w:keepLines w:val="0"/>
              <w:pageBreakBefore w:val="0"/>
              <w:widowControl w:val="0"/>
              <w:shd w:val="clear"/>
              <w:kinsoku/>
              <w:wordWrap/>
              <w:overflowPunct/>
              <w:topLinePunct w:val="0"/>
              <w:autoSpaceDE/>
              <w:autoSpaceDN/>
              <w:bidi w:val="0"/>
              <w:spacing w:before="156" w:line="240" w:lineRule="auto"/>
              <w:ind w:firstLine="0" w:firstLineChars="0"/>
              <w:jc w:val="left"/>
              <w:textAlignment w:val="auto"/>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缓降器：</w:t>
            </w:r>
            <w:r>
              <w:rPr>
                <w:rFonts w:hint="eastAsia" w:ascii="宋体" w:hAnsi="宋体" w:eastAsia="宋体" w:cs="宋体"/>
                <w:color w:val="auto"/>
                <w:kern w:val="2"/>
                <w:sz w:val="22"/>
                <w:szCs w:val="22"/>
                <w:highlight w:val="none"/>
                <w:lang w:val="en-US" w:eastAsia="zh-CN" w:bidi="ar-SA"/>
              </w:rPr>
              <w:t>根据投标人所提供的样品外观、材质、工艺、功能（性能）、重量、尺寸等方面进行综合评审；</w:t>
            </w:r>
            <w:r>
              <w:rPr>
                <w:rFonts w:hint="eastAsia" w:ascii="宋体" w:hAnsi="宋体" w:cs="宋体"/>
                <w:color w:val="auto"/>
                <w:kern w:val="2"/>
                <w:sz w:val="22"/>
                <w:szCs w:val="22"/>
                <w:highlight w:val="none"/>
                <w:lang w:val="en-US" w:eastAsia="zh-CN" w:bidi="ar-SA"/>
              </w:rPr>
              <w:t>（0-4分，步长0.2）</w:t>
            </w:r>
          </w:p>
        </w:tc>
        <w:tc>
          <w:tcPr>
            <w:tcW w:w="976" w:type="dxa"/>
            <w:tcBorders>
              <w:top w:val="single" w:color="auto" w:sz="4" w:space="0"/>
              <w:left w:val="single" w:color="auto" w:sz="2" w:space="0"/>
              <w:right w:val="single" w:color="auto" w:sz="2" w:space="0"/>
            </w:tcBorders>
            <w:noWrap w:val="0"/>
            <w:vAlign w:val="center"/>
          </w:tcPr>
          <w:p w14:paraId="5D675BCB">
            <w:pPr>
              <w:widowControl/>
              <w:shd w:val="clear"/>
              <w:spacing w:line="380" w:lineRule="exact"/>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0-4分</w:t>
            </w:r>
          </w:p>
        </w:tc>
      </w:tr>
    </w:tbl>
    <w:p w14:paraId="0E7B967A">
      <w:pPr>
        <w:keepNext w:val="0"/>
        <w:keepLines w:val="0"/>
        <w:pageBreakBefore w:val="0"/>
        <w:shd w:val="clear"/>
        <w:kinsoku/>
        <w:wordWrap/>
        <w:overflowPunct/>
        <w:topLinePunct w:val="0"/>
        <w:bidi w:val="0"/>
        <w:adjustRightInd w:val="0"/>
        <w:snapToGrid w:val="0"/>
        <w:spacing w:line="240" w:lineRule="auto"/>
        <w:textAlignment w:val="auto"/>
        <w:rPr>
          <w:rFonts w:hint="eastAsia" w:ascii="宋体" w:hAnsi="宋体" w:eastAsia="宋体" w:cs="宋体"/>
          <w:color w:val="auto"/>
          <w:sz w:val="20"/>
          <w:szCs w:val="20"/>
          <w:highlight w:val="none"/>
          <w:shd w:val="clear" w:color="auto" w:fill="FFFFFF"/>
        </w:rPr>
      </w:pPr>
    </w:p>
    <w:p w14:paraId="0E15B4BE">
      <w:pPr>
        <w:keepNext w:val="0"/>
        <w:keepLines w:val="0"/>
        <w:pageBreakBefore w:val="0"/>
        <w:shd w:val="clear"/>
        <w:kinsoku/>
        <w:wordWrap/>
        <w:overflowPunct/>
        <w:topLinePunct w:val="0"/>
        <w:bidi w:val="0"/>
        <w:adjustRightInd w:val="0"/>
        <w:snapToGri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14:paraId="20B2CB60">
      <w:pPr>
        <w:pStyle w:val="2"/>
        <w:shd w:val="clear"/>
        <w:rPr>
          <w:rFonts w:hint="eastAsia" w:ascii="宋体" w:hAnsi="宋体" w:eastAsia="宋体" w:cs="宋体"/>
          <w:color w:val="auto"/>
          <w:sz w:val="24"/>
          <w:highlight w:val="none"/>
        </w:rPr>
      </w:pPr>
      <w:r>
        <w:rPr>
          <w:rFonts w:hint="eastAsia" w:ascii="宋体" w:hAnsi="宋体" w:eastAsia="宋体" w:cs="宋体"/>
          <w:b/>
          <w:bCs/>
          <w:iCs/>
          <w:color w:val="auto"/>
          <w:sz w:val="22"/>
          <w:szCs w:val="28"/>
          <w:highlight w:val="none"/>
          <w:lang w:val="en-US" w:eastAsia="zh-CN"/>
        </w:rPr>
        <w:t>2.1.2标项二商务技术分（70分）</w:t>
      </w:r>
      <w:r>
        <w:rPr>
          <w:rFonts w:hint="eastAsia" w:ascii="宋体" w:hAnsi="宋体" w:eastAsia="宋体" w:cs="宋体"/>
          <w:color w:val="auto"/>
          <w:sz w:val="24"/>
          <w:highlight w:val="none"/>
        </w:rPr>
        <w:t> </w:t>
      </w:r>
    </w:p>
    <w:tbl>
      <w:tblPr>
        <w:tblStyle w:val="64"/>
        <w:tblW w:w="9344" w:type="dxa"/>
        <w:tblInd w:w="8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2"/>
        <w:gridCol w:w="887"/>
        <w:gridCol w:w="6749"/>
        <w:gridCol w:w="976"/>
      </w:tblGrid>
      <w:tr w14:paraId="4E9934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2" w:type="dxa"/>
            <w:tcBorders>
              <w:top w:val="single" w:color="auto" w:sz="2" w:space="0"/>
              <w:left w:val="single" w:color="auto" w:sz="2" w:space="0"/>
              <w:bottom w:val="single" w:color="auto" w:sz="2" w:space="0"/>
              <w:right w:val="single" w:color="auto" w:sz="2" w:space="0"/>
            </w:tcBorders>
            <w:noWrap w:val="0"/>
            <w:vAlign w:val="center"/>
          </w:tcPr>
          <w:p w14:paraId="31BE9498">
            <w:pPr>
              <w:keepNext w:val="0"/>
              <w:keepLines w:val="0"/>
              <w:pageBreakBefore w:val="0"/>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序号</w:t>
            </w:r>
          </w:p>
        </w:tc>
        <w:tc>
          <w:tcPr>
            <w:tcW w:w="887" w:type="dxa"/>
            <w:tcBorders>
              <w:top w:val="single" w:color="auto" w:sz="2" w:space="0"/>
              <w:left w:val="single" w:color="auto" w:sz="2" w:space="0"/>
              <w:bottom w:val="single" w:color="auto" w:sz="2" w:space="0"/>
              <w:right w:val="single" w:color="auto" w:sz="2" w:space="0"/>
            </w:tcBorders>
            <w:noWrap w:val="0"/>
            <w:vAlign w:val="center"/>
          </w:tcPr>
          <w:p w14:paraId="66E3E369">
            <w:pPr>
              <w:keepNext w:val="0"/>
              <w:keepLines w:val="0"/>
              <w:pageBreakBefore w:val="0"/>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评审内容</w:t>
            </w:r>
          </w:p>
        </w:tc>
        <w:tc>
          <w:tcPr>
            <w:tcW w:w="6749" w:type="dxa"/>
            <w:tcBorders>
              <w:top w:val="single" w:color="auto" w:sz="2" w:space="0"/>
              <w:left w:val="single" w:color="auto" w:sz="2" w:space="0"/>
              <w:bottom w:val="single" w:color="auto" w:sz="2" w:space="0"/>
              <w:right w:val="single" w:color="auto" w:sz="2" w:space="0"/>
            </w:tcBorders>
            <w:noWrap w:val="0"/>
            <w:vAlign w:val="center"/>
          </w:tcPr>
          <w:p w14:paraId="5C95ACA5">
            <w:pPr>
              <w:keepNext w:val="0"/>
              <w:keepLines w:val="0"/>
              <w:pageBreakBefore w:val="0"/>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评分细则及要求</w:t>
            </w:r>
          </w:p>
        </w:tc>
        <w:tc>
          <w:tcPr>
            <w:tcW w:w="976" w:type="dxa"/>
            <w:tcBorders>
              <w:top w:val="single" w:color="auto" w:sz="2" w:space="0"/>
              <w:left w:val="single" w:color="auto" w:sz="2" w:space="0"/>
              <w:bottom w:val="single" w:color="auto" w:sz="2" w:space="0"/>
              <w:right w:val="single" w:color="auto" w:sz="2" w:space="0"/>
            </w:tcBorders>
            <w:noWrap w:val="0"/>
            <w:vAlign w:val="center"/>
          </w:tcPr>
          <w:p w14:paraId="5ECE1615">
            <w:pPr>
              <w:keepNext w:val="0"/>
              <w:keepLines w:val="0"/>
              <w:pageBreakBefore w:val="0"/>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分值</w:t>
            </w:r>
          </w:p>
        </w:tc>
      </w:tr>
      <w:tr w14:paraId="338DC9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99" w:hRule="atLeast"/>
        </w:trPr>
        <w:tc>
          <w:tcPr>
            <w:tcW w:w="732" w:type="dxa"/>
            <w:tcBorders>
              <w:left w:val="single" w:color="auto" w:sz="2" w:space="0"/>
              <w:right w:val="single" w:color="auto" w:sz="2" w:space="0"/>
            </w:tcBorders>
            <w:noWrap w:val="0"/>
            <w:vAlign w:val="center"/>
          </w:tcPr>
          <w:p w14:paraId="5B01839B">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87" w:type="dxa"/>
            <w:tcBorders>
              <w:left w:val="single" w:color="auto" w:sz="2" w:space="0"/>
              <w:right w:val="single" w:color="auto" w:sz="2" w:space="0"/>
            </w:tcBorders>
            <w:noWrap w:val="0"/>
            <w:vAlign w:val="center"/>
          </w:tcPr>
          <w:p w14:paraId="4F4F6373">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类似业绩</w:t>
            </w:r>
          </w:p>
        </w:tc>
        <w:tc>
          <w:tcPr>
            <w:tcW w:w="6749" w:type="dxa"/>
            <w:tcBorders>
              <w:top w:val="single" w:color="auto" w:sz="2" w:space="0"/>
              <w:left w:val="single" w:color="auto" w:sz="2" w:space="0"/>
              <w:bottom w:val="single" w:color="auto" w:sz="2" w:space="0"/>
              <w:right w:val="single" w:color="auto" w:sz="2" w:space="0"/>
            </w:tcBorders>
            <w:noWrap w:val="0"/>
            <w:vAlign w:val="center"/>
          </w:tcPr>
          <w:p w14:paraId="17C4D2A3">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投标人自202</w:t>
            </w: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年1月1日（以合同签订时间为准）以来承接过类似项目业绩的，每提供一份合同得</w:t>
            </w: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分，最高得</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分。（提供合同扫描件或复印件并加盖公章）</w:t>
            </w:r>
          </w:p>
        </w:tc>
        <w:tc>
          <w:tcPr>
            <w:tcW w:w="976" w:type="dxa"/>
            <w:tcBorders>
              <w:top w:val="single" w:color="auto" w:sz="2" w:space="0"/>
              <w:left w:val="single" w:color="auto" w:sz="2" w:space="0"/>
              <w:bottom w:val="single" w:color="auto" w:sz="2" w:space="0"/>
              <w:right w:val="single" w:color="auto" w:sz="2" w:space="0"/>
            </w:tcBorders>
            <w:noWrap w:val="0"/>
            <w:vAlign w:val="center"/>
          </w:tcPr>
          <w:p w14:paraId="7CA1E2A2">
            <w:pPr>
              <w:widowControl/>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0-3分</w:t>
            </w:r>
          </w:p>
        </w:tc>
      </w:tr>
      <w:tr w14:paraId="4CF46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52" w:hRule="atLeast"/>
        </w:trPr>
        <w:tc>
          <w:tcPr>
            <w:tcW w:w="732" w:type="dxa"/>
            <w:tcBorders>
              <w:left w:val="single" w:color="auto" w:sz="2" w:space="0"/>
              <w:right w:val="single" w:color="auto" w:sz="2" w:space="0"/>
            </w:tcBorders>
            <w:noWrap w:val="0"/>
            <w:vAlign w:val="center"/>
          </w:tcPr>
          <w:p w14:paraId="40C02924">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887" w:type="dxa"/>
            <w:tcBorders>
              <w:left w:val="single" w:color="auto" w:sz="2" w:space="0"/>
              <w:right w:val="single" w:color="auto" w:sz="2" w:space="0"/>
            </w:tcBorders>
            <w:noWrap w:val="0"/>
            <w:vAlign w:val="center"/>
          </w:tcPr>
          <w:p w14:paraId="66958CEA">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体系认证</w:t>
            </w:r>
          </w:p>
        </w:tc>
        <w:tc>
          <w:tcPr>
            <w:tcW w:w="6749" w:type="dxa"/>
            <w:tcBorders>
              <w:top w:val="single" w:color="auto" w:sz="2" w:space="0"/>
              <w:left w:val="single" w:color="auto" w:sz="2" w:space="0"/>
              <w:bottom w:val="single" w:color="auto" w:sz="2" w:space="0"/>
              <w:right w:val="single" w:color="auto" w:sz="2" w:space="0"/>
            </w:tcBorders>
            <w:noWrap w:val="0"/>
            <w:vAlign w:val="center"/>
          </w:tcPr>
          <w:p w14:paraId="7BAEDC16">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投标人具有质量管理体系认证证书的得1分</w:t>
            </w:r>
            <w:r>
              <w:rPr>
                <w:rFonts w:hint="eastAsia" w:ascii="宋体" w:hAnsi="宋体" w:cs="宋体"/>
                <w:color w:val="auto"/>
                <w:kern w:val="2"/>
                <w:sz w:val="22"/>
                <w:szCs w:val="22"/>
                <w:highlight w:val="none"/>
                <w:lang w:val="en-US" w:eastAsia="zh-CN" w:bidi="ar-SA"/>
              </w:rPr>
              <w:t>；</w:t>
            </w:r>
          </w:p>
          <w:p w14:paraId="49DAE8FA">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具有环境管理体系认证</w:t>
            </w:r>
            <w:r>
              <w:rPr>
                <w:rFonts w:hint="eastAsia" w:ascii="宋体" w:hAnsi="宋体" w:eastAsia="宋体" w:cs="宋体"/>
                <w:color w:val="auto"/>
                <w:kern w:val="2"/>
                <w:sz w:val="22"/>
                <w:szCs w:val="22"/>
                <w:highlight w:val="none"/>
                <w:lang w:val="zh-CN" w:eastAsia="zh-CN" w:bidi="ar-SA"/>
              </w:rPr>
              <w:t>证书</w:t>
            </w:r>
            <w:r>
              <w:rPr>
                <w:rFonts w:hint="eastAsia" w:ascii="宋体" w:hAnsi="宋体" w:eastAsia="宋体" w:cs="宋体"/>
                <w:color w:val="auto"/>
                <w:kern w:val="2"/>
                <w:sz w:val="22"/>
                <w:szCs w:val="22"/>
                <w:highlight w:val="none"/>
                <w:lang w:val="en-US" w:eastAsia="zh-CN" w:bidi="ar-SA"/>
              </w:rPr>
              <w:t>的得1分</w:t>
            </w:r>
            <w:r>
              <w:rPr>
                <w:rFonts w:hint="eastAsia" w:ascii="宋体" w:hAnsi="宋体" w:cs="宋体"/>
                <w:color w:val="auto"/>
                <w:kern w:val="2"/>
                <w:sz w:val="22"/>
                <w:szCs w:val="22"/>
                <w:highlight w:val="none"/>
                <w:lang w:val="zh-CN" w:eastAsia="zh-CN" w:bidi="ar-SA"/>
              </w:rPr>
              <w:t>；</w:t>
            </w:r>
          </w:p>
          <w:p w14:paraId="0D2922F3">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具有信息安全服务资质认证</w:t>
            </w:r>
            <w:r>
              <w:rPr>
                <w:rFonts w:hint="eastAsia" w:ascii="宋体" w:hAnsi="宋体" w:eastAsia="宋体" w:cs="宋体"/>
                <w:color w:val="auto"/>
                <w:kern w:val="2"/>
                <w:sz w:val="22"/>
                <w:szCs w:val="22"/>
                <w:highlight w:val="none"/>
                <w:lang w:val="zh-CN" w:eastAsia="zh-CN" w:bidi="ar-SA"/>
              </w:rPr>
              <w:t>证书</w:t>
            </w:r>
            <w:r>
              <w:rPr>
                <w:rFonts w:hint="eastAsia" w:ascii="宋体" w:hAnsi="宋体" w:eastAsia="宋体" w:cs="宋体"/>
                <w:color w:val="auto"/>
                <w:kern w:val="2"/>
                <w:sz w:val="22"/>
                <w:szCs w:val="22"/>
                <w:highlight w:val="none"/>
                <w:lang w:val="en-US" w:eastAsia="zh-CN" w:bidi="ar-SA"/>
              </w:rPr>
              <w:t>的得1分</w:t>
            </w:r>
            <w:r>
              <w:rPr>
                <w:rFonts w:hint="eastAsia" w:ascii="宋体" w:hAnsi="宋体" w:cs="宋体"/>
                <w:color w:val="auto"/>
                <w:kern w:val="2"/>
                <w:sz w:val="22"/>
                <w:szCs w:val="22"/>
                <w:highlight w:val="none"/>
                <w:lang w:val="en-US" w:eastAsia="zh-CN" w:bidi="ar-SA"/>
              </w:rPr>
              <w:t>；</w:t>
            </w:r>
          </w:p>
          <w:p w14:paraId="1F2097F3">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本项最高得3分。</w:t>
            </w:r>
          </w:p>
          <w:p w14:paraId="6C62B2A1">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bidi="ar-SA"/>
              </w:rPr>
              <w:t>注：提供有效的</w:t>
            </w:r>
            <w:r>
              <w:rPr>
                <w:rFonts w:hint="eastAsia" w:ascii="宋体" w:hAnsi="宋体" w:eastAsia="宋体" w:cs="宋体"/>
                <w:color w:val="auto"/>
                <w:kern w:val="2"/>
                <w:sz w:val="22"/>
                <w:szCs w:val="22"/>
                <w:highlight w:val="none"/>
                <w:lang w:val="zh-CN" w:eastAsia="zh-CN" w:bidi="ar-SA"/>
              </w:rPr>
              <w:t>证书</w:t>
            </w:r>
            <w:r>
              <w:rPr>
                <w:rFonts w:hint="eastAsia" w:ascii="宋体" w:hAnsi="宋体" w:eastAsia="宋体" w:cs="宋体"/>
                <w:color w:val="auto"/>
                <w:kern w:val="2"/>
                <w:sz w:val="22"/>
                <w:szCs w:val="22"/>
                <w:highlight w:val="none"/>
                <w:lang w:val="en-US" w:eastAsia="zh-CN" w:bidi="ar-SA"/>
              </w:rPr>
              <w:t>扫描件</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提供</w:t>
            </w:r>
            <w:r>
              <w:rPr>
                <w:rFonts w:hint="eastAsia" w:ascii="宋体" w:hAnsi="宋体" w:eastAsia="宋体" w:cs="宋体"/>
                <w:color w:val="auto"/>
                <w:kern w:val="2"/>
                <w:sz w:val="22"/>
                <w:szCs w:val="22"/>
                <w:highlight w:val="none"/>
                <w:lang w:val="zh-CN" w:eastAsia="zh-CN" w:bidi="ar-SA"/>
              </w:rPr>
              <w:t>在“全国认证认可信息公共服务平台http://cx.cnca.cn/CertECloud/index/index/page”查询</w:t>
            </w:r>
            <w:r>
              <w:rPr>
                <w:rFonts w:hint="eastAsia" w:ascii="宋体" w:hAnsi="宋体" w:eastAsia="宋体" w:cs="宋体"/>
                <w:color w:val="auto"/>
                <w:kern w:val="2"/>
                <w:sz w:val="22"/>
                <w:szCs w:val="22"/>
                <w:highlight w:val="none"/>
                <w:lang w:val="en-US" w:eastAsia="zh-CN" w:bidi="ar-SA"/>
              </w:rPr>
              <w:t>结果的截图</w:t>
            </w:r>
            <w:r>
              <w:rPr>
                <w:rFonts w:hint="eastAsia" w:ascii="宋体" w:hAnsi="宋体" w:cs="宋体"/>
                <w:color w:val="auto"/>
                <w:kern w:val="2"/>
                <w:sz w:val="22"/>
                <w:szCs w:val="22"/>
                <w:highlight w:val="none"/>
                <w:lang w:val="zh-CN" w:eastAsia="zh-CN" w:bidi="ar-SA"/>
              </w:rPr>
              <w:t>，</w:t>
            </w:r>
            <w:r>
              <w:rPr>
                <w:rFonts w:hint="eastAsia" w:ascii="宋体" w:hAnsi="宋体" w:cs="宋体"/>
                <w:color w:val="auto"/>
                <w:kern w:val="2"/>
                <w:sz w:val="22"/>
                <w:szCs w:val="22"/>
                <w:highlight w:val="none"/>
                <w:lang w:val="en-US" w:eastAsia="zh-CN" w:bidi="ar-SA"/>
              </w:rPr>
              <w:t>不提供的不得分。</w:t>
            </w:r>
          </w:p>
        </w:tc>
        <w:tc>
          <w:tcPr>
            <w:tcW w:w="976" w:type="dxa"/>
            <w:tcBorders>
              <w:top w:val="single" w:color="auto" w:sz="2" w:space="0"/>
              <w:left w:val="single" w:color="auto" w:sz="2" w:space="0"/>
              <w:bottom w:val="single" w:color="auto" w:sz="2" w:space="0"/>
              <w:right w:val="single" w:color="auto" w:sz="2" w:space="0"/>
            </w:tcBorders>
            <w:noWrap w:val="0"/>
            <w:vAlign w:val="center"/>
          </w:tcPr>
          <w:p w14:paraId="2248F425">
            <w:pPr>
              <w:widowControl/>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0-3分</w:t>
            </w:r>
          </w:p>
        </w:tc>
      </w:tr>
      <w:tr w14:paraId="749E0D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1" w:hRule="atLeast"/>
        </w:trPr>
        <w:tc>
          <w:tcPr>
            <w:tcW w:w="732" w:type="dxa"/>
            <w:vMerge w:val="restart"/>
            <w:tcBorders>
              <w:left w:val="single" w:color="auto" w:sz="2" w:space="0"/>
              <w:right w:val="single" w:color="auto" w:sz="2" w:space="0"/>
            </w:tcBorders>
            <w:noWrap w:val="0"/>
            <w:vAlign w:val="center"/>
          </w:tcPr>
          <w:p w14:paraId="0DFD3698">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87" w:type="dxa"/>
            <w:vMerge w:val="restart"/>
            <w:tcBorders>
              <w:left w:val="single" w:color="auto" w:sz="2" w:space="0"/>
              <w:right w:val="single" w:color="auto" w:sz="2" w:space="0"/>
            </w:tcBorders>
            <w:shd w:val="clear" w:color="auto" w:fill="auto"/>
            <w:noWrap w:val="0"/>
            <w:vAlign w:val="center"/>
          </w:tcPr>
          <w:p w14:paraId="1E4E9F72">
            <w:pPr>
              <w:keepNext w:val="0"/>
              <w:keepLines w:val="0"/>
              <w:pageBreakBefore w:val="0"/>
              <w:widowControl/>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人员配备</w:t>
            </w:r>
          </w:p>
        </w:tc>
        <w:tc>
          <w:tcPr>
            <w:tcW w:w="6749"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67EDE4D8">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lang w:val="zh-CN" w:eastAsia="zh-CN" w:bidi="ar-SA"/>
              </w:rPr>
              <w:t>投标</w:t>
            </w:r>
            <w:r>
              <w:rPr>
                <w:rFonts w:hint="eastAsia" w:ascii="宋体" w:hAnsi="宋体" w:eastAsia="宋体" w:cs="宋体"/>
                <w:color w:val="auto"/>
                <w:kern w:val="2"/>
                <w:sz w:val="22"/>
                <w:szCs w:val="22"/>
                <w:highlight w:val="none"/>
                <w:lang w:val="en-US" w:eastAsia="zh-CN" w:bidi="ar-SA"/>
              </w:rPr>
              <w:t>人拟派</w:t>
            </w:r>
            <w:r>
              <w:rPr>
                <w:rFonts w:hint="eastAsia" w:ascii="宋体" w:hAnsi="宋体" w:eastAsia="宋体" w:cs="宋体"/>
                <w:color w:val="auto"/>
                <w:kern w:val="2"/>
                <w:sz w:val="22"/>
                <w:szCs w:val="22"/>
                <w:highlight w:val="none"/>
                <w:lang w:val="zh-CN" w:eastAsia="zh-CN" w:bidi="ar-SA"/>
              </w:rPr>
              <w:t>项目负责人具有信息系统项目管理师</w:t>
            </w:r>
            <w:r>
              <w:rPr>
                <w:rFonts w:hint="eastAsia" w:ascii="宋体" w:hAnsi="宋体" w:eastAsia="宋体" w:cs="宋体"/>
                <w:color w:val="auto"/>
                <w:kern w:val="2"/>
                <w:sz w:val="22"/>
                <w:szCs w:val="22"/>
                <w:highlight w:val="none"/>
                <w:lang w:val="en-US" w:eastAsia="zh-CN" w:bidi="ar-SA"/>
              </w:rPr>
              <w:t>证书</w:t>
            </w:r>
            <w:r>
              <w:rPr>
                <w:rFonts w:hint="eastAsia" w:ascii="宋体" w:hAnsi="宋体" w:eastAsia="宋体" w:cs="宋体"/>
                <w:color w:val="auto"/>
                <w:kern w:val="2"/>
                <w:sz w:val="22"/>
                <w:szCs w:val="22"/>
                <w:highlight w:val="none"/>
                <w:lang w:val="zh-CN" w:eastAsia="zh-CN" w:bidi="ar-SA"/>
              </w:rPr>
              <w:t>、信息安全工程师</w:t>
            </w:r>
            <w:r>
              <w:rPr>
                <w:rFonts w:hint="eastAsia" w:ascii="宋体" w:hAnsi="宋体" w:eastAsia="宋体" w:cs="宋体"/>
                <w:color w:val="auto"/>
                <w:kern w:val="2"/>
                <w:sz w:val="22"/>
                <w:szCs w:val="22"/>
                <w:highlight w:val="none"/>
                <w:lang w:val="en-US" w:eastAsia="zh-CN" w:bidi="ar-SA"/>
              </w:rPr>
              <w:t>证书的</w:t>
            </w:r>
            <w:r>
              <w:rPr>
                <w:rFonts w:hint="eastAsia" w:ascii="宋体" w:hAnsi="宋体" w:eastAsia="宋体" w:cs="宋体"/>
                <w:color w:val="auto"/>
                <w:kern w:val="2"/>
                <w:sz w:val="22"/>
                <w:szCs w:val="22"/>
                <w:highlight w:val="none"/>
                <w:lang w:val="zh-CN" w:eastAsia="zh-CN" w:bidi="ar-SA"/>
              </w:rPr>
              <w:t>，每提供一类证书得1分，最高得2分。（需提供相关证书复印件、</w:t>
            </w:r>
            <w:r>
              <w:rPr>
                <w:rFonts w:hint="eastAsia" w:ascii="宋体" w:hAnsi="宋体" w:eastAsia="宋体" w:cs="宋体"/>
                <w:color w:val="auto"/>
                <w:kern w:val="2"/>
                <w:sz w:val="22"/>
                <w:szCs w:val="22"/>
                <w:highlight w:val="none"/>
                <w:lang w:val="en-US" w:eastAsia="zh-CN" w:bidi="ar-SA"/>
              </w:rPr>
              <w:t>由投标人为其缴纳的</w:t>
            </w:r>
            <w:r>
              <w:rPr>
                <w:rFonts w:hint="eastAsia" w:ascii="宋体" w:hAnsi="宋体" w:eastAsia="宋体" w:cs="宋体"/>
                <w:color w:val="auto"/>
                <w:kern w:val="2"/>
                <w:sz w:val="22"/>
                <w:szCs w:val="22"/>
                <w:highlight w:val="none"/>
                <w:lang w:val="zh-CN" w:eastAsia="zh-CN" w:bidi="ar-SA"/>
              </w:rPr>
              <w:t>近</w:t>
            </w:r>
            <w:r>
              <w:rPr>
                <w:rFonts w:hint="eastAsia" w:ascii="宋体" w:hAnsi="宋体" w:cs="宋体"/>
                <w:color w:val="auto"/>
                <w:kern w:val="2"/>
                <w:sz w:val="22"/>
                <w:szCs w:val="22"/>
                <w:highlight w:val="none"/>
                <w:lang w:val="en-US" w:eastAsia="zh-CN" w:bidi="ar-SA"/>
              </w:rPr>
              <w:t>一</w:t>
            </w:r>
            <w:r>
              <w:rPr>
                <w:rFonts w:hint="eastAsia" w:ascii="宋体" w:hAnsi="宋体" w:eastAsia="宋体" w:cs="宋体"/>
                <w:color w:val="auto"/>
                <w:kern w:val="2"/>
                <w:sz w:val="22"/>
                <w:szCs w:val="22"/>
                <w:highlight w:val="none"/>
                <w:lang w:val="zh-CN" w:eastAsia="zh-CN" w:bidi="ar-SA"/>
              </w:rPr>
              <w:t>个月单位社保证明复印件，并加盖投标人公章,否则不得分）。</w:t>
            </w:r>
          </w:p>
        </w:tc>
        <w:tc>
          <w:tcPr>
            <w:tcW w:w="976"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07FC4822">
            <w:pPr>
              <w:keepNext w:val="0"/>
              <w:keepLines w:val="0"/>
              <w:pageBreakBefore w:val="0"/>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0-2分</w:t>
            </w:r>
          </w:p>
        </w:tc>
      </w:tr>
      <w:tr w14:paraId="3989C1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1" w:hRule="atLeast"/>
        </w:trPr>
        <w:tc>
          <w:tcPr>
            <w:tcW w:w="732" w:type="dxa"/>
            <w:vMerge w:val="continue"/>
            <w:tcBorders>
              <w:left w:val="single" w:color="auto" w:sz="2" w:space="0"/>
              <w:right w:val="single" w:color="auto" w:sz="2" w:space="0"/>
            </w:tcBorders>
            <w:noWrap w:val="0"/>
            <w:vAlign w:val="center"/>
          </w:tcPr>
          <w:p w14:paraId="2692A7A4">
            <w:pPr>
              <w:keepNext w:val="0"/>
              <w:keepLines w:val="0"/>
              <w:pageBreakBefore w:val="0"/>
              <w:shd w:val="clear"/>
              <w:kinsoku/>
              <w:wordWrap/>
              <w:overflowPunct/>
              <w:topLinePunct w:val="0"/>
              <w:autoSpaceDE/>
              <w:autoSpaceDN/>
              <w:bidi w:val="0"/>
              <w:adjustRightInd w:val="0"/>
              <w:snapToGrid/>
              <w:spacing w:line="300" w:lineRule="exact"/>
              <w:ind w:left="0" w:leftChars="0" w:firstLine="0" w:firstLineChars="0"/>
              <w:jc w:val="center"/>
              <w:textAlignment w:val="auto"/>
              <w:rPr>
                <w:color w:val="auto"/>
                <w:highlight w:val="none"/>
              </w:rPr>
            </w:pPr>
          </w:p>
        </w:tc>
        <w:tc>
          <w:tcPr>
            <w:tcW w:w="887" w:type="dxa"/>
            <w:vMerge w:val="continue"/>
            <w:tcBorders>
              <w:left w:val="single" w:color="auto" w:sz="2" w:space="0"/>
              <w:right w:val="single" w:color="auto" w:sz="2" w:space="0"/>
            </w:tcBorders>
            <w:shd w:val="clear" w:color="auto" w:fill="auto"/>
            <w:noWrap w:val="0"/>
            <w:vAlign w:val="center"/>
          </w:tcPr>
          <w:p w14:paraId="641CD918">
            <w:pPr>
              <w:keepNext w:val="0"/>
              <w:keepLines w:val="0"/>
              <w:pageBreakBefore w:val="0"/>
              <w:shd w:val="clear"/>
              <w:kinsoku/>
              <w:wordWrap/>
              <w:overflowPunct/>
              <w:topLinePunct w:val="0"/>
              <w:autoSpaceDE/>
              <w:autoSpaceDN/>
              <w:bidi w:val="0"/>
              <w:adjustRightInd w:val="0"/>
              <w:snapToGrid/>
              <w:spacing w:line="300" w:lineRule="exact"/>
              <w:ind w:left="0" w:leftChars="0" w:firstLine="0" w:firstLineChars="0"/>
              <w:jc w:val="center"/>
              <w:textAlignment w:val="auto"/>
              <w:rPr>
                <w:color w:val="auto"/>
                <w:highlight w:val="none"/>
              </w:rPr>
            </w:pPr>
          </w:p>
        </w:tc>
        <w:tc>
          <w:tcPr>
            <w:tcW w:w="6749"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35F96846">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投标人项目团队中（除项目负责人之外）具有</w:t>
            </w:r>
            <w:r>
              <w:rPr>
                <w:rFonts w:hint="eastAsia" w:ascii="宋体" w:hAnsi="宋体" w:eastAsia="宋体" w:cs="宋体"/>
                <w:color w:val="auto"/>
                <w:kern w:val="2"/>
                <w:sz w:val="22"/>
                <w:szCs w:val="22"/>
                <w:highlight w:val="none"/>
                <w:lang w:val="zh-CN" w:eastAsia="zh-CN" w:bidi="ar-SA"/>
              </w:rPr>
              <w:t>信息系统项目管理师</w:t>
            </w:r>
            <w:r>
              <w:rPr>
                <w:rFonts w:hint="eastAsia" w:ascii="宋体" w:hAnsi="宋体" w:eastAsia="宋体" w:cs="宋体"/>
                <w:color w:val="auto"/>
                <w:kern w:val="2"/>
                <w:sz w:val="22"/>
                <w:szCs w:val="22"/>
                <w:highlight w:val="none"/>
                <w:lang w:val="en-US" w:eastAsia="zh-CN" w:bidi="ar-SA"/>
              </w:rPr>
              <w:t>证书</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信息安全工程师证书</w:t>
            </w:r>
            <w:r>
              <w:rPr>
                <w:rFonts w:hint="eastAsia" w:ascii="宋体" w:hAnsi="宋体" w:cs="宋体"/>
                <w:color w:val="auto"/>
                <w:kern w:val="2"/>
                <w:sz w:val="22"/>
                <w:szCs w:val="22"/>
                <w:highlight w:val="none"/>
                <w:lang w:val="en-US" w:eastAsia="zh-CN" w:bidi="ar-SA"/>
              </w:rPr>
              <w:t>、注册安全工程师证书</w:t>
            </w:r>
            <w:r>
              <w:rPr>
                <w:rFonts w:hint="eastAsia" w:ascii="宋体" w:hAnsi="宋体" w:eastAsia="宋体" w:cs="宋体"/>
                <w:color w:val="auto"/>
                <w:kern w:val="2"/>
                <w:sz w:val="22"/>
                <w:szCs w:val="22"/>
                <w:highlight w:val="none"/>
                <w:lang w:val="en-US" w:eastAsia="zh-CN" w:bidi="ar-SA"/>
              </w:rPr>
              <w:t>的，每提供一类证书得1分，最高得</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分。</w:t>
            </w:r>
            <w:r>
              <w:rPr>
                <w:rFonts w:hint="eastAsia" w:ascii="宋体" w:hAnsi="宋体" w:eastAsia="宋体" w:cs="宋体"/>
                <w:color w:val="auto"/>
                <w:kern w:val="2"/>
                <w:sz w:val="22"/>
                <w:szCs w:val="22"/>
                <w:highlight w:val="none"/>
                <w:lang w:val="zh-CN" w:eastAsia="zh-CN" w:bidi="ar-SA"/>
              </w:rPr>
              <w:t>（需提供相关证书复印件、</w:t>
            </w:r>
            <w:r>
              <w:rPr>
                <w:rFonts w:hint="eastAsia" w:ascii="宋体" w:hAnsi="宋体" w:eastAsia="宋体" w:cs="宋体"/>
                <w:color w:val="auto"/>
                <w:kern w:val="2"/>
                <w:sz w:val="22"/>
                <w:szCs w:val="22"/>
                <w:highlight w:val="none"/>
                <w:lang w:val="en-US" w:eastAsia="zh-CN" w:bidi="ar-SA"/>
              </w:rPr>
              <w:t>由投标人为其缴纳的</w:t>
            </w:r>
            <w:r>
              <w:rPr>
                <w:rFonts w:hint="eastAsia" w:ascii="宋体" w:hAnsi="宋体" w:eastAsia="宋体" w:cs="宋体"/>
                <w:color w:val="auto"/>
                <w:kern w:val="2"/>
                <w:sz w:val="22"/>
                <w:szCs w:val="22"/>
                <w:highlight w:val="none"/>
                <w:lang w:val="zh-CN" w:eastAsia="zh-CN" w:bidi="ar-SA"/>
              </w:rPr>
              <w:t>近</w:t>
            </w:r>
            <w:r>
              <w:rPr>
                <w:rFonts w:hint="eastAsia" w:ascii="宋体" w:hAnsi="宋体" w:cs="宋体"/>
                <w:color w:val="auto"/>
                <w:kern w:val="2"/>
                <w:sz w:val="22"/>
                <w:szCs w:val="22"/>
                <w:highlight w:val="none"/>
                <w:lang w:val="en-US" w:eastAsia="zh-CN" w:bidi="ar-SA"/>
              </w:rPr>
              <w:t>一</w:t>
            </w:r>
            <w:r>
              <w:rPr>
                <w:rFonts w:hint="eastAsia" w:ascii="宋体" w:hAnsi="宋体" w:eastAsia="宋体" w:cs="宋体"/>
                <w:color w:val="auto"/>
                <w:kern w:val="2"/>
                <w:sz w:val="22"/>
                <w:szCs w:val="22"/>
                <w:highlight w:val="none"/>
                <w:lang w:val="zh-CN" w:eastAsia="zh-CN" w:bidi="ar-SA"/>
              </w:rPr>
              <w:t>个月单位社保证明复印件，并加盖投标人公章, 否则不得分）。</w:t>
            </w:r>
          </w:p>
        </w:tc>
        <w:tc>
          <w:tcPr>
            <w:tcW w:w="976"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77858045">
            <w:pPr>
              <w:keepNext w:val="0"/>
              <w:keepLines w:val="0"/>
              <w:pageBreakBefore w:val="0"/>
              <w:widowControl/>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bCs/>
                <w:color w:val="auto"/>
                <w:sz w:val="24"/>
                <w:szCs w:val="24"/>
                <w:highlight w:val="none"/>
                <w:lang w:val="en-US" w:eastAsia="zh-CN"/>
              </w:rPr>
              <w:t>0-3分</w:t>
            </w:r>
          </w:p>
        </w:tc>
      </w:tr>
      <w:tr w14:paraId="12E8CB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793" w:hRule="atLeast"/>
        </w:trPr>
        <w:tc>
          <w:tcPr>
            <w:tcW w:w="732" w:type="dxa"/>
            <w:tcBorders>
              <w:left w:val="single" w:color="auto" w:sz="2" w:space="0"/>
              <w:right w:val="single" w:color="auto" w:sz="2" w:space="0"/>
            </w:tcBorders>
            <w:noWrap w:val="0"/>
            <w:vAlign w:val="center"/>
          </w:tcPr>
          <w:p w14:paraId="62361E79">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887" w:type="dxa"/>
            <w:tcBorders>
              <w:left w:val="single" w:color="auto" w:sz="2" w:space="0"/>
              <w:right w:val="single" w:color="auto" w:sz="2" w:space="0"/>
            </w:tcBorders>
            <w:shd w:val="clear" w:color="auto" w:fill="auto"/>
            <w:noWrap w:val="0"/>
            <w:vAlign w:val="center"/>
          </w:tcPr>
          <w:p w14:paraId="4CC0B3D1">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技术要求响应情况</w:t>
            </w:r>
          </w:p>
        </w:tc>
        <w:tc>
          <w:tcPr>
            <w:tcW w:w="6749"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68D2608E">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详细技术参数”，完全满足指标参数得</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打“▲”为主要性能指标，每有一项负偏离扣2分；其他</w:t>
            </w:r>
            <w:r>
              <w:rPr>
                <w:rFonts w:hint="eastAsia" w:ascii="宋体" w:hAnsi="宋体" w:cs="宋体"/>
                <w:color w:val="auto"/>
                <w:sz w:val="22"/>
                <w:szCs w:val="22"/>
                <w:highlight w:val="none"/>
                <w:shd w:val="clear"/>
                <w:lang w:val="en-US" w:eastAsia="zh-CN"/>
              </w:rPr>
              <w:t>技术指标或参数要求</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指标，每有一项负偏离扣1分，扣完为止。</w:t>
            </w:r>
          </w:p>
        </w:tc>
        <w:tc>
          <w:tcPr>
            <w:tcW w:w="976"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0039FD4B">
            <w:pPr>
              <w:widowControl/>
              <w:shd w:val="clear"/>
              <w:spacing w:line="360" w:lineRule="auto"/>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shd w:val="clear"/>
                <w:lang w:val="en-US" w:eastAsia="zh-CN"/>
              </w:rPr>
              <w:t>0-25</w:t>
            </w:r>
            <w:r>
              <w:rPr>
                <w:rFonts w:hint="eastAsia" w:ascii="宋体" w:hAnsi="宋体" w:cs="宋体"/>
                <w:bCs/>
                <w:color w:val="auto"/>
                <w:sz w:val="24"/>
                <w:szCs w:val="24"/>
                <w:highlight w:val="none"/>
                <w:lang w:val="en-US" w:eastAsia="zh-CN"/>
              </w:rPr>
              <w:t>分</w:t>
            </w:r>
          </w:p>
        </w:tc>
      </w:tr>
      <w:tr w14:paraId="0E5BD2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793" w:hRule="atLeast"/>
        </w:trPr>
        <w:tc>
          <w:tcPr>
            <w:tcW w:w="732" w:type="dxa"/>
            <w:tcBorders>
              <w:left w:val="single" w:color="auto" w:sz="2" w:space="0"/>
              <w:right w:val="single" w:color="auto" w:sz="2" w:space="0"/>
            </w:tcBorders>
            <w:noWrap w:val="0"/>
            <w:vAlign w:val="center"/>
          </w:tcPr>
          <w:p w14:paraId="0422C562">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87" w:type="dxa"/>
            <w:tcBorders>
              <w:left w:val="single" w:color="auto" w:sz="2" w:space="0"/>
              <w:right w:val="single" w:color="auto" w:sz="2" w:space="0"/>
            </w:tcBorders>
            <w:shd w:val="clear" w:color="auto" w:fill="auto"/>
            <w:noWrap w:val="0"/>
            <w:vAlign w:val="center"/>
          </w:tcPr>
          <w:p w14:paraId="213E695E">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培训方案</w:t>
            </w:r>
          </w:p>
        </w:tc>
        <w:tc>
          <w:tcPr>
            <w:tcW w:w="6749"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60342B83">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根据投标人提供的本项目培训方案进行打分，包含但不限于设备功能培训、培训科目和培训方式等方面；</w:t>
            </w:r>
          </w:p>
          <w:p w14:paraId="1C584ABD">
            <w:pPr>
              <w:keepNext w:val="0"/>
              <w:keepLines w:val="0"/>
              <w:pageBreakBefore w:val="0"/>
              <w:widowControl w:val="0"/>
              <w:numPr>
                <w:ilvl w:val="0"/>
                <w:numId w:val="9"/>
              </w:numPr>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设备功能培训（</w:t>
            </w:r>
            <w:r>
              <w:rPr>
                <w:rFonts w:hint="eastAsia" w:ascii="宋体" w:hAnsi="宋体" w:eastAsia="宋体" w:cs="宋体"/>
                <w:color w:val="auto"/>
                <w:sz w:val="22"/>
                <w:szCs w:val="22"/>
                <w:highlight w:val="none"/>
                <w:lang w:val="en-US" w:eastAsia="zh-CN"/>
              </w:rPr>
              <w:t>0-1分，步长0.1</w:t>
            </w:r>
            <w:r>
              <w:rPr>
                <w:rFonts w:hint="eastAsia" w:ascii="宋体" w:hAnsi="宋体" w:eastAsia="宋体" w:cs="宋体"/>
                <w:color w:val="auto"/>
                <w:sz w:val="22"/>
                <w:szCs w:val="22"/>
                <w:highlight w:val="none"/>
                <w:lang w:eastAsia="zh-CN"/>
              </w:rPr>
              <w:t>）；</w:t>
            </w:r>
          </w:p>
          <w:p w14:paraId="0318CA76">
            <w:pPr>
              <w:keepNext w:val="0"/>
              <w:keepLines w:val="0"/>
              <w:pageBreakBefore w:val="0"/>
              <w:widowControl w:val="0"/>
              <w:numPr>
                <w:ilvl w:val="0"/>
                <w:numId w:val="9"/>
              </w:numPr>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培训科目（</w:t>
            </w:r>
            <w:r>
              <w:rPr>
                <w:rFonts w:hint="eastAsia" w:ascii="宋体" w:hAnsi="宋体" w:eastAsia="宋体" w:cs="宋体"/>
                <w:color w:val="auto"/>
                <w:sz w:val="22"/>
                <w:szCs w:val="22"/>
                <w:highlight w:val="none"/>
                <w:lang w:val="en-US" w:eastAsia="zh-CN"/>
              </w:rPr>
              <w:t>0-1分，步长0.1</w:t>
            </w:r>
            <w:r>
              <w:rPr>
                <w:rFonts w:hint="eastAsia" w:ascii="宋体" w:hAnsi="宋体" w:eastAsia="宋体" w:cs="宋体"/>
                <w:color w:val="auto"/>
                <w:sz w:val="22"/>
                <w:szCs w:val="22"/>
                <w:highlight w:val="none"/>
                <w:lang w:eastAsia="zh-CN"/>
              </w:rPr>
              <w:t>）；</w:t>
            </w:r>
          </w:p>
          <w:p w14:paraId="38AD0E1B">
            <w:pPr>
              <w:keepNext w:val="0"/>
              <w:keepLines w:val="0"/>
              <w:pageBreakBefore w:val="0"/>
              <w:widowControl w:val="0"/>
              <w:numPr>
                <w:ilvl w:val="0"/>
                <w:numId w:val="9"/>
              </w:numPr>
              <w:shd w:val="clear"/>
              <w:kinsoku/>
              <w:wordWrap/>
              <w:overflowPunct/>
              <w:topLinePunct w:val="0"/>
              <w:autoSpaceDE/>
              <w:autoSpaceDN/>
              <w:bidi w:val="0"/>
              <w:spacing w:before="156" w:line="360" w:lineRule="auto"/>
              <w:ind w:firstLine="0" w:firstLineChars="0"/>
              <w:jc w:val="left"/>
              <w:textAlignment w:val="auto"/>
              <w:rPr>
                <w:rFonts w:hint="default" w:ascii="仿宋_GB2312" w:hAnsi="仿宋_GB2312" w:eastAsia="仿宋_GB2312" w:cs="仿宋_GB2312"/>
                <w:color w:val="auto"/>
                <w:sz w:val="22"/>
                <w:szCs w:val="22"/>
                <w:highlight w:val="none"/>
                <w:lang w:val="en-US" w:eastAsia="zh-CN"/>
              </w:rPr>
            </w:pPr>
            <w:r>
              <w:rPr>
                <w:rFonts w:hint="eastAsia" w:ascii="宋体" w:hAnsi="宋体" w:eastAsia="宋体" w:cs="宋体"/>
                <w:color w:val="auto"/>
                <w:sz w:val="22"/>
                <w:szCs w:val="22"/>
                <w:highlight w:val="none"/>
                <w:lang w:eastAsia="zh-CN"/>
              </w:rPr>
              <w:t>培训方式（</w:t>
            </w:r>
            <w:r>
              <w:rPr>
                <w:rFonts w:hint="eastAsia" w:ascii="宋体" w:hAnsi="宋体" w:eastAsia="宋体" w:cs="宋体"/>
                <w:color w:val="auto"/>
                <w:sz w:val="22"/>
                <w:szCs w:val="22"/>
                <w:highlight w:val="none"/>
                <w:lang w:val="en-US" w:eastAsia="zh-CN"/>
              </w:rPr>
              <w:t>0-1分，步长0.1</w:t>
            </w:r>
            <w:r>
              <w:rPr>
                <w:rFonts w:hint="eastAsia" w:ascii="宋体" w:hAnsi="宋体" w:eastAsia="宋体" w:cs="宋体"/>
                <w:color w:val="auto"/>
                <w:sz w:val="22"/>
                <w:szCs w:val="22"/>
                <w:highlight w:val="none"/>
                <w:lang w:eastAsia="zh-CN"/>
              </w:rPr>
              <w:t>）。</w:t>
            </w:r>
          </w:p>
        </w:tc>
        <w:tc>
          <w:tcPr>
            <w:tcW w:w="976"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05660FFB">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0-3分</w:t>
            </w:r>
          </w:p>
        </w:tc>
      </w:tr>
      <w:tr w14:paraId="0190A5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52" w:hRule="atLeast"/>
        </w:trPr>
        <w:tc>
          <w:tcPr>
            <w:tcW w:w="732" w:type="dxa"/>
            <w:tcBorders>
              <w:left w:val="single" w:color="auto" w:sz="2" w:space="0"/>
              <w:right w:val="single" w:color="auto" w:sz="2" w:space="0"/>
            </w:tcBorders>
            <w:noWrap w:val="0"/>
            <w:vAlign w:val="center"/>
          </w:tcPr>
          <w:p w14:paraId="4B7A23E5">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87" w:type="dxa"/>
            <w:tcBorders>
              <w:left w:val="single" w:color="auto" w:sz="2" w:space="0"/>
              <w:right w:val="single" w:color="auto" w:sz="2" w:space="0"/>
            </w:tcBorders>
            <w:shd w:val="clear" w:color="auto" w:fill="auto"/>
            <w:noWrap w:val="0"/>
            <w:vAlign w:val="center"/>
          </w:tcPr>
          <w:p w14:paraId="1572E31C">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实施方案</w:t>
            </w:r>
          </w:p>
        </w:tc>
        <w:tc>
          <w:tcPr>
            <w:tcW w:w="6749"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3D1353F6">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货物供货、验货、安装调试的方案</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（0-3分，步长0.5）；</w:t>
            </w:r>
          </w:p>
          <w:p w14:paraId="547AF85E">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组织机构、人员配置、工作时间进度表、工作程序和步骤</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（0-3分，步长0.5）；</w:t>
            </w:r>
          </w:p>
          <w:p w14:paraId="78790C1D">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3、本项目的运维服务方案</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服务响应等</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（0-3分，步长0.5）</w:t>
            </w:r>
          </w:p>
        </w:tc>
        <w:tc>
          <w:tcPr>
            <w:tcW w:w="976"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196FDF97">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0-9分</w:t>
            </w:r>
          </w:p>
        </w:tc>
      </w:tr>
      <w:tr w14:paraId="0557D9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39" w:hRule="atLeast"/>
        </w:trPr>
        <w:tc>
          <w:tcPr>
            <w:tcW w:w="732" w:type="dxa"/>
            <w:vMerge w:val="restart"/>
            <w:tcBorders>
              <w:left w:val="single" w:color="auto" w:sz="2" w:space="0"/>
              <w:right w:val="single" w:color="auto" w:sz="2" w:space="0"/>
            </w:tcBorders>
            <w:noWrap w:val="0"/>
            <w:vAlign w:val="center"/>
          </w:tcPr>
          <w:p w14:paraId="3EC9133C">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887" w:type="dxa"/>
            <w:vMerge w:val="restart"/>
            <w:tcBorders>
              <w:left w:val="single" w:color="auto" w:sz="2" w:space="0"/>
              <w:right w:val="single" w:color="auto" w:sz="2" w:space="0"/>
            </w:tcBorders>
            <w:shd w:val="clear" w:color="auto" w:fill="auto"/>
            <w:noWrap w:val="0"/>
            <w:vAlign w:val="center"/>
          </w:tcPr>
          <w:p w14:paraId="1B5B1A9A">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售后服务</w:t>
            </w:r>
          </w:p>
        </w:tc>
        <w:tc>
          <w:tcPr>
            <w:tcW w:w="6749" w:type="dxa"/>
            <w:tcBorders>
              <w:top w:val="single" w:color="auto" w:sz="4" w:space="0"/>
              <w:left w:val="single" w:color="auto" w:sz="2" w:space="0"/>
              <w:bottom w:val="single" w:color="auto" w:sz="4" w:space="0"/>
              <w:right w:val="single" w:color="auto" w:sz="2" w:space="0"/>
            </w:tcBorders>
            <w:shd w:val="clear" w:color="auto" w:fill="auto"/>
            <w:noWrap w:val="0"/>
            <w:vAlign w:val="center"/>
          </w:tcPr>
          <w:p w14:paraId="5EBF4FAB">
            <w:pPr>
              <w:keepNext w:val="0"/>
              <w:keepLines w:val="0"/>
              <w:pageBreakBefore w:val="0"/>
              <w:widowControl w:val="0"/>
              <w:numPr>
                <w:ilvl w:val="0"/>
                <w:numId w:val="10"/>
              </w:numPr>
              <w:shd w:val="clear"/>
              <w:kinsoku/>
              <w:wordWrap/>
              <w:overflowPunct/>
              <w:topLinePunct w:val="0"/>
              <w:autoSpaceDE/>
              <w:autoSpaceDN/>
              <w:bidi w:val="0"/>
              <w:spacing w:before="156" w:line="360" w:lineRule="auto"/>
              <w:ind w:left="0" w:leftChars="0" w:firstLine="0" w:firstLineChars="0"/>
              <w:jc w:val="left"/>
              <w:textAlignment w:val="auto"/>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培训</w:t>
            </w:r>
            <w:r>
              <w:rPr>
                <w:rFonts w:hint="eastAsia" w:ascii="宋体" w:hAnsi="宋体" w:cs="宋体"/>
                <w:color w:val="auto"/>
                <w:sz w:val="22"/>
                <w:szCs w:val="22"/>
                <w:highlight w:val="none"/>
                <w:lang w:val="en-US" w:eastAsia="zh-CN"/>
              </w:rPr>
              <w:t>措施及承诺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0-1分，步长0.1</w:t>
            </w:r>
            <w:r>
              <w:rPr>
                <w:rFonts w:hint="eastAsia" w:ascii="宋体" w:hAnsi="宋体" w:cs="宋体"/>
                <w:color w:val="auto"/>
                <w:sz w:val="22"/>
                <w:szCs w:val="22"/>
                <w:highlight w:val="none"/>
                <w:lang w:eastAsia="zh-CN"/>
              </w:rPr>
              <w:t>）</w:t>
            </w:r>
          </w:p>
          <w:p w14:paraId="6E8AC315">
            <w:pPr>
              <w:keepNext w:val="0"/>
              <w:keepLines w:val="0"/>
              <w:pageBreakBefore w:val="0"/>
              <w:widowControl w:val="0"/>
              <w:numPr>
                <w:ilvl w:val="0"/>
                <w:numId w:val="10"/>
              </w:numPr>
              <w:shd w:val="clear"/>
              <w:kinsoku/>
              <w:wordWrap/>
              <w:overflowPunct/>
              <w:topLinePunct w:val="0"/>
              <w:autoSpaceDE/>
              <w:autoSpaceDN/>
              <w:bidi w:val="0"/>
              <w:spacing w:before="156" w:line="360" w:lineRule="auto"/>
              <w:ind w:left="0" w:leftChars="0"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技术服务维护</w:t>
            </w:r>
            <w:r>
              <w:rPr>
                <w:rFonts w:hint="eastAsia" w:ascii="宋体" w:hAnsi="宋体" w:cs="宋体"/>
                <w:color w:val="auto"/>
                <w:sz w:val="22"/>
                <w:szCs w:val="22"/>
                <w:highlight w:val="none"/>
                <w:lang w:val="en-US" w:eastAsia="zh-CN"/>
              </w:rPr>
              <w:t>措施及承诺；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0-1分，步长0.1</w:t>
            </w:r>
            <w:r>
              <w:rPr>
                <w:rFonts w:hint="eastAsia" w:ascii="宋体" w:hAnsi="宋体" w:cs="宋体"/>
                <w:color w:val="auto"/>
                <w:sz w:val="22"/>
                <w:szCs w:val="22"/>
                <w:highlight w:val="none"/>
                <w:lang w:eastAsia="zh-CN"/>
              </w:rPr>
              <w:t>）</w:t>
            </w:r>
          </w:p>
          <w:p w14:paraId="478DFC10">
            <w:pPr>
              <w:keepNext w:val="0"/>
              <w:keepLines w:val="0"/>
              <w:pageBreakBefore w:val="0"/>
              <w:widowControl w:val="0"/>
              <w:numPr>
                <w:ilvl w:val="0"/>
                <w:numId w:val="10"/>
              </w:numPr>
              <w:shd w:val="clear"/>
              <w:kinsoku/>
              <w:wordWrap/>
              <w:overflowPunct/>
              <w:topLinePunct w:val="0"/>
              <w:autoSpaceDE/>
              <w:autoSpaceDN/>
              <w:bidi w:val="0"/>
              <w:spacing w:before="156" w:line="360" w:lineRule="auto"/>
              <w:ind w:left="0" w:leftChars="0" w:firstLine="0" w:firstLineChars="0"/>
              <w:jc w:val="left"/>
              <w:textAlignment w:val="auto"/>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设备维护</w:t>
            </w:r>
            <w:r>
              <w:rPr>
                <w:rFonts w:hint="eastAsia" w:ascii="宋体" w:hAnsi="宋体" w:cs="宋体"/>
                <w:color w:val="auto"/>
                <w:sz w:val="22"/>
                <w:szCs w:val="22"/>
                <w:highlight w:val="none"/>
                <w:lang w:val="en-US" w:eastAsia="zh-CN"/>
              </w:rPr>
              <w:t>措施及</w:t>
            </w:r>
            <w:r>
              <w:rPr>
                <w:rFonts w:hint="eastAsia" w:ascii="宋体" w:hAnsi="宋体" w:eastAsia="宋体" w:cs="宋体"/>
                <w:color w:val="auto"/>
                <w:sz w:val="22"/>
                <w:szCs w:val="22"/>
                <w:highlight w:val="none"/>
              </w:rPr>
              <w:t>承诺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维护人员配备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维护响应时间</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0-1分，步长0.1</w:t>
            </w:r>
            <w:r>
              <w:rPr>
                <w:rFonts w:hint="eastAsia" w:ascii="宋体" w:hAnsi="宋体" w:cs="宋体"/>
                <w:color w:val="auto"/>
                <w:sz w:val="22"/>
                <w:szCs w:val="22"/>
                <w:highlight w:val="none"/>
                <w:lang w:eastAsia="zh-CN"/>
              </w:rPr>
              <w:t>）</w:t>
            </w:r>
          </w:p>
          <w:p w14:paraId="51D12829">
            <w:pPr>
              <w:keepNext w:val="0"/>
              <w:keepLines w:val="0"/>
              <w:pageBreakBefore w:val="0"/>
              <w:widowControl w:val="0"/>
              <w:numPr>
                <w:ilvl w:val="0"/>
                <w:numId w:val="0"/>
              </w:numPr>
              <w:shd w:val="clear"/>
              <w:kinsoku/>
              <w:wordWrap/>
              <w:overflowPunct/>
              <w:topLinePunct w:val="0"/>
              <w:autoSpaceDE/>
              <w:autoSpaceDN/>
              <w:bidi w:val="0"/>
              <w:spacing w:before="156" w:line="360" w:lineRule="auto"/>
              <w:ind w:left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质量</w:t>
            </w:r>
            <w:r>
              <w:rPr>
                <w:rFonts w:hint="eastAsia" w:ascii="宋体" w:hAnsi="宋体" w:cs="宋体"/>
                <w:color w:val="auto"/>
                <w:sz w:val="22"/>
                <w:szCs w:val="22"/>
                <w:highlight w:val="none"/>
                <w:lang w:val="en-US" w:eastAsia="zh-CN"/>
              </w:rPr>
              <w:t>保证</w:t>
            </w:r>
            <w:r>
              <w:rPr>
                <w:rFonts w:hint="eastAsia" w:ascii="宋体" w:hAnsi="宋体" w:eastAsia="宋体" w:cs="宋体"/>
                <w:color w:val="auto"/>
                <w:sz w:val="22"/>
                <w:szCs w:val="22"/>
                <w:highlight w:val="none"/>
              </w:rPr>
              <w:t>以及提供的后续技术支持</w:t>
            </w:r>
            <w:r>
              <w:rPr>
                <w:rFonts w:hint="eastAsia" w:ascii="宋体" w:hAnsi="宋体" w:cs="宋体"/>
                <w:color w:val="auto"/>
                <w:sz w:val="22"/>
                <w:szCs w:val="22"/>
                <w:highlight w:val="none"/>
                <w:lang w:val="en-US" w:eastAsia="zh-CN"/>
              </w:rPr>
              <w:t>措施及</w:t>
            </w:r>
            <w:r>
              <w:rPr>
                <w:rFonts w:hint="eastAsia" w:ascii="宋体" w:hAnsi="宋体" w:eastAsia="宋体" w:cs="宋体"/>
                <w:color w:val="auto"/>
                <w:sz w:val="22"/>
                <w:szCs w:val="22"/>
                <w:highlight w:val="none"/>
              </w:rPr>
              <w:t>承诺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0-1分，步长0.1</w:t>
            </w:r>
            <w:r>
              <w:rPr>
                <w:rFonts w:hint="eastAsia" w:ascii="宋体" w:hAnsi="宋体" w:cs="宋体"/>
                <w:color w:val="auto"/>
                <w:sz w:val="22"/>
                <w:szCs w:val="22"/>
                <w:highlight w:val="none"/>
                <w:lang w:eastAsia="zh-CN"/>
              </w:rPr>
              <w:t>）</w:t>
            </w:r>
          </w:p>
        </w:tc>
        <w:tc>
          <w:tcPr>
            <w:tcW w:w="976" w:type="dxa"/>
            <w:vMerge w:val="restart"/>
            <w:tcBorders>
              <w:top w:val="single" w:color="auto" w:sz="4" w:space="0"/>
              <w:left w:val="single" w:color="auto" w:sz="2" w:space="0"/>
              <w:right w:val="single" w:color="auto" w:sz="2" w:space="0"/>
            </w:tcBorders>
            <w:shd w:val="clear" w:color="auto" w:fill="auto"/>
            <w:noWrap w:val="0"/>
            <w:vAlign w:val="center"/>
          </w:tcPr>
          <w:p w14:paraId="2CACB003">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0-8 分</w:t>
            </w:r>
          </w:p>
        </w:tc>
      </w:tr>
      <w:tr w14:paraId="5380C8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732" w:type="dxa"/>
            <w:vMerge w:val="continue"/>
            <w:tcBorders>
              <w:left w:val="single" w:color="auto" w:sz="2" w:space="0"/>
              <w:right w:val="single" w:color="auto" w:sz="2" w:space="0"/>
            </w:tcBorders>
            <w:noWrap w:val="0"/>
            <w:vAlign w:val="center"/>
          </w:tcPr>
          <w:p w14:paraId="155AC2BC">
            <w:pPr>
              <w:keepNext w:val="0"/>
              <w:keepLines w:val="0"/>
              <w:pageBreakBefore w:val="0"/>
              <w:widowControl w:val="0"/>
              <w:shd w:val="clear"/>
              <w:kinsoku/>
              <w:wordWrap/>
              <w:overflowPunct/>
              <w:topLinePunct w:val="0"/>
              <w:autoSpaceDE/>
              <w:autoSpaceDN/>
              <w:bidi w:val="0"/>
              <w:spacing w:before="156" w:line="360" w:lineRule="auto"/>
              <w:ind w:left="0" w:leftChars="0" w:firstLine="0" w:firstLineChars="0"/>
              <w:jc w:val="left"/>
              <w:textAlignment w:val="auto"/>
              <w:rPr>
                <w:color w:val="auto"/>
                <w:highlight w:val="none"/>
              </w:rPr>
            </w:pPr>
          </w:p>
        </w:tc>
        <w:tc>
          <w:tcPr>
            <w:tcW w:w="887" w:type="dxa"/>
            <w:vMerge w:val="continue"/>
            <w:tcBorders>
              <w:left w:val="single" w:color="auto" w:sz="2" w:space="0"/>
              <w:right w:val="single" w:color="auto" w:sz="2" w:space="0"/>
            </w:tcBorders>
            <w:shd w:val="clear" w:color="auto" w:fill="auto"/>
            <w:noWrap w:val="0"/>
            <w:vAlign w:val="center"/>
          </w:tcPr>
          <w:p w14:paraId="1A1976CE">
            <w:pPr>
              <w:keepNext w:val="0"/>
              <w:keepLines w:val="0"/>
              <w:pageBreakBefore w:val="0"/>
              <w:widowControl w:val="0"/>
              <w:shd w:val="clear"/>
              <w:kinsoku/>
              <w:wordWrap/>
              <w:overflowPunct/>
              <w:topLinePunct w:val="0"/>
              <w:autoSpaceDE/>
              <w:autoSpaceDN/>
              <w:bidi w:val="0"/>
              <w:spacing w:before="156" w:line="360" w:lineRule="auto"/>
              <w:ind w:left="0" w:leftChars="0" w:firstLine="0" w:firstLineChars="0"/>
              <w:jc w:val="left"/>
              <w:textAlignment w:val="auto"/>
              <w:rPr>
                <w:color w:val="auto"/>
                <w:highlight w:val="none"/>
              </w:rPr>
            </w:pPr>
          </w:p>
        </w:tc>
        <w:tc>
          <w:tcPr>
            <w:tcW w:w="6749" w:type="dxa"/>
            <w:tcBorders>
              <w:top w:val="single" w:color="auto" w:sz="4" w:space="0"/>
              <w:left w:val="single" w:color="auto" w:sz="2" w:space="0"/>
              <w:bottom w:val="single" w:color="auto" w:sz="4" w:space="0"/>
              <w:right w:val="single" w:color="auto" w:sz="2" w:space="0"/>
            </w:tcBorders>
            <w:shd w:val="clear" w:color="auto" w:fill="auto"/>
            <w:noWrap w:val="0"/>
            <w:vAlign w:val="center"/>
          </w:tcPr>
          <w:p w14:paraId="1699C469">
            <w:pPr>
              <w:keepNext w:val="0"/>
              <w:keepLines w:val="0"/>
              <w:pageBreakBefore w:val="0"/>
              <w:widowControl w:val="0"/>
              <w:numPr>
                <w:ilvl w:val="0"/>
                <w:numId w:val="0"/>
              </w:numPr>
              <w:shd w:val="clear"/>
              <w:kinsoku/>
              <w:wordWrap/>
              <w:overflowPunct/>
              <w:topLinePunct w:val="0"/>
              <w:autoSpaceDE/>
              <w:autoSpaceDN/>
              <w:bidi w:val="0"/>
              <w:spacing w:before="156" w:line="360" w:lineRule="auto"/>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根据投标人随设备提供的备品备件及耗材是否满足采购需求且确保设备的正常使用情况进行打分</w:t>
            </w:r>
            <w:r>
              <w:rPr>
                <w:rFonts w:hint="eastAsia" w:ascii="宋体" w:hAnsi="宋体" w:eastAsia="宋体" w:cs="宋体"/>
                <w:color w:val="auto"/>
                <w:kern w:val="2"/>
                <w:sz w:val="22"/>
                <w:szCs w:val="22"/>
                <w:highlight w:val="none"/>
                <w:lang w:val="en-US" w:eastAsia="zh-CN" w:bidi="ar-SA"/>
              </w:rPr>
              <w:t>（0-2分，步长0.5）</w:t>
            </w:r>
          </w:p>
        </w:tc>
        <w:tc>
          <w:tcPr>
            <w:tcW w:w="976" w:type="dxa"/>
            <w:vMerge w:val="continue"/>
            <w:tcBorders>
              <w:left w:val="single" w:color="auto" w:sz="2" w:space="0"/>
              <w:right w:val="single" w:color="auto" w:sz="2" w:space="0"/>
            </w:tcBorders>
            <w:shd w:val="clear" w:color="auto" w:fill="auto"/>
            <w:noWrap w:val="0"/>
            <w:vAlign w:val="center"/>
          </w:tcPr>
          <w:p w14:paraId="761D0E0D">
            <w:pPr>
              <w:keepNext w:val="0"/>
              <w:keepLines w:val="0"/>
              <w:pageBreakBefore w:val="0"/>
              <w:widowControl w:val="0"/>
              <w:shd w:val="clear"/>
              <w:kinsoku/>
              <w:wordWrap/>
              <w:overflowPunct/>
              <w:topLinePunct w:val="0"/>
              <w:autoSpaceDE/>
              <w:autoSpaceDN/>
              <w:bidi w:val="0"/>
              <w:spacing w:before="156" w:line="360" w:lineRule="auto"/>
              <w:ind w:left="0" w:leftChars="0" w:firstLine="0" w:firstLineChars="0"/>
              <w:jc w:val="left"/>
              <w:textAlignment w:val="auto"/>
              <w:rPr>
                <w:rFonts w:hint="eastAsia" w:ascii="宋体" w:hAnsi="宋体" w:eastAsia="宋体" w:cs="宋体"/>
                <w:color w:val="auto"/>
                <w:sz w:val="22"/>
                <w:szCs w:val="22"/>
                <w:highlight w:val="none"/>
              </w:rPr>
            </w:pPr>
          </w:p>
        </w:tc>
      </w:tr>
      <w:tr w14:paraId="3FC1A2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69" w:hRule="atLeast"/>
        </w:trPr>
        <w:tc>
          <w:tcPr>
            <w:tcW w:w="732" w:type="dxa"/>
            <w:vMerge w:val="continue"/>
            <w:tcBorders>
              <w:left w:val="single" w:color="auto" w:sz="2" w:space="0"/>
              <w:right w:val="single" w:color="auto" w:sz="2" w:space="0"/>
            </w:tcBorders>
            <w:noWrap w:val="0"/>
            <w:vAlign w:val="center"/>
          </w:tcPr>
          <w:p w14:paraId="37A645AA">
            <w:pPr>
              <w:keepNext w:val="0"/>
              <w:keepLines w:val="0"/>
              <w:pageBreakBefore w:val="0"/>
              <w:widowControl w:val="0"/>
              <w:shd w:val="clear"/>
              <w:kinsoku/>
              <w:wordWrap/>
              <w:overflowPunct/>
              <w:topLinePunct w:val="0"/>
              <w:autoSpaceDE/>
              <w:autoSpaceDN/>
              <w:bidi w:val="0"/>
              <w:spacing w:before="156" w:line="360" w:lineRule="auto"/>
              <w:ind w:left="0" w:leftChars="0" w:firstLine="0" w:firstLineChars="0"/>
              <w:jc w:val="left"/>
              <w:textAlignment w:val="auto"/>
              <w:rPr>
                <w:color w:val="auto"/>
                <w:highlight w:val="none"/>
              </w:rPr>
            </w:pPr>
          </w:p>
        </w:tc>
        <w:tc>
          <w:tcPr>
            <w:tcW w:w="887" w:type="dxa"/>
            <w:vMerge w:val="continue"/>
            <w:tcBorders>
              <w:left w:val="single" w:color="auto" w:sz="2" w:space="0"/>
              <w:right w:val="single" w:color="auto" w:sz="2" w:space="0"/>
            </w:tcBorders>
            <w:shd w:val="clear" w:color="auto" w:fill="auto"/>
            <w:noWrap w:val="0"/>
            <w:vAlign w:val="center"/>
          </w:tcPr>
          <w:p w14:paraId="300E0EBD">
            <w:pPr>
              <w:keepNext w:val="0"/>
              <w:keepLines w:val="0"/>
              <w:pageBreakBefore w:val="0"/>
              <w:widowControl w:val="0"/>
              <w:shd w:val="clear"/>
              <w:kinsoku/>
              <w:wordWrap/>
              <w:overflowPunct/>
              <w:topLinePunct w:val="0"/>
              <w:autoSpaceDE/>
              <w:autoSpaceDN/>
              <w:bidi w:val="0"/>
              <w:spacing w:before="156" w:line="360" w:lineRule="auto"/>
              <w:ind w:left="0" w:leftChars="0" w:firstLine="0" w:firstLineChars="0"/>
              <w:jc w:val="left"/>
              <w:textAlignment w:val="auto"/>
              <w:rPr>
                <w:color w:val="auto"/>
                <w:sz w:val="20"/>
                <w:szCs w:val="22"/>
                <w:highlight w:val="none"/>
              </w:rPr>
            </w:pPr>
          </w:p>
        </w:tc>
        <w:tc>
          <w:tcPr>
            <w:tcW w:w="6749" w:type="dxa"/>
            <w:tcBorders>
              <w:top w:val="single" w:color="auto" w:sz="4" w:space="0"/>
              <w:left w:val="single" w:color="auto" w:sz="2" w:space="0"/>
              <w:bottom w:val="single" w:color="auto" w:sz="4" w:space="0"/>
              <w:right w:val="single" w:color="auto" w:sz="2" w:space="0"/>
            </w:tcBorders>
            <w:shd w:val="clear" w:color="auto" w:fill="auto"/>
            <w:noWrap w:val="0"/>
            <w:vAlign w:val="center"/>
          </w:tcPr>
          <w:p w14:paraId="1C5B50D1">
            <w:pPr>
              <w:keepNext w:val="0"/>
              <w:keepLines w:val="0"/>
              <w:pageBreakBefore w:val="0"/>
              <w:widowControl w:val="0"/>
              <w:numPr>
                <w:ilvl w:val="0"/>
                <w:numId w:val="0"/>
              </w:numPr>
              <w:shd w:val="clear"/>
              <w:kinsoku/>
              <w:wordWrap/>
              <w:overflowPunct/>
              <w:topLinePunct w:val="0"/>
              <w:autoSpaceDE/>
              <w:autoSpaceDN/>
              <w:bidi w:val="0"/>
              <w:spacing w:before="156" w:line="360" w:lineRule="auto"/>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质保期承诺：</w:t>
            </w:r>
            <w:r>
              <w:rPr>
                <w:rFonts w:hint="eastAsia" w:ascii="宋体" w:hAnsi="宋体" w:eastAsia="宋体" w:cs="宋体"/>
                <w:bCs/>
                <w:color w:val="auto"/>
                <w:sz w:val="22"/>
                <w:szCs w:val="22"/>
                <w:highlight w:val="none"/>
              </w:rPr>
              <w:t>质保期在招标文件要求的基础上</w:t>
            </w:r>
            <w:r>
              <w:rPr>
                <w:rFonts w:hint="eastAsia" w:ascii="宋体" w:hAnsi="宋体" w:cs="宋体"/>
                <w:bCs/>
                <w:color w:val="auto"/>
                <w:sz w:val="22"/>
                <w:szCs w:val="22"/>
                <w:highlight w:val="none"/>
                <w:lang w:val="en-US" w:eastAsia="zh-CN"/>
              </w:rPr>
              <w:t>每</w:t>
            </w:r>
            <w:r>
              <w:rPr>
                <w:rFonts w:hint="eastAsia" w:ascii="宋体" w:hAnsi="宋体" w:eastAsia="宋体" w:cs="宋体"/>
                <w:bCs/>
                <w:color w:val="auto"/>
                <w:sz w:val="22"/>
                <w:szCs w:val="22"/>
                <w:highlight w:val="none"/>
              </w:rPr>
              <w:t>增加一年</w:t>
            </w:r>
            <w:r>
              <w:rPr>
                <w:rFonts w:hint="eastAsia" w:ascii="宋体" w:hAnsi="宋体" w:cs="宋体"/>
                <w:bCs/>
                <w:color w:val="auto"/>
                <w:sz w:val="22"/>
                <w:szCs w:val="22"/>
                <w:highlight w:val="none"/>
                <w:lang w:val="en-US" w:eastAsia="zh-CN"/>
              </w:rPr>
              <w:t>得</w:t>
            </w:r>
            <w:r>
              <w:rPr>
                <w:rFonts w:hint="eastAsia" w:ascii="宋体" w:hAnsi="宋体" w:eastAsia="宋体" w:cs="宋体"/>
                <w:bCs/>
                <w:color w:val="auto"/>
                <w:sz w:val="22"/>
                <w:szCs w:val="22"/>
                <w:highlight w:val="none"/>
              </w:rPr>
              <w:t>1分，本项最多</w:t>
            </w:r>
            <w:r>
              <w:rPr>
                <w:rFonts w:hint="eastAsia" w:ascii="宋体" w:hAnsi="宋体" w:cs="宋体"/>
                <w:bCs/>
                <w:color w:val="auto"/>
                <w:sz w:val="22"/>
                <w:szCs w:val="22"/>
                <w:highlight w:val="none"/>
                <w:lang w:val="en-US" w:eastAsia="zh-CN"/>
              </w:rPr>
              <w:t>得</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p>
        </w:tc>
        <w:tc>
          <w:tcPr>
            <w:tcW w:w="976" w:type="dxa"/>
            <w:vMerge w:val="continue"/>
            <w:tcBorders>
              <w:left w:val="single" w:color="auto" w:sz="2" w:space="0"/>
              <w:bottom w:val="single" w:color="auto" w:sz="4" w:space="0"/>
              <w:right w:val="single" w:color="auto" w:sz="2" w:space="0"/>
            </w:tcBorders>
            <w:shd w:val="clear" w:color="auto" w:fill="auto"/>
            <w:noWrap w:val="0"/>
            <w:vAlign w:val="center"/>
          </w:tcPr>
          <w:p w14:paraId="0817D0B3">
            <w:pPr>
              <w:keepNext w:val="0"/>
              <w:keepLines w:val="0"/>
              <w:pageBreakBefore w:val="0"/>
              <w:widowControl w:val="0"/>
              <w:shd w:val="clear"/>
              <w:kinsoku/>
              <w:wordWrap/>
              <w:overflowPunct/>
              <w:topLinePunct w:val="0"/>
              <w:autoSpaceDE/>
              <w:autoSpaceDN/>
              <w:bidi w:val="0"/>
              <w:spacing w:before="156" w:line="360" w:lineRule="auto"/>
              <w:ind w:left="0" w:leftChars="0" w:firstLine="0" w:firstLineChars="0"/>
              <w:jc w:val="left"/>
              <w:textAlignment w:val="auto"/>
              <w:rPr>
                <w:rFonts w:hint="eastAsia" w:ascii="仿宋" w:hAnsi="仿宋" w:eastAsia="仿宋" w:cs="仿宋"/>
                <w:color w:val="auto"/>
                <w:sz w:val="24"/>
                <w:szCs w:val="24"/>
                <w:highlight w:val="none"/>
              </w:rPr>
            </w:pPr>
          </w:p>
        </w:tc>
      </w:tr>
      <w:tr w14:paraId="6AA08D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65" w:hRule="atLeast"/>
        </w:trPr>
        <w:tc>
          <w:tcPr>
            <w:tcW w:w="732" w:type="dxa"/>
            <w:tcBorders>
              <w:left w:val="single" w:color="auto" w:sz="2" w:space="0"/>
              <w:right w:val="single" w:color="auto" w:sz="2" w:space="0"/>
            </w:tcBorders>
            <w:noWrap w:val="0"/>
            <w:vAlign w:val="center"/>
          </w:tcPr>
          <w:p w14:paraId="57F405EF">
            <w:pPr>
              <w:keepNext w:val="0"/>
              <w:keepLines w:val="0"/>
              <w:pageBreakBefore w:val="0"/>
              <w:numPr>
                <w:ilvl w:val="0"/>
                <w:numId w:val="0"/>
              </w:numPr>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887" w:type="dxa"/>
            <w:tcBorders>
              <w:left w:val="single" w:color="auto" w:sz="2" w:space="0"/>
              <w:right w:val="single" w:color="auto" w:sz="2" w:space="0"/>
            </w:tcBorders>
            <w:shd w:val="clear" w:color="auto" w:fill="auto"/>
            <w:noWrap w:val="0"/>
            <w:vAlign w:val="center"/>
          </w:tcPr>
          <w:p w14:paraId="6878E1C1">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lang w:eastAsia="zh-CN"/>
              </w:rPr>
              <w:t>应急</w:t>
            </w:r>
            <w:r>
              <w:rPr>
                <w:rFonts w:hint="eastAsia" w:ascii="宋体" w:hAnsi="宋体" w:cs="宋体"/>
                <w:bCs/>
                <w:color w:val="auto"/>
                <w:sz w:val="22"/>
                <w:szCs w:val="22"/>
                <w:highlight w:val="none"/>
                <w:lang w:val="en-US" w:eastAsia="zh-CN"/>
              </w:rPr>
              <w:t>方案</w:t>
            </w:r>
          </w:p>
        </w:tc>
        <w:tc>
          <w:tcPr>
            <w:tcW w:w="6749" w:type="dxa"/>
            <w:tcBorders>
              <w:top w:val="single" w:color="auto" w:sz="4" w:space="0"/>
              <w:left w:val="single" w:color="auto" w:sz="2" w:space="0"/>
              <w:bottom w:val="single" w:color="auto" w:sz="4" w:space="0"/>
              <w:right w:val="single" w:color="auto" w:sz="2" w:space="0"/>
            </w:tcBorders>
            <w:shd w:val="clear" w:color="auto" w:fill="auto"/>
            <w:noWrap w:val="0"/>
            <w:vAlign w:val="center"/>
          </w:tcPr>
          <w:p w14:paraId="2D73A4DB">
            <w:pPr>
              <w:keepNext w:val="0"/>
              <w:keepLines w:val="0"/>
              <w:pageBreakBefore w:val="0"/>
              <w:widowControl w:val="0"/>
              <w:numPr>
                <w:ilvl w:val="0"/>
                <w:numId w:val="11"/>
              </w:numPr>
              <w:shd w:val="clear"/>
              <w:kinsoku/>
              <w:wordWrap/>
              <w:overflowPunct/>
              <w:topLinePunct w:val="0"/>
              <w:autoSpaceDE/>
              <w:autoSpaceDN/>
              <w:bidi w:val="0"/>
              <w:spacing w:before="156" w:line="360" w:lineRule="auto"/>
              <w:ind w:firstLine="0" w:firstLineChars="0"/>
              <w:jc w:val="left"/>
              <w:textAlignment w:val="auto"/>
              <w:rPr>
                <w:rStyle w:val="971"/>
                <w:rFonts w:hint="eastAsia" w:ascii="宋体" w:hAnsi="宋体" w:cs="宋体"/>
                <w:color w:val="auto"/>
                <w:kern w:val="0"/>
                <w:sz w:val="22"/>
                <w:szCs w:val="22"/>
                <w:highlight w:val="none"/>
                <w:lang w:val="en-US" w:eastAsia="zh-CN"/>
              </w:rPr>
            </w:pPr>
            <w:r>
              <w:rPr>
                <w:rStyle w:val="971"/>
                <w:rFonts w:hint="eastAsia" w:ascii="宋体" w:hAnsi="宋体" w:eastAsia="宋体" w:cs="宋体"/>
                <w:color w:val="auto"/>
                <w:kern w:val="0"/>
                <w:sz w:val="22"/>
                <w:szCs w:val="22"/>
                <w:highlight w:val="none"/>
                <w:lang w:val="zh-CN"/>
              </w:rPr>
              <w:t>针对可能出现的突发性、应急性等事件</w:t>
            </w:r>
            <w:r>
              <w:rPr>
                <w:rStyle w:val="971"/>
                <w:rFonts w:hint="eastAsia" w:ascii="宋体" w:hAnsi="宋体" w:cs="宋体"/>
                <w:color w:val="auto"/>
                <w:kern w:val="0"/>
                <w:sz w:val="22"/>
                <w:szCs w:val="22"/>
                <w:highlight w:val="none"/>
                <w:lang w:val="zh-CN"/>
              </w:rPr>
              <w:t>的</w:t>
            </w:r>
            <w:r>
              <w:rPr>
                <w:rStyle w:val="971"/>
                <w:rFonts w:hint="eastAsia" w:ascii="宋体" w:hAnsi="宋体" w:cs="宋体"/>
                <w:color w:val="auto"/>
                <w:kern w:val="0"/>
                <w:sz w:val="22"/>
                <w:szCs w:val="22"/>
                <w:highlight w:val="none"/>
                <w:lang w:val="en-US" w:eastAsia="zh-CN"/>
              </w:rPr>
              <w:t>措施；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0-1分，步长0.1</w:t>
            </w:r>
            <w:r>
              <w:rPr>
                <w:rFonts w:hint="eastAsia" w:ascii="宋体" w:hAnsi="宋体" w:cs="宋体"/>
                <w:color w:val="auto"/>
                <w:sz w:val="22"/>
                <w:szCs w:val="22"/>
                <w:highlight w:val="none"/>
                <w:lang w:eastAsia="zh-CN"/>
              </w:rPr>
              <w:t>）</w:t>
            </w:r>
          </w:p>
          <w:p w14:paraId="1287429C">
            <w:pPr>
              <w:keepNext w:val="0"/>
              <w:keepLines w:val="0"/>
              <w:pageBreakBefore w:val="0"/>
              <w:widowControl w:val="0"/>
              <w:numPr>
                <w:ilvl w:val="0"/>
                <w:numId w:val="11"/>
              </w:numPr>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Style w:val="971"/>
                <w:rFonts w:hint="eastAsia" w:ascii="宋体" w:hAnsi="宋体" w:eastAsia="宋体" w:cs="宋体"/>
                <w:color w:val="auto"/>
                <w:kern w:val="0"/>
                <w:sz w:val="22"/>
                <w:szCs w:val="22"/>
                <w:highlight w:val="none"/>
                <w:lang w:val="zh-CN"/>
              </w:rPr>
              <w:t>设置应对</w:t>
            </w:r>
            <w:r>
              <w:rPr>
                <w:rStyle w:val="971"/>
                <w:rFonts w:hint="eastAsia" w:ascii="宋体" w:hAnsi="宋体" w:eastAsia="宋体" w:cs="宋体"/>
                <w:color w:val="auto"/>
                <w:kern w:val="0"/>
                <w:sz w:val="22"/>
                <w:szCs w:val="22"/>
                <w:highlight w:val="none"/>
              </w:rPr>
              <w:t>机构、人员及</w:t>
            </w:r>
            <w:r>
              <w:rPr>
                <w:rStyle w:val="971"/>
                <w:rFonts w:hint="eastAsia" w:ascii="宋体" w:hAnsi="宋体" w:eastAsia="宋体" w:cs="宋体"/>
                <w:color w:val="auto"/>
                <w:kern w:val="0"/>
                <w:sz w:val="22"/>
                <w:szCs w:val="22"/>
                <w:highlight w:val="none"/>
                <w:lang w:val="zh-CN"/>
              </w:rPr>
              <w:t>措施</w:t>
            </w:r>
            <w:r>
              <w:rPr>
                <w:rStyle w:val="971"/>
                <w:rFonts w:hint="eastAsia" w:ascii="宋体" w:hAnsi="宋体" w:cs="宋体"/>
                <w:color w:val="auto"/>
                <w:kern w:val="0"/>
                <w:sz w:val="22"/>
                <w:szCs w:val="22"/>
                <w:highlight w:val="none"/>
                <w:lang w:val="zh-CN"/>
              </w:rPr>
              <w:t>；</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0-1分，步长0.1</w:t>
            </w:r>
            <w:r>
              <w:rPr>
                <w:rFonts w:hint="eastAsia" w:ascii="宋体" w:hAnsi="宋体" w:cs="宋体"/>
                <w:color w:val="auto"/>
                <w:sz w:val="22"/>
                <w:szCs w:val="22"/>
                <w:highlight w:val="none"/>
                <w:lang w:eastAsia="zh-CN"/>
              </w:rPr>
              <w:t>）</w:t>
            </w:r>
          </w:p>
          <w:p w14:paraId="6F74CE95">
            <w:pPr>
              <w:keepNext w:val="0"/>
              <w:keepLines w:val="0"/>
              <w:pageBreakBefore w:val="0"/>
              <w:widowControl w:val="0"/>
              <w:numPr>
                <w:ilvl w:val="0"/>
                <w:numId w:val="11"/>
              </w:numPr>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Style w:val="971"/>
                <w:rFonts w:hint="eastAsia" w:ascii="宋体" w:hAnsi="宋体" w:eastAsia="宋体" w:cs="宋体"/>
                <w:color w:val="auto"/>
                <w:kern w:val="0"/>
                <w:sz w:val="22"/>
                <w:szCs w:val="22"/>
                <w:highlight w:val="none"/>
                <w:lang w:val="zh-CN"/>
              </w:rPr>
              <w:t>提供有效保障等内容</w:t>
            </w:r>
            <w:r>
              <w:rPr>
                <w:rStyle w:val="971"/>
                <w:rFonts w:hint="eastAsia" w:ascii="宋体" w:hAnsi="宋体" w:cs="宋体"/>
                <w:color w:val="auto"/>
                <w:kern w:val="0"/>
                <w:sz w:val="22"/>
                <w:szCs w:val="22"/>
                <w:highlight w:val="none"/>
                <w:lang w:val="zh-CN"/>
              </w:rPr>
              <w:t>。</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0-1分，步长0.1</w:t>
            </w:r>
            <w:r>
              <w:rPr>
                <w:rFonts w:hint="eastAsia" w:ascii="宋体" w:hAnsi="宋体" w:cs="宋体"/>
                <w:color w:val="auto"/>
                <w:sz w:val="22"/>
                <w:szCs w:val="22"/>
                <w:highlight w:val="none"/>
                <w:lang w:eastAsia="zh-CN"/>
              </w:rPr>
              <w:t>）</w:t>
            </w:r>
          </w:p>
        </w:tc>
        <w:tc>
          <w:tcPr>
            <w:tcW w:w="976" w:type="dxa"/>
            <w:tcBorders>
              <w:top w:val="single" w:color="auto" w:sz="4" w:space="0"/>
              <w:left w:val="single" w:color="auto" w:sz="2" w:space="0"/>
              <w:bottom w:val="single" w:color="auto" w:sz="4" w:space="0"/>
              <w:right w:val="single" w:color="auto" w:sz="2" w:space="0"/>
            </w:tcBorders>
            <w:shd w:val="clear" w:color="auto" w:fill="auto"/>
            <w:noWrap w:val="0"/>
            <w:vAlign w:val="center"/>
          </w:tcPr>
          <w:p w14:paraId="4635B5AA">
            <w:pPr>
              <w:keepNext w:val="0"/>
              <w:keepLines w:val="0"/>
              <w:pageBreakBefore w:val="0"/>
              <w:widowControl w:val="0"/>
              <w:shd w:val="clear"/>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0-3分</w:t>
            </w:r>
          </w:p>
        </w:tc>
      </w:tr>
      <w:tr w14:paraId="77C72B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57" w:hRule="atLeast"/>
        </w:trPr>
        <w:tc>
          <w:tcPr>
            <w:tcW w:w="732" w:type="dxa"/>
            <w:vMerge w:val="restart"/>
            <w:tcBorders>
              <w:left w:val="single" w:color="auto" w:sz="2" w:space="0"/>
              <w:right w:val="single" w:color="auto" w:sz="2" w:space="0"/>
            </w:tcBorders>
            <w:noWrap w:val="0"/>
            <w:vAlign w:val="center"/>
          </w:tcPr>
          <w:p w14:paraId="06F0BAB3">
            <w:pPr>
              <w:keepNext w:val="0"/>
              <w:keepLines w:val="0"/>
              <w:pageBreakBefore w:val="0"/>
              <w:widowControl/>
              <w:shd w:val="clear"/>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887" w:type="dxa"/>
            <w:vMerge w:val="restart"/>
            <w:tcBorders>
              <w:left w:val="single" w:color="auto" w:sz="2" w:space="0"/>
              <w:right w:val="single" w:color="auto" w:sz="2" w:space="0"/>
            </w:tcBorders>
            <w:noWrap w:val="0"/>
            <w:vAlign w:val="center"/>
          </w:tcPr>
          <w:p w14:paraId="610CEF17">
            <w:pPr>
              <w:widowControl/>
              <w:shd w:val="clear"/>
              <w:spacing w:line="360" w:lineRule="auto"/>
              <w:jc w:val="center"/>
              <w:rPr>
                <w:rFonts w:hint="eastAsia" w:ascii="宋体" w:hAnsi="宋体" w:eastAsia="宋体" w:cs="宋体"/>
                <w:color w:val="auto"/>
                <w:sz w:val="22"/>
                <w:szCs w:val="22"/>
                <w:highlight w:val="none"/>
              </w:rPr>
            </w:pPr>
            <w:r>
              <w:rPr>
                <w:rFonts w:hint="eastAsia" w:ascii="宋体" w:hAnsi="宋体" w:cs="宋体"/>
                <w:bCs/>
                <w:color w:val="auto"/>
                <w:sz w:val="22"/>
                <w:szCs w:val="22"/>
                <w:highlight w:val="none"/>
                <w:lang w:val="en-US" w:eastAsia="zh-CN"/>
              </w:rPr>
              <w:t>样品</w:t>
            </w:r>
          </w:p>
        </w:tc>
        <w:tc>
          <w:tcPr>
            <w:tcW w:w="6749" w:type="dxa"/>
            <w:tcBorders>
              <w:top w:val="single" w:color="auto" w:sz="4" w:space="0"/>
              <w:left w:val="single" w:color="auto" w:sz="2" w:space="0"/>
              <w:bottom w:val="single" w:color="auto" w:sz="4" w:space="0"/>
              <w:right w:val="single" w:color="auto" w:sz="2" w:space="0"/>
            </w:tcBorders>
            <w:noWrap w:val="0"/>
            <w:vAlign w:val="center"/>
          </w:tcPr>
          <w:p w14:paraId="46678CA1">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小型或中型无人机（支持一机多用）</w:t>
            </w:r>
          </w:p>
          <w:p w14:paraId="3A07CD7C">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根据投标人所提供的样品外观、材质、工艺、功能（性能）、</w:t>
            </w:r>
            <w:r>
              <w:rPr>
                <w:rFonts w:hint="eastAsia" w:ascii="宋体" w:hAnsi="宋体" w:cs="宋体"/>
                <w:color w:val="auto"/>
                <w:kern w:val="2"/>
                <w:sz w:val="22"/>
                <w:szCs w:val="22"/>
                <w:highlight w:val="none"/>
                <w:lang w:val="en-US" w:eastAsia="zh-CN" w:bidi="ar-SA"/>
              </w:rPr>
              <w:t>全套配置、</w:t>
            </w:r>
            <w:r>
              <w:rPr>
                <w:rFonts w:hint="eastAsia" w:ascii="宋体" w:hAnsi="宋体" w:eastAsia="宋体" w:cs="宋体"/>
                <w:color w:val="auto"/>
                <w:kern w:val="2"/>
                <w:sz w:val="22"/>
                <w:szCs w:val="22"/>
                <w:highlight w:val="none"/>
                <w:lang w:val="en-US" w:eastAsia="zh-CN" w:bidi="ar-SA"/>
              </w:rPr>
              <w:t>重量、尺寸等方面进行综合评审；（0-</w:t>
            </w: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分，步长0.5）</w:t>
            </w:r>
          </w:p>
        </w:tc>
        <w:tc>
          <w:tcPr>
            <w:tcW w:w="976" w:type="dxa"/>
            <w:vMerge w:val="restart"/>
            <w:tcBorders>
              <w:top w:val="single" w:color="auto" w:sz="4" w:space="0"/>
              <w:left w:val="single" w:color="auto" w:sz="2" w:space="0"/>
              <w:right w:val="single" w:color="auto" w:sz="2" w:space="0"/>
            </w:tcBorders>
            <w:noWrap w:val="0"/>
            <w:vAlign w:val="center"/>
          </w:tcPr>
          <w:p w14:paraId="3DC42156">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0-11</w:t>
            </w:r>
            <w:bookmarkStart w:id="98" w:name="_GoBack"/>
            <w:bookmarkEnd w:id="98"/>
            <w:r>
              <w:rPr>
                <w:rFonts w:hint="eastAsia" w:ascii="宋体" w:hAnsi="宋体" w:cs="宋体"/>
                <w:bCs/>
                <w:color w:val="auto"/>
                <w:sz w:val="24"/>
                <w:szCs w:val="24"/>
                <w:highlight w:val="none"/>
                <w:lang w:val="en-US" w:eastAsia="zh-CN"/>
              </w:rPr>
              <w:t>分</w:t>
            </w:r>
          </w:p>
        </w:tc>
      </w:tr>
      <w:tr w14:paraId="2D9790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57" w:hRule="atLeast"/>
        </w:trPr>
        <w:tc>
          <w:tcPr>
            <w:tcW w:w="732" w:type="dxa"/>
            <w:vMerge w:val="continue"/>
            <w:tcBorders>
              <w:left w:val="single" w:color="auto" w:sz="2" w:space="0"/>
              <w:right w:val="single" w:color="auto" w:sz="2" w:space="0"/>
            </w:tcBorders>
            <w:noWrap w:val="0"/>
            <w:vAlign w:val="center"/>
          </w:tcPr>
          <w:p w14:paraId="1CAEFE65">
            <w:pPr>
              <w:keepNext w:val="0"/>
              <w:keepLines w:val="0"/>
              <w:pageBreakBefore w:val="0"/>
              <w:widowControl w:val="0"/>
              <w:shd w:val="clear"/>
              <w:kinsoku/>
              <w:wordWrap/>
              <w:overflowPunct/>
              <w:topLinePunct w:val="0"/>
              <w:autoSpaceDE/>
              <w:autoSpaceDN/>
              <w:bidi w:val="0"/>
              <w:spacing w:before="156" w:line="240" w:lineRule="auto"/>
              <w:ind w:firstLine="0" w:firstLineChars="0"/>
              <w:jc w:val="left"/>
              <w:textAlignment w:val="auto"/>
              <w:rPr>
                <w:color w:val="auto"/>
                <w:highlight w:val="none"/>
              </w:rPr>
            </w:pPr>
          </w:p>
        </w:tc>
        <w:tc>
          <w:tcPr>
            <w:tcW w:w="887" w:type="dxa"/>
            <w:vMerge w:val="continue"/>
            <w:tcBorders>
              <w:left w:val="single" w:color="auto" w:sz="2" w:space="0"/>
              <w:right w:val="single" w:color="auto" w:sz="2" w:space="0"/>
            </w:tcBorders>
            <w:noWrap w:val="0"/>
            <w:vAlign w:val="center"/>
          </w:tcPr>
          <w:p w14:paraId="72609C7D">
            <w:pPr>
              <w:keepNext w:val="0"/>
              <w:keepLines w:val="0"/>
              <w:pageBreakBefore w:val="0"/>
              <w:widowControl w:val="0"/>
              <w:shd w:val="clear"/>
              <w:kinsoku/>
              <w:wordWrap/>
              <w:overflowPunct/>
              <w:topLinePunct w:val="0"/>
              <w:autoSpaceDE/>
              <w:autoSpaceDN/>
              <w:bidi w:val="0"/>
              <w:spacing w:before="156" w:line="240" w:lineRule="auto"/>
              <w:ind w:firstLine="0" w:firstLineChars="0"/>
              <w:jc w:val="left"/>
              <w:textAlignment w:val="auto"/>
              <w:rPr>
                <w:color w:val="auto"/>
                <w:highlight w:val="none"/>
              </w:rPr>
            </w:pPr>
          </w:p>
        </w:tc>
        <w:tc>
          <w:tcPr>
            <w:tcW w:w="6749" w:type="dxa"/>
            <w:tcBorders>
              <w:top w:val="single" w:color="auto" w:sz="4" w:space="0"/>
              <w:left w:val="single" w:color="auto" w:sz="2" w:space="0"/>
              <w:bottom w:val="single" w:color="auto" w:sz="4" w:space="0"/>
              <w:right w:val="single" w:color="auto" w:sz="2" w:space="0"/>
            </w:tcBorders>
            <w:noWrap w:val="0"/>
            <w:vAlign w:val="center"/>
          </w:tcPr>
          <w:p w14:paraId="0B3D7BB0">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单兵式音视频采集装备：</w:t>
            </w:r>
          </w:p>
          <w:p w14:paraId="73139CBC">
            <w:pPr>
              <w:keepNext w:val="0"/>
              <w:keepLines w:val="0"/>
              <w:pageBreakBefore w:val="0"/>
              <w:widowControl w:val="0"/>
              <w:shd w:val="clear"/>
              <w:kinsoku/>
              <w:wordWrap/>
              <w:overflowPunct/>
              <w:topLinePunct w:val="0"/>
              <w:autoSpaceDE/>
              <w:autoSpaceDN/>
              <w:bidi w:val="0"/>
              <w:spacing w:before="156"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根据投标人所提供的样品外观、材质、工艺、功能（性能）、重量、尺寸等方面进行综合评审；（0-5分，步长0.5）</w:t>
            </w:r>
          </w:p>
        </w:tc>
        <w:tc>
          <w:tcPr>
            <w:tcW w:w="976" w:type="dxa"/>
            <w:vMerge w:val="continue"/>
            <w:tcBorders>
              <w:left w:val="single" w:color="auto" w:sz="2" w:space="0"/>
              <w:bottom w:val="single" w:color="auto" w:sz="4" w:space="0"/>
              <w:right w:val="single" w:color="auto" w:sz="2" w:space="0"/>
            </w:tcBorders>
            <w:noWrap w:val="0"/>
            <w:vAlign w:val="center"/>
          </w:tcPr>
          <w:p w14:paraId="1007CEA6">
            <w:pPr>
              <w:keepNext w:val="0"/>
              <w:keepLines w:val="0"/>
              <w:pageBreakBefore w:val="0"/>
              <w:widowControl w:val="0"/>
              <w:shd w:val="clear"/>
              <w:kinsoku/>
              <w:wordWrap/>
              <w:overflowPunct/>
              <w:topLinePunct w:val="0"/>
              <w:autoSpaceDE/>
              <w:autoSpaceDN/>
              <w:bidi w:val="0"/>
              <w:spacing w:before="156" w:line="240" w:lineRule="auto"/>
              <w:ind w:firstLine="0" w:firstLineChars="0"/>
              <w:jc w:val="left"/>
              <w:textAlignment w:val="auto"/>
              <w:rPr>
                <w:rFonts w:hint="eastAsia" w:ascii="宋体" w:hAnsi="宋体" w:eastAsia="宋体" w:cs="宋体"/>
                <w:color w:val="auto"/>
                <w:sz w:val="22"/>
                <w:szCs w:val="22"/>
                <w:highlight w:val="none"/>
              </w:rPr>
            </w:pPr>
          </w:p>
        </w:tc>
      </w:tr>
    </w:tbl>
    <w:p w14:paraId="49C02A12">
      <w:pPr>
        <w:keepNext w:val="0"/>
        <w:keepLines w:val="0"/>
        <w:pageBreakBefore w:val="0"/>
        <w:shd w:val="clear"/>
        <w:kinsoku/>
        <w:wordWrap/>
        <w:overflowPunct/>
        <w:topLinePunct w:val="0"/>
        <w:bidi w:val="0"/>
        <w:adjustRightInd w:val="0"/>
        <w:spacing w:line="440" w:lineRule="exact"/>
        <w:ind w:firstLine="482" w:firstLineChars="200"/>
        <w:textAlignment w:val="auto"/>
        <w:rPr>
          <w:rFonts w:hint="eastAsia" w:ascii="宋体" w:hAnsi="宋体" w:eastAsia="宋体" w:cs="宋体"/>
          <w:b/>
          <w:bCs/>
          <w:iCs/>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14:paraId="16ECDB1B">
      <w:pPr>
        <w:keepNext w:val="0"/>
        <w:keepLines w:val="0"/>
        <w:pageBreakBefore w:val="0"/>
        <w:shd w:val="clear"/>
        <w:kinsoku/>
        <w:wordWrap/>
        <w:overflowPunct/>
        <w:topLinePunct w:val="0"/>
        <w:bidi w:val="0"/>
        <w:adjustRightInd w:val="0"/>
        <w:spacing w:line="440" w:lineRule="exact"/>
        <w:ind w:firstLine="482" w:firstLineChars="200"/>
        <w:textAlignment w:val="auto"/>
        <w:rPr>
          <w:rFonts w:hint="eastAsia" w:ascii="宋体" w:hAnsi="宋体" w:eastAsia="宋体" w:cs="宋体"/>
          <w:b/>
          <w:bCs/>
          <w:iCs/>
          <w:color w:val="auto"/>
          <w:sz w:val="24"/>
          <w:highlight w:val="none"/>
        </w:rPr>
      </w:pPr>
      <w:r>
        <w:rPr>
          <w:rFonts w:hint="eastAsia" w:ascii="宋体" w:hAnsi="宋体" w:eastAsia="宋体" w:cs="宋体"/>
          <w:b/>
          <w:bCs/>
          <w:iCs/>
          <w:color w:val="auto"/>
          <w:sz w:val="24"/>
          <w:highlight w:val="none"/>
        </w:rPr>
        <w:t>2.2价格分（</w:t>
      </w:r>
      <w:r>
        <w:rPr>
          <w:rFonts w:hint="eastAsia" w:ascii="宋体" w:hAnsi="宋体" w:cs="宋体"/>
          <w:b/>
          <w:bCs/>
          <w:iCs/>
          <w:color w:val="auto"/>
          <w:sz w:val="24"/>
          <w:highlight w:val="none"/>
          <w:u w:val="single"/>
          <w:lang w:val="en-US" w:eastAsia="zh-CN"/>
        </w:rPr>
        <w:t>30</w:t>
      </w:r>
      <w:r>
        <w:rPr>
          <w:rFonts w:hint="eastAsia" w:ascii="宋体" w:hAnsi="宋体" w:eastAsia="宋体" w:cs="宋体"/>
          <w:b/>
          <w:bCs/>
          <w:iCs/>
          <w:color w:val="auto"/>
          <w:sz w:val="24"/>
          <w:highlight w:val="none"/>
        </w:rPr>
        <w:t>分）</w:t>
      </w:r>
    </w:p>
    <w:p w14:paraId="60CB4422">
      <w:pPr>
        <w:keepNext w:val="0"/>
        <w:keepLines w:val="0"/>
        <w:pageBreakBefore w:val="0"/>
        <w:shd w:val="clear"/>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2.2.1评标基准价：即满足招标文件要求且投标价格最低的投标报价为评标基准价，其价格分为满分。</w:t>
      </w:r>
    </w:p>
    <w:p w14:paraId="594C56FA">
      <w:pPr>
        <w:keepNext w:val="0"/>
        <w:keepLines w:val="0"/>
        <w:pageBreakBefore w:val="0"/>
        <w:shd w:val="clear"/>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2.2.2其他投标人的价格分统一按照下列公式计算：</w:t>
      </w:r>
    </w:p>
    <w:p w14:paraId="1C804020">
      <w:pPr>
        <w:keepNext w:val="0"/>
        <w:keepLines w:val="0"/>
        <w:pageBreakBefore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投标报价得分=(评标基准价／投标报价)×价格权值×100</w:t>
      </w:r>
    </w:p>
    <w:p w14:paraId="19AFECAC">
      <w:pPr>
        <w:keepNext w:val="0"/>
        <w:keepLines w:val="0"/>
        <w:pageBreakBefore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default" w:ascii="宋体" w:hAnsi="宋体" w:eastAsia="宋体" w:cs="宋体"/>
          <w:bCs/>
          <w:iCs/>
          <w:color w:val="auto"/>
          <w:sz w:val="24"/>
          <w:highlight w:val="none"/>
          <w:lang w:val="en-US" w:eastAsia="zh-CN"/>
        </w:rPr>
      </w:pPr>
      <w:r>
        <w:rPr>
          <w:rFonts w:hint="eastAsia" w:ascii="宋体" w:hAnsi="宋体" w:eastAsia="宋体" w:cs="宋体"/>
          <w:bCs/>
          <w:iCs/>
          <w:color w:val="auto"/>
          <w:sz w:val="24"/>
          <w:highlight w:val="none"/>
        </w:rPr>
        <w:t>即：投标报价得分=(评标基准价／投标报价)×</w:t>
      </w:r>
      <w:r>
        <w:rPr>
          <w:rFonts w:hint="eastAsia" w:ascii="宋体" w:hAnsi="宋体" w:cs="宋体"/>
          <w:bCs/>
          <w:iCs/>
          <w:color w:val="auto"/>
          <w:sz w:val="24"/>
          <w:highlight w:val="none"/>
          <w:u w:val="single"/>
          <w:lang w:val="en-US" w:eastAsia="zh-CN"/>
        </w:rPr>
        <w:t>30</w:t>
      </w:r>
    </w:p>
    <w:p w14:paraId="2C75E210">
      <w:pPr>
        <w:pStyle w:val="62"/>
        <w:shd w:val="clear"/>
        <w:ind w:left="0" w:leftChars="0" w:firstLine="0" w:firstLineChars="0"/>
        <w:rPr>
          <w:rFonts w:hint="eastAsia" w:ascii="宋体" w:hAnsi="宋体" w:eastAsia="宋体" w:cs="宋体"/>
          <w:b/>
          <w:color w:val="auto"/>
          <w:sz w:val="36"/>
          <w:szCs w:val="20"/>
          <w:highlight w:val="none"/>
        </w:rPr>
      </w:pPr>
    </w:p>
    <w:p w14:paraId="6B0CC99C">
      <w:pPr>
        <w:shd w:val="clear"/>
        <w:rPr>
          <w:rFonts w:hint="eastAsia"/>
          <w:color w:val="auto"/>
          <w:highlight w:val="none"/>
        </w:rPr>
      </w:pPr>
    </w:p>
    <w:p w14:paraId="3EE92E64">
      <w:pPr>
        <w:widowControl/>
        <w:shd w:val="clear"/>
        <w:adjustRightInd/>
        <w:jc w:val="both"/>
        <w:rPr>
          <w:rFonts w:hint="eastAsia" w:ascii="宋体" w:hAnsi="宋体" w:eastAsia="宋体" w:cs="宋体"/>
          <w:b/>
          <w:color w:val="auto"/>
          <w:sz w:val="36"/>
          <w:szCs w:val="20"/>
          <w:highlight w:val="none"/>
        </w:rPr>
      </w:pPr>
    </w:p>
    <w:p w14:paraId="4FF6A36F">
      <w:pPr>
        <w:widowControl/>
        <w:shd w:val="clear"/>
        <w:adjustRightInd/>
        <w:jc w:val="both"/>
        <w:rPr>
          <w:rFonts w:hint="eastAsia" w:ascii="宋体" w:hAnsi="宋体" w:eastAsia="宋体" w:cs="宋体"/>
          <w:b/>
          <w:color w:val="auto"/>
          <w:sz w:val="36"/>
          <w:szCs w:val="20"/>
          <w:highlight w:val="none"/>
        </w:rPr>
      </w:pPr>
    </w:p>
    <w:p w14:paraId="505C19E6">
      <w:pPr>
        <w:widowControl/>
        <w:shd w:val="clear"/>
        <w:adjustRightInd/>
        <w:jc w:val="both"/>
        <w:rPr>
          <w:rFonts w:hint="eastAsia" w:ascii="宋体" w:hAnsi="宋体" w:eastAsia="宋体" w:cs="宋体"/>
          <w:b/>
          <w:color w:val="auto"/>
          <w:sz w:val="36"/>
          <w:szCs w:val="20"/>
          <w:highlight w:val="none"/>
        </w:rPr>
      </w:pPr>
    </w:p>
    <w:p w14:paraId="22DE756F">
      <w:pPr>
        <w:widowControl/>
        <w:shd w:val="clear"/>
        <w:adjustRightInd/>
        <w:jc w:val="both"/>
        <w:rPr>
          <w:rFonts w:hint="eastAsia" w:ascii="宋体" w:hAnsi="宋体" w:eastAsia="宋体" w:cs="宋体"/>
          <w:b/>
          <w:color w:val="auto"/>
          <w:sz w:val="36"/>
          <w:szCs w:val="20"/>
          <w:highlight w:val="none"/>
        </w:rPr>
      </w:pPr>
    </w:p>
    <w:p w14:paraId="4035FCE1">
      <w:pPr>
        <w:widowControl/>
        <w:shd w:val="clear"/>
        <w:adjustRightInd/>
        <w:jc w:val="both"/>
        <w:rPr>
          <w:rFonts w:hint="eastAsia" w:ascii="宋体" w:hAnsi="宋体" w:eastAsia="宋体" w:cs="宋体"/>
          <w:b/>
          <w:color w:val="auto"/>
          <w:sz w:val="36"/>
          <w:szCs w:val="20"/>
          <w:highlight w:val="none"/>
        </w:rPr>
      </w:pPr>
    </w:p>
    <w:p w14:paraId="0E62BC78">
      <w:pPr>
        <w:widowControl/>
        <w:shd w:val="clear"/>
        <w:adjustRightInd/>
        <w:jc w:val="both"/>
        <w:rPr>
          <w:rFonts w:hint="eastAsia" w:ascii="宋体" w:hAnsi="宋体" w:eastAsia="宋体" w:cs="宋体"/>
          <w:b/>
          <w:color w:val="auto"/>
          <w:sz w:val="36"/>
          <w:szCs w:val="20"/>
          <w:highlight w:val="none"/>
        </w:rPr>
      </w:pPr>
    </w:p>
    <w:p w14:paraId="0F45571E">
      <w:pPr>
        <w:widowControl/>
        <w:shd w:val="clear"/>
        <w:adjustRightInd/>
        <w:jc w:val="both"/>
        <w:rPr>
          <w:rFonts w:hint="eastAsia" w:ascii="宋体" w:hAnsi="宋体" w:eastAsia="宋体" w:cs="宋体"/>
          <w:b/>
          <w:color w:val="auto"/>
          <w:sz w:val="36"/>
          <w:szCs w:val="20"/>
          <w:highlight w:val="none"/>
        </w:rPr>
      </w:pPr>
    </w:p>
    <w:p w14:paraId="7FDF588D">
      <w:pPr>
        <w:widowControl/>
        <w:shd w:val="clear"/>
        <w:adjustRightInd/>
        <w:jc w:val="both"/>
        <w:rPr>
          <w:rFonts w:hint="eastAsia" w:ascii="宋体" w:hAnsi="宋体" w:eastAsia="宋体" w:cs="宋体"/>
          <w:b/>
          <w:color w:val="auto"/>
          <w:sz w:val="36"/>
          <w:szCs w:val="20"/>
          <w:highlight w:val="none"/>
        </w:rPr>
      </w:pPr>
    </w:p>
    <w:p w14:paraId="36195CB1">
      <w:pPr>
        <w:widowControl/>
        <w:shd w:val="clear"/>
        <w:adjustRightInd/>
        <w:jc w:val="both"/>
        <w:rPr>
          <w:rFonts w:hint="eastAsia" w:ascii="宋体" w:hAnsi="宋体" w:eastAsia="宋体" w:cs="宋体"/>
          <w:b/>
          <w:color w:val="auto"/>
          <w:sz w:val="36"/>
          <w:szCs w:val="20"/>
          <w:highlight w:val="none"/>
        </w:rPr>
      </w:pPr>
    </w:p>
    <w:p w14:paraId="56F23145">
      <w:pPr>
        <w:widowControl/>
        <w:shd w:val="clear"/>
        <w:adjustRightInd/>
        <w:jc w:val="both"/>
        <w:rPr>
          <w:rFonts w:hint="eastAsia" w:ascii="宋体" w:hAnsi="宋体" w:eastAsia="宋体" w:cs="宋体"/>
          <w:b/>
          <w:color w:val="auto"/>
          <w:sz w:val="36"/>
          <w:szCs w:val="20"/>
          <w:highlight w:val="none"/>
        </w:rPr>
      </w:pPr>
    </w:p>
    <w:p w14:paraId="501A49DF">
      <w:pPr>
        <w:widowControl/>
        <w:shd w:val="clear"/>
        <w:adjustRightInd/>
        <w:jc w:val="both"/>
        <w:rPr>
          <w:rFonts w:hint="eastAsia" w:ascii="宋体" w:hAnsi="宋体" w:eastAsia="宋体" w:cs="宋体"/>
          <w:b/>
          <w:color w:val="auto"/>
          <w:sz w:val="36"/>
          <w:szCs w:val="20"/>
          <w:highlight w:val="none"/>
        </w:rPr>
      </w:pPr>
    </w:p>
    <w:p w14:paraId="5D338C40">
      <w:pPr>
        <w:widowControl/>
        <w:shd w:val="clear"/>
        <w:adjustRightInd/>
        <w:jc w:val="both"/>
        <w:rPr>
          <w:rFonts w:hint="eastAsia" w:ascii="宋体" w:hAnsi="宋体" w:eastAsia="宋体" w:cs="宋体"/>
          <w:b/>
          <w:color w:val="auto"/>
          <w:sz w:val="36"/>
          <w:szCs w:val="20"/>
          <w:highlight w:val="none"/>
        </w:rPr>
      </w:pPr>
    </w:p>
    <w:p w14:paraId="5F273A86">
      <w:pPr>
        <w:widowControl/>
        <w:shd w:val="clear"/>
        <w:adjustRightInd/>
        <w:jc w:val="both"/>
        <w:rPr>
          <w:rFonts w:hint="eastAsia" w:ascii="宋体" w:hAnsi="宋体" w:eastAsia="宋体" w:cs="宋体"/>
          <w:b/>
          <w:color w:val="auto"/>
          <w:sz w:val="36"/>
          <w:szCs w:val="20"/>
          <w:highlight w:val="none"/>
        </w:rPr>
      </w:pPr>
    </w:p>
    <w:p w14:paraId="339503A4">
      <w:pPr>
        <w:widowControl/>
        <w:shd w:val="clear"/>
        <w:adjustRightInd/>
        <w:jc w:val="both"/>
        <w:rPr>
          <w:rFonts w:hint="eastAsia" w:ascii="宋体" w:hAnsi="宋体" w:eastAsia="宋体" w:cs="宋体"/>
          <w:b/>
          <w:color w:val="auto"/>
          <w:sz w:val="36"/>
          <w:szCs w:val="20"/>
          <w:highlight w:val="none"/>
        </w:rPr>
      </w:pPr>
    </w:p>
    <w:p w14:paraId="32BF9A36">
      <w:pPr>
        <w:widowControl/>
        <w:shd w:val="clear"/>
        <w:adjustRightInd/>
        <w:jc w:val="both"/>
        <w:rPr>
          <w:rFonts w:hint="eastAsia" w:ascii="宋体" w:hAnsi="宋体" w:eastAsia="宋体" w:cs="宋体"/>
          <w:b/>
          <w:color w:val="auto"/>
          <w:sz w:val="36"/>
          <w:szCs w:val="20"/>
          <w:highlight w:val="none"/>
        </w:rPr>
      </w:pPr>
    </w:p>
    <w:p w14:paraId="6E8B32DD">
      <w:pPr>
        <w:widowControl/>
        <w:shd w:val="clear"/>
        <w:adjustRightInd/>
        <w:jc w:val="both"/>
        <w:rPr>
          <w:rFonts w:hint="eastAsia" w:ascii="宋体" w:hAnsi="宋体" w:eastAsia="宋体" w:cs="宋体"/>
          <w:b/>
          <w:color w:val="auto"/>
          <w:sz w:val="36"/>
          <w:szCs w:val="20"/>
          <w:highlight w:val="none"/>
        </w:rPr>
      </w:pPr>
    </w:p>
    <w:p w14:paraId="4A29638B">
      <w:pPr>
        <w:widowControl/>
        <w:shd w:val="clear"/>
        <w:adjustRightInd/>
        <w:jc w:val="both"/>
        <w:rPr>
          <w:rFonts w:hint="eastAsia" w:ascii="宋体" w:hAnsi="宋体" w:eastAsia="宋体" w:cs="宋体"/>
          <w:b/>
          <w:color w:val="auto"/>
          <w:sz w:val="36"/>
          <w:szCs w:val="20"/>
          <w:highlight w:val="none"/>
        </w:rPr>
      </w:pPr>
    </w:p>
    <w:p w14:paraId="59B547D5">
      <w:pPr>
        <w:widowControl/>
        <w:shd w:val="clear"/>
        <w:adjustRightInd/>
        <w:jc w:val="both"/>
        <w:rPr>
          <w:rFonts w:hint="eastAsia" w:ascii="宋体" w:hAnsi="宋体" w:eastAsia="宋体" w:cs="宋体"/>
          <w:b/>
          <w:color w:val="auto"/>
          <w:sz w:val="36"/>
          <w:szCs w:val="20"/>
          <w:highlight w:val="none"/>
        </w:rPr>
      </w:pPr>
    </w:p>
    <w:p w14:paraId="64E71AD3">
      <w:pPr>
        <w:widowControl/>
        <w:shd w:val="clear"/>
        <w:adjustRightInd/>
        <w:jc w:val="both"/>
        <w:rPr>
          <w:rFonts w:hint="eastAsia" w:ascii="宋体" w:hAnsi="宋体" w:eastAsia="宋体" w:cs="宋体"/>
          <w:b/>
          <w:color w:val="auto"/>
          <w:sz w:val="36"/>
          <w:szCs w:val="20"/>
          <w:highlight w:val="none"/>
        </w:rPr>
      </w:pPr>
    </w:p>
    <w:p w14:paraId="57E3CDEF">
      <w:pPr>
        <w:widowControl/>
        <w:shd w:val="clear"/>
        <w:adjustRightInd/>
        <w:jc w:val="both"/>
        <w:rPr>
          <w:rFonts w:hint="eastAsia" w:ascii="宋体" w:hAnsi="宋体" w:eastAsia="宋体" w:cs="宋体"/>
          <w:b/>
          <w:color w:val="auto"/>
          <w:sz w:val="36"/>
          <w:szCs w:val="20"/>
          <w:highlight w:val="none"/>
        </w:rPr>
      </w:pPr>
    </w:p>
    <w:p w14:paraId="671E10B3">
      <w:pPr>
        <w:widowControl/>
        <w:shd w:val="clear"/>
        <w:adjustRightInd/>
        <w:jc w:val="both"/>
        <w:rPr>
          <w:rFonts w:hint="eastAsia" w:ascii="宋体" w:hAnsi="宋体" w:eastAsia="宋体" w:cs="宋体"/>
          <w:b/>
          <w:color w:val="auto"/>
          <w:sz w:val="36"/>
          <w:szCs w:val="20"/>
          <w:highlight w:val="none"/>
        </w:rPr>
      </w:pPr>
    </w:p>
    <w:p w14:paraId="4A774C6D">
      <w:pPr>
        <w:widowControl/>
        <w:shd w:val="clear"/>
        <w:adjustRightInd/>
        <w:jc w:val="both"/>
        <w:rPr>
          <w:rFonts w:hint="eastAsia" w:ascii="宋体" w:hAnsi="宋体" w:eastAsia="宋体" w:cs="宋体"/>
          <w:b/>
          <w:color w:val="auto"/>
          <w:sz w:val="36"/>
          <w:szCs w:val="20"/>
          <w:highlight w:val="none"/>
        </w:rPr>
      </w:pPr>
    </w:p>
    <w:p w14:paraId="0B4C26A1">
      <w:pPr>
        <w:widowControl/>
        <w:shd w:val="clear"/>
        <w:adjustRightInd/>
        <w:jc w:val="both"/>
        <w:rPr>
          <w:rFonts w:hint="eastAsia" w:ascii="宋体" w:hAnsi="宋体" w:eastAsia="宋体" w:cs="宋体"/>
          <w:b/>
          <w:color w:val="auto"/>
          <w:sz w:val="36"/>
          <w:szCs w:val="20"/>
          <w:highlight w:val="none"/>
        </w:rPr>
      </w:pPr>
    </w:p>
    <w:p w14:paraId="40DB4468">
      <w:pPr>
        <w:widowControl/>
        <w:shd w:val="clear"/>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25"/>
      <w:r>
        <w:rPr>
          <w:rFonts w:hint="eastAsia" w:ascii="宋体" w:hAnsi="宋体" w:eastAsia="宋体" w:cs="宋体"/>
          <w:b/>
          <w:color w:val="auto"/>
          <w:sz w:val="36"/>
          <w:szCs w:val="20"/>
          <w:highlight w:val="none"/>
        </w:rPr>
        <w:t xml:space="preserve"> </w:t>
      </w:r>
      <w:bookmarkEnd w:id="26"/>
      <w:r>
        <w:rPr>
          <w:rFonts w:hint="eastAsia" w:ascii="宋体" w:hAnsi="宋体" w:eastAsia="宋体" w:cs="宋体"/>
          <w:b/>
          <w:color w:val="auto"/>
          <w:sz w:val="36"/>
          <w:szCs w:val="20"/>
          <w:highlight w:val="none"/>
        </w:rPr>
        <w:t>投标文件及其附件格式</w:t>
      </w:r>
    </w:p>
    <w:p w14:paraId="0D4698D4">
      <w:pPr>
        <w:shd w:val="clear"/>
        <w:spacing w:line="360" w:lineRule="auto"/>
        <w:jc w:val="center"/>
        <w:outlineLvl w:val="0"/>
        <w:rPr>
          <w:rFonts w:hint="eastAsia" w:ascii="宋体" w:hAnsi="宋体" w:eastAsia="宋体" w:cs="宋体"/>
          <w:b/>
          <w:color w:val="auto"/>
          <w:kern w:val="0"/>
          <w:sz w:val="36"/>
          <w:szCs w:val="36"/>
          <w:highlight w:val="none"/>
        </w:rPr>
      </w:pPr>
    </w:p>
    <w:p w14:paraId="7C174E9B">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18DE765">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763CE4B">
      <w:pPr>
        <w:shd w:val="clear"/>
        <w:spacing w:line="360" w:lineRule="auto"/>
        <w:jc w:val="center"/>
        <w:outlineLvl w:val="0"/>
        <w:rPr>
          <w:rFonts w:hint="eastAsia" w:ascii="宋体" w:hAnsi="宋体" w:eastAsia="宋体" w:cs="宋体"/>
          <w:b/>
          <w:color w:val="auto"/>
          <w:kern w:val="0"/>
          <w:sz w:val="36"/>
          <w:szCs w:val="36"/>
          <w:highlight w:val="none"/>
        </w:rPr>
      </w:pPr>
    </w:p>
    <w:p w14:paraId="40A4FC73">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048C3E72">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3C6A4BBF">
      <w:pPr>
        <w:pStyle w:val="23"/>
        <w:shd w:val="clear"/>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分包协议</w:t>
      </w:r>
      <w:r>
        <w:rPr>
          <w:rFonts w:hint="eastAsia" w:ascii="宋体" w:hAnsi="宋体" w:eastAsia="宋体" w:cs="宋体"/>
          <w:color w:val="auto"/>
          <w:sz w:val="24"/>
          <w:highlight w:val="none"/>
        </w:rPr>
        <w:t>………………………………………………………………（页码）</w:t>
      </w:r>
    </w:p>
    <w:p w14:paraId="44B210F9">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）落实政府采购政策需满足的资格要求………………………………（页码）</w:t>
      </w:r>
    </w:p>
    <w:p w14:paraId="3E4A08C7">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）本项目的特定资格要求………………………………………………（页码）</w:t>
      </w:r>
    </w:p>
    <w:p w14:paraId="2CC72F70">
      <w:pPr>
        <w:shd w:val="clear"/>
        <w:snapToGrid w:val="0"/>
        <w:spacing w:line="360" w:lineRule="auto"/>
        <w:ind w:firstLine="480" w:firstLineChars="200"/>
        <w:rPr>
          <w:rFonts w:hint="eastAsia" w:ascii="宋体" w:hAnsi="宋体" w:eastAsia="宋体" w:cs="宋体"/>
          <w:color w:val="auto"/>
          <w:sz w:val="24"/>
          <w:highlight w:val="none"/>
        </w:rPr>
      </w:pPr>
    </w:p>
    <w:p w14:paraId="7508FF3A">
      <w:pPr>
        <w:shd w:val="clear"/>
        <w:spacing w:line="360" w:lineRule="auto"/>
        <w:ind w:firstLine="480" w:firstLineChars="200"/>
        <w:rPr>
          <w:rFonts w:hint="eastAsia" w:ascii="宋体" w:hAnsi="宋体" w:eastAsia="宋体" w:cs="宋体"/>
          <w:color w:val="auto"/>
          <w:sz w:val="24"/>
          <w:highlight w:val="none"/>
        </w:rPr>
      </w:pPr>
    </w:p>
    <w:p w14:paraId="04F0641A">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1C7B211E">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079E620">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（项目名称）</w:t>
      </w:r>
      <w:r>
        <w:rPr>
          <w:rFonts w:hint="eastAsia" w:ascii="宋体" w:hAnsi="宋体" w:eastAsia="宋体" w:cs="宋体"/>
          <w:color w:val="auto"/>
          <w:sz w:val="24"/>
          <w:highlight w:val="none"/>
        </w:rPr>
        <w:t>【招标编号：（采购编号）】政府采购活动，郑重承诺：</w:t>
      </w:r>
    </w:p>
    <w:p w14:paraId="4E4A41BC">
      <w:pPr>
        <w:shd w:val="clea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6B110DA">
      <w:pPr>
        <w:shd w:val="clea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065D248">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642194E">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C0F0FC5">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DE23093">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4892028">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522BD09">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627577D5">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26A5DBC">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F160958">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FA14FB0">
      <w:pPr>
        <w:shd w:val="clea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4F1C285">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7886E51">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5E532BC8">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2B519B4F">
      <w:pPr>
        <w:widowControl/>
        <w:shd w:val="clear"/>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2A3DFC7">
      <w:pPr>
        <w:widowControl/>
        <w:shd w:val="clear"/>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二、联合协议（如有）</w:t>
      </w:r>
    </w:p>
    <w:p w14:paraId="3811F1DE">
      <w:pPr>
        <w:widowControl/>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91D4E2A">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34BCF38E">
      <w:pPr>
        <w:shd w:val="clea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三、分包意向协议（如有）</w:t>
      </w:r>
    </w:p>
    <w:p w14:paraId="3297B0E8">
      <w:pPr>
        <w:widowControl/>
        <w:shd w:val="clear"/>
        <w:spacing w:line="360" w:lineRule="auto"/>
        <w:ind w:firstLine="361" w:firstLineChars="1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p>
    <w:p w14:paraId="2CBA9DE1">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2025863B">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、落实政府采购政策需满足的资格要求</w:t>
      </w:r>
    </w:p>
    <w:p w14:paraId="2CE2583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1FC7A29C">
      <w:pPr>
        <w:shd w:val="clea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35F12571">
      <w:pPr>
        <w:widowControl/>
        <w:shd w:val="clear"/>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r>
        <w:rPr>
          <w:rFonts w:hint="eastAsia" w:ascii="宋体" w:hAnsi="宋体" w:eastAsia="宋体" w:cs="宋体"/>
          <w:b/>
          <w:color w:val="auto"/>
          <w:sz w:val="24"/>
          <w:highlight w:val="none"/>
        </w:rPr>
        <w:t xml:space="preserve"> </w:t>
      </w:r>
    </w:p>
    <w:p w14:paraId="71C4C39F">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F4B009E">
      <w:pPr>
        <w:widowControl/>
        <w:shd w:val="clear"/>
        <w:spacing w:line="360" w:lineRule="auto"/>
        <w:ind w:left="150"/>
        <w:jc w:val="center"/>
        <w:rPr>
          <w:rFonts w:hint="eastAsia" w:ascii="宋体" w:hAnsi="宋体" w:eastAsia="宋体" w:cs="宋体"/>
          <w:b/>
          <w:color w:val="auto"/>
          <w:kern w:val="0"/>
          <w:sz w:val="32"/>
          <w:szCs w:val="32"/>
          <w:highlight w:val="none"/>
        </w:rPr>
      </w:pPr>
    </w:p>
    <w:p w14:paraId="3E13A2B2">
      <w:pPr>
        <w:widowControl/>
        <w:shd w:val="clear"/>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、本项目的特定资格要求</w:t>
      </w:r>
    </w:p>
    <w:p w14:paraId="2F2CE2E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3F40C13E">
      <w:pPr>
        <w:shd w:val="clear"/>
        <w:spacing w:line="360" w:lineRule="auto"/>
        <w:jc w:val="center"/>
        <w:outlineLvl w:val="0"/>
        <w:rPr>
          <w:rFonts w:hint="eastAsia" w:ascii="宋体" w:hAnsi="宋体" w:eastAsia="宋体" w:cs="宋体"/>
          <w:b/>
          <w:color w:val="auto"/>
          <w:kern w:val="0"/>
          <w:sz w:val="24"/>
          <w:highlight w:val="none"/>
        </w:rPr>
      </w:pPr>
    </w:p>
    <w:p w14:paraId="39F9675B">
      <w:pPr>
        <w:pStyle w:val="2"/>
        <w:shd w:val="clear"/>
        <w:rPr>
          <w:rFonts w:hint="eastAsia"/>
          <w:color w:val="auto"/>
          <w:highlight w:val="none"/>
          <w:lang w:eastAsia="zh-CN"/>
        </w:rPr>
      </w:pPr>
    </w:p>
    <w:p w14:paraId="294E9765">
      <w:pPr>
        <w:shd w:val="clear"/>
        <w:rPr>
          <w:rFonts w:hint="eastAsia"/>
          <w:color w:val="auto"/>
          <w:highlight w:val="none"/>
          <w:lang w:eastAsia="zh-CN"/>
        </w:rPr>
      </w:pPr>
    </w:p>
    <w:p w14:paraId="36AED3AF">
      <w:pPr>
        <w:shd w:val="clear"/>
        <w:rPr>
          <w:rFonts w:hint="eastAsia"/>
          <w:color w:val="auto"/>
          <w:highlight w:val="none"/>
          <w:lang w:eastAsia="zh-CN"/>
        </w:rPr>
      </w:pPr>
    </w:p>
    <w:p w14:paraId="59EC845C">
      <w:pPr>
        <w:shd w:val="clear"/>
        <w:spacing w:line="336"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B45955D">
      <w:pPr>
        <w:shd w:val="clear"/>
        <w:spacing w:line="336" w:lineRule="auto"/>
        <w:jc w:val="center"/>
        <w:outlineLvl w:val="0"/>
        <w:rPr>
          <w:rFonts w:hint="eastAsia" w:ascii="宋体" w:hAnsi="宋体" w:eastAsia="宋体" w:cs="宋体"/>
          <w:b/>
          <w:color w:val="auto"/>
          <w:kern w:val="0"/>
          <w:sz w:val="24"/>
          <w:highlight w:val="none"/>
        </w:rPr>
      </w:pPr>
    </w:p>
    <w:p w14:paraId="026A63A3">
      <w:pPr>
        <w:shd w:val="clear"/>
        <w:spacing w:line="336"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A262EAF">
      <w:pPr>
        <w:pStyle w:val="906"/>
        <w:numPr>
          <w:ilvl w:val="0"/>
          <w:numId w:val="12"/>
        </w:numPr>
        <w:shd w:val="clear"/>
        <w:spacing w:line="336"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评分索引表……………………………………………………………………（页码）</w:t>
      </w:r>
    </w:p>
    <w:p w14:paraId="6F9CECF2">
      <w:pPr>
        <w:pStyle w:val="906"/>
        <w:numPr>
          <w:ilvl w:val="0"/>
          <w:numId w:val="12"/>
        </w:numPr>
        <w:shd w:val="clear"/>
        <w:spacing w:line="336"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投标函…………………………………………………………………………（页码）</w:t>
      </w:r>
    </w:p>
    <w:p w14:paraId="60356263">
      <w:pPr>
        <w:pStyle w:val="906"/>
        <w:numPr>
          <w:ilvl w:val="0"/>
          <w:numId w:val="12"/>
        </w:numPr>
        <w:shd w:val="clear"/>
        <w:spacing w:line="336"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营业执照………………………………………………………………………（页码）</w:t>
      </w:r>
    </w:p>
    <w:p w14:paraId="7E0A2732">
      <w:pPr>
        <w:pStyle w:val="906"/>
        <w:numPr>
          <w:ilvl w:val="0"/>
          <w:numId w:val="12"/>
        </w:numPr>
        <w:shd w:val="clear"/>
        <w:spacing w:line="336"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法定代表人授权书 …………………………………………………</w:t>
      </w:r>
      <w:r>
        <w:rPr>
          <w:rFonts w:hint="eastAsia" w:ascii="宋体" w:hAnsi="宋体" w:eastAsia="宋体" w:cs="宋体"/>
          <w:color w:val="auto"/>
          <w:kern w:val="0"/>
          <w:sz w:val="24"/>
          <w:highlight w:val="none"/>
          <w:lang w:val="zh-CN"/>
        </w:rPr>
        <w:t>…………</w:t>
      </w:r>
      <w:r>
        <w:rPr>
          <w:rFonts w:hint="eastAsia" w:ascii="宋体" w:hAnsi="宋体" w:eastAsia="宋体" w:cs="宋体"/>
          <w:color w:val="auto"/>
          <w:highlight w:val="none"/>
        </w:rPr>
        <w:t>（页码）</w:t>
      </w:r>
    </w:p>
    <w:p w14:paraId="254AFB4A">
      <w:pPr>
        <w:pStyle w:val="906"/>
        <w:numPr>
          <w:ilvl w:val="0"/>
          <w:numId w:val="12"/>
        </w:numPr>
        <w:shd w:val="clear"/>
        <w:spacing w:line="336"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法定代表人及其授权代表身份证复印件……………………………………（页码）</w:t>
      </w:r>
    </w:p>
    <w:p w14:paraId="15908A41">
      <w:pPr>
        <w:pStyle w:val="906"/>
        <w:numPr>
          <w:ilvl w:val="0"/>
          <w:numId w:val="12"/>
        </w:numPr>
        <w:shd w:val="clear"/>
        <w:spacing w:line="336"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法定代表人身份证明书……………………………………………………… （页码）</w:t>
      </w:r>
    </w:p>
    <w:p w14:paraId="40C93015">
      <w:pPr>
        <w:pStyle w:val="906"/>
        <w:numPr>
          <w:ilvl w:val="0"/>
          <w:numId w:val="12"/>
        </w:numPr>
        <w:shd w:val="clear"/>
        <w:spacing w:line="336"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zh-CN"/>
        </w:rPr>
        <w:t>商务资信响应表</w:t>
      </w:r>
      <w:r>
        <w:rPr>
          <w:rFonts w:hint="eastAsia" w:ascii="宋体" w:hAnsi="宋体" w:eastAsia="宋体" w:cs="宋体"/>
          <w:color w:val="auto"/>
          <w:highlight w:val="none"/>
        </w:rPr>
        <w:t>………………………………………………………………（页码）</w:t>
      </w:r>
    </w:p>
    <w:p w14:paraId="56BA91AC">
      <w:pPr>
        <w:pStyle w:val="906"/>
        <w:numPr>
          <w:ilvl w:val="0"/>
          <w:numId w:val="12"/>
        </w:numPr>
        <w:shd w:val="clear"/>
        <w:spacing w:line="336" w:lineRule="auto"/>
        <w:ind w:left="0" w:firstLine="0" w:firstLineChars="0"/>
        <w:rPr>
          <w:rFonts w:hint="eastAsia" w:ascii="宋体" w:hAnsi="宋体" w:eastAsia="宋体" w:cs="宋体"/>
          <w:color w:val="auto"/>
          <w:highlight w:val="none"/>
        </w:rPr>
      </w:pPr>
      <w:bookmarkStart w:id="79" w:name="OLE_LINK8"/>
      <w:r>
        <w:rPr>
          <w:rFonts w:hint="eastAsia" w:ascii="宋体" w:hAnsi="宋体" w:eastAsia="宋体" w:cs="宋体"/>
          <w:color w:val="auto"/>
          <w:highlight w:val="none"/>
        </w:rPr>
        <w:t>技术响应</w:t>
      </w:r>
      <w:r>
        <w:rPr>
          <w:rFonts w:hint="eastAsia" w:ascii="宋体" w:hAnsi="宋体" w:eastAsia="宋体" w:cs="宋体"/>
          <w:color w:val="auto"/>
          <w:highlight w:val="none"/>
          <w:lang w:val="zh-CN"/>
        </w:rPr>
        <w:t>偏离表</w:t>
      </w:r>
      <w:bookmarkEnd w:id="79"/>
      <w:r>
        <w:rPr>
          <w:rFonts w:hint="eastAsia" w:ascii="宋体" w:hAnsi="宋体" w:eastAsia="宋体" w:cs="宋体"/>
          <w:color w:val="auto"/>
          <w:highlight w:val="none"/>
        </w:rPr>
        <w:t>………………………………………………………………（页码）</w:t>
      </w:r>
    </w:p>
    <w:p w14:paraId="76108E79">
      <w:pPr>
        <w:shd w:val="clear"/>
        <w:spacing w:line="360" w:lineRule="auto"/>
        <w:ind w:right="-510" w:rightChars="-243"/>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主要业绩证明…………………………………………………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（页码）</w:t>
      </w:r>
    </w:p>
    <w:p w14:paraId="384238BD">
      <w:pPr>
        <w:shd w:val="clear"/>
        <w:spacing w:line="360" w:lineRule="auto"/>
        <w:ind w:right="-510" w:rightChars="-243"/>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10）</w:t>
      </w:r>
      <w:r>
        <w:rPr>
          <w:rFonts w:hint="eastAsia" w:ascii="宋体" w:hAnsi="宋体" w:cs="宋体"/>
          <w:color w:val="auto"/>
          <w:kern w:val="0"/>
          <w:sz w:val="24"/>
          <w:highlight w:val="none"/>
          <w:lang w:val="en-US" w:eastAsia="zh-CN"/>
        </w:rPr>
        <w:t>项</w:t>
      </w:r>
      <w:r>
        <w:rPr>
          <w:rFonts w:hint="eastAsia" w:ascii="宋体" w:hAnsi="宋体" w:eastAsia="宋体" w:cs="宋体"/>
          <w:color w:val="auto"/>
          <w:kern w:val="0"/>
          <w:sz w:val="24"/>
          <w:highlight w:val="none"/>
          <w:lang w:val="en-US" w:eastAsia="zh-CN"/>
        </w:rPr>
        <w:t>目小组人员名单</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（页码）</w:t>
      </w:r>
    </w:p>
    <w:p w14:paraId="281F0DC6">
      <w:pPr>
        <w:shd w:val="clear"/>
        <w:spacing w:line="360" w:lineRule="auto"/>
        <w:ind w:right="-510" w:rightChars="-243"/>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lang w:val="zh-CN"/>
        </w:rPr>
        <w:t>政府采购供应商廉洁自律承诺书……………………………………………</w:t>
      </w:r>
      <w:r>
        <w:rPr>
          <w:rFonts w:hint="eastAsia" w:ascii="宋体" w:hAnsi="宋体" w:eastAsia="宋体" w:cs="宋体"/>
          <w:color w:val="auto"/>
          <w:kern w:val="0"/>
          <w:sz w:val="24"/>
          <w:highlight w:val="none"/>
        </w:rPr>
        <w:t>（页码）</w:t>
      </w:r>
    </w:p>
    <w:p w14:paraId="709AC2B2">
      <w:pPr>
        <w:shd w:val="clear"/>
        <w:spacing w:line="360" w:lineRule="auto"/>
        <w:ind w:right="-368" w:right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）评标标准相应的商务技术资料</w:t>
      </w:r>
      <w:r>
        <w:rPr>
          <w:rFonts w:hint="eastAsia" w:ascii="宋体" w:hAnsi="宋体" w:eastAsia="宋体" w:cs="宋体"/>
          <w:color w:val="auto"/>
          <w:kern w:val="0"/>
          <w:sz w:val="24"/>
          <w:highlight w:val="none"/>
          <w:lang w:val="zh-CN"/>
        </w:rPr>
        <w:t>……………………………………</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36DFB748">
      <w:pPr>
        <w:shd w:val="clear"/>
        <w:spacing w:line="360" w:lineRule="auto"/>
        <w:ind w:right="-368" w:rightChars="-175"/>
        <w:rPr>
          <w:rFonts w:hint="eastAsia" w:ascii="宋体" w:hAnsi="宋体" w:eastAsia="宋体" w:cs="宋体"/>
          <w:b/>
          <w:bCs/>
          <w:color w:val="auto"/>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zh-CN"/>
        </w:rPr>
        <w:t>认为需要的其他商务技术（资信）文件或说明……………………………</w:t>
      </w:r>
      <w:r>
        <w:rPr>
          <w:rFonts w:hint="eastAsia" w:ascii="宋体" w:hAnsi="宋体" w:eastAsia="宋体" w:cs="宋体"/>
          <w:color w:val="auto"/>
          <w:kern w:val="0"/>
          <w:sz w:val="24"/>
          <w:highlight w:val="none"/>
        </w:rPr>
        <w:t>（页码）</w:t>
      </w:r>
    </w:p>
    <w:p w14:paraId="4D58C72A">
      <w:pPr>
        <w:shd w:val="clear"/>
        <w:snapToGrid w:val="0"/>
        <w:spacing w:line="360" w:lineRule="auto"/>
        <w:jc w:val="center"/>
        <w:rPr>
          <w:rFonts w:hint="eastAsia" w:ascii="宋体" w:hAnsi="宋体" w:eastAsia="宋体" w:cs="宋体"/>
          <w:b/>
          <w:color w:val="auto"/>
          <w:kern w:val="0"/>
          <w:sz w:val="32"/>
          <w:szCs w:val="32"/>
          <w:highlight w:val="none"/>
          <w:lang w:val="zh-CN"/>
        </w:rPr>
      </w:pPr>
    </w:p>
    <w:p w14:paraId="1535498D">
      <w:pPr>
        <w:shd w:val="clear"/>
        <w:snapToGrid w:val="0"/>
        <w:spacing w:line="360" w:lineRule="auto"/>
        <w:jc w:val="center"/>
        <w:rPr>
          <w:rFonts w:hint="eastAsia" w:ascii="宋体" w:hAnsi="宋体" w:eastAsia="宋体" w:cs="宋体"/>
          <w:b/>
          <w:color w:val="auto"/>
          <w:kern w:val="0"/>
          <w:sz w:val="32"/>
          <w:szCs w:val="32"/>
          <w:highlight w:val="none"/>
          <w:lang w:val="zh-CN"/>
        </w:rPr>
      </w:pPr>
    </w:p>
    <w:p w14:paraId="3E2FF0EE">
      <w:pPr>
        <w:shd w:val="clear"/>
        <w:snapToGrid w:val="0"/>
        <w:spacing w:line="360" w:lineRule="auto"/>
        <w:jc w:val="center"/>
        <w:rPr>
          <w:rFonts w:hint="eastAsia" w:ascii="宋体" w:hAnsi="宋体" w:eastAsia="宋体" w:cs="宋体"/>
          <w:b/>
          <w:color w:val="auto"/>
          <w:kern w:val="0"/>
          <w:sz w:val="32"/>
          <w:szCs w:val="32"/>
          <w:highlight w:val="none"/>
          <w:lang w:val="zh-CN"/>
        </w:rPr>
      </w:pPr>
    </w:p>
    <w:p w14:paraId="394B1EEB">
      <w:pPr>
        <w:shd w:val="clear"/>
        <w:snapToGrid w:val="0"/>
        <w:spacing w:line="360" w:lineRule="auto"/>
        <w:jc w:val="both"/>
        <w:rPr>
          <w:rFonts w:hint="eastAsia" w:ascii="宋体" w:hAnsi="宋体" w:eastAsia="宋体" w:cs="宋体"/>
          <w:b/>
          <w:color w:val="auto"/>
          <w:kern w:val="0"/>
          <w:sz w:val="32"/>
          <w:szCs w:val="32"/>
          <w:highlight w:val="none"/>
          <w:lang w:val="zh-CN"/>
        </w:rPr>
      </w:pPr>
    </w:p>
    <w:p w14:paraId="4271E9D3">
      <w:pPr>
        <w:widowControl/>
        <w:shd w:val="clear"/>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BE12FD5">
      <w:pPr>
        <w:shd w:val="clear"/>
        <w:spacing w:line="500" w:lineRule="exact"/>
        <w:jc w:val="center"/>
        <w:textAlignment w:val="baseline"/>
        <w:rPr>
          <w:rStyle w:val="971"/>
          <w:rFonts w:hint="eastAsia" w:ascii="宋体" w:hAnsi="宋体" w:eastAsia="宋体" w:cs="宋体"/>
          <w:b/>
          <w:bCs/>
          <w:color w:val="auto"/>
          <w:sz w:val="30"/>
          <w:szCs w:val="30"/>
          <w:highlight w:val="none"/>
        </w:rPr>
      </w:pPr>
      <w:r>
        <w:rPr>
          <w:rStyle w:val="971"/>
          <w:rFonts w:hint="eastAsia" w:ascii="宋体" w:hAnsi="宋体" w:eastAsia="宋体" w:cs="宋体"/>
          <w:b/>
          <w:bCs/>
          <w:color w:val="auto"/>
          <w:sz w:val="30"/>
          <w:szCs w:val="30"/>
          <w:highlight w:val="none"/>
        </w:rPr>
        <w:t>一、评分索引表</w:t>
      </w:r>
    </w:p>
    <w:tbl>
      <w:tblPr>
        <w:tblStyle w:val="64"/>
        <w:tblW w:w="9461" w:type="dxa"/>
        <w:jc w:val="center"/>
        <w:tblLayout w:type="fixed"/>
        <w:tblCellMar>
          <w:top w:w="0" w:type="dxa"/>
          <w:left w:w="0" w:type="dxa"/>
          <w:bottom w:w="0" w:type="dxa"/>
          <w:right w:w="0" w:type="dxa"/>
        </w:tblCellMar>
      </w:tblPr>
      <w:tblGrid>
        <w:gridCol w:w="775"/>
        <w:gridCol w:w="1861"/>
        <w:gridCol w:w="4864"/>
        <w:gridCol w:w="1062"/>
        <w:gridCol w:w="899"/>
      </w:tblGrid>
      <w:tr w14:paraId="1C0AD5A4">
        <w:tblPrEx>
          <w:tblCellMar>
            <w:top w:w="0" w:type="dxa"/>
            <w:left w:w="0" w:type="dxa"/>
            <w:bottom w:w="0" w:type="dxa"/>
            <w:right w:w="0" w:type="dxa"/>
          </w:tblCellMar>
        </w:tblPrEx>
        <w:trPr>
          <w:trHeight w:val="863"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45772285">
            <w:pPr>
              <w:widowControl/>
              <w:shd w:val="clear"/>
              <w:spacing w:line="360" w:lineRule="auto"/>
              <w:jc w:val="center"/>
              <w:textAlignment w:val="center"/>
              <w:rPr>
                <w:rStyle w:val="971"/>
                <w:rFonts w:hint="eastAsia" w:ascii="宋体" w:hAnsi="宋体" w:eastAsia="宋体" w:cs="宋体"/>
                <w:b/>
                <w:bCs/>
                <w:color w:val="auto"/>
                <w:sz w:val="24"/>
                <w:szCs w:val="24"/>
                <w:highlight w:val="none"/>
              </w:rPr>
            </w:pPr>
            <w:r>
              <w:rPr>
                <w:rStyle w:val="971"/>
                <w:rFonts w:hint="eastAsia" w:ascii="宋体" w:hAnsi="宋体" w:eastAsia="宋体" w:cs="宋体"/>
                <w:b/>
                <w:bCs/>
                <w:color w:val="auto"/>
                <w:sz w:val="24"/>
                <w:szCs w:val="24"/>
                <w:highlight w:val="none"/>
              </w:rPr>
              <w:t>序号</w:t>
            </w:r>
          </w:p>
        </w:tc>
        <w:tc>
          <w:tcPr>
            <w:tcW w:w="1861" w:type="dxa"/>
            <w:tcBorders>
              <w:top w:val="single" w:color="000000" w:sz="4" w:space="0"/>
              <w:left w:val="single" w:color="000000" w:sz="4" w:space="0"/>
              <w:bottom w:val="single" w:color="000000" w:sz="4" w:space="0"/>
              <w:right w:val="single" w:color="000000" w:sz="4" w:space="0"/>
            </w:tcBorders>
            <w:vAlign w:val="center"/>
          </w:tcPr>
          <w:p w14:paraId="080EC1E3">
            <w:pPr>
              <w:widowControl/>
              <w:shd w:val="clear"/>
              <w:spacing w:line="360" w:lineRule="auto"/>
              <w:jc w:val="center"/>
              <w:textAlignment w:val="center"/>
              <w:rPr>
                <w:rStyle w:val="971"/>
                <w:rFonts w:hint="eastAsia" w:ascii="宋体" w:hAnsi="宋体" w:eastAsia="宋体" w:cs="宋体"/>
                <w:b/>
                <w:bCs/>
                <w:color w:val="auto"/>
                <w:sz w:val="24"/>
                <w:szCs w:val="24"/>
                <w:highlight w:val="none"/>
              </w:rPr>
            </w:pPr>
            <w:r>
              <w:rPr>
                <w:rStyle w:val="971"/>
                <w:rFonts w:hint="eastAsia" w:ascii="宋体" w:hAnsi="宋体" w:eastAsia="宋体" w:cs="宋体"/>
                <w:b/>
                <w:bCs/>
                <w:color w:val="auto"/>
                <w:sz w:val="24"/>
                <w:szCs w:val="24"/>
                <w:highlight w:val="none"/>
              </w:rPr>
              <w:t>评审内容</w:t>
            </w:r>
          </w:p>
        </w:tc>
        <w:tc>
          <w:tcPr>
            <w:tcW w:w="4864" w:type="dxa"/>
            <w:tcBorders>
              <w:top w:val="single" w:color="000000" w:sz="4" w:space="0"/>
              <w:left w:val="single" w:color="000000" w:sz="4" w:space="0"/>
              <w:bottom w:val="single" w:color="000000" w:sz="4" w:space="0"/>
              <w:right w:val="single" w:color="000000" w:sz="4" w:space="0"/>
            </w:tcBorders>
            <w:vAlign w:val="center"/>
          </w:tcPr>
          <w:p w14:paraId="4143B7B0">
            <w:pPr>
              <w:widowControl/>
              <w:shd w:val="clear"/>
              <w:spacing w:line="360" w:lineRule="auto"/>
              <w:jc w:val="center"/>
              <w:textAlignment w:val="center"/>
              <w:rPr>
                <w:rStyle w:val="971"/>
                <w:rFonts w:hint="eastAsia" w:ascii="宋体" w:hAnsi="宋体" w:eastAsia="宋体" w:cs="宋体"/>
                <w:b/>
                <w:bCs/>
                <w:color w:val="auto"/>
                <w:sz w:val="24"/>
                <w:szCs w:val="24"/>
                <w:highlight w:val="none"/>
              </w:rPr>
            </w:pPr>
            <w:r>
              <w:rPr>
                <w:rStyle w:val="971"/>
                <w:rFonts w:hint="eastAsia" w:ascii="宋体" w:hAnsi="宋体" w:eastAsia="宋体" w:cs="宋体"/>
                <w:b/>
                <w:bCs/>
                <w:color w:val="auto"/>
                <w:sz w:val="24"/>
                <w:szCs w:val="24"/>
                <w:highlight w:val="none"/>
              </w:rPr>
              <w:t>评分标准</w:t>
            </w:r>
          </w:p>
        </w:tc>
        <w:tc>
          <w:tcPr>
            <w:tcW w:w="1062" w:type="dxa"/>
            <w:tcBorders>
              <w:top w:val="single" w:color="000000" w:sz="4" w:space="0"/>
              <w:left w:val="single" w:color="000000" w:sz="4" w:space="0"/>
              <w:bottom w:val="single" w:color="000000" w:sz="4" w:space="0"/>
              <w:right w:val="single" w:color="000000" w:sz="4" w:space="0"/>
            </w:tcBorders>
            <w:vAlign w:val="center"/>
          </w:tcPr>
          <w:p w14:paraId="3169B39A">
            <w:pPr>
              <w:widowControl/>
              <w:shd w:val="clear"/>
              <w:spacing w:line="360" w:lineRule="auto"/>
              <w:jc w:val="center"/>
              <w:textAlignment w:val="center"/>
              <w:rPr>
                <w:rStyle w:val="971"/>
                <w:rFonts w:hint="eastAsia" w:ascii="宋体" w:hAnsi="宋体" w:eastAsia="宋体" w:cs="宋体"/>
                <w:b/>
                <w:bCs/>
                <w:color w:val="auto"/>
                <w:sz w:val="24"/>
                <w:szCs w:val="24"/>
                <w:highlight w:val="none"/>
              </w:rPr>
            </w:pPr>
            <w:r>
              <w:rPr>
                <w:rStyle w:val="971"/>
                <w:rFonts w:hint="eastAsia" w:ascii="宋体" w:hAnsi="宋体" w:eastAsia="宋体" w:cs="宋体"/>
                <w:b/>
                <w:bCs/>
                <w:color w:val="auto"/>
                <w:sz w:val="24"/>
                <w:szCs w:val="24"/>
                <w:highlight w:val="none"/>
              </w:rPr>
              <w:t>分值</w:t>
            </w:r>
          </w:p>
        </w:tc>
        <w:tc>
          <w:tcPr>
            <w:tcW w:w="899" w:type="dxa"/>
            <w:tcBorders>
              <w:top w:val="single" w:color="000000" w:sz="4" w:space="0"/>
              <w:left w:val="single" w:color="000000" w:sz="4" w:space="0"/>
              <w:bottom w:val="single" w:color="000000" w:sz="4" w:space="0"/>
              <w:right w:val="single" w:color="000000" w:sz="4" w:space="0"/>
            </w:tcBorders>
            <w:vAlign w:val="center"/>
          </w:tcPr>
          <w:p w14:paraId="01C48080">
            <w:pPr>
              <w:widowControl/>
              <w:shd w:val="clear"/>
              <w:spacing w:line="360" w:lineRule="auto"/>
              <w:jc w:val="center"/>
              <w:textAlignment w:val="center"/>
              <w:rPr>
                <w:rStyle w:val="971"/>
                <w:rFonts w:hint="eastAsia" w:ascii="宋体" w:hAnsi="宋体" w:eastAsia="宋体" w:cs="宋体"/>
                <w:b/>
                <w:bCs/>
                <w:color w:val="auto"/>
                <w:sz w:val="24"/>
                <w:szCs w:val="24"/>
                <w:highlight w:val="none"/>
              </w:rPr>
            </w:pPr>
            <w:r>
              <w:rPr>
                <w:rStyle w:val="971"/>
                <w:rFonts w:hint="eastAsia" w:ascii="宋体" w:hAnsi="宋体" w:eastAsia="宋体" w:cs="宋体"/>
                <w:b/>
                <w:bCs/>
                <w:color w:val="auto"/>
                <w:sz w:val="24"/>
                <w:szCs w:val="24"/>
                <w:highlight w:val="none"/>
              </w:rPr>
              <w:t>评分对应页码</w:t>
            </w:r>
          </w:p>
        </w:tc>
      </w:tr>
      <w:tr w14:paraId="2C3AC37A">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38FFAE01">
            <w:pPr>
              <w:widowControl/>
              <w:shd w:val="clear"/>
              <w:spacing w:line="360" w:lineRule="auto"/>
              <w:jc w:val="center"/>
              <w:textAlignment w:val="center"/>
              <w:rPr>
                <w:rStyle w:val="971"/>
                <w:rFonts w:hint="eastAsia" w:ascii="宋体" w:hAnsi="宋体" w:eastAsia="宋体" w:cs="宋体"/>
                <w:color w:val="auto"/>
                <w:sz w:val="24"/>
                <w:szCs w:val="24"/>
                <w:highlight w:val="none"/>
              </w:rPr>
            </w:pPr>
            <w:r>
              <w:rPr>
                <w:rStyle w:val="971"/>
                <w:rFonts w:hint="eastAsia" w:ascii="宋体" w:hAnsi="宋体" w:eastAsia="宋体" w:cs="宋体"/>
                <w:color w:val="auto"/>
                <w:sz w:val="24"/>
                <w:szCs w:val="24"/>
                <w:highlight w:val="none"/>
              </w:rPr>
              <w:t>1</w:t>
            </w:r>
          </w:p>
        </w:tc>
        <w:tc>
          <w:tcPr>
            <w:tcW w:w="1861" w:type="dxa"/>
            <w:tcBorders>
              <w:top w:val="single" w:color="000000" w:sz="4" w:space="0"/>
              <w:left w:val="single" w:color="000000" w:sz="4" w:space="0"/>
              <w:bottom w:val="single" w:color="000000" w:sz="4" w:space="0"/>
              <w:right w:val="single" w:color="000000" w:sz="4" w:space="0"/>
            </w:tcBorders>
            <w:vAlign w:val="center"/>
          </w:tcPr>
          <w:p w14:paraId="3254E06F">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049A2741">
            <w:pPr>
              <w:widowControl/>
              <w:shd w:val="clear"/>
              <w:spacing w:line="360" w:lineRule="auto"/>
              <w:jc w:val="left"/>
              <w:textAlignment w:val="center"/>
              <w:rPr>
                <w:rStyle w:val="971"/>
                <w:rFonts w:hint="eastAsia" w:ascii="宋体" w:hAnsi="宋体" w:eastAsia="宋体" w:cs="宋体"/>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3C4A198F">
            <w:pPr>
              <w:widowControl/>
              <w:shd w:val="clear"/>
              <w:spacing w:line="360" w:lineRule="auto"/>
              <w:jc w:val="center"/>
              <w:textAlignment w:val="baseline"/>
              <w:rPr>
                <w:rStyle w:val="971"/>
                <w:rFonts w:hint="eastAsia" w:ascii="宋体" w:hAnsi="宋体" w:eastAsia="宋体" w:cs="宋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74C62C72">
            <w:pPr>
              <w:widowControl/>
              <w:shd w:val="clear"/>
              <w:spacing w:line="360" w:lineRule="auto"/>
              <w:jc w:val="center"/>
              <w:textAlignment w:val="baseline"/>
              <w:rPr>
                <w:rStyle w:val="971"/>
                <w:rFonts w:hint="eastAsia" w:ascii="宋体" w:hAnsi="宋体" w:eastAsia="宋体" w:cs="宋体"/>
                <w:color w:val="auto"/>
                <w:sz w:val="24"/>
                <w:szCs w:val="24"/>
                <w:highlight w:val="none"/>
              </w:rPr>
            </w:pPr>
          </w:p>
        </w:tc>
      </w:tr>
      <w:tr w14:paraId="768A6B5D">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3032F31E">
            <w:pPr>
              <w:widowControl/>
              <w:shd w:val="clear"/>
              <w:spacing w:line="360" w:lineRule="auto"/>
              <w:jc w:val="center"/>
              <w:textAlignment w:val="center"/>
              <w:rPr>
                <w:rStyle w:val="971"/>
                <w:rFonts w:hint="eastAsia" w:ascii="宋体" w:hAnsi="宋体" w:eastAsia="宋体" w:cs="宋体"/>
                <w:color w:val="auto"/>
                <w:sz w:val="24"/>
                <w:szCs w:val="24"/>
                <w:highlight w:val="none"/>
              </w:rPr>
            </w:pPr>
            <w:r>
              <w:rPr>
                <w:rStyle w:val="971"/>
                <w:rFonts w:hint="eastAsia" w:ascii="宋体" w:hAnsi="宋体" w:eastAsia="宋体" w:cs="宋体"/>
                <w:color w:val="auto"/>
                <w:sz w:val="24"/>
                <w:szCs w:val="24"/>
                <w:highlight w:val="none"/>
              </w:rPr>
              <w:t>2</w:t>
            </w:r>
          </w:p>
        </w:tc>
        <w:tc>
          <w:tcPr>
            <w:tcW w:w="1861" w:type="dxa"/>
            <w:tcBorders>
              <w:top w:val="single" w:color="000000" w:sz="4" w:space="0"/>
              <w:left w:val="single" w:color="000000" w:sz="4" w:space="0"/>
              <w:bottom w:val="single" w:color="000000" w:sz="4" w:space="0"/>
              <w:right w:val="single" w:color="000000" w:sz="4" w:space="0"/>
            </w:tcBorders>
            <w:vAlign w:val="center"/>
          </w:tcPr>
          <w:p w14:paraId="2E6FAC8A">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1807D07C">
            <w:pPr>
              <w:widowControl/>
              <w:shd w:val="clear"/>
              <w:spacing w:line="360" w:lineRule="auto"/>
              <w:jc w:val="left"/>
              <w:textAlignment w:val="center"/>
              <w:rPr>
                <w:rStyle w:val="971"/>
                <w:rFonts w:hint="eastAsia" w:ascii="宋体" w:hAnsi="宋体" w:eastAsia="宋体" w:cs="宋体"/>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BEA2B80">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3E920887">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r>
      <w:tr w14:paraId="1F45B14E">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4D08AC4D">
            <w:pPr>
              <w:widowControl/>
              <w:shd w:val="clear"/>
              <w:spacing w:line="360" w:lineRule="auto"/>
              <w:jc w:val="center"/>
              <w:textAlignment w:val="baseline"/>
              <w:rPr>
                <w:rStyle w:val="971"/>
                <w:rFonts w:hint="eastAsia" w:ascii="宋体" w:hAnsi="宋体" w:eastAsia="宋体" w:cs="宋体"/>
                <w:color w:val="auto"/>
                <w:sz w:val="24"/>
                <w:szCs w:val="24"/>
                <w:highlight w:val="none"/>
              </w:rPr>
            </w:pPr>
            <w:r>
              <w:rPr>
                <w:rStyle w:val="971"/>
                <w:rFonts w:hint="eastAsia" w:ascii="宋体" w:hAnsi="宋体" w:eastAsia="宋体" w:cs="宋体"/>
                <w:color w:val="auto"/>
                <w:sz w:val="24"/>
                <w:szCs w:val="24"/>
                <w:highlight w:val="none"/>
              </w:rPr>
              <w:t>3</w:t>
            </w:r>
          </w:p>
        </w:tc>
        <w:tc>
          <w:tcPr>
            <w:tcW w:w="1861" w:type="dxa"/>
            <w:tcBorders>
              <w:top w:val="single" w:color="000000" w:sz="4" w:space="0"/>
              <w:left w:val="single" w:color="000000" w:sz="4" w:space="0"/>
              <w:bottom w:val="single" w:color="000000" w:sz="4" w:space="0"/>
              <w:right w:val="single" w:color="000000" w:sz="4" w:space="0"/>
            </w:tcBorders>
            <w:vAlign w:val="center"/>
          </w:tcPr>
          <w:p w14:paraId="5C4537D6">
            <w:pPr>
              <w:widowControl/>
              <w:shd w:val="clear"/>
              <w:spacing w:line="360" w:lineRule="auto"/>
              <w:jc w:val="center"/>
              <w:textAlignment w:val="baseline"/>
              <w:rPr>
                <w:rStyle w:val="971"/>
                <w:rFonts w:hint="eastAsia" w:ascii="宋体" w:hAnsi="宋体" w:eastAsia="宋体" w:cs="宋体"/>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546BC286">
            <w:pPr>
              <w:widowControl/>
              <w:shd w:val="clear"/>
              <w:spacing w:line="360" w:lineRule="auto"/>
              <w:textAlignment w:val="baseline"/>
              <w:rPr>
                <w:rStyle w:val="971"/>
                <w:rFonts w:hint="eastAsia" w:ascii="宋体" w:hAnsi="宋体" w:eastAsia="宋体" w:cs="宋体"/>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01F829E">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24A1051C">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r>
      <w:tr w14:paraId="2A280365">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49917D61">
            <w:pPr>
              <w:widowControl/>
              <w:shd w:val="clear"/>
              <w:spacing w:line="360" w:lineRule="auto"/>
              <w:jc w:val="center"/>
              <w:textAlignment w:val="center"/>
              <w:rPr>
                <w:rStyle w:val="971"/>
                <w:rFonts w:hint="eastAsia" w:ascii="宋体" w:hAnsi="宋体" w:eastAsia="宋体" w:cs="宋体"/>
                <w:color w:val="auto"/>
                <w:sz w:val="24"/>
                <w:szCs w:val="24"/>
                <w:highlight w:val="none"/>
              </w:rPr>
            </w:pPr>
            <w:r>
              <w:rPr>
                <w:rStyle w:val="971"/>
                <w:rFonts w:hint="eastAsia" w:ascii="宋体" w:hAnsi="宋体" w:eastAsia="宋体" w:cs="宋体"/>
                <w:color w:val="auto"/>
                <w:sz w:val="24"/>
                <w:szCs w:val="24"/>
                <w:highlight w:val="none"/>
              </w:rPr>
              <w:t>4</w:t>
            </w:r>
          </w:p>
        </w:tc>
        <w:tc>
          <w:tcPr>
            <w:tcW w:w="1861" w:type="dxa"/>
            <w:tcBorders>
              <w:top w:val="single" w:color="000000" w:sz="4" w:space="0"/>
              <w:left w:val="single" w:color="000000" w:sz="4" w:space="0"/>
              <w:bottom w:val="single" w:color="000000" w:sz="4" w:space="0"/>
              <w:right w:val="single" w:color="000000" w:sz="4" w:space="0"/>
            </w:tcBorders>
            <w:vAlign w:val="center"/>
          </w:tcPr>
          <w:p w14:paraId="7ACDD8F2">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24226765">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7EFD4F4">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0CD538E6">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r>
      <w:tr w14:paraId="52F82B5A">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2C5BF141">
            <w:pPr>
              <w:widowControl/>
              <w:shd w:val="clear"/>
              <w:spacing w:line="360" w:lineRule="auto"/>
              <w:jc w:val="center"/>
              <w:textAlignment w:val="center"/>
              <w:rPr>
                <w:rStyle w:val="971"/>
                <w:rFonts w:hint="eastAsia" w:ascii="宋体" w:hAnsi="宋体" w:eastAsia="宋体" w:cs="宋体"/>
                <w:color w:val="auto"/>
                <w:sz w:val="24"/>
                <w:szCs w:val="24"/>
                <w:highlight w:val="none"/>
              </w:rPr>
            </w:pPr>
            <w:r>
              <w:rPr>
                <w:rStyle w:val="971"/>
                <w:rFonts w:hint="eastAsia" w:ascii="宋体" w:hAnsi="宋体" w:eastAsia="宋体" w:cs="宋体"/>
                <w:color w:val="auto"/>
                <w:sz w:val="24"/>
                <w:szCs w:val="24"/>
                <w:highlight w:val="none"/>
              </w:rPr>
              <w:t>5</w:t>
            </w:r>
          </w:p>
        </w:tc>
        <w:tc>
          <w:tcPr>
            <w:tcW w:w="1861" w:type="dxa"/>
            <w:tcBorders>
              <w:top w:val="single" w:color="000000" w:sz="4" w:space="0"/>
              <w:left w:val="single" w:color="000000" w:sz="4" w:space="0"/>
              <w:bottom w:val="single" w:color="000000" w:sz="4" w:space="0"/>
              <w:right w:val="single" w:color="000000" w:sz="4" w:space="0"/>
            </w:tcBorders>
            <w:vAlign w:val="center"/>
          </w:tcPr>
          <w:p w14:paraId="50459A34">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42A88700">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D1BD675">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0201F178">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r>
      <w:tr w14:paraId="4EAB2227">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4CB08E1B">
            <w:pPr>
              <w:widowControl/>
              <w:shd w:val="clear"/>
              <w:spacing w:line="360" w:lineRule="auto"/>
              <w:jc w:val="center"/>
              <w:textAlignment w:val="center"/>
              <w:rPr>
                <w:rStyle w:val="971"/>
                <w:rFonts w:hint="eastAsia" w:ascii="宋体" w:hAnsi="宋体" w:eastAsia="宋体" w:cs="宋体"/>
                <w:color w:val="auto"/>
                <w:sz w:val="24"/>
                <w:szCs w:val="24"/>
                <w:highlight w:val="none"/>
              </w:rPr>
            </w:pPr>
            <w:r>
              <w:rPr>
                <w:rStyle w:val="971"/>
                <w:rFonts w:hint="eastAsia" w:ascii="宋体" w:hAnsi="宋体" w:eastAsia="宋体" w:cs="宋体"/>
                <w:color w:val="auto"/>
                <w:sz w:val="24"/>
                <w:szCs w:val="24"/>
                <w:highlight w:val="none"/>
              </w:rPr>
              <w:t>6</w:t>
            </w:r>
          </w:p>
        </w:tc>
        <w:tc>
          <w:tcPr>
            <w:tcW w:w="1861" w:type="dxa"/>
            <w:tcBorders>
              <w:top w:val="single" w:color="000000" w:sz="4" w:space="0"/>
              <w:left w:val="single" w:color="000000" w:sz="4" w:space="0"/>
              <w:bottom w:val="single" w:color="000000" w:sz="4" w:space="0"/>
              <w:right w:val="single" w:color="000000" w:sz="4" w:space="0"/>
            </w:tcBorders>
            <w:vAlign w:val="center"/>
          </w:tcPr>
          <w:p w14:paraId="5F4F6486">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680B6520">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D2E1F9F">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70DBA064">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r>
      <w:tr w14:paraId="5EC0B7C4">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0C57A9B3">
            <w:pPr>
              <w:widowControl/>
              <w:shd w:val="clear"/>
              <w:spacing w:line="360" w:lineRule="auto"/>
              <w:jc w:val="center"/>
              <w:textAlignment w:val="center"/>
              <w:rPr>
                <w:rStyle w:val="971"/>
                <w:rFonts w:hint="eastAsia" w:ascii="宋体" w:hAnsi="宋体" w:eastAsia="宋体" w:cs="宋体"/>
                <w:color w:val="auto"/>
                <w:sz w:val="24"/>
                <w:szCs w:val="24"/>
                <w:highlight w:val="none"/>
              </w:rPr>
            </w:pPr>
            <w:r>
              <w:rPr>
                <w:rStyle w:val="971"/>
                <w:rFonts w:hint="eastAsia" w:ascii="宋体" w:hAnsi="宋体" w:eastAsia="宋体" w:cs="宋体"/>
                <w:color w:val="auto"/>
                <w:sz w:val="24"/>
                <w:szCs w:val="24"/>
                <w:highlight w:val="none"/>
              </w:rPr>
              <w:t>7</w:t>
            </w:r>
          </w:p>
        </w:tc>
        <w:tc>
          <w:tcPr>
            <w:tcW w:w="1861" w:type="dxa"/>
            <w:tcBorders>
              <w:top w:val="single" w:color="000000" w:sz="4" w:space="0"/>
              <w:left w:val="single" w:color="000000" w:sz="4" w:space="0"/>
              <w:bottom w:val="single" w:color="000000" w:sz="4" w:space="0"/>
              <w:right w:val="single" w:color="000000" w:sz="4" w:space="0"/>
            </w:tcBorders>
            <w:vAlign w:val="center"/>
          </w:tcPr>
          <w:p w14:paraId="486C7EDB">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1B2D24C9">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04649ED">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71113061">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r>
      <w:tr w14:paraId="7F0B0E35">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0D7CCF69">
            <w:pPr>
              <w:widowControl/>
              <w:shd w:val="clear"/>
              <w:spacing w:line="360" w:lineRule="auto"/>
              <w:jc w:val="center"/>
              <w:textAlignment w:val="center"/>
              <w:rPr>
                <w:rStyle w:val="971"/>
                <w:rFonts w:hint="eastAsia" w:ascii="宋体" w:hAnsi="宋体" w:eastAsia="宋体" w:cs="宋体"/>
                <w:color w:val="auto"/>
                <w:sz w:val="24"/>
                <w:szCs w:val="24"/>
                <w:highlight w:val="none"/>
              </w:rPr>
            </w:pPr>
            <w:r>
              <w:rPr>
                <w:rStyle w:val="971"/>
                <w:rFonts w:hint="eastAsia" w:ascii="宋体" w:hAnsi="宋体" w:eastAsia="宋体" w:cs="宋体"/>
                <w:color w:val="auto"/>
                <w:sz w:val="24"/>
                <w:szCs w:val="24"/>
                <w:highlight w:val="none"/>
              </w:rPr>
              <w:t>8</w:t>
            </w:r>
          </w:p>
        </w:tc>
        <w:tc>
          <w:tcPr>
            <w:tcW w:w="1861" w:type="dxa"/>
            <w:tcBorders>
              <w:top w:val="single" w:color="000000" w:sz="4" w:space="0"/>
              <w:left w:val="single" w:color="000000" w:sz="4" w:space="0"/>
              <w:bottom w:val="single" w:color="000000" w:sz="4" w:space="0"/>
              <w:right w:val="single" w:color="000000" w:sz="4" w:space="0"/>
            </w:tcBorders>
            <w:vAlign w:val="center"/>
          </w:tcPr>
          <w:p w14:paraId="246824AF">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4525E2D2">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3B58B5CF">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235A95C4">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r>
      <w:tr w14:paraId="0FB12B9B">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3F65CC83">
            <w:pPr>
              <w:widowControl/>
              <w:shd w:val="clear"/>
              <w:spacing w:line="360" w:lineRule="auto"/>
              <w:jc w:val="center"/>
              <w:textAlignment w:val="baseline"/>
              <w:rPr>
                <w:rStyle w:val="971"/>
                <w:rFonts w:hint="eastAsia" w:ascii="宋体" w:hAnsi="宋体" w:eastAsia="宋体" w:cs="宋体"/>
                <w:color w:val="auto"/>
                <w:sz w:val="24"/>
                <w:szCs w:val="24"/>
                <w:highlight w:val="none"/>
              </w:rPr>
            </w:pPr>
            <w:r>
              <w:rPr>
                <w:rStyle w:val="971"/>
                <w:rFonts w:hint="eastAsia" w:ascii="宋体" w:hAnsi="宋体" w:eastAsia="宋体" w:cs="宋体"/>
                <w:color w:val="auto"/>
                <w:sz w:val="24"/>
                <w:szCs w:val="24"/>
                <w:highlight w:val="none"/>
              </w:rPr>
              <w:t>9</w:t>
            </w:r>
          </w:p>
        </w:tc>
        <w:tc>
          <w:tcPr>
            <w:tcW w:w="1861" w:type="dxa"/>
            <w:tcBorders>
              <w:top w:val="single" w:color="000000" w:sz="4" w:space="0"/>
              <w:left w:val="single" w:color="000000" w:sz="4" w:space="0"/>
              <w:bottom w:val="single" w:color="000000" w:sz="4" w:space="0"/>
              <w:right w:val="single" w:color="000000" w:sz="4" w:space="0"/>
            </w:tcBorders>
            <w:vAlign w:val="center"/>
          </w:tcPr>
          <w:p w14:paraId="30AD8224">
            <w:pPr>
              <w:widowControl/>
              <w:shd w:val="clear"/>
              <w:spacing w:line="360" w:lineRule="auto"/>
              <w:jc w:val="center"/>
              <w:textAlignment w:val="baseline"/>
              <w:rPr>
                <w:rStyle w:val="971"/>
                <w:rFonts w:hint="eastAsia" w:ascii="宋体" w:hAnsi="宋体" w:eastAsia="宋体" w:cs="宋体"/>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696DB587">
            <w:pPr>
              <w:widowControl/>
              <w:shd w:val="clear"/>
              <w:spacing w:line="380" w:lineRule="exact"/>
              <w:jc w:val="left"/>
              <w:textAlignment w:val="baseline"/>
              <w:rPr>
                <w:rStyle w:val="971"/>
                <w:rFonts w:hint="eastAsia" w:ascii="宋体" w:hAnsi="宋体" w:eastAsia="宋体" w:cs="宋体"/>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13E6D533">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3D2987AB">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r>
      <w:tr w14:paraId="16D148E6">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2773E9D9">
            <w:pPr>
              <w:widowControl/>
              <w:shd w:val="clear"/>
              <w:spacing w:line="360" w:lineRule="auto"/>
              <w:jc w:val="center"/>
              <w:textAlignment w:val="baseline"/>
              <w:rPr>
                <w:rStyle w:val="971"/>
                <w:rFonts w:hint="eastAsia" w:ascii="宋体" w:hAnsi="宋体" w:eastAsia="宋体" w:cs="宋体"/>
                <w:color w:val="auto"/>
                <w:sz w:val="24"/>
                <w:szCs w:val="24"/>
                <w:highlight w:val="none"/>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02D06B58">
            <w:pPr>
              <w:widowControl/>
              <w:shd w:val="clear"/>
              <w:spacing w:line="360" w:lineRule="auto"/>
              <w:jc w:val="center"/>
              <w:textAlignment w:val="baseline"/>
              <w:rPr>
                <w:rStyle w:val="971"/>
                <w:rFonts w:hint="eastAsia" w:ascii="宋体" w:hAnsi="宋体" w:eastAsia="宋体" w:cs="宋体"/>
                <w:color w:val="auto"/>
                <w:sz w:val="24"/>
                <w:szCs w:val="24"/>
                <w:highlight w:val="none"/>
              </w:rPr>
            </w:pPr>
            <w:r>
              <w:rPr>
                <w:rStyle w:val="971"/>
                <w:rFonts w:hint="eastAsia" w:ascii="宋体" w:hAnsi="宋体" w:eastAsia="宋体" w:cs="宋体"/>
                <w:color w:val="auto"/>
                <w:sz w:val="24"/>
                <w:szCs w:val="24"/>
                <w:highlight w:val="none"/>
              </w:rPr>
              <w:t>......</w:t>
            </w:r>
          </w:p>
        </w:tc>
        <w:tc>
          <w:tcPr>
            <w:tcW w:w="4864" w:type="dxa"/>
            <w:tcBorders>
              <w:top w:val="single" w:color="000000" w:sz="4" w:space="0"/>
              <w:left w:val="single" w:color="000000" w:sz="4" w:space="0"/>
              <w:bottom w:val="single" w:color="000000" w:sz="4" w:space="0"/>
              <w:right w:val="single" w:color="000000" w:sz="4" w:space="0"/>
            </w:tcBorders>
            <w:vAlign w:val="center"/>
          </w:tcPr>
          <w:p w14:paraId="448BEA2F">
            <w:pPr>
              <w:widowControl/>
              <w:shd w:val="clear"/>
              <w:spacing w:line="380" w:lineRule="exact"/>
              <w:jc w:val="left"/>
              <w:textAlignment w:val="baseline"/>
              <w:rPr>
                <w:rStyle w:val="971"/>
                <w:rFonts w:hint="eastAsia" w:ascii="宋体" w:hAnsi="宋体" w:eastAsia="宋体" w:cs="宋体"/>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D79F9E5">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6AE5C98A">
            <w:pPr>
              <w:widowControl/>
              <w:shd w:val="clear"/>
              <w:spacing w:line="360" w:lineRule="auto"/>
              <w:jc w:val="center"/>
              <w:textAlignment w:val="center"/>
              <w:rPr>
                <w:rStyle w:val="971"/>
                <w:rFonts w:hint="eastAsia" w:ascii="宋体" w:hAnsi="宋体" w:eastAsia="宋体" w:cs="宋体"/>
                <w:color w:val="auto"/>
                <w:sz w:val="24"/>
                <w:szCs w:val="24"/>
                <w:highlight w:val="none"/>
              </w:rPr>
            </w:pPr>
          </w:p>
        </w:tc>
      </w:tr>
    </w:tbl>
    <w:p w14:paraId="38B4D953">
      <w:pPr>
        <w:shd w:val="clear"/>
        <w:spacing w:line="440" w:lineRule="exact"/>
        <w:textAlignment w:val="baseline"/>
        <w:rPr>
          <w:rStyle w:val="971"/>
          <w:rFonts w:hint="eastAsia" w:ascii="宋体" w:hAnsi="宋体" w:eastAsia="宋体" w:cs="宋体"/>
          <w:b/>
          <w:bCs/>
          <w:color w:val="auto"/>
          <w:sz w:val="24"/>
          <w:szCs w:val="24"/>
          <w:highlight w:val="none"/>
        </w:rPr>
      </w:pPr>
      <w:r>
        <w:rPr>
          <w:rStyle w:val="971"/>
          <w:rFonts w:hint="eastAsia" w:ascii="宋体" w:hAnsi="宋体" w:eastAsia="宋体" w:cs="宋体"/>
          <w:b/>
          <w:bCs/>
          <w:color w:val="auto"/>
          <w:sz w:val="24"/>
          <w:szCs w:val="24"/>
          <w:highlight w:val="none"/>
        </w:rPr>
        <w:t>注：评审内容、评分标准、分值对应“评审标准”内容。</w:t>
      </w:r>
    </w:p>
    <w:p w14:paraId="13EBA9CF">
      <w:pPr>
        <w:shd w:val="clear"/>
        <w:snapToGrid w:val="0"/>
        <w:spacing w:line="360" w:lineRule="auto"/>
        <w:jc w:val="center"/>
        <w:outlineLvl w:val="0"/>
        <w:rPr>
          <w:rFonts w:hint="eastAsia" w:ascii="宋体" w:hAnsi="宋体" w:eastAsia="宋体" w:cs="宋体"/>
          <w:b/>
          <w:color w:val="auto"/>
          <w:kern w:val="0"/>
          <w:sz w:val="32"/>
          <w:szCs w:val="32"/>
          <w:highlight w:val="none"/>
        </w:rPr>
      </w:pPr>
    </w:p>
    <w:p w14:paraId="2DECCE6A">
      <w:pPr>
        <w:shd w:val="clear"/>
        <w:snapToGrid w:val="0"/>
        <w:spacing w:line="360" w:lineRule="auto"/>
        <w:jc w:val="center"/>
        <w:outlineLvl w:val="0"/>
        <w:rPr>
          <w:rFonts w:hint="eastAsia" w:ascii="宋体" w:hAnsi="宋体" w:eastAsia="宋体" w:cs="宋体"/>
          <w:b/>
          <w:color w:val="auto"/>
          <w:kern w:val="0"/>
          <w:sz w:val="32"/>
          <w:szCs w:val="32"/>
          <w:highlight w:val="none"/>
        </w:rPr>
      </w:pPr>
    </w:p>
    <w:p w14:paraId="039951D1">
      <w:pPr>
        <w:shd w:val="clear"/>
        <w:snapToGrid w:val="0"/>
        <w:spacing w:line="360" w:lineRule="auto"/>
        <w:jc w:val="center"/>
        <w:outlineLvl w:val="0"/>
        <w:rPr>
          <w:rFonts w:hint="eastAsia" w:ascii="宋体" w:hAnsi="宋体" w:eastAsia="宋体" w:cs="宋体"/>
          <w:b/>
          <w:color w:val="auto"/>
          <w:kern w:val="0"/>
          <w:sz w:val="32"/>
          <w:szCs w:val="32"/>
          <w:highlight w:val="none"/>
        </w:rPr>
      </w:pPr>
    </w:p>
    <w:p w14:paraId="5415898B">
      <w:pPr>
        <w:shd w:val="clear"/>
        <w:snapToGrid w:val="0"/>
        <w:spacing w:line="360" w:lineRule="auto"/>
        <w:jc w:val="center"/>
        <w:outlineLvl w:val="0"/>
        <w:rPr>
          <w:rFonts w:hint="eastAsia" w:ascii="宋体" w:hAnsi="宋体" w:eastAsia="宋体" w:cs="宋体"/>
          <w:b/>
          <w:color w:val="auto"/>
          <w:kern w:val="0"/>
          <w:sz w:val="32"/>
          <w:szCs w:val="32"/>
          <w:highlight w:val="none"/>
        </w:rPr>
      </w:pPr>
    </w:p>
    <w:p w14:paraId="635690F8">
      <w:pPr>
        <w:shd w:val="clear"/>
        <w:snapToGrid w:val="0"/>
        <w:spacing w:line="360" w:lineRule="auto"/>
        <w:jc w:val="center"/>
        <w:outlineLvl w:val="0"/>
        <w:rPr>
          <w:rFonts w:hint="eastAsia" w:ascii="宋体" w:hAnsi="宋体" w:eastAsia="宋体" w:cs="宋体"/>
          <w:b/>
          <w:color w:val="auto"/>
          <w:kern w:val="0"/>
          <w:sz w:val="32"/>
          <w:szCs w:val="32"/>
          <w:highlight w:val="none"/>
        </w:rPr>
      </w:pPr>
    </w:p>
    <w:p w14:paraId="3EC4AA0C">
      <w:pPr>
        <w:shd w:val="clear"/>
        <w:snapToGrid w:val="0"/>
        <w:spacing w:line="360" w:lineRule="auto"/>
        <w:jc w:val="center"/>
        <w:outlineLvl w:val="0"/>
        <w:rPr>
          <w:rFonts w:hint="eastAsia" w:ascii="宋体" w:hAnsi="宋体" w:eastAsia="宋体" w:cs="宋体"/>
          <w:b/>
          <w:color w:val="auto"/>
          <w:kern w:val="0"/>
          <w:sz w:val="32"/>
          <w:szCs w:val="32"/>
          <w:highlight w:val="none"/>
        </w:rPr>
      </w:pPr>
    </w:p>
    <w:p w14:paraId="1926C4BA">
      <w:pPr>
        <w:shd w:val="clear"/>
        <w:snapToGrid w:val="0"/>
        <w:spacing w:line="360" w:lineRule="auto"/>
        <w:jc w:val="center"/>
        <w:outlineLvl w:val="0"/>
        <w:rPr>
          <w:rFonts w:hint="eastAsia" w:ascii="宋体" w:hAnsi="宋体" w:eastAsia="宋体" w:cs="宋体"/>
          <w:b/>
          <w:color w:val="auto"/>
          <w:kern w:val="0"/>
          <w:sz w:val="32"/>
          <w:szCs w:val="32"/>
          <w:highlight w:val="none"/>
        </w:rPr>
      </w:pPr>
    </w:p>
    <w:p w14:paraId="16B0BCA2">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C95A680">
      <w:pPr>
        <w:shd w:val="clea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二、投标</w:t>
      </w:r>
      <w:r>
        <w:rPr>
          <w:rFonts w:hint="eastAsia" w:ascii="宋体" w:hAnsi="宋体" w:eastAsia="宋体" w:cs="宋体"/>
          <w:b/>
          <w:color w:val="auto"/>
          <w:sz w:val="32"/>
          <w:szCs w:val="32"/>
          <w:highlight w:val="none"/>
        </w:rPr>
        <w:t>函</w:t>
      </w:r>
    </w:p>
    <w:p w14:paraId="51EFAE00">
      <w:pPr>
        <w:pStyle w:val="397"/>
        <w:shd w:val="clear"/>
        <w:spacing w:after="120" w:line="336"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 xml:space="preserve">              </w:t>
      </w:r>
    </w:p>
    <w:p w14:paraId="5651CF8C">
      <w:pPr>
        <w:pStyle w:val="397"/>
        <w:shd w:val="clear"/>
        <w:spacing w:after="12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根据贵方招标文件（</w:t>
      </w:r>
      <w:r>
        <w:rPr>
          <w:rFonts w:hint="eastAsia" w:ascii="宋体" w:hAnsi="宋体" w:eastAsia="宋体" w:cs="宋体"/>
          <w:b/>
          <w:color w:val="auto"/>
          <w:szCs w:val="24"/>
          <w:highlight w:val="none"/>
          <w:u w:val="single"/>
        </w:rPr>
        <w:t>填写招标编号：</w:t>
      </w:r>
      <w:r>
        <w:rPr>
          <w:rFonts w:hint="eastAsia" w:ascii="宋体" w:hAnsi="宋体" w:eastAsia="宋体" w:cs="宋体"/>
          <w:color w:val="auto"/>
          <w:szCs w:val="24"/>
          <w:highlight w:val="none"/>
        </w:rPr>
        <w:t>）的要求，正式授权</w:t>
      </w:r>
      <w:r>
        <w:rPr>
          <w:rFonts w:hint="eastAsia" w:ascii="宋体" w:hAnsi="宋体" w:eastAsia="宋体" w:cs="宋体"/>
          <w:b/>
          <w:color w:val="auto"/>
          <w:szCs w:val="24"/>
          <w:highlight w:val="none"/>
          <w:u w:val="single"/>
        </w:rPr>
        <w:t>（全权代表姓名    、单位    、职务   ）</w:t>
      </w:r>
      <w:r>
        <w:rPr>
          <w:rFonts w:hint="eastAsia" w:ascii="宋体" w:hAnsi="宋体" w:eastAsia="宋体" w:cs="宋体"/>
          <w:color w:val="auto"/>
          <w:szCs w:val="24"/>
          <w:highlight w:val="none"/>
        </w:rPr>
        <w:t>代表投标人</w:t>
      </w:r>
      <w:r>
        <w:rPr>
          <w:rFonts w:hint="eastAsia" w:ascii="宋体" w:hAnsi="宋体" w:eastAsia="宋体" w:cs="宋体"/>
          <w:color w:val="auto"/>
          <w:szCs w:val="24"/>
          <w:highlight w:val="none"/>
          <w:u w:val="single"/>
        </w:rPr>
        <w:t>（</w:t>
      </w:r>
      <w:r>
        <w:rPr>
          <w:rFonts w:hint="eastAsia" w:ascii="宋体" w:hAnsi="宋体" w:eastAsia="宋体" w:cs="宋体"/>
          <w:b/>
          <w:color w:val="auto"/>
          <w:szCs w:val="24"/>
          <w:highlight w:val="none"/>
          <w:u w:val="single"/>
        </w:rPr>
        <w:t xml:space="preserve">填写单位    、地址   </w:t>
      </w:r>
      <w:r>
        <w:rPr>
          <w:rFonts w:hint="eastAsia" w:ascii="宋体" w:hAnsi="宋体" w:eastAsia="宋体" w:cs="宋体"/>
          <w:color w:val="auto"/>
          <w:szCs w:val="24"/>
          <w:highlight w:val="none"/>
          <w:u w:val="single"/>
        </w:rPr>
        <w:t>）</w:t>
      </w:r>
      <w:r>
        <w:rPr>
          <w:rFonts w:hint="eastAsia" w:ascii="宋体" w:hAnsi="宋体" w:eastAsia="宋体" w:cs="宋体"/>
          <w:color w:val="auto"/>
          <w:szCs w:val="24"/>
          <w:highlight w:val="none"/>
        </w:rPr>
        <w:t>提交投标文件。</w:t>
      </w:r>
    </w:p>
    <w:p w14:paraId="78B28CB0">
      <w:pPr>
        <w:pStyle w:val="397"/>
        <w:shd w:val="clear"/>
        <w:spacing w:after="12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我方已完全明白招标文件的所有条款要求，兹声明同意如下：</w:t>
      </w:r>
    </w:p>
    <w:p w14:paraId="4A872D07">
      <w:pPr>
        <w:pStyle w:val="13"/>
        <w:shd w:val="clear"/>
        <w:tabs>
          <w:tab w:val="clear" w:pos="1697"/>
        </w:tabs>
        <w:spacing w:after="120" w:line="360" w:lineRule="auto"/>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1.我方同意在投标人</w:t>
      </w:r>
      <w:r>
        <w:rPr>
          <w:rFonts w:hint="eastAsia" w:ascii="宋体" w:hAnsi="宋体" w:eastAsia="宋体" w:cs="宋体"/>
          <w:color w:val="auto"/>
          <w:kern w:val="44"/>
          <w:szCs w:val="24"/>
          <w:highlight w:val="none"/>
        </w:rPr>
        <w:t>须知</w:t>
      </w:r>
      <w:r>
        <w:rPr>
          <w:rFonts w:hint="eastAsia" w:ascii="宋体" w:hAnsi="宋体" w:eastAsia="宋体" w:cs="宋体"/>
          <w:color w:val="auto"/>
          <w:szCs w:val="24"/>
          <w:highlight w:val="none"/>
        </w:rPr>
        <w:t>规定的开标日期起遵守本投标文件中的承诺且在投标有效期满之前均具有约束力。</w:t>
      </w:r>
    </w:p>
    <w:p w14:paraId="4B53FB2D">
      <w:pPr>
        <w:pStyle w:val="397"/>
        <w:shd w:val="clear"/>
        <w:spacing w:after="12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2.我方承诺已经具备《中华人民共和国政府采购法》中规定的参加政府采购活动的供应商应当具备的条件。</w:t>
      </w:r>
    </w:p>
    <w:p w14:paraId="22143864">
      <w:pPr>
        <w:pStyle w:val="397"/>
        <w:shd w:val="clear"/>
        <w:spacing w:after="12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41C5856E">
      <w:pPr>
        <w:pStyle w:val="397"/>
        <w:shd w:val="clear"/>
        <w:spacing w:after="12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4.我方理解贵方将不受你们所收到的最低报价的约束。</w:t>
      </w:r>
    </w:p>
    <w:p w14:paraId="4E2B8E93">
      <w:pPr>
        <w:pStyle w:val="13"/>
        <w:shd w:val="clear"/>
        <w:tabs>
          <w:tab w:val="clear" w:pos="1697"/>
        </w:tabs>
        <w:spacing w:after="120" w:line="360" w:lineRule="auto"/>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5.本投标自开标之日（投标截止之日）起90天内有效。</w:t>
      </w:r>
    </w:p>
    <w:p w14:paraId="4C1E4ADA">
      <w:pPr>
        <w:pStyle w:val="397"/>
        <w:shd w:val="clear"/>
        <w:spacing w:after="12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8673EE8">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a)提供虚假材料谋取中标、成交的；</w:t>
      </w:r>
    </w:p>
    <w:p w14:paraId="307A9376">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b)采取不正当手段诋毁、排挤其他供应商的；</w:t>
      </w:r>
    </w:p>
    <w:p w14:paraId="2BBA055E">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c)与采购人、其它供应商或者采购代理机构恶意串通的；</w:t>
      </w:r>
    </w:p>
    <w:p w14:paraId="00BB6E7F">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d)向采购人、采购代理机构行贿或者提供其他不正当利益的；</w:t>
      </w:r>
    </w:p>
    <w:p w14:paraId="20CE7A7E">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e)在招标采购过程中与采购人进行协商谈判的；</w:t>
      </w:r>
    </w:p>
    <w:p w14:paraId="2EF6983A">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f)拒绝有关部门监督检查或提供虚假情况的。</w:t>
      </w:r>
    </w:p>
    <w:p w14:paraId="62067BA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供应商有前款第a)至e)项情形之一的，中标、成交无效。</w:t>
      </w:r>
    </w:p>
    <w:p w14:paraId="00BB0F4A">
      <w:pPr>
        <w:pStyle w:val="397"/>
        <w:shd w:val="clear"/>
        <w:spacing w:after="12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　　　　　　　　　　　　　　　邮政编码：</w:t>
      </w:r>
    </w:p>
    <w:p w14:paraId="266534E4">
      <w:pPr>
        <w:pStyle w:val="397"/>
        <w:shd w:val="clear"/>
        <w:spacing w:after="12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                              传真：</w:t>
      </w:r>
    </w:p>
    <w:p w14:paraId="1CB13E93">
      <w:pPr>
        <w:pStyle w:val="397"/>
        <w:shd w:val="clear"/>
        <w:spacing w:after="12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开户银行：                          账号：</w:t>
      </w:r>
    </w:p>
    <w:p w14:paraId="4994FE26">
      <w:pPr>
        <w:pStyle w:val="397"/>
        <w:shd w:val="clear"/>
        <w:spacing w:after="12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法定代表人或其授权代表(签字或盖章)：</w:t>
      </w:r>
    </w:p>
    <w:p w14:paraId="408C8718">
      <w:pPr>
        <w:shd w:val="clear"/>
        <w:snapToGrid w:val="0"/>
        <w:spacing w:line="336" w:lineRule="auto"/>
        <w:jc w:val="left"/>
        <w:rPr>
          <w:rFonts w:hint="eastAsia" w:ascii="宋体" w:hAnsi="宋体" w:eastAsia="宋体" w:cs="宋体"/>
          <w:color w:val="auto"/>
          <w:sz w:val="24"/>
          <w:highlight w:val="none"/>
        </w:rPr>
      </w:pPr>
    </w:p>
    <w:p w14:paraId="58EBD295">
      <w:pPr>
        <w:shd w:val="clear"/>
        <w:snapToGrid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投标人(电子签章)：　　　　　　　　　日期：  </w:t>
      </w:r>
    </w:p>
    <w:p w14:paraId="64E41A61">
      <w:pPr>
        <w:shd w:val="clear"/>
        <w:snapToGrid w:val="0"/>
        <w:spacing w:line="336" w:lineRule="auto"/>
        <w:ind w:firstLine="480" w:firstLineChars="200"/>
        <w:jc w:val="left"/>
        <w:rPr>
          <w:rFonts w:hint="eastAsia" w:ascii="宋体" w:hAnsi="宋体" w:eastAsia="宋体" w:cs="宋体"/>
          <w:color w:val="auto"/>
          <w:sz w:val="24"/>
          <w:highlight w:val="none"/>
        </w:rPr>
      </w:pPr>
    </w:p>
    <w:p w14:paraId="38004EC9">
      <w:pPr>
        <w:shd w:val="clear"/>
        <w:snapToGrid w:val="0"/>
        <w:spacing w:line="336" w:lineRule="auto"/>
        <w:ind w:firstLine="480" w:firstLineChars="200"/>
        <w:jc w:val="left"/>
        <w:rPr>
          <w:rFonts w:hint="eastAsia" w:ascii="宋体" w:hAnsi="宋体" w:eastAsia="宋体" w:cs="宋体"/>
          <w:color w:val="auto"/>
          <w:sz w:val="24"/>
          <w:highlight w:val="none"/>
        </w:rPr>
      </w:pPr>
    </w:p>
    <w:p w14:paraId="38670349">
      <w:pPr>
        <w:shd w:val="clear"/>
        <w:snapToGrid w:val="0"/>
        <w:spacing w:line="336" w:lineRule="auto"/>
        <w:ind w:firstLine="480" w:firstLineChars="200"/>
        <w:jc w:val="left"/>
        <w:rPr>
          <w:rFonts w:hint="eastAsia" w:ascii="宋体" w:hAnsi="宋体" w:eastAsia="宋体" w:cs="宋体"/>
          <w:color w:val="auto"/>
          <w:sz w:val="24"/>
          <w:highlight w:val="none"/>
        </w:rPr>
      </w:pPr>
    </w:p>
    <w:p w14:paraId="222829EE">
      <w:pPr>
        <w:shd w:val="clear"/>
        <w:snapToGrid w:val="0"/>
        <w:spacing w:line="336" w:lineRule="auto"/>
        <w:ind w:firstLine="480" w:firstLineChars="200"/>
        <w:jc w:val="left"/>
        <w:rPr>
          <w:rFonts w:hint="eastAsia" w:ascii="宋体" w:hAnsi="宋体" w:eastAsia="宋体" w:cs="宋体"/>
          <w:color w:val="auto"/>
          <w:sz w:val="24"/>
          <w:highlight w:val="none"/>
        </w:rPr>
      </w:pPr>
    </w:p>
    <w:p w14:paraId="4E647E6D">
      <w:pPr>
        <w:shd w:val="clear"/>
        <w:snapToGrid w:val="0"/>
        <w:spacing w:line="336" w:lineRule="auto"/>
        <w:ind w:firstLine="480" w:firstLineChars="200"/>
        <w:jc w:val="left"/>
        <w:rPr>
          <w:rFonts w:hint="eastAsia" w:ascii="宋体" w:hAnsi="宋体" w:eastAsia="宋体" w:cs="宋体"/>
          <w:color w:val="auto"/>
          <w:sz w:val="24"/>
          <w:highlight w:val="none"/>
        </w:rPr>
      </w:pPr>
    </w:p>
    <w:p w14:paraId="1B0AE724">
      <w:pPr>
        <w:shd w:val="clear"/>
        <w:snapToGrid w:val="0"/>
        <w:spacing w:line="336" w:lineRule="auto"/>
        <w:ind w:firstLine="480" w:firstLineChars="200"/>
        <w:jc w:val="left"/>
        <w:rPr>
          <w:rFonts w:hint="eastAsia" w:ascii="宋体" w:hAnsi="宋体" w:eastAsia="宋体" w:cs="宋体"/>
          <w:color w:val="auto"/>
          <w:sz w:val="24"/>
          <w:highlight w:val="none"/>
        </w:rPr>
      </w:pPr>
    </w:p>
    <w:p w14:paraId="2E8F891A">
      <w:pPr>
        <w:shd w:val="clear"/>
        <w:snapToGrid w:val="0"/>
        <w:spacing w:line="336" w:lineRule="auto"/>
        <w:ind w:firstLine="480" w:firstLineChars="200"/>
        <w:jc w:val="left"/>
        <w:rPr>
          <w:rFonts w:hint="eastAsia" w:ascii="宋体" w:hAnsi="宋体" w:eastAsia="宋体" w:cs="宋体"/>
          <w:color w:val="auto"/>
          <w:sz w:val="24"/>
          <w:highlight w:val="none"/>
        </w:rPr>
      </w:pPr>
    </w:p>
    <w:p w14:paraId="48C58B06">
      <w:pPr>
        <w:shd w:val="clear"/>
        <w:snapToGrid w:val="0"/>
        <w:spacing w:line="360" w:lineRule="auto"/>
        <w:jc w:val="center"/>
        <w:outlineLvl w:val="0"/>
        <w:rPr>
          <w:rFonts w:hint="eastAsia" w:ascii="宋体" w:hAnsi="宋体" w:eastAsia="宋体" w:cs="宋体"/>
          <w:b/>
          <w:color w:val="auto"/>
          <w:kern w:val="0"/>
          <w:sz w:val="32"/>
          <w:szCs w:val="32"/>
          <w:highlight w:val="none"/>
        </w:rPr>
      </w:pPr>
    </w:p>
    <w:p w14:paraId="47907BA7">
      <w:pPr>
        <w:pStyle w:val="63"/>
        <w:shd w:val="clear"/>
        <w:rPr>
          <w:rFonts w:hint="eastAsia" w:ascii="宋体" w:hAnsi="宋体" w:eastAsia="宋体" w:cs="宋体"/>
          <w:b/>
          <w:color w:val="auto"/>
          <w:kern w:val="0"/>
          <w:sz w:val="32"/>
          <w:szCs w:val="32"/>
          <w:highlight w:val="none"/>
        </w:rPr>
      </w:pPr>
    </w:p>
    <w:p w14:paraId="04A1123B">
      <w:pPr>
        <w:shd w:val="clear"/>
        <w:rPr>
          <w:rFonts w:hint="eastAsia" w:ascii="宋体" w:hAnsi="宋体" w:eastAsia="宋体" w:cs="宋体"/>
          <w:b/>
          <w:color w:val="auto"/>
          <w:kern w:val="0"/>
          <w:sz w:val="32"/>
          <w:szCs w:val="32"/>
          <w:highlight w:val="none"/>
        </w:rPr>
      </w:pPr>
    </w:p>
    <w:p w14:paraId="0FBA03AD">
      <w:pPr>
        <w:pStyle w:val="63"/>
        <w:shd w:val="clear"/>
        <w:rPr>
          <w:rFonts w:hint="eastAsia" w:ascii="宋体" w:hAnsi="宋体" w:eastAsia="宋体" w:cs="宋体"/>
          <w:b/>
          <w:color w:val="auto"/>
          <w:kern w:val="0"/>
          <w:sz w:val="32"/>
          <w:szCs w:val="32"/>
          <w:highlight w:val="none"/>
        </w:rPr>
      </w:pPr>
    </w:p>
    <w:p w14:paraId="613CDA58">
      <w:pPr>
        <w:shd w:val="clear"/>
        <w:rPr>
          <w:rFonts w:hint="eastAsia" w:ascii="宋体" w:hAnsi="宋体" w:eastAsia="宋体" w:cs="宋体"/>
          <w:b/>
          <w:color w:val="auto"/>
          <w:kern w:val="0"/>
          <w:sz w:val="32"/>
          <w:szCs w:val="32"/>
          <w:highlight w:val="none"/>
        </w:rPr>
      </w:pPr>
    </w:p>
    <w:p w14:paraId="685C7BBE">
      <w:pPr>
        <w:pStyle w:val="63"/>
        <w:shd w:val="clear"/>
        <w:rPr>
          <w:rFonts w:hint="eastAsia" w:ascii="宋体" w:hAnsi="宋体" w:eastAsia="宋体" w:cs="宋体"/>
          <w:b/>
          <w:color w:val="auto"/>
          <w:kern w:val="0"/>
          <w:sz w:val="32"/>
          <w:szCs w:val="32"/>
          <w:highlight w:val="none"/>
        </w:rPr>
      </w:pPr>
    </w:p>
    <w:p w14:paraId="23B57375">
      <w:pPr>
        <w:shd w:val="clear"/>
        <w:rPr>
          <w:rFonts w:hint="eastAsia" w:ascii="宋体" w:hAnsi="宋体" w:eastAsia="宋体" w:cs="宋体"/>
          <w:b/>
          <w:color w:val="auto"/>
          <w:kern w:val="0"/>
          <w:sz w:val="32"/>
          <w:szCs w:val="32"/>
          <w:highlight w:val="none"/>
        </w:rPr>
      </w:pPr>
    </w:p>
    <w:p w14:paraId="46E48E2B">
      <w:pPr>
        <w:pStyle w:val="63"/>
        <w:shd w:val="clear"/>
        <w:rPr>
          <w:rFonts w:hint="eastAsia" w:ascii="宋体" w:hAnsi="宋体" w:eastAsia="宋体" w:cs="宋体"/>
          <w:b/>
          <w:color w:val="auto"/>
          <w:kern w:val="0"/>
          <w:sz w:val="32"/>
          <w:szCs w:val="32"/>
          <w:highlight w:val="none"/>
        </w:rPr>
      </w:pPr>
    </w:p>
    <w:p w14:paraId="77A992B7">
      <w:pPr>
        <w:shd w:val="clear"/>
        <w:rPr>
          <w:rFonts w:hint="eastAsia" w:ascii="宋体" w:hAnsi="宋体" w:eastAsia="宋体" w:cs="宋体"/>
          <w:b/>
          <w:color w:val="auto"/>
          <w:kern w:val="0"/>
          <w:sz w:val="32"/>
          <w:szCs w:val="32"/>
          <w:highlight w:val="none"/>
        </w:rPr>
      </w:pPr>
    </w:p>
    <w:p w14:paraId="3ED34471">
      <w:pPr>
        <w:pStyle w:val="63"/>
        <w:shd w:val="clear"/>
        <w:rPr>
          <w:rFonts w:hint="eastAsia" w:ascii="宋体" w:hAnsi="宋体" w:eastAsia="宋体" w:cs="宋体"/>
          <w:b/>
          <w:color w:val="auto"/>
          <w:kern w:val="0"/>
          <w:sz w:val="32"/>
          <w:szCs w:val="32"/>
          <w:highlight w:val="none"/>
        </w:rPr>
      </w:pPr>
    </w:p>
    <w:p w14:paraId="2BD3E075">
      <w:pPr>
        <w:shd w:val="clear"/>
        <w:rPr>
          <w:rFonts w:hint="eastAsia" w:ascii="宋体" w:hAnsi="宋体" w:eastAsia="宋体" w:cs="宋体"/>
          <w:b/>
          <w:color w:val="auto"/>
          <w:kern w:val="0"/>
          <w:sz w:val="32"/>
          <w:szCs w:val="32"/>
          <w:highlight w:val="none"/>
        </w:rPr>
      </w:pPr>
    </w:p>
    <w:p w14:paraId="2DDF4AE2">
      <w:pPr>
        <w:pStyle w:val="63"/>
        <w:shd w:val="clear"/>
        <w:rPr>
          <w:rFonts w:hint="eastAsia" w:ascii="宋体" w:hAnsi="宋体" w:eastAsia="宋体" w:cs="宋体"/>
          <w:b/>
          <w:color w:val="auto"/>
          <w:kern w:val="0"/>
          <w:sz w:val="32"/>
          <w:szCs w:val="32"/>
          <w:highlight w:val="none"/>
        </w:rPr>
      </w:pPr>
    </w:p>
    <w:p w14:paraId="7E516B6A">
      <w:pPr>
        <w:shd w:val="clear"/>
        <w:rPr>
          <w:rFonts w:hint="eastAsia" w:ascii="宋体" w:hAnsi="宋体" w:eastAsia="宋体" w:cs="宋体"/>
          <w:b/>
          <w:color w:val="auto"/>
          <w:kern w:val="0"/>
          <w:sz w:val="32"/>
          <w:szCs w:val="32"/>
          <w:highlight w:val="none"/>
        </w:rPr>
      </w:pPr>
    </w:p>
    <w:p w14:paraId="6D54CCD4">
      <w:pPr>
        <w:pStyle w:val="63"/>
        <w:shd w:val="clear"/>
        <w:rPr>
          <w:rFonts w:hint="eastAsia" w:ascii="宋体" w:hAnsi="宋体" w:eastAsia="宋体" w:cs="宋体"/>
          <w:b/>
          <w:color w:val="auto"/>
          <w:kern w:val="0"/>
          <w:sz w:val="32"/>
          <w:szCs w:val="32"/>
          <w:highlight w:val="none"/>
        </w:rPr>
      </w:pPr>
    </w:p>
    <w:p w14:paraId="58E12956">
      <w:pPr>
        <w:shd w:val="clear"/>
        <w:rPr>
          <w:rFonts w:hint="eastAsia" w:ascii="宋体" w:hAnsi="宋体" w:eastAsia="宋体" w:cs="宋体"/>
          <w:b/>
          <w:color w:val="auto"/>
          <w:kern w:val="0"/>
          <w:sz w:val="32"/>
          <w:szCs w:val="32"/>
          <w:highlight w:val="none"/>
        </w:rPr>
      </w:pPr>
    </w:p>
    <w:p w14:paraId="3B9C479E">
      <w:pPr>
        <w:pStyle w:val="63"/>
        <w:shd w:val="clear"/>
        <w:rPr>
          <w:rFonts w:hint="eastAsia" w:ascii="宋体" w:hAnsi="宋体" w:eastAsia="宋体" w:cs="宋体"/>
          <w:b/>
          <w:color w:val="auto"/>
          <w:kern w:val="0"/>
          <w:sz w:val="32"/>
          <w:szCs w:val="32"/>
          <w:highlight w:val="none"/>
        </w:rPr>
      </w:pPr>
    </w:p>
    <w:p w14:paraId="20BDE177">
      <w:pPr>
        <w:shd w:val="clear"/>
        <w:rPr>
          <w:rFonts w:hint="eastAsia" w:ascii="宋体" w:hAnsi="宋体" w:eastAsia="宋体" w:cs="宋体"/>
          <w:b/>
          <w:color w:val="auto"/>
          <w:kern w:val="0"/>
          <w:sz w:val="32"/>
          <w:szCs w:val="32"/>
          <w:highlight w:val="none"/>
        </w:rPr>
      </w:pPr>
    </w:p>
    <w:p w14:paraId="7E801115">
      <w:pPr>
        <w:pStyle w:val="63"/>
        <w:shd w:val="clear"/>
        <w:rPr>
          <w:rFonts w:hint="eastAsia" w:ascii="宋体" w:hAnsi="宋体" w:eastAsia="宋体" w:cs="宋体"/>
          <w:b/>
          <w:color w:val="auto"/>
          <w:kern w:val="0"/>
          <w:sz w:val="32"/>
          <w:szCs w:val="32"/>
          <w:highlight w:val="none"/>
        </w:rPr>
      </w:pPr>
    </w:p>
    <w:p w14:paraId="4264C7DC">
      <w:pPr>
        <w:shd w:val="clear"/>
        <w:rPr>
          <w:rFonts w:hint="eastAsia" w:ascii="宋体" w:hAnsi="宋体" w:eastAsia="宋体" w:cs="宋体"/>
          <w:color w:val="auto"/>
          <w:highlight w:val="none"/>
        </w:rPr>
      </w:pPr>
    </w:p>
    <w:p w14:paraId="1D2CB729">
      <w:pPr>
        <w:pageBreakBefore/>
        <w:shd w:val="clear"/>
        <w:spacing w:line="8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三</w:t>
      </w:r>
      <w:r>
        <w:rPr>
          <w:rFonts w:hint="eastAsia" w:ascii="宋体" w:hAnsi="宋体" w:eastAsia="宋体" w:cs="宋体"/>
          <w:b/>
          <w:color w:val="auto"/>
          <w:sz w:val="30"/>
          <w:szCs w:val="30"/>
          <w:highlight w:val="none"/>
        </w:rPr>
        <w:t xml:space="preserve">、法定代表人授权委托书（格式） </w:t>
      </w:r>
      <w:r>
        <w:rPr>
          <w:rFonts w:hint="eastAsia" w:ascii="宋体" w:hAnsi="宋体" w:eastAsia="宋体" w:cs="宋体"/>
          <w:b/>
          <w:color w:val="auto"/>
          <w:kern w:val="0"/>
          <w:sz w:val="32"/>
          <w:szCs w:val="32"/>
          <w:highlight w:val="none"/>
          <w:lang w:val="zh-CN"/>
        </w:rPr>
        <w:t>（适用于非联合体投标）</w:t>
      </w:r>
    </w:p>
    <w:p w14:paraId="72A755BC">
      <w:pPr>
        <w:shd w:val="clear"/>
        <w:jc w:val="center"/>
        <w:rPr>
          <w:rFonts w:hint="eastAsia" w:ascii="宋体" w:hAnsi="宋体" w:eastAsia="宋体" w:cs="宋体"/>
          <w:b/>
          <w:color w:val="auto"/>
          <w:sz w:val="24"/>
          <w:highlight w:val="none"/>
        </w:rPr>
      </w:pPr>
    </w:p>
    <w:p w14:paraId="44E3AB50">
      <w:pPr>
        <w:shd w:val="clea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(填写姓名)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（填写投标人单位全称）</w:t>
      </w:r>
      <w:r>
        <w:rPr>
          <w:rFonts w:hint="eastAsia" w:ascii="宋体" w:hAnsi="宋体" w:eastAsia="宋体" w:cs="宋体"/>
          <w:color w:val="auto"/>
          <w:sz w:val="24"/>
          <w:highlight w:val="none"/>
        </w:rPr>
        <w:t>的法定代表人，现授权委托</w:t>
      </w:r>
      <w:r>
        <w:rPr>
          <w:rFonts w:hint="eastAsia" w:ascii="宋体" w:hAnsi="宋体" w:eastAsia="宋体" w:cs="宋体"/>
          <w:color w:val="auto"/>
          <w:sz w:val="24"/>
          <w:highlight w:val="none"/>
          <w:u w:val="single"/>
        </w:rPr>
        <w:t xml:space="preserve">                  （填写单位全称）</w:t>
      </w:r>
      <w:r>
        <w:rPr>
          <w:rFonts w:hint="eastAsia" w:ascii="宋体" w:hAnsi="宋体" w:eastAsia="宋体" w:cs="宋体"/>
          <w:color w:val="auto"/>
          <w:sz w:val="24"/>
          <w:highlight w:val="none"/>
        </w:rPr>
        <w:t>的（填写姓名）为我公司授权代表，</w:t>
      </w:r>
      <w:r>
        <w:rPr>
          <w:rFonts w:hint="eastAsia" w:ascii="宋体" w:hAnsi="宋体" w:eastAsia="宋体" w:cs="宋体"/>
          <w:color w:val="auto"/>
          <w:sz w:val="24"/>
          <w:highlight w:val="none"/>
          <w:u w:val="single"/>
        </w:rPr>
        <w:t>（填写身份证号码：                       ）</w:t>
      </w:r>
      <w:r>
        <w:rPr>
          <w:rFonts w:hint="eastAsia" w:ascii="宋体" w:hAnsi="宋体" w:eastAsia="宋体" w:cs="宋体"/>
          <w:color w:val="auto"/>
          <w:sz w:val="24"/>
          <w:highlight w:val="none"/>
        </w:rPr>
        <w:t>。以本公司的名义参加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投标活动。授权代表在开标、评标、合同谈判过程中所签署的一切文件和处理与之有关的一切事务，我均予以承认。</w:t>
      </w:r>
    </w:p>
    <w:p w14:paraId="4CF7917D">
      <w:pPr>
        <w:shd w:val="clear"/>
        <w:snapToGrid w:val="0"/>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在撤销授权的书面通知以前，本授权书一直有效。全权代表在授权书有效期内签署的所有文件不因授权的撤销而失效。</w:t>
      </w:r>
    </w:p>
    <w:p w14:paraId="79F959E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授权代表无转委托权。特此委托。</w:t>
      </w:r>
    </w:p>
    <w:p w14:paraId="6F780905">
      <w:pPr>
        <w:shd w:val="clear"/>
        <w:snapToGrid w:val="0"/>
        <w:spacing w:line="600" w:lineRule="exact"/>
        <w:jc w:val="left"/>
        <w:rPr>
          <w:rFonts w:hint="eastAsia" w:ascii="宋体" w:hAnsi="宋体" w:eastAsia="宋体" w:cs="宋体"/>
          <w:color w:val="auto"/>
          <w:sz w:val="24"/>
          <w:highlight w:val="none"/>
        </w:rPr>
      </w:pPr>
    </w:p>
    <w:p w14:paraId="53C96F66">
      <w:pPr>
        <w:shd w:val="clea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授权代表姓名：              性别：               年龄：</w:t>
      </w:r>
    </w:p>
    <w:p w14:paraId="47D58224">
      <w:pPr>
        <w:shd w:val="clear"/>
        <w:spacing w:line="360" w:lineRule="exact"/>
        <w:rPr>
          <w:rFonts w:hint="eastAsia" w:ascii="宋体" w:hAnsi="宋体" w:eastAsia="宋体" w:cs="宋体"/>
          <w:color w:val="auto"/>
          <w:sz w:val="24"/>
          <w:highlight w:val="none"/>
        </w:rPr>
      </w:pPr>
    </w:p>
    <w:p w14:paraId="380D1F34">
      <w:pPr>
        <w:shd w:val="clea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                      部门：               职务：</w:t>
      </w:r>
    </w:p>
    <w:p w14:paraId="3521BADF">
      <w:pPr>
        <w:shd w:val="clear"/>
        <w:spacing w:line="360" w:lineRule="exact"/>
        <w:rPr>
          <w:rFonts w:hint="eastAsia" w:ascii="宋体" w:hAnsi="宋体" w:eastAsia="宋体" w:cs="宋体"/>
          <w:color w:val="auto"/>
          <w:sz w:val="24"/>
          <w:highlight w:val="none"/>
        </w:rPr>
      </w:pPr>
    </w:p>
    <w:p w14:paraId="26FFA1CD">
      <w:pPr>
        <w:widowControl/>
        <w:shd w:val="clea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办公地址：                  联系电话：           传真：</w:t>
      </w:r>
    </w:p>
    <w:p w14:paraId="21491172">
      <w:pPr>
        <w:shd w:val="clear"/>
        <w:spacing w:line="360" w:lineRule="exact"/>
        <w:rPr>
          <w:rFonts w:hint="eastAsia" w:ascii="宋体" w:hAnsi="宋体" w:eastAsia="宋体" w:cs="宋体"/>
          <w:color w:val="auto"/>
          <w:sz w:val="24"/>
          <w:highlight w:val="none"/>
        </w:rPr>
      </w:pPr>
    </w:p>
    <w:p w14:paraId="54237DF6">
      <w:pPr>
        <w:shd w:val="clear"/>
        <w:spacing w:line="360" w:lineRule="exact"/>
        <w:rPr>
          <w:rFonts w:hint="eastAsia" w:ascii="宋体" w:hAnsi="宋体" w:eastAsia="宋体" w:cs="宋体"/>
          <w:color w:val="auto"/>
          <w:sz w:val="24"/>
          <w:highlight w:val="none"/>
        </w:rPr>
      </w:pPr>
    </w:p>
    <w:p w14:paraId="7C156804">
      <w:pPr>
        <w:shd w:val="clea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投标人（电子签章）：</w:t>
      </w:r>
    </w:p>
    <w:p w14:paraId="30F5B8E2">
      <w:pPr>
        <w:shd w:val="clear"/>
        <w:spacing w:line="360" w:lineRule="exact"/>
        <w:rPr>
          <w:rFonts w:hint="eastAsia" w:ascii="宋体" w:hAnsi="宋体" w:eastAsia="宋体" w:cs="宋体"/>
          <w:color w:val="auto"/>
          <w:sz w:val="24"/>
          <w:highlight w:val="none"/>
        </w:rPr>
      </w:pPr>
    </w:p>
    <w:p w14:paraId="0C23D585">
      <w:pPr>
        <w:shd w:val="clear"/>
        <w:spacing w:line="360" w:lineRule="exact"/>
        <w:rPr>
          <w:rFonts w:hint="eastAsia" w:ascii="宋体" w:hAnsi="宋体" w:eastAsia="宋体" w:cs="宋体"/>
          <w:color w:val="auto"/>
          <w:sz w:val="24"/>
          <w:highlight w:val="none"/>
        </w:rPr>
      </w:pPr>
    </w:p>
    <w:p w14:paraId="1B68202A">
      <w:pPr>
        <w:shd w:val="clea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7E624B18">
      <w:pPr>
        <w:shd w:val="clear"/>
        <w:spacing w:line="360" w:lineRule="exact"/>
        <w:rPr>
          <w:rFonts w:hint="eastAsia" w:ascii="宋体" w:hAnsi="宋体" w:eastAsia="宋体" w:cs="宋体"/>
          <w:color w:val="auto"/>
          <w:sz w:val="24"/>
          <w:highlight w:val="none"/>
        </w:rPr>
      </w:pPr>
    </w:p>
    <w:p w14:paraId="5E0CFA8A">
      <w:pPr>
        <w:shd w:val="clear"/>
        <w:spacing w:line="360" w:lineRule="exact"/>
        <w:rPr>
          <w:rFonts w:hint="eastAsia" w:ascii="宋体" w:hAnsi="宋体" w:eastAsia="宋体" w:cs="宋体"/>
          <w:color w:val="auto"/>
          <w:sz w:val="24"/>
          <w:highlight w:val="none"/>
        </w:rPr>
      </w:pPr>
    </w:p>
    <w:p w14:paraId="3954E5C0">
      <w:pPr>
        <w:shd w:val="clear"/>
        <w:ind w:firstLine="5280" w:firstLineChars="2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AF4847D">
      <w:pPr>
        <w:shd w:val="clear"/>
        <w:ind w:firstLine="4920" w:firstLineChars="2050"/>
        <w:jc w:val="left"/>
        <w:rPr>
          <w:rFonts w:hint="eastAsia" w:ascii="宋体" w:hAnsi="宋体" w:eastAsia="宋体" w:cs="宋体"/>
          <w:color w:val="auto"/>
          <w:sz w:val="24"/>
          <w:highlight w:val="none"/>
        </w:rPr>
      </w:pPr>
    </w:p>
    <w:p w14:paraId="15E01DB1">
      <w:pPr>
        <w:shd w:val="clear"/>
        <w:spacing w:line="800" w:lineRule="exact"/>
        <w:rPr>
          <w:rFonts w:hint="eastAsia" w:ascii="宋体" w:hAnsi="宋体" w:eastAsia="宋体" w:cs="宋体"/>
          <w:b/>
          <w:color w:val="auto"/>
          <w:sz w:val="24"/>
          <w:highlight w:val="none"/>
        </w:rPr>
      </w:pPr>
    </w:p>
    <w:p w14:paraId="122436D4">
      <w:pPr>
        <w:shd w:val="clear"/>
        <w:spacing w:line="800" w:lineRule="exact"/>
        <w:rPr>
          <w:rFonts w:hint="eastAsia" w:ascii="宋体" w:hAnsi="宋体" w:eastAsia="宋体" w:cs="宋体"/>
          <w:b/>
          <w:color w:val="auto"/>
          <w:sz w:val="24"/>
          <w:highlight w:val="none"/>
        </w:rPr>
      </w:pPr>
    </w:p>
    <w:p w14:paraId="23B4AEF4">
      <w:pPr>
        <w:pageBreakBefore/>
        <w:shd w:val="clear"/>
        <w:spacing w:line="8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法定代表人授权委托书（格式） </w:t>
      </w:r>
      <w:r>
        <w:rPr>
          <w:rFonts w:hint="eastAsia" w:ascii="宋体" w:hAnsi="宋体" w:eastAsia="宋体" w:cs="宋体"/>
          <w:b/>
          <w:color w:val="auto"/>
          <w:kern w:val="0"/>
          <w:sz w:val="32"/>
          <w:szCs w:val="32"/>
          <w:highlight w:val="none"/>
          <w:lang w:val="zh-CN"/>
        </w:rPr>
        <w:t>（适用于联合体投标）</w:t>
      </w:r>
    </w:p>
    <w:p w14:paraId="04CDB410">
      <w:pPr>
        <w:shd w:val="clear"/>
        <w:jc w:val="center"/>
        <w:rPr>
          <w:rFonts w:hint="eastAsia" w:ascii="宋体" w:hAnsi="宋体" w:eastAsia="宋体" w:cs="宋体"/>
          <w:b/>
          <w:color w:val="auto"/>
          <w:sz w:val="24"/>
          <w:highlight w:val="none"/>
        </w:rPr>
      </w:pPr>
    </w:p>
    <w:p w14:paraId="57265682">
      <w:pPr>
        <w:shd w:val="clea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w:t>
      </w:r>
    </w:p>
    <w:p w14:paraId="2814BE4B">
      <w:pPr>
        <w:shd w:val="clea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现授权委托</w:t>
      </w:r>
      <w:r>
        <w:rPr>
          <w:rFonts w:hint="eastAsia" w:ascii="宋体" w:hAnsi="宋体" w:eastAsia="宋体" w:cs="宋体"/>
          <w:color w:val="auto"/>
          <w:sz w:val="24"/>
          <w:highlight w:val="none"/>
          <w:u w:val="single"/>
        </w:rPr>
        <w:t xml:space="preserve">                  （填写单位全称）</w:t>
      </w:r>
      <w:r>
        <w:rPr>
          <w:rFonts w:hint="eastAsia" w:ascii="宋体" w:hAnsi="宋体" w:eastAsia="宋体" w:cs="宋体"/>
          <w:color w:val="auto"/>
          <w:sz w:val="24"/>
          <w:highlight w:val="none"/>
        </w:rPr>
        <w:t>的（填写姓名）为我方授权代表，</w:t>
      </w:r>
      <w:r>
        <w:rPr>
          <w:rFonts w:hint="eastAsia" w:ascii="宋体" w:hAnsi="宋体" w:eastAsia="宋体" w:cs="宋体"/>
          <w:color w:val="auto"/>
          <w:sz w:val="24"/>
          <w:highlight w:val="none"/>
          <w:u w:val="single"/>
        </w:rPr>
        <w:t>（填写身份证号码：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投标活动。授权代表在开标、评标、合同谈判过程中所签署的一切文件和处理与之有关的一切事务，我均予以承认。</w:t>
      </w:r>
    </w:p>
    <w:p w14:paraId="4F1A0250">
      <w:pPr>
        <w:shd w:val="clear"/>
        <w:snapToGrid w:val="0"/>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在撤销授权的书面通知以前，本授权书一直有效。全权代表在授权书有效期内签署的所有文件不因授权的撤销而失效。</w:t>
      </w:r>
    </w:p>
    <w:p w14:paraId="3B12377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授权代表无转委托权。特此委托。</w:t>
      </w:r>
    </w:p>
    <w:p w14:paraId="7693452C">
      <w:pPr>
        <w:shd w:val="clear"/>
        <w:snapToGrid w:val="0"/>
        <w:spacing w:line="600" w:lineRule="exact"/>
        <w:jc w:val="left"/>
        <w:rPr>
          <w:rFonts w:hint="eastAsia" w:ascii="宋体" w:hAnsi="宋体" w:eastAsia="宋体" w:cs="宋体"/>
          <w:color w:val="auto"/>
          <w:sz w:val="24"/>
          <w:highlight w:val="none"/>
        </w:rPr>
      </w:pPr>
    </w:p>
    <w:p w14:paraId="6CF4A3A8">
      <w:pPr>
        <w:shd w:val="clea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授权代表姓名：              性别：               年龄：</w:t>
      </w:r>
    </w:p>
    <w:p w14:paraId="3A94FE02">
      <w:pPr>
        <w:shd w:val="clear"/>
        <w:spacing w:line="360" w:lineRule="exact"/>
        <w:rPr>
          <w:rFonts w:hint="eastAsia" w:ascii="宋体" w:hAnsi="宋体" w:eastAsia="宋体" w:cs="宋体"/>
          <w:color w:val="auto"/>
          <w:sz w:val="24"/>
          <w:highlight w:val="none"/>
        </w:rPr>
      </w:pPr>
    </w:p>
    <w:p w14:paraId="038902F1">
      <w:pPr>
        <w:shd w:val="clea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                      部门：               职务：</w:t>
      </w:r>
    </w:p>
    <w:p w14:paraId="02F046C3">
      <w:pPr>
        <w:shd w:val="clear"/>
        <w:spacing w:line="360" w:lineRule="exact"/>
        <w:rPr>
          <w:rFonts w:hint="eastAsia" w:ascii="宋体" w:hAnsi="宋体" w:eastAsia="宋体" w:cs="宋体"/>
          <w:color w:val="auto"/>
          <w:sz w:val="24"/>
          <w:highlight w:val="none"/>
        </w:rPr>
      </w:pPr>
    </w:p>
    <w:p w14:paraId="5FD163E1">
      <w:pPr>
        <w:widowControl/>
        <w:shd w:val="clea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办公地址：                  联系电话：           传真：</w:t>
      </w:r>
    </w:p>
    <w:p w14:paraId="54567B6C">
      <w:pPr>
        <w:shd w:val="clear"/>
        <w:spacing w:line="360" w:lineRule="exact"/>
        <w:rPr>
          <w:rFonts w:hint="eastAsia" w:ascii="宋体" w:hAnsi="宋体" w:eastAsia="宋体" w:cs="宋体"/>
          <w:color w:val="auto"/>
          <w:sz w:val="24"/>
          <w:highlight w:val="none"/>
        </w:rPr>
      </w:pPr>
    </w:p>
    <w:p w14:paraId="31D9CF79">
      <w:pPr>
        <w:shd w:val="clear"/>
        <w:spacing w:line="360" w:lineRule="exact"/>
        <w:rPr>
          <w:rFonts w:hint="eastAsia" w:ascii="宋体" w:hAnsi="宋体" w:eastAsia="宋体" w:cs="宋体"/>
          <w:color w:val="auto"/>
          <w:sz w:val="24"/>
          <w:highlight w:val="none"/>
        </w:rPr>
      </w:pPr>
    </w:p>
    <w:p w14:paraId="6D6B8D36">
      <w:pPr>
        <w:shd w:val="clear"/>
        <w:jc w:val="center"/>
        <w:rPr>
          <w:rFonts w:hint="eastAsia" w:ascii="宋体" w:hAnsi="宋体" w:eastAsia="宋体" w:cs="宋体"/>
          <w:b/>
          <w:color w:val="auto"/>
          <w:kern w:val="0"/>
          <w:sz w:val="32"/>
          <w:szCs w:val="32"/>
          <w:highlight w:val="none"/>
        </w:rPr>
      </w:pPr>
    </w:p>
    <w:p w14:paraId="02338BDA">
      <w:pPr>
        <w:shd w:val="clear"/>
        <w:rPr>
          <w:rFonts w:hint="eastAsia" w:ascii="宋体" w:hAnsi="宋体" w:eastAsia="宋体" w:cs="宋体"/>
          <w:color w:val="auto"/>
          <w:highlight w:val="none"/>
        </w:rPr>
      </w:pPr>
    </w:p>
    <w:p w14:paraId="62CB27AB">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1A4790B">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AD2D8C6">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20BAA4B">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6EA7C24">
      <w:pPr>
        <w:shd w:val="clea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3B32BB5">
      <w:pPr>
        <w:shd w:val="clea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CEC6908">
      <w:pPr>
        <w:shd w:val="clear"/>
        <w:spacing w:line="800" w:lineRule="exact"/>
        <w:rPr>
          <w:rFonts w:hint="eastAsia" w:ascii="宋体" w:hAnsi="宋体" w:eastAsia="宋体" w:cs="宋体"/>
          <w:b/>
          <w:color w:val="auto"/>
          <w:sz w:val="24"/>
          <w:highlight w:val="none"/>
        </w:rPr>
      </w:pPr>
    </w:p>
    <w:p w14:paraId="01DC6ED9">
      <w:pPr>
        <w:shd w:val="clea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6B9816A4">
      <w:pPr>
        <w:numPr>
          <w:ilvl w:val="0"/>
          <w:numId w:val="0"/>
        </w:numPr>
        <w:shd w:val="clear"/>
        <w:spacing w:line="800" w:lineRule="exact"/>
        <w:ind w:left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四、</w:t>
      </w:r>
      <w:r>
        <w:rPr>
          <w:rFonts w:hint="eastAsia" w:ascii="宋体" w:hAnsi="宋体" w:eastAsia="宋体" w:cs="宋体"/>
          <w:b/>
          <w:color w:val="auto"/>
          <w:sz w:val="30"/>
          <w:szCs w:val="30"/>
          <w:highlight w:val="none"/>
        </w:rPr>
        <w:t>法定代表人及其授权代表身份证复印件（正反面）</w:t>
      </w:r>
    </w:p>
    <w:p w14:paraId="3655EFAB">
      <w:pPr>
        <w:pStyle w:val="2"/>
        <w:keepNext/>
        <w:keepLines/>
        <w:widowControl w:val="0"/>
        <w:numPr>
          <w:ilvl w:val="0"/>
          <w:numId w:val="0"/>
        </w:numPr>
        <w:shd w:val="clear"/>
        <w:adjustRightInd/>
        <w:spacing w:line="360" w:lineRule="auto"/>
        <w:jc w:val="left"/>
        <w:outlineLvl w:val="1"/>
        <w:rPr>
          <w:rFonts w:hint="eastAsia" w:ascii="宋体" w:hAnsi="宋体" w:eastAsia="宋体" w:cs="宋体"/>
          <w:color w:val="auto"/>
          <w:highlight w:val="none"/>
        </w:rPr>
      </w:pPr>
    </w:p>
    <w:p w14:paraId="102BE7E6">
      <w:pPr>
        <w:shd w:val="clear"/>
        <w:rPr>
          <w:rFonts w:hint="eastAsia" w:ascii="宋体" w:hAnsi="宋体" w:eastAsia="宋体" w:cs="宋体"/>
          <w:color w:val="auto"/>
          <w:highlight w:val="none"/>
        </w:rPr>
      </w:pPr>
    </w:p>
    <w:p w14:paraId="64FE7C55">
      <w:pPr>
        <w:pStyle w:val="2"/>
        <w:shd w:val="clear"/>
        <w:rPr>
          <w:rFonts w:hint="eastAsia" w:ascii="宋体" w:hAnsi="宋体" w:eastAsia="宋体" w:cs="宋体"/>
          <w:color w:val="auto"/>
          <w:highlight w:val="none"/>
        </w:rPr>
      </w:pPr>
    </w:p>
    <w:p w14:paraId="12F76DCB">
      <w:pPr>
        <w:shd w:val="clear"/>
        <w:rPr>
          <w:rFonts w:hint="eastAsia" w:ascii="宋体" w:hAnsi="宋体" w:eastAsia="宋体" w:cs="宋体"/>
          <w:color w:val="auto"/>
          <w:highlight w:val="none"/>
        </w:rPr>
      </w:pPr>
    </w:p>
    <w:p w14:paraId="31BB5AD8">
      <w:pPr>
        <w:pStyle w:val="2"/>
        <w:shd w:val="clear"/>
        <w:rPr>
          <w:rFonts w:hint="eastAsia" w:ascii="宋体" w:hAnsi="宋体" w:eastAsia="宋体" w:cs="宋体"/>
          <w:color w:val="auto"/>
          <w:highlight w:val="none"/>
        </w:rPr>
      </w:pPr>
    </w:p>
    <w:p w14:paraId="156A4B0F">
      <w:pPr>
        <w:shd w:val="clear"/>
        <w:rPr>
          <w:rFonts w:hint="eastAsia" w:ascii="宋体" w:hAnsi="宋体" w:eastAsia="宋体" w:cs="宋体"/>
          <w:color w:val="auto"/>
          <w:highlight w:val="none"/>
        </w:rPr>
      </w:pPr>
    </w:p>
    <w:p w14:paraId="74FD2B08">
      <w:pPr>
        <w:pStyle w:val="2"/>
        <w:shd w:val="clear"/>
        <w:rPr>
          <w:rFonts w:hint="eastAsia" w:ascii="宋体" w:hAnsi="宋体" w:eastAsia="宋体" w:cs="宋体"/>
          <w:color w:val="auto"/>
          <w:highlight w:val="none"/>
        </w:rPr>
      </w:pPr>
    </w:p>
    <w:p w14:paraId="1A7A6642">
      <w:pPr>
        <w:pageBreakBefore/>
        <w:shd w:val="clear"/>
        <w:spacing w:line="8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五</w:t>
      </w:r>
      <w:r>
        <w:rPr>
          <w:rFonts w:hint="eastAsia" w:ascii="宋体" w:hAnsi="宋体" w:eastAsia="宋体" w:cs="宋体"/>
          <w:b/>
          <w:color w:val="auto"/>
          <w:sz w:val="30"/>
          <w:szCs w:val="30"/>
          <w:highlight w:val="none"/>
        </w:rPr>
        <w:t>、授权代表社保证明（复印件）</w:t>
      </w:r>
    </w:p>
    <w:p w14:paraId="27174910">
      <w:pPr>
        <w:shd w:val="clear"/>
        <w:spacing w:line="800" w:lineRule="exact"/>
        <w:ind w:firstLine="480" w:firstLineChars="200"/>
        <w:rPr>
          <w:rFonts w:hint="eastAsia" w:ascii="宋体" w:hAnsi="宋体" w:eastAsia="宋体" w:cs="宋体"/>
          <w:color w:val="auto"/>
          <w:sz w:val="24"/>
          <w:highlight w:val="none"/>
          <w:u w:val="wave"/>
        </w:rPr>
      </w:pPr>
      <w:r>
        <w:rPr>
          <w:rFonts w:hint="eastAsia" w:ascii="宋体" w:hAnsi="宋体" w:eastAsia="宋体" w:cs="宋体"/>
          <w:color w:val="auto"/>
          <w:sz w:val="24"/>
          <w:highlight w:val="none"/>
          <w:u w:val="wave"/>
        </w:rPr>
        <w:t>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格式自拟。</w:t>
      </w:r>
    </w:p>
    <w:p w14:paraId="363540A2">
      <w:pPr>
        <w:shd w:val="clear"/>
        <w:rPr>
          <w:rFonts w:hint="eastAsia" w:ascii="宋体" w:hAnsi="宋体" w:eastAsia="宋体" w:cs="宋体"/>
          <w:color w:val="auto"/>
          <w:highlight w:val="none"/>
        </w:rPr>
      </w:pPr>
    </w:p>
    <w:p w14:paraId="52B20D54">
      <w:pPr>
        <w:shd w:val="clear"/>
        <w:spacing w:line="800" w:lineRule="exact"/>
        <w:rPr>
          <w:rFonts w:hint="eastAsia" w:ascii="宋体" w:hAnsi="宋体" w:eastAsia="宋体" w:cs="宋体"/>
          <w:b/>
          <w:color w:val="auto"/>
          <w:sz w:val="24"/>
          <w:highlight w:val="none"/>
        </w:rPr>
      </w:pPr>
    </w:p>
    <w:p w14:paraId="1A53624D">
      <w:pPr>
        <w:shd w:val="clear"/>
        <w:spacing w:line="800" w:lineRule="exact"/>
        <w:rPr>
          <w:rFonts w:hint="eastAsia" w:ascii="宋体" w:hAnsi="宋体" w:eastAsia="宋体" w:cs="宋体"/>
          <w:b/>
          <w:color w:val="auto"/>
          <w:sz w:val="24"/>
          <w:highlight w:val="none"/>
        </w:rPr>
      </w:pPr>
    </w:p>
    <w:p w14:paraId="4C7B0805">
      <w:pPr>
        <w:shd w:val="clear"/>
        <w:spacing w:line="800" w:lineRule="exact"/>
        <w:jc w:val="center"/>
        <w:rPr>
          <w:rFonts w:hint="eastAsia" w:ascii="宋体" w:hAnsi="宋体" w:eastAsia="宋体" w:cs="宋体"/>
          <w:b/>
          <w:color w:val="auto"/>
          <w:sz w:val="30"/>
          <w:szCs w:val="30"/>
          <w:highlight w:val="none"/>
        </w:rPr>
      </w:pPr>
    </w:p>
    <w:p w14:paraId="699EEE44">
      <w:pPr>
        <w:shd w:val="clear"/>
        <w:spacing w:line="800" w:lineRule="exact"/>
        <w:jc w:val="center"/>
        <w:rPr>
          <w:rFonts w:hint="eastAsia" w:ascii="宋体" w:hAnsi="宋体" w:eastAsia="宋体" w:cs="宋体"/>
          <w:b/>
          <w:color w:val="auto"/>
          <w:sz w:val="30"/>
          <w:szCs w:val="30"/>
          <w:highlight w:val="none"/>
        </w:rPr>
      </w:pPr>
    </w:p>
    <w:p w14:paraId="7600DA3B">
      <w:pPr>
        <w:pStyle w:val="63"/>
        <w:shd w:val="clear"/>
        <w:rPr>
          <w:rFonts w:hint="eastAsia" w:ascii="宋体" w:hAnsi="宋体" w:eastAsia="宋体" w:cs="宋体"/>
          <w:b/>
          <w:color w:val="auto"/>
          <w:sz w:val="30"/>
          <w:szCs w:val="30"/>
          <w:highlight w:val="none"/>
        </w:rPr>
      </w:pPr>
    </w:p>
    <w:p w14:paraId="2F306774">
      <w:pPr>
        <w:shd w:val="clear"/>
        <w:rPr>
          <w:rFonts w:hint="eastAsia" w:ascii="宋体" w:hAnsi="宋体" w:eastAsia="宋体" w:cs="宋体"/>
          <w:b/>
          <w:color w:val="auto"/>
          <w:sz w:val="30"/>
          <w:szCs w:val="30"/>
          <w:highlight w:val="none"/>
        </w:rPr>
      </w:pPr>
    </w:p>
    <w:p w14:paraId="643FDE5A">
      <w:pPr>
        <w:pStyle w:val="63"/>
        <w:shd w:val="clear"/>
        <w:rPr>
          <w:rFonts w:hint="eastAsia" w:ascii="宋体" w:hAnsi="宋体" w:eastAsia="宋体" w:cs="宋体"/>
          <w:b/>
          <w:color w:val="auto"/>
          <w:sz w:val="30"/>
          <w:szCs w:val="30"/>
          <w:highlight w:val="none"/>
        </w:rPr>
      </w:pPr>
    </w:p>
    <w:p w14:paraId="3D338C1F">
      <w:pPr>
        <w:shd w:val="clear"/>
        <w:rPr>
          <w:rFonts w:hint="eastAsia" w:ascii="宋体" w:hAnsi="宋体" w:eastAsia="宋体" w:cs="宋体"/>
          <w:b/>
          <w:color w:val="auto"/>
          <w:sz w:val="30"/>
          <w:szCs w:val="30"/>
          <w:highlight w:val="none"/>
        </w:rPr>
      </w:pPr>
    </w:p>
    <w:p w14:paraId="1ECA031F">
      <w:pPr>
        <w:pStyle w:val="63"/>
        <w:shd w:val="clear"/>
        <w:rPr>
          <w:rFonts w:hint="eastAsia" w:ascii="宋体" w:hAnsi="宋体" w:eastAsia="宋体" w:cs="宋体"/>
          <w:b/>
          <w:color w:val="auto"/>
          <w:sz w:val="30"/>
          <w:szCs w:val="30"/>
          <w:highlight w:val="none"/>
        </w:rPr>
      </w:pPr>
    </w:p>
    <w:p w14:paraId="4B75D432">
      <w:pPr>
        <w:shd w:val="clear"/>
        <w:rPr>
          <w:rFonts w:hint="eastAsia" w:ascii="宋体" w:hAnsi="宋体" w:eastAsia="宋体" w:cs="宋体"/>
          <w:b/>
          <w:color w:val="auto"/>
          <w:sz w:val="30"/>
          <w:szCs w:val="30"/>
          <w:highlight w:val="none"/>
        </w:rPr>
      </w:pPr>
    </w:p>
    <w:p w14:paraId="343C4F69">
      <w:pPr>
        <w:pStyle w:val="63"/>
        <w:shd w:val="clear"/>
        <w:rPr>
          <w:rFonts w:hint="eastAsia" w:ascii="宋体" w:hAnsi="宋体" w:eastAsia="宋体" w:cs="宋体"/>
          <w:b/>
          <w:color w:val="auto"/>
          <w:sz w:val="30"/>
          <w:szCs w:val="30"/>
          <w:highlight w:val="none"/>
        </w:rPr>
      </w:pPr>
    </w:p>
    <w:p w14:paraId="4C0D5629">
      <w:pPr>
        <w:shd w:val="clear"/>
        <w:rPr>
          <w:rFonts w:hint="eastAsia" w:ascii="宋体" w:hAnsi="宋体" w:eastAsia="宋体" w:cs="宋体"/>
          <w:b/>
          <w:color w:val="auto"/>
          <w:sz w:val="30"/>
          <w:szCs w:val="30"/>
          <w:highlight w:val="none"/>
        </w:rPr>
      </w:pPr>
    </w:p>
    <w:p w14:paraId="3180ECA6">
      <w:pPr>
        <w:pStyle w:val="63"/>
        <w:shd w:val="clear"/>
        <w:rPr>
          <w:rFonts w:hint="eastAsia" w:ascii="宋体" w:hAnsi="宋体" w:eastAsia="宋体" w:cs="宋体"/>
          <w:b/>
          <w:color w:val="auto"/>
          <w:sz w:val="30"/>
          <w:szCs w:val="30"/>
          <w:highlight w:val="none"/>
        </w:rPr>
      </w:pPr>
    </w:p>
    <w:p w14:paraId="72776D47">
      <w:pPr>
        <w:shd w:val="clear"/>
        <w:rPr>
          <w:rFonts w:hint="eastAsia" w:ascii="宋体" w:hAnsi="宋体" w:eastAsia="宋体" w:cs="宋体"/>
          <w:b/>
          <w:color w:val="auto"/>
          <w:sz w:val="30"/>
          <w:szCs w:val="30"/>
          <w:highlight w:val="none"/>
        </w:rPr>
      </w:pPr>
    </w:p>
    <w:p w14:paraId="6B73D796">
      <w:pPr>
        <w:pStyle w:val="63"/>
        <w:shd w:val="clear"/>
        <w:rPr>
          <w:rFonts w:hint="eastAsia" w:ascii="宋体" w:hAnsi="宋体" w:eastAsia="宋体" w:cs="宋体"/>
          <w:b/>
          <w:color w:val="auto"/>
          <w:sz w:val="30"/>
          <w:szCs w:val="30"/>
          <w:highlight w:val="none"/>
        </w:rPr>
      </w:pPr>
    </w:p>
    <w:p w14:paraId="27115BFE">
      <w:pPr>
        <w:shd w:val="clear"/>
        <w:rPr>
          <w:rFonts w:hint="eastAsia" w:ascii="宋体" w:hAnsi="宋体" w:eastAsia="宋体" w:cs="宋体"/>
          <w:b/>
          <w:color w:val="auto"/>
          <w:sz w:val="30"/>
          <w:szCs w:val="30"/>
          <w:highlight w:val="none"/>
        </w:rPr>
      </w:pPr>
    </w:p>
    <w:p w14:paraId="453E871F">
      <w:pPr>
        <w:pStyle w:val="63"/>
        <w:shd w:val="clear"/>
        <w:ind w:left="0" w:leftChars="0" w:firstLine="0" w:firstLineChars="0"/>
        <w:rPr>
          <w:rFonts w:hint="eastAsia" w:ascii="宋体" w:hAnsi="宋体" w:eastAsia="宋体" w:cs="宋体"/>
          <w:b/>
          <w:color w:val="auto"/>
          <w:sz w:val="30"/>
          <w:szCs w:val="30"/>
          <w:highlight w:val="none"/>
        </w:rPr>
      </w:pPr>
    </w:p>
    <w:p w14:paraId="35AF6023">
      <w:pPr>
        <w:shd w:val="clear"/>
        <w:rPr>
          <w:rFonts w:hint="eastAsia" w:ascii="宋体" w:hAnsi="宋体" w:eastAsia="宋体" w:cs="宋体"/>
          <w:color w:val="auto"/>
          <w:highlight w:val="none"/>
        </w:rPr>
      </w:pPr>
    </w:p>
    <w:p w14:paraId="450FA054">
      <w:pPr>
        <w:shd w:val="clear"/>
        <w:spacing w:line="8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六、法定代表人身份证明书(格式)</w:t>
      </w:r>
    </w:p>
    <w:p w14:paraId="1902A220">
      <w:pPr>
        <w:shd w:val="clea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53FCAA61">
      <w:pPr>
        <w:shd w:val="clea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4CC69DE5">
      <w:pPr>
        <w:shd w:val="clear"/>
        <w:spacing w:line="440" w:lineRule="exact"/>
        <w:ind w:right="281" w:rightChars="134"/>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p>
    <w:p w14:paraId="0394C232">
      <w:pPr>
        <w:shd w:val="clear"/>
        <w:spacing w:line="440" w:lineRule="exact"/>
        <w:ind w:right="281" w:rightChars="134"/>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58026407">
      <w:pPr>
        <w:shd w:val="clear"/>
        <w:spacing w:line="440" w:lineRule="exact"/>
        <w:ind w:right="281" w:rightChars="134"/>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003BDC45">
      <w:pPr>
        <w:shd w:val="clea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（填写投标人名称）</w:t>
      </w:r>
      <w:r>
        <w:rPr>
          <w:rFonts w:hint="eastAsia" w:ascii="宋体" w:hAnsi="宋体" w:eastAsia="宋体" w:cs="宋体"/>
          <w:color w:val="auto"/>
          <w:sz w:val="24"/>
          <w:highlight w:val="none"/>
        </w:rPr>
        <w:t>的法定代表人。</w:t>
      </w:r>
    </w:p>
    <w:p w14:paraId="2025BC27">
      <w:pPr>
        <w:shd w:val="clea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4EC390D">
      <w:pPr>
        <w:shd w:val="clear"/>
        <w:spacing w:line="440" w:lineRule="exact"/>
        <w:rPr>
          <w:rFonts w:hint="eastAsia" w:ascii="宋体" w:hAnsi="宋体" w:eastAsia="宋体" w:cs="宋体"/>
          <w:color w:val="auto"/>
          <w:sz w:val="24"/>
          <w:highlight w:val="none"/>
        </w:rPr>
      </w:pPr>
    </w:p>
    <w:p w14:paraId="689B68A9">
      <w:pPr>
        <w:shd w:val="clea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                             （电子签章）</w:t>
      </w:r>
    </w:p>
    <w:p w14:paraId="4E3DECE8">
      <w:pPr>
        <w:shd w:val="clear"/>
        <w:spacing w:line="440" w:lineRule="exact"/>
        <w:ind w:right="480"/>
        <w:rPr>
          <w:rFonts w:hint="eastAsia" w:ascii="宋体" w:hAnsi="宋体" w:eastAsia="宋体" w:cs="宋体"/>
          <w:color w:val="auto"/>
          <w:sz w:val="24"/>
          <w:highlight w:val="none"/>
        </w:rPr>
      </w:pPr>
    </w:p>
    <w:p w14:paraId="420C3E01">
      <w:pPr>
        <w:shd w:val="clear"/>
        <w:spacing w:line="440" w:lineRule="exact"/>
        <w:ind w:right="72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38C0314">
      <w:pPr>
        <w:shd w:val="clear"/>
        <w:jc w:val="center"/>
        <w:rPr>
          <w:rFonts w:hint="eastAsia" w:ascii="宋体" w:hAnsi="宋体" w:eastAsia="宋体" w:cs="宋体"/>
          <w:b/>
          <w:color w:val="auto"/>
          <w:kern w:val="0"/>
          <w:sz w:val="32"/>
          <w:szCs w:val="32"/>
          <w:highlight w:val="none"/>
        </w:rPr>
      </w:pPr>
    </w:p>
    <w:p w14:paraId="7CE52564">
      <w:pPr>
        <w:shd w:val="clear"/>
        <w:jc w:val="center"/>
        <w:rPr>
          <w:rFonts w:hint="eastAsia" w:ascii="宋体" w:hAnsi="宋体" w:eastAsia="宋体" w:cs="宋体"/>
          <w:b/>
          <w:color w:val="auto"/>
          <w:kern w:val="0"/>
          <w:sz w:val="32"/>
          <w:szCs w:val="32"/>
          <w:highlight w:val="none"/>
        </w:rPr>
      </w:pPr>
    </w:p>
    <w:p w14:paraId="7084CADC">
      <w:pPr>
        <w:shd w:val="clear"/>
        <w:rPr>
          <w:rFonts w:hint="eastAsia" w:ascii="宋体" w:hAnsi="宋体" w:eastAsia="宋体" w:cs="宋体"/>
          <w:b/>
          <w:color w:val="auto"/>
          <w:kern w:val="0"/>
          <w:sz w:val="32"/>
          <w:szCs w:val="32"/>
          <w:highlight w:val="none"/>
        </w:rPr>
      </w:pPr>
    </w:p>
    <w:p w14:paraId="1307EFD8">
      <w:pPr>
        <w:shd w:val="clear"/>
        <w:jc w:val="center"/>
        <w:rPr>
          <w:rFonts w:hint="eastAsia" w:ascii="宋体" w:hAnsi="宋体" w:eastAsia="宋体" w:cs="宋体"/>
          <w:b/>
          <w:color w:val="auto"/>
          <w:kern w:val="0"/>
          <w:sz w:val="32"/>
          <w:szCs w:val="32"/>
          <w:highlight w:val="none"/>
        </w:rPr>
      </w:pPr>
    </w:p>
    <w:p w14:paraId="4175DC08">
      <w:pPr>
        <w:shd w:val="clear"/>
        <w:jc w:val="center"/>
        <w:rPr>
          <w:rFonts w:hint="eastAsia" w:ascii="宋体" w:hAnsi="宋体" w:eastAsia="宋体" w:cs="宋体"/>
          <w:b/>
          <w:color w:val="auto"/>
          <w:kern w:val="0"/>
          <w:sz w:val="32"/>
          <w:szCs w:val="32"/>
          <w:highlight w:val="none"/>
        </w:rPr>
      </w:pPr>
    </w:p>
    <w:p w14:paraId="745DCB61">
      <w:pPr>
        <w:shd w:val="clear"/>
        <w:jc w:val="center"/>
        <w:rPr>
          <w:rFonts w:hint="eastAsia" w:ascii="宋体" w:hAnsi="宋体" w:eastAsia="宋体" w:cs="宋体"/>
          <w:b/>
          <w:color w:val="auto"/>
          <w:kern w:val="0"/>
          <w:sz w:val="32"/>
          <w:szCs w:val="32"/>
          <w:highlight w:val="none"/>
        </w:rPr>
      </w:pPr>
    </w:p>
    <w:p w14:paraId="5FF86F26">
      <w:pPr>
        <w:shd w:val="clear"/>
        <w:jc w:val="center"/>
        <w:rPr>
          <w:rFonts w:hint="eastAsia" w:ascii="宋体" w:hAnsi="宋体" w:eastAsia="宋体" w:cs="宋体"/>
          <w:b/>
          <w:color w:val="auto"/>
          <w:kern w:val="0"/>
          <w:sz w:val="32"/>
          <w:szCs w:val="32"/>
          <w:highlight w:val="none"/>
        </w:rPr>
      </w:pPr>
    </w:p>
    <w:p w14:paraId="2BA4D5DB">
      <w:pPr>
        <w:shd w:val="clear"/>
        <w:jc w:val="center"/>
        <w:rPr>
          <w:rFonts w:hint="eastAsia" w:ascii="宋体" w:hAnsi="宋体" w:eastAsia="宋体" w:cs="宋体"/>
          <w:b/>
          <w:color w:val="auto"/>
          <w:kern w:val="0"/>
          <w:sz w:val="32"/>
          <w:szCs w:val="32"/>
          <w:highlight w:val="none"/>
        </w:rPr>
      </w:pPr>
    </w:p>
    <w:p w14:paraId="00404F71">
      <w:pPr>
        <w:shd w:val="clear"/>
        <w:jc w:val="center"/>
        <w:rPr>
          <w:rFonts w:hint="eastAsia" w:ascii="宋体" w:hAnsi="宋体" w:eastAsia="宋体" w:cs="宋体"/>
          <w:b/>
          <w:color w:val="auto"/>
          <w:kern w:val="0"/>
          <w:sz w:val="32"/>
          <w:szCs w:val="32"/>
          <w:highlight w:val="none"/>
        </w:rPr>
      </w:pPr>
    </w:p>
    <w:p w14:paraId="65124065">
      <w:pPr>
        <w:shd w:val="clear"/>
        <w:jc w:val="center"/>
        <w:rPr>
          <w:rFonts w:hint="eastAsia" w:ascii="宋体" w:hAnsi="宋体" w:eastAsia="宋体" w:cs="宋体"/>
          <w:b/>
          <w:color w:val="auto"/>
          <w:kern w:val="0"/>
          <w:sz w:val="32"/>
          <w:szCs w:val="32"/>
          <w:highlight w:val="none"/>
        </w:rPr>
      </w:pPr>
    </w:p>
    <w:p w14:paraId="47F703D5">
      <w:pPr>
        <w:shd w:val="clea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57BD0382">
      <w:pPr>
        <w:shd w:val="clear"/>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rPr>
        <w:t>七、</w:t>
      </w:r>
      <w:r>
        <w:rPr>
          <w:rFonts w:hint="eastAsia" w:ascii="宋体" w:hAnsi="宋体" w:eastAsia="宋体" w:cs="宋体"/>
          <w:b/>
          <w:bCs/>
          <w:color w:val="auto"/>
          <w:sz w:val="30"/>
          <w:szCs w:val="30"/>
          <w:highlight w:val="none"/>
          <w:lang w:val="zh-CN"/>
        </w:rPr>
        <w:t>商务资信响应表</w:t>
      </w:r>
    </w:p>
    <w:p w14:paraId="6ED4CC04">
      <w:pPr>
        <w:shd w:val="clea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根据采购需求及采购文件要求编制）</w:t>
      </w:r>
    </w:p>
    <w:tbl>
      <w:tblPr>
        <w:tblStyle w:val="64"/>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14:paraId="47F288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vAlign w:val="center"/>
          </w:tcPr>
          <w:p w14:paraId="3B88AFDA">
            <w:pPr>
              <w:shd w:val="clear"/>
              <w:adjustRightInd/>
              <w:snapToGrid w:val="0"/>
              <w:spacing w:line="44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序号</w:t>
            </w:r>
          </w:p>
        </w:tc>
        <w:tc>
          <w:tcPr>
            <w:tcW w:w="3262" w:type="dxa"/>
            <w:tcBorders>
              <w:top w:val="single" w:color="auto" w:sz="4" w:space="0"/>
              <w:left w:val="single" w:color="auto" w:sz="4" w:space="0"/>
              <w:bottom w:val="single" w:color="auto" w:sz="4" w:space="0"/>
              <w:right w:val="single" w:color="auto" w:sz="4" w:space="0"/>
            </w:tcBorders>
            <w:vAlign w:val="center"/>
          </w:tcPr>
          <w:p w14:paraId="3BAB0B8A">
            <w:pPr>
              <w:shd w:val="clear"/>
              <w:adjustRightInd/>
              <w:snapToGrid w:val="0"/>
              <w:spacing w:line="44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采购文件要求</w:t>
            </w:r>
          </w:p>
        </w:tc>
        <w:tc>
          <w:tcPr>
            <w:tcW w:w="2399" w:type="dxa"/>
            <w:tcBorders>
              <w:top w:val="single" w:color="auto" w:sz="4" w:space="0"/>
              <w:left w:val="single" w:color="auto" w:sz="4" w:space="0"/>
              <w:bottom w:val="single" w:color="auto" w:sz="4" w:space="0"/>
              <w:right w:val="single" w:color="auto" w:sz="4" w:space="0"/>
            </w:tcBorders>
            <w:vAlign w:val="center"/>
          </w:tcPr>
          <w:p w14:paraId="1A7477C0">
            <w:pPr>
              <w:shd w:val="clear"/>
              <w:adjustRightInd/>
              <w:snapToGrid w:val="0"/>
              <w:spacing w:line="44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是否响应</w:t>
            </w:r>
          </w:p>
        </w:tc>
        <w:tc>
          <w:tcPr>
            <w:tcW w:w="2589" w:type="dxa"/>
            <w:tcBorders>
              <w:top w:val="single" w:color="auto" w:sz="4" w:space="0"/>
              <w:left w:val="single" w:color="auto" w:sz="4" w:space="0"/>
              <w:bottom w:val="single" w:color="auto" w:sz="4" w:space="0"/>
              <w:right w:val="single" w:color="auto" w:sz="4" w:space="0"/>
            </w:tcBorders>
            <w:vAlign w:val="center"/>
          </w:tcPr>
          <w:p w14:paraId="2909217D">
            <w:pPr>
              <w:shd w:val="clear"/>
              <w:adjustRightInd/>
              <w:snapToGrid w:val="0"/>
              <w:spacing w:line="44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供应商的承诺或说明</w:t>
            </w:r>
          </w:p>
        </w:tc>
      </w:tr>
      <w:tr w14:paraId="4194117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vAlign w:val="center"/>
          </w:tcPr>
          <w:p w14:paraId="7B2A44AB">
            <w:pPr>
              <w:shd w:val="clear"/>
              <w:spacing w:line="340" w:lineRule="exact"/>
              <w:jc w:val="center"/>
              <w:rPr>
                <w:rFonts w:hint="eastAsia" w:ascii="宋体" w:hAnsi="宋体" w:eastAsia="宋体" w:cs="宋体"/>
                <w:color w:val="auto"/>
                <w:sz w:val="24"/>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14:paraId="64F1E4B9">
            <w:pPr>
              <w:shd w:val="clear"/>
              <w:snapToGrid w:val="0"/>
              <w:spacing w:before="120" w:beforeLines="50" w:line="360" w:lineRule="auto"/>
              <w:jc w:val="center"/>
              <w:rPr>
                <w:rFonts w:hint="eastAsia" w:ascii="宋体" w:hAnsi="宋体" w:eastAsia="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14:paraId="0DD85EAC">
            <w:pPr>
              <w:shd w:val="clear"/>
              <w:snapToGrid w:val="0"/>
              <w:spacing w:before="120" w:beforeLines="50" w:line="360" w:lineRule="auto"/>
              <w:ind w:left="43"/>
              <w:jc w:val="center"/>
              <w:rPr>
                <w:rFonts w:hint="eastAsia" w:ascii="宋体" w:hAnsi="宋体" w:eastAsia="宋体" w:cs="宋体"/>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7272D936">
            <w:pPr>
              <w:shd w:val="clear"/>
              <w:snapToGrid w:val="0"/>
              <w:spacing w:before="120" w:beforeLines="50" w:line="360" w:lineRule="auto"/>
              <w:ind w:left="43"/>
              <w:jc w:val="center"/>
              <w:rPr>
                <w:rFonts w:hint="eastAsia" w:ascii="宋体" w:hAnsi="宋体" w:eastAsia="宋体" w:cs="宋体"/>
                <w:color w:val="auto"/>
                <w:sz w:val="24"/>
                <w:highlight w:val="none"/>
              </w:rPr>
            </w:pPr>
          </w:p>
        </w:tc>
      </w:tr>
      <w:tr w14:paraId="28C9C7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vAlign w:val="center"/>
          </w:tcPr>
          <w:p w14:paraId="41355830">
            <w:pPr>
              <w:shd w:val="clear"/>
              <w:spacing w:line="340" w:lineRule="exact"/>
              <w:jc w:val="center"/>
              <w:rPr>
                <w:rFonts w:hint="eastAsia" w:ascii="宋体" w:hAnsi="宋体" w:eastAsia="宋体" w:cs="宋体"/>
                <w:color w:val="auto"/>
                <w:sz w:val="24"/>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14:paraId="36142E3F">
            <w:pPr>
              <w:shd w:val="clear"/>
              <w:snapToGrid w:val="0"/>
              <w:spacing w:before="120" w:beforeLines="50" w:line="360" w:lineRule="auto"/>
              <w:jc w:val="center"/>
              <w:rPr>
                <w:rFonts w:hint="eastAsia" w:ascii="宋体" w:hAnsi="宋体" w:eastAsia="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14:paraId="1DC7EEDA">
            <w:pPr>
              <w:shd w:val="clear"/>
              <w:snapToGrid w:val="0"/>
              <w:spacing w:before="120" w:beforeLines="50" w:line="360" w:lineRule="auto"/>
              <w:jc w:val="center"/>
              <w:rPr>
                <w:rFonts w:hint="eastAsia" w:ascii="宋体" w:hAnsi="宋体" w:eastAsia="宋体" w:cs="宋体"/>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29D83F5D">
            <w:pPr>
              <w:shd w:val="clear"/>
              <w:snapToGrid w:val="0"/>
              <w:spacing w:before="120" w:beforeLines="50" w:line="360" w:lineRule="auto"/>
              <w:jc w:val="center"/>
              <w:rPr>
                <w:rFonts w:hint="eastAsia" w:ascii="宋体" w:hAnsi="宋体" w:eastAsia="宋体" w:cs="宋体"/>
                <w:color w:val="auto"/>
                <w:sz w:val="24"/>
                <w:highlight w:val="none"/>
              </w:rPr>
            </w:pPr>
          </w:p>
        </w:tc>
      </w:tr>
      <w:tr w14:paraId="50EA4F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14:paraId="0D5F133D">
            <w:pPr>
              <w:shd w:val="clear"/>
              <w:spacing w:line="340" w:lineRule="exact"/>
              <w:jc w:val="center"/>
              <w:rPr>
                <w:rFonts w:hint="eastAsia" w:ascii="宋体" w:hAnsi="宋体" w:eastAsia="宋体" w:cs="宋体"/>
                <w:color w:val="auto"/>
                <w:sz w:val="24"/>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14:paraId="1145F947">
            <w:pPr>
              <w:shd w:val="clear"/>
              <w:snapToGrid w:val="0"/>
              <w:spacing w:before="120" w:beforeLines="50" w:line="360" w:lineRule="auto"/>
              <w:jc w:val="center"/>
              <w:rPr>
                <w:rFonts w:hint="eastAsia" w:ascii="宋体" w:hAnsi="宋体" w:eastAsia="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14:paraId="2BBD353D">
            <w:pPr>
              <w:shd w:val="clear"/>
              <w:snapToGrid w:val="0"/>
              <w:spacing w:before="120" w:beforeLines="50" w:line="360" w:lineRule="auto"/>
              <w:jc w:val="center"/>
              <w:rPr>
                <w:rFonts w:hint="eastAsia" w:ascii="宋体" w:hAnsi="宋体" w:eastAsia="宋体" w:cs="宋体"/>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0CD474E6">
            <w:pPr>
              <w:shd w:val="clear"/>
              <w:snapToGrid w:val="0"/>
              <w:spacing w:before="120" w:beforeLines="50" w:line="360" w:lineRule="auto"/>
              <w:jc w:val="center"/>
              <w:rPr>
                <w:rFonts w:hint="eastAsia" w:ascii="宋体" w:hAnsi="宋体" w:eastAsia="宋体" w:cs="宋体"/>
                <w:color w:val="auto"/>
                <w:sz w:val="24"/>
                <w:highlight w:val="none"/>
              </w:rPr>
            </w:pPr>
          </w:p>
        </w:tc>
      </w:tr>
      <w:tr w14:paraId="6DCF88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14:paraId="106C054B">
            <w:pPr>
              <w:shd w:val="clear"/>
              <w:snapToGrid w:val="0"/>
              <w:spacing w:before="120" w:beforeLines="50" w:line="360" w:lineRule="auto"/>
              <w:jc w:val="center"/>
              <w:rPr>
                <w:rFonts w:hint="eastAsia" w:ascii="宋体" w:hAnsi="宋体" w:eastAsia="宋体" w:cs="宋体"/>
                <w:color w:val="auto"/>
                <w:sz w:val="24"/>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14:paraId="6D183D14">
            <w:pPr>
              <w:shd w:val="clear"/>
              <w:snapToGrid w:val="0"/>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399" w:type="dxa"/>
            <w:tcBorders>
              <w:top w:val="single" w:color="auto" w:sz="4" w:space="0"/>
              <w:left w:val="single" w:color="auto" w:sz="4" w:space="0"/>
              <w:bottom w:val="single" w:color="auto" w:sz="4" w:space="0"/>
              <w:right w:val="single" w:color="auto" w:sz="4" w:space="0"/>
            </w:tcBorders>
            <w:vAlign w:val="center"/>
          </w:tcPr>
          <w:p w14:paraId="58743260">
            <w:pPr>
              <w:shd w:val="clear"/>
              <w:snapToGrid w:val="0"/>
              <w:spacing w:before="120" w:beforeLines="50" w:line="360" w:lineRule="auto"/>
              <w:jc w:val="center"/>
              <w:rPr>
                <w:rFonts w:hint="eastAsia" w:ascii="宋体" w:hAnsi="宋体" w:eastAsia="宋体" w:cs="宋体"/>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1B4A857A">
            <w:pPr>
              <w:shd w:val="clear"/>
              <w:snapToGrid w:val="0"/>
              <w:spacing w:before="120" w:beforeLines="50" w:line="360" w:lineRule="auto"/>
              <w:jc w:val="center"/>
              <w:rPr>
                <w:rFonts w:hint="eastAsia" w:ascii="宋体" w:hAnsi="宋体" w:eastAsia="宋体" w:cs="宋体"/>
                <w:color w:val="auto"/>
                <w:sz w:val="24"/>
                <w:highlight w:val="none"/>
              </w:rPr>
            </w:pPr>
          </w:p>
        </w:tc>
      </w:tr>
    </w:tbl>
    <w:p w14:paraId="74DC397B">
      <w:pPr>
        <w:shd w:val="clear"/>
        <w:snapToGrid w:val="0"/>
        <w:spacing w:before="50" w:after="50" w:line="6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bidi="ar"/>
        </w:rPr>
        <w:t xml:space="preserve">                          </w:t>
      </w:r>
      <w:r>
        <w:rPr>
          <w:rFonts w:hint="eastAsia" w:ascii="宋体" w:hAnsi="宋体" w:eastAsia="宋体" w:cs="宋体"/>
          <w:color w:val="auto"/>
          <w:kern w:val="0"/>
          <w:sz w:val="24"/>
          <w:highlight w:val="none"/>
        </w:rPr>
        <w:t xml:space="preserve">                      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5C1852A6">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30F513E">
      <w:pPr>
        <w:pStyle w:val="25"/>
        <w:shd w:val="clear"/>
        <w:ind w:firstLine="482"/>
        <w:jc w:val="center"/>
        <w:rPr>
          <w:rFonts w:hint="eastAsia" w:ascii="宋体" w:hAnsi="宋体" w:eastAsia="宋体" w:cs="宋体"/>
          <w:b/>
          <w:bCs/>
          <w:color w:val="auto"/>
          <w:highlight w:val="none"/>
        </w:rPr>
      </w:pPr>
    </w:p>
    <w:p w14:paraId="62A7648F">
      <w:pPr>
        <w:pStyle w:val="25"/>
        <w:shd w:val="clear"/>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rPr>
        <w:t>八、技术响应偏离</w:t>
      </w:r>
      <w:r>
        <w:rPr>
          <w:rFonts w:hint="eastAsia" w:ascii="宋体" w:hAnsi="宋体" w:eastAsia="宋体" w:cs="宋体"/>
          <w:b/>
          <w:bCs/>
          <w:color w:val="auto"/>
          <w:sz w:val="30"/>
          <w:szCs w:val="30"/>
          <w:highlight w:val="none"/>
          <w:lang w:val="zh-CN"/>
        </w:rPr>
        <w:t>表</w:t>
      </w:r>
    </w:p>
    <w:p w14:paraId="4F7716A5">
      <w:pPr>
        <w:shd w:val="clear"/>
        <w:spacing w:line="360" w:lineRule="auto"/>
        <w:ind w:firstLine="240" w:firstLineChars="100"/>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根据采购需求及采购文件要求编制）</w:t>
      </w:r>
    </w:p>
    <w:tbl>
      <w:tblPr>
        <w:tblStyle w:val="64"/>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14:paraId="6575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8B76949">
            <w:pPr>
              <w:shd w:val="clear"/>
              <w:tabs>
                <w:tab w:val="left" w:pos="4905"/>
              </w:tabs>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274" w:type="dxa"/>
            <w:tcBorders>
              <w:top w:val="single" w:color="auto" w:sz="4" w:space="0"/>
              <w:left w:val="single" w:color="auto" w:sz="4" w:space="0"/>
              <w:bottom w:val="single" w:color="auto" w:sz="4" w:space="0"/>
              <w:right w:val="single" w:color="auto" w:sz="4" w:space="0"/>
            </w:tcBorders>
            <w:vAlign w:val="center"/>
          </w:tcPr>
          <w:p w14:paraId="0CD3BF3B">
            <w:pPr>
              <w:shd w:val="clear"/>
              <w:tabs>
                <w:tab w:val="left" w:pos="4905"/>
              </w:tabs>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采购文件要求</w:t>
            </w:r>
          </w:p>
        </w:tc>
        <w:tc>
          <w:tcPr>
            <w:tcW w:w="2388" w:type="dxa"/>
            <w:tcBorders>
              <w:top w:val="single" w:color="auto" w:sz="4" w:space="0"/>
              <w:left w:val="single" w:color="auto" w:sz="4" w:space="0"/>
              <w:bottom w:val="single" w:color="auto" w:sz="4" w:space="0"/>
              <w:right w:val="single" w:color="auto" w:sz="4" w:space="0"/>
            </w:tcBorders>
            <w:vAlign w:val="center"/>
          </w:tcPr>
          <w:p w14:paraId="75796C8D">
            <w:pPr>
              <w:shd w:val="clear"/>
              <w:tabs>
                <w:tab w:val="left" w:pos="4905"/>
              </w:tabs>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是否响应</w:t>
            </w:r>
          </w:p>
        </w:tc>
        <w:tc>
          <w:tcPr>
            <w:tcW w:w="2413" w:type="dxa"/>
            <w:tcBorders>
              <w:top w:val="single" w:color="auto" w:sz="4" w:space="0"/>
              <w:left w:val="single" w:color="auto" w:sz="4" w:space="0"/>
              <w:bottom w:val="single" w:color="auto" w:sz="4" w:space="0"/>
              <w:right w:val="single" w:color="auto" w:sz="4" w:space="0"/>
            </w:tcBorders>
            <w:vAlign w:val="center"/>
          </w:tcPr>
          <w:p w14:paraId="09759158">
            <w:pPr>
              <w:shd w:val="clear"/>
              <w:tabs>
                <w:tab w:val="left" w:pos="4905"/>
              </w:tabs>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r>
      <w:tr w14:paraId="7A87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2322D8D">
            <w:pPr>
              <w:shd w:val="clear"/>
              <w:tabs>
                <w:tab w:val="left" w:pos="4905"/>
              </w:tabs>
              <w:spacing w:line="400" w:lineRule="exact"/>
              <w:jc w:val="center"/>
              <w:rPr>
                <w:rFonts w:hint="eastAsia" w:ascii="宋体" w:hAnsi="宋体" w:eastAsia="宋体" w:cs="宋体"/>
                <w:color w:val="auto"/>
                <w:sz w:val="24"/>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14:paraId="17FC5DAC">
            <w:pPr>
              <w:shd w:val="clear"/>
              <w:tabs>
                <w:tab w:val="left" w:pos="4905"/>
              </w:tabs>
              <w:spacing w:line="400" w:lineRule="exact"/>
              <w:rPr>
                <w:rFonts w:hint="eastAsia" w:ascii="宋体" w:hAnsi="宋体" w:eastAsia="宋体" w:cs="宋体"/>
                <w:color w:val="auto"/>
                <w:sz w:val="24"/>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14:paraId="3F05BB95">
            <w:pPr>
              <w:shd w:val="clear"/>
              <w:tabs>
                <w:tab w:val="left" w:pos="4905"/>
              </w:tabs>
              <w:spacing w:line="400" w:lineRule="exact"/>
              <w:rPr>
                <w:rFonts w:hint="eastAsia" w:ascii="宋体" w:hAnsi="宋体" w:eastAsia="宋体" w:cs="宋体"/>
                <w:color w:val="auto"/>
                <w:sz w:val="24"/>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14:paraId="46C1179E">
            <w:pPr>
              <w:shd w:val="clear"/>
              <w:tabs>
                <w:tab w:val="left" w:pos="4905"/>
              </w:tabs>
              <w:spacing w:line="400" w:lineRule="exact"/>
              <w:jc w:val="center"/>
              <w:rPr>
                <w:rFonts w:hint="eastAsia" w:ascii="宋体" w:hAnsi="宋体" w:eastAsia="宋体" w:cs="宋体"/>
                <w:color w:val="auto"/>
                <w:sz w:val="24"/>
                <w:highlight w:val="none"/>
              </w:rPr>
            </w:pPr>
          </w:p>
        </w:tc>
      </w:tr>
      <w:tr w14:paraId="01ED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B6C8120">
            <w:pPr>
              <w:shd w:val="clear"/>
              <w:tabs>
                <w:tab w:val="left" w:pos="4905"/>
              </w:tabs>
              <w:spacing w:line="400" w:lineRule="exact"/>
              <w:jc w:val="center"/>
              <w:rPr>
                <w:rFonts w:hint="eastAsia" w:ascii="宋体" w:hAnsi="宋体" w:eastAsia="宋体" w:cs="宋体"/>
                <w:color w:val="auto"/>
                <w:sz w:val="24"/>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14:paraId="1BD11C5A">
            <w:pPr>
              <w:shd w:val="clear"/>
              <w:tabs>
                <w:tab w:val="left" w:pos="4905"/>
              </w:tabs>
              <w:spacing w:line="400" w:lineRule="exact"/>
              <w:rPr>
                <w:rFonts w:hint="eastAsia" w:ascii="宋体" w:hAnsi="宋体" w:eastAsia="宋体" w:cs="宋体"/>
                <w:color w:val="auto"/>
                <w:sz w:val="24"/>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14:paraId="06137E50">
            <w:pPr>
              <w:shd w:val="clear"/>
              <w:tabs>
                <w:tab w:val="left" w:pos="4905"/>
              </w:tabs>
              <w:spacing w:line="400" w:lineRule="exact"/>
              <w:rPr>
                <w:rFonts w:hint="eastAsia" w:ascii="宋体" w:hAnsi="宋体" w:eastAsia="宋体" w:cs="宋体"/>
                <w:color w:val="auto"/>
                <w:sz w:val="24"/>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14:paraId="11E6E24E">
            <w:pPr>
              <w:shd w:val="clear"/>
              <w:tabs>
                <w:tab w:val="left" w:pos="4905"/>
              </w:tabs>
              <w:spacing w:line="400" w:lineRule="exact"/>
              <w:jc w:val="center"/>
              <w:rPr>
                <w:rFonts w:hint="eastAsia" w:ascii="宋体" w:hAnsi="宋体" w:eastAsia="宋体" w:cs="宋体"/>
                <w:color w:val="auto"/>
                <w:sz w:val="24"/>
                <w:highlight w:val="none"/>
              </w:rPr>
            </w:pPr>
          </w:p>
        </w:tc>
      </w:tr>
      <w:tr w14:paraId="3F56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7AE321C">
            <w:pPr>
              <w:shd w:val="clear"/>
              <w:tabs>
                <w:tab w:val="left" w:pos="4905"/>
              </w:tabs>
              <w:spacing w:line="400" w:lineRule="exact"/>
              <w:jc w:val="center"/>
              <w:rPr>
                <w:rFonts w:hint="eastAsia" w:ascii="宋体" w:hAnsi="宋体" w:eastAsia="宋体" w:cs="宋体"/>
                <w:color w:val="auto"/>
                <w:sz w:val="24"/>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14:paraId="05608967">
            <w:pPr>
              <w:shd w:val="clear"/>
              <w:tabs>
                <w:tab w:val="left" w:pos="4905"/>
              </w:tabs>
              <w:spacing w:line="400" w:lineRule="exact"/>
              <w:rPr>
                <w:rFonts w:hint="eastAsia" w:ascii="宋体" w:hAnsi="宋体" w:eastAsia="宋体" w:cs="宋体"/>
                <w:color w:val="auto"/>
                <w:sz w:val="24"/>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14:paraId="487C0821">
            <w:pPr>
              <w:shd w:val="clear"/>
              <w:tabs>
                <w:tab w:val="left" w:pos="4905"/>
              </w:tabs>
              <w:spacing w:line="400" w:lineRule="exact"/>
              <w:rPr>
                <w:rFonts w:hint="eastAsia" w:ascii="宋体" w:hAnsi="宋体" w:eastAsia="宋体" w:cs="宋体"/>
                <w:color w:val="auto"/>
                <w:sz w:val="24"/>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14:paraId="56E93C87">
            <w:pPr>
              <w:shd w:val="clear"/>
              <w:tabs>
                <w:tab w:val="left" w:pos="4905"/>
              </w:tabs>
              <w:spacing w:line="400" w:lineRule="exact"/>
              <w:jc w:val="center"/>
              <w:rPr>
                <w:rFonts w:hint="eastAsia" w:ascii="宋体" w:hAnsi="宋体" w:eastAsia="宋体" w:cs="宋体"/>
                <w:color w:val="auto"/>
                <w:sz w:val="24"/>
                <w:highlight w:val="none"/>
              </w:rPr>
            </w:pPr>
          </w:p>
        </w:tc>
      </w:tr>
      <w:tr w14:paraId="590C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F6BA57D">
            <w:pPr>
              <w:shd w:val="clear"/>
              <w:tabs>
                <w:tab w:val="left" w:pos="4905"/>
              </w:tabs>
              <w:spacing w:line="400" w:lineRule="exact"/>
              <w:jc w:val="center"/>
              <w:rPr>
                <w:rFonts w:hint="eastAsia" w:ascii="宋体" w:hAnsi="宋体" w:eastAsia="宋体" w:cs="宋体"/>
                <w:color w:val="auto"/>
                <w:sz w:val="24"/>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14:paraId="78CA16C4">
            <w:pPr>
              <w:shd w:val="clear"/>
              <w:tabs>
                <w:tab w:val="left" w:pos="4905"/>
              </w:tabs>
              <w:spacing w:line="400" w:lineRule="exact"/>
              <w:rPr>
                <w:rFonts w:hint="eastAsia" w:ascii="宋体" w:hAnsi="宋体" w:eastAsia="宋体" w:cs="宋体"/>
                <w:color w:val="auto"/>
                <w:sz w:val="24"/>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14:paraId="52D3B345">
            <w:pPr>
              <w:shd w:val="clear"/>
              <w:tabs>
                <w:tab w:val="left" w:pos="4905"/>
              </w:tabs>
              <w:spacing w:line="400" w:lineRule="exact"/>
              <w:rPr>
                <w:rFonts w:hint="eastAsia" w:ascii="宋体" w:hAnsi="宋体" w:eastAsia="宋体" w:cs="宋体"/>
                <w:color w:val="auto"/>
                <w:sz w:val="24"/>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14:paraId="31D5AB42">
            <w:pPr>
              <w:shd w:val="clear"/>
              <w:tabs>
                <w:tab w:val="left" w:pos="4905"/>
              </w:tabs>
              <w:spacing w:line="400" w:lineRule="exact"/>
              <w:jc w:val="center"/>
              <w:rPr>
                <w:rFonts w:hint="eastAsia" w:ascii="宋体" w:hAnsi="宋体" w:eastAsia="宋体" w:cs="宋体"/>
                <w:color w:val="auto"/>
                <w:sz w:val="24"/>
                <w:highlight w:val="none"/>
              </w:rPr>
            </w:pPr>
          </w:p>
        </w:tc>
      </w:tr>
      <w:tr w14:paraId="3BEF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2C5C477">
            <w:pPr>
              <w:shd w:val="clear"/>
              <w:tabs>
                <w:tab w:val="left" w:pos="4905"/>
              </w:tabs>
              <w:spacing w:line="400" w:lineRule="exact"/>
              <w:jc w:val="center"/>
              <w:rPr>
                <w:rFonts w:hint="eastAsia" w:ascii="宋体" w:hAnsi="宋体" w:eastAsia="宋体" w:cs="宋体"/>
                <w:color w:val="auto"/>
                <w:sz w:val="24"/>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14:paraId="65BF385B">
            <w:pPr>
              <w:shd w:val="clear"/>
              <w:tabs>
                <w:tab w:val="left" w:pos="4905"/>
              </w:tabs>
              <w:spacing w:line="400" w:lineRule="exact"/>
              <w:rPr>
                <w:rFonts w:hint="eastAsia" w:ascii="宋体" w:hAnsi="宋体" w:eastAsia="宋体" w:cs="宋体"/>
                <w:color w:val="auto"/>
                <w:sz w:val="24"/>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14:paraId="4E8CC757">
            <w:pPr>
              <w:shd w:val="clear"/>
              <w:tabs>
                <w:tab w:val="left" w:pos="4905"/>
              </w:tabs>
              <w:spacing w:line="400" w:lineRule="exact"/>
              <w:rPr>
                <w:rFonts w:hint="eastAsia" w:ascii="宋体" w:hAnsi="宋体" w:eastAsia="宋体" w:cs="宋体"/>
                <w:color w:val="auto"/>
                <w:sz w:val="24"/>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14:paraId="136B6550">
            <w:pPr>
              <w:shd w:val="clear"/>
              <w:tabs>
                <w:tab w:val="left" w:pos="4905"/>
              </w:tabs>
              <w:spacing w:line="400" w:lineRule="exact"/>
              <w:jc w:val="center"/>
              <w:rPr>
                <w:rFonts w:hint="eastAsia" w:ascii="宋体" w:hAnsi="宋体" w:eastAsia="宋体" w:cs="宋体"/>
                <w:color w:val="auto"/>
                <w:sz w:val="24"/>
                <w:highlight w:val="none"/>
              </w:rPr>
            </w:pPr>
          </w:p>
        </w:tc>
      </w:tr>
    </w:tbl>
    <w:p w14:paraId="623E493C">
      <w:pPr>
        <w:shd w:val="clear"/>
        <w:tabs>
          <w:tab w:val="left" w:pos="570"/>
        </w:tabs>
        <w:spacing w:line="440" w:lineRule="exact"/>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注：1、此表须与</w:t>
      </w:r>
      <w:r>
        <w:rPr>
          <w:rFonts w:hint="eastAsia" w:ascii="宋体" w:hAnsi="宋体" w:eastAsia="宋体" w:cs="宋体"/>
          <w:color w:val="auto"/>
          <w:kern w:val="0"/>
          <w:sz w:val="24"/>
          <w:highlight w:val="none"/>
        </w:rPr>
        <w:t>采购文件“招标项目范围及要求”</w:t>
      </w:r>
      <w:r>
        <w:rPr>
          <w:rFonts w:hint="eastAsia" w:ascii="宋体" w:hAnsi="宋体" w:eastAsia="宋体" w:cs="宋体"/>
          <w:color w:val="auto"/>
          <w:sz w:val="24"/>
          <w:highlight w:val="none"/>
        </w:rPr>
        <w:t>相应标项内的所有技术要求相比较且一一对应真实逐条填列。</w:t>
      </w:r>
    </w:p>
    <w:p w14:paraId="036CC40B">
      <w:pPr>
        <w:shd w:val="clear"/>
        <w:tabs>
          <w:tab w:val="left" w:pos="570"/>
        </w:tabs>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递交的服务要求中必须真实逐条列明，否则由</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自行承担相关风险。</w:t>
      </w:r>
    </w:p>
    <w:p w14:paraId="3F0CE2FF">
      <w:pPr>
        <w:shd w:val="clear"/>
        <w:snapToGrid w:val="0"/>
        <w:spacing w:before="50" w:after="50" w:line="600" w:lineRule="exact"/>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bidi="ar"/>
        </w:rPr>
        <w:t xml:space="preserve">                 </w:t>
      </w: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E940AB5">
      <w:pPr>
        <w:shd w:val="clear"/>
        <w:snapToGrid w:val="0"/>
        <w:spacing w:before="50" w:after="50" w:line="600" w:lineRule="exact"/>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                                                         日期：  年  月   日</w:t>
      </w:r>
    </w:p>
    <w:p w14:paraId="5B391D40">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注：此表仅提供了表格形式，</w:t>
      </w:r>
      <w:r>
        <w:rPr>
          <w:rFonts w:hint="eastAsia" w:ascii="宋体" w:hAnsi="宋体" w:eastAsia="宋体" w:cs="宋体"/>
          <w:b/>
          <w:bCs/>
          <w:color w:val="auto"/>
          <w:sz w:val="24"/>
          <w:highlight w:val="none"/>
          <w:lang w:eastAsia="zh-CN"/>
        </w:rPr>
        <w:t>投标人</w:t>
      </w:r>
      <w:r>
        <w:rPr>
          <w:rFonts w:hint="eastAsia" w:ascii="宋体" w:hAnsi="宋体" w:eastAsia="宋体" w:cs="宋体"/>
          <w:b/>
          <w:bCs/>
          <w:color w:val="auto"/>
          <w:sz w:val="24"/>
          <w:highlight w:val="none"/>
        </w:rPr>
        <w:t>可按此表格格式进行扩展。</w:t>
      </w:r>
    </w:p>
    <w:p w14:paraId="2B49F46B">
      <w:pPr>
        <w:pStyle w:val="81"/>
        <w:shd w:val="clear"/>
        <w:jc w:val="center"/>
        <w:rPr>
          <w:rFonts w:hint="eastAsia" w:ascii="宋体" w:hAnsi="宋体" w:eastAsia="宋体" w:cs="宋体"/>
          <w:b/>
          <w:bCs/>
          <w:color w:val="auto"/>
          <w:highlight w:val="none"/>
        </w:rPr>
      </w:pPr>
    </w:p>
    <w:p w14:paraId="039123EE">
      <w:pPr>
        <w:shd w:val="clea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A7ECEC3">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九、</w:t>
      </w:r>
      <w:r>
        <w:rPr>
          <w:rFonts w:hint="eastAsia" w:ascii="宋体" w:hAnsi="宋体" w:eastAsia="宋体" w:cs="宋体"/>
          <w:b/>
          <w:color w:val="auto"/>
          <w:kern w:val="0"/>
          <w:sz w:val="32"/>
          <w:szCs w:val="32"/>
          <w:highlight w:val="none"/>
          <w:lang w:val="zh-CN"/>
        </w:rPr>
        <w:t>主要业绩证明</w:t>
      </w:r>
    </w:p>
    <w:p w14:paraId="34BA8BB7">
      <w:pPr>
        <w:shd w:val="clear"/>
        <w:autoSpaceDE w:val="0"/>
        <w:autoSpaceDN w:val="0"/>
        <w:spacing w:line="360" w:lineRule="auto"/>
        <w:ind w:firstLin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:相关业绩一览表</w:t>
      </w:r>
    </w:p>
    <w:tbl>
      <w:tblPr>
        <w:tblStyle w:val="64"/>
        <w:tblW w:w="8773" w:type="dxa"/>
        <w:tblInd w:w="108" w:type="dxa"/>
        <w:tblLayout w:type="fixed"/>
        <w:tblCellMar>
          <w:top w:w="0" w:type="dxa"/>
          <w:left w:w="108" w:type="dxa"/>
          <w:bottom w:w="0" w:type="dxa"/>
          <w:right w:w="108" w:type="dxa"/>
        </w:tblCellMar>
      </w:tblPr>
      <w:tblGrid>
        <w:gridCol w:w="1403"/>
        <w:gridCol w:w="819"/>
        <w:gridCol w:w="1223"/>
        <w:gridCol w:w="1259"/>
        <w:gridCol w:w="1002"/>
        <w:gridCol w:w="1489"/>
        <w:gridCol w:w="1578"/>
      </w:tblGrid>
      <w:tr w14:paraId="3D33E5EA">
        <w:tblPrEx>
          <w:tblCellMar>
            <w:top w:w="0" w:type="dxa"/>
            <w:left w:w="108" w:type="dxa"/>
            <w:bottom w:w="0" w:type="dxa"/>
            <w:right w:w="108" w:type="dxa"/>
          </w:tblCellMar>
        </w:tblPrEx>
        <w:trPr>
          <w:trHeight w:val="868" w:hRule="atLeast"/>
        </w:trPr>
        <w:tc>
          <w:tcPr>
            <w:tcW w:w="1403" w:type="dxa"/>
            <w:vMerge w:val="restart"/>
            <w:tcBorders>
              <w:top w:val="single" w:color="auto" w:sz="6" w:space="0"/>
              <w:left w:val="single" w:color="auto" w:sz="6" w:space="0"/>
              <w:right w:val="single" w:color="auto" w:sz="6" w:space="0"/>
            </w:tcBorders>
            <w:vAlign w:val="center"/>
          </w:tcPr>
          <w:p w14:paraId="4F2B0186">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819" w:type="dxa"/>
            <w:vMerge w:val="restart"/>
            <w:tcBorders>
              <w:top w:val="single" w:color="auto" w:sz="6" w:space="0"/>
              <w:left w:val="single" w:color="auto" w:sz="6" w:space="0"/>
              <w:right w:val="single" w:color="auto" w:sz="6" w:space="0"/>
            </w:tcBorders>
            <w:vAlign w:val="center"/>
          </w:tcPr>
          <w:p w14:paraId="059EAF49">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0ABDDD4C">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类型</w:t>
            </w:r>
          </w:p>
        </w:tc>
        <w:tc>
          <w:tcPr>
            <w:tcW w:w="1223" w:type="dxa"/>
            <w:vMerge w:val="restart"/>
            <w:tcBorders>
              <w:top w:val="single" w:color="auto" w:sz="6" w:space="0"/>
              <w:left w:val="single" w:color="auto" w:sz="6" w:space="0"/>
              <w:right w:val="single" w:color="auto" w:sz="6" w:space="0"/>
            </w:tcBorders>
            <w:vAlign w:val="center"/>
          </w:tcPr>
          <w:p w14:paraId="7959B72A">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简要描述</w:t>
            </w:r>
          </w:p>
        </w:tc>
        <w:tc>
          <w:tcPr>
            <w:tcW w:w="1259" w:type="dxa"/>
            <w:vMerge w:val="restart"/>
            <w:tcBorders>
              <w:top w:val="single" w:color="auto" w:sz="6" w:space="0"/>
              <w:left w:val="single" w:color="auto" w:sz="6" w:space="0"/>
              <w:right w:val="single" w:color="auto" w:sz="6" w:space="0"/>
            </w:tcBorders>
            <w:vAlign w:val="center"/>
          </w:tcPr>
          <w:p w14:paraId="3BA47EDB">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5417832F">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6EAE493F">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002" w:type="dxa"/>
            <w:vMerge w:val="restart"/>
            <w:tcBorders>
              <w:top w:val="single" w:color="auto" w:sz="6" w:space="0"/>
              <w:left w:val="single" w:color="auto" w:sz="6" w:space="0"/>
              <w:right w:val="single" w:color="auto" w:sz="6" w:space="0"/>
            </w:tcBorders>
            <w:vAlign w:val="center"/>
          </w:tcPr>
          <w:p w14:paraId="2F125461">
            <w:pPr>
              <w:shd w:val="clear"/>
              <w:autoSpaceDE w:val="0"/>
              <w:autoSpaceDN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合同签订日期</w:t>
            </w:r>
          </w:p>
        </w:tc>
        <w:tc>
          <w:tcPr>
            <w:tcW w:w="1489" w:type="dxa"/>
            <w:vMerge w:val="restart"/>
            <w:tcBorders>
              <w:top w:val="single" w:color="auto" w:sz="6" w:space="0"/>
              <w:left w:val="single" w:color="auto" w:sz="6" w:space="0"/>
              <w:right w:val="single" w:color="auto" w:sz="6" w:space="0"/>
            </w:tcBorders>
            <w:vAlign w:val="center"/>
          </w:tcPr>
          <w:p w14:paraId="1A0D6040">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项目地址与采购单位联系电话</w:t>
            </w:r>
          </w:p>
        </w:tc>
        <w:tc>
          <w:tcPr>
            <w:tcW w:w="1578" w:type="dxa"/>
            <w:tcBorders>
              <w:top w:val="single" w:color="auto" w:sz="6" w:space="0"/>
              <w:left w:val="single" w:color="auto" w:sz="6" w:space="0"/>
              <w:bottom w:val="single" w:color="auto" w:sz="6" w:space="0"/>
              <w:right w:val="single" w:color="auto" w:sz="6" w:space="0"/>
            </w:tcBorders>
            <w:vAlign w:val="center"/>
          </w:tcPr>
          <w:p w14:paraId="461CD386">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所在页码</w:t>
            </w:r>
          </w:p>
        </w:tc>
      </w:tr>
      <w:tr w14:paraId="50D9A2FC">
        <w:tblPrEx>
          <w:tblCellMar>
            <w:top w:w="0" w:type="dxa"/>
            <w:left w:w="108" w:type="dxa"/>
            <w:bottom w:w="0" w:type="dxa"/>
            <w:right w:w="108" w:type="dxa"/>
          </w:tblCellMar>
        </w:tblPrEx>
        <w:trPr>
          <w:trHeight w:val="478" w:hRule="atLeast"/>
        </w:trPr>
        <w:tc>
          <w:tcPr>
            <w:tcW w:w="1403" w:type="dxa"/>
            <w:vMerge w:val="continue"/>
            <w:tcBorders>
              <w:left w:val="single" w:color="auto" w:sz="6" w:space="0"/>
              <w:bottom w:val="single" w:color="auto" w:sz="6" w:space="0"/>
              <w:right w:val="single" w:color="auto" w:sz="6" w:space="0"/>
            </w:tcBorders>
          </w:tcPr>
          <w:p w14:paraId="4796D77B">
            <w:pPr>
              <w:shd w:val="clear"/>
              <w:autoSpaceDE w:val="0"/>
              <w:autoSpaceDN w:val="0"/>
              <w:spacing w:line="360" w:lineRule="auto"/>
              <w:rPr>
                <w:rFonts w:hint="eastAsia" w:ascii="宋体" w:hAnsi="宋体" w:eastAsia="宋体" w:cs="宋体"/>
                <w:color w:val="auto"/>
                <w:sz w:val="24"/>
                <w:highlight w:val="none"/>
              </w:rPr>
            </w:pPr>
          </w:p>
        </w:tc>
        <w:tc>
          <w:tcPr>
            <w:tcW w:w="819" w:type="dxa"/>
            <w:vMerge w:val="continue"/>
            <w:tcBorders>
              <w:left w:val="single" w:color="auto" w:sz="6" w:space="0"/>
              <w:bottom w:val="single" w:color="auto" w:sz="6" w:space="0"/>
              <w:right w:val="single" w:color="auto" w:sz="6" w:space="0"/>
            </w:tcBorders>
          </w:tcPr>
          <w:p w14:paraId="2B399F89">
            <w:pPr>
              <w:shd w:val="clear"/>
              <w:autoSpaceDE w:val="0"/>
              <w:autoSpaceDN w:val="0"/>
              <w:spacing w:line="360" w:lineRule="auto"/>
              <w:rPr>
                <w:rFonts w:hint="eastAsia" w:ascii="宋体" w:hAnsi="宋体" w:eastAsia="宋体" w:cs="宋体"/>
                <w:color w:val="auto"/>
                <w:sz w:val="24"/>
                <w:highlight w:val="none"/>
              </w:rPr>
            </w:pPr>
          </w:p>
        </w:tc>
        <w:tc>
          <w:tcPr>
            <w:tcW w:w="1223" w:type="dxa"/>
            <w:vMerge w:val="continue"/>
            <w:tcBorders>
              <w:left w:val="single" w:color="auto" w:sz="6" w:space="0"/>
              <w:bottom w:val="single" w:color="auto" w:sz="6" w:space="0"/>
              <w:right w:val="single" w:color="auto" w:sz="6" w:space="0"/>
            </w:tcBorders>
          </w:tcPr>
          <w:p w14:paraId="0FC61C9C">
            <w:pPr>
              <w:shd w:val="clear"/>
              <w:autoSpaceDE w:val="0"/>
              <w:autoSpaceDN w:val="0"/>
              <w:spacing w:line="360" w:lineRule="auto"/>
              <w:rPr>
                <w:rFonts w:hint="eastAsia" w:ascii="宋体" w:hAnsi="宋体" w:eastAsia="宋体" w:cs="宋体"/>
                <w:color w:val="auto"/>
                <w:sz w:val="24"/>
                <w:highlight w:val="none"/>
              </w:rPr>
            </w:pPr>
          </w:p>
        </w:tc>
        <w:tc>
          <w:tcPr>
            <w:tcW w:w="1259" w:type="dxa"/>
            <w:vMerge w:val="continue"/>
            <w:tcBorders>
              <w:left w:val="single" w:color="auto" w:sz="6" w:space="0"/>
              <w:bottom w:val="single" w:color="auto" w:sz="6" w:space="0"/>
              <w:right w:val="single" w:color="auto" w:sz="6" w:space="0"/>
            </w:tcBorders>
          </w:tcPr>
          <w:p w14:paraId="197BE70E">
            <w:pPr>
              <w:shd w:val="clear"/>
              <w:autoSpaceDE w:val="0"/>
              <w:autoSpaceDN w:val="0"/>
              <w:spacing w:line="360" w:lineRule="auto"/>
              <w:rPr>
                <w:rFonts w:hint="eastAsia" w:ascii="宋体" w:hAnsi="宋体" w:eastAsia="宋体" w:cs="宋体"/>
                <w:color w:val="auto"/>
                <w:sz w:val="24"/>
                <w:highlight w:val="none"/>
              </w:rPr>
            </w:pPr>
          </w:p>
        </w:tc>
        <w:tc>
          <w:tcPr>
            <w:tcW w:w="1002" w:type="dxa"/>
            <w:vMerge w:val="continue"/>
            <w:tcBorders>
              <w:left w:val="single" w:color="auto" w:sz="6" w:space="0"/>
              <w:bottom w:val="single" w:color="auto" w:sz="6" w:space="0"/>
              <w:right w:val="single" w:color="auto" w:sz="6" w:space="0"/>
            </w:tcBorders>
          </w:tcPr>
          <w:p w14:paraId="0BC4F480">
            <w:pPr>
              <w:shd w:val="clear"/>
              <w:autoSpaceDE w:val="0"/>
              <w:autoSpaceDN w:val="0"/>
              <w:spacing w:line="360" w:lineRule="auto"/>
              <w:rPr>
                <w:rFonts w:hint="eastAsia" w:ascii="宋体" w:hAnsi="宋体" w:eastAsia="宋体" w:cs="宋体"/>
                <w:color w:val="auto"/>
                <w:sz w:val="24"/>
                <w:highlight w:val="none"/>
              </w:rPr>
            </w:pPr>
          </w:p>
        </w:tc>
        <w:tc>
          <w:tcPr>
            <w:tcW w:w="1489" w:type="dxa"/>
            <w:vMerge w:val="continue"/>
            <w:tcBorders>
              <w:left w:val="single" w:color="auto" w:sz="6" w:space="0"/>
              <w:bottom w:val="single" w:color="auto" w:sz="6" w:space="0"/>
              <w:right w:val="single" w:color="auto" w:sz="6" w:space="0"/>
            </w:tcBorders>
          </w:tcPr>
          <w:p w14:paraId="38E5F37F">
            <w:pPr>
              <w:shd w:val="clear"/>
              <w:autoSpaceDE w:val="0"/>
              <w:autoSpaceDN w:val="0"/>
              <w:spacing w:line="360" w:lineRule="auto"/>
              <w:rPr>
                <w:rFonts w:hint="eastAsia" w:ascii="宋体" w:hAnsi="宋体" w:eastAsia="宋体" w:cs="宋体"/>
                <w:color w:val="auto"/>
                <w:sz w:val="24"/>
                <w:highlight w:val="none"/>
              </w:rPr>
            </w:pPr>
          </w:p>
        </w:tc>
        <w:tc>
          <w:tcPr>
            <w:tcW w:w="1578" w:type="dxa"/>
            <w:vMerge w:val="restart"/>
            <w:tcBorders>
              <w:top w:val="single" w:color="auto" w:sz="6" w:space="0"/>
              <w:left w:val="single" w:color="auto" w:sz="6" w:space="0"/>
              <w:right w:val="single" w:color="auto" w:sz="6" w:space="0"/>
            </w:tcBorders>
            <w:vAlign w:val="center"/>
          </w:tcPr>
          <w:p w14:paraId="5F070C6C">
            <w:pPr>
              <w:shd w:val="clear"/>
              <w:adjustRightInd/>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684FD691">
            <w:pPr>
              <w:shd w:val="clear"/>
              <w:adjustRightInd/>
              <w:spacing w:line="380" w:lineRule="exact"/>
              <w:jc w:val="center"/>
              <w:rPr>
                <w:rFonts w:hint="eastAsia" w:ascii="宋体" w:hAnsi="宋体" w:eastAsia="宋体" w:cs="宋体"/>
                <w:color w:val="auto"/>
                <w:sz w:val="24"/>
                <w:highlight w:val="none"/>
              </w:rPr>
            </w:pPr>
          </w:p>
        </w:tc>
      </w:tr>
      <w:tr w14:paraId="0A75F27D">
        <w:tblPrEx>
          <w:tblCellMar>
            <w:top w:w="0" w:type="dxa"/>
            <w:left w:w="108" w:type="dxa"/>
            <w:bottom w:w="0" w:type="dxa"/>
            <w:right w:w="108" w:type="dxa"/>
          </w:tblCellMar>
        </w:tblPrEx>
        <w:trPr>
          <w:trHeight w:val="675" w:hRule="atLeast"/>
        </w:trPr>
        <w:tc>
          <w:tcPr>
            <w:tcW w:w="1403" w:type="dxa"/>
            <w:tcBorders>
              <w:top w:val="single" w:color="auto" w:sz="6" w:space="0"/>
              <w:left w:val="single" w:color="auto" w:sz="6" w:space="0"/>
              <w:bottom w:val="single" w:color="auto" w:sz="6" w:space="0"/>
              <w:right w:val="single" w:color="auto" w:sz="6" w:space="0"/>
            </w:tcBorders>
          </w:tcPr>
          <w:p w14:paraId="669BFF0C">
            <w:pPr>
              <w:shd w:val="clear"/>
              <w:autoSpaceDE w:val="0"/>
              <w:autoSpaceDN w:val="0"/>
              <w:spacing w:line="360" w:lineRule="auto"/>
              <w:rPr>
                <w:rFonts w:hint="eastAsia" w:ascii="宋体" w:hAnsi="宋体" w:eastAsia="宋体" w:cs="宋体"/>
                <w:color w:val="auto"/>
                <w:sz w:val="24"/>
                <w:highlight w:val="none"/>
              </w:rPr>
            </w:pPr>
          </w:p>
        </w:tc>
        <w:tc>
          <w:tcPr>
            <w:tcW w:w="819" w:type="dxa"/>
            <w:tcBorders>
              <w:top w:val="single" w:color="auto" w:sz="6" w:space="0"/>
              <w:left w:val="single" w:color="auto" w:sz="6" w:space="0"/>
              <w:bottom w:val="single" w:color="auto" w:sz="6" w:space="0"/>
              <w:right w:val="single" w:color="auto" w:sz="6" w:space="0"/>
            </w:tcBorders>
          </w:tcPr>
          <w:p w14:paraId="0B24069D">
            <w:pPr>
              <w:shd w:val="clear"/>
              <w:autoSpaceDE w:val="0"/>
              <w:autoSpaceDN w:val="0"/>
              <w:spacing w:line="360" w:lineRule="auto"/>
              <w:rPr>
                <w:rFonts w:hint="eastAsia" w:ascii="宋体" w:hAnsi="宋体" w:eastAsia="宋体" w:cs="宋体"/>
                <w:color w:val="auto"/>
                <w:sz w:val="24"/>
                <w:highlight w:val="none"/>
              </w:rPr>
            </w:pPr>
          </w:p>
        </w:tc>
        <w:tc>
          <w:tcPr>
            <w:tcW w:w="1223" w:type="dxa"/>
            <w:tcBorders>
              <w:top w:val="single" w:color="auto" w:sz="6" w:space="0"/>
              <w:left w:val="single" w:color="auto" w:sz="6" w:space="0"/>
              <w:bottom w:val="single" w:color="auto" w:sz="6" w:space="0"/>
              <w:right w:val="single" w:color="auto" w:sz="6" w:space="0"/>
            </w:tcBorders>
          </w:tcPr>
          <w:p w14:paraId="7E91447F">
            <w:pPr>
              <w:shd w:val="clear"/>
              <w:autoSpaceDE w:val="0"/>
              <w:autoSpaceDN w:val="0"/>
              <w:spacing w:line="360" w:lineRule="auto"/>
              <w:rPr>
                <w:rFonts w:hint="eastAsia" w:ascii="宋体" w:hAnsi="宋体" w:eastAsia="宋体" w:cs="宋体"/>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84784F5">
            <w:pPr>
              <w:shd w:val="clear"/>
              <w:autoSpaceDE w:val="0"/>
              <w:autoSpaceDN w:val="0"/>
              <w:spacing w:line="360" w:lineRule="auto"/>
              <w:rPr>
                <w:rFonts w:hint="eastAsia" w:ascii="宋体" w:hAnsi="宋体" w:eastAsia="宋体" w:cs="宋体"/>
                <w:color w:val="auto"/>
                <w:sz w:val="24"/>
                <w:highlight w:val="none"/>
              </w:rPr>
            </w:pPr>
          </w:p>
        </w:tc>
        <w:tc>
          <w:tcPr>
            <w:tcW w:w="1002" w:type="dxa"/>
            <w:tcBorders>
              <w:top w:val="single" w:color="auto" w:sz="6" w:space="0"/>
              <w:left w:val="single" w:color="auto" w:sz="6" w:space="0"/>
              <w:bottom w:val="single" w:color="auto" w:sz="6" w:space="0"/>
              <w:right w:val="single" w:color="auto" w:sz="6" w:space="0"/>
            </w:tcBorders>
          </w:tcPr>
          <w:p w14:paraId="06EB426B">
            <w:pPr>
              <w:shd w:val="clear"/>
              <w:autoSpaceDE w:val="0"/>
              <w:autoSpaceDN w:val="0"/>
              <w:spacing w:line="360" w:lineRule="auto"/>
              <w:rPr>
                <w:rFonts w:hint="eastAsia" w:ascii="宋体" w:hAnsi="宋体" w:eastAsia="宋体" w:cs="宋体"/>
                <w:color w:val="auto"/>
                <w:sz w:val="24"/>
                <w:highlight w:val="none"/>
              </w:rPr>
            </w:pPr>
          </w:p>
        </w:tc>
        <w:tc>
          <w:tcPr>
            <w:tcW w:w="1489" w:type="dxa"/>
            <w:tcBorders>
              <w:top w:val="single" w:color="auto" w:sz="6" w:space="0"/>
              <w:left w:val="single" w:color="auto" w:sz="6" w:space="0"/>
              <w:bottom w:val="single" w:color="auto" w:sz="6" w:space="0"/>
              <w:right w:val="single" w:color="auto" w:sz="6" w:space="0"/>
            </w:tcBorders>
          </w:tcPr>
          <w:p w14:paraId="75F1538D">
            <w:pPr>
              <w:shd w:val="clear"/>
              <w:autoSpaceDE w:val="0"/>
              <w:autoSpaceDN w:val="0"/>
              <w:spacing w:line="360" w:lineRule="auto"/>
              <w:rPr>
                <w:rFonts w:hint="eastAsia" w:ascii="宋体" w:hAnsi="宋体" w:eastAsia="宋体" w:cs="宋体"/>
                <w:color w:val="auto"/>
                <w:sz w:val="24"/>
                <w:highlight w:val="none"/>
              </w:rPr>
            </w:pPr>
          </w:p>
        </w:tc>
        <w:tc>
          <w:tcPr>
            <w:tcW w:w="1578" w:type="dxa"/>
            <w:vMerge w:val="continue"/>
            <w:tcBorders>
              <w:left w:val="single" w:color="auto" w:sz="6" w:space="0"/>
              <w:right w:val="single" w:color="auto" w:sz="6" w:space="0"/>
            </w:tcBorders>
          </w:tcPr>
          <w:p w14:paraId="5180123F">
            <w:pPr>
              <w:shd w:val="clear"/>
              <w:autoSpaceDE w:val="0"/>
              <w:autoSpaceDN w:val="0"/>
              <w:spacing w:line="360" w:lineRule="auto"/>
              <w:rPr>
                <w:rFonts w:hint="eastAsia" w:ascii="宋体" w:hAnsi="宋体" w:eastAsia="宋体" w:cs="宋体"/>
                <w:color w:val="auto"/>
                <w:sz w:val="24"/>
                <w:highlight w:val="none"/>
              </w:rPr>
            </w:pPr>
          </w:p>
        </w:tc>
      </w:tr>
      <w:tr w14:paraId="0334BBBD">
        <w:tblPrEx>
          <w:tblCellMar>
            <w:top w:w="0" w:type="dxa"/>
            <w:left w:w="108" w:type="dxa"/>
            <w:bottom w:w="0" w:type="dxa"/>
            <w:right w:w="108" w:type="dxa"/>
          </w:tblCellMar>
        </w:tblPrEx>
        <w:trPr>
          <w:trHeight w:val="686" w:hRule="atLeast"/>
        </w:trPr>
        <w:tc>
          <w:tcPr>
            <w:tcW w:w="1403" w:type="dxa"/>
            <w:tcBorders>
              <w:top w:val="single" w:color="auto" w:sz="6" w:space="0"/>
              <w:left w:val="single" w:color="auto" w:sz="6" w:space="0"/>
              <w:bottom w:val="single" w:color="auto" w:sz="6" w:space="0"/>
              <w:right w:val="single" w:color="auto" w:sz="6" w:space="0"/>
            </w:tcBorders>
          </w:tcPr>
          <w:p w14:paraId="683AE539">
            <w:pPr>
              <w:shd w:val="clear"/>
              <w:autoSpaceDE w:val="0"/>
              <w:autoSpaceDN w:val="0"/>
              <w:spacing w:line="360" w:lineRule="auto"/>
              <w:rPr>
                <w:rFonts w:hint="eastAsia" w:ascii="宋体" w:hAnsi="宋体" w:eastAsia="宋体" w:cs="宋体"/>
                <w:color w:val="auto"/>
                <w:sz w:val="24"/>
                <w:highlight w:val="none"/>
              </w:rPr>
            </w:pPr>
          </w:p>
        </w:tc>
        <w:tc>
          <w:tcPr>
            <w:tcW w:w="819" w:type="dxa"/>
            <w:tcBorders>
              <w:top w:val="single" w:color="auto" w:sz="6" w:space="0"/>
              <w:left w:val="single" w:color="auto" w:sz="6" w:space="0"/>
              <w:bottom w:val="single" w:color="auto" w:sz="6" w:space="0"/>
              <w:right w:val="single" w:color="auto" w:sz="6" w:space="0"/>
            </w:tcBorders>
          </w:tcPr>
          <w:p w14:paraId="4788E999">
            <w:pPr>
              <w:shd w:val="clear"/>
              <w:autoSpaceDE w:val="0"/>
              <w:autoSpaceDN w:val="0"/>
              <w:spacing w:line="360" w:lineRule="auto"/>
              <w:rPr>
                <w:rFonts w:hint="eastAsia" w:ascii="宋体" w:hAnsi="宋体" w:eastAsia="宋体" w:cs="宋体"/>
                <w:color w:val="auto"/>
                <w:sz w:val="24"/>
                <w:highlight w:val="none"/>
              </w:rPr>
            </w:pPr>
          </w:p>
        </w:tc>
        <w:tc>
          <w:tcPr>
            <w:tcW w:w="1223" w:type="dxa"/>
            <w:tcBorders>
              <w:top w:val="single" w:color="auto" w:sz="6" w:space="0"/>
              <w:left w:val="single" w:color="auto" w:sz="6" w:space="0"/>
              <w:bottom w:val="single" w:color="auto" w:sz="6" w:space="0"/>
              <w:right w:val="single" w:color="auto" w:sz="6" w:space="0"/>
            </w:tcBorders>
          </w:tcPr>
          <w:p w14:paraId="77331A7B">
            <w:pPr>
              <w:shd w:val="clear"/>
              <w:autoSpaceDE w:val="0"/>
              <w:autoSpaceDN w:val="0"/>
              <w:spacing w:line="360" w:lineRule="auto"/>
              <w:rPr>
                <w:rFonts w:hint="eastAsia" w:ascii="宋体" w:hAnsi="宋体" w:eastAsia="宋体" w:cs="宋体"/>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201CA1E9">
            <w:pPr>
              <w:shd w:val="clear"/>
              <w:autoSpaceDE w:val="0"/>
              <w:autoSpaceDN w:val="0"/>
              <w:spacing w:line="360" w:lineRule="auto"/>
              <w:rPr>
                <w:rFonts w:hint="eastAsia" w:ascii="宋体" w:hAnsi="宋体" w:eastAsia="宋体" w:cs="宋体"/>
                <w:color w:val="auto"/>
                <w:sz w:val="24"/>
                <w:highlight w:val="none"/>
              </w:rPr>
            </w:pPr>
          </w:p>
        </w:tc>
        <w:tc>
          <w:tcPr>
            <w:tcW w:w="1002" w:type="dxa"/>
            <w:tcBorders>
              <w:top w:val="single" w:color="auto" w:sz="6" w:space="0"/>
              <w:left w:val="single" w:color="auto" w:sz="6" w:space="0"/>
              <w:bottom w:val="single" w:color="auto" w:sz="6" w:space="0"/>
              <w:right w:val="single" w:color="auto" w:sz="6" w:space="0"/>
            </w:tcBorders>
          </w:tcPr>
          <w:p w14:paraId="0A41F119">
            <w:pPr>
              <w:shd w:val="clear"/>
              <w:autoSpaceDE w:val="0"/>
              <w:autoSpaceDN w:val="0"/>
              <w:spacing w:line="360" w:lineRule="auto"/>
              <w:rPr>
                <w:rFonts w:hint="eastAsia" w:ascii="宋体" w:hAnsi="宋体" w:eastAsia="宋体" w:cs="宋体"/>
                <w:color w:val="auto"/>
                <w:sz w:val="24"/>
                <w:highlight w:val="none"/>
              </w:rPr>
            </w:pPr>
          </w:p>
        </w:tc>
        <w:tc>
          <w:tcPr>
            <w:tcW w:w="1489" w:type="dxa"/>
            <w:tcBorders>
              <w:top w:val="single" w:color="auto" w:sz="6" w:space="0"/>
              <w:left w:val="single" w:color="auto" w:sz="6" w:space="0"/>
              <w:bottom w:val="single" w:color="auto" w:sz="6" w:space="0"/>
              <w:right w:val="single" w:color="auto" w:sz="6" w:space="0"/>
            </w:tcBorders>
          </w:tcPr>
          <w:p w14:paraId="3D612B8A">
            <w:pPr>
              <w:shd w:val="clear"/>
              <w:autoSpaceDE w:val="0"/>
              <w:autoSpaceDN w:val="0"/>
              <w:spacing w:line="360" w:lineRule="auto"/>
              <w:rPr>
                <w:rFonts w:hint="eastAsia" w:ascii="宋体" w:hAnsi="宋体" w:eastAsia="宋体" w:cs="宋体"/>
                <w:color w:val="auto"/>
                <w:sz w:val="24"/>
                <w:highlight w:val="none"/>
              </w:rPr>
            </w:pPr>
          </w:p>
        </w:tc>
        <w:tc>
          <w:tcPr>
            <w:tcW w:w="1578" w:type="dxa"/>
            <w:vMerge w:val="continue"/>
            <w:tcBorders>
              <w:left w:val="single" w:color="auto" w:sz="6" w:space="0"/>
              <w:right w:val="single" w:color="auto" w:sz="6" w:space="0"/>
            </w:tcBorders>
          </w:tcPr>
          <w:p w14:paraId="75069E8C">
            <w:pPr>
              <w:shd w:val="clear"/>
              <w:autoSpaceDE w:val="0"/>
              <w:autoSpaceDN w:val="0"/>
              <w:spacing w:line="360" w:lineRule="auto"/>
              <w:rPr>
                <w:rFonts w:hint="eastAsia" w:ascii="宋体" w:hAnsi="宋体" w:eastAsia="宋体" w:cs="宋体"/>
                <w:color w:val="auto"/>
                <w:sz w:val="24"/>
                <w:highlight w:val="none"/>
              </w:rPr>
            </w:pPr>
          </w:p>
        </w:tc>
      </w:tr>
      <w:tr w14:paraId="51D9B088">
        <w:tblPrEx>
          <w:tblCellMar>
            <w:top w:w="0" w:type="dxa"/>
            <w:left w:w="108" w:type="dxa"/>
            <w:bottom w:w="0" w:type="dxa"/>
            <w:right w:w="108" w:type="dxa"/>
          </w:tblCellMar>
        </w:tblPrEx>
        <w:trPr>
          <w:trHeight w:val="686" w:hRule="atLeast"/>
        </w:trPr>
        <w:tc>
          <w:tcPr>
            <w:tcW w:w="1403" w:type="dxa"/>
            <w:tcBorders>
              <w:top w:val="single" w:color="auto" w:sz="6" w:space="0"/>
              <w:left w:val="single" w:color="auto" w:sz="6" w:space="0"/>
              <w:bottom w:val="single" w:color="auto" w:sz="6" w:space="0"/>
              <w:right w:val="single" w:color="auto" w:sz="6" w:space="0"/>
            </w:tcBorders>
          </w:tcPr>
          <w:p w14:paraId="02982D01">
            <w:pPr>
              <w:shd w:val="clear"/>
              <w:autoSpaceDE w:val="0"/>
              <w:autoSpaceDN w:val="0"/>
              <w:spacing w:line="360" w:lineRule="auto"/>
              <w:rPr>
                <w:rFonts w:hint="eastAsia" w:ascii="宋体" w:hAnsi="宋体" w:eastAsia="宋体" w:cs="宋体"/>
                <w:color w:val="auto"/>
                <w:sz w:val="24"/>
                <w:highlight w:val="none"/>
              </w:rPr>
            </w:pPr>
          </w:p>
        </w:tc>
        <w:tc>
          <w:tcPr>
            <w:tcW w:w="819" w:type="dxa"/>
            <w:tcBorders>
              <w:top w:val="single" w:color="auto" w:sz="6" w:space="0"/>
              <w:left w:val="single" w:color="auto" w:sz="6" w:space="0"/>
              <w:bottom w:val="single" w:color="auto" w:sz="6" w:space="0"/>
              <w:right w:val="single" w:color="auto" w:sz="6" w:space="0"/>
            </w:tcBorders>
          </w:tcPr>
          <w:p w14:paraId="605D418A">
            <w:pPr>
              <w:shd w:val="clear"/>
              <w:autoSpaceDE w:val="0"/>
              <w:autoSpaceDN w:val="0"/>
              <w:spacing w:line="360" w:lineRule="auto"/>
              <w:rPr>
                <w:rFonts w:hint="eastAsia" w:ascii="宋体" w:hAnsi="宋体" w:eastAsia="宋体" w:cs="宋体"/>
                <w:color w:val="auto"/>
                <w:sz w:val="24"/>
                <w:highlight w:val="none"/>
              </w:rPr>
            </w:pPr>
          </w:p>
        </w:tc>
        <w:tc>
          <w:tcPr>
            <w:tcW w:w="1223" w:type="dxa"/>
            <w:tcBorders>
              <w:top w:val="single" w:color="auto" w:sz="6" w:space="0"/>
              <w:left w:val="single" w:color="auto" w:sz="6" w:space="0"/>
              <w:bottom w:val="single" w:color="auto" w:sz="6" w:space="0"/>
              <w:right w:val="single" w:color="auto" w:sz="6" w:space="0"/>
            </w:tcBorders>
          </w:tcPr>
          <w:p w14:paraId="41EEB58B">
            <w:pPr>
              <w:shd w:val="clear"/>
              <w:autoSpaceDE w:val="0"/>
              <w:autoSpaceDN w:val="0"/>
              <w:spacing w:line="360" w:lineRule="auto"/>
              <w:rPr>
                <w:rFonts w:hint="eastAsia" w:ascii="宋体" w:hAnsi="宋体" w:eastAsia="宋体" w:cs="宋体"/>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423505FF">
            <w:pPr>
              <w:shd w:val="clear"/>
              <w:autoSpaceDE w:val="0"/>
              <w:autoSpaceDN w:val="0"/>
              <w:spacing w:line="360" w:lineRule="auto"/>
              <w:rPr>
                <w:rFonts w:hint="eastAsia" w:ascii="宋体" w:hAnsi="宋体" w:eastAsia="宋体" w:cs="宋体"/>
                <w:color w:val="auto"/>
                <w:sz w:val="24"/>
                <w:highlight w:val="none"/>
              </w:rPr>
            </w:pPr>
          </w:p>
        </w:tc>
        <w:tc>
          <w:tcPr>
            <w:tcW w:w="1002" w:type="dxa"/>
            <w:tcBorders>
              <w:top w:val="single" w:color="auto" w:sz="6" w:space="0"/>
              <w:left w:val="single" w:color="auto" w:sz="6" w:space="0"/>
              <w:bottom w:val="single" w:color="auto" w:sz="6" w:space="0"/>
              <w:right w:val="single" w:color="auto" w:sz="6" w:space="0"/>
            </w:tcBorders>
          </w:tcPr>
          <w:p w14:paraId="2AA16483">
            <w:pPr>
              <w:shd w:val="clear"/>
              <w:autoSpaceDE w:val="0"/>
              <w:autoSpaceDN w:val="0"/>
              <w:spacing w:line="360" w:lineRule="auto"/>
              <w:rPr>
                <w:rFonts w:hint="eastAsia" w:ascii="宋体" w:hAnsi="宋体" w:eastAsia="宋体" w:cs="宋体"/>
                <w:color w:val="auto"/>
                <w:sz w:val="24"/>
                <w:highlight w:val="none"/>
              </w:rPr>
            </w:pPr>
          </w:p>
        </w:tc>
        <w:tc>
          <w:tcPr>
            <w:tcW w:w="1489" w:type="dxa"/>
            <w:tcBorders>
              <w:top w:val="single" w:color="auto" w:sz="6" w:space="0"/>
              <w:left w:val="single" w:color="auto" w:sz="6" w:space="0"/>
              <w:bottom w:val="single" w:color="auto" w:sz="6" w:space="0"/>
              <w:right w:val="single" w:color="auto" w:sz="6" w:space="0"/>
            </w:tcBorders>
          </w:tcPr>
          <w:p w14:paraId="3F73BD6C">
            <w:pPr>
              <w:shd w:val="clear"/>
              <w:autoSpaceDE w:val="0"/>
              <w:autoSpaceDN w:val="0"/>
              <w:spacing w:line="360" w:lineRule="auto"/>
              <w:rPr>
                <w:rFonts w:hint="eastAsia" w:ascii="宋体" w:hAnsi="宋体" w:eastAsia="宋体" w:cs="宋体"/>
                <w:color w:val="auto"/>
                <w:sz w:val="24"/>
                <w:highlight w:val="none"/>
              </w:rPr>
            </w:pPr>
          </w:p>
        </w:tc>
        <w:tc>
          <w:tcPr>
            <w:tcW w:w="1578" w:type="dxa"/>
            <w:vMerge w:val="continue"/>
            <w:tcBorders>
              <w:left w:val="single" w:color="auto" w:sz="6" w:space="0"/>
              <w:bottom w:val="single" w:color="auto" w:sz="6" w:space="0"/>
              <w:right w:val="single" w:color="auto" w:sz="6" w:space="0"/>
            </w:tcBorders>
          </w:tcPr>
          <w:p w14:paraId="4989BD96">
            <w:pPr>
              <w:shd w:val="clear"/>
              <w:autoSpaceDE w:val="0"/>
              <w:autoSpaceDN w:val="0"/>
              <w:spacing w:line="360" w:lineRule="auto"/>
              <w:rPr>
                <w:rFonts w:hint="eastAsia" w:ascii="宋体" w:hAnsi="宋体" w:eastAsia="宋体" w:cs="宋体"/>
                <w:color w:val="auto"/>
                <w:sz w:val="24"/>
                <w:highlight w:val="none"/>
              </w:rPr>
            </w:pPr>
          </w:p>
        </w:tc>
      </w:tr>
    </w:tbl>
    <w:p w14:paraId="17AEF211">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可按上述的格式自行编制，须随表提交相应的证明资料并注明页码。</w:t>
      </w:r>
    </w:p>
    <w:p w14:paraId="515403AB">
      <w:pPr>
        <w:shd w:val="clear"/>
        <w:autoSpaceDE w:val="0"/>
        <w:autoSpaceDN w:val="0"/>
        <w:spacing w:line="360" w:lineRule="auto"/>
        <w:rPr>
          <w:rFonts w:hint="eastAsia" w:ascii="宋体" w:hAnsi="宋体" w:eastAsia="宋体" w:cs="宋体"/>
          <w:b/>
          <w:color w:val="auto"/>
          <w:sz w:val="24"/>
          <w:highlight w:val="none"/>
        </w:rPr>
      </w:pPr>
    </w:p>
    <w:p w14:paraId="128F1D76">
      <w:pPr>
        <w:shd w:val="clear"/>
        <w:autoSpaceDE w:val="0"/>
        <w:autoSpaceDN w:val="0"/>
        <w:spacing w:line="360" w:lineRule="auto"/>
        <w:rPr>
          <w:rFonts w:hint="eastAsia" w:ascii="宋体" w:hAnsi="宋体" w:eastAsia="宋体" w:cs="宋体"/>
          <w:color w:val="auto"/>
          <w:sz w:val="24"/>
          <w:highlight w:val="none"/>
        </w:rPr>
      </w:pPr>
    </w:p>
    <w:p w14:paraId="3BC9EA89">
      <w:pPr>
        <w:shd w:val="clea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664324A">
      <w:pPr>
        <w:shd w:val="clea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82D3896">
      <w:pPr>
        <w:shd w:val="clear"/>
        <w:spacing w:line="360" w:lineRule="auto"/>
        <w:jc w:val="both"/>
        <w:rPr>
          <w:rFonts w:hint="eastAsia" w:ascii="宋体" w:hAnsi="宋体" w:eastAsia="宋体" w:cs="宋体"/>
          <w:b/>
          <w:bCs/>
          <w:color w:val="auto"/>
          <w:sz w:val="24"/>
          <w:highlight w:val="none"/>
        </w:rPr>
      </w:pPr>
    </w:p>
    <w:p w14:paraId="4E0F81F4">
      <w:pPr>
        <w:shd w:val="clear"/>
        <w:spacing w:line="360" w:lineRule="auto"/>
        <w:jc w:val="center"/>
        <w:rPr>
          <w:rFonts w:hint="eastAsia" w:ascii="宋体" w:hAnsi="宋体" w:eastAsia="宋体" w:cs="宋体"/>
          <w:b/>
          <w:bCs/>
          <w:color w:val="auto"/>
          <w:sz w:val="24"/>
          <w:highlight w:val="none"/>
        </w:rPr>
      </w:pPr>
    </w:p>
    <w:p w14:paraId="0202CC04">
      <w:pPr>
        <w:pageBreakBefore/>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十、项目小组人员名单</w:t>
      </w:r>
    </w:p>
    <w:p w14:paraId="47CC3CBA">
      <w:pPr>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（由投标人根据采购需求及招标文件要求编制）</w:t>
      </w:r>
    </w:p>
    <w:p w14:paraId="31240191">
      <w:pPr>
        <w:keepNext/>
        <w:shd w:val="clear"/>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w:t>
      </w:r>
      <w:r>
        <w:rPr>
          <w:rFonts w:hint="eastAsia" w:ascii="宋体" w:hAnsi="宋体" w:cs="宋体"/>
          <w:b/>
          <w:color w:val="auto"/>
          <w:sz w:val="24"/>
          <w:highlight w:val="none"/>
          <w:lang w:val="en-US" w:eastAsia="zh-CN"/>
        </w:rPr>
        <w:t>负责人</w:t>
      </w:r>
      <w:r>
        <w:rPr>
          <w:rFonts w:hint="eastAsia" w:ascii="宋体" w:hAnsi="宋体" w:eastAsia="宋体" w:cs="宋体"/>
          <w:b/>
          <w:color w:val="auto"/>
          <w:sz w:val="24"/>
          <w:highlight w:val="none"/>
        </w:rPr>
        <w:t>情况表</w:t>
      </w:r>
    </w:p>
    <w:tbl>
      <w:tblPr>
        <w:tblStyle w:val="64"/>
        <w:tblW w:w="8755" w:type="dxa"/>
        <w:tblInd w:w="0" w:type="dxa"/>
        <w:tblLayout w:type="fixed"/>
        <w:tblCellMar>
          <w:top w:w="0" w:type="dxa"/>
          <w:left w:w="108" w:type="dxa"/>
          <w:bottom w:w="0" w:type="dxa"/>
          <w:right w:w="108" w:type="dxa"/>
        </w:tblCellMar>
      </w:tblPr>
      <w:tblGrid>
        <w:gridCol w:w="2061"/>
        <w:gridCol w:w="1287"/>
        <w:gridCol w:w="1260"/>
        <w:gridCol w:w="4147"/>
      </w:tblGrid>
      <w:tr w14:paraId="196A1CCA">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0673514">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75B5798B">
            <w:pPr>
              <w:shd w:val="clea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9050A17">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BDA27EC">
            <w:pPr>
              <w:shd w:val="clea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截止投标时间近3年业绩及承担的主要工作情况，曾担任项目经理的项目应列明细</w:t>
            </w:r>
          </w:p>
        </w:tc>
      </w:tr>
      <w:tr w14:paraId="4949F82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CCE4835">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0669311">
            <w:pPr>
              <w:shd w:val="clea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29F8B51">
            <w:pPr>
              <w:shd w:val="clea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D98AECC">
            <w:pPr>
              <w:shd w:val="clear"/>
              <w:autoSpaceDE w:val="0"/>
              <w:autoSpaceDN w:val="0"/>
              <w:spacing w:line="360" w:lineRule="auto"/>
              <w:jc w:val="center"/>
              <w:rPr>
                <w:rFonts w:hint="eastAsia" w:ascii="宋体" w:hAnsi="宋体" w:eastAsia="宋体" w:cs="宋体"/>
                <w:color w:val="auto"/>
                <w:sz w:val="24"/>
                <w:highlight w:val="none"/>
              </w:rPr>
            </w:pPr>
          </w:p>
        </w:tc>
      </w:tr>
      <w:tr w14:paraId="7D1710A2">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B9B146A">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FE24A4D">
            <w:pPr>
              <w:shd w:val="clea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E4C3977">
            <w:pPr>
              <w:shd w:val="clea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6BF11A0">
            <w:pPr>
              <w:shd w:val="clear"/>
              <w:autoSpaceDE w:val="0"/>
              <w:autoSpaceDN w:val="0"/>
              <w:spacing w:line="360" w:lineRule="auto"/>
              <w:jc w:val="center"/>
              <w:rPr>
                <w:rFonts w:hint="eastAsia" w:ascii="宋体" w:hAnsi="宋体" w:eastAsia="宋体" w:cs="宋体"/>
                <w:color w:val="auto"/>
                <w:sz w:val="24"/>
                <w:highlight w:val="none"/>
              </w:rPr>
            </w:pPr>
          </w:p>
        </w:tc>
      </w:tr>
      <w:tr w14:paraId="597511F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BEBB4CB">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3EC0B9FD">
            <w:pPr>
              <w:shd w:val="clea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984BE4F">
            <w:pPr>
              <w:shd w:val="clea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4A89681">
            <w:pPr>
              <w:shd w:val="clear"/>
              <w:autoSpaceDE w:val="0"/>
              <w:autoSpaceDN w:val="0"/>
              <w:spacing w:line="360" w:lineRule="auto"/>
              <w:jc w:val="center"/>
              <w:rPr>
                <w:rFonts w:hint="eastAsia" w:ascii="宋体" w:hAnsi="宋体" w:eastAsia="宋体" w:cs="宋体"/>
                <w:color w:val="auto"/>
                <w:sz w:val="24"/>
                <w:highlight w:val="none"/>
              </w:rPr>
            </w:pPr>
          </w:p>
        </w:tc>
      </w:tr>
      <w:tr w14:paraId="6BA67E9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364A3C3">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F6FFC1D">
            <w:pPr>
              <w:shd w:val="clea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C82B697">
            <w:pPr>
              <w:shd w:val="clea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E02CA0F">
            <w:pPr>
              <w:shd w:val="clear"/>
              <w:autoSpaceDE w:val="0"/>
              <w:autoSpaceDN w:val="0"/>
              <w:spacing w:line="360" w:lineRule="auto"/>
              <w:jc w:val="center"/>
              <w:rPr>
                <w:rFonts w:hint="eastAsia" w:ascii="宋体" w:hAnsi="宋体" w:eastAsia="宋体" w:cs="宋体"/>
                <w:color w:val="auto"/>
                <w:sz w:val="24"/>
                <w:highlight w:val="none"/>
              </w:rPr>
            </w:pPr>
          </w:p>
        </w:tc>
      </w:tr>
      <w:tr w14:paraId="379DD57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0C1BF7C">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291D3240">
            <w:pPr>
              <w:shd w:val="clea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56F8193">
            <w:pPr>
              <w:shd w:val="clea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4990DFE">
            <w:pPr>
              <w:shd w:val="clear"/>
              <w:autoSpaceDE w:val="0"/>
              <w:autoSpaceDN w:val="0"/>
              <w:spacing w:line="360" w:lineRule="auto"/>
              <w:jc w:val="center"/>
              <w:rPr>
                <w:rFonts w:hint="eastAsia" w:ascii="宋体" w:hAnsi="宋体" w:eastAsia="宋体" w:cs="宋体"/>
                <w:color w:val="auto"/>
                <w:sz w:val="24"/>
                <w:highlight w:val="none"/>
              </w:rPr>
            </w:pPr>
          </w:p>
        </w:tc>
      </w:tr>
      <w:tr w14:paraId="2FB6318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C48992F">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3A1008D8">
            <w:pPr>
              <w:shd w:val="clea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0D65AAB">
            <w:pPr>
              <w:shd w:val="clea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B74385A">
            <w:pPr>
              <w:shd w:val="clear"/>
              <w:autoSpaceDE w:val="0"/>
              <w:autoSpaceDN w:val="0"/>
              <w:spacing w:line="360" w:lineRule="auto"/>
              <w:jc w:val="center"/>
              <w:rPr>
                <w:rFonts w:hint="eastAsia" w:ascii="宋体" w:hAnsi="宋体" w:eastAsia="宋体" w:cs="宋体"/>
                <w:color w:val="auto"/>
                <w:sz w:val="24"/>
                <w:highlight w:val="none"/>
              </w:rPr>
            </w:pPr>
          </w:p>
        </w:tc>
      </w:tr>
      <w:tr w14:paraId="29737DA8">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5E3F421">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46B2C7B8">
            <w:pPr>
              <w:shd w:val="clea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9F62011">
            <w:pPr>
              <w:shd w:val="clea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C76E709">
            <w:pPr>
              <w:shd w:val="clear"/>
              <w:autoSpaceDE w:val="0"/>
              <w:autoSpaceDN w:val="0"/>
              <w:spacing w:line="360" w:lineRule="auto"/>
              <w:jc w:val="center"/>
              <w:rPr>
                <w:rFonts w:hint="eastAsia" w:ascii="宋体" w:hAnsi="宋体" w:eastAsia="宋体" w:cs="宋体"/>
                <w:color w:val="auto"/>
                <w:sz w:val="24"/>
                <w:highlight w:val="none"/>
              </w:rPr>
            </w:pPr>
          </w:p>
        </w:tc>
      </w:tr>
      <w:tr w14:paraId="6AC20396">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5314265">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5D248A42">
            <w:pPr>
              <w:shd w:val="clea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EB1F990">
            <w:pPr>
              <w:shd w:val="clea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BC211AD">
            <w:pPr>
              <w:shd w:val="clear"/>
              <w:autoSpaceDE w:val="0"/>
              <w:autoSpaceDN w:val="0"/>
              <w:spacing w:line="360" w:lineRule="auto"/>
              <w:jc w:val="center"/>
              <w:rPr>
                <w:rFonts w:hint="eastAsia" w:ascii="宋体" w:hAnsi="宋体" w:eastAsia="宋体" w:cs="宋体"/>
                <w:color w:val="auto"/>
                <w:sz w:val="24"/>
                <w:highlight w:val="none"/>
              </w:rPr>
            </w:pPr>
          </w:p>
        </w:tc>
      </w:tr>
      <w:tr w14:paraId="75B6BD1E">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8C9F8FA">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8680DD3">
            <w:pPr>
              <w:shd w:val="clea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2558A7C">
            <w:pPr>
              <w:shd w:val="clea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2AA0C2">
            <w:pPr>
              <w:shd w:val="clear"/>
              <w:autoSpaceDE w:val="0"/>
              <w:autoSpaceDN w:val="0"/>
              <w:spacing w:line="360" w:lineRule="auto"/>
              <w:jc w:val="center"/>
              <w:rPr>
                <w:rFonts w:hint="eastAsia" w:ascii="宋体" w:hAnsi="宋体" w:eastAsia="宋体" w:cs="宋体"/>
                <w:color w:val="auto"/>
                <w:sz w:val="24"/>
                <w:highlight w:val="none"/>
              </w:rPr>
            </w:pPr>
          </w:p>
        </w:tc>
      </w:tr>
    </w:tbl>
    <w:p w14:paraId="53286546">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注：须随表提交相应的证书复印件并注明所在投标技术文件页码。</w:t>
      </w:r>
    </w:p>
    <w:p w14:paraId="0059503B">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6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1510D9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66C4F78">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8D75D88">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00E6286">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D209F64">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5D8209C">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24BADF30">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17DBFC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67A79B20">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C4727EF">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55BB2F74">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316FE03">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C9B3F0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7065F29">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6C45875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5E51FDE">
            <w:pPr>
              <w:shd w:val="clea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6B0D08E">
            <w:pPr>
              <w:shd w:val="clea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31770D5">
            <w:pPr>
              <w:shd w:val="clea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A520B2B">
            <w:pPr>
              <w:shd w:val="clea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ED4AD17">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48468F3">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B80B59">
            <w:pPr>
              <w:shd w:val="clea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F9FF8B">
            <w:pPr>
              <w:shd w:val="clea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02845C">
            <w:pPr>
              <w:shd w:val="clea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0BA021E">
            <w:pPr>
              <w:shd w:val="clear"/>
              <w:autoSpaceDE w:val="0"/>
              <w:autoSpaceDN w:val="0"/>
              <w:spacing w:line="360" w:lineRule="auto"/>
              <w:rPr>
                <w:rFonts w:hint="eastAsia" w:ascii="宋体" w:hAnsi="宋体" w:eastAsia="宋体" w:cs="宋体"/>
                <w:color w:val="auto"/>
                <w:sz w:val="24"/>
                <w:highlight w:val="none"/>
              </w:rPr>
            </w:pPr>
          </w:p>
        </w:tc>
      </w:tr>
      <w:tr w14:paraId="5D07D38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4694533">
            <w:pPr>
              <w:shd w:val="clea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322E008">
            <w:pPr>
              <w:shd w:val="clea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0CFD7E2">
            <w:pPr>
              <w:shd w:val="clea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9B1D0F7">
            <w:pPr>
              <w:shd w:val="clea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D44C848">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A0CC24">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D3138F">
            <w:pPr>
              <w:shd w:val="clea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83FE238">
            <w:pPr>
              <w:shd w:val="clea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F72B03E">
            <w:pPr>
              <w:shd w:val="clea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4875588">
            <w:pPr>
              <w:shd w:val="clear"/>
              <w:autoSpaceDE w:val="0"/>
              <w:autoSpaceDN w:val="0"/>
              <w:spacing w:line="360" w:lineRule="auto"/>
              <w:rPr>
                <w:rFonts w:hint="eastAsia" w:ascii="宋体" w:hAnsi="宋体" w:eastAsia="宋体" w:cs="宋体"/>
                <w:color w:val="auto"/>
                <w:sz w:val="24"/>
                <w:highlight w:val="none"/>
              </w:rPr>
            </w:pPr>
          </w:p>
        </w:tc>
      </w:tr>
    </w:tbl>
    <w:p w14:paraId="3D16AA94">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注：投标人可按上述的格式自行编制，须随表提交相应的证书复印件并注明所在投标技术文件页码。</w:t>
      </w:r>
    </w:p>
    <w:p w14:paraId="313AA66E">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附表C:本项目的项目负责人和小组人员社会保障资金记录情况表</w:t>
      </w:r>
      <w:r>
        <w:rPr>
          <w:rFonts w:hint="eastAsia" w:ascii="宋体" w:hAnsi="宋体" w:eastAsia="宋体" w:cs="宋体"/>
          <w:color w:val="auto"/>
          <w:sz w:val="24"/>
          <w:highlight w:val="none"/>
        </w:rPr>
        <w:t>（以社保部门出具缴纳凭证作附件）</w:t>
      </w:r>
    </w:p>
    <w:p w14:paraId="4DF0BBF2">
      <w:pPr>
        <w:shd w:val="clear"/>
        <w:spacing w:line="360" w:lineRule="auto"/>
        <w:ind w:firstLine="480" w:firstLineChars="200"/>
        <w:rPr>
          <w:rFonts w:hint="eastAsia" w:ascii="宋体" w:hAnsi="宋体" w:eastAsia="宋体" w:cs="宋体"/>
          <w:color w:val="auto"/>
          <w:sz w:val="24"/>
          <w:szCs w:val="20"/>
          <w:highlight w:val="none"/>
        </w:rPr>
      </w:pPr>
    </w:p>
    <w:p w14:paraId="7BA1CE94">
      <w:pPr>
        <w:shd w:val="clea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投标人名称（电子签名）：</w:t>
      </w:r>
    </w:p>
    <w:p w14:paraId="4BD3FC1D">
      <w:pPr>
        <w:shd w:val="clea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849F9BD">
      <w:pPr>
        <w:shd w:val="clear"/>
        <w:snapToGrid w:val="0"/>
        <w:spacing w:line="360" w:lineRule="auto"/>
        <w:ind w:right="960"/>
        <w:rPr>
          <w:rFonts w:hint="eastAsia" w:ascii="宋体" w:hAnsi="宋体" w:eastAsia="宋体" w:cs="宋体"/>
          <w:color w:val="auto"/>
          <w:kern w:val="0"/>
          <w:sz w:val="24"/>
          <w:highlight w:val="none"/>
          <w:lang w:val="zh-CN"/>
        </w:rPr>
      </w:pPr>
    </w:p>
    <w:p w14:paraId="573A71CA">
      <w:pPr>
        <w:shd w:val="clear"/>
        <w:rPr>
          <w:rFonts w:hint="eastAsia" w:ascii="宋体" w:hAnsi="宋体" w:eastAsia="宋体" w:cs="宋体"/>
          <w:b/>
          <w:bCs/>
          <w:color w:val="auto"/>
          <w:sz w:val="32"/>
          <w:szCs w:val="32"/>
          <w:highlight w:val="none"/>
        </w:rPr>
      </w:pPr>
    </w:p>
    <w:p w14:paraId="49BC9D05">
      <w:pPr>
        <w:widowControl/>
        <w:shd w:val="clear"/>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十</w:t>
      </w:r>
      <w:r>
        <w:rPr>
          <w:rFonts w:hint="eastAsia" w:ascii="宋体" w:hAnsi="宋体" w:eastAsia="宋体" w:cs="宋体"/>
          <w:b/>
          <w:bCs/>
          <w:color w:val="auto"/>
          <w:sz w:val="32"/>
          <w:szCs w:val="32"/>
          <w:highlight w:val="none"/>
          <w:lang w:val="en-US" w:eastAsia="zh-CN"/>
        </w:rPr>
        <w:t>一</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D4227B0">
      <w:pPr>
        <w:shd w:val="clear"/>
        <w:snapToGrid w:val="0"/>
        <w:spacing w:line="360" w:lineRule="auto"/>
        <w:rPr>
          <w:rFonts w:hint="eastAsia" w:ascii="宋体" w:hAnsi="宋体" w:eastAsia="宋体" w:cs="宋体"/>
          <w:color w:val="auto"/>
          <w:sz w:val="24"/>
          <w:highlight w:val="none"/>
        </w:rPr>
      </w:pPr>
    </w:p>
    <w:p w14:paraId="0F825043">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B7F1EFD">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A1C91FB">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B209161">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6E35F83">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8CD409F">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543919E">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41D21AD">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EEFB015">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093DDCAE">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FB76392">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4986131">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36E488C8">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063F1A96">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39124D3D">
      <w:pPr>
        <w:shd w:val="clea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03237F3">
      <w:pPr>
        <w:shd w:val="clea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ADAFA63">
      <w:pPr>
        <w:shd w:val="clear"/>
        <w:spacing w:line="360" w:lineRule="auto"/>
        <w:jc w:val="center"/>
        <w:rPr>
          <w:rFonts w:hint="eastAsia" w:ascii="宋体" w:hAnsi="宋体" w:eastAsia="宋体" w:cs="宋体"/>
          <w:b/>
          <w:bCs/>
          <w:color w:val="auto"/>
          <w:sz w:val="24"/>
          <w:highlight w:val="none"/>
        </w:rPr>
      </w:pPr>
    </w:p>
    <w:p w14:paraId="04DADC78">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C75BA39">
      <w:pPr>
        <w:shd w:val="clear"/>
        <w:spacing w:line="360" w:lineRule="auto"/>
        <w:jc w:val="center"/>
        <w:rPr>
          <w:rFonts w:hint="eastAsia" w:ascii="宋体" w:hAnsi="宋体" w:eastAsia="宋体" w:cs="宋体"/>
          <w:b/>
          <w:bCs/>
          <w:color w:val="auto"/>
          <w:sz w:val="30"/>
          <w:szCs w:val="30"/>
          <w:highlight w:val="none"/>
        </w:rPr>
      </w:pPr>
    </w:p>
    <w:p w14:paraId="69BE48D2">
      <w:pPr>
        <w:shd w:val="clear"/>
        <w:spacing w:line="360" w:lineRule="auto"/>
        <w:jc w:val="center"/>
        <w:rPr>
          <w:rFonts w:hint="eastAsia" w:ascii="宋体" w:hAnsi="宋体" w:eastAsia="宋体" w:cs="宋体"/>
          <w:b/>
          <w:bCs/>
          <w:color w:val="auto"/>
          <w:sz w:val="30"/>
          <w:szCs w:val="30"/>
          <w:highlight w:val="none"/>
        </w:rPr>
      </w:pPr>
    </w:p>
    <w:p w14:paraId="7ED5DA4D">
      <w:pPr>
        <w:shd w:val="clear"/>
        <w:spacing w:line="360" w:lineRule="auto"/>
        <w:jc w:val="center"/>
        <w:rPr>
          <w:rFonts w:hint="eastAsia" w:ascii="宋体" w:hAnsi="宋体" w:eastAsia="宋体" w:cs="宋体"/>
          <w:b/>
          <w:bCs/>
          <w:color w:val="auto"/>
          <w:sz w:val="24"/>
          <w:highlight w:val="none"/>
        </w:rPr>
      </w:pPr>
    </w:p>
    <w:p w14:paraId="762E228A">
      <w:pPr>
        <w:shd w:val="clear"/>
        <w:spacing w:line="360" w:lineRule="auto"/>
        <w:jc w:val="center"/>
        <w:rPr>
          <w:rFonts w:hint="eastAsia" w:ascii="宋体" w:hAnsi="宋体" w:eastAsia="宋体" w:cs="宋体"/>
          <w:b/>
          <w:bCs/>
          <w:color w:val="auto"/>
          <w:sz w:val="24"/>
          <w:highlight w:val="none"/>
        </w:rPr>
      </w:pPr>
    </w:p>
    <w:p w14:paraId="669E078C">
      <w:pPr>
        <w:shd w:val="clea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A2B295D">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w:t>
      </w:r>
      <w:r>
        <w:rPr>
          <w:rFonts w:hint="eastAsia" w:ascii="宋体" w:hAnsi="宋体" w:eastAsia="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rPr>
        <w:t>、评标标准相应的商务技术资料</w:t>
      </w:r>
    </w:p>
    <w:p w14:paraId="0C5B74E0">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（由投标人根据采购需求自行编制）</w:t>
      </w:r>
    </w:p>
    <w:p w14:paraId="65726CB0">
      <w:pPr>
        <w:shd w:val="clear"/>
        <w:spacing w:line="360" w:lineRule="auto"/>
        <w:rPr>
          <w:rFonts w:hint="eastAsia" w:ascii="宋体" w:hAnsi="宋体" w:eastAsia="宋体" w:cs="宋体"/>
          <w:color w:val="auto"/>
          <w:sz w:val="24"/>
          <w:highlight w:val="none"/>
        </w:rPr>
      </w:pPr>
    </w:p>
    <w:p w14:paraId="4E7FFE6B">
      <w:pPr>
        <w:shd w:val="clea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35D03D75">
      <w:pPr>
        <w:shd w:val="clea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B444366">
      <w:pPr>
        <w:shd w:val="clear"/>
        <w:spacing w:line="360" w:lineRule="auto"/>
        <w:jc w:val="center"/>
        <w:rPr>
          <w:rFonts w:hint="eastAsia" w:ascii="宋体" w:hAnsi="宋体" w:eastAsia="宋体" w:cs="宋体"/>
          <w:b/>
          <w:bCs/>
          <w:color w:val="auto"/>
          <w:sz w:val="32"/>
          <w:szCs w:val="32"/>
          <w:highlight w:val="none"/>
        </w:rPr>
      </w:pPr>
    </w:p>
    <w:p w14:paraId="2A72DB7B">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cs="宋体"/>
          <w:b/>
          <w:bCs/>
          <w:color w:val="auto"/>
          <w:sz w:val="32"/>
          <w:szCs w:val="32"/>
          <w:highlight w:val="none"/>
          <w:lang w:val="en-US" w:eastAsia="zh-CN"/>
        </w:rPr>
        <w:t>十三、</w:t>
      </w:r>
      <w:r>
        <w:rPr>
          <w:rFonts w:hint="eastAsia" w:ascii="宋体" w:hAnsi="宋体" w:eastAsia="宋体" w:cs="宋体"/>
          <w:b/>
          <w:bCs/>
          <w:color w:val="auto"/>
          <w:sz w:val="32"/>
          <w:szCs w:val="32"/>
          <w:highlight w:val="none"/>
        </w:rPr>
        <w:t>认为需要的</w:t>
      </w:r>
      <w:r>
        <w:rPr>
          <w:rFonts w:hint="eastAsia" w:ascii="宋体" w:hAnsi="宋体" w:eastAsia="宋体" w:cs="宋体"/>
          <w:b/>
          <w:color w:val="auto"/>
          <w:kern w:val="0"/>
          <w:sz w:val="32"/>
          <w:szCs w:val="32"/>
          <w:highlight w:val="none"/>
          <w:lang w:val="zh-CN"/>
        </w:rPr>
        <w:t>其他商务技术（资信）文件或说明</w:t>
      </w:r>
    </w:p>
    <w:p w14:paraId="2561B775">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（由投标人根据采购需求自行编制）</w:t>
      </w:r>
    </w:p>
    <w:p w14:paraId="1C62B620">
      <w:pPr>
        <w:shd w:val="clear"/>
        <w:spacing w:line="360" w:lineRule="auto"/>
        <w:rPr>
          <w:rFonts w:hint="eastAsia" w:ascii="宋体" w:hAnsi="宋体" w:eastAsia="宋体" w:cs="宋体"/>
          <w:color w:val="auto"/>
          <w:sz w:val="24"/>
          <w:highlight w:val="none"/>
        </w:rPr>
      </w:pPr>
    </w:p>
    <w:p w14:paraId="59825412">
      <w:pPr>
        <w:shd w:val="clea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BC00BDF">
      <w:pPr>
        <w:shd w:val="clea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CECEBC5">
      <w:pPr>
        <w:pStyle w:val="82"/>
        <w:shd w:val="clear"/>
        <w:rPr>
          <w:rFonts w:hint="eastAsia" w:ascii="宋体" w:hAnsi="宋体" w:eastAsia="宋体" w:cs="宋体"/>
          <w:color w:val="auto"/>
          <w:highlight w:val="none"/>
        </w:rPr>
        <w:sectPr>
          <w:headerReference r:id="rId9" w:type="first"/>
          <w:footerReference r:id="rId11" w:type="first"/>
          <w:headerReference r:id="rId8" w:type="default"/>
          <w:footerReference r:id="rId10" w:type="default"/>
          <w:pgSz w:w="11906" w:h="16838"/>
          <w:pgMar w:top="1276" w:right="1418" w:bottom="1082" w:left="1418" w:header="851" w:footer="992" w:gutter="0"/>
          <w:pgNumType w:fmt="numberInDash"/>
          <w:cols w:space="720" w:num="1"/>
          <w:titlePg/>
          <w:docGrid w:linePitch="312" w:charSpace="0"/>
        </w:sectPr>
      </w:pPr>
    </w:p>
    <w:p w14:paraId="0727294E">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E340CC9">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AE8C87E">
      <w:pPr>
        <w:shd w:val="clear"/>
        <w:spacing w:line="360" w:lineRule="auto"/>
        <w:jc w:val="center"/>
        <w:outlineLvl w:val="0"/>
        <w:rPr>
          <w:rFonts w:hint="eastAsia" w:ascii="宋体" w:hAnsi="宋体" w:eastAsia="宋体" w:cs="宋体"/>
          <w:b/>
          <w:color w:val="auto"/>
          <w:kern w:val="0"/>
          <w:sz w:val="36"/>
          <w:szCs w:val="36"/>
          <w:highlight w:val="none"/>
        </w:rPr>
      </w:pPr>
    </w:p>
    <w:p w14:paraId="726FD017">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（1）开标一览表……………………………………………………………………（页码）</w:t>
      </w:r>
    </w:p>
    <w:p w14:paraId="2D0C8467">
      <w:pPr>
        <w:shd w:val="clear"/>
        <w:snapToGrid w:val="0"/>
        <w:spacing w:line="360" w:lineRule="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报价明细表</w:t>
      </w:r>
      <w:r>
        <w:rPr>
          <w:rFonts w:hint="eastAsia" w:ascii="宋体" w:hAnsi="宋体" w:eastAsia="宋体" w:cs="宋体"/>
          <w:color w:val="auto"/>
          <w:sz w:val="24"/>
          <w:highlight w:val="none"/>
        </w:rPr>
        <w:t>……………………………………………………………………（页码）</w:t>
      </w:r>
    </w:p>
    <w:p w14:paraId="56A61874">
      <w:pPr>
        <w:shd w:val="clear"/>
        <w:snapToGrid w:val="0"/>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3203E5BB">
      <w:pPr>
        <w:pStyle w:val="23"/>
        <w:numPr>
          <w:ilvl w:val="0"/>
          <w:numId w:val="0"/>
        </w:num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w:t>
      </w:r>
      <w:r>
        <w:rPr>
          <w:rFonts w:hint="eastAsia" w:hAnsi="宋体" w:cs="宋体"/>
          <w:b w:val="0"/>
          <w:bCs w:val="0"/>
          <w:i w:val="0"/>
          <w:iCs w:val="0"/>
          <w:color w:val="auto"/>
          <w:kern w:val="2"/>
          <w:sz w:val="24"/>
          <w:szCs w:val="24"/>
          <w:highlight w:val="none"/>
          <w:vertAlign w:val="baseline"/>
          <w:lang w:val="en-US" w:eastAsia="zh-CN" w:bidi="ar-SA"/>
        </w:rPr>
        <w:t>4</w:t>
      </w:r>
      <w:r>
        <w:rPr>
          <w:rFonts w:hint="eastAsia" w:ascii="宋体" w:hAnsi="宋体" w:eastAsia="宋体" w:cs="宋体"/>
          <w:b w:val="0"/>
          <w:bCs w:val="0"/>
          <w:i w:val="0"/>
          <w:iCs w:val="0"/>
          <w:color w:val="auto"/>
          <w:kern w:val="2"/>
          <w:sz w:val="24"/>
          <w:szCs w:val="24"/>
          <w:highlight w:val="none"/>
          <w:vertAlign w:val="baseline"/>
          <w:lang w:val="en-US" w:eastAsia="zh-CN" w:bidi="ar-SA"/>
        </w:rPr>
        <w:t>）残疾人福利性单位声明函……………………………………………………（页码）</w:t>
      </w:r>
    </w:p>
    <w:p w14:paraId="39D540C1">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2805ED91">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01B42C67">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26B7D6AB">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289BFFCA">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6F5CFF1D">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33ADDEAD">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696E70D3">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231F1044">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09C03F6F">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48AEA4A6">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4B2C95BA">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446690F6">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16FBF67D">
      <w:pPr>
        <w:shd w:val="clear"/>
        <w:snapToGrid w:val="0"/>
        <w:spacing w:line="360" w:lineRule="auto"/>
        <w:ind w:right="480"/>
        <w:jc w:val="both"/>
        <w:rPr>
          <w:rFonts w:hint="eastAsia" w:ascii="宋体" w:hAnsi="宋体" w:eastAsia="宋体" w:cs="宋体"/>
          <w:b/>
          <w:color w:val="auto"/>
          <w:kern w:val="0"/>
          <w:sz w:val="32"/>
          <w:szCs w:val="32"/>
          <w:highlight w:val="none"/>
        </w:rPr>
      </w:pPr>
    </w:p>
    <w:p w14:paraId="1985A3BF">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F5F89A9">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D9CBA6B">
      <w:pPr>
        <w:pStyle w:val="693"/>
        <w:keepNext w:val="0"/>
        <w:pageBreakBefore w:val="0"/>
        <w:shd w:val="clea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1893615C">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w:t>
      </w:r>
    </w:p>
    <w:p w14:paraId="3C8BD298">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3736077">
      <w:pPr>
        <w:shd w:val="clea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3502889C">
      <w:pPr>
        <w:shd w:val="clea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4"/>
        <w:tblW w:w="102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4896"/>
        <w:gridCol w:w="2168"/>
      </w:tblGrid>
      <w:tr w14:paraId="1C097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bottom w:val="single" w:color="auto" w:sz="4" w:space="0"/>
              <w:right w:val="single" w:color="auto" w:sz="4" w:space="0"/>
            </w:tcBorders>
            <w:noWrap w:val="0"/>
            <w:vAlign w:val="center"/>
          </w:tcPr>
          <w:p w14:paraId="4791653E">
            <w:pPr>
              <w:widowControl w:val="0"/>
              <w:shd w:val="clear"/>
              <w:spacing w:line="360" w:lineRule="auto"/>
              <w:ind w:firstLine="0" w:firstLineChars="0"/>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序号</w:t>
            </w:r>
          </w:p>
        </w:tc>
        <w:tc>
          <w:tcPr>
            <w:tcW w:w="2520" w:type="dxa"/>
            <w:tcBorders>
              <w:left w:val="single" w:color="auto" w:sz="4" w:space="0"/>
              <w:bottom w:val="single" w:color="auto" w:sz="4" w:space="0"/>
              <w:right w:val="single" w:color="auto" w:sz="4" w:space="0"/>
            </w:tcBorders>
            <w:noWrap w:val="0"/>
            <w:vAlign w:val="center"/>
          </w:tcPr>
          <w:p w14:paraId="2BE57BB8">
            <w:pPr>
              <w:widowControl w:val="0"/>
              <w:shd w:val="clear"/>
              <w:spacing w:line="360" w:lineRule="auto"/>
              <w:ind w:firstLine="0" w:firstLineChars="0"/>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项目名称</w:t>
            </w:r>
          </w:p>
        </w:tc>
        <w:tc>
          <w:tcPr>
            <w:tcW w:w="4896" w:type="dxa"/>
            <w:tcBorders>
              <w:left w:val="single" w:color="auto" w:sz="4" w:space="0"/>
              <w:bottom w:val="single" w:color="auto" w:sz="4" w:space="0"/>
            </w:tcBorders>
            <w:noWrap w:val="0"/>
            <w:vAlign w:val="center"/>
          </w:tcPr>
          <w:p w14:paraId="2735C6DC">
            <w:pPr>
              <w:widowControl w:val="0"/>
              <w:shd w:val="clear"/>
              <w:spacing w:line="360" w:lineRule="auto"/>
              <w:ind w:firstLine="0" w:firstLineChars="0"/>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投标报价</w:t>
            </w:r>
          </w:p>
        </w:tc>
        <w:tc>
          <w:tcPr>
            <w:tcW w:w="2168" w:type="dxa"/>
            <w:tcBorders>
              <w:left w:val="single" w:color="auto" w:sz="4" w:space="0"/>
              <w:bottom w:val="single" w:color="auto" w:sz="4" w:space="0"/>
            </w:tcBorders>
            <w:noWrap w:val="0"/>
            <w:vAlign w:val="center"/>
          </w:tcPr>
          <w:p w14:paraId="708B9DFD">
            <w:pPr>
              <w:widowControl w:val="0"/>
              <w:shd w:val="clear"/>
              <w:spacing w:line="360" w:lineRule="auto"/>
              <w:ind w:firstLine="0" w:firstLineChars="0"/>
              <w:jc w:val="center"/>
              <w:rPr>
                <w:rFonts w:hint="default"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备注</w:t>
            </w:r>
          </w:p>
        </w:tc>
      </w:tr>
      <w:tr w14:paraId="6D6D3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709" w:type="dxa"/>
            <w:tcBorders>
              <w:bottom w:val="single" w:color="auto" w:sz="4" w:space="0"/>
              <w:right w:val="single" w:color="auto" w:sz="4" w:space="0"/>
            </w:tcBorders>
            <w:noWrap w:val="0"/>
            <w:vAlign w:val="center"/>
          </w:tcPr>
          <w:p w14:paraId="65CD4D66">
            <w:pPr>
              <w:widowControl w:val="0"/>
              <w:shd w:val="clear"/>
              <w:spacing w:line="360" w:lineRule="auto"/>
              <w:ind w:firstLine="0" w:firstLineChars="0"/>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1</w:t>
            </w:r>
          </w:p>
        </w:tc>
        <w:tc>
          <w:tcPr>
            <w:tcW w:w="2520" w:type="dxa"/>
            <w:tcBorders>
              <w:left w:val="single" w:color="auto" w:sz="4" w:space="0"/>
              <w:bottom w:val="single" w:color="auto" w:sz="4" w:space="0"/>
              <w:right w:val="single" w:color="auto" w:sz="4" w:space="0"/>
            </w:tcBorders>
            <w:noWrap w:val="0"/>
            <w:vAlign w:val="center"/>
          </w:tcPr>
          <w:p w14:paraId="7922D378">
            <w:pPr>
              <w:widowControl w:val="0"/>
              <w:shd w:val="clear"/>
              <w:spacing w:line="360" w:lineRule="auto"/>
              <w:ind w:firstLine="0" w:firstLineChars="0"/>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 xml:space="preserve"> </w:t>
            </w:r>
          </w:p>
        </w:tc>
        <w:tc>
          <w:tcPr>
            <w:tcW w:w="4896" w:type="dxa"/>
            <w:tcBorders>
              <w:top w:val="single" w:color="auto" w:sz="4" w:space="0"/>
              <w:left w:val="single" w:color="auto" w:sz="4" w:space="0"/>
              <w:bottom w:val="single" w:color="auto" w:sz="4" w:space="0"/>
            </w:tcBorders>
            <w:noWrap w:val="0"/>
            <w:vAlign w:val="center"/>
          </w:tcPr>
          <w:p w14:paraId="09E2D419">
            <w:pPr>
              <w:widowControl w:val="0"/>
              <w:shd w:val="clear"/>
              <w:spacing w:line="360" w:lineRule="auto"/>
              <w:ind w:firstLine="0" w:firstLineChars="0"/>
              <w:jc w:val="left"/>
              <w:rPr>
                <w:rFonts w:hint="eastAsia" w:ascii="宋体" w:hAnsi="宋体" w:eastAsia="宋体" w:cs="宋体"/>
                <w:color w:val="auto"/>
                <w:kern w:val="0"/>
                <w:sz w:val="24"/>
                <w:szCs w:val="21"/>
                <w:highlight w:val="none"/>
                <w:u w:val="none"/>
                <w:lang w:val="en-US" w:eastAsia="zh-CN" w:bidi="ar-SA"/>
              </w:rPr>
            </w:pPr>
            <w:r>
              <w:rPr>
                <w:rFonts w:hint="eastAsia" w:ascii="宋体" w:hAnsi="宋体" w:eastAsia="宋体" w:cs="宋体"/>
                <w:color w:val="auto"/>
                <w:kern w:val="0"/>
                <w:sz w:val="24"/>
                <w:szCs w:val="21"/>
                <w:highlight w:val="none"/>
                <w:u w:val="none"/>
                <w:lang w:val="en-US" w:eastAsia="zh-CN" w:bidi="ar-SA"/>
              </w:rPr>
              <w:t>大写（人民币）：              ；</w:t>
            </w:r>
          </w:p>
          <w:p w14:paraId="00DBD4DF">
            <w:pPr>
              <w:widowControl w:val="0"/>
              <w:shd w:val="clear"/>
              <w:spacing w:line="360" w:lineRule="auto"/>
              <w:ind w:firstLine="0" w:firstLineChars="0"/>
              <w:jc w:val="left"/>
              <w:rPr>
                <w:rFonts w:hint="eastAsia" w:ascii="宋体" w:hAnsi="宋体" w:eastAsia="宋体" w:cs="宋体"/>
                <w:color w:val="auto"/>
                <w:kern w:val="0"/>
                <w:sz w:val="24"/>
                <w:szCs w:val="21"/>
                <w:highlight w:val="none"/>
                <w:u w:val="single"/>
                <w:lang w:val="en-US" w:eastAsia="zh-CN" w:bidi="ar-SA"/>
              </w:rPr>
            </w:pPr>
            <w:r>
              <w:rPr>
                <w:rFonts w:hint="eastAsia" w:ascii="宋体" w:hAnsi="宋体" w:eastAsia="宋体" w:cs="宋体"/>
                <w:color w:val="auto"/>
                <w:kern w:val="0"/>
                <w:sz w:val="24"/>
                <w:szCs w:val="21"/>
                <w:highlight w:val="none"/>
                <w:u w:val="none"/>
                <w:lang w:val="en-US" w:eastAsia="zh-CN" w:bidi="ar-SA"/>
              </w:rPr>
              <w:t>小写（￥              ）</w:t>
            </w:r>
          </w:p>
        </w:tc>
        <w:tc>
          <w:tcPr>
            <w:tcW w:w="2168" w:type="dxa"/>
            <w:tcBorders>
              <w:top w:val="single" w:color="auto" w:sz="4" w:space="0"/>
              <w:left w:val="single" w:color="auto" w:sz="4" w:space="0"/>
              <w:bottom w:val="single" w:color="auto" w:sz="4" w:space="0"/>
            </w:tcBorders>
            <w:noWrap w:val="0"/>
            <w:vAlign w:val="center"/>
          </w:tcPr>
          <w:p w14:paraId="45CB3531">
            <w:pPr>
              <w:widowControl w:val="0"/>
              <w:shd w:val="clear"/>
              <w:spacing w:line="360" w:lineRule="auto"/>
              <w:ind w:firstLine="0" w:firstLineChars="0"/>
              <w:jc w:val="center"/>
              <w:rPr>
                <w:rFonts w:hint="eastAsia" w:ascii="宋体" w:hAnsi="宋体" w:eastAsia="宋体" w:cs="宋体"/>
                <w:color w:val="auto"/>
                <w:kern w:val="0"/>
                <w:sz w:val="24"/>
                <w:szCs w:val="21"/>
                <w:highlight w:val="none"/>
                <w:u w:val="single"/>
                <w:lang w:val="en-US" w:eastAsia="zh-CN" w:bidi="ar-SA"/>
              </w:rPr>
            </w:pPr>
          </w:p>
        </w:tc>
      </w:tr>
    </w:tbl>
    <w:p w14:paraId="7AF411B9">
      <w:pPr>
        <w:shd w:val="clear"/>
        <w:spacing w:line="360" w:lineRule="auto"/>
        <w:jc w:val="center"/>
        <w:rPr>
          <w:rFonts w:hint="eastAsia" w:ascii="宋体" w:hAnsi="宋体" w:eastAsia="宋体" w:cs="宋体"/>
          <w:b/>
          <w:color w:val="auto"/>
          <w:kern w:val="0"/>
          <w:sz w:val="24"/>
          <w:highlight w:val="none"/>
          <w:lang w:val="zh-CN"/>
        </w:rPr>
      </w:pPr>
    </w:p>
    <w:p w14:paraId="54BB4E1A">
      <w:pPr>
        <w:shd w:val="clear"/>
        <w:snapToGrid w:val="0"/>
        <w:spacing w:line="360" w:lineRule="auto"/>
        <w:ind w:left="480" w:firstLine="9120" w:firstLineChars="3800"/>
        <w:rPr>
          <w:rFonts w:hint="eastAsia" w:ascii="宋体" w:hAnsi="宋体" w:eastAsia="宋体" w:cs="宋体"/>
          <w:color w:val="auto"/>
          <w:sz w:val="24"/>
          <w:highlight w:val="none"/>
          <w:lang w:eastAsia="zh-CN"/>
        </w:rPr>
      </w:pPr>
    </w:p>
    <w:p w14:paraId="63A7728E">
      <w:pPr>
        <w:shd w:val="clear"/>
        <w:snapToGrid w:val="0"/>
        <w:spacing w:line="360" w:lineRule="auto"/>
        <w:jc w:val="righ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名称（电子签名）：</w:t>
      </w:r>
    </w:p>
    <w:p w14:paraId="5D255EAE">
      <w:pPr>
        <w:pStyle w:val="81"/>
        <w:shd w:val="clear"/>
        <w:jc w:val="right"/>
        <w:rPr>
          <w:rFonts w:hint="eastAsia" w:ascii="宋体" w:hAnsi="宋体" w:eastAsia="宋体" w:cs="宋体"/>
          <w:color w:val="auto"/>
          <w:highlight w:val="none"/>
          <w:lang w:val="zh-CN"/>
        </w:rPr>
      </w:pPr>
      <w:r>
        <w:rPr>
          <w:rFonts w:hint="eastAsia" w:ascii="宋体" w:hAnsi="宋体" w:eastAsia="宋体" w:cs="宋体"/>
          <w:color w:val="auto"/>
          <w:sz w:val="24"/>
          <w:highlight w:val="none"/>
        </w:rPr>
        <w:t>日期：  年   月   日</w:t>
      </w:r>
    </w:p>
    <w:p w14:paraId="0FDCFF62">
      <w:pPr>
        <w:shd w:val="clea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C7F00F1">
      <w:pPr>
        <w:shd w:val="clea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22D80569">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6F19F6D">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3、特别提示：采购代理机构将对项目名称和项目编号，中标供应商名称、地址和中标金额，主要中标标的名称、品牌（如有）、规格型号、数量、单价等予以公示。</w:t>
      </w:r>
    </w:p>
    <w:p w14:paraId="75436CD5">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ECA8CC7">
      <w:pPr>
        <w:pStyle w:val="693"/>
        <w:keepNext w:val="0"/>
        <w:pageBreakBefore w:val="0"/>
        <w:shd w:val="clear"/>
        <w:tabs>
          <w:tab w:val="clear" w:pos="720"/>
        </w:tabs>
        <w:snapToGrid w:val="0"/>
        <w:spacing w:before="120" w:after="120"/>
        <w:ind w:firstLine="643"/>
        <w:jc w:val="left"/>
        <w:outlineLvl w:val="9"/>
        <w:rPr>
          <w:rFonts w:hint="eastAsia" w:ascii="宋体" w:hAnsi="宋体" w:eastAsia="宋体" w:cs="宋体"/>
          <w:color w:val="auto"/>
          <w:kern w:val="2"/>
          <w:sz w:val="32"/>
          <w:szCs w:val="32"/>
          <w:highlight w:val="none"/>
        </w:rPr>
      </w:pPr>
    </w:p>
    <w:p w14:paraId="1E375D8F">
      <w:pPr>
        <w:keepNext/>
        <w:keepLines/>
        <w:widowControl w:val="0"/>
        <w:shd w:val="clear"/>
        <w:spacing w:before="260" w:after="260" w:line="416" w:lineRule="auto"/>
        <w:ind w:firstLine="0" w:firstLineChars="0"/>
        <w:jc w:val="center"/>
        <w:outlineLvl w:val="2"/>
        <w:rPr>
          <w:rFonts w:hint="eastAsia" w:ascii="宋体" w:hAnsi="宋体" w:eastAsia="宋体" w:cs="宋体"/>
          <w:b/>
          <w:bCs/>
          <w:color w:val="auto"/>
          <w:kern w:val="2"/>
          <w:sz w:val="30"/>
          <w:szCs w:val="32"/>
          <w:highlight w:val="none"/>
          <w:lang w:val="en-US" w:eastAsia="zh-CN" w:bidi="ar-SA"/>
        </w:rPr>
      </w:pPr>
      <w:bookmarkStart w:id="80" w:name="_Toc20287"/>
      <w:r>
        <w:rPr>
          <w:rFonts w:hint="eastAsia" w:ascii="宋体" w:hAnsi="宋体" w:eastAsia="宋体" w:cs="宋体"/>
          <w:b/>
          <w:bCs/>
          <w:color w:val="auto"/>
          <w:kern w:val="2"/>
          <w:sz w:val="30"/>
          <w:szCs w:val="32"/>
          <w:highlight w:val="none"/>
          <w:lang w:val="en-US" w:eastAsia="zh-CN" w:bidi="ar-SA"/>
        </w:rPr>
        <w:t>二、报价明细表</w:t>
      </w:r>
      <w:bookmarkEnd w:id="80"/>
    </w:p>
    <w:p w14:paraId="5C062066">
      <w:pPr>
        <w:shd w:val="clea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p>
    <w:p w14:paraId="2634A281">
      <w:pPr>
        <w:shd w:val="clear"/>
        <w:spacing w:line="360" w:lineRule="auto"/>
        <w:ind w:firstLine="480" w:firstLineChars="200"/>
        <w:jc w:val="left"/>
        <w:rPr>
          <w:rFonts w:hint="eastAsia" w:ascii="宋体" w:hAnsi="宋体" w:eastAsia="宋体" w:cs="宋体"/>
          <w:color w:val="auto"/>
          <w:kern w:val="2"/>
          <w:sz w:val="32"/>
          <w:szCs w:val="32"/>
          <w:highlight w:val="none"/>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val="en-US" w:eastAsia="zh-CN"/>
        </w:rPr>
        <w:t xml:space="preserve"> </w:t>
      </w:r>
    </w:p>
    <w:tbl>
      <w:tblPr>
        <w:tblStyle w:val="64"/>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79"/>
        <w:gridCol w:w="1110"/>
        <w:gridCol w:w="1470"/>
        <w:gridCol w:w="1470"/>
        <w:gridCol w:w="1125"/>
        <w:gridCol w:w="900"/>
        <w:gridCol w:w="2190"/>
      </w:tblGrid>
      <w:tr w14:paraId="292B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C408758">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079" w:type="dxa"/>
            <w:vAlign w:val="center"/>
          </w:tcPr>
          <w:p w14:paraId="74D70E4B">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0" w:type="dxa"/>
          </w:tcPr>
          <w:p w14:paraId="38FB63E7">
            <w:pPr>
              <w:shd w:val="clear"/>
              <w:spacing w:line="360" w:lineRule="auto"/>
              <w:jc w:val="center"/>
              <w:rPr>
                <w:rFonts w:hint="eastAsia" w:ascii="宋体" w:hAnsi="宋体" w:eastAsia="宋体" w:cs="宋体"/>
                <w:b/>
                <w:color w:val="auto"/>
                <w:sz w:val="24"/>
                <w:highlight w:val="none"/>
              </w:rPr>
            </w:pPr>
          </w:p>
          <w:p w14:paraId="473F1D9B">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品牌（如有）</w:t>
            </w:r>
          </w:p>
        </w:tc>
        <w:tc>
          <w:tcPr>
            <w:tcW w:w="1470" w:type="dxa"/>
            <w:vAlign w:val="center"/>
          </w:tcPr>
          <w:p w14:paraId="265F05C4">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470" w:type="dxa"/>
            <w:vAlign w:val="center"/>
          </w:tcPr>
          <w:p w14:paraId="71FA8E5C">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125" w:type="dxa"/>
            <w:vAlign w:val="center"/>
          </w:tcPr>
          <w:p w14:paraId="3CDBA10E">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00" w:type="dxa"/>
            <w:vAlign w:val="center"/>
          </w:tcPr>
          <w:p w14:paraId="6F12ED66">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2190" w:type="dxa"/>
            <w:vAlign w:val="center"/>
          </w:tcPr>
          <w:p w14:paraId="76B5179F">
            <w:pPr>
              <w:shd w:val="clear"/>
              <w:spacing w:line="360" w:lineRule="auto"/>
              <w:jc w:val="center"/>
              <w:rPr>
                <w:rFonts w:hint="eastAsia" w:ascii="宋体" w:hAnsi="宋体" w:eastAsia="宋体" w:cs="宋体"/>
                <w:b/>
                <w:color w:val="auto"/>
                <w:sz w:val="24"/>
                <w:highlight w:val="none"/>
              </w:rPr>
            </w:pPr>
          </w:p>
          <w:p w14:paraId="730D8DAD">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备注（如有）</w:t>
            </w:r>
          </w:p>
          <w:p w14:paraId="3F53F4C5">
            <w:pPr>
              <w:shd w:val="clear"/>
              <w:spacing w:line="360" w:lineRule="auto"/>
              <w:jc w:val="center"/>
              <w:rPr>
                <w:rFonts w:hint="eastAsia" w:ascii="宋体" w:hAnsi="宋体" w:eastAsia="宋体" w:cs="宋体"/>
                <w:b/>
                <w:color w:val="auto"/>
                <w:sz w:val="24"/>
                <w:highlight w:val="none"/>
              </w:rPr>
            </w:pPr>
          </w:p>
        </w:tc>
      </w:tr>
      <w:tr w14:paraId="747A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DAFD152">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79" w:type="dxa"/>
            <w:vAlign w:val="center"/>
          </w:tcPr>
          <w:p w14:paraId="5709CD8D">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110" w:type="dxa"/>
            <w:vAlign w:val="center"/>
          </w:tcPr>
          <w:p w14:paraId="318AAD71">
            <w:pPr>
              <w:shd w:val="clear"/>
              <w:snapToGrid w:val="0"/>
              <w:spacing w:line="360" w:lineRule="auto"/>
              <w:jc w:val="center"/>
              <w:rPr>
                <w:rFonts w:hint="eastAsia" w:ascii="宋体" w:hAnsi="宋体" w:eastAsia="宋体" w:cs="宋体"/>
                <w:color w:val="auto"/>
                <w:sz w:val="24"/>
                <w:highlight w:val="none"/>
              </w:rPr>
            </w:pPr>
          </w:p>
        </w:tc>
        <w:tc>
          <w:tcPr>
            <w:tcW w:w="1470" w:type="dxa"/>
            <w:vAlign w:val="center"/>
          </w:tcPr>
          <w:p w14:paraId="33D2150F">
            <w:pPr>
              <w:shd w:val="clear"/>
              <w:snapToGrid w:val="0"/>
              <w:spacing w:line="360" w:lineRule="auto"/>
              <w:jc w:val="center"/>
              <w:rPr>
                <w:rFonts w:hint="eastAsia" w:ascii="宋体" w:hAnsi="宋体" w:eastAsia="宋体" w:cs="宋体"/>
                <w:color w:val="auto"/>
                <w:sz w:val="24"/>
                <w:highlight w:val="none"/>
              </w:rPr>
            </w:pPr>
          </w:p>
        </w:tc>
        <w:tc>
          <w:tcPr>
            <w:tcW w:w="1470" w:type="dxa"/>
            <w:vAlign w:val="center"/>
          </w:tcPr>
          <w:p w14:paraId="722B45ED">
            <w:pPr>
              <w:shd w:val="clear"/>
              <w:snapToGrid w:val="0"/>
              <w:spacing w:line="360" w:lineRule="auto"/>
              <w:jc w:val="center"/>
              <w:rPr>
                <w:rFonts w:hint="eastAsia" w:ascii="宋体" w:hAnsi="宋体" w:eastAsia="宋体" w:cs="宋体"/>
                <w:color w:val="auto"/>
                <w:sz w:val="24"/>
                <w:highlight w:val="none"/>
              </w:rPr>
            </w:pPr>
          </w:p>
        </w:tc>
        <w:tc>
          <w:tcPr>
            <w:tcW w:w="1125" w:type="dxa"/>
            <w:vAlign w:val="center"/>
          </w:tcPr>
          <w:p w14:paraId="01F74BA3">
            <w:pPr>
              <w:shd w:val="clear"/>
              <w:spacing w:line="360" w:lineRule="auto"/>
              <w:jc w:val="center"/>
              <w:rPr>
                <w:rFonts w:hint="eastAsia" w:ascii="宋体" w:hAnsi="宋体" w:eastAsia="宋体" w:cs="宋体"/>
                <w:color w:val="auto"/>
                <w:sz w:val="24"/>
                <w:highlight w:val="none"/>
              </w:rPr>
            </w:pPr>
          </w:p>
        </w:tc>
        <w:tc>
          <w:tcPr>
            <w:tcW w:w="900" w:type="dxa"/>
            <w:vAlign w:val="center"/>
          </w:tcPr>
          <w:p w14:paraId="0979BE2F">
            <w:pPr>
              <w:shd w:val="clear"/>
              <w:spacing w:line="360" w:lineRule="auto"/>
              <w:jc w:val="center"/>
              <w:rPr>
                <w:rFonts w:hint="eastAsia" w:ascii="宋体" w:hAnsi="宋体" w:eastAsia="宋体" w:cs="宋体"/>
                <w:color w:val="auto"/>
                <w:sz w:val="24"/>
                <w:highlight w:val="none"/>
              </w:rPr>
            </w:pPr>
          </w:p>
        </w:tc>
        <w:tc>
          <w:tcPr>
            <w:tcW w:w="2190" w:type="dxa"/>
            <w:vAlign w:val="center"/>
          </w:tcPr>
          <w:p w14:paraId="3E8A85CD">
            <w:pPr>
              <w:shd w:val="clear"/>
              <w:spacing w:line="360" w:lineRule="auto"/>
              <w:jc w:val="center"/>
              <w:rPr>
                <w:rFonts w:hint="eastAsia" w:ascii="宋体" w:hAnsi="宋体" w:eastAsia="宋体" w:cs="宋体"/>
                <w:color w:val="auto"/>
                <w:sz w:val="24"/>
                <w:highlight w:val="none"/>
              </w:rPr>
            </w:pPr>
          </w:p>
        </w:tc>
      </w:tr>
      <w:tr w14:paraId="3912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F48AE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79" w:type="dxa"/>
            <w:vAlign w:val="center"/>
          </w:tcPr>
          <w:p w14:paraId="18B0C450">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110" w:type="dxa"/>
            <w:vAlign w:val="center"/>
          </w:tcPr>
          <w:p w14:paraId="02C261EB">
            <w:pPr>
              <w:shd w:val="clear"/>
              <w:snapToGrid w:val="0"/>
              <w:spacing w:line="360" w:lineRule="auto"/>
              <w:jc w:val="center"/>
              <w:rPr>
                <w:rFonts w:hint="eastAsia" w:ascii="宋体" w:hAnsi="宋体" w:eastAsia="宋体" w:cs="宋体"/>
                <w:color w:val="auto"/>
                <w:sz w:val="24"/>
                <w:highlight w:val="none"/>
              </w:rPr>
            </w:pPr>
          </w:p>
        </w:tc>
        <w:tc>
          <w:tcPr>
            <w:tcW w:w="1470" w:type="dxa"/>
            <w:vAlign w:val="center"/>
          </w:tcPr>
          <w:p w14:paraId="45F4C422">
            <w:pPr>
              <w:shd w:val="clear"/>
              <w:snapToGrid w:val="0"/>
              <w:spacing w:line="360" w:lineRule="auto"/>
              <w:jc w:val="center"/>
              <w:rPr>
                <w:rFonts w:hint="eastAsia" w:ascii="宋体" w:hAnsi="宋体" w:eastAsia="宋体" w:cs="宋体"/>
                <w:color w:val="auto"/>
                <w:sz w:val="24"/>
                <w:highlight w:val="none"/>
              </w:rPr>
            </w:pPr>
          </w:p>
        </w:tc>
        <w:tc>
          <w:tcPr>
            <w:tcW w:w="1470" w:type="dxa"/>
            <w:vAlign w:val="center"/>
          </w:tcPr>
          <w:p w14:paraId="479B7BF8">
            <w:pPr>
              <w:shd w:val="clear"/>
              <w:snapToGrid w:val="0"/>
              <w:spacing w:line="360" w:lineRule="auto"/>
              <w:jc w:val="center"/>
              <w:rPr>
                <w:rFonts w:hint="eastAsia" w:ascii="宋体" w:hAnsi="宋体" w:eastAsia="宋体" w:cs="宋体"/>
                <w:color w:val="auto"/>
                <w:sz w:val="24"/>
                <w:highlight w:val="none"/>
              </w:rPr>
            </w:pPr>
          </w:p>
        </w:tc>
        <w:tc>
          <w:tcPr>
            <w:tcW w:w="1125" w:type="dxa"/>
            <w:vAlign w:val="center"/>
          </w:tcPr>
          <w:p w14:paraId="608F3014">
            <w:pPr>
              <w:shd w:val="clear"/>
              <w:spacing w:line="360" w:lineRule="auto"/>
              <w:jc w:val="center"/>
              <w:rPr>
                <w:rFonts w:hint="eastAsia" w:ascii="宋体" w:hAnsi="宋体" w:eastAsia="宋体" w:cs="宋体"/>
                <w:color w:val="auto"/>
                <w:sz w:val="24"/>
                <w:highlight w:val="none"/>
              </w:rPr>
            </w:pPr>
          </w:p>
        </w:tc>
        <w:tc>
          <w:tcPr>
            <w:tcW w:w="900" w:type="dxa"/>
            <w:vAlign w:val="center"/>
          </w:tcPr>
          <w:p w14:paraId="4A43FF2B">
            <w:pPr>
              <w:shd w:val="clear"/>
              <w:spacing w:line="360" w:lineRule="auto"/>
              <w:jc w:val="center"/>
              <w:rPr>
                <w:rFonts w:hint="eastAsia" w:ascii="宋体" w:hAnsi="宋体" w:eastAsia="宋体" w:cs="宋体"/>
                <w:color w:val="auto"/>
                <w:sz w:val="24"/>
                <w:highlight w:val="none"/>
              </w:rPr>
            </w:pPr>
          </w:p>
        </w:tc>
        <w:tc>
          <w:tcPr>
            <w:tcW w:w="2190" w:type="dxa"/>
            <w:vAlign w:val="center"/>
          </w:tcPr>
          <w:p w14:paraId="2957084C">
            <w:pPr>
              <w:shd w:val="clear"/>
              <w:spacing w:line="360" w:lineRule="auto"/>
              <w:jc w:val="center"/>
              <w:rPr>
                <w:rFonts w:hint="eastAsia" w:ascii="宋体" w:hAnsi="宋体" w:eastAsia="宋体" w:cs="宋体"/>
                <w:color w:val="auto"/>
                <w:sz w:val="24"/>
                <w:highlight w:val="none"/>
              </w:rPr>
            </w:pPr>
          </w:p>
        </w:tc>
      </w:tr>
      <w:tr w14:paraId="5ED1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224C3B">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079" w:type="dxa"/>
            <w:vAlign w:val="center"/>
          </w:tcPr>
          <w:p w14:paraId="3DA18EBE">
            <w:pPr>
              <w:shd w:val="clear"/>
              <w:snapToGrid w:val="0"/>
              <w:spacing w:line="360" w:lineRule="auto"/>
              <w:jc w:val="center"/>
              <w:rPr>
                <w:rFonts w:hint="eastAsia" w:ascii="宋体" w:hAnsi="宋体" w:eastAsia="宋体" w:cs="宋体"/>
                <w:color w:val="auto"/>
                <w:sz w:val="24"/>
                <w:highlight w:val="none"/>
              </w:rPr>
            </w:pPr>
          </w:p>
        </w:tc>
        <w:tc>
          <w:tcPr>
            <w:tcW w:w="1110" w:type="dxa"/>
            <w:vAlign w:val="center"/>
          </w:tcPr>
          <w:p w14:paraId="13CED836">
            <w:pPr>
              <w:shd w:val="clear"/>
              <w:snapToGrid w:val="0"/>
              <w:spacing w:line="360" w:lineRule="auto"/>
              <w:jc w:val="center"/>
              <w:rPr>
                <w:rFonts w:hint="eastAsia" w:ascii="宋体" w:hAnsi="宋体" w:eastAsia="宋体" w:cs="宋体"/>
                <w:color w:val="auto"/>
                <w:sz w:val="24"/>
                <w:highlight w:val="none"/>
              </w:rPr>
            </w:pPr>
          </w:p>
        </w:tc>
        <w:tc>
          <w:tcPr>
            <w:tcW w:w="1470" w:type="dxa"/>
            <w:vAlign w:val="center"/>
          </w:tcPr>
          <w:p w14:paraId="12A4613B">
            <w:pPr>
              <w:shd w:val="clear"/>
              <w:snapToGrid w:val="0"/>
              <w:spacing w:line="360" w:lineRule="auto"/>
              <w:jc w:val="center"/>
              <w:rPr>
                <w:rFonts w:hint="eastAsia" w:ascii="宋体" w:hAnsi="宋体" w:eastAsia="宋体" w:cs="宋体"/>
                <w:color w:val="auto"/>
                <w:sz w:val="24"/>
                <w:highlight w:val="none"/>
              </w:rPr>
            </w:pPr>
          </w:p>
        </w:tc>
        <w:tc>
          <w:tcPr>
            <w:tcW w:w="1470" w:type="dxa"/>
            <w:vAlign w:val="center"/>
          </w:tcPr>
          <w:p w14:paraId="35D54F54">
            <w:pPr>
              <w:shd w:val="clear"/>
              <w:snapToGrid w:val="0"/>
              <w:spacing w:line="360" w:lineRule="auto"/>
              <w:jc w:val="center"/>
              <w:rPr>
                <w:rFonts w:hint="eastAsia" w:ascii="宋体" w:hAnsi="宋体" w:eastAsia="宋体" w:cs="宋体"/>
                <w:color w:val="auto"/>
                <w:sz w:val="24"/>
                <w:highlight w:val="none"/>
              </w:rPr>
            </w:pPr>
          </w:p>
        </w:tc>
        <w:tc>
          <w:tcPr>
            <w:tcW w:w="1125" w:type="dxa"/>
            <w:vAlign w:val="center"/>
          </w:tcPr>
          <w:p w14:paraId="4257D535">
            <w:pPr>
              <w:shd w:val="clear"/>
              <w:spacing w:line="360" w:lineRule="auto"/>
              <w:jc w:val="center"/>
              <w:rPr>
                <w:rFonts w:hint="eastAsia" w:ascii="宋体" w:hAnsi="宋体" w:eastAsia="宋体" w:cs="宋体"/>
                <w:color w:val="auto"/>
                <w:sz w:val="24"/>
                <w:highlight w:val="none"/>
              </w:rPr>
            </w:pPr>
          </w:p>
        </w:tc>
        <w:tc>
          <w:tcPr>
            <w:tcW w:w="900" w:type="dxa"/>
            <w:vAlign w:val="center"/>
          </w:tcPr>
          <w:p w14:paraId="0102B286">
            <w:pPr>
              <w:shd w:val="clear"/>
              <w:spacing w:line="360" w:lineRule="auto"/>
              <w:jc w:val="center"/>
              <w:rPr>
                <w:rFonts w:hint="eastAsia" w:ascii="宋体" w:hAnsi="宋体" w:eastAsia="宋体" w:cs="宋体"/>
                <w:color w:val="auto"/>
                <w:sz w:val="24"/>
                <w:highlight w:val="none"/>
              </w:rPr>
            </w:pPr>
          </w:p>
        </w:tc>
        <w:tc>
          <w:tcPr>
            <w:tcW w:w="2190" w:type="dxa"/>
            <w:vAlign w:val="center"/>
          </w:tcPr>
          <w:p w14:paraId="6554487D">
            <w:pPr>
              <w:shd w:val="clear"/>
              <w:spacing w:line="360" w:lineRule="auto"/>
              <w:jc w:val="center"/>
              <w:rPr>
                <w:rFonts w:hint="eastAsia" w:ascii="宋体" w:hAnsi="宋体" w:eastAsia="宋体" w:cs="宋体"/>
                <w:color w:val="auto"/>
                <w:sz w:val="24"/>
                <w:highlight w:val="none"/>
              </w:rPr>
            </w:pPr>
          </w:p>
        </w:tc>
      </w:tr>
      <w:tr w14:paraId="5579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CB4DF2A">
            <w:pPr>
              <w:shd w:val="clear"/>
              <w:spacing w:line="360" w:lineRule="auto"/>
              <w:jc w:val="center"/>
              <w:rPr>
                <w:rFonts w:hint="eastAsia" w:ascii="宋体" w:hAnsi="宋体" w:eastAsia="宋体" w:cs="宋体"/>
                <w:color w:val="auto"/>
                <w:sz w:val="24"/>
                <w:highlight w:val="none"/>
              </w:rPr>
            </w:pPr>
          </w:p>
        </w:tc>
        <w:tc>
          <w:tcPr>
            <w:tcW w:w="1079" w:type="dxa"/>
            <w:vAlign w:val="center"/>
          </w:tcPr>
          <w:p w14:paraId="231B9252">
            <w:pPr>
              <w:shd w:val="clear"/>
              <w:snapToGrid w:val="0"/>
              <w:spacing w:line="360" w:lineRule="auto"/>
              <w:jc w:val="center"/>
              <w:rPr>
                <w:rFonts w:hint="eastAsia" w:ascii="宋体" w:hAnsi="宋体" w:eastAsia="宋体" w:cs="宋体"/>
                <w:color w:val="auto"/>
                <w:sz w:val="24"/>
                <w:highlight w:val="none"/>
              </w:rPr>
            </w:pPr>
          </w:p>
        </w:tc>
        <w:tc>
          <w:tcPr>
            <w:tcW w:w="1110" w:type="dxa"/>
            <w:vAlign w:val="center"/>
          </w:tcPr>
          <w:p w14:paraId="6BFBEF27">
            <w:pPr>
              <w:shd w:val="clear"/>
              <w:snapToGrid w:val="0"/>
              <w:spacing w:line="360" w:lineRule="auto"/>
              <w:jc w:val="center"/>
              <w:rPr>
                <w:rFonts w:hint="eastAsia" w:ascii="宋体" w:hAnsi="宋体" w:eastAsia="宋体" w:cs="宋体"/>
                <w:color w:val="auto"/>
                <w:sz w:val="24"/>
                <w:highlight w:val="none"/>
              </w:rPr>
            </w:pPr>
          </w:p>
        </w:tc>
        <w:tc>
          <w:tcPr>
            <w:tcW w:w="1470" w:type="dxa"/>
            <w:vAlign w:val="center"/>
          </w:tcPr>
          <w:p w14:paraId="28A64788">
            <w:pPr>
              <w:shd w:val="clear"/>
              <w:snapToGrid w:val="0"/>
              <w:spacing w:line="360" w:lineRule="auto"/>
              <w:jc w:val="center"/>
              <w:rPr>
                <w:rFonts w:hint="eastAsia" w:ascii="宋体" w:hAnsi="宋体" w:eastAsia="宋体" w:cs="宋体"/>
                <w:color w:val="auto"/>
                <w:sz w:val="24"/>
                <w:highlight w:val="none"/>
              </w:rPr>
            </w:pPr>
          </w:p>
        </w:tc>
        <w:tc>
          <w:tcPr>
            <w:tcW w:w="1470" w:type="dxa"/>
            <w:vAlign w:val="center"/>
          </w:tcPr>
          <w:p w14:paraId="1C5B9C99">
            <w:pPr>
              <w:shd w:val="clear"/>
              <w:snapToGrid w:val="0"/>
              <w:spacing w:line="360" w:lineRule="auto"/>
              <w:jc w:val="center"/>
              <w:rPr>
                <w:rFonts w:hint="eastAsia" w:ascii="宋体" w:hAnsi="宋体" w:eastAsia="宋体" w:cs="宋体"/>
                <w:color w:val="auto"/>
                <w:sz w:val="24"/>
                <w:highlight w:val="none"/>
              </w:rPr>
            </w:pPr>
          </w:p>
        </w:tc>
        <w:tc>
          <w:tcPr>
            <w:tcW w:w="1125" w:type="dxa"/>
            <w:vAlign w:val="center"/>
          </w:tcPr>
          <w:p w14:paraId="65429F91">
            <w:pPr>
              <w:shd w:val="clear"/>
              <w:spacing w:line="360" w:lineRule="auto"/>
              <w:jc w:val="center"/>
              <w:rPr>
                <w:rFonts w:hint="eastAsia" w:ascii="宋体" w:hAnsi="宋体" w:eastAsia="宋体" w:cs="宋体"/>
                <w:color w:val="auto"/>
                <w:sz w:val="24"/>
                <w:highlight w:val="none"/>
              </w:rPr>
            </w:pPr>
          </w:p>
        </w:tc>
        <w:tc>
          <w:tcPr>
            <w:tcW w:w="900" w:type="dxa"/>
            <w:vAlign w:val="center"/>
          </w:tcPr>
          <w:p w14:paraId="2A12A67F">
            <w:pPr>
              <w:shd w:val="clear"/>
              <w:spacing w:line="360" w:lineRule="auto"/>
              <w:jc w:val="center"/>
              <w:rPr>
                <w:rFonts w:hint="eastAsia" w:ascii="宋体" w:hAnsi="宋体" w:eastAsia="宋体" w:cs="宋体"/>
                <w:color w:val="auto"/>
                <w:sz w:val="24"/>
                <w:highlight w:val="none"/>
              </w:rPr>
            </w:pPr>
          </w:p>
        </w:tc>
        <w:tc>
          <w:tcPr>
            <w:tcW w:w="2190" w:type="dxa"/>
            <w:vAlign w:val="center"/>
          </w:tcPr>
          <w:p w14:paraId="53EF7338">
            <w:pPr>
              <w:shd w:val="clear"/>
              <w:spacing w:line="360" w:lineRule="auto"/>
              <w:jc w:val="center"/>
              <w:rPr>
                <w:rFonts w:hint="eastAsia" w:ascii="宋体" w:hAnsi="宋体" w:eastAsia="宋体" w:cs="宋体"/>
                <w:color w:val="auto"/>
                <w:sz w:val="24"/>
                <w:highlight w:val="none"/>
              </w:rPr>
            </w:pPr>
          </w:p>
        </w:tc>
      </w:tr>
      <w:tr w14:paraId="5C8D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723" w:type="dxa"/>
            <w:gridSpan w:val="3"/>
            <w:vAlign w:val="center"/>
          </w:tcPr>
          <w:p w14:paraId="1E718C02">
            <w:pPr>
              <w:shd w:val="clea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合计金额</w:t>
            </w:r>
          </w:p>
        </w:tc>
        <w:tc>
          <w:tcPr>
            <w:tcW w:w="7155" w:type="dxa"/>
            <w:gridSpan w:val="5"/>
            <w:vAlign w:val="center"/>
          </w:tcPr>
          <w:p w14:paraId="53C981FD">
            <w:pPr>
              <w:shd w:val="clear"/>
              <w:spacing w:line="360" w:lineRule="auto"/>
              <w:jc w:val="center"/>
              <w:rPr>
                <w:rFonts w:hint="eastAsia" w:ascii="宋体" w:hAnsi="宋体" w:eastAsia="宋体" w:cs="宋体"/>
                <w:color w:val="auto"/>
                <w:sz w:val="24"/>
                <w:highlight w:val="none"/>
              </w:rPr>
            </w:pPr>
          </w:p>
        </w:tc>
      </w:tr>
    </w:tbl>
    <w:p w14:paraId="2E2A7C1F">
      <w:pPr>
        <w:shd w:val="clear"/>
        <w:spacing w:line="360" w:lineRule="auto"/>
        <w:ind w:firstLine="482" w:firstLineChars="200"/>
        <w:jc w:val="left"/>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 xml:space="preserve">注：1. </w:t>
      </w:r>
      <w:r>
        <w:rPr>
          <w:rFonts w:hint="eastAsia" w:ascii="宋体" w:hAnsi="宋体" w:eastAsia="宋体" w:cs="宋体"/>
          <w:b/>
          <w:color w:val="auto"/>
          <w:sz w:val="24"/>
          <w:szCs w:val="21"/>
          <w:highlight w:val="none"/>
          <w:lang w:val="en-US" w:eastAsia="zh-CN"/>
        </w:rPr>
        <w:t>合计金额</w:t>
      </w:r>
      <w:r>
        <w:rPr>
          <w:rFonts w:hint="eastAsia" w:ascii="宋体" w:hAnsi="宋体" w:eastAsia="宋体" w:cs="宋体"/>
          <w:b/>
          <w:color w:val="auto"/>
          <w:sz w:val="24"/>
          <w:szCs w:val="21"/>
          <w:highlight w:val="none"/>
        </w:rPr>
        <w:t>应与“开标一览表”中投标报价相一致。</w:t>
      </w:r>
    </w:p>
    <w:p w14:paraId="5C756E99">
      <w:pPr>
        <w:shd w:val="clear"/>
        <w:spacing w:line="360" w:lineRule="auto"/>
        <w:ind w:firstLine="480" w:firstLineChars="200"/>
        <w:jc w:val="left"/>
        <w:rPr>
          <w:rFonts w:hint="eastAsia" w:ascii="宋体" w:hAnsi="宋体" w:eastAsia="宋体" w:cs="宋体"/>
          <w:color w:val="auto"/>
          <w:sz w:val="24"/>
          <w:szCs w:val="21"/>
          <w:highlight w:val="none"/>
        </w:rPr>
      </w:pPr>
      <w:bookmarkStart w:id="81" w:name="_Toc21438"/>
      <w:bookmarkStart w:id="82" w:name="_Toc3929"/>
      <w:bookmarkStart w:id="83" w:name="_Toc6027"/>
      <w:r>
        <w:rPr>
          <w:rFonts w:hint="eastAsia" w:ascii="宋体" w:hAnsi="宋体" w:eastAsia="宋体" w:cs="宋体"/>
          <w:color w:val="auto"/>
          <w:sz w:val="24"/>
          <w:szCs w:val="21"/>
          <w:highlight w:val="none"/>
        </w:rPr>
        <w:t>2. 本表可在不改变格式的情况下根据具体需要自行增加。</w:t>
      </w:r>
      <w:bookmarkEnd w:id="81"/>
      <w:bookmarkEnd w:id="82"/>
      <w:bookmarkEnd w:id="83"/>
      <w:r>
        <w:rPr>
          <w:rFonts w:hint="eastAsia" w:ascii="宋体" w:hAnsi="宋体" w:eastAsia="宋体" w:cs="宋体"/>
          <w:color w:val="auto"/>
          <w:sz w:val="24"/>
          <w:szCs w:val="21"/>
          <w:highlight w:val="none"/>
        </w:rPr>
        <w:t xml:space="preserve"> </w:t>
      </w:r>
    </w:p>
    <w:p w14:paraId="3982D64D">
      <w:pPr>
        <w:shd w:val="clear"/>
        <w:snapToGrid w:val="0"/>
        <w:spacing w:line="360" w:lineRule="auto"/>
        <w:jc w:val="righ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名称（电子签名）：</w:t>
      </w:r>
    </w:p>
    <w:p w14:paraId="4D2EEDC6">
      <w:pPr>
        <w:pStyle w:val="81"/>
        <w:shd w:val="clear"/>
        <w:jc w:val="right"/>
        <w:rPr>
          <w:rFonts w:hint="eastAsia" w:ascii="宋体" w:hAnsi="宋体" w:eastAsia="宋体" w:cs="宋体"/>
          <w:color w:val="auto"/>
          <w:highlight w:val="none"/>
          <w:lang w:val="zh-CN"/>
        </w:rPr>
      </w:pPr>
      <w:r>
        <w:rPr>
          <w:rFonts w:hint="eastAsia" w:ascii="宋体" w:hAnsi="宋体" w:eastAsia="宋体" w:cs="宋体"/>
          <w:color w:val="auto"/>
          <w:sz w:val="24"/>
          <w:highlight w:val="none"/>
        </w:rPr>
        <w:t>日期：  年   月   日</w:t>
      </w:r>
    </w:p>
    <w:p w14:paraId="743B6A98">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34FEF2D">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3F4DA27">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4B55532">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3812F3D">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22A648E">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6765F0F">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2F3BC96">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D2F5E3C">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D9FD3EF">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71E44473">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84" w:name="_Hlk101259491"/>
      <w:r>
        <w:rPr>
          <w:rFonts w:hint="eastAsia" w:ascii="宋体" w:hAnsi="宋体" w:eastAsia="宋体" w:cs="宋体"/>
          <w:color w:val="auto"/>
          <w:sz w:val="32"/>
          <w:szCs w:val="32"/>
          <w:highlight w:val="none"/>
        </w:rPr>
        <w:t>（如有）</w:t>
      </w:r>
      <w:bookmarkEnd w:id="84"/>
    </w:p>
    <w:p w14:paraId="5EE41252">
      <w:pPr>
        <w:widowControl/>
        <w:shd w:val="clear"/>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B02C8BD">
      <w:pPr>
        <w:pStyle w:val="81"/>
        <w:shd w:val="clear"/>
        <w:rPr>
          <w:rFonts w:hint="eastAsia" w:ascii="宋体" w:hAnsi="宋体" w:eastAsia="宋体" w:cs="宋体"/>
          <w:b/>
          <w:color w:val="auto"/>
          <w:sz w:val="24"/>
          <w:highlight w:val="none"/>
        </w:rPr>
      </w:pPr>
    </w:p>
    <w:p w14:paraId="190E14F9">
      <w:pPr>
        <w:pStyle w:val="82"/>
        <w:shd w:val="clear"/>
        <w:rPr>
          <w:rFonts w:hint="eastAsia" w:ascii="宋体" w:hAnsi="宋体" w:eastAsia="宋体" w:cs="宋体"/>
          <w:b/>
          <w:color w:val="auto"/>
          <w:sz w:val="24"/>
          <w:highlight w:val="none"/>
        </w:rPr>
      </w:pPr>
    </w:p>
    <w:p w14:paraId="60448574">
      <w:pPr>
        <w:shd w:val="clear"/>
        <w:rPr>
          <w:rFonts w:hint="eastAsia" w:ascii="宋体" w:hAnsi="宋体" w:eastAsia="宋体" w:cs="宋体"/>
          <w:b/>
          <w:color w:val="auto"/>
          <w:sz w:val="24"/>
          <w:highlight w:val="none"/>
        </w:rPr>
      </w:pPr>
    </w:p>
    <w:p w14:paraId="17128931">
      <w:pPr>
        <w:pStyle w:val="81"/>
        <w:shd w:val="clear"/>
        <w:rPr>
          <w:rFonts w:hint="eastAsia" w:ascii="宋体" w:hAnsi="宋体" w:eastAsia="宋体" w:cs="宋体"/>
          <w:b/>
          <w:color w:val="auto"/>
          <w:sz w:val="24"/>
          <w:highlight w:val="none"/>
        </w:rPr>
      </w:pPr>
    </w:p>
    <w:p w14:paraId="2E27D36F">
      <w:pPr>
        <w:pStyle w:val="82"/>
        <w:shd w:val="clear"/>
        <w:rPr>
          <w:rFonts w:hint="eastAsia" w:ascii="宋体" w:hAnsi="宋体" w:eastAsia="宋体" w:cs="宋体"/>
          <w:color w:val="auto"/>
          <w:highlight w:val="none"/>
        </w:rPr>
      </w:pPr>
    </w:p>
    <w:p w14:paraId="2C49C5B0">
      <w:pPr>
        <w:pStyle w:val="82"/>
        <w:shd w:val="clear"/>
        <w:rPr>
          <w:rFonts w:hint="eastAsia" w:ascii="宋体" w:hAnsi="宋体" w:eastAsia="宋体" w:cs="宋体"/>
          <w:color w:val="auto"/>
          <w:highlight w:val="none"/>
        </w:rPr>
      </w:pPr>
    </w:p>
    <w:p w14:paraId="7A4410C6">
      <w:pPr>
        <w:widowControl/>
        <w:shd w:val="clear"/>
        <w:adjustRightInd w:val="0"/>
        <w:spacing w:line="360" w:lineRule="auto"/>
        <w:ind w:firstLine="161" w:firstLineChars="50"/>
        <w:jc w:val="center"/>
        <w:rPr>
          <w:rFonts w:hint="eastAsia" w:ascii="宋体" w:hAnsi="宋体" w:eastAsia="宋体" w:cs="宋体"/>
          <w:b/>
          <w:color w:val="auto"/>
          <w:sz w:val="24"/>
          <w:highlight w:val="none"/>
        </w:rPr>
      </w:pPr>
      <w:r>
        <w:rPr>
          <w:rFonts w:hint="eastAsia" w:ascii="宋体" w:hAnsi="宋体" w:cs="宋体"/>
          <w:b/>
          <w:bCs/>
          <w:i w:val="0"/>
          <w:iCs w:val="0"/>
          <w:color w:val="auto"/>
          <w:kern w:val="2"/>
          <w:sz w:val="32"/>
          <w:szCs w:val="32"/>
          <w:highlight w:val="none"/>
          <w:vertAlign w:val="baseline"/>
          <w:lang w:val="en-US" w:eastAsia="zh-CN" w:bidi="ar-SA"/>
        </w:rPr>
        <w:t>四</w:t>
      </w:r>
      <w:r>
        <w:rPr>
          <w:rFonts w:hint="eastAsia" w:ascii="宋体" w:hAnsi="宋体" w:eastAsia="宋体" w:cs="宋体"/>
          <w:b/>
          <w:bCs/>
          <w:i w:val="0"/>
          <w:iCs w:val="0"/>
          <w:color w:val="auto"/>
          <w:kern w:val="2"/>
          <w:sz w:val="32"/>
          <w:szCs w:val="32"/>
          <w:highlight w:val="none"/>
          <w:vertAlign w:val="baseline"/>
          <w:lang w:val="en-US" w:eastAsia="zh-CN" w:bidi="ar-SA"/>
        </w:rPr>
        <w:t>、残疾人福利性单位声明函（如有）</w:t>
      </w:r>
    </w:p>
    <w:p w14:paraId="431DDA3E">
      <w:pPr>
        <w:widowControl/>
        <w:shd w:val="clear"/>
        <w:autoSpaceDE w:val="0"/>
        <w:autoSpaceDN w:val="0"/>
        <w:adjustRightInd w:val="0"/>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bCs/>
          <w:i w:val="0"/>
          <w:iCs w:val="0"/>
          <w:snapToGrid w:val="0"/>
          <w:color w:val="auto"/>
          <w:kern w:val="2"/>
          <w:sz w:val="24"/>
          <w:szCs w:val="21"/>
          <w:highlight w:val="none"/>
          <w:vertAlign w:val="baseline"/>
          <w:lang w:val="zh-CN" w:eastAsia="zh-CN" w:bidi="ar-SA"/>
        </w:rPr>
        <w:t>[符合条件的残疾人福利性单位，提供残疾人福利性单位声明函(附件</w:t>
      </w:r>
      <w:r>
        <w:rPr>
          <w:rFonts w:hint="eastAsia" w:ascii="宋体" w:hAnsi="宋体" w:eastAsia="宋体" w:cs="宋体"/>
          <w:b/>
          <w:bCs/>
          <w:i w:val="0"/>
          <w:iCs w:val="0"/>
          <w:snapToGrid w:val="0"/>
          <w:color w:val="auto"/>
          <w:kern w:val="2"/>
          <w:sz w:val="24"/>
          <w:szCs w:val="21"/>
          <w:highlight w:val="none"/>
          <w:vertAlign w:val="baseline"/>
          <w:lang w:val="en-US" w:eastAsia="zh-CN" w:bidi="ar-SA"/>
        </w:rPr>
        <w:t>6</w:t>
      </w:r>
      <w:r>
        <w:rPr>
          <w:rFonts w:hint="eastAsia" w:ascii="宋体" w:hAnsi="宋体" w:eastAsia="宋体" w:cs="宋体"/>
          <w:b/>
          <w:bCs/>
          <w:i w:val="0"/>
          <w:iCs w:val="0"/>
          <w:snapToGrid w:val="0"/>
          <w:color w:val="auto"/>
          <w:kern w:val="2"/>
          <w:sz w:val="24"/>
          <w:szCs w:val="21"/>
          <w:highlight w:val="none"/>
          <w:vertAlign w:val="baseline"/>
          <w:lang w:val="zh-CN" w:eastAsia="zh-CN" w:bidi="ar-SA"/>
        </w:rPr>
        <w:t>)，否则不需要提供。]</w:t>
      </w:r>
    </w:p>
    <w:p w14:paraId="7DEF90BF">
      <w:pPr>
        <w:pStyle w:val="693"/>
        <w:keepNext w:val="0"/>
        <w:pageBreakBefore w:val="0"/>
        <w:shd w:val="clear"/>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82534F2">
      <w:pPr>
        <w:shd w:val="clear"/>
        <w:spacing w:line="360" w:lineRule="auto"/>
        <w:ind w:right="420" w:firstLine="3614" w:firstLineChars="1000"/>
        <w:rPr>
          <w:rFonts w:hint="eastAsia" w:ascii="宋体" w:hAnsi="宋体" w:eastAsia="宋体" w:cs="宋体"/>
          <w:b/>
          <w:color w:val="auto"/>
          <w:kern w:val="0"/>
          <w:sz w:val="36"/>
          <w:szCs w:val="36"/>
          <w:highlight w:val="none"/>
        </w:rPr>
      </w:pPr>
    </w:p>
    <w:p w14:paraId="3C25AC7A">
      <w:pPr>
        <w:shd w:val="clear"/>
        <w:spacing w:line="360" w:lineRule="auto"/>
        <w:ind w:right="420" w:firstLine="3614" w:firstLineChars="1000"/>
        <w:rPr>
          <w:rFonts w:hint="eastAsia" w:ascii="宋体" w:hAnsi="宋体" w:eastAsia="宋体" w:cs="宋体"/>
          <w:b/>
          <w:color w:val="auto"/>
          <w:kern w:val="0"/>
          <w:sz w:val="36"/>
          <w:szCs w:val="36"/>
          <w:highlight w:val="none"/>
        </w:rPr>
      </w:pPr>
    </w:p>
    <w:p w14:paraId="4595BDAA">
      <w:pPr>
        <w:shd w:val="clear"/>
        <w:spacing w:line="360" w:lineRule="auto"/>
        <w:ind w:right="420" w:firstLine="3614" w:firstLineChars="1000"/>
        <w:rPr>
          <w:rFonts w:hint="eastAsia" w:ascii="宋体" w:hAnsi="宋体" w:eastAsia="宋体" w:cs="宋体"/>
          <w:b/>
          <w:color w:val="auto"/>
          <w:kern w:val="0"/>
          <w:sz w:val="36"/>
          <w:szCs w:val="36"/>
          <w:highlight w:val="none"/>
        </w:rPr>
      </w:pPr>
    </w:p>
    <w:p w14:paraId="1A638C28">
      <w:pPr>
        <w:shd w:val="clear"/>
        <w:spacing w:line="360" w:lineRule="auto"/>
        <w:ind w:right="420" w:firstLine="3614" w:firstLineChars="1000"/>
        <w:rPr>
          <w:rFonts w:hint="eastAsia" w:ascii="宋体" w:hAnsi="宋体" w:eastAsia="宋体" w:cs="宋体"/>
          <w:b/>
          <w:color w:val="auto"/>
          <w:kern w:val="0"/>
          <w:sz w:val="36"/>
          <w:szCs w:val="36"/>
          <w:highlight w:val="none"/>
        </w:rPr>
      </w:pPr>
    </w:p>
    <w:p w14:paraId="59380D4A">
      <w:pPr>
        <w:shd w:val="clear"/>
        <w:spacing w:line="360" w:lineRule="auto"/>
        <w:ind w:right="420" w:firstLine="3614" w:firstLineChars="1000"/>
        <w:rPr>
          <w:rFonts w:hint="eastAsia" w:ascii="宋体" w:hAnsi="宋体" w:eastAsia="宋体" w:cs="宋体"/>
          <w:b/>
          <w:color w:val="auto"/>
          <w:kern w:val="0"/>
          <w:sz w:val="36"/>
          <w:szCs w:val="36"/>
          <w:highlight w:val="none"/>
        </w:rPr>
      </w:pPr>
    </w:p>
    <w:p w14:paraId="1D51F8E3">
      <w:pPr>
        <w:shd w:val="clear"/>
        <w:spacing w:line="360" w:lineRule="auto"/>
        <w:ind w:right="420" w:firstLine="3614" w:firstLineChars="1000"/>
        <w:rPr>
          <w:rFonts w:hint="eastAsia" w:ascii="宋体" w:hAnsi="宋体" w:eastAsia="宋体" w:cs="宋体"/>
          <w:b/>
          <w:color w:val="auto"/>
          <w:kern w:val="0"/>
          <w:sz w:val="36"/>
          <w:szCs w:val="36"/>
          <w:highlight w:val="none"/>
        </w:rPr>
      </w:pPr>
    </w:p>
    <w:p w14:paraId="075C12BF">
      <w:pPr>
        <w:shd w:val="clear"/>
        <w:spacing w:line="360" w:lineRule="auto"/>
        <w:ind w:right="420" w:firstLine="3614" w:firstLineChars="1000"/>
        <w:rPr>
          <w:rFonts w:hint="eastAsia" w:ascii="宋体" w:hAnsi="宋体" w:eastAsia="宋体" w:cs="宋体"/>
          <w:b/>
          <w:color w:val="auto"/>
          <w:kern w:val="0"/>
          <w:sz w:val="36"/>
          <w:szCs w:val="36"/>
          <w:highlight w:val="none"/>
        </w:rPr>
      </w:pPr>
    </w:p>
    <w:p w14:paraId="30D160DC">
      <w:pPr>
        <w:shd w:val="clear"/>
        <w:spacing w:line="360" w:lineRule="auto"/>
        <w:ind w:right="420" w:firstLine="3614" w:firstLineChars="1000"/>
        <w:rPr>
          <w:rFonts w:hint="eastAsia" w:ascii="宋体" w:hAnsi="宋体" w:eastAsia="宋体" w:cs="宋体"/>
          <w:b/>
          <w:color w:val="auto"/>
          <w:kern w:val="0"/>
          <w:sz w:val="36"/>
          <w:szCs w:val="36"/>
          <w:highlight w:val="none"/>
        </w:rPr>
      </w:pPr>
    </w:p>
    <w:p w14:paraId="66C1CADD">
      <w:pPr>
        <w:shd w:val="clear"/>
        <w:spacing w:line="360" w:lineRule="auto"/>
        <w:ind w:right="420" w:firstLine="3614" w:firstLineChars="1000"/>
        <w:rPr>
          <w:rFonts w:hint="eastAsia" w:ascii="宋体" w:hAnsi="宋体" w:eastAsia="宋体" w:cs="宋体"/>
          <w:b/>
          <w:color w:val="auto"/>
          <w:kern w:val="0"/>
          <w:sz w:val="36"/>
          <w:szCs w:val="36"/>
          <w:highlight w:val="none"/>
        </w:rPr>
      </w:pPr>
    </w:p>
    <w:p w14:paraId="44F408BD">
      <w:pPr>
        <w:pStyle w:val="3"/>
        <w:keepNext w:val="0"/>
        <w:keepLines w:val="0"/>
        <w:pageBreakBefore/>
        <w:widowControl/>
        <w:shd w:val="clear"/>
        <w:spacing w:before="100" w:beforeAutospacing="1" w:after="100" w:afterAutospacing="1" w:line="360" w:lineRule="auto"/>
        <w:ind w:left="1290" w:firstLine="3092" w:firstLineChars="700"/>
        <w:rPr>
          <w:rFonts w:hint="eastAsia" w:ascii="宋体" w:hAnsi="宋体" w:eastAsia="宋体" w:cs="宋体"/>
          <w:b/>
          <w:color w:val="auto"/>
          <w:sz w:val="24"/>
          <w:highlight w:val="none"/>
        </w:rPr>
      </w:pPr>
      <w:bookmarkStart w:id="85" w:name="_Toc465665161"/>
      <w:r>
        <w:rPr>
          <w:rFonts w:hint="eastAsia" w:ascii="宋体" w:hAnsi="宋体" w:eastAsia="宋体" w:cs="宋体"/>
          <w:color w:val="auto"/>
          <w:highlight w:val="none"/>
        </w:rPr>
        <w:t>附件</w:t>
      </w:r>
      <w:bookmarkEnd w:id="85"/>
    </w:p>
    <w:p w14:paraId="5F1C645A">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14:paraId="4074FB10">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77995B1">
      <w:pPr>
        <w:shd w:val="clea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51BC176">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F12C00C">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59CAEAA">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4E6C643">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5EADC94">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23B170F">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9473C3D">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B773889">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44FA296">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866EF4A">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2813476">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44B57E17">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391ADA2">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E759E44">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0D397CE">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8350294">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0D7958F">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91A8337">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EBDA79F">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2F39AE4">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6E55A23">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426BB9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07B9FCD">
      <w:pPr>
        <w:shd w:val="clear"/>
        <w:spacing w:line="360" w:lineRule="auto"/>
        <w:rPr>
          <w:rFonts w:hint="eastAsia" w:ascii="仿宋" w:hAnsi="仿宋" w:eastAsia="仿宋" w:cs="仿宋"/>
          <w:b/>
          <w:color w:val="auto"/>
          <w:sz w:val="24"/>
          <w:highlight w:val="none"/>
        </w:rPr>
      </w:pPr>
      <w:r>
        <w:rPr>
          <w:rFonts w:hint="eastAsia" w:ascii="宋体" w:hAnsi="宋体" w:eastAsia="宋体" w:cs="宋体"/>
          <w:color w:val="auto"/>
          <w:sz w:val="24"/>
          <w:highlight w:val="none"/>
        </w:rPr>
        <w:t xml:space="preserve">日期：    </w:t>
      </w:r>
    </w:p>
    <w:p w14:paraId="4598F5E4">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803BFDA">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6360937">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7DA5139">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2FD961F">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FA43489">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E358689">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79D1BD2">
      <w:pPr>
        <w:widowControl/>
        <w:shd w:val="clear"/>
        <w:spacing w:line="360" w:lineRule="auto"/>
        <w:ind w:firstLine="600" w:firstLineChars="200"/>
        <w:jc w:val="left"/>
        <w:rPr>
          <w:rFonts w:hint="eastAsia" w:ascii="仿宋" w:hAnsi="仿宋" w:eastAsia="仿宋" w:cs="仿宋"/>
          <w:color w:val="auto"/>
          <w:sz w:val="30"/>
          <w:szCs w:val="30"/>
          <w:highlight w:val="none"/>
        </w:rPr>
      </w:pPr>
    </w:p>
    <w:p w14:paraId="7DCB8D06">
      <w:pPr>
        <w:shd w:val="clear"/>
        <w:spacing w:line="360" w:lineRule="auto"/>
        <w:jc w:val="center"/>
        <w:rPr>
          <w:rFonts w:hint="eastAsia" w:ascii="仿宋" w:hAnsi="仿宋" w:eastAsia="仿宋" w:cs="仿宋"/>
          <w:b/>
          <w:color w:val="auto"/>
          <w:spacing w:val="6"/>
          <w:sz w:val="32"/>
          <w:szCs w:val="32"/>
          <w:highlight w:val="none"/>
        </w:rPr>
      </w:pPr>
    </w:p>
    <w:p w14:paraId="0840DB46">
      <w:pPr>
        <w:shd w:val="clear"/>
        <w:spacing w:line="360" w:lineRule="auto"/>
        <w:jc w:val="center"/>
        <w:rPr>
          <w:rFonts w:hint="eastAsia" w:ascii="仿宋" w:hAnsi="仿宋" w:eastAsia="仿宋" w:cs="仿宋"/>
          <w:b/>
          <w:color w:val="auto"/>
          <w:spacing w:val="6"/>
          <w:sz w:val="32"/>
          <w:szCs w:val="32"/>
          <w:highlight w:val="none"/>
        </w:rPr>
      </w:pPr>
    </w:p>
    <w:p w14:paraId="447ED1AA">
      <w:pPr>
        <w:pStyle w:val="2"/>
        <w:shd w:val="clear"/>
        <w:rPr>
          <w:rFonts w:hint="eastAsia" w:ascii="仿宋" w:hAnsi="仿宋" w:eastAsia="仿宋" w:cs="仿宋"/>
          <w:b/>
          <w:color w:val="auto"/>
          <w:spacing w:val="6"/>
          <w:sz w:val="32"/>
          <w:szCs w:val="32"/>
          <w:highlight w:val="none"/>
        </w:rPr>
      </w:pPr>
    </w:p>
    <w:p w14:paraId="3F853F4E">
      <w:pPr>
        <w:shd w:val="clear"/>
        <w:rPr>
          <w:rFonts w:hint="eastAsia" w:ascii="仿宋" w:hAnsi="仿宋" w:eastAsia="仿宋" w:cs="仿宋"/>
          <w:b/>
          <w:color w:val="auto"/>
          <w:spacing w:val="6"/>
          <w:sz w:val="32"/>
          <w:szCs w:val="32"/>
          <w:highlight w:val="none"/>
        </w:rPr>
      </w:pPr>
    </w:p>
    <w:p w14:paraId="7A065331">
      <w:pPr>
        <w:pStyle w:val="2"/>
        <w:shd w:val="clear"/>
        <w:rPr>
          <w:rFonts w:hint="eastAsia" w:ascii="仿宋" w:hAnsi="仿宋" w:eastAsia="仿宋" w:cs="仿宋"/>
          <w:b/>
          <w:color w:val="auto"/>
          <w:spacing w:val="6"/>
          <w:sz w:val="32"/>
          <w:szCs w:val="32"/>
          <w:highlight w:val="none"/>
        </w:rPr>
      </w:pPr>
    </w:p>
    <w:p w14:paraId="7529D9E1">
      <w:pPr>
        <w:shd w:val="clear"/>
        <w:rPr>
          <w:rFonts w:hint="eastAsia" w:ascii="仿宋" w:hAnsi="仿宋" w:eastAsia="仿宋" w:cs="仿宋"/>
          <w:b/>
          <w:color w:val="auto"/>
          <w:spacing w:val="6"/>
          <w:sz w:val="32"/>
          <w:szCs w:val="32"/>
          <w:highlight w:val="none"/>
        </w:rPr>
      </w:pPr>
    </w:p>
    <w:p w14:paraId="6CCDC65E">
      <w:pPr>
        <w:pStyle w:val="2"/>
        <w:shd w:val="clear"/>
        <w:rPr>
          <w:rFonts w:hint="eastAsia" w:ascii="仿宋" w:hAnsi="仿宋" w:eastAsia="仿宋" w:cs="仿宋"/>
          <w:b/>
          <w:color w:val="auto"/>
          <w:spacing w:val="6"/>
          <w:sz w:val="32"/>
          <w:szCs w:val="32"/>
          <w:highlight w:val="none"/>
        </w:rPr>
      </w:pPr>
    </w:p>
    <w:p w14:paraId="5FA900BA">
      <w:pPr>
        <w:shd w:val="clear"/>
        <w:rPr>
          <w:rFonts w:hint="eastAsia" w:ascii="仿宋" w:hAnsi="仿宋" w:eastAsia="仿宋" w:cs="仿宋"/>
          <w:b/>
          <w:color w:val="auto"/>
          <w:spacing w:val="6"/>
          <w:sz w:val="32"/>
          <w:szCs w:val="32"/>
          <w:highlight w:val="none"/>
        </w:rPr>
      </w:pPr>
    </w:p>
    <w:p w14:paraId="69D527BB">
      <w:pPr>
        <w:pStyle w:val="2"/>
        <w:shd w:val="clear"/>
        <w:rPr>
          <w:rFonts w:hint="eastAsia" w:ascii="仿宋" w:hAnsi="仿宋" w:eastAsia="仿宋" w:cs="仿宋"/>
          <w:b/>
          <w:color w:val="auto"/>
          <w:spacing w:val="6"/>
          <w:sz w:val="32"/>
          <w:szCs w:val="32"/>
          <w:highlight w:val="none"/>
        </w:rPr>
      </w:pPr>
    </w:p>
    <w:p w14:paraId="33B587AB">
      <w:pPr>
        <w:shd w:val="clear"/>
        <w:rPr>
          <w:rFonts w:hint="eastAsia" w:ascii="仿宋" w:hAnsi="仿宋" w:eastAsia="仿宋" w:cs="仿宋"/>
          <w:b/>
          <w:color w:val="auto"/>
          <w:spacing w:val="6"/>
          <w:sz w:val="32"/>
          <w:szCs w:val="32"/>
          <w:highlight w:val="none"/>
        </w:rPr>
      </w:pPr>
    </w:p>
    <w:p w14:paraId="1F557D88">
      <w:pPr>
        <w:pStyle w:val="2"/>
        <w:shd w:val="clear"/>
        <w:rPr>
          <w:rFonts w:hint="eastAsia" w:ascii="仿宋" w:hAnsi="仿宋" w:eastAsia="仿宋" w:cs="仿宋"/>
          <w:b/>
          <w:color w:val="auto"/>
          <w:spacing w:val="6"/>
          <w:sz w:val="32"/>
          <w:szCs w:val="32"/>
          <w:highlight w:val="none"/>
        </w:rPr>
      </w:pPr>
    </w:p>
    <w:p w14:paraId="12135F8D">
      <w:pPr>
        <w:shd w:val="clear"/>
        <w:rPr>
          <w:rFonts w:hint="eastAsia" w:ascii="仿宋" w:hAnsi="仿宋" w:eastAsia="仿宋" w:cs="仿宋"/>
          <w:b/>
          <w:color w:val="auto"/>
          <w:spacing w:val="6"/>
          <w:sz w:val="32"/>
          <w:szCs w:val="32"/>
          <w:highlight w:val="none"/>
        </w:rPr>
      </w:pPr>
    </w:p>
    <w:p w14:paraId="36F06013">
      <w:pPr>
        <w:pStyle w:val="2"/>
        <w:shd w:val="clear"/>
        <w:rPr>
          <w:rFonts w:hint="eastAsia" w:ascii="仿宋" w:hAnsi="仿宋" w:eastAsia="仿宋" w:cs="仿宋"/>
          <w:b/>
          <w:color w:val="auto"/>
          <w:spacing w:val="6"/>
          <w:sz w:val="32"/>
          <w:szCs w:val="32"/>
          <w:highlight w:val="none"/>
        </w:rPr>
      </w:pPr>
    </w:p>
    <w:p w14:paraId="0B20E0EB">
      <w:pPr>
        <w:shd w:val="clear"/>
        <w:rPr>
          <w:rFonts w:hint="eastAsia" w:ascii="仿宋" w:hAnsi="仿宋" w:eastAsia="仿宋" w:cs="仿宋"/>
          <w:b/>
          <w:color w:val="auto"/>
          <w:spacing w:val="6"/>
          <w:sz w:val="32"/>
          <w:szCs w:val="32"/>
          <w:highlight w:val="none"/>
        </w:rPr>
      </w:pPr>
    </w:p>
    <w:p w14:paraId="3163F3E1">
      <w:pPr>
        <w:pStyle w:val="2"/>
        <w:shd w:val="clear"/>
        <w:rPr>
          <w:rFonts w:hint="eastAsia" w:ascii="仿宋" w:hAnsi="仿宋" w:eastAsia="仿宋" w:cs="仿宋"/>
          <w:b/>
          <w:color w:val="auto"/>
          <w:spacing w:val="6"/>
          <w:sz w:val="32"/>
          <w:szCs w:val="32"/>
          <w:highlight w:val="none"/>
        </w:rPr>
      </w:pPr>
    </w:p>
    <w:p w14:paraId="26017202">
      <w:pPr>
        <w:shd w:val="clear"/>
        <w:rPr>
          <w:rFonts w:hint="eastAsia" w:ascii="仿宋" w:hAnsi="仿宋" w:eastAsia="仿宋" w:cs="仿宋"/>
          <w:b/>
          <w:color w:val="auto"/>
          <w:spacing w:val="6"/>
          <w:sz w:val="32"/>
          <w:szCs w:val="32"/>
          <w:highlight w:val="none"/>
        </w:rPr>
      </w:pPr>
    </w:p>
    <w:p w14:paraId="4A1749F1">
      <w:pPr>
        <w:shd w:val="clear"/>
        <w:rPr>
          <w:rFonts w:hint="eastAsia"/>
          <w:color w:val="auto"/>
          <w:highlight w:val="none"/>
        </w:rPr>
      </w:pPr>
    </w:p>
    <w:p w14:paraId="69280FF1">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14:paraId="3C0C408B">
      <w:pPr>
        <w:shd w:val="clear"/>
        <w:spacing w:line="360" w:lineRule="auto"/>
        <w:jc w:val="center"/>
        <w:rPr>
          <w:rFonts w:hint="eastAsia" w:ascii="宋体" w:hAnsi="宋体" w:eastAsia="宋体" w:cs="宋体"/>
          <w:b/>
          <w:color w:val="auto"/>
          <w:sz w:val="24"/>
          <w:highlight w:val="none"/>
        </w:rPr>
      </w:pPr>
    </w:p>
    <w:p w14:paraId="65861395">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85B71A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B7134D3">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17C0D70">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B2D3D3C">
      <w:pPr>
        <w:shd w:val="clea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58EFFD5">
      <w:pPr>
        <w:shd w:val="clea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E5A04C3">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5C83E2E">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FC27A76">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36993CF">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E7C0F67">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1DA90D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8DBBCAC">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C6DA7D6">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7FD0650">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20D8A0E">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529842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4BA9F7C">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52D31C3">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0AF3A6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388E37C">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5962C1D">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B24CE34">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089723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7D0A942">
      <w:pPr>
        <w:shd w:val="clea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D064FB9">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7409C5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7859E2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B00422D">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A546D1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D006B1C">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9CB55C4">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3D9C28C">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7F6683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40144A2">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18C7BC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817F33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E4865FB">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68BDC6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E53B1F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CB3A1DF">
      <w:pPr>
        <w:shd w:val="clear"/>
        <w:spacing w:line="360" w:lineRule="auto"/>
        <w:rPr>
          <w:rFonts w:hint="eastAsia" w:ascii="宋体" w:hAnsi="宋体" w:eastAsia="宋体" w:cs="宋体"/>
          <w:b/>
          <w:color w:val="auto"/>
          <w:sz w:val="24"/>
          <w:highlight w:val="none"/>
        </w:rPr>
      </w:pPr>
    </w:p>
    <w:p w14:paraId="3D8F221E">
      <w:pPr>
        <w:shd w:val="clear"/>
        <w:spacing w:line="360" w:lineRule="auto"/>
        <w:rPr>
          <w:rFonts w:hint="eastAsia" w:ascii="宋体" w:hAnsi="宋体" w:eastAsia="宋体" w:cs="宋体"/>
          <w:b/>
          <w:color w:val="auto"/>
          <w:sz w:val="24"/>
          <w:highlight w:val="none"/>
        </w:rPr>
      </w:pPr>
    </w:p>
    <w:p w14:paraId="297D40D8">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DF23962">
      <w:pPr>
        <w:widowControl/>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DF99784">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F822DC8">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4AC9C69">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F06A17E">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49F2446">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DDFEBC8">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C039F1">
      <w:pPr>
        <w:shd w:val="clear"/>
        <w:spacing w:line="360" w:lineRule="auto"/>
        <w:rPr>
          <w:rFonts w:hint="eastAsia" w:ascii="宋体" w:hAnsi="宋体" w:eastAsia="宋体" w:cs="宋体"/>
          <w:b/>
          <w:color w:val="auto"/>
          <w:sz w:val="24"/>
          <w:highlight w:val="none"/>
        </w:rPr>
      </w:pPr>
    </w:p>
    <w:p w14:paraId="32B40699">
      <w:pPr>
        <w:shd w:val="clear"/>
        <w:autoSpaceDE w:val="0"/>
        <w:autoSpaceDN w:val="0"/>
        <w:jc w:val="center"/>
        <w:rPr>
          <w:rFonts w:hint="eastAsia" w:ascii="仿宋" w:hAnsi="仿宋" w:eastAsia="仿宋" w:cs="仿宋"/>
          <w:b/>
          <w:color w:val="auto"/>
          <w:spacing w:val="6"/>
          <w:sz w:val="32"/>
          <w:szCs w:val="32"/>
          <w:highlight w:val="none"/>
        </w:rPr>
      </w:pPr>
    </w:p>
    <w:p w14:paraId="52FCE3EF">
      <w:pPr>
        <w:shd w:val="clear"/>
        <w:autoSpaceDE w:val="0"/>
        <w:autoSpaceDN w:val="0"/>
        <w:jc w:val="center"/>
        <w:rPr>
          <w:rFonts w:hint="eastAsia" w:ascii="仿宋" w:hAnsi="仿宋" w:eastAsia="仿宋" w:cs="仿宋"/>
          <w:b/>
          <w:color w:val="auto"/>
          <w:spacing w:val="6"/>
          <w:sz w:val="32"/>
          <w:szCs w:val="32"/>
          <w:highlight w:val="none"/>
        </w:rPr>
      </w:pPr>
    </w:p>
    <w:p w14:paraId="4EF24801">
      <w:pPr>
        <w:shd w:val="clea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2794C7B0">
      <w:pPr>
        <w:shd w:val="clear"/>
        <w:spacing w:line="360" w:lineRule="auto"/>
        <w:rPr>
          <w:rFonts w:hint="eastAsia" w:ascii="宋体" w:hAnsi="宋体" w:eastAsia="宋体" w:cs="宋体"/>
          <w:color w:val="auto"/>
          <w:sz w:val="24"/>
          <w:highlight w:val="none"/>
          <w:u w:val="single"/>
        </w:rPr>
      </w:pPr>
    </w:p>
    <w:p w14:paraId="2880776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06DE7CE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4660E1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8FBEDA0">
      <w:pPr>
        <w:shd w:val="clear"/>
        <w:spacing w:line="360" w:lineRule="auto"/>
        <w:ind w:firstLine="494"/>
        <w:rPr>
          <w:rFonts w:hint="eastAsia" w:ascii="宋体" w:hAnsi="宋体" w:eastAsia="宋体" w:cs="宋体"/>
          <w:color w:val="auto"/>
          <w:sz w:val="24"/>
          <w:highlight w:val="none"/>
        </w:rPr>
      </w:pPr>
    </w:p>
    <w:p w14:paraId="48A9BAC9">
      <w:pPr>
        <w:shd w:val="clear"/>
        <w:spacing w:line="360" w:lineRule="auto"/>
        <w:ind w:firstLine="494"/>
        <w:rPr>
          <w:rFonts w:hint="eastAsia" w:ascii="宋体" w:hAnsi="宋体" w:eastAsia="宋体" w:cs="宋体"/>
          <w:color w:val="auto"/>
          <w:sz w:val="24"/>
          <w:highlight w:val="none"/>
        </w:rPr>
      </w:pPr>
    </w:p>
    <w:p w14:paraId="0BD81C55">
      <w:pPr>
        <w:shd w:val="clear"/>
        <w:spacing w:line="360" w:lineRule="auto"/>
        <w:ind w:firstLine="494"/>
        <w:rPr>
          <w:rFonts w:hint="eastAsia" w:ascii="宋体" w:hAnsi="宋体" w:eastAsia="宋体" w:cs="宋体"/>
          <w:color w:val="auto"/>
          <w:sz w:val="24"/>
          <w:highlight w:val="none"/>
        </w:rPr>
      </w:pPr>
    </w:p>
    <w:p w14:paraId="54DEDD19">
      <w:pPr>
        <w:shd w:val="clea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AE77BAD">
      <w:pPr>
        <w:shd w:val="clea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41A9D1D">
      <w:pPr>
        <w:pStyle w:val="81"/>
        <w:shd w:val="clear"/>
        <w:rPr>
          <w:rFonts w:hint="eastAsia" w:ascii="宋体" w:hAnsi="宋体" w:eastAsia="宋体" w:cs="宋体"/>
          <w:color w:val="auto"/>
          <w:highlight w:val="none"/>
        </w:rPr>
      </w:pPr>
    </w:p>
    <w:p w14:paraId="782E1859">
      <w:pPr>
        <w:shd w:val="clea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B8ECC91">
      <w:pPr>
        <w:shd w:val="clea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6C427242">
      <w:pPr>
        <w:shd w:val="clear"/>
        <w:autoSpaceDE w:val="0"/>
        <w:autoSpaceDN w:val="0"/>
        <w:jc w:val="center"/>
        <w:rPr>
          <w:rFonts w:hint="eastAsia" w:ascii="宋体" w:hAnsi="宋体" w:eastAsia="宋体" w:cs="宋体"/>
          <w:b/>
          <w:color w:val="auto"/>
          <w:spacing w:val="6"/>
          <w:sz w:val="32"/>
          <w:szCs w:val="32"/>
          <w:highlight w:val="none"/>
        </w:rPr>
      </w:pPr>
    </w:p>
    <w:p w14:paraId="042EB54A">
      <w:pPr>
        <w:shd w:val="clear"/>
        <w:autoSpaceDE w:val="0"/>
        <w:autoSpaceDN w:val="0"/>
        <w:jc w:val="center"/>
        <w:rPr>
          <w:rFonts w:hint="eastAsia" w:ascii="宋体" w:hAnsi="宋体" w:eastAsia="宋体" w:cs="宋体"/>
          <w:b/>
          <w:color w:val="auto"/>
          <w:spacing w:val="6"/>
          <w:sz w:val="32"/>
          <w:szCs w:val="32"/>
          <w:highlight w:val="none"/>
        </w:rPr>
      </w:pPr>
    </w:p>
    <w:p w14:paraId="6B949CFD">
      <w:pPr>
        <w:shd w:val="clear"/>
        <w:autoSpaceDE w:val="0"/>
        <w:autoSpaceDN w:val="0"/>
        <w:jc w:val="center"/>
        <w:rPr>
          <w:rFonts w:hint="eastAsia" w:ascii="宋体" w:hAnsi="宋体" w:eastAsia="宋体" w:cs="宋体"/>
          <w:b/>
          <w:color w:val="auto"/>
          <w:spacing w:val="6"/>
          <w:sz w:val="32"/>
          <w:szCs w:val="32"/>
          <w:highlight w:val="none"/>
        </w:rPr>
      </w:pPr>
    </w:p>
    <w:p w14:paraId="7F5D30ED">
      <w:pPr>
        <w:shd w:val="clear"/>
        <w:autoSpaceDE w:val="0"/>
        <w:autoSpaceDN w:val="0"/>
        <w:jc w:val="center"/>
        <w:rPr>
          <w:rFonts w:hint="eastAsia" w:ascii="宋体" w:hAnsi="宋体" w:eastAsia="宋体" w:cs="宋体"/>
          <w:b/>
          <w:color w:val="auto"/>
          <w:spacing w:val="6"/>
          <w:sz w:val="32"/>
          <w:szCs w:val="32"/>
          <w:highlight w:val="none"/>
        </w:rPr>
      </w:pPr>
    </w:p>
    <w:p w14:paraId="24A76D99">
      <w:pPr>
        <w:shd w:val="clear"/>
        <w:autoSpaceDE w:val="0"/>
        <w:autoSpaceDN w:val="0"/>
        <w:jc w:val="center"/>
        <w:rPr>
          <w:rFonts w:hint="eastAsia" w:ascii="宋体" w:hAnsi="宋体" w:eastAsia="宋体" w:cs="宋体"/>
          <w:b/>
          <w:color w:val="auto"/>
          <w:spacing w:val="6"/>
          <w:sz w:val="32"/>
          <w:szCs w:val="32"/>
          <w:highlight w:val="none"/>
        </w:rPr>
      </w:pPr>
    </w:p>
    <w:p w14:paraId="63F4D2FD">
      <w:pPr>
        <w:shd w:val="clear"/>
        <w:autoSpaceDE w:val="0"/>
        <w:autoSpaceDN w:val="0"/>
        <w:jc w:val="center"/>
        <w:rPr>
          <w:rFonts w:hint="eastAsia" w:ascii="宋体" w:hAnsi="宋体" w:eastAsia="宋体" w:cs="宋体"/>
          <w:b/>
          <w:color w:val="auto"/>
          <w:spacing w:val="6"/>
          <w:sz w:val="32"/>
          <w:szCs w:val="32"/>
          <w:highlight w:val="none"/>
        </w:rPr>
      </w:pPr>
    </w:p>
    <w:p w14:paraId="39340000">
      <w:pPr>
        <w:shd w:val="clear"/>
        <w:autoSpaceDE w:val="0"/>
        <w:autoSpaceDN w:val="0"/>
        <w:jc w:val="center"/>
        <w:rPr>
          <w:rFonts w:hint="eastAsia" w:ascii="宋体" w:hAnsi="宋体" w:eastAsia="宋体" w:cs="宋体"/>
          <w:b/>
          <w:color w:val="auto"/>
          <w:spacing w:val="6"/>
          <w:sz w:val="32"/>
          <w:szCs w:val="32"/>
          <w:highlight w:val="none"/>
        </w:rPr>
      </w:pPr>
    </w:p>
    <w:p w14:paraId="5564C16B">
      <w:pPr>
        <w:shd w:val="clear"/>
        <w:autoSpaceDE w:val="0"/>
        <w:autoSpaceDN w:val="0"/>
        <w:jc w:val="center"/>
        <w:rPr>
          <w:rFonts w:hint="eastAsia" w:ascii="宋体" w:hAnsi="宋体" w:eastAsia="宋体" w:cs="宋体"/>
          <w:b/>
          <w:color w:val="auto"/>
          <w:spacing w:val="6"/>
          <w:sz w:val="32"/>
          <w:szCs w:val="32"/>
          <w:highlight w:val="none"/>
        </w:rPr>
      </w:pPr>
    </w:p>
    <w:p w14:paraId="56F34B49">
      <w:pPr>
        <w:shd w:val="clear"/>
        <w:autoSpaceDE w:val="0"/>
        <w:autoSpaceDN w:val="0"/>
        <w:jc w:val="center"/>
        <w:rPr>
          <w:rFonts w:hint="eastAsia" w:ascii="宋体" w:hAnsi="宋体" w:eastAsia="宋体" w:cs="宋体"/>
          <w:b/>
          <w:color w:val="auto"/>
          <w:spacing w:val="6"/>
          <w:sz w:val="32"/>
          <w:szCs w:val="32"/>
          <w:highlight w:val="none"/>
        </w:rPr>
      </w:pPr>
    </w:p>
    <w:p w14:paraId="6B4EC430">
      <w:pPr>
        <w:shd w:val="clear"/>
        <w:autoSpaceDE w:val="0"/>
        <w:autoSpaceDN w:val="0"/>
        <w:jc w:val="center"/>
        <w:rPr>
          <w:rFonts w:hint="eastAsia" w:ascii="宋体" w:hAnsi="宋体" w:eastAsia="宋体" w:cs="宋体"/>
          <w:b/>
          <w:color w:val="auto"/>
          <w:spacing w:val="6"/>
          <w:sz w:val="32"/>
          <w:szCs w:val="32"/>
          <w:highlight w:val="none"/>
        </w:rPr>
      </w:pPr>
    </w:p>
    <w:p w14:paraId="1E26116F">
      <w:pPr>
        <w:shd w:val="clear"/>
        <w:autoSpaceDE w:val="0"/>
        <w:autoSpaceDN w:val="0"/>
        <w:jc w:val="center"/>
        <w:rPr>
          <w:rFonts w:hint="eastAsia" w:ascii="宋体" w:hAnsi="宋体" w:eastAsia="宋体" w:cs="宋体"/>
          <w:b/>
          <w:color w:val="auto"/>
          <w:spacing w:val="6"/>
          <w:sz w:val="32"/>
          <w:szCs w:val="32"/>
          <w:highlight w:val="none"/>
        </w:rPr>
      </w:pPr>
    </w:p>
    <w:p w14:paraId="5EC80E22">
      <w:pPr>
        <w:shd w:val="clear"/>
        <w:autoSpaceDE w:val="0"/>
        <w:autoSpaceDN w:val="0"/>
        <w:jc w:val="center"/>
        <w:rPr>
          <w:rFonts w:hint="eastAsia" w:ascii="宋体" w:hAnsi="宋体" w:eastAsia="宋体" w:cs="宋体"/>
          <w:b/>
          <w:color w:val="auto"/>
          <w:spacing w:val="6"/>
          <w:sz w:val="32"/>
          <w:szCs w:val="32"/>
          <w:highlight w:val="none"/>
        </w:rPr>
      </w:pPr>
    </w:p>
    <w:p w14:paraId="747F3677">
      <w:pPr>
        <w:shd w:val="clear"/>
        <w:autoSpaceDE w:val="0"/>
        <w:autoSpaceDN w:val="0"/>
        <w:jc w:val="center"/>
        <w:rPr>
          <w:rFonts w:hint="eastAsia" w:ascii="宋体" w:hAnsi="宋体" w:eastAsia="宋体" w:cs="宋体"/>
          <w:b/>
          <w:color w:val="auto"/>
          <w:spacing w:val="6"/>
          <w:sz w:val="32"/>
          <w:szCs w:val="32"/>
          <w:highlight w:val="none"/>
        </w:rPr>
      </w:pPr>
    </w:p>
    <w:p w14:paraId="1C356ABD">
      <w:pPr>
        <w:shd w:val="clear"/>
        <w:autoSpaceDE w:val="0"/>
        <w:autoSpaceDN w:val="0"/>
        <w:jc w:val="center"/>
        <w:rPr>
          <w:rFonts w:hint="eastAsia" w:ascii="宋体" w:hAnsi="宋体" w:eastAsia="宋体" w:cs="宋体"/>
          <w:b/>
          <w:color w:val="auto"/>
          <w:spacing w:val="6"/>
          <w:sz w:val="32"/>
          <w:szCs w:val="32"/>
          <w:highlight w:val="none"/>
        </w:rPr>
      </w:pPr>
    </w:p>
    <w:p w14:paraId="4064240F">
      <w:pPr>
        <w:shd w:val="clear"/>
        <w:autoSpaceDE w:val="0"/>
        <w:autoSpaceDN w:val="0"/>
        <w:jc w:val="center"/>
        <w:rPr>
          <w:rFonts w:hint="eastAsia" w:ascii="宋体" w:hAnsi="宋体" w:eastAsia="宋体" w:cs="宋体"/>
          <w:b/>
          <w:color w:val="auto"/>
          <w:spacing w:val="6"/>
          <w:sz w:val="32"/>
          <w:szCs w:val="32"/>
          <w:highlight w:val="none"/>
        </w:rPr>
      </w:pPr>
    </w:p>
    <w:p w14:paraId="68D2384E">
      <w:pPr>
        <w:shd w:val="clear"/>
        <w:autoSpaceDE w:val="0"/>
        <w:autoSpaceDN w:val="0"/>
        <w:jc w:val="center"/>
        <w:rPr>
          <w:rFonts w:hint="eastAsia" w:ascii="宋体" w:hAnsi="宋体" w:eastAsia="宋体" w:cs="宋体"/>
          <w:b/>
          <w:color w:val="auto"/>
          <w:spacing w:val="6"/>
          <w:sz w:val="32"/>
          <w:szCs w:val="32"/>
          <w:highlight w:val="none"/>
        </w:rPr>
      </w:pPr>
    </w:p>
    <w:p w14:paraId="13BBEB06">
      <w:pPr>
        <w:shd w:val="clear"/>
        <w:autoSpaceDE w:val="0"/>
        <w:autoSpaceDN w:val="0"/>
        <w:jc w:val="center"/>
        <w:rPr>
          <w:rFonts w:hint="eastAsia" w:ascii="宋体" w:hAnsi="宋体" w:eastAsia="宋体" w:cs="宋体"/>
          <w:b/>
          <w:color w:val="auto"/>
          <w:spacing w:val="6"/>
          <w:sz w:val="32"/>
          <w:szCs w:val="32"/>
          <w:highlight w:val="none"/>
        </w:rPr>
      </w:pPr>
    </w:p>
    <w:p w14:paraId="10C8A82E">
      <w:pPr>
        <w:shd w:val="clear"/>
        <w:rPr>
          <w:rFonts w:hint="eastAsia" w:ascii="宋体" w:hAnsi="宋体" w:eastAsia="宋体" w:cs="宋体"/>
          <w:color w:val="auto"/>
          <w:highlight w:val="none"/>
        </w:rPr>
      </w:pPr>
    </w:p>
    <w:p w14:paraId="1B4348B4">
      <w:pPr>
        <w:shd w:val="clea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w:t>
      </w:r>
      <w:r>
        <w:rPr>
          <w:rFonts w:hint="eastAsia" w:ascii="宋体" w:hAnsi="宋体" w:eastAsia="宋体" w:cs="宋体"/>
          <w:b/>
          <w:color w:val="auto"/>
          <w:kern w:val="0"/>
          <w:sz w:val="32"/>
          <w:szCs w:val="32"/>
          <w:highlight w:val="none"/>
          <w:lang w:val="en-US" w:eastAsia="zh-CN"/>
        </w:rPr>
        <w:t>4</w:t>
      </w:r>
      <w:r>
        <w:rPr>
          <w:rFonts w:hint="eastAsia" w:ascii="宋体" w:hAnsi="宋体" w:eastAsia="宋体" w:cs="宋体"/>
          <w:b/>
          <w:color w:val="auto"/>
          <w:kern w:val="0"/>
          <w:sz w:val="32"/>
          <w:szCs w:val="32"/>
          <w:highlight w:val="none"/>
        </w:rPr>
        <w:t>：联合协议</w:t>
      </w:r>
    </w:p>
    <w:p w14:paraId="19D15E0B">
      <w:pPr>
        <w:widowControl/>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6308C383">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725CAD80">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5C2F04E">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C2DE511">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21FAD35D">
      <w:pPr>
        <w:shd w:val="clear"/>
        <w:snapToGrid w:val="0"/>
        <w:spacing w:line="360" w:lineRule="auto"/>
        <w:ind w:firstLine="576"/>
        <w:rPr>
          <w:rFonts w:hint="eastAsia" w:ascii="宋体" w:hAnsi="宋体" w:eastAsia="宋体" w:cs="宋体"/>
          <w:color w:val="auto"/>
          <w:kern w:val="0"/>
          <w:sz w:val="24"/>
          <w:highlight w:val="none"/>
          <w:lang w:val="zh-CN"/>
        </w:rPr>
      </w:pPr>
      <w:bookmarkStart w:id="86"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5C6D496">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726AB5F">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86"/>
    <w:p w14:paraId="6B4B37C9">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E343F51">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82463CA">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1D506EE">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3BB84BCD">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1D2AA51E">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43FE107">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5CCB741">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607ED09">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A3ED9D5">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C903C9A">
      <w:pPr>
        <w:shd w:val="clea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39F5F58">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6366FCF">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80AF7D6">
      <w:pPr>
        <w:shd w:val="clear"/>
        <w:autoSpaceDE w:val="0"/>
        <w:autoSpaceDN w:val="0"/>
        <w:jc w:val="center"/>
        <w:rPr>
          <w:rFonts w:hint="eastAsia" w:ascii="仿宋" w:hAnsi="仿宋" w:eastAsia="仿宋" w:cs="仿宋"/>
          <w:b/>
          <w:color w:val="auto"/>
          <w:spacing w:val="6"/>
          <w:sz w:val="32"/>
          <w:szCs w:val="32"/>
          <w:highlight w:val="none"/>
        </w:rPr>
      </w:pPr>
    </w:p>
    <w:p w14:paraId="10C7481C">
      <w:pPr>
        <w:shd w:val="clear"/>
        <w:autoSpaceDE w:val="0"/>
        <w:autoSpaceDN w:val="0"/>
        <w:jc w:val="center"/>
        <w:rPr>
          <w:rFonts w:hint="eastAsia" w:ascii="仿宋" w:hAnsi="仿宋" w:eastAsia="仿宋" w:cs="仿宋"/>
          <w:b/>
          <w:color w:val="auto"/>
          <w:spacing w:val="6"/>
          <w:sz w:val="32"/>
          <w:szCs w:val="32"/>
          <w:highlight w:val="none"/>
        </w:rPr>
      </w:pPr>
    </w:p>
    <w:p w14:paraId="44BA8BD2">
      <w:pPr>
        <w:shd w:val="clear"/>
        <w:autoSpaceDE w:val="0"/>
        <w:autoSpaceDN w:val="0"/>
        <w:jc w:val="center"/>
        <w:rPr>
          <w:rFonts w:hint="eastAsia" w:ascii="仿宋" w:hAnsi="仿宋" w:eastAsia="仿宋" w:cs="仿宋"/>
          <w:b/>
          <w:color w:val="auto"/>
          <w:spacing w:val="6"/>
          <w:sz w:val="32"/>
          <w:szCs w:val="32"/>
          <w:highlight w:val="none"/>
        </w:rPr>
      </w:pPr>
    </w:p>
    <w:p w14:paraId="68C64F67">
      <w:pPr>
        <w:shd w:val="clear"/>
        <w:autoSpaceDE w:val="0"/>
        <w:autoSpaceDN w:val="0"/>
        <w:jc w:val="center"/>
        <w:rPr>
          <w:rFonts w:hint="eastAsia" w:ascii="仿宋" w:hAnsi="仿宋" w:eastAsia="仿宋" w:cs="仿宋"/>
          <w:b/>
          <w:color w:val="auto"/>
          <w:spacing w:val="6"/>
          <w:sz w:val="32"/>
          <w:szCs w:val="32"/>
          <w:highlight w:val="none"/>
        </w:rPr>
      </w:pPr>
    </w:p>
    <w:p w14:paraId="0AAAB57C">
      <w:pPr>
        <w:shd w:val="clear"/>
        <w:autoSpaceDE w:val="0"/>
        <w:autoSpaceDN w:val="0"/>
        <w:jc w:val="center"/>
        <w:rPr>
          <w:rFonts w:hint="eastAsia" w:ascii="仿宋" w:hAnsi="仿宋" w:eastAsia="仿宋" w:cs="仿宋"/>
          <w:b/>
          <w:color w:val="auto"/>
          <w:spacing w:val="6"/>
          <w:sz w:val="32"/>
          <w:szCs w:val="32"/>
          <w:highlight w:val="none"/>
        </w:rPr>
      </w:pPr>
    </w:p>
    <w:p w14:paraId="0ACB09AE">
      <w:pPr>
        <w:shd w:val="clear"/>
        <w:autoSpaceDE w:val="0"/>
        <w:autoSpaceDN w:val="0"/>
        <w:jc w:val="center"/>
        <w:rPr>
          <w:rFonts w:hint="eastAsia" w:ascii="仿宋" w:hAnsi="仿宋" w:eastAsia="仿宋" w:cs="仿宋"/>
          <w:b/>
          <w:color w:val="auto"/>
          <w:spacing w:val="6"/>
          <w:sz w:val="32"/>
          <w:szCs w:val="32"/>
          <w:highlight w:val="none"/>
        </w:rPr>
      </w:pPr>
    </w:p>
    <w:p w14:paraId="679D2C58">
      <w:pPr>
        <w:shd w:val="clear"/>
        <w:autoSpaceDE w:val="0"/>
        <w:autoSpaceDN w:val="0"/>
        <w:jc w:val="center"/>
        <w:rPr>
          <w:rFonts w:hint="eastAsia" w:ascii="仿宋" w:hAnsi="仿宋" w:eastAsia="仿宋" w:cs="仿宋"/>
          <w:b/>
          <w:color w:val="auto"/>
          <w:spacing w:val="6"/>
          <w:sz w:val="32"/>
          <w:szCs w:val="32"/>
          <w:highlight w:val="none"/>
        </w:rPr>
      </w:pPr>
    </w:p>
    <w:p w14:paraId="2FC96D5B">
      <w:pPr>
        <w:shd w:val="clear"/>
        <w:autoSpaceDE w:val="0"/>
        <w:autoSpaceDN w:val="0"/>
        <w:jc w:val="center"/>
        <w:rPr>
          <w:rFonts w:hint="eastAsia" w:ascii="仿宋" w:hAnsi="仿宋" w:eastAsia="仿宋" w:cs="仿宋"/>
          <w:b/>
          <w:color w:val="auto"/>
          <w:spacing w:val="6"/>
          <w:sz w:val="32"/>
          <w:szCs w:val="32"/>
          <w:highlight w:val="none"/>
        </w:rPr>
      </w:pPr>
    </w:p>
    <w:p w14:paraId="221B02A2">
      <w:pPr>
        <w:shd w:val="clear"/>
        <w:autoSpaceDE w:val="0"/>
        <w:autoSpaceDN w:val="0"/>
        <w:jc w:val="center"/>
        <w:rPr>
          <w:rFonts w:hint="eastAsia" w:ascii="仿宋" w:hAnsi="仿宋" w:eastAsia="仿宋" w:cs="仿宋"/>
          <w:b/>
          <w:color w:val="auto"/>
          <w:spacing w:val="6"/>
          <w:sz w:val="32"/>
          <w:szCs w:val="32"/>
          <w:highlight w:val="none"/>
        </w:rPr>
      </w:pPr>
    </w:p>
    <w:p w14:paraId="5203364C">
      <w:pPr>
        <w:shd w:val="clear"/>
        <w:autoSpaceDE w:val="0"/>
        <w:autoSpaceDN w:val="0"/>
        <w:jc w:val="center"/>
        <w:rPr>
          <w:rFonts w:hint="eastAsia" w:ascii="仿宋" w:hAnsi="仿宋" w:eastAsia="仿宋" w:cs="仿宋"/>
          <w:b/>
          <w:color w:val="auto"/>
          <w:spacing w:val="6"/>
          <w:sz w:val="32"/>
          <w:szCs w:val="32"/>
          <w:highlight w:val="none"/>
        </w:rPr>
      </w:pPr>
    </w:p>
    <w:p w14:paraId="4FCA7D28">
      <w:pPr>
        <w:shd w:val="clear"/>
        <w:autoSpaceDE w:val="0"/>
        <w:autoSpaceDN w:val="0"/>
        <w:jc w:val="center"/>
        <w:rPr>
          <w:rFonts w:hint="eastAsia" w:ascii="仿宋" w:hAnsi="仿宋" w:eastAsia="仿宋" w:cs="仿宋"/>
          <w:b/>
          <w:color w:val="auto"/>
          <w:spacing w:val="6"/>
          <w:sz w:val="32"/>
          <w:szCs w:val="32"/>
          <w:highlight w:val="none"/>
        </w:rPr>
      </w:pPr>
    </w:p>
    <w:p w14:paraId="3B19784A">
      <w:pPr>
        <w:shd w:val="clear"/>
        <w:autoSpaceDE w:val="0"/>
        <w:autoSpaceDN w:val="0"/>
        <w:jc w:val="center"/>
        <w:rPr>
          <w:rFonts w:hint="eastAsia" w:ascii="仿宋" w:hAnsi="仿宋" w:eastAsia="仿宋" w:cs="仿宋"/>
          <w:b/>
          <w:color w:val="auto"/>
          <w:spacing w:val="6"/>
          <w:sz w:val="32"/>
          <w:szCs w:val="32"/>
          <w:highlight w:val="none"/>
        </w:rPr>
      </w:pPr>
    </w:p>
    <w:p w14:paraId="1FE723FA">
      <w:pPr>
        <w:shd w:val="clear"/>
        <w:autoSpaceDE w:val="0"/>
        <w:autoSpaceDN w:val="0"/>
        <w:jc w:val="center"/>
        <w:rPr>
          <w:rFonts w:hint="eastAsia" w:ascii="仿宋" w:hAnsi="仿宋" w:eastAsia="仿宋" w:cs="仿宋"/>
          <w:b/>
          <w:color w:val="auto"/>
          <w:spacing w:val="6"/>
          <w:sz w:val="32"/>
          <w:szCs w:val="32"/>
          <w:highlight w:val="none"/>
        </w:rPr>
      </w:pPr>
    </w:p>
    <w:p w14:paraId="33D043B7">
      <w:pPr>
        <w:shd w:val="clear"/>
        <w:autoSpaceDE w:val="0"/>
        <w:autoSpaceDN w:val="0"/>
        <w:jc w:val="center"/>
        <w:rPr>
          <w:rFonts w:hint="eastAsia" w:ascii="仿宋" w:hAnsi="仿宋" w:eastAsia="仿宋" w:cs="仿宋"/>
          <w:b/>
          <w:color w:val="auto"/>
          <w:spacing w:val="6"/>
          <w:sz w:val="32"/>
          <w:szCs w:val="32"/>
          <w:highlight w:val="none"/>
        </w:rPr>
      </w:pPr>
    </w:p>
    <w:p w14:paraId="2D0D2972">
      <w:pPr>
        <w:shd w:val="clear"/>
        <w:autoSpaceDE w:val="0"/>
        <w:autoSpaceDN w:val="0"/>
        <w:jc w:val="center"/>
        <w:rPr>
          <w:rFonts w:hint="eastAsia" w:ascii="仿宋" w:hAnsi="仿宋" w:eastAsia="仿宋" w:cs="仿宋"/>
          <w:b/>
          <w:color w:val="auto"/>
          <w:spacing w:val="6"/>
          <w:sz w:val="32"/>
          <w:szCs w:val="32"/>
          <w:highlight w:val="none"/>
        </w:rPr>
      </w:pPr>
    </w:p>
    <w:p w14:paraId="3AB31CC0">
      <w:pPr>
        <w:shd w:val="clear"/>
        <w:autoSpaceDE w:val="0"/>
        <w:autoSpaceDN w:val="0"/>
        <w:jc w:val="center"/>
        <w:rPr>
          <w:rFonts w:hint="eastAsia" w:ascii="仿宋" w:hAnsi="仿宋" w:eastAsia="仿宋" w:cs="仿宋"/>
          <w:b/>
          <w:color w:val="auto"/>
          <w:spacing w:val="6"/>
          <w:sz w:val="32"/>
          <w:szCs w:val="32"/>
          <w:highlight w:val="none"/>
        </w:rPr>
      </w:pPr>
    </w:p>
    <w:p w14:paraId="0D019D47">
      <w:pPr>
        <w:pStyle w:val="2"/>
        <w:shd w:val="clear"/>
        <w:rPr>
          <w:rFonts w:hint="eastAsia" w:ascii="仿宋" w:hAnsi="仿宋" w:eastAsia="仿宋" w:cs="仿宋"/>
          <w:b/>
          <w:color w:val="auto"/>
          <w:spacing w:val="6"/>
          <w:sz w:val="32"/>
          <w:szCs w:val="32"/>
          <w:highlight w:val="none"/>
        </w:rPr>
      </w:pPr>
    </w:p>
    <w:p w14:paraId="2F05FB6E">
      <w:pPr>
        <w:shd w:val="clear"/>
        <w:rPr>
          <w:rFonts w:hint="eastAsia" w:ascii="仿宋" w:hAnsi="仿宋" w:eastAsia="仿宋" w:cs="仿宋"/>
          <w:b/>
          <w:color w:val="auto"/>
          <w:spacing w:val="6"/>
          <w:sz w:val="32"/>
          <w:szCs w:val="32"/>
          <w:highlight w:val="none"/>
        </w:rPr>
      </w:pPr>
    </w:p>
    <w:p w14:paraId="5A610538">
      <w:pPr>
        <w:pStyle w:val="2"/>
        <w:shd w:val="clear"/>
        <w:rPr>
          <w:rFonts w:hint="eastAsia" w:ascii="仿宋" w:hAnsi="仿宋" w:eastAsia="仿宋" w:cs="仿宋"/>
          <w:b/>
          <w:color w:val="auto"/>
          <w:spacing w:val="6"/>
          <w:sz w:val="32"/>
          <w:szCs w:val="32"/>
          <w:highlight w:val="none"/>
        </w:rPr>
      </w:pPr>
    </w:p>
    <w:p w14:paraId="431ED0AC">
      <w:pPr>
        <w:shd w:val="clear"/>
        <w:rPr>
          <w:rFonts w:hint="eastAsia" w:ascii="仿宋" w:hAnsi="仿宋" w:eastAsia="仿宋" w:cs="仿宋"/>
          <w:b/>
          <w:color w:val="auto"/>
          <w:spacing w:val="6"/>
          <w:sz w:val="32"/>
          <w:szCs w:val="32"/>
          <w:highlight w:val="none"/>
        </w:rPr>
      </w:pPr>
    </w:p>
    <w:p w14:paraId="443A3A09">
      <w:pPr>
        <w:pStyle w:val="2"/>
        <w:shd w:val="clear"/>
        <w:rPr>
          <w:rFonts w:hint="eastAsia"/>
          <w:color w:val="auto"/>
          <w:highlight w:val="none"/>
        </w:rPr>
      </w:pPr>
    </w:p>
    <w:p w14:paraId="48A79B9A">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449F5CCC">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6433F4A9">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6EF03821">
      <w:pPr>
        <w:shd w:val="clea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w:t>
      </w:r>
      <w:r>
        <w:rPr>
          <w:rFonts w:hint="eastAsia" w:ascii="宋体" w:hAnsi="宋体" w:eastAsia="宋体" w:cs="宋体"/>
          <w:b/>
          <w:color w:val="auto"/>
          <w:kern w:val="0"/>
          <w:sz w:val="32"/>
          <w:szCs w:val="32"/>
          <w:highlight w:val="none"/>
          <w:lang w:val="en-US" w:eastAsia="zh-CN"/>
        </w:rPr>
        <w:t>5</w:t>
      </w:r>
      <w:r>
        <w:rPr>
          <w:rFonts w:hint="eastAsia" w:ascii="宋体" w:hAnsi="宋体" w:eastAsia="宋体" w:cs="宋体"/>
          <w:b/>
          <w:color w:val="auto"/>
          <w:kern w:val="0"/>
          <w:sz w:val="32"/>
          <w:szCs w:val="32"/>
          <w:highlight w:val="none"/>
        </w:rPr>
        <w:t>：分包意向协议</w:t>
      </w:r>
    </w:p>
    <w:p w14:paraId="1EEF26F8">
      <w:pPr>
        <w:widowControl/>
        <w:shd w:val="clear"/>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BB97A8C">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96F0209">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BC5203B">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0B81F916">
      <w:pPr>
        <w:pStyle w:val="2"/>
        <w:shd w:val="clear"/>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C7A5FFB">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23BB4AB6">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D6123C5">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87"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87"/>
    </w:p>
    <w:p w14:paraId="4DAF508E">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74AD9C69">
      <w:pPr>
        <w:shd w:val="clea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BE59297">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64C2342D">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04E667E">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9679DAB">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2079A4D">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38F6E136">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47052B2">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0DCF1BE">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972A6D8">
      <w:pPr>
        <w:shd w:val="clea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76A2ABBF">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00E9AFC">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9D8DA20">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F12A833">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22F8BE4">
      <w:pPr>
        <w:shd w:val="clear"/>
        <w:autoSpaceDE w:val="0"/>
        <w:autoSpaceDN w:val="0"/>
        <w:jc w:val="center"/>
        <w:rPr>
          <w:rFonts w:hint="eastAsia" w:ascii="仿宋" w:hAnsi="仿宋" w:eastAsia="仿宋" w:cs="仿宋"/>
          <w:b/>
          <w:color w:val="auto"/>
          <w:spacing w:val="6"/>
          <w:sz w:val="32"/>
          <w:szCs w:val="32"/>
          <w:highlight w:val="none"/>
        </w:rPr>
      </w:pPr>
    </w:p>
    <w:p w14:paraId="01316263">
      <w:pPr>
        <w:shd w:val="clear"/>
        <w:autoSpaceDE w:val="0"/>
        <w:autoSpaceDN w:val="0"/>
        <w:jc w:val="center"/>
        <w:rPr>
          <w:rFonts w:hint="eastAsia" w:ascii="仿宋" w:hAnsi="仿宋" w:eastAsia="仿宋" w:cs="仿宋"/>
          <w:b/>
          <w:color w:val="auto"/>
          <w:spacing w:val="6"/>
          <w:sz w:val="32"/>
          <w:szCs w:val="32"/>
          <w:highlight w:val="none"/>
        </w:rPr>
      </w:pPr>
    </w:p>
    <w:p w14:paraId="4F9E2779">
      <w:pPr>
        <w:shd w:val="clear"/>
        <w:autoSpaceDE w:val="0"/>
        <w:autoSpaceDN w:val="0"/>
        <w:jc w:val="center"/>
        <w:rPr>
          <w:rFonts w:hint="eastAsia" w:ascii="仿宋" w:hAnsi="仿宋" w:eastAsia="仿宋" w:cs="仿宋"/>
          <w:b/>
          <w:color w:val="auto"/>
          <w:spacing w:val="6"/>
          <w:sz w:val="32"/>
          <w:szCs w:val="32"/>
          <w:highlight w:val="none"/>
        </w:rPr>
      </w:pPr>
    </w:p>
    <w:p w14:paraId="0F348402">
      <w:pPr>
        <w:shd w:val="clear"/>
        <w:autoSpaceDE w:val="0"/>
        <w:autoSpaceDN w:val="0"/>
        <w:jc w:val="center"/>
        <w:rPr>
          <w:rFonts w:hint="eastAsia" w:ascii="仿宋" w:hAnsi="仿宋" w:eastAsia="仿宋" w:cs="仿宋"/>
          <w:b/>
          <w:color w:val="auto"/>
          <w:spacing w:val="6"/>
          <w:sz w:val="32"/>
          <w:szCs w:val="32"/>
          <w:highlight w:val="none"/>
        </w:rPr>
      </w:pPr>
    </w:p>
    <w:p w14:paraId="74F305B0">
      <w:pPr>
        <w:shd w:val="clear"/>
        <w:autoSpaceDE w:val="0"/>
        <w:autoSpaceDN w:val="0"/>
        <w:jc w:val="center"/>
        <w:rPr>
          <w:rFonts w:hint="eastAsia" w:ascii="仿宋" w:hAnsi="仿宋" w:eastAsia="仿宋" w:cs="仿宋"/>
          <w:b/>
          <w:color w:val="auto"/>
          <w:spacing w:val="6"/>
          <w:sz w:val="32"/>
          <w:szCs w:val="32"/>
          <w:highlight w:val="none"/>
        </w:rPr>
      </w:pPr>
    </w:p>
    <w:p w14:paraId="5FFB83EB">
      <w:pPr>
        <w:shd w:val="clear"/>
        <w:autoSpaceDE w:val="0"/>
        <w:autoSpaceDN w:val="0"/>
        <w:jc w:val="center"/>
        <w:rPr>
          <w:rFonts w:hint="eastAsia" w:ascii="仿宋" w:hAnsi="仿宋" w:eastAsia="仿宋" w:cs="仿宋"/>
          <w:b/>
          <w:color w:val="auto"/>
          <w:spacing w:val="6"/>
          <w:sz w:val="32"/>
          <w:szCs w:val="32"/>
          <w:highlight w:val="none"/>
        </w:rPr>
      </w:pPr>
    </w:p>
    <w:p w14:paraId="49CD8980">
      <w:pPr>
        <w:shd w:val="clear"/>
        <w:autoSpaceDE w:val="0"/>
        <w:autoSpaceDN w:val="0"/>
        <w:jc w:val="center"/>
        <w:rPr>
          <w:rFonts w:hint="eastAsia" w:ascii="仿宋" w:hAnsi="仿宋" w:eastAsia="仿宋" w:cs="仿宋"/>
          <w:b/>
          <w:color w:val="auto"/>
          <w:spacing w:val="6"/>
          <w:sz w:val="32"/>
          <w:szCs w:val="32"/>
          <w:highlight w:val="none"/>
        </w:rPr>
      </w:pPr>
    </w:p>
    <w:p w14:paraId="398294CF">
      <w:pPr>
        <w:shd w:val="clear"/>
        <w:autoSpaceDE w:val="0"/>
        <w:autoSpaceDN w:val="0"/>
        <w:jc w:val="center"/>
        <w:rPr>
          <w:rFonts w:hint="eastAsia" w:ascii="仿宋" w:hAnsi="仿宋" w:eastAsia="仿宋" w:cs="仿宋"/>
          <w:b/>
          <w:color w:val="auto"/>
          <w:spacing w:val="6"/>
          <w:sz w:val="32"/>
          <w:szCs w:val="32"/>
          <w:highlight w:val="none"/>
        </w:rPr>
      </w:pPr>
    </w:p>
    <w:p w14:paraId="05AA81F1">
      <w:pPr>
        <w:shd w:val="clear"/>
        <w:autoSpaceDE w:val="0"/>
        <w:autoSpaceDN w:val="0"/>
        <w:jc w:val="center"/>
        <w:rPr>
          <w:rFonts w:hint="eastAsia" w:ascii="仿宋" w:hAnsi="仿宋" w:eastAsia="仿宋" w:cs="仿宋"/>
          <w:b/>
          <w:color w:val="auto"/>
          <w:spacing w:val="6"/>
          <w:sz w:val="32"/>
          <w:szCs w:val="32"/>
          <w:highlight w:val="none"/>
        </w:rPr>
      </w:pPr>
    </w:p>
    <w:p w14:paraId="67913133">
      <w:pPr>
        <w:shd w:val="clear"/>
        <w:autoSpaceDE w:val="0"/>
        <w:autoSpaceDN w:val="0"/>
        <w:jc w:val="center"/>
        <w:rPr>
          <w:rFonts w:hint="eastAsia" w:ascii="仿宋" w:hAnsi="仿宋" w:eastAsia="仿宋" w:cs="仿宋"/>
          <w:b/>
          <w:color w:val="auto"/>
          <w:spacing w:val="6"/>
          <w:sz w:val="32"/>
          <w:szCs w:val="32"/>
          <w:highlight w:val="none"/>
        </w:rPr>
      </w:pPr>
    </w:p>
    <w:p w14:paraId="555E5C0E">
      <w:pPr>
        <w:shd w:val="clear"/>
        <w:autoSpaceDE w:val="0"/>
        <w:autoSpaceDN w:val="0"/>
        <w:jc w:val="center"/>
        <w:rPr>
          <w:rFonts w:hint="eastAsia" w:ascii="仿宋" w:hAnsi="仿宋" w:eastAsia="仿宋" w:cs="仿宋"/>
          <w:b/>
          <w:color w:val="auto"/>
          <w:spacing w:val="6"/>
          <w:sz w:val="32"/>
          <w:szCs w:val="32"/>
          <w:highlight w:val="none"/>
        </w:rPr>
      </w:pPr>
    </w:p>
    <w:p w14:paraId="6E374A04">
      <w:pPr>
        <w:pStyle w:val="81"/>
        <w:shd w:val="clear"/>
        <w:rPr>
          <w:rFonts w:hint="eastAsia" w:ascii="仿宋" w:hAnsi="仿宋" w:eastAsia="仿宋" w:cs="仿宋"/>
          <w:b/>
          <w:color w:val="auto"/>
          <w:spacing w:val="6"/>
          <w:sz w:val="32"/>
          <w:szCs w:val="32"/>
          <w:highlight w:val="none"/>
        </w:rPr>
      </w:pPr>
    </w:p>
    <w:p w14:paraId="75577C98">
      <w:pPr>
        <w:pStyle w:val="82"/>
        <w:shd w:val="clear"/>
        <w:rPr>
          <w:rFonts w:hint="eastAsia" w:ascii="仿宋" w:hAnsi="仿宋" w:eastAsia="仿宋" w:cs="仿宋"/>
          <w:b/>
          <w:color w:val="auto"/>
          <w:spacing w:val="6"/>
          <w:sz w:val="32"/>
          <w:szCs w:val="32"/>
          <w:highlight w:val="none"/>
        </w:rPr>
      </w:pPr>
    </w:p>
    <w:p w14:paraId="6BC37A23">
      <w:pPr>
        <w:shd w:val="clear"/>
        <w:rPr>
          <w:rFonts w:hint="eastAsia" w:ascii="仿宋" w:hAnsi="仿宋" w:eastAsia="仿宋" w:cs="仿宋"/>
          <w:b/>
          <w:color w:val="auto"/>
          <w:spacing w:val="6"/>
          <w:sz w:val="32"/>
          <w:szCs w:val="32"/>
          <w:highlight w:val="none"/>
        </w:rPr>
      </w:pPr>
    </w:p>
    <w:p w14:paraId="188378DC">
      <w:pPr>
        <w:pStyle w:val="81"/>
        <w:shd w:val="clear"/>
        <w:rPr>
          <w:rFonts w:hint="eastAsia" w:ascii="仿宋" w:hAnsi="仿宋" w:eastAsia="仿宋" w:cs="仿宋"/>
          <w:b/>
          <w:color w:val="auto"/>
          <w:spacing w:val="6"/>
          <w:sz w:val="32"/>
          <w:szCs w:val="32"/>
          <w:highlight w:val="none"/>
        </w:rPr>
      </w:pPr>
    </w:p>
    <w:p w14:paraId="3ACAE789">
      <w:pPr>
        <w:pStyle w:val="82"/>
        <w:shd w:val="clear"/>
        <w:rPr>
          <w:rFonts w:hint="eastAsia"/>
          <w:color w:val="auto"/>
          <w:highlight w:val="none"/>
        </w:rPr>
      </w:pPr>
    </w:p>
    <w:p w14:paraId="12C64BD2">
      <w:pPr>
        <w:shd w:val="clear"/>
        <w:spacing w:line="360" w:lineRule="auto"/>
        <w:jc w:val="both"/>
        <w:rPr>
          <w:rFonts w:hint="eastAsia" w:ascii="仿宋" w:hAnsi="仿宋" w:eastAsia="仿宋" w:cs="仿宋"/>
          <w:b/>
          <w:color w:val="auto"/>
          <w:spacing w:val="6"/>
          <w:sz w:val="32"/>
          <w:szCs w:val="32"/>
          <w:highlight w:val="none"/>
        </w:rPr>
      </w:pPr>
      <w:bookmarkStart w:id="88" w:name="OLE_LINK14"/>
      <w:bookmarkStart w:id="89" w:name="OLE_LINK13"/>
    </w:p>
    <w:p w14:paraId="55411FE3">
      <w:pPr>
        <w:shd w:val="clear"/>
        <w:spacing w:line="360" w:lineRule="auto"/>
        <w:rPr>
          <w:rFonts w:hint="eastAsia" w:ascii="仿宋" w:hAnsi="仿宋" w:eastAsia="仿宋" w:cs="仿宋"/>
          <w:b/>
          <w:color w:val="auto"/>
          <w:spacing w:val="6"/>
          <w:sz w:val="32"/>
          <w:szCs w:val="32"/>
          <w:highlight w:val="none"/>
        </w:rPr>
      </w:pPr>
    </w:p>
    <w:p w14:paraId="24EE9F35">
      <w:pPr>
        <w:shd w:val="clear"/>
        <w:spacing w:line="360" w:lineRule="auto"/>
        <w:rPr>
          <w:rFonts w:hint="eastAsia" w:ascii="仿宋" w:hAnsi="仿宋" w:eastAsia="仿宋" w:cs="仿宋"/>
          <w:b/>
          <w:color w:val="auto"/>
          <w:spacing w:val="6"/>
          <w:sz w:val="32"/>
          <w:szCs w:val="32"/>
          <w:highlight w:val="none"/>
        </w:rPr>
      </w:pPr>
    </w:p>
    <w:p w14:paraId="508BF94E">
      <w:pPr>
        <w:pStyle w:val="2"/>
        <w:shd w:val="clear"/>
        <w:rPr>
          <w:rFonts w:hint="eastAsia" w:ascii="仿宋" w:hAnsi="仿宋" w:eastAsia="仿宋" w:cs="仿宋"/>
          <w:b/>
          <w:color w:val="auto"/>
          <w:spacing w:val="6"/>
          <w:sz w:val="32"/>
          <w:szCs w:val="32"/>
          <w:highlight w:val="none"/>
        </w:rPr>
      </w:pPr>
    </w:p>
    <w:p w14:paraId="6847EDB0">
      <w:pPr>
        <w:shd w:val="clear"/>
        <w:rPr>
          <w:rFonts w:hint="eastAsia" w:ascii="仿宋" w:hAnsi="仿宋" w:eastAsia="仿宋" w:cs="仿宋"/>
          <w:b/>
          <w:color w:val="auto"/>
          <w:spacing w:val="6"/>
          <w:sz w:val="32"/>
          <w:szCs w:val="32"/>
          <w:highlight w:val="none"/>
        </w:rPr>
      </w:pPr>
    </w:p>
    <w:p w14:paraId="273DFA41">
      <w:pPr>
        <w:pStyle w:val="2"/>
        <w:shd w:val="clear"/>
        <w:rPr>
          <w:rFonts w:hint="eastAsia" w:ascii="仿宋" w:hAnsi="仿宋" w:eastAsia="仿宋" w:cs="仿宋"/>
          <w:b/>
          <w:color w:val="auto"/>
          <w:spacing w:val="6"/>
          <w:sz w:val="32"/>
          <w:szCs w:val="32"/>
          <w:highlight w:val="none"/>
        </w:rPr>
      </w:pPr>
    </w:p>
    <w:p w14:paraId="49127984">
      <w:pPr>
        <w:shd w:val="clear"/>
        <w:rPr>
          <w:rFonts w:hint="eastAsia" w:ascii="仿宋" w:hAnsi="仿宋" w:eastAsia="仿宋" w:cs="仿宋"/>
          <w:b/>
          <w:color w:val="auto"/>
          <w:spacing w:val="6"/>
          <w:sz w:val="32"/>
          <w:szCs w:val="32"/>
          <w:highlight w:val="none"/>
        </w:rPr>
      </w:pPr>
    </w:p>
    <w:p w14:paraId="38E89EDF">
      <w:pPr>
        <w:pStyle w:val="2"/>
        <w:shd w:val="clear"/>
        <w:rPr>
          <w:rFonts w:hint="eastAsia"/>
          <w:color w:val="auto"/>
          <w:highlight w:val="none"/>
        </w:rPr>
      </w:pPr>
    </w:p>
    <w:p w14:paraId="1DA3C89C">
      <w:pPr>
        <w:shd w:val="clear"/>
        <w:spacing w:line="360" w:lineRule="auto"/>
        <w:rPr>
          <w:rFonts w:hint="eastAsia" w:ascii="仿宋" w:hAnsi="仿宋" w:eastAsia="仿宋" w:cs="仿宋"/>
          <w:b/>
          <w:color w:val="auto"/>
          <w:spacing w:val="6"/>
          <w:sz w:val="32"/>
          <w:szCs w:val="32"/>
          <w:highlight w:val="none"/>
        </w:rPr>
      </w:pPr>
    </w:p>
    <w:p w14:paraId="79E5C4C0">
      <w:pPr>
        <w:shd w:val="clear"/>
        <w:spacing w:line="360" w:lineRule="auto"/>
        <w:rPr>
          <w:rFonts w:hint="eastAsia" w:ascii="仿宋" w:hAnsi="仿宋" w:eastAsia="仿宋" w:cs="仿宋"/>
          <w:b/>
          <w:color w:val="auto"/>
          <w:spacing w:val="6"/>
          <w:sz w:val="32"/>
          <w:szCs w:val="32"/>
          <w:highlight w:val="none"/>
        </w:rPr>
      </w:pPr>
    </w:p>
    <w:p w14:paraId="760CE0AB">
      <w:pPr>
        <w:shd w:val="clea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6</w:t>
      </w:r>
      <w:r>
        <w:rPr>
          <w:rFonts w:hint="eastAsia" w:ascii="宋体" w:hAnsi="宋体" w:eastAsia="宋体" w:cs="宋体"/>
          <w:b/>
          <w:color w:val="auto"/>
          <w:spacing w:val="6"/>
          <w:sz w:val="32"/>
          <w:szCs w:val="32"/>
          <w:highlight w:val="none"/>
        </w:rPr>
        <w:t>：</w:t>
      </w:r>
    </w:p>
    <w:p w14:paraId="56884218">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88"/>
    <w:bookmarkEnd w:id="89"/>
    <w:p w14:paraId="6EACDD0D">
      <w:pPr>
        <w:shd w:val="clear"/>
        <w:spacing w:line="360" w:lineRule="auto"/>
        <w:rPr>
          <w:rFonts w:hint="eastAsia" w:ascii="宋体" w:hAnsi="宋体" w:eastAsia="宋体" w:cs="宋体"/>
          <w:b/>
          <w:color w:val="auto"/>
          <w:spacing w:val="6"/>
          <w:sz w:val="30"/>
          <w:szCs w:val="30"/>
          <w:highlight w:val="none"/>
        </w:rPr>
      </w:pPr>
    </w:p>
    <w:p w14:paraId="1196CA2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EF8955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39DB28D">
      <w:pPr>
        <w:shd w:val="clear"/>
        <w:spacing w:line="360" w:lineRule="auto"/>
        <w:ind w:firstLine="480" w:firstLineChars="200"/>
        <w:rPr>
          <w:rFonts w:hint="eastAsia" w:ascii="宋体" w:hAnsi="宋体" w:eastAsia="宋体" w:cs="宋体"/>
          <w:color w:val="auto"/>
          <w:sz w:val="24"/>
          <w:highlight w:val="none"/>
        </w:rPr>
      </w:pPr>
    </w:p>
    <w:p w14:paraId="76D68C38">
      <w:pPr>
        <w:shd w:val="clear"/>
        <w:spacing w:line="360" w:lineRule="auto"/>
        <w:ind w:firstLine="480" w:firstLineChars="200"/>
        <w:rPr>
          <w:rFonts w:hint="eastAsia" w:ascii="宋体" w:hAnsi="宋体" w:eastAsia="宋体" w:cs="宋体"/>
          <w:color w:val="auto"/>
          <w:sz w:val="24"/>
          <w:highlight w:val="none"/>
        </w:rPr>
      </w:pPr>
    </w:p>
    <w:p w14:paraId="29812B0D">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E982C20">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3FA2D06">
      <w:pPr>
        <w:shd w:val="clear"/>
        <w:autoSpaceDE w:val="0"/>
        <w:autoSpaceDN w:val="0"/>
        <w:jc w:val="center"/>
        <w:rPr>
          <w:rFonts w:hint="eastAsia" w:ascii="宋体" w:hAnsi="宋体" w:eastAsia="宋体" w:cs="宋体"/>
          <w:b/>
          <w:color w:val="auto"/>
          <w:spacing w:val="6"/>
          <w:sz w:val="32"/>
          <w:szCs w:val="32"/>
          <w:highlight w:val="none"/>
        </w:rPr>
      </w:pPr>
    </w:p>
    <w:p w14:paraId="12AD76F3">
      <w:pPr>
        <w:shd w:val="clear"/>
        <w:autoSpaceDE w:val="0"/>
        <w:autoSpaceDN w:val="0"/>
        <w:jc w:val="center"/>
        <w:rPr>
          <w:rFonts w:hint="eastAsia" w:ascii="宋体" w:hAnsi="宋体" w:eastAsia="宋体" w:cs="宋体"/>
          <w:b/>
          <w:color w:val="auto"/>
          <w:spacing w:val="6"/>
          <w:sz w:val="32"/>
          <w:szCs w:val="32"/>
          <w:highlight w:val="none"/>
        </w:rPr>
      </w:pPr>
    </w:p>
    <w:p w14:paraId="6620CD46">
      <w:pPr>
        <w:shd w:val="clear"/>
        <w:autoSpaceDE w:val="0"/>
        <w:autoSpaceDN w:val="0"/>
        <w:jc w:val="center"/>
        <w:rPr>
          <w:rFonts w:hint="eastAsia" w:ascii="宋体" w:hAnsi="宋体" w:eastAsia="宋体" w:cs="宋体"/>
          <w:b/>
          <w:color w:val="auto"/>
          <w:spacing w:val="6"/>
          <w:sz w:val="32"/>
          <w:szCs w:val="32"/>
          <w:highlight w:val="none"/>
        </w:rPr>
      </w:pPr>
    </w:p>
    <w:p w14:paraId="3C0DBE3E">
      <w:pPr>
        <w:shd w:val="clear"/>
        <w:autoSpaceDE w:val="0"/>
        <w:autoSpaceDN w:val="0"/>
        <w:jc w:val="center"/>
        <w:rPr>
          <w:rFonts w:hint="eastAsia" w:ascii="宋体" w:hAnsi="宋体" w:eastAsia="宋体" w:cs="宋体"/>
          <w:b/>
          <w:color w:val="auto"/>
          <w:spacing w:val="6"/>
          <w:sz w:val="32"/>
          <w:szCs w:val="32"/>
          <w:highlight w:val="none"/>
        </w:rPr>
      </w:pPr>
    </w:p>
    <w:p w14:paraId="0AD34290">
      <w:pPr>
        <w:shd w:val="clear"/>
        <w:autoSpaceDE w:val="0"/>
        <w:autoSpaceDN w:val="0"/>
        <w:jc w:val="center"/>
        <w:rPr>
          <w:rFonts w:hint="eastAsia" w:ascii="宋体" w:hAnsi="宋体" w:eastAsia="宋体" w:cs="宋体"/>
          <w:b/>
          <w:color w:val="auto"/>
          <w:spacing w:val="6"/>
          <w:sz w:val="32"/>
          <w:szCs w:val="32"/>
          <w:highlight w:val="none"/>
        </w:rPr>
      </w:pPr>
    </w:p>
    <w:p w14:paraId="5CDDF34D">
      <w:pPr>
        <w:shd w:val="clear"/>
        <w:autoSpaceDE w:val="0"/>
        <w:autoSpaceDN w:val="0"/>
        <w:jc w:val="center"/>
        <w:rPr>
          <w:rFonts w:hint="eastAsia" w:ascii="宋体" w:hAnsi="宋体" w:eastAsia="宋体" w:cs="宋体"/>
          <w:b/>
          <w:color w:val="auto"/>
          <w:spacing w:val="6"/>
          <w:sz w:val="32"/>
          <w:szCs w:val="32"/>
          <w:highlight w:val="none"/>
        </w:rPr>
      </w:pPr>
    </w:p>
    <w:p w14:paraId="3E3C08E8">
      <w:pPr>
        <w:shd w:val="clear"/>
        <w:autoSpaceDE w:val="0"/>
        <w:autoSpaceDN w:val="0"/>
        <w:jc w:val="center"/>
        <w:rPr>
          <w:rFonts w:hint="eastAsia" w:ascii="宋体" w:hAnsi="宋体" w:eastAsia="宋体" w:cs="宋体"/>
          <w:b/>
          <w:color w:val="auto"/>
          <w:spacing w:val="6"/>
          <w:sz w:val="32"/>
          <w:szCs w:val="32"/>
          <w:highlight w:val="none"/>
        </w:rPr>
      </w:pPr>
    </w:p>
    <w:p w14:paraId="79A943F3">
      <w:pPr>
        <w:shd w:val="clear"/>
        <w:autoSpaceDE w:val="0"/>
        <w:autoSpaceDN w:val="0"/>
        <w:jc w:val="center"/>
        <w:rPr>
          <w:rFonts w:hint="eastAsia" w:ascii="宋体" w:hAnsi="宋体" w:eastAsia="宋体" w:cs="宋体"/>
          <w:b/>
          <w:color w:val="auto"/>
          <w:spacing w:val="6"/>
          <w:sz w:val="32"/>
          <w:szCs w:val="32"/>
          <w:highlight w:val="none"/>
        </w:rPr>
      </w:pPr>
    </w:p>
    <w:p w14:paraId="435BA007">
      <w:pPr>
        <w:shd w:val="clear"/>
        <w:autoSpaceDE w:val="0"/>
        <w:autoSpaceDN w:val="0"/>
        <w:jc w:val="center"/>
        <w:rPr>
          <w:rFonts w:hint="eastAsia" w:ascii="宋体" w:hAnsi="宋体" w:eastAsia="宋体" w:cs="宋体"/>
          <w:b/>
          <w:color w:val="auto"/>
          <w:spacing w:val="6"/>
          <w:sz w:val="32"/>
          <w:szCs w:val="32"/>
          <w:highlight w:val="none"/>
        </w:rPr>
      </w:pPr>
    </w:p>
    <w:p w14:paraId="716367DE">
      <w:pPr>
        <w:shd w:val="clear"/>
        <w:autoSpaceDE w:val="0"/>
        <w:autoSpaceDN w:val="0"/>
        <w:jc w:val="center"/>
        <w:rPr>
          <w:rFonts w:hint="eastAsia" w:ascii="宋体" w:hAnsi="宋体" w:eastAsia="宋体" w:cs="宋体"/>
          <w:b/>
          <w:color w:val="auto"/>
          <w:spacing w:val="6"/>
          <w:sz w:val="32"/>
          <w:szCs w:val="32"/>
          <w:highlight w:val="none"/>
        </w:rPr>
      </w:pPr>
    </w:p>
    <w:p w14:paraId="0E9819B4">
      <w:pPr>
        <w:shd w:val="clear"/>
        <w:autoSpaceDE w:val="0"/>
        <w:autoSpaceDN w:val="0"/>
        <w:jc w:val="center"/>
        <w:rPr>
          <w:rFonts w:hint="eastAsia" w:ascii="宋体" w:hAnsi="宋体" w:eastAsia="宋体" w:cs="宋体"/>
          <w:b/>
          <w:color w:val="auto"/>
          <w:spacing w:val="6"/>
          <w:sz w:val="32"/>
          <w:szCs w:val="32"/>
          <w:highlight w:val="none"/>
        </w:rPr>
      </w:pPr>
    </w:p>
    <w:p w14:paraId="159529AE">
      <w:pPr>
        <w:shd w:val="clear"/>
        <w:autoSpaceDE w:val="0"/>
        <w:autoSpaceDN w:val="0"/>
        <w:jc w:val="center"/>
        <w:rPr>
          <w:rFonts w:hint="eastAsia" w:ascii="宋体" w:hAnsi="宋体" w:eastAsia="宋体" w:cs="宋体"/>
          <w:b/>
          <w:color w:val="auto"/>
          <w:spacing w:val="6"/>
          <w:sz w:val="32"/>
          <w:szCs w:val="32"/>
          <w:highlight w:val="none"/>
        </w:rPr>
      </w:pPr>
    </w:p>
    <w:p w14:paraId="06A3EF53">
      <w:pPr>
        <w:shd w:val="clear"/>
        <w:autoSpaceDE w:val="0"/>
        <w:autoSpaceDN w:val="0"/>
        <w:jc w:val="center"/>
        <w:rPr>
          <w:rFonts w:hint="eastAsia" w:ascii="宋体" w:hAnsi="宋体" w:eastAsia="宋体" w:cs="宋体"/>
          <w:b/>
          <w:color w:val="auto"/>
          <w:spacing w:val="6"/>
          <w:sz w:val="32"/>
          <w:szCs w:val="32"/>
          <w:highlight w:val="none"/>
        </w:rPr>
      </w:pPr>
    </w:p>
    <w:p w14:paraId="4310CCE3">
      <w:pPr>
        <w:shd w:val="clear"/>
        <w:autoSpaceDE w:val="0"/>
        <w:autoSpaceDN w:val="0"/>
        <w:jc w:val="center"/>
        <w:rPr>
          <w:rFonts w:hint="eastAsia" w:ascii="宋体" w:hAnsi="宋体" w:eastAsia="宋体" w:cs="宋体"/>
          <w:b/>
          <w:color w:val="auto"/>
          <w:spacing w:val="6"/>
          <w:sz w:val="32"/>
          <w:szCs w:val="32"/>
          <w:highlight w:val="none"/>
        </w:rPr>
      </w:pPr>
    </w:p>
    <w:p w14:paraId="05239A79">
      <w:pPr>
        <w:shd w:val="clear"/>
        <w:autoSpaceDE w:val="0"/>
        <w:autoSpaceDN w:val="0"/>
        <w:jc w:val="center"/>
        <w:rPr>
          <w:rFonts w:hint="eastAsia" w:ascii="宋体" w:hAnsi="宋体" w:eastAsia="宋体" w:cs="宋体"/>
          <w:b/>
          <w:color w:val="auto"/>
          <w:spacing w:val="6"/>
          <w:sz w:val="32"/>
          <w:szCs w:val="32"/>
          <w:highlight w:val="none"/>
        </w:rPr>
      </w:pPr>
    </w:p>
    <w:p w14:paraId="09D76658">
      <w:pPr>
        <w:pStyle w:val="23"/>
        <w:shd w:val="clear"/>
        <w:rPr>
          <w:rFonts w:hint="eastAsia" w:ascii="宋体" w:hAnsi="宋体" w:eastAsia="宋体" w:cs="宋体"/>
          <w:color w:val="auto"/>
          <w:highlight w:val="none"/>
        </w:rPr>
      </w:pPr>
    </w:p>
    <w:p w14:paraId="4734D2BE">
      <w:pPr>
        <w:shd w:val="clear"/>
        <w:snapToGrid w:val="0"/>
        <w:spacing w:line="360" w:lineRule="auto"/>
        <w:rPr>
          <w:rFonts w:hint="eastAsia" w:ascii="宋体" w:hAnsi="宋体" w:eastAsia="宋体" w:cs="宋体"/>
          <w:b/>
          <w:color w:val="auto"/>
          <w:kern w:val="0"/>
          <w:sz w:val="32"/>
          <w:szCs w:val="32"/>
          <w:highlight w:val="none"/>
        </w:rPr>
      </w:pPr>
    </w:p>
    <w:p w14:paraId="0AABA55D">
      <w:pPr>
        <w:shd w:val="clear"/>
        <w:snapToGrid w:val="0"/>
        <w:spacing w:line="360" w:lineRule="auto"/>
        <w:rPr>
          <w:rFonts w:hint="eastAsia" w:ascii="宋体" w:hAnsi="宋体" w:eastAsia="宋体" w:cs="宋体"/>
          <w:b/>
          <w:color w:val="auto"/>
          <w:kern w:val="0"/>
          <w:sz w:val="32"/>
          <w:szCs w:val="32"/>
          <w:highlight w:val="none"/>
        </w:rPr>
      </w:pPr>
    </w:p>
    <w:p w14:paraId="6F2D8E69">
      <w:pPr>
        <w:shd w:val="clear"/>
        <w:snapToGrid w:val="0"/>
        <w:spacing w:line="360" w:lineRule="auto"/>
        <w:rPr>
          <w:rFonts w:hint="eastAsia" w:ascii="宋体" w:hAnsi="宋体" w:eastAsia="宋体" w:cs="宋体"/>
          <w:b/>
          <w:color w:val="auto"/>
          <w:kern w:val="0"/>
          <w:sz w:val="32"/>
          <w:szCs w:val="32"/>
          <w:highlight w:val="none"/>
        </w:rPr>
      </w:pPr>
    </w:p>
    <w:p w14:paraId="723D452E">
      <w:pPr>
        <w:shd w:val="clea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w:t>
      </w:r>
      <w:r>
        <w:rPr>
          <w:rFonts w:hint="eastAsia" w:ascii="宋体" w:hAnsi="宋体" w:eastAsia="宋体" w:cs="宋体"/>
          <w:b/>
          <w:color w:val="auto"/>
          <w:kern w:val="0"/>
          <w:sz w:val="32"/>
          <w:szCs w:val="32"/>
          <w:highlight w:val="none"/>
          <w:lang w:val="en-US" w:eastAsia="zh-CN"/>
        </w:rPr>
        <w:t>7</w:t>
      </w:r>
      <w:r>
        <w:rPr>
          <w:rFonts w:hint="eastAsia" w:ascii="宋体" w:hAnsi="宋体" w:eastAsia="宋体" w:cs="宋体"/>
          <w:b/>
          <w:color w:val="auto"/>
          <w:kern w:val="0"/>
          <w:sz w:val="32"/>
          <w:szCs w:val="32"/>
          <w:highlight w:val="none"/>
        </w:rPr>
        <w:t>：中小企业声明函</w:t>
      </w:r>
    </w:p>
    <w:p w14:paraId="6BA6D381">
      <w:pPr>
        <w:shd w:val="clear"/>
        <w:spacing w:line="360" w:lineRule="auto"/>
        <w:jc w:val="center"/>
        <w:rPr>
          <w:rFonts w:hint="eastAsia" w:ascii="宋体" w:hAnsi="宋体" w:eastAsia="宋体" w:cs="宋体"/>
          <w:color w:val="auto"/>
          <w:sz w:val="24"/>
          <w:highlight w:val="none"/>
          <w:u w:val="single"/>
        </w:rPr>
      </w:pPr>
    </w:p>
    <w:p w14:paraId="0F4EF53A">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30986C4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903ACA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3644081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DA6B41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FEB71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1179EF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DEF8280">
      <w:pPr>
        <w:shd w:val="clea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05C2FEBB">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2C15311">
      <w:pPr>
        <w:shd w:val="clea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7CEE6AFC">
      <w:pPr>
        <w:shd w:val="clea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AABBEB5">
      <w:pPr>
        <w:shd w:val="clea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8FA77D">
      <w:pPr>
        <w:shd w:val="clea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55DCF6">
      <w:pPr>
        <w:pStyle w:val="2"/>
        <w:shd w:val="clear"/>
        <w:rPr>
          <w:rFonts w:hint="eastAsia" w:ascii="宋体" w:hAnsi="宋体" w:eastAsia="宋体" w:cs="宋体"/>
          <w:color w:val="auto"/>
          <w:highlight w:val="none"/>
          <w:lang w:val="en-US"/>
        </w:rPr>
      </w:pPr>
    </w:p>
    <w:p w14:paraId="43F284AE">
      <w:pPr>
        <w:pageBreakBefore/>
        <w:shd w:val="clear" w:color="auto"/>
        <w:spacing w:line="600" w:lineRule="atLeast"/>
        <w:jc w:val="center"/>
        <w:textAlignment w:val="baseline"/>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国家统计局关于印发《统计上大中小微型企业划分办法（2017）》的通知</w:t>
      </w:r>
    </w:p>
    <w:p w14:paraId="3E69338C">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各省、自治区、直辖市统计局，新疆生产建设兵团统计局，国务院各有关部门，国家统计局各调查总队：</w:t>
      </w:r>
    </w:p>
    <w:p w14:paraId="5DFAE3E4">
      <w:pPr>
        <w:widowControl/>
        <w:shd w:val="clear" w:color="auto"/>
        <w:spacing w:before="150" w:line="420" w:lineRule="atLeast"/>
        <w:ind w:firstLine="420" w:firstLineChars="200"/>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976EECE">
      <w:pPr>
        <w:widowControl/>
        <w:shd w:val="clea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附件：《统计上大中小微型企业划分办法（2017）》修订说明</w:t>
      </w:r>
    </w:p>
    <w:p w14:paraId="0A1C4734">
      <w:pPr>
        <w:widowControl/>
        <w:shd w:val="clear" w:color="auto"/>
        <w:spacing w:before="150" w:line="420" w:lineRule="atLeast"/>
        <w:ind w:right="825"/>
        <w:jc w:val="righ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国家统计局  </w:t>
      </w:r>
    </w:p>
    <w:p w14:paraId="3C9B2744">
      <w:pPr>
        <w:widowControl/>
        <w:shd w:val="clear" w:color="auto"/>
        <w:spacing w:before="150" w:line="420" w:lineRule="atLeast"/>
        <w:ind w:right="825"/>
        <w:jc w:val="righ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2017年12月28日</w:t>
      </w:r>
    </w:p>
    <w:p w14:paraId="6AF19F8E">
      <w:pPr>
        <w:pStyle w:val="23"/>
        <w:shd w:val="clear"/>
        <w:rPr>
          <w:rFonts w:hint="eastAsia" w:ascii="宋体" w:hAnsi="宋体" w:eastAsia="宋体" w:cs="宋体"/>
          <w:color w:val="auto"/>
          <w:highlight w:val="none"/>
          <w:lang w:val="en-US" w:eastAsia="zh-CN"/>
        </w:rPr>
      </w:pPr>
    </w:p>
    <w:p w14:paraId="204A1B2F">
      <w:pPr>
        <w:widowControl/>
        <w:shd w:val="clear" w:color="auto"/>
        <w:spacing w:before="150" w:line="600" w:lineRule="atLeast"/>
        <w:jc w:val="center"/>
        <w:textAlignment w:val="baseline"/>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统计上大中小微型企业划分办法（2017）</w:t>
      </w:r>
    </w:p>
    <w:p w14:paraId="65DEDDD5">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68DED855">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二、本办法适用对象为在中华人民共和国境内依法设立的各种组织形式的法人企业或单位。个体工商户参照本办法进行划分。</w:t>
      </w:r>
    </w:p>
    <w:p w14:paraId="7F6E51A1">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B153D1A">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0AAC1F7F">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五、企业划分由政府综合统计部门根据统计年报每年确定一次，定报统计原则上不进行调整。</w:t>
      </w:r>
    </w:p>
    <w:p w14:paraId="64872995">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六、本办法自印发之日起执行，国家统计局2011年印发的《统计上大中小微型企业划分办法》（国统字〔2011〕75号）同时废止。</w:t>
      </w:r>
    </w:p>
    <w:p w14:paraId="6CFC0986">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附表：统计上大中小微型企业划分标准</w:t>
      </w:r>
    </w:p>
    <w:p w14:paraId="14E7CAB4">
      <w:pPr>
        <w:widowControl/>
        <w:shd w:val="clear"/>
        <w:jc w:val="left"/>
        <w:rPr>
          <w:rFonts w:hint="eastAsia" w:ascii="宋体" w:hAnsi="宋体" w:eastAsia="宋体" w:cs="宋体"/>
          <w:color w:val="auto"/>
          <w:kern w:val="0"/>
          <w:sz w:val="24"/>
          <w:highlight w:val="none"/>
        </w:rPr>
      </w:pPr>
    </w:p>
    <w:p w14:paraId="61EE86A5">
      <w:pPr>
        <w:widowControl/>
        <w:shd w:val="clear" w:color="auto"/>
        <w:spacing w:before="150" w:line="600" w:lineRule="atLeast"/>
        <w:jc w:val="center"/>
        <w:textAlignment w:val="baseline"/>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6A701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6BDB3DA7">
            <w:pPr>
              <w:widowControl/>
              <w:shd w:val="clea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行业名称</w:t>
            </w:r>
          </w:p>
        </w:tc>
        <w:tc>
          <w:tcPr>
            <w:tcW w:w="1560" w:type="dxa"/>
            <w:tcMar>
              <w:top w:w="75" w:type="dxa"/>
              <w:left w:w="75" w:type="dxa"/>
              <w:bottom w:w="75" w:type="dxa"/>
              <w:right w:w="75" w:type="dxa"/>
            </w:tcMar>
            <w:vAlign w:val="bottom"/>
          </w:tcPr>
          <w:p w14:paraId="3F0F520B">
            <w:pPr>
              <w:widowControl/>
              <w:shd w:val="clea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指标名称</w:t>
            </w:r>
          </w:p>
        </w:tc>
        <w:tc>
          <w:tcPr>
            <w:tcW w:w="671" w:type="dxa"/>
            <w:tcMar>
              <w:top w:w="75" w:type="dxa"/>
              <w:left w:w="75" w:type="dxa"/>
              <w:bottom w:w="75" w:type="dxa"/>
              <w:right w:w="75" w:type="dxa"/>
            </w:tcMar>
            <w:vAlign w:val="bottom"/>
          </w:tcPr>
          <w:p w14:paraId="19BBA412">
            <w:pPr>
              <w:widowControl/>
              <w:shd w:val="clea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计量单位</w:t>
            </w:r>
          </w:p>
        </w:tc>
        <w:tc>
          <w:tcPr>
            <w:tcW w:w="1231" w:type="dxa"/>
            <w:tcMar>
              <w:top w:w="75" w:type="dxa"/>
              <w:left w:w="75" w:type="dxa"/>
              <w:bottom w:w="75" w:type="dxa"/>
              <w:right w:w="75" w:type="dxa"/>
            </w:tcMar>
            <w:vAlign w:val="bottom"/>
          </w:tcPr>
          <w:p w14:paraId="0CBA6C35">
            <w:pPr>
              <w:widowControl/>
              <w:shd w:val="clea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大型</w:t>
            </w:r>
          </w:p>
        </w:tc>
        <w:tc>
          <w:tcPr>
            <w:tcW w:w="1891" w:type="dxa"/>
            <w:tcMar>
              <w:top w:w="75" w:type="dxa"/>
              <w:left w:w="75" w:type="dxa"/>
              <w:bottom w:w="75" w:type="dxa"/>
              <w:right w:w="75" w:type="dxa"/>
            </w:tcMar>
            <w:vAlign w:val="bottom"/>
          </w:tcPr>
          <w:p w14:paraId="66C71D2F">
            <w:pPr>
              <w:widowControl/>
              <w:shd w:val="clea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中型</w:t>
            </w:r>
          </w:p>
        </w:tc>
        <w:tc>
          <w:tcPr>
            <w:tcW w:w="1730" w:type="dxa"/>
            <w:tcMar>
              <w:top w:w="75" w:type="dxa"/>
              <w:left w:w="75" w:type="dxa"/>
              <w:bottom w:w="75" w:type="dxa"/>
              <w:right w:w="75" w:type="dxa"/>
            </w:tcMar>
            <w:vAlign w:val="bottom"/>
          </w:tcPr>
          <w:p w14:paraId="21ACC6B9">
            <w:pPr>
              <w:widowControl/>
              <w:shd w:val="clea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小型</w:t>
            </w:r>
          </w:p>
        </w:tc>
        <w:tc>
          <w:tcPr>
            <w:tcW w:w="1203" w:type="dxa"/>
            <w:tcMar>
              <w:top w:w="75" w:type="dxa"/>
              <w:left w:w="75" w:type="dxa"/>
              <w:bottom w:w="75" w:type="dxa"/>
              <w:right w:w="75" w:type="dxa"/>
            </w:tcMar>
            <w:vAlign w:val="bottom"/>
          </w:tcPr>
          <w:p w14:paraId="2C336C3D">
            <w:pPr>
              <w:widowControl/>
              <w:shd w:val="clea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微型</w:t>
            </w:r>
          </w:p>
        </w:tc>
      </w:tr>
      <w:tr w14:paraId="3C4BF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4BF5B37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农、林、牧、渔业</w:t>
            </w:r>
          </w:p>
        </w:tc>
        <w:tc>
          <w:tcPr>
            <w:tcW w:w="1560" w:type="dxa"/>
            <w:vAlign w:val="center"/>
          </w:tcPr>
          <w:p w14:paraId="1CBBDBA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671" w:type="dxa"/>
            <w:vAlign w:val="center"/>
          </w:tcPr>
          <w:p w14:paraId="4BB9BDA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3EAB4301">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Y≥20000</w:t>
            </w:r>
          </w:p>
        </w:tc>
        <w:tc>
          <w:tcPr>
            <w:tcW w:w="1891" w:type="dxa"/>
            <w:vAlign w:val="center"/>
          </w:tcPr>
          <w:p w14:paraId="6124175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500≤Y＜20000</w:t>
            </w:r>
          </w:p>
        </w:tc>
        <w:tc>
          <w:tcPr>
            <w:tcW w:w="1730" w:type="dxa"/>
            <w:vAlign w:val="center"/>
          </w:tcPr>
          <w:p w14:paraId="527752D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50≤Y＜500</w:t>
            </w:r>
          </w:p>
        </w:tc>
        <w:tc>
          <w:tcPr>
            <w:tcW w:w="1203" w:type="dxa"/>
            <w:vAlign w:val="center"/>
          </w:tcPr>
          <w:p w14:paraId="5F2235A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Y＜50</w:t>
            </w:r>
          </w:p>
        </w:tc>
      </w:tr>
      <w:tr w14:paraId="3F27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46D7C4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工业 *</w:t>
            </w:r>
          </w:p>
        </w:tc>
        <w:tc>
          <w:tcPr>
            <w:tcW w:w="1560" w:type="dxa"/>
            <w:vAlign w:val="center"/>
          </w:tcPr>
          <w:p w14:paraId="4B587DB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671" w:type="dxa"/>
            <w:vAlign w:val="center"/>
          </w:tcPr>
          <w:p w14:paraId="71AD64A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231" w:type="dxa"/>
            <w:vAlign w:val="center"/>
          </w:tcPr>
          <w:p w14:paraId="18BACB87">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X≥1000</w:t>
            </w:r>
          </w:p>
        </w:tc>
        <w:tc>
          <w:tcPr>
            <w:tcW w:w="1891" w:type="dxa"/>
            <w:vAlign w:val="center"/>
          </w:tcPr>
          <w:p w14:paraId="07996D4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300≤X＜1000</w:t>
            </w:r>
          </w:p>
        </w:tc>
        <w:tc>
          <w:tcPr>
            <w:tcW w:w="1730" w:type="dxa"/>
            <w:vAlign w:val="center"/>
          </w:tcPr>
          <w:p w14:paraId="3AEE281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20≤X＜300</w:t>
            </w:r>
          </w:p>
        </w:tc>
        <w:tc>
          <w:tcPr>
            <w:tcW w:w="1203" w:type="dxa"/>
            <w:vAlign w:val="center"/>
          </w:tcPr>
          <w:p w14:paraId="36F18F7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X＜20</w:t>
            </w:r>
          </w:p>
        </w:tc>
      </w:tr>
      <w:tr w14:paraId="13CDE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CA3453A">
            <w:pPr>
              <w:widowControl/>
              <w:shd w:val="clear"/>
              <w:jc w:val="left"/>
              <w:rPr>
                <w:rFonts w:hint="eastAsia" w:ascii="宋体" w:hAnsi="宋体" w:eastAsia="宋体" w:cs="宋体"/>
                <w:color w:val="auto"/>
                <w:kern w:val="0"/>
                <w:sz w:val="24"/>
                <w:highlight w:val="none"/>
              </w:rPr>
            </w:pPr>
          </w:p>
        </w:tc>
        <w:tc>
          <w:tcPr>
            <w:tcW w:w="1560" w:type="dxa"/>
            <w:vAlign w:val="center"/>
          </w:tcPr>
          <w:p w14:paraId="475EB3E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671" w:type="dxa"/>
            <w:vAlign w:val="center"/>
          </w:tcPr>
          <w:p w14:paraId="2C3DBAD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3099C39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Y≥40000</w:t>
            </w:r>
          </w:p>
        </w:tc>
        <w:tc>
          <w:tcPr>
            <w:tcW w:w="1891" w:type="dxa"/>
            <w:vAlign w:val="center"/>
          </w:tcPr>
          <w:p w14:paraId="4929B52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2000≤Y＜40000</w:t>
            </w:r>
          </w:p>
        </w:tc>
        <w:tc>
          <w:tcPr>
            <w:tcW w:w="1730" w:type="dxa"/>
            <w:vAlign w:val="center"/>
          </w:tcPr>
          <w:p w14:paraId="721BE16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300≤Y＜2000</w:t>
            </w:r>
          </w:p>
        </w:tc>
        <w:tc>
          <w:tcPr>
            <w:tcW w:w="1203" w:type="dxa"/>
            <w:vAlign w:val="center"/>
          </w:tcPr>
          <w:p w14:paraId="4D06A6B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Y＜300</w:t>
            </w:r>
          </w:p>
        </w:tc>
      </w:tr>
      <w:tr w14:paraId="2C97F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D35C47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建筑业</w:t>
            </w:r>
          </w:p>
        </w:tc>
        <w:tc>
          <w:tcPr>
            <w:tcW w:w="1560" w:type="dxa"/>
            <w:vAlign w:val="center"/>
          </w:tcPr>
          <w:p w14:paraId="6DE3438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671" w:type="dxa"/>
            <w:vAlign w:val="center"/>
          </w:tcPr>
          <w:p w14:paraId="5D3B0F2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2FB3327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Y≥80000</w:t>
            </w:r>
          </w:p>
        </w:tc>
        <w:tc>
          <w:tcPr>
            <w:tcW w:w="1891" w:type="dxa"/>
            <w:vAlign w:val="center"/>
          </w:tcPr>
          <w:p w14:paraId="6C5DA94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6000≤Y＜80000</w:t>
            </w:r>
          </w:p>
        </w:tc>
        <w:tc>
          <w:tcPr>
            <w:tcW w:w="1730" w:type="dxa"/>
            <w:vAlign w:val="center"/>
          </w:tcPr>
          <w:p w14:paraId="6691D261">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300≤Y＜6000</w:t>
            </w:r>
          </w:p>
        </w:tc>
        <w:tc>
          <w:tcPr>
            <w:tcW w:w="1203" w:type="dxa"/>
            <w:vAlign w:val="center"/>
          </w:tcPr>
          <w:p w14:paraId="194806B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Y＜300</w:t>
            </w:r>
          </w:p>
        </w:tc>
      </w:tr>
      <w:tr w14:paraId="3769D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2EDE169">
            <w:pPr>
              <w:widowControl/>
              <w:shd w:val="clear"/>
              <w:jc w:val="left"/>
              <w:rPr>
                <w:rFonts w:hint="eastAsia" w:ascii="宋体" w:hAnsi="宋体" w:eastAsia="宋体" w:cs="宋体"/>
                <w:color w:val="auto"/>
                <w:kern w:val="0"/>
                <w:sz w:val="24"/>
                <w:highlight w:val="none"/>
              </w:rPr>
            </w:pPr>
          </w:p>
        </w:tc>
        <w:tc>
          <w:tcPr>
            <w:tcW w:w="1560" w:type="dxa"/>
            <w:vAlign w:val="center"/>
          </w:tcPr>
          <w:p w14:paraId="759C0D8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资产总额(Z)</w:t>
            </w:r>
          </w:p>
        </w:tc>
        <w:tc>
          <w:tcPr>
            <w:tcW w:w="671" w:type="dxa"/>
            <w:vAlign w:val="center"/>
          </w:tcPr>
          <w:p w14:paraId="7AB6E387">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102F361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Z≥80000</w:t>
            </w:r>
          </w:p>
        </w:tc>
        <w:tc>
          <w:tcPr>
            <w:tcW w:w="1891" w:type="dxa"/>
            <w:vAlign w:val="center"/>
          </w:tcPr>
          <w:p w14:paraId="785D983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5000≤Z＜80000</w:t>
            </w:r>
          </w:p>
        </w:tc>
        <w:tc>
          <w:tcPr>
            <w:tcW w:w="1730" w:type="dxa"/>
            <w:vAlign w:val="center"/>
          </w:tcPr>
          <w:p w14:paraId="401FBB03">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300≤Z＜5000</w:t>
            </w:r>
          </w:p>
        </w:tc>
        <w:tc>
          <w:tcPr>
            <w:tcW w:w="1203" w:type="dxa"/>
            <w:vAlign w:val="center"/>
          </w:tcPr>
          <w:p w14:paraId="3B4884B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Z＜300</w:t>
            </w:r>
          </w:p>
        </w:tc>
      </w:tr>
      <w:tr w14:paraId="2F21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BC0A9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批发业</w:t>
            </w:r>
          </w:p>
        </w:tc>
        <w:tc>
          <w:tcPr>
            <w:tcW w:w="1560" w:type="dxa"/>
            <w:vAlign w:val="center"/>
          </w:tcPr>
          <w:p w14:paraId="4BBE045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671" w:type="dxa"/>
            <w:vAlign w:val="center"/>
          </w:tcPr>
          <w:p w14:paraId="20A029D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231" w:type="dxa"/>
            <w:vAlign w:val="center"/>
          </w:tcPr>
          <w:p w14:paraId="3B9FB4D1">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X≥200</w:t>
            </w:r>
          </w:p>
        </w:tc>
        <w:tc>
          <w:tcPr>
            <w:tcW w:w="1891" w:type="dxa"/>
            <w:vAlign w:val="center"/>
          </w:tcPr>
          <w:p w14:paraId="7F25E6E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20≤X＜200</w:t>
            </w:r>
          </w:p>
        </w:tc>
        <w:tc>
          <w:tcPr>
            <w:tcW w:w="1730" w:type="dxa"/>
            <w:vAlign w:val="center"/>
          </w:tcPr>
          <w:p w14:paraId="1F8F9D2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5≤X＜20</w:t>
            </w:r>
          </w:p>
        </w:tc>
        <w:tc>
          <w:tcPr>
            <w:tcW w:w="1203" w:type="dxa"/>
            <w:vAlign w:val="center"/>
          </w:tcPr>
          <w:p w14:paraId="1C288B2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X＜5</w:t>
            </w:r>
          </w:p>
        </w:tc>
      </w:tr>
      <w:tr w14:paraId="1B0E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318CB39">
            <w:pPr>
              <w:widowControl/>
              <w:shd w:val="clear"/>
              <w:jc w:val="left"/>
              <w:rPr>
                <w:rFonts w:hint="eastAsia" w:ascii="宋体" w:hAnsi="宋体" w:eastAsia="宋体" w:cs="宋体"/>
                <w:color w:val="auto"/>
                <w:kern w:val="0"/>
                <w:sz w:val="24"/>
                <w:highlight w:val="none"/>
              </w:rPr>
            </w:pPr>
          </w:p>
        </w:tc>
        <w:tc>
          <w:tcPr>
            <w:tcW w:w="1560" w:type="dxa"/>
            <w:vAlign w:val="center"/>
          </w:tcPr>
          <w:p w14:paraId="49235AD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671" w:type="dxa"/>
            <w:vAlign w:val="center"/>
          </w:tcPr>
          <w:p w14:paraId="7FA868E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6051B65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Y≥40000</w:t>
            </w:r>
          </w:p>
        </w:tc>
        <w:tc>
          <w:tcPr>
            <w:tcW w:w="1891" w:type="dxa"/>
            <w:vAlign w:val="center"/>
          </w:tcPr>
          <w:p w14:paraId="7648B07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5000≤Y＜40000</w:t>
            </w:r>
          </w:p>
        </w:tc>
        <w:tc>
          <w:tcPr>
            <w:tcW w:w="1730" w:type="dxa"/>
            <w:vAlign w:val="center"/>
          </w:tcPr>
          <w:p w14:paraId="56AA171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1000≤Y＜5000</w:t>
            </w:r>
          </w:p>
        </w:tc>
        <w:tc>
          <w:tcPr>
            <w:tcW w:w="1203" w:type="dxa"/>
            <w:vAlign w:val="center"/>
          </w:tcPr>
          <w:p w14:paraId="33301FC3">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Y＜1000</w:t>
            </w:r>
          </w:p>
        </w:tc>
      </w:tr>
      <w:tr w14:paraId="78101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9F19A17">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零售业</w:t>
            </w:r>
          </w:p>
        </w:tc>
        <w:tc>
          <w:tcPr>
            <w:tcW w:w="1560" w:type="dxa"/>
            <w:vAlign w:val="center"/>
          </w:tcPr>
          <w:p w14:paraId="15C8915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671" w:type="dxa"/>
            <w:vAlign w:val="center"/>
          </w:tcPr>
          <w:p w14:paraId="64220B8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231" w:type="dxa"/>
            <w:vAlign w:val="center"/>
          </w:tcPr>
          <w:p w14:paraId="0725B0A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X≥300</w:t>
            </w:r>
          </w:p>
        </w:tc>
        <w:tc>
          <w:tcPr>
            <w:tcW w:w="1891" w:type="dxa"/>
            <w:vAlign w:val="center"/>
          </w:tcPr>
          <w:p w14:paraId="4C0120A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50≤X＜300</w:t>
            </w:r>
          </w:p>
        </w:tc>
        <w:tc>
          <w:tcPr>
            <w:tcW w:w="1730" w:type="dxa"/>
            <w:vAlign w:val="center"/>
          </w:tcPr>
          <w:p w14:paraId="45CDCC6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10≤X＜50</w:t>
            </w:r>
          </w:p>
        </w:tc>
        <w:tc>
          <w:tcPr>
            <w:tcW w:w="1203" w:type="dxa"/>
            <w:vAlign w:val="center"/>
          </w:tcPr>
          <w:p w14:paraId="1F1A48A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w:t>
            </w:r>
          </w:p>
        </w:tc>
      </w:tr>
      <w:tr w14:paraId="1C01B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564EB7C">
            <w:pPr>
              <w:widowControl/>
              <w:shd w:val="clear"/>
              <w:jc w:val="left"/>
              <w:rPr>
                <w:rFonts w:hint="eastAsia" w:ascii="宋体" w:hAnsi="宋体" w:eastAsia="宋体" w:cs="宋体"/>
                <w:color w:val="auto"/>
                <w:kern w:val="0"/>
                <w:sz w:val="24"/>
                <w:highlight w:val="none"/>
              </w:rPr>
            </w:pPr>
          </w:p>
        </w:tc>
        <w:tc>
          <w:tcPr>
            <w:tcW w:w="1560" w:type="dxa"/>
            <w:vAlign w:val="center"/>
          </w:tcPr>
          <w:p w14:paraId="443B03D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671" w:type="dxa"/>
            <w:vAlign w:val="center"/>
          </w:tcPr>
          <w:p w14:paraId="5514E157">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50CEE82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Y≥20000</w:t>
            </w:r>
          </w:p>
        </w:tc>
        <w:tc>
          <w:tcPr>
            <w:tcW w:w="1891" w:type="dxa"/>
            <w:vAlign w:val="center"/>
          </w:tcPr>
          <w:p w14:paraId="2C95DC73">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500≤Y＜20000</w:t>
            </w:r>
          </w:p>
        </w:tc>
        <w:tc>
          <w:tcPr>
            <w:tcW w:w="1730" w:type="dxa"/>
            <w:vAlign w:val="center"/>
          </w:tcPr>
          <w:p w14:paraId="21EBE99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100≤Y＜500</w:t>
            </w:r>
          </w:p>
        </w:tc>
        <w:tc>
          <w:tcPr>
            <w:tcW w:w="1203" w:type="dxa"/>
            <w:vAlign w:val="center"/>
          </w:tcPr>
          <w:p w14:paraId="4AE1B77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w:t>
            </w:r>
          </w:p>
        </w:tc>
      </w:tr>
      <w:tr w14:paraId="3C11F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5FB716D">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交通运输业 *</w:t>
            </w:r>
          </w:p>
        </w:tc>
        <w:tc>
          <w:tcPr>
            <w:tcW w:w="1560" w:type="dxa"/>
            <w:vAlign w:val="center"/>
          </w:tcPr>
          <w:p w14:paraId="7B66C35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671" w:type="dxa"/>
            <w:vAlign w:val="center"/>
          </w:tcPr>
          <w:p w14:paraId="74B8AD6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231" w:type="dxa"/>
            <w:vAlign w:val="center"/>
          </w:tcPr>
          <w:p w14:paraId="7D4D00F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X≥1000</w:t>
            </w:r>
          </w:p>
        </w:tc>
        <w:tc>
          <w:tcPr>
            <w:tcW w:w="1891" w:type="dxa"/>
            <w:vAlign w:val="center"/>
          </w:tcPr>
          <w:p w14:paraId="3D6CDE33">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300≤X＜1000</w:t>
            </w:r>
          </w:p>
        </w:tc>
        <w:tc>
          <w:tcPr>
            <w:tcW w:w="1730" w:type="dxa"/>
            <w:vAlign w:val="center"/>
          </w:tcPr>
          <w:p w14:paraId="5B14916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20≤X＜300</w:t>
            </w:r>
          </w:p>
        </w:tc>
        <w:tc>
          <w:tcPr>
            <w:tcW w:w="1203" w:type="dxa"/>
            <w:vAlign w:val="center"/>
          </w:tcPr>
          <w:p w14:paraId="05930F5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X＜20</w:t>
            </w:r>
          </w:p>
        </w:tc>
      </w:tr>
      <w:tr w14:paraId="25531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38C97C">
            <w:pPr>
              <w:widowControl/>
              <w:shd w:val="clear"/>
              <w:jc w:val="left"/>
              <w:rPr>
                <w:rFonts w:hint="eastAsia" w:ascii="宋体" w:hAnsi="宋体" w:eastAsia="宋体" w:cs="宋体"/>
                <w:color w:val="auto"/>
                <w:kern w:val="0"/>
                <w:sz w:val="24"/>
                <w:highlight w:val="none"/>
              </w:rPr>
            </w:pPr>
          </w:p>
        </w:tc>
        <w:tc>
          <w:tcPr>
            <w:tcW w:w="1560" w:type="dxa"/>
            <w:vAlign w:val="center"/>
          </w:tcPr>
          <w:p w14:paraId="30DFBFF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671" w:type="dxa"/>
            <w:vAlign w:val="center"/>
          </w:tcPr>
          <w:p w14:paraId="3C269FF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2631FE8D">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Y≥30000</w:t>
            </w:r>
          </w:p>
        </w:tc>
        <w:tc>
          <w:tcPr>
            <w:tcW w:w="1891" w:type="dxa"/>
            <w:vAlign w:val="center"/>
          </w:tcPr>
          <w:p w14:paraId="2D3D5F53">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3000≤Y＜30000</w:t>
            </w:r>
          </w:p>
        </w:tc>
        <w:tc>
          <w:tcPr>
            <w:tcW w:w="1730" w:type="dxa"/>
            <w:vAlign w:val="center"/>
          </w:tcPr>
          <w:p w14:paraId="15E67F3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200≤Y＜3000</w:t>
            </w:r>
          </w:p>
        </w:tc>
        <w:tc>
          <w:tcPr>
            <w:tcW w:w="1203" w:type="dxa"/>
            <w:vAlign w:val="center"/>
          </w:tcPr>
          <w:p w14:paraId="5AEAB09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Y＜200</w:t>
            </w:r>
          </w:p>
        </w:tc>
      </w:tr>
      <w:tr w14:paraId="2F33F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F281AE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仓储业*</w:t>
            </w:r>
          </w:p>
        </w:tc>
        <w:tc>
          <w:tcPr>
            <w:tcW w:w="1560" w:type="dxa"/>
            <w:vAlign w:val="center"/>
          </w:tcPr>
          <w:p w14:paraId="2787AAE1">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671" w:type="dxa"/>
            <w:vAlign w:val="center"/>
          </w:tcPr>
          <w:p w14:paraId="5AFED591">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231" w:type="dxa"/>
            <w:vAlign w:val="center"/>
          </w:tcPr>
          <w:p w14:paraId="1CBBEE33">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X≥200</w:t>
            </w:r>
          </w:p>
        </w:tc>
        <w:tc>
          <w:tcPr>
            <w:tcW w:w="1891" w:type="dxa"/>
            <w:vAlign w:val="center"/>
          </w:tcPr>
          <w:p w14:paraId="1420135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100≤X＜200</w:t>
            </w:r>
          </w:p>
        </w:tc>
        <w:tc>
          <w:tcPr>
            <w:tcW w:w="1730" w:type="dxa"/>
            <w:vAlign w:val="center"/>
          </w:tcPr>
          <w:p w14:paraId="6240196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20≤X＜100</w:t>
            </w:r>
          </w:p>
        </w:tc>
        <w:tc>
          <w:tcPr>
            <w:tcW w:w="1203" w:type="dxa"/>
            <w:vAlign w:val="center"/>
          </w:tcPr>
          <w:p w14:paraId="75611DC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X＜20</w:t>
            </w:r>
          </w:p>
        </w:tc>
      </w:tr>
      <w:tr w14:paraId="72795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26D1E75">
            <w:pPr>
              <w:widowControl/>
              <w:shd w:val="clear"/>
              <w:jc w:val="left"/>
              <w:rPr>
                <w:rFonts w:hint="eastAsia" w:ascii="宋体" w:hAnsi="宋体" w:eastAsia="宋体" w:cs="宋体"/>
                <w:color w:val="auto"/>
                <w:kern w:val="0"/>
                <w:sz w:val="24"/>
                <w:highlight w:val="none"/>
              </w:rPr>
            </w:pPr>
          </w:p>
        </w:tc>
        <w:tc>
          <w:tcPr>
            <w:tcW w:w="1560" w:type="dxa"/>
            <w:vAlign w:val="center"/>
          </w:tcPr>
          <w:p w14:paraId="3216D8CA">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671" w:type="dxa"/>
            <w:vAlign w:val="center"/>
          </w:tcPr>
          <w:p w14:paraId="69B19ED7">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09B1DE3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Y≥30000</w:t>
            </w:r>
          </w:p>
        </w:tc>
        <w:tc>
          <w:tcPr>
            <w:tcW w:w="1891" w:type="dxa"/>
            <w:vAlign w:val="center"/>
          </w:tcPr>
          <w:p w14:paraId="7580DE7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1000≤Y＜30000</w:t>
            </w:r>
          </w:p>
        </w:tc>
        <w:tc>
          <w:tcPr>
            <w:tcW w:w="1730" w:type="dxa"/>
            <w:vAlign w:val="center"/>
          </w:tcPr>
          <w:p w14:paraId="4773912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100≤Y＜1000</w:t>
            </w:r>
          </w:p>
        </w:tc>
        <w:tc>
          <w:tcPr>
            <w:tcW w:w="1203" w:type="dxa"/>
            <w:vAlign w:val="center"/>
          </w:tcPr>
          <w:p w14:paraId="7000577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w:t>
            </w:r>
          </w:p>
        </w:tc>
      </w:tr>
      <w:tr w14:paraId="5C7EF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19FBA93">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邮政业</w:t>
            </w:r>
          </w:p>
        </w:tc>
        <w:tc>
          <w:tcPr>
            <w:tcW w:w="1560" w:type="dxa"/>
            <w:vAlign w:val="center"/>
          </w:tcPr>
          <w:p w14:paraId="0DE6717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671" w:type="dxa"/>
            <w:vAlign w:val="center"/>
          </w:tcPr>
          <w:p w14:paraId="66FE3D0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231" w:type="dxa"/>
            <w:vAlign w:val="center"/>
          </w:tcPr>
          <w:p w14:paraId="15C3DAD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X≥1000</w:t>
            </w:r>
          </w:p>
        </w:tc>
        <w:tc>
          <w:tcPr>
            <w:tcW w:w="1891" w:type="dxa"/>
            <w:vAlign w:val="center"/>
          </w:tcPr>
          <w:p w14:paraId="3009C6B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300≤X＜1000</w:t>
            </w:r>
          </w:p>
        </w:tc>
        <w:tc>
          <w:tcPr>
            <w:tcW w:w="1730" w:type="dxa"/>
            <w:vAlign w:val="center"/>
          </w:tcPr>
          <w:p w14:paraId="0EE80E2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20≤X＜300</w:t>
            </w:r>
          </w:p>
        </w:tc>
        <w:tc>
          <w:tcPr>
            <w:tcW w:w="1203" w:type="dxa"/>
            <w:vAlign w:val="center"/>
          </w:tcPr>
          <w:p w14:paraId="007209B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X＜20</w:t>
            </w:r>
          </w:p>
        </w:tc>
      </w:tr>
      <w:tr w14:paraId="48D7C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8D07D75">
            <w:pPr>
              <w:widowControl/>
              <w:shd w:val="clear"/>
              <w:jc w:val="left"/>
              <w:rPr>
                <w:rFonts w:hint="eastAsia" w:ascii="宋体" w:hAnsi="宋体" w:eastAsia="宋体" w:cs="宋体"/>
                <w:color w:val="auto"/>
                <w:kern w:val="0"/>
                <w:sz w:val="24"/>
                <w:highlight w:val="none"/>
              </w:rPr>
            </w:pPr>
          </w:p>
        </w:tc>
        <w:tc>
          <w:tcPr>
            <w:tcW w:w="1560" w:type="dxa"/>
            <w:vAlign w:val="center"/>
          </w:tcPr>
          <w:p w14:paraId="1D5CAE71">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671" w:type="dxa"/>
            <w:vAlign w:val="center"/>
          </w:tcPr>
          <w:p w14:paraId="5E64A37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609DEDA7">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Y≥30000</w:t>
            </w:r>
          </w:p>
        </w:tc>
        <w:tc>
          <w:tcPr>
            <w:tcW w:w="1891" w:type="dxa"/>
            <w:vAlign w:val="center"/>
          </w:tcPr>
          <w:p w14:paraId="5D434A3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2000≤Y＜30000</w:t>
            </w:r>
          </w:p>
        </w:tc>
        <w:tc>
          <w:tcPr>
            <w:tcW w:w="1730" w:type="dxa"/>
            <w:vAlign w:val="center"/>
          </w:tcPr>
          <w:p w14:paraId="4381150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100≤Y＜2000</w:t>
            </w:r>
          </w:p>
        </w:tc>
        <w:tc>
          <w:tcPr>
            <w:tcW w:w="1203" w:type="dxa"/>
            <w:vAlign w:val="center"/>
          </w:tcPr>
          <w:p w14:paraId="1C6792D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w:t>
            </w:r>
          </w:p>
        </w:tc>
      </w:tr>
      <w:tr w14:paraId="204B7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6EA953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住宿业</w:t>
            </w:r>
          </w:p>
        </w:tc>
        <w:tc>
          <w:tcPr>
            <w:tcW w:w="1560" w:type="dxa"/>
            <w:vAlign w:val="center"/>
          </w:tcPr>
          <w:p w14:paraId="55DC89A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671" w:type="dxa"/>
            <w:vAlign w:val="center"/>
          </w:tcPr>
          <w:p w14:paraId="365A5A3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231" w:type="dxa"/>
            <w:vAlign w:val="center"/>
          </w:tcPr>
          <w:p w14:paraId="135EB34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X≥300</w:t>
            </w:r>
          </w:p>
        </w:tc>
        <w:tc>
          <w:tcPr>
            <w:tcW w:w="1891" w:type="dxa"/>
            <w:vAlign w:val="center"/>
          </w:tcPr>
          <w:p w14:paraId="3E0ED95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100≤X＜300</w:t>
            </w:r>
          </w:p>
        </w:tc>
        <w:tc>
          <w:tcPr>
            <w:tcW w:w="1730" w:type="dxa"/>
            <w:vAlign w:val="center"/>
          </w:tcPr>
          <w:p w14:paraId="761D91D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10≤X＜100</w:t>
            </w:r>
          </w:p>
        </w:tc>
        <w:tc>
          <w:tcPr>
            <w:tcW w:w="1203" w:type="dxa"/>
            <w:vAlign w:val="center"/>
          </w:tcPr>
          <w:p w14:paraId="608B108D">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w:t>
            </w:r>
          </w:p>
        </w:tc>
      </w:tr>
      <w:tr w14:paraId="470DB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B495871">
            <w:pPr>
              <w:widowControl/>
              <w:shd w:val="clear"/>
              <w:jc w:val="left"/>
              <w:rPr>
                <w:rFonts w:hint="eastAsia" w:ascii="宋体" w:hAnsi="宋体" w:eastAsia="宋体" w:cs="宋体"/>
                <w:color w:val="auto"/>
                <w:kern w:val="0"/>
                <w:sz w:val="24"/>
                <w:highlight w:val="none"/>
              </w:rPr>
            </w:pPr>
          </w:p>
        </w:tc>
        <w:tc>
          <w:tcPr>
            <w:tcW w:w="1560" w:type="dxa"/>
            <w:vAlign w:val="center"/>
          </w:tcPr>
          <w:p w14:paraId="5AE0FDC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671" w:type="dxa"/>
            <w:vAlign w:val="center"/>
          </w:tcPr>
          <w:p w14:paraId="4809120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382CEDF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Y≥10000</w:t>
            </w:r>
          </w:p>
        </w:tc>
        <w:tc>
          <w:tcPr>
            <w:tcW w:w="1891" w:type="dxa"/>
            <w:vAlign w:val="center"/>
          </w:tcPr>
          <w:p w14:paraId="3ED3CCA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2000≤Y＜10000</w:t>
            </w:r>
          </w:p>
        </w:tc>
        <w:tc>
          <w:tcPr>
            <w:tcW w:w="1730" w:type="dxa"/>
            <w:vAlign w:val="center"/>
          </w:tcPr>
          <w:p w14:paraId="137EF42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100≤Y＜2000</w:t>
            </w:r>
          </w:p>
        </w:tc>
        <w:tc>
          <w:tcPr>
            <w:tcW w:w="1203" w:type="dxa"/>
            <w:vAlign w:val="center"/>
          </w:tcPr>
          <w:p w14:paraId="51E5AD6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w:t>
            </w:r>
          </w:p>
        </w:tc>
      </w:tr>
      <w:tr w14:paraId="1D857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C9F30C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餐饮业</w:t>
            </w:r>
          </w:p>
        </w:tc>
        <w:tc>
          <w:tcPr>
            <w:tcW w:w="1560" w:type="dxa"/>
            <w:vAlign w:val="center"/>
          </w:tcPr>
          <w:p w14:paraId="59B478B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671" w:type="dxa"/>
            <w:vAlign w:val="center"/>
          </w:tcPr>
          <w:p w14:paraId="24FB1FA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231" w:type="dxa"/>
            <w:vAlign w:val="center"/>
          </w:tcPr>
          <w:p w14:paraId="45A552E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X≥300</w:t>
            </w:r>
          </w:p>
        </w:tc>
        <w:tc>
          <w:tcPr>
            <w:tcW w:w="1891" w:type="dxa"/>
            <w:vAlign w:val="center"/>
          </w:tcPr>
          <w:p w14:paraId="13A4B9AA">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100≤X＜300</w:t>
            </w:r>
          </w:p>
        </w:tc>
        <w:tc>
          <w:tcPr>
            <w:tcW w:w="1730" w:type="dxa"/>
            <w:vAlign w:val="center"/>
          </w:tcPr>
          <w:p w14:paraId="45C6FAB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10≤X＜100</w:t>
            </w:r>
          </w:p>
        </w:tc>
        <w:tc>
          <w:tcPr>
            <w:tcW w:w="1203" w:type="dxa"/>
            <w:vAlign w:val="center"/>
          </w:tcPr>
          <w:p w14:paraId="4578012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w:t>
            </w:r>
          </w:p>
        </w:tc>
      </w:tr>
      <w:tr w14:paraId="57319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214E15B">
            <w:pPr>
              <w:widowControl/>
              <w:shd w:val="clear"/>
              <w:jc w:val="left"/>
              <w:rPr>
                <w:rFonts w:hint="eastAsia" w:ascii="宋体" w:hAnsi="宋体" w:eastAsia="宋体" w:cs="宋体"/>
                <w:color w:val="auto"/>
                <w:kern w:val="0"/>
                <w:sz w:val="24"/>
                <w:highlight w:val="none"/>
              </w:rPr>
            </w:pPr>
          </w:p>
        </w:tc>
        <w:tc>
          <w:tcPr>
            <w:tcW w:w="1560" w:type="dxa"/>
            <w:vAlign w:val="center"/>
          </w:tcPr>
          <w:p w14:paraId="20DFDBB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671" w:type="dxa"/>
            <w:vAlign w:val="center"/>
          </w:tcPr>
          <w:p w14:paraId="771689CD">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17CF7B5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Y≥10000</w:t>
            </w:r>
          </w:p>
        </w:tc>
        <w:tc>
          <w:tcPr>
            <w:tcW w:w="1891" w:type="dxa"/>
            <w:vAlign w:val="center"/>
          </w:tcPr>
          <w:p w14:paraId="5598EE5A">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2000≤Y＜10000</w:t>
            </w:r>
          </w:p>
        </w:tc>
        <w:tc>
          <w:tcPr>
            <w:tcW w:w="1730" w:type="dxa"/>
            <w:vAlign w:val="center"/>
          </w:tcPr>
          <w:p w14:paraId="6DFFDC8A">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100≤Y＜2000</w:t>
            </w:r>
          </w:p>
        </w:tc>
        <w:tc>
          <w:tcPr>
            <w:tcW w:w="1203" w:type="dxa"/>
            <w:vAlign w:val="center"/>
          </w:tcPr>
          <w:p w14:paraId="58F9D70D">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w:t>
            </w:r>
          </w:p>
        </w:tc>
      </w:tr>
      <w:tr w14:paraId="32DA4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7E83EC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信息传输业 *</w:t>
            </w:r>
          </w:p>
        </w:tc>
        <w:tc>
          <w:tcPr>
            <w:tcW w:w="1560" w:type="dxa"/>
            <w:vAlign w:val="center"/>
          </w:tcPr>
          <w:p w14:paraId="356D186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671" w:type="dxa"/>
            <w:vAlign w:val="center"/>
          </w:tcPr>
          <w:p w14:paraId="074EF35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231" w:type="dxa"/>
            <w:vAlign w:val="center"/>
          </w:tcPr>
          <w:p w14:paraId="325CFCA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X≥2000</w:t>
            </w:r>
          </w:p>
        </w:tc>
        <w:tc>
          <w:tcPr>
            <w:tcW w:w="1891" w:type="dxa"/>
            <w:vAlign w:val="center"/>
          </w:tcPr>
          <w:p w14:paraId="0A53708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100≤X＜2000</w:t>
            </w:r>
          </w:p>
        </w:tc>
        <w:tc>
          <w:tcPr>
            <w:tcW w:w="1730" w:type="dxa"/>
            <w:vAlign w:val="center"/>
          </w:tcPr>
          <w:p w14:paraId="0015162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10≤X＜100</w:t>
            </w:r>
          </w:p>
        </w:tc>
        <w:tc>
          <w:tcPr>
            <w:tcW w:w="1203" w:type="dxa"/>
            <w:vAlign w:val="center"/>
          </w:tcPr>
          <w:p w14:paraId="577B19F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w:t>
            </w:r>
          </w:p>
        </w:tc>
      </w:tr>
      <w:tr w14:paraId="3C809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B5FB4D7">
            <w:pPr>
              <w:widowControl/>
              <w:shd w:val="clear"/>
              <w:jc w:val="left"/>
              <w:rPr>
                <w:rFonts w:hint="eastAsia" w:ascii="宋体" w:hAnsi="宋体" w:eastAsia="宋体" w:cs="宋体"/>
                <w:color w:val="auto"/>
                <w:kern w:val="0"/>
                <w:sz w:val="24"/>
                <w:highlight w:val="none"/>
              </w:rPr>
            </w:pPr>
          </w:p>
        </w:tc>
        <w:tc>
          <w:tcPr>
            <w:tcW w:w="1560" w:type="dxa"/>
            <w:vAlign w:val="center"/>
          </w:tcPr>
          <w:p w14:paraId="251B28E7">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671" w:type="dxa"/>
            <w:vAlign w:val="center"/>
          </w:tcPr>
          <w:p w14:paraId="56919D8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306594E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Y≥100000</w:t>
            </w:r>
          </w:p>
        </w:tc>
        <w:tc>
          <w:tcPr>
            <w:tcW w:w="1891" w:type="dxa"/>
            <w:vAlign w:val="center"/>
          </w:tcPr>
          <w:p w14:paraId="04E6A6C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1000≤Y＜100000</w:t>
            </w:r>
          </w:p>
        </w:tc>
        <w:tc>
          <w:tcPr>
            <w:tcW w:w="1730" w:type="dxa"/>
            <w:vAlign w:val="center"/>
          </w:tcPr>
          <w:p w14:paraId="04421B0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100≤Y＜1000</w:t>
            </w:r>
          </w:p>
        </w:tc>
        <w:tc>
          <w:tcPr>
            <w:tcW w:w="1203" w:type="dxa"/>
            <w:vAlign w:val="center"/>
          </w:tcPr>
          <w:p w14:paraId="720ABC9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w:t>
            </w:r>
          </w:p>
        </w:tc>
      </w:tr>
      <w:tr w14:paraId="4D68E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AEE2BD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软件和信息技术服务业</w:t>
            </w:r>
          </w:p>
        </w:tc>
        <w:tc>
          <w:tcPr>
            <w:tcW w:w="1560" w:type="dxa"/>
            <w:vAlign w:val="center"/>
          </w:tcPr>
          <w:p w14:paraId="5605822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671" w:type="dxa"/>
            <w:vAlign w:val="center"/>
          </w:tcPr>
          <w:p w14:paraId="005C5CA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231" w:type="dxa"/>
            <w:vAlign w:val="center"/>
          </w:tcPr>
          <w:p w14:paraId="4C27999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X≥300</w:t>
            </w:r>
          </w:p>
        </w:tc>
        <w:tc>
          <w:tcPr>
            <w:tcW w:w="1891" w:type="dxa"/>
            <w:vAlign w:val="center"/>
          </w:tcPr>
          <w:p w14:paraId="27F7A57A">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100≤X＜300</w:t>
            </w:r>
          </w:p>
        </w:tc>
        <w:tc>
          <w:tcPr>
            <w:tcW w:w="1730" w:type="dxa"/>
            <w:vAlign w:val="center"/>
          </w:tcPr>
          <w:p w14:paraId="47077061">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10≤X＜100</w:t>
            </w:r>
          </w:p>
        </w:tc>
        <w:tc>
          <w:tcPr>
            <w:tcW w:w="1203" w:type="dxa"/>
            <w:vAlign w:val="center"/>
          </w:tcPr>
          <w:p w14:paraId="2B28AD0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w:t>
            </w:r>
          </w:p>
        </w:tc>
      </w:tr>
      <w:tr w14:paraId="06367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819509E">
            <w:pPr>
              <w:widowControl/>
              <w:shd w:val="clear"/>
              <w:jc w:val="left"/>
              <w:rPr>
                <w:rFonts w:hint="eastAsia" w:ascii="宋体" w:hAnsi="宋体" w:eastAsia="宋体" w:cs="宋体"/>
                <w:color w:val="auto"/>
                <w:kern w:val="0"/>
                <w:sz w:val="24"/>
                <w:highlight w:val="none"/>
              </w:rPr>
            </w:pPr>
          </w:p>
        </w:tc>
        <w:tc>
          <w:tcPr>
            <w:tcW w:w="1560" w:type="dxa"/>
            <w:vAlign w:val="center"/>
          </w:tcPr>
          <w:p w14:paraId="351AD541">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671" w:type="dxa"/>
            <w:vAlign w:val="center"/>
          </w:tcPr>
          <w:p w14:paraId="2DD8383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170318ED">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Y≥10000</w:t>
            </w:r>
          </w:p>
        </w:tc>
        <w:tc>
          <w:tcPr>
            <w:tcW w:w="1891" w:type="dxa"/>
            <w:vAlign w:val="center"/>
          </w:tcPr>
          <w:p w14:paraId="4992DAC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1000≤Y＜10000</w:t>
            </w:r>
          </w:p>
        </w:tc>
        <w:tc>
          <w:tcPr>
            <w:tcW w:w="1730" w:type="dxa"/>
            <w:vAlign w:val="center"/>
          </w:tcPr>
          <w:p w14:paraId="46FC1F1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50≤Y＜1000</w:t>
            </w:r>
          </w:p>
        </w:tc>
        <w:tc>
          <w:tcPr>
            <w:tcW w:w="1203" w:type="dxa"/>
            <w:vAlign w:val="center"/>
          </w:tcPr>
          <w:p w14:paraId="519F8AF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Y＜50</w:t>
            </w:r>
          </w:p>
        </w:tc>
      </w:tr>
      <w:tr w14:paraId="760FD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32094BD">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房地产开发经营</w:t>
            </w:r>
          </w:p>
        </w:tc>
        <w:tc>
          <w:tcPr>
            <w:tcW w:w="1560" w:type="dxa"/>
            <w:vAlign w:val="center"/>
          </w:tcPr>
          <w:p w14:paraId="155B78D1">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671" w:type="dxa"/>
            <w:vAlign w:val="center"/>
          </w:tcPr>
          <w:p w14:paraId="5C17FB27">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2FF5BC9A">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Y≥200000</w:t>
            </w:r>
          </w:p>
        </w:tc>
        <w:tc>
          <w:tcPr>
            <w:tcW w:w="1891" w:type="dxa"/>
            <w:vAlign w:val="center"/>
          </w:tcPr>
          <w:p w14:paraId="4D54933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1000≤Y＜200000</w:t>
            </w:r>
          </w:p>
        </w:tc>
        <w:tc>
          <w:tcPr>
            <w:tcW w:w="1730" w:type="dxa"/>
            <w:vAlign w:val="center"/>
          </w:tcPr>
          <w:p w14:paraId="5247BB4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100≤Y＜1000</w:t>
            </w:r>
          </w:p>
        </w:tc>
        <w:tc>
          <w:tcPr>
            <w:tcW w:w="1203" w:type="dxa"/>
            <w:vAlign w:val="center"/>
          </w:tcPr>
          <w:p w14:paraId="1967FF9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w:t>
            </w:r>
          </w:p>
        </w:tc>
      </w:tr>
      <w:tr w14:paraId="56668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3AA5A10">
            <w:pPr>
              <w:widowControl/>
              <w:shd w:val="clear"/>
              <w:jc w:val="left"/>
              <w:rPr>
                <w:rFonts w:hint="eastAsia" w:ascii="宋体" w:hAnsi="宋体" w:eastAsia="宋体" w:cs="宋体"/>
                <w:color w:val="auto"/>
                <w:kern w:val="0"/>
                <w:sz w:val="24"/>
                <w:highlight w:val="none"/>
              </w:rPr>
            </w:pPr>
          </w:p>
        </w:tc>
        <w:tc>
          <w:tcPr>
            <w:tcW w:w="1560" w:type="dxa"/>
            <w:vAlign w:val="center"/>
          </w:tcPr>
          <w:p w14:paraId="23B7CCF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资产总额(Z)</w:t>
            </w:r>
          </w:p>
        </w:tc>
        <w:tc>
          <w:tcPr>
            <w:tcW w:w="671" w:type="dxa"/>
            <w:vAlign w:val="center"/>
          </w:tcPr>
          <w:p w14:paraId="0A93F8C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72F4574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Z≥10000</w:t>
            </w:r>
          </w:p>
        </w:tc>
        <w:tc>
          <w:tcPr>
            <w:tcW w:w="1891" w:type="dxa"/>
            <w:vAlign w:val="center"/>
          </w:tcPr>
          <w:p w14:paraId="7D861E73">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5000≤Z＜10000</w:t>
            </w:r>
          </w:p>
        </w:tc>
        <w:tc>
          <w:tcPr>
            <w:tcW w:w="1730" w:type="dxa"/>
            <w:vAlign w:val="center"/>
          </w:tcPr>
          <w:p w14:paraId="0A80374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2000≤Z＜5000</w:t>
            </w:r>
          </w:p>
        </w:tc>
        <w:tc>
          <w:tcPr>
            <w:tcW w:w="1203" w:type="dxa"/>
            <w:vAlign w:val="center"/>
          </w:tcPr>
          <w:p w14:paraId="465E87F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Z＜2000</w:t>
            </w:r>
          </w:p>
        </w:tc>
      </w:tr>
      <w:tr w14:paraId="5F0E4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0AD1F3A">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物业管理</w:t>
            </w:r>
          </w:p>
        </w:tc>
        <w:tc>
          <w:tcPr>
            <w:tcW w:w="1560" w:type="dxa"/>
            <w:vAlign w:val="center"/>
          </w:tcPr>
          <w:p w14:paraId="3D1FAE53">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671" w:type="dxa"/>
            <w:vAlign w:val="center"/>
          </w:tcPr>
          <w:p w14:paraId="16C7392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231" w:type="dxa"/>
            <w:vAlign w:val="center"/>
          </w:tcPr>
          <w:p w14:paraId="74462E4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X≥1000</w:t>
            </w:r>
          </w:p>
        </w:tc>
        <w:tc>
          <w:tcPr>
            <w:tcW w:w="1891" w:type="dxa"/>
            <w:vAlign w:val="center"/>
          </w:tcPr>
          <w:p w14:paraId="056E57A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300≤X＜1000</w:t>
            </w:r>
          </w:p>
        </w:tc>
        <w:tc>
          <w:tcPr>
            <w:tcW w:w="1730" w:type="dxa"/>
            <w:vAlign w:val="center"/>
          </w:tcPr>
          <w:p w14:paraId="38BD2B9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100≤X＜300</w:t>
            </w:r>
          </w:p>
        </w:tc>
        <w:tc>
          <w:tcPr>
            <w:tcW w:w="1203" w:type="dxa"/>
            <w:vAlign w:val="center"/>
          </w:tcPr>
          <w:p w14:paraId="57880A3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X＜100</w:t>
            </w:r>
          </w:p>
        </w:tc>
      </w:tr>
      <w:tr w14:paraId="53D3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7150B2E">
            <w:pPr>
              <w:widowControl/>
              <w:shd w:val="clear"/>
              <w:jc w:val="left"/>
              <w:rPr>
                <w:rFonts w:hint="eastAsia" w:ascii="宋体" w:hAnsi="宋体" w:eastAsia="宋体" w:cs="宋体"/>
                <w:color w:val="auto"/>
                <w:kern w:val="0"/>
                <w:sz w:val="24"/>
                <w:highlight w:val="none"/>
              </w:rPr>
            </w:pPr>
          </w:p>
        </w:tc>
        <w:tc>
          <w:tcPr>
            <w:tcW w:w="1560" w:type="dxa"/>
            <w:vAlign w:val="center"/>
          </w:tcPr>
          <w:p w14:paraId="21D18B9D">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671" w:type="dxa"/>
            <w:vAlign w:val="center"/>
          </w:tcPr>
          <w:p w14:paraId="51E6EB8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27BE7E4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Y≥5000</w:t>
            </w:r>
          </w:p>
        </w:tc>
        <w:tc>
          <w:tcPr>
            <w:tcW w:w="1891" w:type="dxa"/>
            <w:vAlign w:val="center"/>
          </w:tcPr>
          <w:p w14:paraId="10EA47B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1000≤Y＜5000</w:t>
            </w:r>
          </w:p>
        </w:tc>
        <w:tc>
          <w:tcPr>
            <w:tcW w:w="1730" w:type="dxa"/>
            <w:vAlign w:val="center"/>
          </w:tcPr>
          <w:p w14:paraId="314E8DF3">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500≤Y＜1000</w:t>
            </w:r>
          </w:p>
        </w:tc>
        <w:tc>
          <w:tcPr>
            <w:tcW w:w="1203" w:type="dxa"/>
            <w:vAlign w:val="center"/>
          </w:tcPr>
          <w:p w14:paraId="5C7B4A9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Y＜500</w:t>
            </w:r>
          </w:p>
        </w:tc>
      </w:tr>
      <w:tr w14:paraId="5371A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C6C8BB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租赁和商务服务业</w:t>
            </w:r>
          </w:p>
        </w:tc>
        <w:tc>
          <w:tcPr>
            <w:tcW w:w="1560" w:type="dxa"/>
            <w:vAlign w:val="center"/>
          </w:tcPr>
          <w:p w14:paraId="546FFC3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671" w:type="dxa"/>
            <w:vAlign w:val="center"/>
          </w:tcPr>
          <w:p w14:paraId="2D565C71">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231" w:type="dxa"/>
            <w:vAlign w:val="center"/>
          </w:tcPr>
          <w:p w14:paraId="6408D67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X≥300</w:t>
            </w:r>
          </w:p>
        </w:tc>
        <w:tc>
          <w:tcPr>
            <w:tcW w:w="1891" w:type="dxa"/>
            <w:vAlign w:val="center"/>
          </w:tcPr>
          <w:p w14:paraId="0BCD3FA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100≤X＜300</w:t>
            </w:r>
          </w:p>
        </w:tc>
        <w:tc>
          <w:tcPr>
            <w:tcW w:w="1730" w:type="dxa"/>
            <w:vAlign w:val="center"/>
          </w:tcPr>
          <w:p w14:paraId="4DFBF22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10≤X＜100</w:t>
            </w:r>
          </w:p>
        </w:tc>
        <w:tc>
          <w:tcPr>
            <w:tcW w:w="1203" w:type="dxa"/>
            <w:vAlign w:val="center"/>
          </w:tcPr>
          <w:p w14:paraId="69E398C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w:t>
            </w:r>
          </w:p>
        </w:tc>
      </w:tr>
      <w:tr w14:paraId="1DB63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690ADC5">
            <w:pPr>
              <w:widowControl/>
              <w:shd w:val="clear"/>
              <w:jc w:val="left"/>
              <w:rPr>
                <w:rFonts w:hint="eastAsia" w:ascii="宋体" w:hAnsi="宋体" w:eastAsia="宋体" w:cs="宋体"/>
                <w:color w:val="auto"/>
                <w:kern w:val="0"/>
                <w:sz w:val="24"/>
                <w:highlight w:val="none"/>
              </w:rPr>
            </w:pPr>
          </w:p>
        </w:tc>
        <w:tc>
          <w:tcPr>
            <w:tcW w:w="1560" w:type="dxa"/>
            <w:vAlign w:val="center"/>
          </w:tcPr>
          <w:p w14:paraId="5748EB2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资产总额(Z)</w:t>
            </w:r>
          </w:p>
        </w:tc>
        <w:tc>
          <w:tcPr>
            <w:tcW w:w="671" w:type="dxa"/>
            <w:vAlign w:val="center"/>
          </w:tcPr>
          <w:p w14:paraId="434692F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231" w:type="dxa"/>
            <w:vAlign w:val="center"/>
          </w:tcPr>
          <w:p w14:paraId="02522C0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Z≥120000</w:t>
            </w:r>
          </w:p>
        </w:tc>
        <w:tc>
          <w:tcPr>
            <w:tcW w:w="1891" w:type="dxa"/>
            <w:vAlign w:val="center"/>
          </w:tcPr>
          <w:p w14:paraId="5C3474C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8000≤Z＜120000</w:t>
            </w:r>
          </w:p>
        </w:tc>
        <w:tc>
          <w:tcPr>
            <w:tcW w:w="1730" w:type="dxa"/>
            <w:vAlign w:val="center"/>
          </w:tcPr>
          <w:p w14:paraId="3B21287A">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100≤Z＜8000</w:t>
            </w:r>
          </w:p>
        </w:tc>
        <w:tc>
          <w:tcPr>
            <w:tcW w:w="1203" w:type="dxa"/>
            <w:vAlign w:val="center"/>
          </w:tcPr>
          <w:p w14:paraId="62F2FD8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Z＜100</w:t>
            </w:r>
          </w:p>
        </w:tc>
      </w:tr>
      <w:tr w14:paraId="288A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A06FFB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其他未列明行业 *</w:t>
            </w:r>
          </w:p>
        </w:tc>
        <w:tc>
          <w:tcPr>
            <w:tcW w:w="1560" w:type="dxa"/>
            <w:vAlign w:val="center"/>
          </w:tcPr>
          <w:p w14:paraId="247D312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671" w:type="dxa"/>
            <w:vAlign w:val="center"/>
          </w:tcPr>
          <w:p w14:paraId="2FE90D0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231" w:type="dxa"/>
            <w:vAlign w:val="center"/>
          </w:tcPr>
          <w:p w14:paraId="0CA7A8CA">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X≥300</w:t>
            </w:r>
          </w:p>
        </w:tc>
        <w:tc>
          <w:tcPr>
            <w:tcW w:w="1891" w:type="dxa"/>
            <w:vAlign w:val="center"/>
          </w:tcPr>
          <w:p w14:paraId="4C671A57">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100≤X＜300</w:t>
            </w:r>
          </w:p>
        </w:tc>
        <w:tc>
          <w:tcPr>
            <w:tcW w:w="1730" w:type="dxa"/>
            <w:vAlign w:val="center"/>
          </w:tcPr>
          <w:p w14:paraId="546E7F9A">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10≤X＜100</w:t>
            </w:r>
          </w:p>
        </w:tc>
        <w:tc>
          <w:tcPr>
            <w:tcW w:w="1203" w:type="dxa"/>
            <w:vAlign w:val="center"/>
          </w:tcPr>
          <w:p w14:paraId="17AB48F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w:t>
            </w:r>
          </w:p>
        </w:tc>
      </w:tr>
    </w:tbl>
    <w:p w14:paraId="0DB7F3A7">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 　　</w:t>
      </w:r>
    </w:p>
    <w:p w14:paraId="30D34089">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1.大型、中型和小型企业须同时满足所列指标的下限，否则下划一档；微型企业只</w:t>
      </w:r>
      <w:r>
        <w:rPr>
          <w:rFonts w:hint="eastAsia" w:ascii="宋体" w:hAnsi="宋体" w:cs="宋体"/>
          <w:color w:val="auto"/>
          <w:kern w:val="0"/>
          <w:szCs w:val="21"/>
          <w:highlight w:val="none"/>
          <w:lang w:eastAsia="zh-CN"/>
        </w:rPr>
        <w:t>需</w:t>
      </w:r>
      <w:r>
        <w:rPr>
          <w:rFonts w:hint="eastAsia" w:ascii="宋体" w:hAnsi="宋体" w:eastAsia="宋体" w:cs="宋体"/>
          <w:color w:val="auto"/>
          <w:kern w:val="0"/>
          <w:szCs w:val="21"/>
          <w:highlight w:val="none"/>
        </w:rPr>
        <w:t>满足所列指标中的一项即可。 　　</w:t>
      </w:r>
    </w:p>
    <w:p w14:paraId="0D2F0B12">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E5A27C9">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 3.企业划分指标以现行统计制度为准。</w:t>
      </w:r>
    </w:p>
    <w:p w14:paraId="111B97A9">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（1）从业人员，是指期末从业人员数，没有期末从业人员数的，采用全年平均人员数代替。</w:t>
      </w:r>
    </w:p>
    <w:p w14:paraId="1FAE4712">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468B943">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（3）资产总额，采用资产总计代替。</w:t>
      </w:r>
    </w:p>
    <w:p w14:paraId="063221C9">
      <w:pPr>
        <w:widowControl/>
        <w:shd w:val="clear"/>
        <w:jc w:val="left"/>
        <w:rPr>
          <w:rFonts w:hint="eastAsia" w:ascii="宋体" w:hAnsi="宋体" w:eastAsia="宋体" w:cs="宋体"/>
          <w:color w:val="auto"/>
          <w:kern w:val="0"/>
          <w:sz w:val="24"/>
          <w:highlight w:val="none"/>
        </w:rPr>
      </w:pPr>
    </w:p>
    <w:p w14:paraId="39CA7A19">
      <w:pPr>
        <w:widowControl/>
        <w:shd w:val="clear"/>
        <w:jc w:val="left"/>
        <w:rPr>
          <w:rFonts w:hint="eastAsia" w:ascii="宋体" w:hAnsi="宋体" w:eastAsia="宋体" w:cs="宋体"/>
          <w:color w:val="auto"/>
          <w:kern w:val="0"/>
          <w:sz w:val="24"/>
          <w:highlight w:val="none"/>
        </w:rPr>
      </w:pPr>
    </w:p>
    <w:p w14:paraId="2D1B0665">
      <w:pPr>
        <w:widowControl/>
        <w:shd w:val="clear" w:color="auto"/>
        <w:spacing w:before="150" w:line="600" w:lineRule="atLeast"/>
        <w:jc w:val="center"/>
        <w:textAlignment w:val="baseline"/>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《统计上大中小微型企业划分办法（2017）》修订说明</w:t>
      </w:r>
    </w:p>
    <w:p w14:paraId="4FA4DF4E">
      <w:pPr>
        <w:widowControl/>
        <w:shd w:val="clear" w:color="auto"/>
        <w:spacing w:before="150" w:line="540" w:lineRule="atLeast"/>
        <w:jc w:val="left"/>
        <w:textAlignment w:val="baseline"/>
        <w:rPr>
          <w:rFonts w:hint="eastAsia" w:ascii="宋体" w:hAnsi="宋体" w:eastAsia="宋体" w:cs="宋体"/>
          <w:b/>
          <w:bCs/>
          <w:color w:val="auto"/>
          <w:kern w:val="0"/>
          <w:sz w:val="27"/>
          <w:szCs w:val="27"/>
          <w:highlight w:val="none"/>
        </w:rPr>
      </w:pPr>
      <w:r>
        <w:rPr>
          <w:rFonts w:hint="eastAsia" w:ascii="宋体" w:hAnsi="宋体" w:eastAsia="宋体" w:cs="宋体"/>
          <w:b/>
          <w:bCs/>
          <w:color w:val="auto"/>
          <w:kern w:val="0"/>
          <w:sz w:val="27"/>
          <w:szCs w:val="27"/>
          <w:highlight w:val="none"/>
        </w:rPr>
        <w:t>一、修订背景</w:t>
      </w:r>
    </w:p>
    <w:p w14:paraId="27D15555">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00D5F4A3">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7DD0429">
      <w:pPr>
        <w:widowControl/>
        <w:shd w:val="clear" w:color="auto"/>
        <w:spacing w:before="150" w:line="540" w:lineRule="atLeast"/>
        <w:jc w:val="left"/>
        <w:textAlignment w:val="baseline"/>
        <w:rPr>
          <w:rFonts w:hint="eastAsia" w:ascii="宋体" w:hAnsi="宋体" w:eastAsia="宋体" w:cs="宋体"/>
          <w:b/>
          <w:bCs/>
          <w:color w:val="auto"/>
          <w:kern w:val="0"/>
          <w:sz w:val="27"/>
          <w:szCs w:val="27"/>
          <w:highlight w:val="none"/>
        </w:rPr>
      </w:pPr>
      <w:r>
        <w:rPr>
          <w:rFonts w:hint="eastAsia" w:ascii="宋体" w:hAnsi="宋体" w:eastAsia="宋体" w:cs="宋体"/>
          <w:b/>
          <w:bCs/>
          <w:color w:val="auto"/>
          <w:kern w:val="0"/>
          <w:sz w:val="27"/>
          <w:szCs w:val="27"/>
          <w:highlight w:val="none"/>
        </w:rPr>
        <w:t>二、修订主要内容</w:t>
      </w:r>
    </w:p>
    <w:p w14:paraId="7C0AA20E">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E9078B1">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 将交通运输业中包括的“装卸搬运和运输代理业”修改为“多式联运和运输代理业、装卸搬运”。</w:t>
      </w:r>
    </w:p>
    <w:p w14:paraId="719767C8">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仓储业所包括的行业中类，根据《国民经济行业分类》（GB/T4754—2017）调整为“通用仓储，低温仓储，危险品仓储，谷物、棉花等农产品仓储，中药材仓储和其他仓储业”。</w:t>
      </w:r>
    </w:p>
    <w:p w14:paraId="376112DF">
      <w:pPr>
        <w:widowControl/>
        <w:shd w:val="clear"/>
        <w:jc w:val="left"/>
        <w:rPr>
          <w:rFonts w:hint="eastAsia" w:ascii="宋体" w:hAnsi="宋体" w:eastAsia="宋体" w:cs="宋体"/>
          <w:color w:val="auto"/>
          <w:kern w:val="0"/>
          <w:sz w:val="18"/>
          <w:szCs w:val="18"/>
          <w:highlight w:val="none"/>
        </w:rPr>
      </w:pPr>
    </w:p>
    <w:p w14:paraId="508DCC90">
      <w:pPr>
        <w:widowControl/>
        <w:shd w:val="clear"/>
        <w:jc w:val="left"/>
        <w:rPr>
          <w:rFonts w:hint="eastAsia" w:ascii="宋体" w:hAnsi="宋体" w:eastAsia="宋体" w:cs="宋体"/>
          <w:color w:val="auto"/>
          <w:kern w:val="0"/>
          <w:sz w:val="18"/>
          <w:szCs w:val="18"/>
          <w:highlight w:val="none"/>
        </w:rPr>
      </w:pPr>
    </w:p>
    <w:p w14:paraId="5561B457">
      <w:pPr>
        <w:widowControl/>
        <w:shd w:val="clear"/>
        <w:jc w:val="left"/>
        <w:rPr>
          <w:rFonts w:hint="eastAsia" w:ascii="宋体" w:hAnsi="宋体" w:eastAsia="宋体" w:cs="宋体"/>
          <w:color w:val="auto"/>
          <w:kern w:val="0"/>
          <w:sz w:val="18"/>
          <w:szCs w:val="18"/>
          <w:highlight w:val="none"/>
        </w:rPr>
      </w:pPr>
    </w:p>
    <w:p w14:paraId="2D38CC07">
      <w:pPr>
        <w:widowControl/>
        <w:shd w:val="clear" w:color="auto"/>
        <w:spacing w:line="600" w:lineRule="atLeast"/>
        <w:jc w:val="center"/>
        <w:textAlignment w:val="baseline"/>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中国人民银行中国银行业监督管理委员会</w:t>
      </w:r>
    </w:p>
    <w:p w14:paraId="2068AD1B">
      <w:pPr>
        <w:widowControl/>
        <w:shd w:val="clear" w:color="auto"/>
        <w:spacing w:line="600" w:lineRule="atLeast"/>
        <w:jc w:val="center"/>
        <w:textAlignment w:val="baseline"/>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中国证券监督管理委员会中国保险监督管理委员会</w:t>
      </w:r>
    </w:p>
    <w:p w14:paraId="6DFCAA1E">
      <w:pPr>
        <w:widowControl/>
        <w:shd w:val="clear" w:color="auto"/>
        <w:spacing w:line="600" w:lineRule="atLeast"/>
        <w:jc w:val="center"/>
        <w:textAlignment w:val="baseline"/>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国家统计局关于印发《金融业企业划型标准规定》的通知</w:t>
      </w:r>
    </w:p>
    <w:p w14:paraId="7B2BE002">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11B1BBEA">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请人民银行上海总部，各分行、营业管理部、省会（首府）城市中心支行、副省级城市中心支行会同所在省（区、市）银监局、证监局、保监局、统计局将本通知联合转发至辖内相关机构。</w:t>
      </w:r>
    </w:p>
    <w:p w14:paraId="1511185D">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附件：金融业企业划型标准规定</w:t>
      </w:r>
    </w:p>
    <w:p w14:paraId="02F797B8">
      <w:pPr>
        <w:widowControl/>
        <w:shd w:val="clear" w:color="auto"/>
        <w:spacing w:before="150" w:line="600" w:lineRule="atLeast"/>
        <w:jc w:val="center"/>
        <w:textAlignment w:val="baseline"/>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金融业企业划型标准规定</w:t>
      </w:r>
    </w:p>
    <w:p w14:paraId="6C19CE19">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 一、根据《中华人民共和国中小企业促进法》、《国务院关于进一步促进中小企业发展的若干意见》（国发〔2009〕36号）和《国务院办公厅关于金融支持小微企业发展的实施意见》（国办发〔2013〕87号），制定本规定。</w:t>
      </w:r>
    </w:p>
    <w:p w14:paraId="36F54A3B">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二、适用范围。本规定适用于从事《国民经济行业分类》(GB/T4754-2011)中J门类（金融业）活动的企业。</w:t>
      </w:r>
    </w:p>
    <w:p w14:paraId="0484778E">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4C9CF8F6">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四、划型标准指标。采用一个完整会计年度中四个季度末法人并表口径的资产总额（信托公司为信托资产）平均值作为划型指标，该指标以监管部门数据为准。</w:t>
      </w:r>
    </w:p>
    <w:p w14:paraId="57E85996">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五、指标标准值。依据指标标准值，将各类金融业企业划分为大、中、小、微四个规模类型，中型企业标准上限及以上的为大型企业。</w:t>
      </w:r>
    </w:p>
    <w:p w14:paraId="02C270E4">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(一) 银行业存款类金融机构。资产总额40000亿元以下的为中小微型企业。其中，资产总额5000亿元及以上的为中型企业，资产总额50亿元及以上的为小型企业，资产总额50亿元以下的为微型企业。</w:t>
      </w:r>
    </w:p>
    <w:p w14:paraId="2773545C">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1146B7E4">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729EC394">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3348AEE9">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(五) 保险业金融机构。资产总额5000亿元以下的为中小微型企业。其中，资产总额400亿元及以上的为中型企业，资产总额20亿元及以上的为小型企业，资产总额20亿元以下的为微型企业。</w:t>
      </w:r>
    </w:p>
    <w:p w14:paraId="68942BFF">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7B8CB001">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138EA3CF">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19BEBFC">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w:t>
      </w:r>
      <w:r>
        <w:rPr>
          <w:rFonts w:hint="eastAsia" w:ascii="宋体" w:hAnsi="宋体" w:cs="宋体"/>
          <w:color w:val="auto"/>
          <w:kern w:val="0"/>
          <w:szCs w:val="21"/>
          <w:highlight w:val="none"/>
          <w:lang w:eastAsia="zh-CN"/>
        </w:rPr>
        <w:t>增加</w:t>
      </w:r>
      <w:r>
        <w:rPr>
          <w:rFonts w:hint="eastAsia" w:ascii="宋体" w:hAnsi="宋体" w:eastAsia="宋体" w:cs="宋体"/>
          <w:color w:val="auto"/>
          <w:kern w:val="0"/>
          <w:szCs w:val="21"/>
          <w:highlight w:val="none"/>
        </w:rPr>
        <w:t>相应的字段模块。经过认定的金融业企业在系统中进行规模登记，方便政府部门和社会各界查询使用。</w:t>
      </w:r>
    </w:p>
    <w:p w14:paraId="20F0457F">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  七、标准值的评估和调整。金融业企业划型标准工作组毎五年对划型标准值受经济发展与通货膨胀等因素</w:t>
      </w:r>
      <w:r>
        <w:rPr>
          <w:rFonts w:hint="eastAsia" w:ascii="宋体" w:hAnsi="宋体" w:cs="宋体"/>
          <w:color w:val="auto"/>
          <w:kern w:val="0"/>
          <w:szCs w:val="21"/>
          <w:highlight w:val="none"/>
          <w:lang w:eastAsia="zh-CN"/>
        </w:rPr>
        <w:t>的影</w:t>
      </w:r>
      <w:r>
        <w:rPr>
          <w:rFonts w:hint="eastAsia" w:ascii="宋体" w:hAnsi="宋体" w:eastAsia="宋体" w:cs="宋体"/>
          <w:color w:val="auto"/>
          <w:kern w:val="0"/>
          <w:szCs w:val="21"/>
          <w:highlight w:val="none"/>
        </w:rPr>
        <w:t>响程度进行评估和调整。</w:t>
      </w:r>
    </w:p>
    <w:p w14:paraId="591B8C52">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rPr>
        <w:t xml:space="preserve"> </w:t>
      </w:r>
      <w:r>
        <w:rPr>
          <w:rFonts w:hint="eastAsia" w:ascii="宋体" w:hAnsi="宋体" w:eastAsia="宋体" w:cs="宋体"/>
          <w:color w:val="auto"/>
          <w:kern w:val="0"/>
          <w:szCs w:val="21"/>
          <w:highlight w:val="none"/>
        </w:rPr>
        <w:t>八、本规定的中型金融业企业标准上限即为大型金融业企业下限。国务院有关部门据此进行相关数据的统计分析，不得制定与本规定不一致的金融业企业划型标准。</w:t>
      </w:r>
    </w:p>
    <w:p w14:paraId="425EEFFD">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九</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融资担保公司参照本规定中“除贷款公司、小额贷款公司、典当行以外的其他金融机构”标准划型。</w:t>
      </w:r>
    </w:p>
    <w:p w14:paraId="53F7959D">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十、本规定由人民银行会同银监会，证监会、保监会和统计局负责解释。</w:t>
      </w:r>
    </w:p>
    <w:p w14:paraId="399433CC">
      <w:pPr>
        <w:widowControl/>
        <w:shd w:val="clear" w:color="auto"/>
        <w:spacing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十一、本规定自发布之日起实施。</w:t>
      </w:r>
    </w:p>
    <w:p w14:paraId="10911788">
      <w:pPr>
        <w:widowControl/>
        <w:shd w:val="clear" w:color="auto"/>
        <w:spacing w:before="150" w:line="420" w:lineRule="atLeas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附：金融业企业划型标准</w:t>
      </w:r>
    </w:p>
    <w:p w14:paraId="0E9F9A39">
      <w:pPr>
        <w:widowControl/>
        <w:shd w:val="clear" w:color="auto"/>
        <w:spacing w:before="150" w:line="600" w:lineRule="atLeast"/>
        <w:jc w:val="center"/>
        <w:textAlignment w:val="baseline"/>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3D3E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038BA65A">
            <w:pPr>
              <w:widowControl/>
              <w:shd w:val="clea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行业</w:t>
            </w:r>
          </w:p>
        </w:tc>
        <w:tc>
          <w:tcPr>
            <w:tcW w:w="2836" w:type="dxa"/>
            <w:tcMar>
              <w:top w:w="75" w:type="dxa"/>
              <w:left w:w="75" w:type="dxa"/>
              <w:bottom w:w="75" w:type="dxa"/>
              <w:right w:w="75" w:type="dxa"/>
            </w:tcMar>
            <w:vAlign w:val="bottom"/>
          </w:tcPr>
          <w:p w14:paraId="3FDC032C">
            <w:pPr>
              <w:widowControl/>
              <w:shd w:val="clea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类别</w:t>
            </w:r>
          </w:p>
        </w:tc>
        <w:tc>
          <w:tcPr>
            <w:tcW w:w="606" w:type="dxa"/>
            <w:tcMar>
              <w:top w:w="75" w:type="dxa"/>
              <w:left w:w="75" w:type="dxa"/>
              <w:bottom w:w="75" w:type="dxa"/>
              <w:right w:w="75" w:type="dxa"/>
            </w:tcMar>
            <w:vAlign w:val="bottom"/>
          </w:tcPr>
          <w:p w14:paraId="4FBE397B">
            <w:pPr>
              <w:widowControl/>
              <w:shd w:val="clea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类型</w:t>
            </w:r>
          </w:p>
        </w:tc>
        <w:tc>
          <w:tcPr>
            <w:tcW w:w="3326" w:type="dxa"/>
            <w:tcMar>
              <w:top w:w="75" w:type="dxa"/>
              <w:left w:w="75" w:type="dxa"/>
              <w:bottom w:w="75" w:type="dxa"/>
              <w:right w:w="75" w:type="dxa"/>
            </w:tcMar>
            <w:vAlign w:val="bottom"/>
          </w:tcPr>
          <w:p w14:paraId="7C924B75">
            <w:pPr>
              <w:widowControl/>
              <w:shd w:val="clea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资产总额</w:t>
            </w:r>
          </w:p>
        </w:tc>
      </w:tr>
      <w:tr w14:paraId="38C91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86B5DD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货币金融服务</w:t>
            </w:r>
          </w:p>
        </w:tc>
        <w:tc>
          <w:tcPr>
            <w:tcW w:w="1025" w:type="dxa"/>
            <w:vMerge w:val="restart"/>
            <w:vAlign w:val="center"/>
          </w:tcPr>
          <w:p w14:paraId="7EA8FA2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货币银行服务</w:t>
            </w:r>
          </w:p>
        </w:tc>
        <w:tc>
          <w:tcPr>
            <w:tcW w:w="2836" w:type="dxa"/>
            <w:vMerge w:val="restart"/>
            <w:vAlign w:val="center"/>
          </w:tcPr>
          <w:p w14:paraId="462629FD">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银行业存款类金融机构</w:t>
            </w:r>
          </w:p>
        </w:tc>
        <w:tc>
          <w:tcPr>
            <w:tcW w:w="606" w:type="dxa"/>
            <w:vAlign w:val="center"/>
          </w:tcPr>
          <w:p w14:paraId="40BBC8FD">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中型</w:t>
            </w:r>
          </w:p>
        </w:tc>
        <w:tc>
          <w:tcPr>
            <w:tcW w:w="3326" w:type="dxa"/>
            <w:vAlign w:val="center"/>
          </w:tcPr>
          <w:p w14:paraId="20151E7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5000亿元（含）至40000亿元</w:t>
            </w:r>
          </w:p>
        </w:tc>
      </w:tr>
      <w:tr w14:paraId="68F59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A29541A">
            <w:pPr>
              <w:widowControl/>
              <w:shd w:val="clear"/>
              <w:jc w:val="left"/>
              <w:rPr>
                <w:rFonts w:hint="eastAsia" w:ascii="宋体" w:hAnsi="宋体" w:eastAsia="宋体" w:cs="宋体"/>
                <w:color w:val="auto"/>
                <w:kern w:val="0"/>
                <w:sz w:val="24"/>
                <w:highlight w:val="none"/>
              </w:rPr>
            </w:pPr>
          </w:p>
        </w:tc>
        <w:tc>
          <w:tcPr>
            <w:tcW w:w="1025" w:type="dxa"/>
            <w:vMerge w:val="continue"/>
            <w:vAlign w:val="center"/>
          </w:tcPr>
          <w:p w14:paraId="0BBBF6CA">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432EBF78">
            <w:pPr>
              <w:widowControl/>
              <w:shd w:val="clear"/>
              <w:jc w:val="left"/>
              <w:rPr>
                <w:rFonts w:hint="eastAsia" w:ascii="宋体" w:hAnsi="宋体" w:eastAsia="宋体" w:cs="宋体"/>
                <w:color w:val="auto"/>
                <w:kern w:val="0"/>
                <w:sz w:val="24"/>
                <w:highlight w:val="none"/>
              </w:rPr>
            </w:pPr>
          </w:p>
        </w:tc>
        <w:tc>
          <w:tcPr>
            <w:tcW w:w="606" w:type="dxa"/>
            <w:vAlign w:val="center"/>
          </w:tcPr>
          <w:p w14:paraId="48A0320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小型</w:t>
            </w:r>
          </w:p>
        </w:tc>
        <w:tc>
          <w:tcPr>
            <w:tcW w:w="3326" w:type="dxa"/>
            <w:vAlign w:val="center"/>
          </w:tcPr>
          <w:p w14:paraId="3420072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50亿元（含）至5000亿元</w:t>
            </w:r>
          </w:p>
        </w:tc>
      </w:tr>
      <w:tr w14:paraId="5846B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719AFDD">
            <w:pPr>
              <w:widowControl/>
              <w:shd w:val="clear"/>
              <w:jc w:val="left"/>
              <w:rPr>
                <w:rFonts w:hint="eastAsia" w:ascii="宋体" w:hAnsi="宋体" w:eastAsia="宋体" w:cs="宋体"/>
                <w:color w:val="auto"/>
                <w:kern w:val="0"/>
                <w:sz w:val="24"/>
                <w:highlight w:val="none"/>
              </w:rPr>
            </w:pPr>
          </w:p>
        </w:tc>
        <w:tc>
          <w:tcPr>
            <w:tcW w:w="1025" w:type="dxa"/>
            <w:vMerge w:val="continue"/>
            <w:vAlign w:val="center"/>
          </w:tcPr>
          <w:p w14:paraId="3BCE6470">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5510A3BB">
            <w:pPr>
              <w:widowControl/>
              <w:shd w:val="clear"/>
              <w:jc w:val="left"/>
              <w:rPr>
                <w:rFonts w:hint="eastAsia" w:ascii="宋体" w:hAnsi="宋体" w:eastAsia="宋体" w:cs="宋体"/>
                <w:color w:val="auto"/>
                <w:kern w:val="0"/>
                <w:sz w:val="24"/>
                <w:highlight w:val="none"/>
              </w:rPr>
            </w:pPr>
          </w:p>
        </w:tc>
        <w:tc>
          <w:tcPr>
            <w:tcW w:w="606" w:type="dxa"/>
            <w:vAlign w:val="center"/>
          </w:tcPr>
          <w:p w14:paraId="7CF3F231">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微型</w:t>
            </w:r>
          </w:p>
        </w:tc>
        <w:tc>
          <w:tcPr>
            <w:tcW w:w="3326" w:type="dxa"/>
            <w:vAlign w:val="center"/>
          </w:tcPr>
          <w:p w14:paraId="0E40A36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50亿元以下</w:t>
            </w:r>
          </w:p>
        </w:tc>
      </w:tr>
      <w:tr w14:paraId="46902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10BAC75">
            <w:pPr>
              <w:widowControl/>
              <w:shd w:val="clear"/>
              <w:jc w:val="left"/>
              <w:rPr>
                <w:rFonts w:hint="eastAsia" w:ascii="宋体" w:hAnsi="宋体" w:eastAsia="宋体" w:cs="宋体"/>
                <w:color w:val="auto"/>
                <w:kern w:val="0"/>
                <w:sz w:val="24"/>
                <w:highlight w:val="none"/>
              </w:rPr>
            </w:pPr>
          </w:p>
        </w:tc>
        <w:tc>
          <w:tcPr>
            <w:tcW w:w="1025" w:type="dxa"/>
            <w:vMerge w:val="restart"/>
            <w:vAlign w:val="center"/>
          </w:tcPr>
          <w:p w14:paraId="46B4490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非货币银行服务</w:t>
            </w:r>
          </w:p>
        </w:tc>
        <w:tc>
          <w:tcPr>
            <w:tcW w:w="2836" w:type="dxa"/>
            <w:vMerge w:val="restart"/>
            <w:vAlign w:val="center"/>
          </w:tcPr>
          <w:p w14:paraId="756BDF7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银行业非存款类金融机构</w:t>
            </w:r>
          </w:p>
        </w:tc>
        <w:tc>
          <w:tcPr>
            <w:tcW w:w="606" w:type="dxa"/>
            <w:vAlign w:val="center"/>
          </w:tcPr>
          <w:p w14:paraId="1D7F5FD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中型</w:t>
            </w:r>
          </w:p>
        </w:tc>
        <w:tc>
          <w:tcPr>
            <w:tcW w:w="3326" w:type="dxa"/>
            <w:vAlign w:val="center"/>
          </w:tcPr>
          <w:p w14:paraId="7C9AC24D">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200亿元（含）至1000亿元</w:t>
            </w:r>
          </w:p>
        </w:tc>
      </w:tr>
      <w:tr w14:paraId="20977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90D4653">
            <w:pPr>
              <w:widowControl/>
              <w:shd w:val="clear"/>
              <w:jc w:val="left"/>
              <w:rPr>
                <w:rFonts w:hint="eastAsia" w:ascii="宋体" w:hAnsi="宋体" w:eastAsia="宋体" w:cs="宋体"/>
                <w:color w:val="auto"/>
                <w:kern w:val="0"/>
                <w:sz w:val="24"/>
                <w:highlight w:val="none"/>
              </w:rPr>
            </w:pPr>
          </w:p>
        </w:tc>
        <w:tc>
          <w:tcPr>
            <w:tcW w:w="1025" w:type="dxa"/>
            <w:vMerge w:val="continue"/>
            <w:vAlign w:val="center"/>
          </w:tcPr>
          <w:p w14:paraId="31957820">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147EEE3B">
            <w:pPr>
              <w:widowControl/>
              <w:shd w:val="clear"/>
              <w:jc w:val="left"/>
              <w:rPr>
                <w:rFonts w:hint="eastAsia" w:ascii="宋体" w:hAnsi="宋体" w:eastAsia="宋体" w:cs="宋体"/>
                <w:color w:val="auto"/>
                <w:kern w:val="0"/>
                <w:sz w:val="24"/>
                <w:highlight w:val="none"/>
              </w:rPr>
            </w:pPr>
          </w:p>
        </w:tc>
        <w:tc>
          <w:tcPr>
            <w:tcW w:w="606" w:type="dxa"/>
            <w:vAlign w:val="center"/>
          </w:tcPr>
          <w:p w14:paraId="5D93797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小型</w:t>
            </w:r>
          </w:p>
        </w:tc>
        <w:tc>
          <w:tcPr>
            <w:tcW w:w="3326" w:type="dxa"/>
            <w:vAlign w:val="center"/>
          </w:tcPr>
          <w:p w14:paraId="710B9D0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50亿元（含）至200亿元</w:t>
            </w:r>
          </w:p>
        </w:tc>
      </w:tr>
      <w:tr w14:paraId="4638B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302DA68">
            <w:pPr>
              <w:widowControl/>
              <w:shd w:val="clear"/>
              <w:jc w:val="left"/>
              <w:rPr>
                <w:rFonts w:hint="eastAsia" w:ascii="宋体" w:hAnsi="宋体" w:eastAsia="宋体" w:cs="宋体"/>
                <w:color w:val="auto"/>
                <w:kern w:val="0"/>
                <w:sz w:val="24"/>
                <w:highlight w:val="none"/>
              </w:rPr>
            </w:pPr>
          </w:p>
        </w:tc>
        <w:tc>
          <w:tcPr>
            <w:tcW w:w="1025" w:type="dxa"/>
            <w:vMerge w:val="continue"/>
            <w:vAlign w:val="center"/>
          </w:tcPr>
          <w:p w14:paraId="7A425C68">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29F7EAF2">
            <w:pPr>
              <w:widowControl/>
              <w:shd w:val="clear"/>
              <w:jc w:val="left"/>
              <w:rPr>
                <w:rFonts w:hint="eastAsia" w:ascii="宋体" w:hAnsi="宋体" w:eastAsia="宋体" w:cs="宋体"/>
                <w:color w:val="auto"/>
                <w:kern w:val="0"/>
                <w:sz w:val="24"/>
                <w:highlight w:val="none"/>
              </w:rPr>
            </w:pPr>
          </w:p>
        </w:tc>
        <w:tc>
          <w:tcPr>
            <w:tcW w:w="606" w:type="dxa"/>
            <w:vAlign w:val="center"/>
          </w:tcPr>
          <w:p w14:paraId="191101F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微型</w:t>
            </w:r>
          </w:p>
        </w:tc>
        <w:tc>
          <w:tcPr>
            <w:tcW w:w="3326" w:type="dxa"/>
            <w:vAlign w:val="center"/>
          </w:tcPr>
          <w:p w14:paraId="6C190C5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50亿元以下</w:t>
            </w:r>
          </w:p>
        </w:tc>
      </w:tr>
      <w:tr w14:paraId="15DAF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2FC3A0">
            <w:pPr>
              <w:widowControl/>
              <w:shd w:val="clear"/>
              <w:jc w:val="left"/>
              <w:rPr>
                <w:rFonts w:hint="eastAsia" w:ascii="宋体" w:hAnsi="宋体" w:eastAsia="宋体" w:cs="宋体"/>
                <w:color w:val="auto"/>
                <w:kern w:val="0"/>
                <w:sz w:val="24"/>
                <w:highlight w:val="none"/>
              </w:rPr>
            </w:pPr>
          </w:p>
        </w:tc>
        <w:tc>
          <w:tcPr>
            <w:tcW w:w="1025" w:type="dxa"/>
            <w:vMerge w:val="continue"/>
            <w:vAlign w:val="center"/>
          </w:tcPr>
          <w:p w14:paraId="0913F6A6">
            <w:pPr>
              <w:widowControl/>
              <w:shd w:val="clear"/>
              <w:jc w:val="left"/>
              <w:rPr>
                <w:rFonts w:hint="eastAsia" w:ascii="宋体" w:hAnsi="宋体" w:eastAsia="宋体" w:cs="宋体"/>
                <w:color w:val="auto"/>
                <w:kern w:val="0"/>
                <w:sz w:val="24"/>
                <w:highlight w:val="none"/>
              </w:rPr>
            </w:pPr>
          </w:p>
        </w:tc>
        <w:tc>
          <w:tcPr>
            <w:tcW w:w="2836" w:type="dxa"/>
            <w:vMerge w:val="restart"/>
            <w:vAlign w:val="center"/>
          </w:tcPr>
          <w:p w14:paraId="48A2078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贷款公司、小额贷款公司及典当行</w:t>
            </w:r>
          </w:p>
        </w:tc>
        <w:tc>
          <w:tcPr>
            <w:tcW w:w="606" w:type="dxa"/>
            <w:vAlign w:val="center"/>
          </w:tcPr>
          <w:p w14:paraId="4AC75F7A">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中型</w:t>
            </w:r>
          </w:p>
        </w:tc>
        <w:tc>
          <w:tcPr>
            <w:tcW w:w="3326" w:type="dxa"/>
            <w:vAlign w:val="center"/>
          </w:tcPr>
          <w:p w14:paraId="26B68B0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200亿元（含）至1000亿元</w:t>
            </w:r>
          </w:p>
        </w:tc>
      </w:tr>
      <w:tr w14:paraId="258B4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2B4F28C">
            <w:pPr>
              <w:widowControl/>
              <w:shd w:val="clear"/>
              <w:jc w:val="left"/>
              <w:rPr>
                <w:rFonts w:hint="eastAsia" w:ascii="宋体" w:hAnsi="宋体" w:eastAsia="宋体" w:cs="宋体"/>
                <w:color w:val="auto"/>
                <w:kern w:val="0"/>
                <w:sz w:val="24"/>
                <w:highlight w:val="none"/>
              </w:rPr>
            </w:pPr>
          </w:p>
        </w:tc>
        <w:tc>
          <w:tcPr>
            <w:tcW w:w="1025" w:type="dxa"/>
            <w:vMerge w:val="continue"/>
            <w:vAlign w:val="center"/>
          </w:tcPr>
          <w:p w14:paraId="3D7AE600">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42E03C55">
            <w:pPr>
              <w:widowControl/>
              <w:shd w:val="clear"/>
              <w:jc w:val="left"/>
              <w:rPr>
                <w:rFonts w:hint="eastAsia" w:ascii="宋体" w:hAnsi="宋体" w:eastAsia="宋体" w:cs="宋体"/>
                <w:color w:val="auto"/>
                <w:kern w:val="0"/>
                <w:sz w:val="24"/>
                <w:highlight w:val="none"/>
              </w:rPr>
            </w:pPr>
          </w:p>
        </w:tc>
        <w:tc>
          <w:tcPr>
            <w:tcW w:w="606" w:type="dxa"/>
            <w:vAlign w:val="center"/>
          </w:tcPr>
          <w:p w14:paraId="721D754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小型</w:t>
            </w:r>
          </w:p>
        </w:tc>
        <w:tc>
          <w:tcPr>
            <w:tcW w:w="3326" w:type="dxa"/>
            <w:vAlign w:val="center"/>
          </w:tcPr>
          <w:p w14:paraId="068DE45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50亿元（含）至200亿元</w:t>
            </w:r>
          </w:p>
        </w:tc>
      </w:tr>
      <w:tr w14:paraId="70B36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61A7FBF">
            <w:pPr>
              <w:widowControl/>
              <w:shd w:val="clear"/>
              <w:jc w:val="left"/>
              <w:rPr>
                <w:rFonts w:hint="eastAsia" w:ascii="宋体" w:hAnsi="宋体" w:eastAsia="宋体" w:cs="宋体"/>
                <w:color w:val="auto"/>
                <w:kern w:val="0"/>
                <w:sz w:val="24"/>
                <w:highlight w:val="none"/>
              </w:rPr>
            </w:pPr>
          </w:p>
        </w:tc>
        <w:tc>
          <w:tcPr>
            <w:tcW w:w="1025" w:type="dxa"/>
            <w:vMerge w:val="continue"/>
            <w:vAlign w:val="center"/>
          </w:tcPr>
          <w:p w14:paraId="3A703715">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48D2EB14">
            <w:pPr>
              <w:widowControl/>
              <w:shd w:val="clear"/>
              <w:jc w:val="left"/>
              <w:rPr>
                <w:rFonts w:hint="eastAsia" w:ascii="宋体" w:hAnsi="宋体" w:eastAsia="宋体" w:cs="宋体"/>
                <w:color w:val="auto"/>
                <w:kern w:val="0"/>
                <w:sz w:val="24"/>
                <w:highlight w:val="none"/>
              </w:rPr>
            </w:pPr>
          </w:p>
        </w:tc>
        <w:tc>
          <w:tcPr>
            <w:tcW w:w="606" w:type="dxa"/>
            <w:vAlign w:val="center"/>
          </w:tcPr>
          <w:p w14:paraId="470D8B7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微型</w:t>
            </w:r>
          </w:p>
        </w:tc>
        <w:tc>
          <w:tcPr>
            <w:tcW w:w="3326" w:type="dxa"/>
            <w:vAlign w:val="center"/>
          </w:tcPr>
          <w:p w14:paraId="5C9E07B7">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50亿元以下</w:t>
            </w:r>
          </w:p>
        </w:tc>
      </w:tr>
      <w:tr w14:paraId="0AF19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B8430A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资本市场服务</w:t>
            </w:r>
          </w:p>
        </w:tc>
        <w:tc>
          <w:tcPr>
            <w:tcW w:w="2836" w:type="dxa"/>
            <w:vMerge w:val="restart"/>
            <w:vAlign w:val="center"/>
          </w:tcPr>
          <w:p w14:paraId="62E0664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证券业金融机构</w:t>
            </w:r>
          </w:p>
        </w:tc>
        <w:tc>
          <w:tcPr>
            <w:tcW w:w="606" w:type="dxa"/>
            <w:vAlign w:val="center"/>
          </w:tcPr>
          <w:p w14:paraId="1BC8E19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中型</w:t>
            </w:r>
          </w:p>
        </w:tc>
        <w:tc>
          <w:tcPr>
            <w:tcW w:w="3326" w:type="dxa"/>
            <w:vAlign w:val="center"/>
          </w:tcPr>
          <w:p w14:paraId="120BDE0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100亿元（含）至1000亿元</w:t>
            </w:r>
          </w:p>
        </w:tc>
      </w:tr>
      <w:tr w14:paraId="4997F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B3A798D">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0FB887DF">
            <w:pPr>
              <w:widowControl/>
              <w:shd w:val="clear"/>
              <w:jc w:val="left"/>
              <w:rPr>
                <w:rFonts w:hint="eastAsia" w:ascii="宋体" w:hAnsi="宋体" w:eastAsia="宋体" w:cs="宋体"/>
                <w:color w:val="auto"/>
                <w:kern w:val="0"/>
                <w:sz w:val="24"/>
                <w:highlight w:val="none"/>
              </w:rPr>
            </w:pPr>
          </w:p>
        </w:tc>
        <w:tc>
          <w:tcPr>
            <w:tcW w:w="606" w:type="dxa"/>
            <w:vAlign w:val="center"/>
          </w:tcPr>
          <w:p w14:paraId="3CBF02FA">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小型</w:t>
            </w:r>
          </w:p>
        </w:tc>
        <w:tc>
          <w:tcPr>
            <w:tcW w:w="3326" w:type="dxa"/>
            <w:vAlign w:val="center"/>
          </w:tcPr>
          <w:p w14:paraId="5E37C05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10亿元（含）至100亿元</w:t>
            </w:r>
          </w:p>
        </w:tc>
      </w:tr>
      <w:tr w14:paraId="0707B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3F12E72">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3E24E92C">
            <w:pPr>
              <w:widowControl/>
              <w:shd w:val="clear"/>
              <w:jc w:val="left"/>
              <w:rPr>
                <w:rFonts w:hint="eastAsia" w:ascii="宋体" w:hAnsi="宋体" w:eastAsia="宋体" w:cs="宋体"/>
                <w:color w:val="auto"/>
                <w:kern w:val="0"/>
                <w:sz w:val="24"/>
                <w:highlight w:val="none"/>
              </w:rPr>
            </w:pPr>
          </w:p>
        </w:tc>
        <w:tc>
          <w:tcPr>
            <w:tcW w:w="606" w:type="dxa"/>
            <w:vAlign w:val="center"/>
          </w:tcPr>
          <w:p w14:paraId="518C0DD8">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微型</w:t>
            </w:r>
          </w:p>
        </w:tc>
        <w:tc>
          <w:tcPr>
            <w:tcW w:w="3326" w:type="dxa"/>
            <w:vAlign w:val="center"/>
          </w:tcPr>
          <w:p w14:paraId="55EDE3A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10亿元以下</w:t>
            </w:r>
          </w:p>
        </w:tc>
      </w:tr>
      <w:tr w14:paraId="7C46E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4F5A7B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保险业</w:t>
            </w:r>
          </w:p>
        </w:tc>
        <w:tc>
          <w:tcPr>
            <w:tcW w:w="2836" w:type="dxa"/>
            <w:vMerge w:val="restart"/>
            <w:vAlign w:val="center"/>
          </w:tcPr>
          <w:p w14:paraId="4EA8AF6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保险业金融机构</w:t>
            </w:r>
          </w:p>
        </w:tc>
        <w:tc>
          <w:tcPr>
            <w:tcW w:w="606" w:type="dxa"/>
            <w:vAlign w:val="center"/>
          </w:tcPr>
          <w:p w14:paraId="148A338A">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中型</w:t>
            </w:r>
          </w:p>
        </w:tc>
        <w:tc>
          <w:tcPr>
            <w:tcW w:w="3326" w:type="dxa"/>
            <w:vAlign w:val="center"/>
          </w:tcPr>
          <w:p w14:paraId="59E46B62">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400亿元（含）至5000亿元</w:t>
            </w:r>
          </w:p>
        </w:tc>
      </w:tr>
      <w:tr w14:paraId="4917B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81D3295">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27D4AB29">
            <w:pPr>
              <w:widowControl/>
              <w:shd w:val="clear"/>
              <w:jc w:val="left"/>
              <w:rPr>
                <w:rFonts w:hint="eastAsia" w:ascii="宋体" w:hAnsi="宋体" w:eastAsia="宋体" w:cs="宋体"/>
                <w:color w:val="auto"/>
                <w:kern w:val="0"/>
                <w:sz w:val="24"/>
                <w:highlight w:val="none"/>
              </w:rPr>
            </w:pPr>
          </w:p>
        </w:tc>
        <w:tc>
          <w:tcPr>
            <w:tcW w:w="606" w:type="dxa"/>
            <w:vAlign w:val="center"/>
          </w:tcPr>
          <w:p w14:paraId="46C2C2A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小型</w:t>
            </w:r>
          </w:p>
        </w:tc>
        <w:tc>
          <w:tcPr>
            <w:tcW w:w="3326" w:type="dxa"/>
            <w:vAlign w:val="center"/>
          </w:tcPr>
          <w:p w14:paraId="7D038A9A">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20亿元（含）至400亿元</w:t>
            </w:r>
          </w:p>
        </w:tc>
      </w:tr>
      <w:tr w14:paraId="0741D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1EF88EC">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76DB9087">
            <w:pPr>
              <w:widowControl/>
              <w:shd w:val="clear"/>
              <w:jc w:val="left"/>
              <w:rPr>
                <w:rFonts w:hint="eastAsia" w:ascii="宋体" w:hAnsi="宋体" w:eastAsia="宋体" w:cs="宋体"/>
                <w:color w:val="auto"/>
                <w:kern w:val="0"/>
                <w:sz w:val="24"/>
                <w:highlight w:val="none"/>
              </w:rPr>
            </w:pPr>
          </w:p>
        </w:tc>
        <w:tc>
          <w:tcPr>
            <w:tcW w:w="606" w:type="dxa"/>
            <w:vAlign w:val="center"/>
          </w:tcPr>
          <w:p w14:paraId="778BB3F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微型</w:t>
            </w:r>
          </w:p>
        </w:tc>
        <w:tc>
          <w:tcPr>
            <w:tcW w:w="3326" w:type="dxa"/>
            <w:vAlign w:val="center"/>
          </w:tcPr>
          <w:p w14:paraId="190956E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20亿元以下</w:t>
            </w:r>
          </w:p>
        </w:tc>
      </w:tr>
      <w:tr w14:paraId="30577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21A26221">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其他金融业</w:t>
            </w:r>
          </w:p>
        </w:tc>
        <w:tc>
          <w:tcPr>
            <w:tcW w:w="1025" w:type="dxa"/>
            <w:vMerge w:val="restart"/>
            <w:vAlign w:val="center"/>
          </w:tcPr>
          <w:p w14:paraId="72DC603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金融信托与管理服务</w:t>
            </w:r>
          </w:p>
        </w:tc>
        <w:tc>
          <w:tcPr>
            <w:tcW w:w="2836" w:type="dxa"/>
            <w:vMerge w:val="restart"/>
            <w:vAlign w:val="center"/>
          </w:tcPr>
          <w:p w14:paraId="2363449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信托公司</w:t>
            </w:r>
          </w:p>
        </w:tc>
        <w:tc>
          <w:tcPr>
            <w:tcW w:w="606" w:type="dxa"/>
            <w:vAlign w:val="center"/>
          </w:tcPr>
          <w:p w14:paraId="27BD88A3">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中型</w:t>
            </w:r>
          </w:p>
        </w:tc>
        <w:tc>
          <w:tcPr>
            <w:tcW w:w="3326" w:type="dxa"/>
            <w:vAlign w:val="center"/>
          </w:tcPr>
          <w:p w14:paraId="37121121">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400亿元（含）至1000亿元</w:t>
            </w:r>
          </w:p>
        </w:tc>
      </w:tr>
      <w:tr w14:paraId="0AD02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65FD579">
            <w:pPr>
              <w:widowControl/>
              <w:shd w:val="clear"/>
              <w:jc w:val="left"/>
              <w:rPr>
                <w:rFonts w:hint="eastAsia" w:ascii="宋体" w:hAnsi="宋体" w:eastAsia="宋体" w:cs="宋体"/>
                <w:color w:val="auto"/>
                <w:kern w:val="0"/>
                <w:sz w:val="24"/>
                <w:highlight w:val="none"/>
              </w:rPr>
            </w:pPr>
          </w:p>
        </w:tc>
        <w:tc>
          <w:tcPr>
            <w:tcW w:w="1025" w:type="dxa"/>
            <w:vMerge w:val="continue"/>
            <w:vAlign w:val="center"/>
          </w:tcPr>
          <w:p w14:paraId="53BEA239">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7024038A">
            <w:pPr>
              <w:widowControl/>
              <w:shd w:val="clear"/>
              <w:jc w:val="left"/>
              <w:rPr>
                <w:rFonts w:hint="eastAsia" w:ascii="宋体" w:hAnsi="宋体" w:eastAsia="宋体" w:cs="宋体"/>
                <w:color w:val="auto"/>
                <w:kern w:val="0"/>
                <w:sz w:val="24"/>
                <w:highlight w:val="none"/>
              </w:rPr>
            </w:pPr>
          </w:p>
        </w:tc>
        <w:tc>
          <w:tcPr>
            <w:tcW w:w="606" w:type="dxa"/>
            <w:vAlign w:val="center"/>
          </w:tcPr>
          <w:p w14:paraId="21E2D7A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小型</w:t>
            </w:r>
          </w:p>
        </w:tc>
        <w:tc>
          <w:tcPr>
            <w:tcW w:w="3326" w:type="dxa"/>
            <w:vAlign w:val="center"/>
          </w:tcPr>
          <w:p w14:paraId="27565CE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20亿元（含）至400亿元</w:t>
            </w:r>
          </w:p>
        </w:tc>
      </w:tr>
      <w:tr w14:paraId="56676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E126620">
            <w:pPr>
              <w:widowControl/>
              <w:shd w:val="clear"/>
              <w:jc w:val="left"/>
              <w:rPr>
                <w:rFonts w:hint="eastAsia" w:ascii="宋体" w:hAnsi="宋体" w:eastAsia="宋体" w:cs="宋体"/>
                <w:color w:val="auto"/>
                <w:kern w:val="0"/>
                <w:sz w:val="24"/>
                <w:highlight w:val="none"/>
              </w:rPr>
            </w:pPr>
          </w:p>
        </w:tc>
        <w:tc>
          <w:tcPr>
            <w:tcW w:w="1025" w:type="dxa"/>
            <w:vMerge w:val="continue"/>
            <w:vAlign w:val="center"/>
          </w:tcPr>
          <w:p w14:paraId="6725C4E0">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0DAC6AD2">
            <w:pPr>
              <w:widowControl/>
              <w:shd w:val="clear"/>
              <w:jc w:val="left"/>
              <w:rPr>
                <w:rFonts w:hint="eastAsia" w:ascii="宋体" w:hAnsi="宋体" w:eastAsia="宋体" w:cs="宋体"/>
                <w:color w:val="auto"/>
                <w:kern w:val="0"/>
                <w:sz w:val="24"/>
                <w:highlight w:val="none"/>
              </w:rPr>
            </w:pPr>
          </w:p>
        </w:tc>
        <w:tc>
          <w:tcPr>
            <w:tcW w:w="606" w:type="dxa"/>
            <w:vAlign w:val="center"/>
          </w:tcPr>
          <w:p w14:paraId="55A929D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微型</w:t>
            </w:r>
          </w:p>
        </w:tc>
        <w:tc>
          <w:tcPr>
            <w:tcW w:w="3326" w:type="dxa"/>
            <w:vAlign w:val="center"/>
          </w:tcPr>
          <w:p w14:paraId="609EA40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20亿元以下</w:t>
            </w:r>
          </w:p>
        </w:tc>
      </w:tr>
      <w:tr w14:paraId="2953B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A7A70D4">
            <w:pPr>
              <w:widowControl/>
              <w:shd w:val="clear"/>
              <w:jc w:val="left"/>
              <w:rPr>
                <w:rFonts w:hint="eastAsia" w:ascii="宋体" w:hAnsi="宋体" w:eastAsia="宋体" w:cs="宋体"/>
                <w:color w:val="auto"/>
                <w:kern w:val="0"/>
                <w:sz w:val="24"/>
                <w:highlight w:val="none"/>
              </w:rPr>
            </w:pPr>
          </w:p>
        </w:tc>
        <w:tc>
          <w:tcPr>
            <w:tcW w:w="1025" w:type="dxa"/>
            <w:vMerge w:val="restart"/>
            <w:vAlign w:val="center"/>
          </w:tcPr>
          <w:p w14:paraId="021FFBD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控股公司服务</w:t>
            </w:r>
          </w:p>
        </w:tc>
        <w:tc>
          <w:tcPr>
            <w:tcW w:w="2836" w:type="dxa"/>
            <w:vMerge w:val="restart"/>
            <w:vAlign w:val="center"/>
          </w:tcPr>
          <w:p w14:paraId="0E5BE3B4">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金融控股公司</w:t>
            </w:r>
          </w:p>
        </w:tc>
        <w:tc>
          <w:tcPr>
            <w:tcW w:w="606" w:type="dxa"/>
            <w:vAlign w:val="center"/>
          </w:tcPr>
          <w:p w14:paraId="6D95F280">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中型</w:t>
            </w:r>
          </w:p>
        </w:tc>
        <w:tc>
          <w:tcPr>
            <w:tcW w:w="3326" w:type="dxa"/>
            <w:vAlign w:val="center"/>
          </w:tcPr>
          <w:p w14:paraId="7205A34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5000亿元（含）至40000亿元</w:t>
            </w:r>
          </w:p>
        </w:tc>
      </w:tr>
      <w:tr w14:paraId="5237A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037E3AE">
            <w:pPr>
              <w:widowControl/>
              <w:shd w:val="clear"/>
              <w:jc w:val="left"/>
              <w:rPr>
                <w:rFonts w:hint="eastAsia" w:ascii="宋体" w:hAnsi="宋体" w:eastAsia="宋体" w:cs="宋体"/>
                <w:color w:val="auto"/>
                <w:kern w:val="0"/>
                <w:sz w:val="24"/>
                <w:highlight w:val="none"/>
              </w:rPr>
            </w:pPr>
          </w:p>
        </w:tc>
        <w:tc>
          <w:tcPr>
            <w:tcW w:w="1025" w:type="dxa"/>
            <w:vMerge w:val="continue"/>
            <w:vAlign w:val="center"/>
          </w:tcPr>
          <w:p w14:paraId="288DA08C">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78BE19D8">
            <w:pPr>
              <w:widowControl/>
              <w:shd w:val="clear"/>
              <w:jc w:val="left"/>
              <w:rPr>
                <w:rFonts w:hint="eastAsia" w:ascii="宋体" w:hAnsi="宋体" w:eastAsia="宋体" w:cs="宋体"/>
                <w:color w:val="auto"/>
                <w:kern w:val="0"/>
                <w:sz w:val="24"/>
                <w:highlight w:val="none"/>
              </w:rPr>
            </w:pPr>
          </w:p>
        </w:tc>
        <w:tc>
          <w:tcPr>
            <w:tcW w:w="606" w:type="dxa"/>
            <w:vAlign w:val="center"/>
          </w:tcPr>
          <w:p w14:paraId="078D8727">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小型</w:t>
            </w:r>
          </w:p>
        </w:tc>
        <w:tc>
          <w:tcPr>
            <w:tcW w:w="3326" w:type="dxa"/>
            <w:vAlign w:val="center"/>
          </w:tcPr>
          <w:p w14:paraId="6BA11C01">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50亿元（含）至5000亿元</w:t>
            </w:r>
          </w:p>
        </w:tc>
      </w:tr>
      <w:tr w14:paraId="74137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1067F9F">
            <w:pPr>
              <w:widowControl/>
              <w:shd w:val="clear"/>
              <w:jc w:val="left"/>
              <w:rPr>
                <w:rFonts w:hint="eastAsia" w:ascii="宋体" w:hAnsi="宋体" w:eastAsia="宋体" w:cs="宋体"/>
                <w:color w:val="auto"/>
                <w:kern w:val="0"/>
                <w:sz w:val="24"/>
                <w:highlight w:val="none"/>
              </w:rPr>
            </w:pPr>
          </w:p>
        </w:tc>
        <w:tc>
          <w:tcPr>
            <w:tcW w:w="1025" w:type="dxa"/>
            <w:vMerge w:val="continue"/>
            <w:vAlign w:val="center"/>
          </w:tcPr>
          <w:p w14:paraId="10F2C12E">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259B34FD">
            <w:pPr>
              <w:widowControl/>
              <w:shd w:val="clear"/>
              <w:jc w:val="left"/>
              <w:rPr>
                <w:rFonts w:hint="eastAsia" w:ascii="宋体" w:hAnsi="宋体" w:eastAsia="宋体" w:cs="宋体"/>
                <w:color w:val="auto"/>
                <w:kern w:val="0"/>
                <w:sz w:val="24"/>
                <w:highlight w:val="none"/>
              </w:rPr>
            </w:pPr>
          </w:p>
        </w:tc>
        <w:tc>
          <w:tcPr>
            <w:tcW w:w="606" w:type="dxa"/>
            <w:vAlign w:val="center"/>
          </w:tcPr>
          <w:p w14:paraId="2D7E23EB">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微型</w:t>
            </w:r>
          </w:p>
        </w:tc>
        <w:tc>
          <w:tcPr>
            <w:tcW w:w="3326" w:type="dxa"/>
            <w:vAlign w:val="center"/>
          </w:tcPr>
          <w:p w14:paraId="67EB1F4D">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50亿元以下</w:t>
            </w:r>
          </w:p>
        </w:tc>
      </w:tr>
      <w:tr w14:paraId="59832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5F26AE">
            <w:pPr>
              <w:widowControl/>
              <w:shd w:val="clear"/>
              <w:jc w:val="left"/>
              <w:rPr>
                <w:rFonts w:hint="eastAsia" w:ascii="宋体" w:hAnsi="宋体" w:eastAsia="宋体" w:cs="宋体"/>
                <w:color w:val="auto"/>
                <w:kern w:val="0"/>
                <w:sz w:val="24"/>
                <w:highlight w:val="none"/>
              </w:rPr>
            </w:pPr>
          </w:p>
        </w:tc>
        <w:tc>
          <w:tcPr>
            <w:tcW w:w="1025" w:type="dxa"/>
            <w:vMerge w:val="restart"/>
            <w:vAlign w:val="center"/>
          </w:tcPr>
          <w:p w14:paraId="310BCABF">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其他未包括的金融业</w:t>
            </w:r>
          </w:p>
        </w:tc>
        <w:tc>
          <w:tcPr>
            <w:tcW w:w="2836" w:type="dxa"/>
            <w:vMerge w:val="restart"/>
            <w:vAlign w:val="center"/>
          </w:tcPr>
          <w:p w14:paraId="2C75AA89">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除贷款公司、小额贷款公司及典当行以外的其他金融机构</w:t>
            </w:r>
          </w:p>
        </w:tc>
        <w:tc>
          <w:tcPr>
            <w:tcW w:w="606" w:type="dxa"/>
            <w:vAlign w:val="center"/>
          </w:tcPr>
          <w:p w14:paraId="6373B945">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中型</w:t>
            </w:r>
          </w:p>
        </w:tc>
        <w:tc>
          <w:tcPr>
            <w:tcW w:w="3326" w:type="dxa"/>
            <w:vAlign w:val="center"/>
          </w:tcPr>
          <w:p w14:paraId="0BB168FD">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200亿元（含）至1000亿元</w:t>
            </w:r>
          </w:p>
        </w:tc>
      </w:tr>
      <w:tr w14:paraId="342A4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39D6D3D">
            <w:pPr>
              <w:widowControl/>
              <w:shd w:val="clear"/>
              <w:jc w:val="left"/>
              <w:rPr>
                <w:rFonts w:hint="eastAsia" w:ascii="宋体" w:hAnsi="宋体" w:eastAsia="宋体" w:cs="宋体"/>
                <w:color w:val="auto"/>
                <w:kern w:val="0"/>
                <w:sz w:val="24"/>
                <w:highlight w:val="none"/>
              </w:rPr>
            </w:pPr>
          </w:p>
        </w:tc>
        <w:tc>
          <w:tcPr>
            <w:tcW w:w="1025" w:type="dxa"/>
            <w:vMerge w:val="continue"/>
            <w:vAlign w:val="center"/>
          </w:tcPr>
          <w:p w14:paraId="16AE7A3F">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3A4AA5FF">
            <w:pPr>
              <w:widowControl/>
              <w:shd w:val="clear"/>
              <w:jc w:val="left"/>
              <w:rPr>
                <w:rFonts w:hint="eastAsia" w:ascii="宋体" w:hAnsi="宋体" w:eastAsia="宋体" w:cs="宋体"/>
                <w:color w:val="auto"/>
                <w:kern w:val="0"/>
                <w:sz w:val="24"/>
                <w:highlight w:val="none"/>
              </w:rPr>
            </w:pPr>
          </w:p>
        </w:tc>
        <w:tc>
          <w:tcPr>
            <w:tcW w:w="606" w:type="dxa"/>
            <w:vAlign w:val="center"/>
          </w:tcPr>
          <w:p w14:paraId="76E32C26">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小型</w:t>
            </w:r>
          </w:p>
        </w:tc>
        <w:tc>
          <w:tcPr>
            <w:tcW w:w="3326" w:type="dxa"/>
            <w:vAlign w:val="center"/>
          </w:tcPr>
          <w:p w14:paraId="08F497A3">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50亿元（含）至200亿元</w:t>
            </w:r>
          </w:p>
        </w:tc>
      </w:tr>
      <w:tr w14:paraId="0E52B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582EABB">
            <w:pPr>
              <w:widowControl/>
              <w:shd w:val="clear"/>
              <w:jc w:val="left"/>
              <w:rPr>
                <w:rFonts w:hint="eastAsia" w:ascii="宋体" w:hAnsi="宋体" w:eastAsia="宋体" w:cs="宋体"/>
                <w:color w:val="auto"/>
                <w:kern w:val="0"/>
                <w:sz w:val="24"/>
                <w:highlight w:val="none"/>
              </w:rPr>
            </w:pPr>
          </w:p>
        </w:tc>
        <w:tc>
          <w:tcPr>
            <w:tcW w:w="1025" w:type="dxa"/>
            <w:vMerge w:val="continue"/>
            <w:vAlign w:val="center"/>
          </w:tcPr>
          <w:p w14:paraId="56C5B583">
            <w:pPr>
              <w:widowControl/>
              <w:shd w:val="clear"/>
              <w:jc w:val="left"/>
              <w:rPr>
                <w:rFonts w:hint="eastAsia" w:ascii="宋体" w:hAnsi="宋体" w:eastAsia="宋体" w:cs="宋体"/>
                <w:color w:val="auto"/>
                <w:kern w:val="0"/>
                <w:sz w:val="24"/>
                <w:highlight w:val="none"/>
              </w:rPr>
            </w:pPr>
          </w:p>
        </w:tc>
        <w:tc>
          <w:tcPr>
            <w:tcW w:w="2836" w:type="dxa"/>
            <w:vMerge w:val="continue"/>
            <w:vAlign w:val="center"/>
          </w:tcPr>
          <w:p w14:paraId="2106A565">
            <w:pPr>
              <w:widowControl/>
              <w:shd w:val="clear"/>
              <w:jc w:val="left"/>
              <w:rPr>
                <w:rFonts w:hint="eastAsia" w:ascii="宋体" w:hAnsi="宋体" w:eastAsia="宋体" w:cs="宋体"/>
                <w:color w:val="auto"/>
                <w:kern w:val="0"/>
                <w:sz w:val="24"/>
                <w:highlight w:val="none"/>
              </w:rPr>
            </w:pPr>
          </w:p>
        </w:tc>
        <w:tc>
          <w:tcPr>
            <w:tcW w:w="606" w:type="dxa"/>
            <w:vAlign w:val="center"/>
          </w:tcPr>
          <w:p w14:paraId="1A2B160E">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微型</w:t>
            </w:r>
          </w:p>
        </w:tc>
        <w:tc>
          <w:tcPr>
            <w:tcW w:w="3326" w:type="dxa"/>
            <w:vAlign w:val="center"/>
          </w:tcPr>
          <w:p w14:paraId="18034A2C">
            <w:pPr>
              <w:widowControl/>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50亿元以下</w:t>
            </w:r>
          </w:p>
        </w:tc>
      </w:tr>
    </w:tbl>
    <w:p w14:paraId="5867C781">
      <w:pPr>
        <w:shd w:val="clear"/>
        <w:rPr>
          <w:rFonts w:hint="eastAsia" w:ascii="宋体" w:hAnsi="宋体" w:eastAsia="宋体" w:cs="宋体"/>
          <w:color w:val="auto"/>
          <w:sz w:val="24"/>
          <w:highlight w:val="none"/>
        </w:rPr>
      </w:pPr>
    </w:p>
    <w:p w14:paraId="07438AE8">
      <w:pPr>
        <w:shd w:val="clear"/>
        <w:ind w:firstLine="420" w:firstLineChars="200"/>
        <w:rPr>
          <w:rFonts w:hint="eastAsia" w:ascii="宋体" w:hAnsi="宋体" w:eastAsia="宋体" w:cs="宋体"/>
          <w:color w:val="auto"/>
          <w:highlight w:val="none"/>
        </w:rPr>
      </w:pPr>
    </w:p>
    <w:p w14:paraId="09D07FE9">
      <w:pPr>
        <w:shd w:val="clear"/>
        <w:spacing w:line="360" w:lineRule="auto"/>
        <w:ind w:right="420"/>
        <w:rPr>
          <w:rFonts w:hint="eastAsia" w:ascii="宋体" w:hAnsi="宋体" w:eastAsia="宋体" w:cs="宋体"/>
          <w:color w:val="auto"/>
          <w:highlight w:val="none"/>
        </w:rPr>
      </w:pPr>
    </w:p>
    <w:p w14:paraId="2DE44C99">
      <w:pPr>
        <w:pStyle w:val="967"/>
        <w:numPr>
          <w:ilvl w:val="0"/>
          <w:numId w:val="0"/>
        </w:numPr>
        <w:shd w:val="clear"/>
        <w:adjustRightInd/>
        <w:snapToGrid w:val="0"/>
        <w:spacing w:line="360" w:lineRule="auto"/>
        <w:outlineLvl w:val="0"/>
        <w:rPr>
          <w:rFonts w:hint="eastAsia" w:ascii="宋体" w:hAnsi="宋体" w:eastAsia="宋体" w:cs="宋体"/>
          <w:b/>
          <w:bCs/>
          <w:color w:val="auto"/>
          <w:sz w:val="24"/>
          <w:szCs w:val="24"/>
          <w:highlight w:val="none"/>
        </w:rPr>
      </w:pPr>
      <w:bookmarkStart w:id="90" w:name="_Toc19947"/>
    </w:p>
    <w:p w14:paraId="3A1D57A5">
      <w:pPr>
        <w:pStyle w:val="967"/>
        <w:numPr>
          <w:ilvl w:val="0"/>
          <w:numId w:val="0"/>
        </w:numPr>
        <w:shd w:val="clear"/>
        <w:adjustRightInd/>
        <w:snapToGrid w:val="0"/>
        <w:spacing w:line="360" w:lineRule="auto"/>
        <w:outlineLvl w:val="0"/>
        <w:rPr>
          <w:rFonts w:hint="eastAsia" w:ascii="宋体" w:hAnsi="宋体" w:eastAsia="宋体" w:cs="宋体"/>
          <w:b/>
          <w:bCs/>
          <w:color w:val="auto"/>
          <w:sz w:val="24"/>
          <w:szCs w:val="24"/>
          <w:highlight w:val="none"/>
        </w:rPr>
      </w:pPr>
    </w:p>
    <w:p w14:paraId="52692957">
      <w:pPr>
        <w:pStyle w:val="967"/>
        <w:numPr>
          <w:ilvl w:val="0"/>
          <w:numId w:val="0"/>
        </w:numPr>
        <w:shd w:val="clear"/>
        <w:adjustRightInd/>
        <w:snapToGrid w:val="0"/>
        <w:spacing w:line="360" w:lineRule="auto"/>
        <w:outlineLvl w:val="0"/>
        <w:rPr>
          <w:rFonts w:hint="eastAsia" w:ascii="宋体" w:hAnsi="宋体" w:eastAsia="宋体" w:cs="宋体"/>
          <w:b/>
          <w:bCs/>
          <w:color w:val="auto"/>
          <w:sz w:val="24"/>
          <w:szCs w:val="24"/>
          <w:highlight w:val="none"/>
        </w:rPr>
      </w:pPr>
    </w:p>
    <w:p w14:paraId="6BC5C205">
      <w:pPr>
        <w:pStyle w:val="967"/>
        <w:numPr>
          <w:ilvl w:val="0"/>
          <w:numId w:val="0"/>
        </w:numPr>
        <w:shd w:val="clear"/>
        <w:adjustRightInd/>
        <w:snapToGrid w:val="0"/>
        <w:spacing w:line="360" w:lineRule="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w:t>
      </w:r>
      <w:bookmarkEnd w:id="90"/>
      <w:r>
        <w:rPr>
          <w:rFonts w:hint="eastAsia" w:ascii="宋体" w:hAnsi="宋体" w:eastAsia="宋体" w:cs="宋体"/>
          <w:b/>
          <w:bCs/>
          <w:color w:val="auto"/>
          <w:sz w:val="24"/>
          <w:szCs w:val="24"/>
          <w:highlight w:val="none"/>
        </w:rPr>
        <w:t xml:space="preserve">              </w:t>
      </w:r>
      <w:bookmarkStart w:id="91" w:name="_Toc11504"/>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政府采购活动现场确认声明书</w:t>
      </w:r>
      <w:bookmarkEnd w:id="91"/>
    </w:p>
    <w:p w14:paraId="55282DE8">
      <w:pPr>
        <w:pStyle w:val="967"/>
        <w:numPr>
          <w:ilvl w:val="0"/>
          <w:numId w:val="0"/>
        </w:numPr>
        <w:shd w:val="clear"/>
        <w:adjustRightInd/>
        <w:snapToGrid w:val="0"/>
        <w:spacing w:line="46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eastAsia="zh-CN"/>
        </w:rPr>
        <w:t>浙江广通工程咨询有限公司</w:t>
      </w:r>
      <w:r>
        <w:rPr>
          <w:rFonts w:hint="eastAsia" w:ascii="宋体" w:hAnsi="宋体" w:eastAsia="宋体" w:cs="宋体"/>
          <w:color w:val="auto"/>
          <w:sz w:val="24"/>
          <w:szCs w:val="24"/>
          <w:highlight w:val="none"/>
        </w:rPr>
        <w:t>：</w:t>
      </w:r>
    </w:p>
    <w:p w14:paraId="15D524F7">
      <w:pPr>
        <w:pStyle w:val="967"/>
        <w:numPr>
          <w:ilvl w:val="0"/>
          <w:numId w:val="0"/>
        </w:numPr>
        <w:shd w:val="clear"/>
        <w:adjustRightInd/>
        <w:snapToGrid w:val="0"/>
        <w:spacing w:line="46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i/>
          <w:iCs/>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rPr>
        <w:t>（姓名）</w:t>
      </w:r>
      <w:r>
        <w:rPr>
          <w:rFonts w:hint="eastAsia" w:ascii="宋体" w:hAnsi="宋体" w:eastAsia="宋体" w:cs="宋体"/>
          <w:color w:val="auto"/>
          <w:spacing w:val="6"/>
          <w:sz w:val="24"/>
          <w:szCs w:val="24"/>
          <w:highlight w:val="none"/>
        </w:rPr>
        <w:t>合法授权参加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1FC26BCD">
      <w:pPr>
        <w:pStyle w:val="968"/>
        <w:widowControl/>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一、本单位与采购人之间 </w:t>
      </w:r>
    </w:p>
    <w:p w14:paraId="2F56B3B9">
      <w:pPr>
        <w:pStyle w:val="968"/>
        <w:widowControl/>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□不存在利害关系;</w:t>
      </w:r>
    </w:p>
    <w:p w14:paraId="4FA2D683">
      <w:pPr>
        <w:pStyle w:val="968"/>
        <w:widowControl/>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□存在下列利害关系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2C6AD5">
      <w:pPr>
        <w:pStyle w:val="968"/>
        <w:widowControl/>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A.投资关系    B.行政隶属关系    C.业务指导关系</w:t>
      </w:r>
    </w:p>
    <w:p w14:paraId="335FF15A">
      <w:pPr>
        <w:pStyle w:val="968"/>
        <w:widowControl/>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D.其他可能影响采购公正的利害关系</w:t>
      </w:r>
      <w:r>
        <w:rPr>
          <w:rFonts w:hint="eastAsia" w:ascii="宋体" w:hAnsi="宋体" w:eastAsia="宋体" w:cs="宋体"/>
          <w:color w:val="auto"/>
          <w:sz w:val="24"/>
          <w:szCs w:val="24"/>
          <w:highlight w:val="none"/>
          <w:u w:val="single"/>
        </w:rPr>
        <w:t xml:space="preserve">（如有，请如实说明）                 </w:t>
      </w:r>
      <w:r>
        <w:rPr>
          <w:rFonts w:hint="eastAsia" w:ascii="宋体" w:hAnsi="宋体" w:eastAsia="宋体" w:cs="宋体"/>
          <w:color w:val="auto"/>
          <w:sz w:val="24"/>
          <w:szCs w:val="24"/>
          <w:highlight w:val="none"/>
        </w:rPr>
        <w:t>。</w:t>
      </w:r>
    </w:p>
    <w:p w14:paraId="076FB038">
      <w:pPr>
        <w:pStyle w:val="968"/>
        <w:widowControl/>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二、</w:t>
      </w:r>
      <w:r>
        <w:rPr>
          <w:rFonts w:hint="eastAsia" w:ascii="宋体" w:hAnsi="宋体" w:eastAsia="宋体" w:cs="宋体"/>
          <w:color w:val="auto"/>
          <w:sz w:val="24"/>
          <w:szCs w:val="24"/>
          <w:highlight w:val="none"/>
        </w:rPr>
        <w:t xml:space="preserve">现已清楚知道参加本项目采购活动的其他所有供应商名称，本单位 </w:t>
      </w:r>
    </w:p>
    <w:p w14:paraId="4D7911E5">
      <w:pPr>
        <w:pStyle w:val="968"/>
        <w:widowControl/>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□与其他所有供应商之间均不存在利害关系 </w:t>
      </w:r>
    </w:p>
    <w:p w14:paraId="14DDBA82">
      <w:pPr>
        <w:pStyle w:val="968"/>
        <w:widowControl/>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w:t>
      </w:r>
      <w:r>
        <w:rPr>
          <w:rFonts w:hint="eastAsia" w:ascii="宋体" w:hAnsi="宋体" w:eastAsia="宋体" w:cs="宋体"/>
          <w:color w:val="auto"/>
          <w:sz w:val="24"/>
          <w:szCs w:val="24"/>
          <w:highlight w:val="none"/>
          <w:u w:val="single"/>
        </w:rPr>
        <w:t xml:space="preserve">           （供应商名称）</w:t>
      </w:r>
      <w:r>
        <w:rPr>
          <w:rFonts w:hint="eastAsia" w:ascii="宋体" w:hAnsi="宋体" w:eastAsia="宋体" w:cs="宋体"/>
          <w:color w:val="auto"/>
          <w:sz w:val="24"/>
          <w:szCs w:val="24"/>
          <w:highlight w:val="none"/>
        </w:rPr>
        <w:t>之间存在下列利害关系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08FBBF">
      <w:pPr>
        <w:pStyle w:val="967"/>
        <w:numPr>
          <w:ilvl w:val="0"/>
          <w:numId w:val="0"/>
        </w:numPr>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A.法定代表人或负责人或实际控制人是同一人</w:t>
      </w:r>
    </w:p>
    <w:p w14:paraId="379CD8EE">
      <w:pPr>
        <w:pStyle w:val="967"/>
        <w:numPr>
          <w:ilvl w:val="0"/>
          <w:numId w:val="0"/>
        </w:numPr>
        <w:shd w:val="clear"/>
        <w:adjustRightInd/>
        <w:snapToGrid w:val="0"/>
        <w:spacing w:line="46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B.法定代表人或负责人或实际控制人是夫妻关系</w:t>
      </w:r>
    </w:p>
    <w:p w14:paraId="6B16ED39">
      <w:pPr>
        <w:pStyle w:val="967"/>
        <w:numPr>
          <w:ilvl w:val="0"/>
          <w:numId w:val="0"/>
        </w:numPr>
        <w:shd w:val="clear"/>
        <w:adjustRightInd/>
        <w:snapToGrid w:val="0"/>
        <w:spacing w:line="46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C.法定代表人或负责人或实际控制人是直系血亲关系</w:t>
      </w:r>
    </w:p>
    <w:p w14:paraId="7FAE1ADE">
      <w:pPr>
        <w:pStyle w:val="967"/>
        <w:numPr>
          <w:ilvl w:val="0"/>
          <w:numId w:val="0"/>
        </w:numPr>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D.法定代表人或负责人或实际控制人存在三代以内旁系血亲关系</w:t>
      </w:r>
    </w:p>
    <w:p w14:paraId="3352FCDD">
      <w:pPr>
        <w:pStyle w:val="967"/>
        <w:numPr>
          <w:ilvl w:val="0"/>
          <w:numId w:val="0"/>
        </w:numPr>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E.法定代表人或负责人或实际控制人存在近姻亲关系</w:t>
      </w:r>
    </w:p>
    <w:p w14:paraId="226D5047">
      <w:pPr>
        <w:pStyle w:val="967"/>
        <w:numPr>
          <w:ilvl w:val="0"/>
          <w:numId w:val="0"/>
        </w:numPr>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F.法定代表人或负责人或实际控制人存在股份控制或实际控制关系</w:t>
      </w:r>
      <w:bookmarkStart w:id="92" w:name="_Toc11926"/>
    </w:p>
    <w:p w14:paraId="10B04C57">
      <w:pPr>
        <w:pStyle w:val="967"/>
        <w:numPr>
          <w:ilvl w:val="0"/>
          <w:numId w:val="0"/>
        </w:numPr>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G.存在共同直接或间接投资设立子公司、联营企业和合营企业情况</w:t>
      </w:r>
      <w:bookmarkEnd w:id="92"/>
    </w:p>
    <w:p w14:paraId="774634EF">
      <w:pPr>
        <w:pStyle w:val="967"/>
        <w:numPr>
          <w:ilvl w:val="0"/>
          <w:numId w:val="0"/>
        </w:numPr>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H.存在分级代理或代销关系、同一生产制造商关系、管理关系、重要业务（占主营业务收入50%以上）或重要财务往来关系（如融资）等其他实质性控制关系</w:t>
      </w:r>
    </w:p>
    <w:p w14:paraId="6D99694E">
      <w:pPr>
        <w:pStyle w:val="967"/>
        <w:numPr>
          <w:ilvl w:val="0"/>
          <w:numId w:val="0"/>
        </w:numPr>
        <w:shd w:val="clear"/>
        <w:adjustRightInd/>
        <w:snapToGrid w:val="0"/>
        <w:spacing w:line="460" w:lineRule="exact"/>
        <w:outlineLvl w:val="0"/>
        <w:rPr>
          <w:rFonts w:hint="eastAsia" w:ascii="宋体" w:hAnsi="宋体" w:eastAsia="宋体" w:cs="宋体"/>
          <w:color w:val="auto"/>
          <w:spacing w:val="6"/>
          <w:sz w:val="24"/>
          <w:szCs w:val="24"/>
          <w:highlight w:val="none"/>
        </w:rPr>
      </w:pPr>
      <w:bookmarkStart w:id="93" w:name="_Toc25167"/>
      <w:r>
        <w:rPr>
          <w:rFonts w:hint="eastAsia" w:ascii="宋体" w:hAnsi="宋体" w:eastAsia="宋体" w:cs="宋体"/>
          <w:color w:val="auto"/>
          <w:sz w:val="24"/>
          <w:szCs w:val="24"/>
          <w:highlight w:val="none"/>
        </w:rPr>
        <w:t>I.其他利害关系情况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End w:id="93"/>
    </w:p>
    <w:p w14:paraId="5DA2D9B9">
      <w:pPr>
        <w:pStyle w:val="968"/>
        <w:widowControl/>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三、现已清楚知道并严格遵守政府采购法律法规和现场纪律。</w:t>
      </w:r>
    </w:p>
    <w:p w14:paraId="7584F265">
      <w:pPr>
        <w:pStyle w:val="968"/>
        <w:widowControl/>
        <w:shd w:val="clea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四、我发现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供应商之间存在或可能存在上述第二条第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项利害关系。</w:t>
      </w:r>
    </w:p>
    <w:p w14:paraId="562501AD">
      <w:pPr>
        <w:pStyle w:val="967"/>
        <w:numPr>
          <w:ilvl w:val="0"/>
          <w:numId w:val="0"/>
        </w:numPr>
        <w:shd w:val="clear"/>
        <w:adjustRightInd/>
        <w:snapToGrid w:val="0"/>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（供应商代表签名）：                                   </w:t>
      </w:r>
    </w:p>
    <w:p w14:paraId="419593AF">
      <w:pPr>
        <w:pStyle w:val="967"/>
        <w:numPr>
          <w:ilvl w:val="0"/>
          <w:numId w:val="0"/>
        </w:numPr>
        <w:shd w:val="clear"/>
        <w:adjustRightInd/>
        <w:snapToGrid w:val="0"/>
        <w:spacing w:line="360" w:lineRule="auto"/>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年  月   日</w:t>
      </w:r>
    </w:p>
    <w:p w14:paraId="6FEBB13E">
      <w:pPr>
        <w:pStyle w:val="967"/>
        <w:numPr>
          <w:ilvl w:val="0"/>
          <w:numId w:val="0"/>
        </w:numPr>
        <w:shd w:val="clear"/>
        <w:adjustRightInd/>
        <w:snapToGrid w:val="0"/>
        <w:spacing w:line="360" w:lineRule="auto"/>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此表解密后，发送至邮箱2225023245@qq.com</w:t>
      </w:r>
    </w:p>
    <w:p w14:paraId="684CDAB2">
      <w:pPr>
        <w:shd w:val="clear"/>
        <w:spacing w:line="360" w:lineRule="auto"/>
        <w:rPr>
          <w:rFonts w:hint="eastAsia" w:ascii="宋体" w:hAnsi="宋体" w:eastAsia="宋体" w:cs="宋体"/>
          <w:bCs/>
          <w:color w:val="auto"/>
          <w:sz w:val="24"/>
          <w:highlight w:val="none"/>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
    <w:altName w:val="Segoe Print"/>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A90F5">
    <w:pPr>
      <w:pStyle w:val="40"/>
      <w:framePr w:wrap="around" w:vAnchor="text" w:hAnchor="margin" w:xAlign="right" w:y="1"/>
      <w:rPr>
        <w:rStyle w:val="74"/>
      </w:rPr>
    </w:pPr>
    <w:r>
      <w:fldChar w:fldCharType="begin"/>
    </w:r>
    <w:r>
      <w:rPr>
        <w:rStyle w:val="74"/>
      </w:rPr>
      <w:instrText xml:space="preserve">PAGE  </w:instrText>
    </w:r>
    <w:r>
      <w:fldChar w:fldCharType="end"/>
    </w:r>
  </w:p>
  <w:p w14:paraId="2927BC2D">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F444">
    <w:pPr>
      <w:pStyle w:val="40"/>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158F">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5592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25592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70178">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4C01B">
                          <w:pPr>
                            <w:pStyle w:val="40"/>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6C4C01B">
                    <w:pPr>
                      <w:pStyle w:val="40"/>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12DFB">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7FF1C">
                          <w:pPr>
                            <w:pStyle w:val="40"/>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237FF1C">
                    <w:pPr>
                      <w:pStyle w:val="40"/>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48B9">
    <w:pPr>
      <w:pStyle w:val="40"/>
      <w:jc w:val="center"/>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6E59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7B6E59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26FC6">
    <w:pPr>
      <w:pStyle w:val="40"/>
      <w:framePr w:wrap="around" w:vAnchor="text" w:hAnchor="margin" w:xAlign="right" w:y="1"/>
      <w:rPr>
        <w:rStyle w:val="74"/>
      </w:rPr>
    </w:pPr>
    <w:r>
      <w:fldChar w:fldCharType="begin"/>
    </w:r>
    <w:r>
      <w:rPr>
        <w:rStyle w:val="74"/>
      </w:rPr>
      <w:instrText xml:space="preserve">PAGE  </w:instrText>
    </w:r>
    <w:r>
      <w:fldChar w:fldCharType="end"/>
    </w:r>
  </w:p>
  <w:p w14:paraId="7E23C497">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C6FFF">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EE35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94" w:name="_Toc36110187"/>
                          <w:bookmarkStart w:id="95" w:name="_Toc131845147"/>
                          <w:bookmarkStart w:id="96" w:name="_Toc164085800"/>
                          <w:bookmarkStart w:id="97" w:name="_Toc91899912"/>
                          <w:r>
                            <w:rPr>
                              <w:rFonts w:hint="eastAsia" w:ascii="仿宋_GB2312" w:eastAsia="仿宋_GB2312"/>
                              <w:kern w:val="0"/>
                              <w:szCs w:val="21"/>
                            </w:rPr>
                            <w:t xml:space="preserve"> 页</w:t>
                          </w:r>
                          <w:bookmarkEnd w:id="94"/>
                          <w:bookmarkEnd w:id="95"/>
                          <w:bookmarkEnd w:id="96"/>
                          <w:bookmarkEnd w:id="97"/>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05EE35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94" w:name="_Toc36110187"/>
                    <w:bookmarkStart w:id="95" w:name="_Toc131845147"/>
                    <w:bookmarkStart w:id="96" w:name="_Toc164085800"/>
                    <w:bookmarkStart w:id="97" w:name="_Toc91899912"/>
                    <w:r>
                      <w:rPr>
                        <w:rFonts w:hint="eastAsia" w:ascii="仿宋_GB2312" w:eastAsia="仿宋_GB2312"/>
                        <w:kern w:val="0"/>
                        <w:szCs w:val="21"/>
                      </w:rPr>
                      <w:t xml:space="preserve"> 页</w:t>
                    </w:r>
                    <w:bookmarkEnd w:id="94"/>
                    <w:bookmarkEnd w:id="95"/>
                    <w:bookmarkEnd w:id="96"/>
                    <w:bookmarkEnd w:id="97"/>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8A228">
    <w:pPr>
      <w:pStyle w:val="42"/>
      <w:jc w:val="left"/>
      <w:rPr>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val="en-US" w:eastAsia="zh-CN"/>
      </w:rPr>
      <w:t xml:space="preserve"> GTSZ-25-057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5C74A">
    <w:pPr>
      <w:pStyle w:val="42"/>
      <w:jc w:val="left"/>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val="en-US" w:eastAsia="zh-CN"/>
      </w:rPr>
      <w:t xml:space="preserve">GTSZ-25-057 </w:t>
    </w:r>
  </w:p>
  <w:p w14:paraId="002075C0">
    <w:pPr>
      <w:pStyle w:val="42"/>
      <w:pBdr>
        <w:bottom w:val="none" w:color="auto" w:sz="0" w:space="0"/>
      </w:pBdr>
      <w:tabs>
        <w:tab w:val="clear" w:pos="4153"/>
        <w:tab w:val="clear" w:pos="8306"/>
      </w:tabs>
      <w:jc w:val="both"/>
    </w:pPr>
  </w:p>
  <w:p w14:paraId="299A4C47">
    <w:pPr>
      <w:pStyle w:val="42"/>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75DD1">
    <w:pPr>
      <w:pStyle w:val="42"/>
      <w:jc w:val="left"/>
      <w:rPr>
        <w:rFonts w:ascii="仿宋_GB2312" w:eastAsia="仿宋"/>
        <w:i/>
        <w:u w:val="single"/>
      </w:rPr>
    </w:pPr>
    <w:r>
      <w:rPr>
        <w:rFonts w:hint="eastAsia" w:ascii="仿宋" w:hAnsi="仿宋" w:eastAsia="仿宋" w:cs="仿宋"/>
      </w:rPr>
      <w:t xml:space="preserve">     </w:t>
    </w: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val="en-US" w:eastAsia="zh-CN"/>
      </w:rPr>
      <w:t xml:space="preserve">GTSZ-25-057 </w:t>
    </w:r>
    <w:r>
      <w:rPr>
        <w:rFonts w:hint="eastAsia" w:ascii="仿宋" w:hAnsi="仿宋" w:eastAsia="仿宋" w:cs="仿宋"/>
      </w:rPr>
      <w:t xml:space="preserve">                                                     </w:t>
    </w:r>
  </w:p>
  <w:p w14:paraId="6A9FE93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CE09">
    <w:pPr>
      <w:pStyle w:val="42"/>
      <w:jc w:val="left"/>
      <w:rPr>
        <w:rFonts w:ascii="仿宋_GB2312" w:eastAsia="仿宋"/>
        <w:i/>
        <w:u w:val="single"/>
      </w:rPr>
    </w:pPr>
    <w:r>
      <w:t></w:t>
    </w:r>
    <w:r>
      <w:rPr>
        <w:rFonts w:hint="eastAsia" w:ascii="仿宋" w:hAnsi="仿宋" w:eastAsia="仿宋" w:cs="仿宋"/>
      </w:rPr>
      <w:t xml:space="preserve">                          </w:t>
    </w:r>
    <w:r>
      <w:rPr>
        <w:rFonts w:hint="eastAsia" w:ascii="仿宋" w:hAnsi="仿宋" w:eastAsia="仿宋" w:cs="仿宋"/>
        <w:lang w:eastAsia="zh-CN"/>
      </w:rPr>
      <w:t>嵊州市公共资源交易中心</w:t>
    </w:r>
    <w:r>
      <w:rPr>
        <w:rFonts w:hint="eastAsia" w:ascii="仿宋" w:hAnsi="仿宋" w:eastAsia="仿宋" w:cs="仿宋"/>
        <w:lang w:val="en-US" w:eastAsia="zh-CN"/>
      </w:rPr>
      <w:t xml:space="preserve">     项目：政府采购2025-12</w:t>
    </w:r>
    <w:r>
      <w:rPr>
        <w:rFonts w:hint="eastAsia" w:ascii="仿宋" w:hAnsi="仿宋" w:eastAsia="仿宋" w:cs="仿宋"/>
      </w:rPr>
      <w:t xml:space="preserve">                                                      </w:t>
    </w:r>
  </w:p>
  <w:p w14:paraId="3AE3ED2D">
    <w:pPr>
      <w:pStyle w:val="42"/>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12F7B">
    <w:pPr>
      <w:pStyle w:val="42"/>
      <w:pBdr>
        <w:bottom w:val="none" w:color="auto" w:sz="0" w:space="1"/>
      </w:pBdr>
      <w:jc w:val="both"/>
      <w:rPr>
        <w:rFonts w:ascii="仿宋_GB2312" w:eastAsia="仿宋_GB2312"/>
        <w:b/>
        <w:i/>
        <w:iCs/>
        <w:u w:val="single"/>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文件编号: </w:t>
    </w:r>
    <w:r>
      <w:rPr>
        <w:rFonts w:hint="eastAsia" w:ascii="仿宋" w:hAnsi="仿宋" w:eastAsia="仿宋" w:cs="仿宋"/>
        <w:lang w:val="en-US" w:eastAsia="zh-CN"/>
      </w:rPr>
      <w:t>GTSZ-25-057</w:t>
    </w: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0D2F">
    <w:pPr>
      <w:pStyle w:val="42"/>
      <w:jc w:val="left"/>
      <w:rPr>
        <w:rFonts w:ascii="仿宋_GB2312" w:eastAsia="仿宋_GB2312"/>
        <w:b w:val="0"/>
        <w:i/>
        <w:sz w:val="18"/>
        <w:u w:val="single"/>
        <w:lang w:val="en-US"/>
      </w:rPr>
    </w:pP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61411091">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00DE4"/>
    <w:multiLevelType w:val="singleLevel"/>
    <w:tmpl w:val="83900DE4"/>
    <w:lvl w:ilvl="0" w:tentative="0">
      <w:start w:val="4"/>
      <w:numFmt w:val="chineseCounting"/>
      <w:suff w:val="nothing"/>
      <w:lvlText w:val="%1、"/>
      <w:lvlJc w:val="left"/>
      <w:rPr>
        <w:rFonts w:hint="eastAsia"/>
      </w:rPr>
    </w:lvl>
  </w:abstractNum>
  <w:abstractNum w:abstractNumId="1">
    <w:nsid w:val="8D123E55"/>
    <w:multiLevelType w:val="singleLevel"/>
    <w:tmpl w:val="8D123E55"/>
    <w:lvl w:ilvl="0" w:tentative="0">
      <w:start w:val="6"/>
      <w:numFmt w:val="chineseCounting"/>
      <w:suff w:val="nothing"/>
      <w:lvlText w:val="%1、"/>
      <w:lvlJc w:val="left"/>
      <w:rPr>
        <w:rFonts w:hint="eastAsia"/>
      </w:rPr>
    </w:lvl>
  </w:abstractNum>
  <w:abstractNum w:abstractNumId="2">
    <w:nsid w:val="D0A99955"/>
    <w:multiLevelType w:val="singleLevel"/>
    <w:tmpl w:val="D0A99955"/>
    <w:lvl w:ilvl="0" w:tentative="0">
      <w:start w:val="1"/>
      <w:numFmt w:val="decimal"/>
      <w:lvlText w:val="%1."/>
      <w:lvlJc w:val="left"/>
      <w:pPr>
        <w:tabs>
          <w:tab w:val="left" w:pos="312"/>
        </w:tabs>
      </w:pPr>
    </w:lvl>
  </w:abstractNum>
  <w:abstractNum w:abstractNumId="3">
    <w:nsid w:val="D4604369"/>
    <w:multiLevelType w:val="singleLevel"/>
    <w:tmpl w:val="D4604369"/>
    <w:lvl w:ilvl="0" w:tentative="0">
      <w:start w:val="1"/>
      <w:numFmt w:val="decimal"/>
      <w:suff w:val="nothing"/>
      <w:lvlText w:val="%1、"/>
      <w:lvlJc w:val="left"/>
    </w:lvl>
  </w:abstractNum>
  <w:abstractNum w:abstractNumId="4">
    <w:nsid w:val="EC683126"/>
    <w:multiLevelType w:val="singleLevel"/>
    <w:tmpl w:val="EC683126"/>
    <w:lvl w:ilvl="0" w:tentative="0">
      <w:start w:val="1"/>
      <w:numFmt w:val="decimal"/>
      <w:suff w:val="nothing"/>
      <w:lvlText w:val="%1、"/>
      <w:lvlJc w:val="left"/>
    </w:lvl>
  </w:abstractNum>
  <w:abstractNum w:abstractNumId="5">
    <w:nsid w:val="0053208E"/>
    <w:multiLevelType w:val="singleLevel"/>
    <w:tmpl w:val="0053208E"/>
    <w:lvl w:ilvl="0" w:tentative="0">
      <w:start w:val="1"/>
      <w:numFmt w:val="decimal"/>
      <w:suff w:val="nothing"/>
      <w:lvlText w:val="（%1）"/>
      <w:lvlJc w:val="left"/>
    </w:lvl>
  </w:abstractNum>
  <w:abstractNum w:abstractNumId="6">
    <w:nsid w:val="11BA654A"/>
    <w:multiLevelType w:val="singleLevel"/>
    <w:tmpl w:val="11BA654A"/>
    <w:lvl w:ilvl="0" w:tentative="0">
      <w:start w:val="1"/>
      <w:numFmt w:val="decimal"/>
      <w:suff w:val="nothing"/>
      <w:lvlText w:val="%1、"/>
      <w:lvlJc w:val="left"/>
      <w:rPr>
        <w:rFonts w:hint="default" w:ascii="宋体" w:hAnsi="宋体" w:eastAsia="宋体" w:cs="宋体"/>
        <w:color w:val="000000" w:themeColor="text1"/>
        <w:highlight w:val="none"/>
        <w14:textFill>
          <w14:solidFill>
            <w14:schemeClr w14:val="tx1"/>
          </w14:solidFill>
        </w14:textFill>
      </w:rPr>
    </w:lvl>
  </w:abstractNum>
  <w:abstractNum w:abstractNumId="7">
    <w:nsid w:val="151DAE81"/>
    <w:multiLevelType w:val="singleLevel"/>
    <w:tmpl w:val="151DAE81"/>
    <w:lvl w:ilvl="0" w:tentative="0">
      <w:start w:val="3"/>
      <w:numFmt w:val="chineseCounting"/>
      <w:suff w:val="nothing"/>
      <w:lvlText w:val="%1、"/>
      <w:lvlJc w:val="left"/>
      <w:rPr>
        <w:rFonts w:hint="eastAsia"/>
      </w:rPr>
    </w:lvl>
  </w:abstractNum>
  <w:abstractNum w:abstractNumId="8">
    <w:nsid w:val="26CDECA1"/>
    <w:multiLevelType w:val="singleLevel"/>
    <w:tmpl w:val="26CDECA1"/>
    <w:lvl w:ilvl="0" w:tentative="0">
      <w:start w:val="1"/>
      <w:numFmt w:val="decimal"/>
      <w:lvlText w:val="%1."/>
      <w:lvlJc w:val="left"/>
      <w:pPr>
        <w:tabs>
          <w:tab w:val="left" w:pos="312"/>
        </w:tabs>
      </w:pPr>
    </w:lvl>
  </w:abstractNum>
  <w:abstractNum w:abstractNumId="9">
    <w:nsid w:val="32E79586"/>
    <w:multiLevelType w:val="singleLevel"/>
    <w:tmpl w:val="32E79586"/>
    <w:lvl w:ilvl="0" w:tentative="0">
      <w:start w:val="2"/>
      <w:numFmt w:val="chineseCounting"/>
      <w:suff w:val="nothing"/>
      <w:lvlText w:val="%1、"/>
      <w:lvlJc w:val="left"/>
      <w:rPr>
        <w:rFonts w:hint="eastAsia"/>
      </w:rPr>
    </w:lvl>
  </w:abstractNum>
  <w:abstractNum w:abstractNumId="10">
    <w:nsid w:val="545A512C"/>
    <w:multiLevelType w:val="multilevel"/>
    <w:tmpl w:val="545A512C"/>
    <w:lvl w:ilvl="0" w:tentative="0">
      <w:start w:val="1"/>
      <w:numFmt w:val="chineseCountingThousand"/>
      <w:pStyle w:val="967"/>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7743F675"/>
    <w:multiLevelType w:val="singleLevel"/>
    <w:tmpl w:val="7743F675"/>
    <w:lvl w:ilvl="0" w:tentative="0">
      <w:start w:val="1"/>
      <w:numFmt w:val="chineseCounting"/>
      <w:suff w:val="nothing"/>
      <w:lvlText w:val="%1、"/>
      <w:lvlJc w:val="left"/>
      <w:rPr>
        <w:rFonts w:hint="eastAsia"/>
      </w:rPr>
    </w:lvl>
  </w:abstractNum>
  <w:num w:numId="1">
    <w:abstractNumId w:val="10"/>
  </w:num>
  <w:num w:numId="2">
    <w:abstractNumId w:val="11"/>
  </w:num>
  <w:num w:numId="3">
    <w:abstractNumId w:val="9"/>
  </w:num>
  <w:num w:numId="4">
    <w:abstractNumId w:val="7"/>
  </w:num>
  <w:num w:numId="5">
    <w:abstractNumId w:val="0"/>
  </w:num>
  <w:num w:numId="6">
    <w:abstractNumId w:val="1"/>
  </w:num>
  <w:num w:numId="7">
    <w:abstractNumId w:val="2"/>
  </w:num>
  <w:num w:numId="8">
    <w:abstractNumId w:val="8"/>
  </w:num>
  <w:num w:numId="9">
    <w:abstractNumId w:val="6"/>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172A27"/>
    <w:rsid w:val="004A6D61"/>
    <w:rsid w:val="00B34AC1"/>
    <w:rsid w:val="00BC57CD"/>
    <w:rsid w:val="00BF706B"/>
    <w:rsid w:val="011D2268"/>
    <w:rsid w:val="016A347B"/>
    <w:rsid w:val="01B6221C"/>
    <w:rsid w:val="029858CE"/>
    <w:rsid w:val="030B2A3C"/>
    <w:rsid w:val="035BEF8B"/>
    <w:rsid w:val="037B371D"/>
    <w:rsid w:val="04B113EE"/>
    <w:rsid w:val="05595CE0"/>
    <w:rsid w:val="05A01219"/>
    <w:rsid w:val="080A5070"/>
    <w:rsid w:val="089E32A7"/>
    <w:rsid w:val="09F91697"/>
    <w:rsid w:val="0B3810B3"/>
    <w:rsid w:val="0C3E73C6"/>
    <w:rsid w:val="0CD24270"/>
    <w:rsid w:val="0F096B8F"/>
    <w:rsid w:val="0F63063F"/>
    <w:rsid w:val="0F8551C7"/>
    <w:rsid w:val="0FD348ED"/>
    <w:rsid w:val="106D0892"/>
    <w:rsid w:val="11121C2F"/>
    <w:rsid w:val="12957C2C"/>
    <w:rsid w:val="141D3322"/>
    <w:rsid w:val="14A34882"/>
    <w:rsid w:val="15842905"/>
    <w:rsid w:val="15891CCA"/>
    <w:rsid w:val="1594241D"/>
    <w:rsid w:val="15FD7FC2"/>
    <w:rsid w:val="16692E10"/>
    <w:rsid w:val="170D06D9"/>
    <w:rsid w:val="18626802"/>
    <w:rsid w:val="18E60774"/>
    <w:rsid w:val="1A7840BB"/>
    <w:rsid w:val="1A9F5AEC"/>
    <w:rsid w:val="1ACC4B81"/>
    <w:rsid w:val="1D2F1C3B"/>
    <w:rsid w:val="1ED65854"/>
    <w:rsid w:val="1EF65EF6"/>
    <w:rsid w:val="1EFE75CC"/>
    <w:rsid w:val="1FBFFEB0"/>
    <w:rsid w:val="202D76F6"/>
    <w:rsid w:val="20514AA7"/>
    <w:rsid w:val="2059673D"/>
    <w:rsid w:val="20B10327"/>
    <w:rsid w:val="22BA5BB9"/>
    <w:rsid w:val="25070E5D"/>
    <w:rsid w:val="26502390"/>
    <w:rsid w:val="275DFFED"/>
    <w:rsid w:val="28E62B38"/>
    <w:rsid w:val="29181404"/>
    <w:rsid w:val="2D031F0A"/>
    <w:rsid w:val="2D34420D"/>
    <w:rsid w:val="2D594220"/>
    <w:rsid w:val="2DA761B4"/>
    <w:rsid w:val="2F0C0A43"/>
    <w:rsid w:val="30370E6C"/>
    <w:rsid w:val="306453B6"/>
    <w:rsid w:val="30CD01D9"/>
    <w:rsid w:val="30F027A5"/>
    <w:rsid w:val="310E0E7D"/>
    <w:rsid w:val="31735E7A"/>
    <w:rsid w:val="320D55D9"/>
    <w:rsid w:val="322F37A1"/>
    <w:rsid w:val="326F4556"/>
    <w:rsid w:val="33066D1B"/>
    <w:rsid w:val="33210999"/>
    <w:rsid w:val="333077D1"/>
    <w:rsid w:val="333C6176"/>
    <w:rsid w:val="349B511E"/>
    <w:rsid w:val="35466E38"/>
    <w:rsid w:val="385B709E"/>
    <w:rsid w:val="38815E1A"/>
    <w:rsid w:val="39AD1B7B"/>
    <w:rsid w:val="3A480B52"/>
    <w:rsid w:val="3BCE2157"/>
    <w:rsid w:val="3C4B1452"/>
    <w:rsid w:val="3CA1704A"/>
    <w:rsid w:val="3D193084"/>
    <w:rsid w:val="3E6DF6DC"/>
    <w:rsid w:val="3EC64897"/>
    <w:rsid w:val="3F23468E"/>
    <w:rsid w:val="3F705369"/>
    <w:rsid w:val="3FCFDA4A"/>
    <w:rsid w:val="401B7113"/>
    <w:rsid w:val="40721429"/>
    <w:rsid w:val="413A3865"/>
    <w:rsid w:val="427E60E8"/>
    <w:rsid w:val="42B20202"/>
    <w:rsid w:val="43E35E8A"/>
    <w:rsid w:val="45482758"/>
    <w:rsid w:val="465670F7"/>
    <w:rsid w:val="465A6BE7"/>
    <w:rsid w:val="48433CD0"/>
    <w:rsid w:val="493C780E"/>
    <w:rsid w:val="496B4C67"/>
    <w:rsid w:val="49F509D5"/>
    <w:rsid w:val="4A600544"/>
    <w:rsid w:val="4A6A4F1F"/>
    <w:rsid w:val="4AB34DDB"/>
    <w:rsid w:val="4B834946"/>
    <w:rsid w:val="4BF453E8"/>
    <w:rsid w:val="4D866514"/>
    <w:rsid w:val="4D8E7176"/>
    <w:rsid w:val="4E6F0D56"/>
    <w:rsid w:val="4EB86BA1"/>
    <w:rsid w:val="4F0C0C9A"/>
    <w:rsid w:val="4F4026F2"/>
    <w:rsid w:val="4F4B3D85"/>
    <w:rsid w:val="4F944097"/>
    <w:rsid w:val="518A4AB3"/>
    <w:rsid w:val="52AE4350"/>
    <w:rsid w:val="52BB0A0D"/>
    <w:rsid w:val="530C3017"/>
    <w:rsid w:val="533E33EC"/>
    <w:rsid w:val="53426A39"/>
    <w:rsid w:val="540208BE"/>
    <w:rsid w:val="55F304BE"/>
    <w:rsid w:val="56A042EC"/>
    <w:rsid w:val="56AA2BA5"/>
    <w:rsid w:val="57B65C47"/>
    <w:rsid w:val="58346B6C"/>
    <w:rsid w:val="58A41024"/>
    <w:rsid w:val="58AE4B70"/>
    <w:rsid w:val="5B4B2B4A"/>
    <w:rsid w:val="5B57092B"/>
    <w:rsid w:val="5B57329D"/>
    <w:rsid w:val="5B73EE39"/>
    <w:rsid w:val="5C853235"/>
    <w:rsid w:val="5C8C51C9"/>
    <w:rsid w:val="5CAC7619"/>
    <w:rsid w:val="5CFAC9C4"/>
    <w:rsid w:val="5DAA1DAA"/>
    <w:rsid w:val="5E562A0D"/>
    <w:rsid w:val="5EB76CB2"/>
    <w:rsid w:val="5F561B6F"/>
    <w:rsid w:val="5F57E5CA"/>
    <w:rsid w:val="5F922AF6"/>
    <w:rsid w:val="603E67DA"/>
    <w:rsid w:val="604157B4"/>
    <w:rsid w:val="61292F6E"/>
    <w:rsid w:val="646A5DEF"/>
    <w:rsid w:val="64AFCBD0"/>
    <w:rsid w:val="669C35D3"/>
    <w:rsid w:val="67051C8E"/>
    <w:rsid w:val="670C75C3"/>
    <w:rsid w:val="691602F4"/>
    <w:rsid w:val="6A0437BA"/>
    <w:rsid w:val="6A130CD7"/>
    <w:rsid w:val="6A3C6480"/>
    <w:rsid w:val="6AA858C3"/>
    <w:rsid w:val="6ACD532A"/>
    <w:rsid w:val="6AD22EE6"/>
    <w:rsid w:val="6AFF2A6C"/>
    <w:rsid w:val="6B543355"/>
    <w:rsid w:val="6C544E16"/>
    <w:rsid w:val="6CE935DB"/>
    <w:rsid w:val="6DE5298B"/>
    <w:rsid w:val="6E121BAF"/>
    <w:rsid w:val="6E535EB5"/>
    <w:rsid w:val="6EBAEEF7"/>
    <w:rsid w:val="6FC37AD4"/>
    <w:rsid w:val="75AD1FE0"/>
    <w:rsid w:val="778CFDC4"/>
    <w:rsid w:val="77EDE09C"/>
    <w:rsid w:val="78AD1F79"/>
    <w:rsid w:val="7B332F87"/>
    <w:rsid w:val="7C09018C"/>
    <w:rsid w:val="7C176405"/>
    <w:rsid w:val="7D6C5082"/>
    <w:rsid w:val="7DFF3A1B"/>
    <w:rsid w:val="7EB663A9"/>
    <w:rsid w:val="7F2A5316"/>
    <w:rsid w:val="7F4734A5"/>
    <w:rsid w:val="7FCE9F2A"/>
    <w:rsid w:val="7FFA6A5B"/>
    <w:rsid w:val="B7FEB47E"/>
    <w:rsid w:val="BBFF8C40"/>
    <w:rsid w:val="BFFCBC01"/>
    <w:rsid w:val="C6E78222"/>
    <w:rsid w:val="C70BD690"/>
    <w:rsid w:val="D5FA8A91"/>
    <w:rsid w:val="D9A7EC6B"/>
    <w:rsid w:val="DD6BA53B"/>
    <w:rsid w:val="DDF13C5D"/>
    <w:rsid w:val="DFFF9BB5"/>
    <w:rsid w:val="E6AFB2A1"/>
    <w:rsid w:val="E6FFCDE6"/>
    <w:rsid w:val="E7ADC701"/>
    <w:rsid w:val="E7FD5140"/>
    <w:rsid w:val="ECDFF5AA"/>
    <w:rsid w:val="EEF9D11E"/>
    <w:rsid w:val="EFCF3B41"/>
    <w:rsid w:val="EFD3F4F3"/>
    <w:rsid w:val="F747A70B"/>
    <w:rsid w:val="F8BFDF1C"/>
    <w:rsid w:val="FAFEBDE5"/>
    <w:rsid w:val="FB3DAC9B"/>
    <w:rsid w:val="FBBB8ABF"/>
    <w:rsid w:val="FD6D7CAF"/>
    <w:rsid w:val="FD7B6A7D"/>
    <w:rsid w:val="FDBF4531"/>
    <w:rsid w:val="FEC30AC3"/>
    <w:rsid w:val="FEFF893A"/>
    <w:rsid w:val="FF3F59ED"/>
    <w:rsid w:val="FF4D0067"/>
    <w:rsid w:val="FF73FD1B"/>
    <w:rsid w:val="FFE7F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qFormat/>
    <w:uiPriority w:val="1"/>
  </w:style>
  <w:style w:type="table" w:default="1" w:styleId="64">
    <w:name w:val="Normal Table"/>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qFormat/>
    <w:uiPriority w:val="0"/>
    <w:pPr>
      <w:tabs>
        <w:tab w:val="left" w:pos="420"/>
      </w:tabs>
      <w:ind w:firstLine="200" w:firstLineChars="200"/>
    </w:pPr>
    <w:rPr>
      <w:sz w:val="28"/>
      <w:szCs w:val="22"/>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6"/>
    <w:qFormat/>
    <w:uiPriority w:val="0"/>
    <w:rPr>
      <w:rFonts w:ascii="宋体" w:hAnsi="Courier New" w:cs="Arial"/>
      <w:snapToGrid w:val="0"/>
      <w:szCs w:val="21"/>
    </w:rPr>
  </w:style>
  <w:style w:type="paragraph" w:styleId="34">
    <w:name w:val="Date"/>
    <w:basedOn w:val="1"/>
    <w:next w:val="1"/>
    <w:link w:val="182"/>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eastAsia="宋体" w:cs="Times New Roman"/>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w:basedOn w:val="23"/>
    <w:next w:val="1"/>
    <w:link w:val="321"/>
    <w:qFormat/>
    <w:uiPriority w:val="0"/>
    <w:pPr>
      <w:ind w:firstLine="420"/>
    </w:pPr>
    <w:rPr>
      <w:rFonts w:hAnsi="Calibri" w:cs="Times New Roman"/>
      <w:snapToGrid/>
      <w:szCs w:val="20"/>
    </w:rPr>
  </w:style>
  <w:style w:type="paragraph" w:styleId="63">
    <w:name w:val="Body Text First Indent 2"/>
    <w:basedOn w:val="25"/>
    <w:next w:val="1"/>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next w:val="82"/>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a065a2bc-5607-4f88-bb9a-f4f6c7b4e0ea"/>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29dca83e-cfa0-4d29-9006-28a1b752e563"/>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4"/>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b6bb7154-40a1-4532-be09-cdbace51fda5"/>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1"/>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after="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qFormat/>
    <w:uiPriority w:val="99"/>
    <w:rPr>
      <w:rFonts w:ascii="Times New Roman" w:hAnsi="Times New Roman" w:eastAsia="宋体" w:cs="Times New Roman"/>
      <w:kern w:val="2"/>
      <w:sz w:val="21"/>
      <w:szCs w:val="24"/>
      <w:lang w:val="en-US" w:eastAsia="zh-CN" w:bidi="ar-SA"/>
    </w:rPr>
  </w:style>
  <w:style w:type="paragraph" w:customStyle="1" w:styleId="965">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66">
    <w:name w:val="textfont1"/>
    <w:basedOn w:val="71"/>
    <w:qFormat/>
    <w:uiPriority w:val="0"/>
    <w:rPr>
      <w:rFonts w:ascii="Tahoma" w:hAnsi="Tahoma"/>
      <w:sz w:val="22"/>
      <w:szCs w:val="22"/>
    </w:rPr>
  </w:style>
  <w:style w:type="paragraph" w:customStyle="1" w:styleId="967">
    <w:name w:val="Plain Text"/>
    <w:basedOn w:val="968"/>
    <w:qFormat/>
    <w:uiPriority w:val="0"/>
    <w:pPr>
      <w:numPr>
        <w:ilvl w:val="0"/>
        <w:numId w:val="1"/>
      </w:numPr>
      <w:autoSpaceDE w:val="0"/>
      <w:autoSpaceDN w:val="0"/>
      <w:adjustRightInd w:val="0"/>
      <w:ind w:left="0" w:firstLine="0"/>
      <w:textAlignment w:val="baseline"/>
    </w:pPr>
    <w:rPr>
      <w:rFonts w:ascii="宋体" w:hAnsi="Tms Rmn"/>
      <w:kern w:val="0"/>
      <w:sz w:val="21"/>
    </w:rPr>
  </w:style>
  <w:style w:type="paragraph" w:customStyle="1" w:styleId="968">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69">
    <w:name w:val="Heading1"/>
    <w:basedOn w:val="1"/>
    <w:next w:val="1"/>
    <w:autoRedefine/>
    <w:qFormat/>
    <w:uiPriority w:val="0"/>
    <w:pPr>
      <w:keepNext/>
      <w:widowControl/>
      <w:jc w:val="center"/>
      <w:textAlignment w:val="baseline"/>
    </w:pPr>
    <w:rPr>
      <w:rFonts w:ascii="??" w:hAnsi="??" w:eastAsia="??"/>
      <w:b/>
      <w:kern w:val="36"/>
      <w:sz w:val="32"/>
      <w:szCs w:val="28"/>
    </w:rPr>
  </w:style>
  <w:style w:type="character" w:customStyle="1" w:styleId="970">
    <w:name w:val="biaotou"/>
    <w:basedOn w:val="71"/>
    <w:qFormat/>
    <w:uiPriority w:val="0"/>
    <w:rPr>
      <w:rFonts w:eastAsia="宋体"/>
      <w:b/>
      <w:sz w:val="21"/>
    </w:rPr>
  </w:style>
  <w:style w:type="character" w:customStyle="1" w:styleId="971">
    <w:name w:val="NormalCharacter"/>
    <w:link w:val="972"/>
    <w:semiHidden/>
    <w:qFormat/>
    <w:uiPriority w:val="0"/>
    <w:rPr>
      <w:rFonts w:ascii="Calibri"/>
      <w:szCs w:val="22"/>
    </w:rPr>
  </w:style>
  <w:style w:type="paragraph" w:customStyle="1" w:styleId="972">
    <w:name w:val="UserStyle_127"/>
    <w:basedOn w:val="1"/>
    <w:link w:val="971"/>
    <w:qFormat/>
    <w:uiPriority w:val="0"/>
    <w:pPr>
      <w:spacing w:after="160" w:line="240" w:lineRule="exact"/>
      <w:jc w:val="left"/>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20152</Words>
  <Characters>22003</Characters>
  <Paragraphs>1943</Paragraphs>
  <TotalTime>19</TotalTime>
  <ScaleCrop>false</ScaleCrop>
  <LinksUpToDate>false</LinksUpToDate>
  <CharactersWithSpaces>23735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皮卡～啾 </cp:lastModifiedBy>
  <cp:lastPrinted>2021-12-31T19:06:00Z</cp:lastPrinted>
  <dcterms:modified xsi:type="dcterms:W3CDTF">2025-07-14T08:40:20Z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237F6FA168754CCA96F38879B54ED4D5_13</vt:lpwstr>
  </property>
  <property fmtid="{D5CDD505-2E9C-101B-9397-08002B2CF9AE}" pid="5" name="KSOTemplateDocerSaveRecord">
    <vt:lpwstr>eyJoZGlkIjoiZDI4ZGViZTkxN2Q2NjNlZWQ0ZDMxOTYyZDU3YmMwZDEiLCJ1c2VySWQiOiIzNDU3ODU4NTcifQ==</vt:lpwstr>
  </property>
</Properties>
</file>