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DE932">
      <w:pPr>
        <w:spacing w:line="360" w:lineRule="auto"/>
        <w:rPr>
          <w:rFonts w:hint="eastAsia" w:ascii="仿宋" w:hAnsi="仿宋" w:eastAsia="仿宋"/>
          <w:b/>
          <w:color w:val="auto"/>
          <w:sz w:val="36"/>
          <w:szCs w:val="36"/>
          <w:highlight w:val="none"/>
        </w:rPr>
      </w:pPr>
    </w:p>
    <w:p w14:paraId="68510559">
      <w:pPr>
        <w:spacing w:line="360" w:lineRule="auto"/>
        <w:ind w:firstLine="2331" w:firstLineChars="645"/>
        <w:rPr>
          <w:rFonts w:ascii="仿宋" w:hAnsi="仿宋" w:eastAsia="仿宋"/>
          <w:b/>
          <w:color w:val="auto"/>
          <w:sz w:val="36"/>
          <w:szCs w:val="36"/>
          <w:highlight w:val="none"/>
        </w:rPr>
      </w:pPr>
    </w:p>
    <w:p w14:paraId="63DB6C7A">
      <w:pPr>
        <w:spacing w:line="360" w:lineRule="auto"/>
        <w:rPr>
          <w:rFonts w:ascii="仿宋" w:hAnsi="仿宋" w:eastAsia="仿宋"/>
          <w:b/>
          <w:color w:val="auto"/>
          <w:sz w:val="36"/>
          <w:szCs w:val="36"/>
          <w:highlight w:val="none"/>
        </w:rPr>
      </w:pPr>
    </w:p>
    <w:p w14:paraId="6E1A9341">
      <w:pPr>
        <w:spacing w:line="360" w:lineRule="auto"/>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招标</w:t>
      </w:r>
      <w:r>
        <w:rPr>
          <w:rFonts w:ascii="仿宋" w:hAnsi="仿宋" w:eastAsia="仿宋"/>
          <w:b/>
          <w:color w:val="auto"/>
          <w:sz w:val="52"/>
          <w:szCs w:val="52"/>
          <w:highlight w:val="none"/>
        </w:rPr>
        <w:t>代理服务</w:t>
      </w:r>
      <w:r>
        <w:rPr>
          <w:rFonts w:hint="eastAsia" w:ascii="仿宋" w:hAnsi="仿宋" w:eastAsia="仿宋"/>
          <w:b/>
          <w:color w:val="auto"/>
          <w:sz w:val="52"/>
          <w:szCs w:val="52"/>
          <w:highlight w:val="none"/>
        </w:rPr>
        <w:t>遴选</w:t>
      </w:r>
      <w:r>
        <w:rPr>
          <w:rFonts w:ascii="仿宋" w:hAnsi="仿宋" w:eastAsia="仿宋"/>
          <w:b/>
          <w:color w:val="auto"/>
          <w:sz w:val="52"/>
          <w:szCs w:val="52"/>
          <w:highlight w:val="none"/>
        </w:rPr>
        <w:t>文件</w:t>
      </w:r>
    </w:p>
    <w:p w14:paraId="62E2B760">
      <w:pPr>
        <w:spacing w:line="720" w:lineRule="auto"/>
        <w:ind w:firstLine="1417" w:firstLineChars="392"/>
        <w:rPr>
          <w:rFonts w:ascii="仿宋" w:hAnsi="仿宋" w:eastAsia="仿宋"/>
          <w:b/>
          <w:color w:val="auto"/>
          <w:sz w:val="36"/>
          <w:szCs w:val="36"/>
          <w:highlight w:val="none"/>
        </w:rPr>
      </w:pPr>
    </w:p>
    <w:p w14:paraId="7576D1EA">
      <w:pPr>
        <w:spacing w:line="720" w:lineRule="auto"/>
        <w:ind w:firstLine="1417" w:firstLineChars="392"/>
        <w:rPr>
          <w:rFonts w:ascii="仿宋" w:hAnsi="仿宋" w:eastAsia="仿宋"/>
          <w:b/>
          <w:color w:val="auto"/>
          <w:sz w:val="36"/>
          <w:szCs w:val="36"/>
          <w:highlight w:val="none"/>
        </w:rPr>
      </w:pPr>
    </w:p>
    <w:p w14:paraId="714A8CE5">
      <w:pPr>
        <w:spacing w:line="720" w:lineRule="auto"/>
        <w:ind w:left="1895" w:leftChars="200" w:hanging="1475" w:hangingChars="410"/>
        <w:rPr>
          <w:rFonts w:hint="eastAsia" w:ascii="仿宋" w:hAnsi="仿宋" w:eastAsia="仿宋"/>
          <w:color w:val="auto"/>
          <w:sz w:val="32"/>
          <w:szCs w:val="32"/>
          <w:highlight w:val="none"/>
        </w:rPr>
      </w:pPr>
      <w:r>
        <w:rPr>
          <w:rFonts w:ascii="仿宋" w:hAnsi="仿宋" w:eastAsia="仿宋"/>
          <w:color w:val="auto"/>
          <w:sz w:val="36"/>
          <w:szCs w:val="36"/>
          <w:highlight w:val="none"/>
        </w:rPr>
        <w:t>项目名称：</w:t>
      </w:r>
      <w:r>
        <w:rPr>
          <w:rFonts w:hint="eastAsia" w:ascii="仿宋" w:hAnsi="仿宋" w:eastAsia="仿宋"/>
          <w:color w:val="auto"/>
          <w:sz w:val="36"/>
          <w:szCs w:val="36"/>
          <w:highlight w:val="none"/>
        </w:rPr>
        <w:t xml:space="preserve"> </w:t>
      </w:r>
      <w:r>
        <w:rPr>
          <w:rFonts w:hint="eastAsia" w:ascii="仿宋" w:hAnsi="仿宋" w:eastAsia="仿宋"/>
          <w:color w:val="auto"/>
          <w:sz w:val="36"/>
          <w:szCs w:val="36"/>
          <w:highlight w:val="none"/>
          <w:lang w:eastAsia="zh-CN"/>
        </w:rPr>
        <w:t>杭州市西湖区转塘街道社区卫生服务中心</w:t>
      </w:r>
      <w:r>
        <w:rPr>
          <w:rFonts w:hint="eastAsia" w:ascii="仿宋" w:hAnsi="仿宋" w:eastAsia="仿宋"/>
          <w:color w:val="auto"/>
          <w:sz w:val="36"/>
          <w:szCs w:val="36"/>
          <w:highlight w:val="none"/>
        </w:rPr>
        <w:t>2025年年度招标代理服务机构遴选</w:t>
      </w:r>
    </w:p>
    <w:p w14:paraId="49EC5914">
      <w:pPr>
        <w:spacing w:line="360" w:lineRule="auto"/>
        <w:rPr>
          <w:rFonts w:hint="eastAsia" w:ascii="仿宋" w:hAnsi="仿宋" w:eastAsia="仿宋"/>
          <w:color w:val="auto"/>
          <w:sz w:val="32"/>
          <w:szCs w:val="32"/>
          <w:highlight w:val="none"/>
        </w:rPr>
      </w:pPr>
    </w:p>
    <w:p w14:paraId="42EBFA4D">
      <w:pPr>
        <w:spacing w:line="360" w:lineRule="auto"/>
        <w:jc w:val="center"/>
        <w:rPr>
          <w:rFonts w:hint="default" w:ascii="仿宋" w:hAnsi="仿宋" w:eastAsia="宋体"/>
          <w:color w:val="auto"/>
          <w:sz w:val="36"/>
          <w:szCs w:val="36"/>
          <w:highlight w:val="none"/>
          <w:lang w:val="en-US" w:eastAsia="zh-CN"/>
        </w:rPr>
      </w:pPr>
      <w:r>
        <w:rPr>
          <w:rFonts w:hint="eastAsia" w:ascii="仿宋" w:hAnsi="仿宋" w:eastAsia="仿宋"/>
          <w:color w:val="auto"/>
          <w:sz w:val="32"/>
          <w:szCs w:val="32"/>
          <w:highlight w:val="none"/>
        </w:rPr>
        <w:t xml:space="preserve">     </w:t>
      </w:r>
      <w:r>
        <w:rPr>
          <w:rFonts w:hint="eastAsia" w:ascii="仿宋" w:hAnsi="仿宋" w:eastAsia="仿宋"/>
          <w:color w:val="auto"/>
          <w:sz w:val="36"/>
          <w:szCs w:val="36"/>
          <w:highlight w:val="none"/>
        </w:rPr>
        <w:t xml:space="preserve">  项目编码：  </w:t>
      </w:r>
      <w:r>
        <w:rPr>
          <w:rFonts w:ascii="Arial" w:hAnsi="Arial" w:eastAsia="宋体" w:cs="Arial"/>
          <w:i w:val="0"/>
          <w:iCs w:val="0"/>
          <w:caps w:val="0"/>
          <w:color w:val="000000"/>
          <w:spacing w:val="0"/>
          <w:sz w:val="28"/>
          <w:szCs w:val="28"/>
        </w:rPr>
        <w:t>XHZT-</w:t>
      </w:r>
      <w:r>
        <w:rPr>
          <w:rFonts w:hint="eastAsia" w:ascii="Arial" w:hAnsi="Arial" w:cs="Arial"/>
          <w:i w:val="0"/>
          <w:iCs w:val="0"/>
          <w:caps w:val="0"/>
          <w:color w:val="000000"/>
          <w:spacing w:val="0"/>
          <w:sz w:val="28"/>
          <w:szCs w:val="28"/>
          <w:lang w:val="en-US" w:eastAsia="zh-CN"/>
        </w:rPr>
        <w:t>20250701-01</w:t>
      </w:r>
    </w:p>
    <w:p w14:paraId="2EA12DC5">
      <w:pPr>
        <w:spacing w:line="360" w:lineRule="auto"/>
        <w:jc w:val="center"/>
        <w:rPr>
          <w:rFonts w:hint="eastAsia" w:ascii="仿宋" w:hAnsi="仿宋" w:eastAsia="仿宋"/>
          <w:color w:val="auto"/>
          <w:sz w:val="36"/>
          <w:szCs w:val="36"/>
          <w:highlight w:val="none"/>
        </w:rPr>
      </w:pPr>
    </w:p>
    <w:p w14:paraId="1399D7EB">
      <w:pPr>
        <w:spacing w:line="360" w:lineRule="auto"/>
        <w:jc w:val="center"/>
        <w:rPr>
          <w:rFonts w:hint="eastAsia" w:ascii="仿宋" w:hAnsi="仿宋" w:eastAsia="仿宋"/>
          <w:color w:val="auto"/>
          <w:sz w:val="36"/>
          <w:szCs w:val="36"/>
          <w:highlight w:val="none"/>
        </w:rPr>
      </w:pPr>
    </w:p>
    <w:p w14:paraId="3CF08582">
      <w:pPr>
        <w:spacing w:line="360" w:lineRule="auto"/>
        <w:jc w:val="center"/>
        <w:rPr>
          <w:rFonts w:hint="eastAsia" w:ascii="仿宋" w:hAnsi="仿宋" w:eastAsia="仿宋"/>
          <w:color w:val="auto"/>
          <w:sz w:val="36"/>
          <w:szCs w:val="36"/>
          <w:highlight w:val="none"/>
        </w:rPr>
      </w:pPr>
    </w:p>
    <w:p w14:paraId="0224438F">
      <w:pPr>
        <w:spacing w:line="360" w:lineRule="auto"/>
        <w:jc w:val="center"/>
        <w:rPr>
          <w:rFonts w:hint="eastAsia" w:ascii="仿宋" w:hAnsi="仿宋" w:eastAsia="仿宋"/>
          <w:color w:val="auto"/>
          <w:sz w:val="36"/>
          <w:szCs w:val="36"/>
          <w:highlight w:val="none"/>
          <w:lang w:eastAsia="zh-CN"/>
        </w:rPr>
      </w:pPr>
      <w:r>
        <w:rPr>
          <w:rFonts w:hint="eastAsia" w:ascii="仿宋" w:hAnsi="仿宋" w:eastAsia="仿宋"/>
          <w:color w:val="auto"/>
          <w:sz w:val="36"/>
          <w:szCs w:val="36"/>
          <w:highlight w:val="none"/>
          <w:lang w:eastAsia="zh-CN"/>
        </w:rPr>
        <w:t>杭州市西湖区转塘街道社区卫生服务中心</w:t>
      </w:r>
    </w:p>
    <w:p w14:paraId="3D233245">
      <w:pPr>
        <w:spacing w:line="360" w:lineRule="auto"/>
        <w:jc w:val="center"/>
        <w:rPr>
          <w:rFonts w:ascii="仿宋" w:hAnsi="仿宋" w:eastAsia="仿宋"/>
          <w:b/>
          <w:bCs/>
          <w:color w:val="auto"/>
          <w:sz w:val="32"/>
          <w:szCs w:val="32"/>
          <w:highlight w:val="none"/>
        </w:rPr>
      </w:pPr>
      <w:r>
        <w:rPr>
          <w:rFonts w:hint="eastAsia" w:ascii="仿宋" w:hAnsi="仿宋" w:eastAsia="仿宋"/>
          <w:b/>
          <w:bCs/>
          <w:color w:val="auto"/>
          <w:sz w:val="36"/>
          <w:szCs w:val="36"/>
          <w:highlight w:val="none"/>
        </w:rPr>
        <w:t xml:space="preserve">2025年 </w:t>
      </w:r>
      <w:r>
        <w:rPr>
          <w:rFonts w:hint="eastAsia" w:ascii="仿宋" w:hAnsi="仿宋" w:eastAsia="仿宋"/>
          <w:b/>
          <w:bCs/>
          <w:color w:val="auto"/>
          <w:sz w:val="36"/>
          <w:szCs w:val="36"/>
          <w:highlight w:val="none"/>
          <w:lang w:val="en-US" w:eastAsia="zh-CN"/>
        </w:rPr>
        <w:t>7</w:t>
      </w:r>
      <w:r>
        <w:rPr>
          <w:rFonts w:ascii="仿宋" w:hAnsi="仿宋" w:eastAsia="仿宋"/>
          <w:b/>
          <w:bCs/>
          <w:color w:val="auto"/>
          <w:sz w:val="36"/>
          <w:szCs w:val="36"/>
          <w:highlight w:val="none"/>
        </w:rPr>
        <w:t>月</w:t>
      </w:r>
    </w:p>
    <w:p w14:paraId="61EDBD53">
      <w:pPr>
        <w:spacing w:line="360" w:lineRule="auto"/>
        <w:jc w:val="center"/>
        <w:rPr>
          <w:rFonts w:ascii="仿宋" w:hAnsi="仿宋" w:eastAsia="仿宋"/>
          <w:color w:val="auto"/>
          <w:sz w:val="32"/>
          <w:szCs w:val="32"/>
          <w:highlight w:val="none"/>
        </w:rPr>
      </w:pPr>
    </w:p>
    <w:p w14:paraId="167CB0B0">
      <w:pPr>
        <w:pStyle w:val="14"/>
        <w:spacing w:line="360" w:lineRule="auto"/>
        <w:ind w:left="210" w:leftChars="100"/>
        <w:jc w:val="center"/>
        <w:rPr>
          <w:rFonts w:ascii="仿宋" w:hAnsi="仿宋" w:eastAsia="仿宋"/>
          <w:color w:val="auto"/>
          <w:sz w:val="48"/>
          <w:highlight w:val="none"/>
        </w:rPr>
      </w:pPr>
      <w:r>
        <w:rPr>
          <w:rFonts w:ascii="仿宋" w:hAnsi="仿宋" w:eastAsia="仿宋"/>
          <w:color w:val="auto"/>
          <w:highlight w:val="none"/>
        </w:rPr>
        <w:br w:type="page"/>
      </w:r>
      <w:r>
        <w:rPr>
          <w:rFonts w:ascii="仿宋" w:hAnsi="仿宋" w:eastAsia="仿宋"/>
          <w:color w:val="auto"/>
          <w:highlight w:val="none"/>
        </w:rPr>
        <w:t>目  录</w:t>
      </w:r>
    </w:p>
    <w:p w14:paraId="1954D449">
      <w:pPr>
        <w:spacing w:line="360" w:lineRule="auto"/>
        <w:rPr>
          <w:rFonts w:ascii="仿宋" w:hAnsi="仿宋" w:eastAsia="仿宋"/>
          <w:bCs/>
          <w:color w:val="auto"/>
          <w:sz w:val="32"/>
          <w:szCs w:val="36"/>
          <w:highlight w:val="none"/>
        </w:rPr>
      </w:pPr>
    </w:p>
    <w:p w14:paraId="579E871A">
      <w:pPr>
        <w:spacing w:line="360" w:lineRule="auto"/>
        <w:rPr>
          <w:rFonts w:hint="eastAsia" w:ascii="仿宋" w:hAnsi="仿宋" w:eastAsia="仿宋"/>
          <w:bCs/>
          <w:color w:val="auto"/>
          <w:sz w:val="32"/>
          <w:szCs w:val="36"/>
          <w:highlight w:val="none"/>
        </w:rPr>
      </w:pPr>
      <w:r>
        <w:rPr>
          <w:rFonts w:ascii="仿宋" w:hAnsi="仿宋" w:eastAsia="仿宋"/>
          <w:bCs/>
          <w:color w:val="auto"/>
          <w:sz w:val="32"/>
          <w:szCs w:val="36"/>
          <w:highlight w:val="none"/>
        </w:rPr>
        <w:t xml:space="preserve">第一章  </w:t>
      </w:r>
      <w:r>
        <w:rPr>
          <w:rFonts w:hint="eastAsia" w:ascii="仿宋" w:hAnsi="仿宋" w:eastAsia="仿宋"/>
          <w:bCs/>
          <w:color w:val="auto"/>
          <w:sz w:val="32"/>
          <w:szCs w:val="36"/>
          <w:highlight w:val="none"/>
        </w:rPr>
        <w:t>遴选</w:t>
      </w:r>
      <w:r>
        <w:rPr>
          <w:rFonts w:ascii="仿宋" w:hAnsi="仿宋" w:eastAsia="仿宋"/>
          <w:bCs/>
          <w:color w:val="auto"/>
          <w:sz w:val="32"/>
          <w:szCs w:val="36"/>
          <w:highlight w:val="none"/>
        </w:rPr>
        <w:t>公告</w:t>
      </w:r>
      <w:r>
        <w:rPr>
          <w:rFonts w:ascii="仿宋" w:hAnsi="仿宋" w:eastAsia="仿宋"/>
          <w:color w:val="auto"/>
          <w:sz w:val="32"/>
          <w:highlight w:val="none"/>
        </w:rPr>
        <w:t xml:space="preserve">……………………………………… </w:t>
      </w:r>
    </w:p>
    <w:p w14:paraId="4954B9B4">
      <w:pPr>
        <w:spacing w:line="360" w:lineRule="auto"/>
        <w:rPr>
          <w:rFonts w:ascii="仿宋" w:hAnsi="仿宋" w:eastAsia="仿宋"/>
          <w:bCs/>
          <w:color w:val="auto"/>
          <w:sz w:val="32"/>
          <w:szCs w:val="36"/>
          <w:highlight w:val="none"/>
        </w:rPr>
      </w:pPr>
    </w:p>
    <w:p w14:paraId="050096D5">
      <w:pPr>
        <w:spacing w:line="360" w:lineRule="auto"/>
        <w:rPr>
          <w:rFonts w:ascii="仿宋" w:hAnsi="仿宋" w:eastAsia="仿宋"/>
          <w:bCs/>
          <w:color w:val="auto"/>
          <w:sz w:val="32"/>
          <w:szCs w:val="36"/>
          <w:highlight w:val="none"/>
        </w:rPr>
      </w:pPr>
      <w:r>
        <w:rPr>
          <w:rFonts w:ascii="仿宋" w:hAnsi="仿宋" w:eastAsia="仿宋"/>
          <w:bCs/>
          <w:color w:val="auto"/>
          <w:sz w:val="32"/>
          <w:szCs w:val="36"/>
          <w:highlight w:val="none"/>
        </w:rPr>
        <w:t xml:space="preserve">第二章  </w:t>
      </w:r>
      <w:r>
        <w:rPr>
          <w:rFonts w:hint="eastAsia" w:ascii="仿宋" w:hAnsi="仿宋" w:eastAsia="仿宋"/>
          <w:bCs/>
          <w:color w:val="auto"/>
          <w:sz w:val="32"/>
          <w:szCs w:val="36"/>
          <w:highlight w:val="none"/>
        </w:rPr>
        <w:t>遴选文件要求和</w:t>
      </w:r>
      <w:r>
        <w:rPr>
          <w:rFonts w:ascii="仿宋" w:hAnsi="仿宋" w:eastAsia="仿宋"/>
          <w:bCs/>
          <w:color w:val="auto"/>
          <w:sz w:val="32"/>
          <w:szCs w:val="36"/>
          <w:highlight w:val="none"/>
        </w:rPr>
        <w:t>须知</w:t>
      </w:r>
      <w:r>
        <w:rPr>
          <w:rFonts w:ascii="仿宋" w:hAnsi="仿宋" w:eastAsia="仿宋"/>
          <w:color w:val="auto"/>
          <w:sz w:val="32"/>
          <w:highlight w:val="none"/>
        </w:rPr>
        <w:t xml:space="preserve">………………………… </w:t>
      </w:r>
    </w:p>
    <w:p w14:paraId="5C9298FE">
      <w:pPr>
        <w:spacing w:line="360" w:lineRule="auto"/>
        <w:rPr>
          <w:rFonts w:ascii="仿宋" w:hAnsi="仿宋" w:eastAsia="仿宋"/>
          <w:bCs/>
          <w:color w:val="auto"/>
          <w:sz w:val="32"/>
          <w:highlight w:val="none"/>
        </w:rPr>
      </w:pPr>
    </w:p>
    <w:p w14:paraId="313FE9D8">
      <w:pPr>
        <w:spacing w:line="360" w:lineRule="auto"/>
        <w:rPr>
          <w:rFonts w:hint="eastAsia" w:ascii="仿宋" w:hAnsi="仿宋" w:eastAsia="仿宋"/>
          <w:bCs/>
          <w:color w:val="auto"/>
          <w:sz w:val="32"/>
          <w:highlight w:val="none"/>
        </w:rPr>
      </w:pPr>
      <w:r>
        <w:rPr>
          <w:rFonts w:ascii="仿宋" w:hAnsi="仿宋" w:eastAsia="仿宋"/>
          <w:bCs/>
          <w:color w:val="auto"/>
          <w:sz w:val="32"/>
          <w:highlight w:val="none"/>
        </w:rPr>
        <w:t xml:space="preserve">第三章  </w:t>
      </w:r>
      <w:r>
        <w:rPr>
          <w:rFonts w:hint="eastAsia" w:ascii="仿宋" w:hAnsi="仿宋" w:eastAsia="仿宋"/>
          <w:color w:val="auto"/>
          <w:sz w:val="32"/>
          <w:highlight w:val="none"/>
        </w:rPr>
        <w:t>评定内容及</w:t>
      </w:r>
      <w:r>
        <w:rPr>
          <w:rFonts w:ascii="仿宋" w:hAnsi="仿宋" w:eastAsia="仿宋"/>
          <w:color w:val="auto"/>
          <w:sz w:val="32"/>
          <w:highlight w:val="none"/>
        </w:rPr>
        <w:t>评标标准…………………………</w:t>
      </w:r>
    </w:p>
    <w:p w14:paraId="1A432BAA">
      <w:pPr>
        <w:spacing w:line="360" w:lineRule="auto"/>
        <w:rPr>
          <w:rFonts w:ascii="仿宋" w:hAnsi="仿宋" w:eastAsia="仿宋"/>
          <w:bCs/>
          <w:color w:val="auto"/>
          <w:sz w:val="32"/>
          <w:highlight w:val="none"/>
        </w:rPr>
      </w:pPr>
    </w:p>
    <w:p w14:paraId="33F3B22D">
      <w:pPr>
        <w:spacing w:line="360" w:lineRule="auto"/>
        <w:rPr>
          <w:rFonts w:hint="eastAsia" w:ascii="仿宋" w:hAnsi="仿宋" w:eastAsia="仿宋"/>
          <w:bCs/>
          <w:color w:val="auto"/>
          <w:sz w:val="32"/>
          <w:highlight w:val="none"/>
        </w:rPr>
      </w:pPr>
      <w:r>
        <w:rPr>
          <w:rFonts w:ascii="仿宋" w:hAnsi="仿宋" w:eastAsia="仿宋"/>
          <w:bCs/>
          <w:color w:val="auto"/>
          <w:sz w:val="32"/>
          <w:highlight w:val="none"/>
        </w:rPr>
        <w:t>第</w:t>
      </w:r>
      <w:r>
        <w:rPr>
          <w:rFonts w:hint="eastAsia" w:ascii="仿宋" w:hAnsi="仿宋" w:eastAsia="仿宋"/>
          <w:bCs/>
          <w:color w:val="auto"/>
          <w:sz w:val="32"/>
          <w:highlight w:val="none"/>
        </w:rPr>
        <w:t>四</w:t>
      </w:r>
      <w:r>
        <w:rPr>
          <w:rFonts w:ascii="仿宋" w:hAnsi="仿宋" w:eastAsia="仿宋"/>
          <w:bCs/>
          <w:color w:val="auto"/>
          <w:sz w:val="32"/>
          <w:highlight w:val="none"/>
        </w:rPr>
        <w:t>章  合同主要条款</w:t>
      </w:r>
      <w:r>
        <w:rPr>
          <w:rFonts w:ascii="仿宋" w:hAnsi="仿宋" w:eastAsia="仿宋"/>
          <w:color w:val="auto"/>
          <w:sz w:val="32"/>
          <w:highlight w:val="none"/>
        </w:rPr>
        <w:t>…………………………………</w:t>
      </w:r>
    </w:p>
    <w:p w14:paraId="0CE5C487">
      <w:pPr>
        <w:spacing w:line="360" w:lineRule="auto"/>
        <w:rPr>
          <w:rFonts w:ascii="仿宋" w:hAnsi="仿宋" w:eastAsia="仿宋"/>
          <w:bCs/>
          <w:color w:val="auto"/>
          <w:sz w:val="32"/>
          <w:highlight w:val="none"/>
        </w:rPr>
      </w:pPr>
    </w:p>
    <w:p w14:paraId="6876F537">
      <w:pPr>
        <w:spacing w:line="360" w:lineRule="auto"/>
        <w:rPr>
          <w:rFonts w:hint="eastAsia" w:ascii="仿宋" w:hAnsi="仿宋" w:eastAsia="仿宋"/>
          <w:color w:val="auto"/>
          <w:sz w:val="28"/>
          <w:highlight w:val="none"/>
        </w:rPr>
      </w:pPr>
      <w:r>
        <w:rPr>
          <w:rFonts w:ascii="仿宋" w:hAnsi="仿宋" w:eastAsia="仿宋"/>
          <w:bCs/>
          <w:color w:val="auto"/>
          <w:sz w:val="32"/>
          <w:highlight w:val="none"/>
        </w:rPr>
        <w:t>第</w:t>
      </w:r>
      <w:r>
        <w:rPr>
          <w:rFonts w:hint="eastAsia" w:ascii="仿宋" w:hAnsi="仿宋" w:eastAsia="仿宋"/>
          <w:bCs/>
          <w:color w:val="auto"/>
          <w:sz w:val="32"/>
          <w:highlight w:val="none"/>
        </w:rPr>
        <w:t>五</w:t>
      </w:r>
      <w:r>
        <w:rPr>
          <w:rFonts w:ascii="仿宋" w:hAnsi="仿宋" w:eastAsia="仿宋"/>
          <w:bCs/>
          <w:color w:val="auto"/>
          <w:sz w:val="32"/>
          <w:highlight w:val="none"/>
        </w:rPr>
        <w:t>章  附件</w:t>
      </w:r>
      <w:r>
        <w:rPr>
          <w:rFonts w:ascii="仿宋" w:hAnsi="仿宋" w:eastAsia="仿宋"/>
          <w:color w:val="auto"/>
          <w:sz w:val="32"/>
          <w:highlight w:val="none"/>
        </w:rPr>
        <w:t>……………………………………………</w:t>
      </w:r>
    </w:p>
    <w:p w14:paraId="37FEB0A4">
      <w:pPr>
        <w:tabs>
          <w:tab w:val="left" w:pos="7200"/>
        </w:tabs>
        <w:spacing w:line="360" w:lineRule="auto"/>
        <w:rPr>
          <w:rFonts w:ascii="仿宋" w:hAnsi="仿宋" w:eastAsia="仿宋"/>
          <w:bCs/>
          <w:color w:val="auto"/>
          <w:sz w:val="32"/>
          <w:highlight w:val="none"/>
        </w:rPr>
      </w:pPr>
    </w:p>
    <w:p w14:paraId="3425DA96">
      <w:pPr>
        <w:spacing w:line="360" w:lineRule="auto"/>
        <w:jc w:val="center"/>
        <w:rPr>
          <w:rFonts w:ascii="仿宋" w:hAnsi="仿宋" w:eastAsia="仿宋"/>
          <w:b/>
          <w:color w:val="auto"/>
          <w:sz w:val="32"/>
          <w:szCs w:val="32"/>
          <w:highlight w:val="none"/>
        </w:rPr>
      </w:pPr>
      <w:bookmarkStart w:id="0" w:name="_Toc93375285"/>
      <w:r>
        <w:rPr>
          <w:rFonts w:ascii="仿宋" w:hAnsi="仿宋" w:eastAsia="仿宋"/>
          <w:b/>
          <w:color w:val="auto"/>
          <w:sz w:val="32"/>
          <w:szCs w:val="32"/>
          <w:highlight w:val="none"/>
        </w:rPr>
        <w:br w:type="page"/>
      </w:r>
      <w:r>
        <w:rPr>
          <w:rFonts w:ascii="仿宋" w:hAnsi="仿宋" w:eastAsia="仿宋"/>
          <w:b/>
          <w:color w:val="auto"/>
          <w:sz w:val="32"/>
          <w:szCs w:val="32"/>
          <w:highlight w:val="none"/>
        </w:rPr>
        <w:t xml:space="preserve">第一章  </w:t>
      </w:r>
      <w:r>
        <w:rPr>
          <w:rFonts w:hint="eastAsia" w:ascii="仿宋" w:hAnsi="仿宋" w:eastAsia="仿宋"/>
          <w:b/>
          <w:color w:val="auto"/>
          <w:sz w:val="32"/>
          <w:szCs w:val="32"/>
          <w:highlight w:val="none"/>
        </w:rPr>
        <w:t>遴选</w:t>
      </w:r>
      <w:r>
        <w:rPr>
          <w:rFonts w:ascii="仿宋" w:hAnsi="仿宋" w:eastAsia="仿宋"/>
          <w:b/>
          <w:color w:val="auto"/>
          <w:sz w:val="32"/>
          <w:szCs w:val="32"/>
          <w:highlight w:val="none"/>
        </w:rPr>
        <w:t>公告</w:t>
      </w:r>
    </w:p>
    <w:p w14:paraId="100C2867">
      <w:pPr>
        <w:spacing w:after="156" w:afterLines="50" w:line="360" w:lineRule="auto"/>
        <w:rPr>
          <w:rFonts w:ascii="仿宋" w:hAnsi="仿宋" w:eastAsia="仿宋"/>
          <w:b/>
          <w:color w:val="auto"/>
          <w:sz w:val="24"/>
          <w:highlight w:val="none"/>
        </w:rPr>
      </w:pPr>
    </w:p>
    <w:bookmarkEnd w:id="0"/>
    <w:p w14:paraId="069D38B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为进一步规范我单位所有项目招标工作，拟对</w:t>
      </w:r>
      <w:r>
        <w:rPr>
          <w:rFonts w:ascii="仿宋" w:hAnsi="仿宋" w:eastAsia="仿宋"/>
          <w:color w:val="auto"/>
          <w:sz w:val="24"/>
          <w:highlight w:val="none"/>
        </w:rPr>
        <w:t>招标代理服务项目进行公开</w:t>
      </w:r>
      <w:r>
        <w:rPr>
          <w:rFonts w:hint="eastAsia" w:ascii="仿宋" w:hAnsi="仿宋" w:eastAsia="仿宋"/>
          <w:color w:val="auto"/>
          <w:sz w:val="24"/>
          <w:highlight w:val="none"/>
        </w:rPr>
        <w:t>遴选</w:t>
      </w:r>
      <w:r>
        <w:rPr>
          <w:rFonts w:ascii="仿宋" w:hAnsi="仿宋" w:eastAsia="仿宋"/>
          <w:color w:val="auto"/>
          <w:sz w:val="24"/>
          <w:highlight w:val="none"/>
        </w:rPr>
        <w:t>，欢迎合格的招标代理机构报名参加。</w:t>
      </w:r>
    </w:p>
    <w:p w14:paraId="192181D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一、资格要求</w:t>
      </w:r>
    </w:p>
    <w:p w14:paraId="68F9DCF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在中华人民共和国境内注册，</w:t>
      </w:r>
      <w:r>
        <w:rPr>
          <w:rFonts w:ascii="仿宋" w:hAnsi="仿宋" w:eastAsia="仿宋"/>
          <w:color w:val="auto"/>
          <w:sz w:val="24"/>
          <w:highlight w:val="none"/>
          <w:lang w:val="zh-CN"/>
        </w:rPr>
        <w:t>具有独立法人资格</w:t>
      </w:r>
      <w:r>
        <w:rPr>
          <w:rFonts w:hint="eastAsia" w:ascii="仿宋" w:hAnsi="仿宋" w:eastAsia="仿宋"/>
          <w:color w:val="auto"/>
          <w:sz w:val="24"/>
          <w:highlight w:val="none"/>
          <w:lang w:val="zh-CN"/>
        </w:rPr>
        <w:t>；</w:t>
      </w:r>
    </w:p>
    <w:p w14:paraId="54E57F0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、具有较完整的内部管理制度，能确保招标工作规范进行，具有与</w:t>
      </w:r>
      <w:r>
        <w:rPr>
          <w:rFonts w:hint="eastAsia" w:ascii="仿宋" w:hAnsi="仿宋" w:eastAsia="仿宋"/>
          <w:color w:val="auto"/>
          <w:sz w:val="24"/>
          <w:highlight w:val="none"/>
        </w:rPr>
        <w:t>本项目</w:t>
      </w:r>
      <w:r>
        <w:rPr>
          <w:rFonts w:ascii="仿宋" w:hAnsi="仿宋" w:eastAsia="仿宋"/>
          <w:color w:val="auto"/>
          <w:sz w:val="24"/>
          <w:highlight w:val="none"/>
        </w:rPr>
        <w:t>招标代理相适应的工程技术人</w:t>
      </w:r>
      <w:r>
        <w:rPr>
          <w:rFonts w:hint="eastAsia" w:ascii="仿宋" w:hAnsi="仿宋" w:eastAsia="仿宋"/>
          <w:color w:val="auto"/>
          <w:sz w:val="24"/>
          <w:highlight w:val="none"/>
        </w:rPr>
        <w:t>员</w:t>
      </w:r>
      <w:r>
        <w:rPr>
          <w:rFonts w:ascii="仿宋" w:hAnsi="仿宋" w:eastAsia="仿宋"/>
          <w:color w:val="auto"/>
          <w:sz w:val="24"/>
          <w:highlight w:val="none"/>
        </w:rPr>
        <w:t>。</w:t>
      </w:r>
    </w:p>
    <w:p w14:paraId="1DE6860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3、未被“信用中国”（www.creditchina.gov.cn)、中国政府采购网（www.ccgp.gov.cn）列入失信被执行人、重大税收违法案件当事人名单、政府采购严重违法失信行为记录名单；</w:t>
      </w:r>
    </w:p>
    <w:p w14:paraId="3195148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4、经浙江省省级财政部门审核并已列入浙江政府采购网“政府采购代理机构”专栏政府采购代理机构名单中。</w:t>
      </w:r>
    </w:p>
    <w:p w14:paraId="6983393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5、本项目不接受联合体。</w:t>
      </w:r>
    </w:p>
    <w:p w14:paraId="540E04A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二、领取遴选文件时间及</w:t>
      </w:r>
      <w:r>
        <w:rPr>
          <w:rFonts w:hint="eastAsia" w:ascii="仿宋" w:hAnsi="仿宋" w:eastAsia="仿宋"/>
          <w:color w:val="auto"/>
          <w:sz w:val="24"/>
          <w:highlight w:val="none"/>
        </w:rPr>
        <w:t>方式</w:t>
      </w:r>
      <w:r>
        <w:rPr>
          <w:rFonts w:ascii="仿宋" w:hAnsi="仿宋" w:eastAsia="仿宋"/>
          <w:color w:val="auto"/>
          <w:sz w:val="24"/>
          <w:highlight w:val="none"/>
        </w:rPr>
        <w:t>：</w:t>
      </w:r>
    </w:p>
    <w:p w14:paraId="35F53F6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1、报名时间：即日起至2025年</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15</w:t>
      </w:r>
      <w:r>
        <w:rPr>
          <w:rFonts w:hint="eastAsia" w:ascii="仿宋" w:hAnsi="仿宋" w:eastAsia="仿宋"/>
          <w:color w:val="auto"/>
          <w:sz w:val="24"/>
          <w:highlight w:val="none"/>
        </w:rPr>
        <w:t>日17：00前。</w:t>
      </w:r>
    </w:p>
    <w:p w14:paraId="7003BF1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获取方式：投标人须将单位介绍信或授权委托书加盖公章、有效的营业执照副本（或法人证书）复印件加盖公章、相关资质证书复印件（加盖公章）、报名表（详见公告附件）以上资料扫描件发送至sdzsqwsfwzx@126.com邮箱报名、审核，发放遴选文件资料。</w:t>
      </w:r>
    </w:p>
    <w:p w14:paraId="0C001F8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四、遴选响应文件递交截止时间：2025年</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31</w:t>
      </w:r>
      <w:r>
        <w:rPr>
          <w:rFonts w:hint="eastAsia" w:ascii="仿宋" w:hAnsi="仿宋" w:eastAsia="仿宋"/>
          <w:color w:val="auto"/>
          <w:sz w:val="24"/>
          <w:highlight w:val="none"/>
        </w:rPr>
        <w:t>日10时00分（北京时间）。</w:t>
      </w:r>
    </w:p>
    <w:p w14:paraId="6480D68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五、遴选响应文件递交地点：</w:t>
      </w:r>
      <w:r>
        <w:rPr>
          <w:rFonts w:hint="eastAsia" w:ascii="仿宋" w:hAnsi="仿宋" w:eastAsia="仿宋"/>
          <w:color w:val="auto"/>
          <w:sz w:val="24"/>
          <w:highlight w:val="none"/>
          <w:lang w:eastAsia="zh-CN"/>
        </w:rPr>
        <w:t>杭州市西湖区转塘街道社区卫生服务中心</w:t>
      </w:r>
      <w:r>
        <w:rPr>
          <w:rFonts w:hint="eastAsia" w:ascii="仿宋" w:hAnsi="仿宋" w:eastAsia="仿宋"/>
          <w:color w:val="auto"/>
          <w:sz w:val="24"/>
          <w:highlight w:val="none"/>
        </w:rPr>
        <w:t>，纸质文件现场递交。</w:t>
      </w:r>
    </w:p>
    <w:p w14:paraId="2ED5BEC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1、开标时间</w:t>
      </w:r>
      <w:bookmarkStart w:id="1" w:name="B25_谈判时间日期"/>
      <w:bookmarkEnd w:id="1"/>
      <w:r>
        <w:rPr>
          <w:rFonts w:hint="eastAsia" w:ascii="仿宋" w:hAnsi="仿宋" w:eastAsia="仿宋"/>
          <w:color w:val="auto"/>
          <w:sz w:val="24"/>
          <w:highlight w:val="none"/>
        </w:rPr>
        <w:t>：2025年</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31</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时00分（北京时间）。</w:t>
      </w:r>
    </w:p>
    <w:p w14:paraId="6E3CFDD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2、开标地点：</w:t>
      </w:r>
      <w:r>
        <w:rPr>
          <w:rFonts w:hint="eastAsia" w:ascii="仿宋" w:hAnsi="仿宋" w:eastAsia="仿宋"/>
          <w:color w:val="auto"/>
          <w:sz w:val="24"/>
          <w:highlight w:val="none"/>
          <w:lang w:eastAsia="zh-CN"/>
        </w:rPr>
        <w:t>杭州市西湖区转塘街道社区卫生服务中心</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楼小会议室。</w:t>
      </w:r>
    </w:p>
    <w:p w14:paraId="6867EE5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六、联系方式：</w:t>
      </w:r>
    </w:p>
    <w:p w14:paraId="4EA642B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采购单位：</w:t>
      </w:r>
      <w:r>
        <w:rPr>
          <w:rFonts w:hint="eastAsia" w:ascii="仿宋" w:hAnsi="仿宋" w:eastAsia="仿宋"/>
          <w:color w:val="auto"/>
          <w:sz w:val="24"/>
          <w:highlight w:val="none"/>
          <w:lang w:eastAsia="zh-CN"/>
        </w:rPr>
        <w:t>杭州市西湖区转塘街道社区卫生服务中心</w:t>
      </w:r>
      <w:r>
        <w:rPr>
          <w:rFonts w:hint="eastAsia" w:ascii="仿宋" w:hAnsi="仿宋" w:eastAsia="仿宋"/>
          <w:color w:val="auto"/>
          <w:sz w:val="24"/>
          <w:highlight w:val="none"/>
        </w:rPr>
        <w:t>。</w:t>
      </w:r>
    </w:p>
    <w:p w14:paraId="0665675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地  址：</w:t>
      </w:r>
      <w:r>
        <w:rPr>
          <w:rFonts w:hint="eastAsia" w:ascii="仿宋" w:hAnsi="仿宋" w:eastAsia="仿宋" w:cs="Times New Roman"/>
          <w:color w:val="auto"/>
          <w:sz w:val="24"/>
          <w:highlight w:val="none"/>
          <w:lang w:eastAsia="zh-CN"/>
        </w:rPr>
        <w:t>杭州市西湖区转塘街道洙泗路118号。</w:t>
      </w:r>
    </w:p>
    <w:p w14:paraId="7D65124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章</w:t>
      </w:r>
      <w:r>
        <w:rPr>
          <w:rFonts w:hint="eastAsia" w:ascii="仿宋" w:hAnsi="仿宋" w:eastAsia="仿宋"/>
          <w:color w:val="auto"/>
          <w:sz w:val="24"/>
          <w:highlight w:val="none"/>
        </w:rPr>
        <w:t xml:space="preserve">医生    </w:t>
      </w:r>
      <w:r>
        <w:rPr>
          <w:rFonts w:ascii="仿宋" w:hAnsi="仿宋" w:eastAsia="仿宋"/>
          <w:color w:val="auto"/>
          <w:sz w:val="24"/>
          <w:highlight w:val="none"/>
        </w:rPr>
        <w:t>电</w:t>
      </w:r>
      <w:r>
        <w:rPr>
          <w:rFonts w:hint="eastAsia" w:ascii="仿宋" w:hAnsi="仿宋" w:eastAsia="仿宋"/>
          <w:color w:val="auto"/>
          <w:sz w:val="24"/>
          <w:highlight w:val="none"/>
        </w:rPr>
        <w:t xml:space="preserve">  </w:t>
      </w:r>
      <w:r>
        <w:rPr>
          <w:rFonts w:ascii="仿宋" w:hAnsi="仿宋" w:eastAsia="仿宋"/>
          <w:color w:val="auto"/>
          <w:sz w:val="24"/>
          <w:highlight w:val="none"/>
        </w:rPr>
        <w:t>话：</w:t>
      </w:r>
      <w:r>
        <w:rPr>
          <w:rFonts w:hint="eastAsia" w:ascii="仿宋" w:hAnsi="仿宋" w:eastAsia="仿宋"/>
          <w:color w:val="auto"/>
          <w:sz w:val="24"/>
          <w:highlight w:val="none"/>
        </w:rPr>
        <w:t>0571-</w:t>
      </w:r>
      <w:r>
        <w:rPr>
          <w:rFonts w:hint="eastAsia" w:ascii="仿宋" w:hAnsi="仿宋" w:eastAsia="仿宋"/>
          <w:color w:val="auto"/>
          <w:sz w:val="24"/>
          <w:highlight w:val="none"/>
          <w:lang w:val="en-US" w:eastAsia="zh-CN"/>
        </w:rPr>
        <w:t>56617193</w:t>
      </w:r>
      <w:r>
        <w:rPr>
          <w:rFonts w:hint="eastAsia" w:ascii="仿宋" w:hAnsi="仿宋" w:eastAsia="仿宋"/>
          <w:color w:val="auto"/>
          <w:sz w:val="24"/>
          <w:highlight w:val="none"/>
        </w:rPr>
        <w:t xml:space="preserve">                                 </w:t>
      </w:r>
    </w:p>
    <w:p w14:paraId="46E5ACCC">
      <w:pPr>
        <w:spacing w:line="360" w:lineRule="auto"/>
        <w:ind w:firstLine="960" w:firstLineChars="400"/>
        <w:rPr>
          <w:rFonts w:ascii="仿宋" w:hAnsi="仿宋" w:eastAsia="仿宋"/>
          <w:b/>
          <w:bCs/>
          <w:color w:val="auto"/>
          <w:sz w:val="32"/>
          <w:highlight w:val="none"/>
        </w:rPr>
      </w:pPr>
      <w:r>
        <w:rPr>
          <w:rFonts w:ascii="仿宋" w:hAnsi="仿宋" w:eastAsia="仿宋"/>
          <w:color w:val="auto"/>
          <w:sz w:val="24"/>
          <w:highlight w:val="none"/>
        </w:rPr>
        <w:t xml:space="preserve">             </w:t>
      </w:r>
      <w:r>
        <w:rPr>
          <w:rFonts w:ascii="仿宋" w:hAnsi="仿宋" w:eastAsia="仿宋"/>
          <w:b/>
          <w:bCs/>
          <w:color w:val="auto"/>
          <w:sz w:val="32"/>
          <w:highlight w:val="none"/>
        </w:rPr>
        <w:t xml:space="preserve">第二章  </w:t>
      </w:r>
      <w:r>
        <w:rPr>
          <w:rFonts w:hint="eastAsia" w:ascii="仿宋" w:hAnsi="仿宋" w:eastAsia="仿宋"/>
          <w:b/>
          <w:bCs/>
          <w:color w:val="auto"/>
          <w:sz w:val="32"/>
          <w:highlight w:val="none"/>
        </w:rPr>
        <w:t>遴选要求和</w:t>
      </w:r>
      <w:r>
        <w:rPr>
          <w:rFonts w:ascii="仿宋" w:hAnsi="仿宋" w:eastAsia="仿宋"/>
          <w:b/>
          <w:bCs/>
          <w:color w:val="auto"/>
          <w:sz w:val="32"/>
          <w:highlight w:val="none"/>
        </w:rPr>
        <w:t>须知</w:t>
      </w:r>
    </w:p>
    <w:p w14:paraId="1AC66469">
      <w:pPr>
        <w:spacing w:line="360" w:lineRule="auto"/>
        <w:jc w:val="center"/>
        <w:rPr>
          <w:rFonts w:ascii="仿宋" w:hAnsi="仿宋" w:eastAsia="仿宋"/>
          <w:b/>
          <w:bCs/>
          <w:color w:val="auto"/>
          <w:sz w:val="24"/>
          <w:highlight w:val="none"/>
        </w:rPr>
      </w:pPr>
    </w:p>
    <w:p w14:paraId="1C7DE7E0">
      <w:pPr>
        <w:spacing w:line="360" w:lineRule="auto"/>
        <w:rPr>
          <w:rFonts w:ascii="仿宋" w:hAnsi="仿宋" w:eastAsia="仿宋"/>
          <w:b/>
          <w:bCs/>
          <w:color w:val="auto"/>
          <w:sz w:val="24"/>
          <w:highlight w:val="none"/>
        </w:rPr>
      </w:pPr>
      <w:r>
        <w:rPr>
          <w:rFonts w:ascii="仿宋" w:hAnsi="仿宋" w:eastAsia="仿宋"/>
          <w:b/>
          <w:bCs/>
          <w:color w:val="auto"/>
          <w:sz w:val="24"/>
          <w:highlight w:val="none"/>
        </w:rPr>
        <w:t>一、综合说明</w:t>
      </w:r>
    </w:p>
    <w:p w14:paraId="0D1C79BA">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本次遴选的服务为</w:t>
      </w:r>
      <w:r>
        <w:rPr>
          <w:rFonts w:hint="eastAsia" w:ascii="仿宋" w:hAnsi="仿宋" w:eastAsia="仿宋"/>
          <w:color w:val="auto"/>
          <w:sz w:val="24"/>
          <w:highlight w:val="none"/>
          <w:lang w:eastAsia="zh-CN"/>
        </w:rPr>
        <w:t>杭州市西湖区转塘街道社区卫生服务中心</w:t>
      </w:r>
      <w:r>
        <w:rPr>
          <w:rFonts w:hint="eastAsia" w:ascii="仿宋" w:hAnsi="仿宋" w:eastAsia="仿宋"/>
          <w:color w:val="auto"/>
          <w:sz w:val="24"/>
          <w:highlight w:val="none"/>
        </w:rPr>
        <w:t>货物类、服务类、工程类项目（非政府集中采购项目）招标代理机构服务，期限从合同签订生效日起一年（合同期满后，视其服务能力与质量可续签一次）。合同期内，院方保留终止合同重新遴选的权利。</w:t>
      </w:r>
    </w:p>
    <w:p w14:paraId="594D6E7D">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本文件仅适用于本次所叙</w:t>
      </w:r>
      <w:r>
        <w:rPr>
          <w:rFonts w:ascii="仿宋" w:hAnsi="仿宋" w:eastAsia="仿宋"/>
          <w:color w:val="auto"/>
          <w:sz w:val="24"/>
          <w:highlight w:val="none"/>
        </w:rPr>
        <w:t>述</w:t>
      </w:r>
      <w:r>
        <w:rPr>
          <w:rFonts w:hint="eastAsia" w:ascii="仿宋" w:hAnsi="仿宋" w:eastAsia="仿宋"/>
          <w:color w:val="auto"/>
          <w:sz w:val="24"/>
          <w:highlight w:val="none"/>
        </w:rPr>
        <w:t>货物类、服务类、工程类项目（非政府集中采购项目）</w:t>
      </w:r>
      <w:r>
        <w:rPr>
          <w:rFonts w:ascii="仿宋" w:hAnsi="仿宋" w:eastAsia="仿宋"/>
          <w:color w:val="auto"/>
          <w:sz w:val="24"/>
          <w:highlight w:val="none"/>
        </w:rPr>
        <w:t>招标代理服务</w:t>
      </w:r>
      <w:r>
        <w:rPr>
          <w:rFonts w:hint="eastAsia" w:ascii="仿宋" w:hAnsi="仿宋" w:eastAsia="仿宋"/>
          <w:color w:val="auto"/>
          <w:sz w:val="24"/>
          <w:highlight w:val="none"/>
        </w:rPr>
        <w:t>的遴选</w:t>
      </w:r>
      <w:r>
        <w:rPr>
          <w:rFonts w:ascii="仿宋" w:hAnsi="仿宋" w:eastAsia="仿宋"/>
          <w:color w:val="auto"/>
          <w:sz w:val="24"/>
          <w:highlight w:val="none"/>
        </w:rPr>
        <w:t>。</w:t>
      </w:r>
    </w:p>
    <w:p w14:paraId="3AD16622">
      <w:pPr>
        <w:spacing w:line="360" w:lineRule="auto"/>
        <w:ind w:firstLine="480" w:firstLineChars="200"/>
        <w:rPr>
          <w:rFonts w:ascii="仿宋" w:hAnsi="仿宋" w:eastAsia="仿宋"/>
          <w:color w:val="auto"/>
          <w:sz w:val="24"/>
          <w:highlight w:val="none"/>
        </w:rPr>
      </w:pPr>
    </w:p>
    <w:p w14:paraId="2420A7DE">
      <w:pPr>
        <w:spacing w:line="360" w:lineRule="auto"/>
        <w:rPr>
          <w:rFonts w:ascii="仿宋" w:hAnsi="仿宋" w:eastAsia="仿宋"/>
          <w:b/>
          <w:bCs/>
          <w:color w:val="auto"/>
          <w:sz w:val="24"/>
          <w:highlight w:val="none"/>
        </w:rPr>
      </w:pPr>
      <w:r>
        <w:rPr>
          <w:rFonts w:ascii="仿宋" w:hAnsi="仿宋" w:eastAsia="仿宋"/>
          <w:b/>
          <w:bCs/>
          <w:color w:val="auto"/>
          <w:sz w:val="24"/>
          <w:highlight w:val="none"/>
        </w:rPr>
        <w:t>二、遴选文件说明</w:t>
      </w:r>
    </w:p>
    <w:p w14:paraId="09D33EC6">
      <w:pPr>
        <w:spacing w:line="360" w:lineRule="auto"/>
        <w:rPr>
          <w:rFonts w:ascii="仿宋" w:hAnsi="仿宋" w:eastAsia="仿宋"/>
          <w:color w:val="auto"/>
          <w:kern w:val="0"/>
          <w:sz w:val="24"/>
          <w:highlight w:val="none"/>
        </w:rPr>
      </w:pPr>
      <w:r>
        <w:rPr>
          <w:rFonts w:ascii="仿宋" w:hAnsi="仿宋" w:eastAsia="仿宋"/>
          <w:color w:val="auto"/>
          <w:sz w:val="24"/>
          <w:highlight w:val="none"/>
        </w:rPr>
        <w:t>（一）</w:t>
      </w:r>
      <w:r>
        <w:rPr>
          <w:rFonts w:ascii="仿宋" w:hAnsi="仿宋" w:eastAsia="仿宋"/>
          <w:color w:val="auto"/>
          <w:kern w:val="0"/>
          <w:sz w:val="24"/>
          <w:highlight w:val="none"/>
        </w:rPr>
        <w:t>遴选文件的组成</w:t>
      </w:r>
    </w:p>
    <w:p w14:paraId="7084EBA8">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遴选</w:t>
      </w:r>
      <w:r>
        <w:rPr>
          <w:rFonts w:ascii="仿宋" w:hAnsi="仿宋" w:eastAsia="仿宋"/>
          <w:color w:val="auto"/>
          <w:sz w:val="24"/>
          <w:highlight w:val="none"/>
        </w:rPr>
        <w:t>公告。</w:t>
      </w:r>
    </w:p>
    <w:p w14:paraId="69C586D4">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遴选</w:t>
      </w:r>
      <w:r>
        <w:rPr>
          <w:rFonts w:ascii="仿宋" w:hAnsi="仿宋" w:eastAsia="仿宋"/>
          <w:color w:val="auto"/>
          <w:sz w:val="24"/>
          <w:highlight w:val="none"/>
        </w:rPr>
        <w:t>须知。</w:t>
      </w:r>
    </w:p>
    <w:p w14:paraId="1DA52656">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3、评定内容及</w:t>
      </w:r>
      <w:r>
        <w:rPr>
          <w:rFonts w:ascii="仿宋" w:hAnsi="仿宋" w:eastAsia="仿宋"/>
          <w:color w:val="auto"/>
          <w:sz w:val="24"/>
          <w:highlight w:val="none"/>
        </w:rPr>
        <w:t>评标标准</w:t>
      </w:r>
      <w:r>
        <w:rPr>
          <w:rFonts w:hint="eastAsia" w:ascii="仿宋" w:hAnsi="仿宋" w:eastAsia="仿宋"/>
          <w:color w:val="auto"/>
          <w:sz w:val="24"/>
          <w:highlight w:val="none"/>
        </w:rPr>
        <w:t>。</w:t>
      </w:r>
    </w:p>
    <w:p w14:paraId="0D111D6D">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、合同主要条款。</w:t>
      </w:r>
    </w:p>
    <w:p w14:paraId="1FC537ED">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、附件</w:t>
      </w:r>
    </w:p>
    <w:p w14:paraId="5BD1A592">
      <w:pPr>
        <w:spacing w:line="360" w:lineRule="auto"/>
        <w:rPr>
          <w:rFonts w:ascii="仿宋" w:hAnsi="仿宋" w:eastAsia="仿宋"/>
          <w:color w:val="auto"/>
          <w:sz w:val="24"/>
          <w:highlight w:val="none"/>
        </w:rPr>
      </w:pPr>
    </w:p>
    <w:p w14:paraId="1768F107">
      <w:pPr>
        <w:spacing w:line="360" w:lineRule="auto"/>
        <w:rPr>
          <w:rFonts w:ascii="仿宋" w:hAnsi="仿宋" w:eastAsia="仿宋"/>
          <w:b/>
          <w:bCs/>
          <w:color w:val="auto"/>
          <w:sz w:val="24"/>
          <w:highlight w:val="none"/>
        </w:rPr>
      </w:pPr>
      <w:r>
        <w:rPr>
          <w:rFonts w:ascii="仿宋" w:hAnsi="仿宋" w:eastAsia="仿宋"/>
          <w:b/>
          <w:bCs/>
          <w:color w:val="auto"/>
          <w:sz w:val="24"/>
          <w:highlight w:val="none"/>
        </w:rPr>
        <w:t>三、遴选响应文件的编写</w:t>
      </w:r>
    </w:p>
    <w:p w14:paraId="37714C18">
      <w:pPr>
        <w:spacing w:line="360" w:lineRule="auto"/>
        <w:rPr>
          <w:rFonts w:ascii="仿宋" w:hAnsi="仿宋" w:eastAsia="仿宋"/>
          <w:color w:val="auto"/>
          <w:sz w:val="24"/>
          <w:highlight w:val="none"/>
        </w:rPr>
      </w:pPr>
      <w:r>
        <w:rPr>
          <w:rFonts w:ascii="仿宋" w:hAnsi="仿宋" w:eastAsia="仿宋"/>
          <w:color w:val="auto"/>
          <w:sz w:val="24"/>
          <w:highlight w:val="none"/>
        </w:rPr>
        <w:t>（一）总体要求</w:t>
      </w:r>
    </w:p>
    <w:p w14:paraId="7CF14C8B">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各</w:t>
      </w:r>
      <w:r>
        <w:rPr>
          <w:rFonts w:ascii="仿宋" w:hAnsi="仿宋" w:eastAsia="仿宋"/>
          <w:color w:val="auto"/>
          <w:sz w:val="24"/>
          <w:highlight w:val="none"/>
        </w:rPr>
        <w:t>招标代理机构应仔细阅读遴选文件的所有内容，按本文件的要求提供遴选响应文件，并保证所提供的全部资料的真实性，以使其遴选响应文件对本文件作出实质性响应，否则，其遴选响应文件可能</w:t>
      </w:r>
      <w:r>
        <w:rPr>
          <w:rFonts w:hint="eastAsia" w:ascii="仿宋" w:hAnsi="仿宋" w:eastAsia="仿宋"/>
          <w:color w:val="auto"/>
          <w:sz w:val="24"/>
          <w:highlight w:val="none"/>
        </w:rPr>
        <w:t>视为无效</w:t>
      </w:r>
      <w:r>
        <w:rPr>
          <w:rFonts w:ascii="仿宋" w:hAnsi="仿宋" w:eastAsia="仿宋"/>
          <w:color w:val="auto"/>
          <w:sz w:val="24"/>
          <w:highlight w:val="none"/>
        </w:rPr>
        <w:t>。</w:t>
      </w:r>
    </w:p>
    <w:p w14:paraId="01D06EA1">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2、遴选响应文件及</w:t>
      </w:r>
      <w:r>
        <w:rPr>
          <w:rFonts w:hint="eastAsia" w:ascii="仿宋" w:hAnsi="仿宋" w:eastAsia="仿宋"/>
          <w:color w:val="auto"/>
          <w:sz w:val="24"/>
          <w:highlight w:val="none"/>
        </w:rPr>
        <w:t>各</w:t>
      </w:r>
      <w:r>
        <w:rPr>
          <w:rFonts w:ascii="仿宋" w:hAnsi="仿宋" w:eastAsia="仿宋"/>
          <w:color w:val="auto"/>
          <w:sz w:val="24"/>
          <w:highlight w:val="none"/>
        </w:rPr>
        <w:t>招标代理机构与</w:t>
      </w:r>
      <w:r>
        <w:rPr>
          <w:rFonts w:hint="eastAsia" w:ascii="仿宋" w:hAnsi="仿宋" w:eastAsia="仿宋"/>
          <w:color w:val="auto"/>
          <w:sz w:val="24"/>
          <w:highlight w:val="none"/>
        </w:rPr>
        <w:t>本次遴选</w:t>
      </w:r>
      <w:r>
        <w:rPr>
          <w:rFonts w:ascii="仿宋" w:hAnsi="仿宋" w:eastAsia="仿宋"/>
          <w:color w:val="auto"/>
          <w:sz w:val="24"/>
          <w:highlight w:val="none"/>
        </w:rPr>
        <w:t>有关的来往通知、函件和文件均应使用中文。</w:t>
      </w:r>
    </w:p>
    <w:p w14:paraId="046D26CE">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各</w:t>
      </w:r>
      <w:r>
        <w:rPr>
          <w:rFonts w:ascii="仿宋" w:hAnsi="仿宋" w:eastAsia="仿宋"/>
          <w:color w:val="auto"/>
          <w:sz w:val="24"/>
          <w:highlight w:val="none"/>
        </w:rPr>
        <w:t>招标代理机构应按本文件中提供的文件格式、内容和要求制作遴选响应文件。遴选响应文件应装订成册。</w:t>
      </w:r>
    </w:p>
    <w:p w14:paraId="3B63C48D">
      <w:pPr>
        <w:spacing w:line="360" w:lineRule="auto"/>
        <w:rPr>
          <w:rFonts w:ascii="仿宋" w:hAnsi="仿宋" w:eastAsia="仿宋"/>
          <w:color w:val="auto"/>
          <w:sz w:val="24"/>
          <w:highlight w:val="none"/>
        </w:rPr>
      </w:pPr>
      <w:r>
        <w:rPr>
          <w:rFonts w:ascii="仿宋" w:hAnsi="仿宋" w:eastAsia="仿宋"/>
          <w:color w:val="auto"/>
          <w:sz w:val="24"/>
          <w:highlight w:val="none"/>
        </w:rPr>
        <w:t>（二）遴选响应文件的组成</w:t>
      </w:r>
    </w:p>
    <w:p w14:paraId="0B69820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各</w:t>
      </w:r>
      <w:r>
        <w:rPr>
          <w:rFonts w:ascii="仿宋" w:hAnsi="仿宋" w:eastAsia="仿宋"/>
          <w:color w:val="auto"/>
          <w:sz w:val="24"/>
          <w:highlight w:val="none"/>
        </w:rPr>
        <w:t>招标代理机构应按以下要求提供相关文件和材料，遴选响应文件须提供</w:t>
      </w:r>
      <w:r>
        <w:rPr>
          <w:rFonts w:ascii="仿宋" w:hAnsi="仿宋" w:eastAsia="仿宋"/>
          <w:bCs/>
          <w:color w:val="auto"/>
          <w:sz w:val="24"/>
          <w:highlight w:val="none"/>
        </w:rPr>
        <w:t>正本一份、副本</w:t>
      </w:r>
      <w:r>
        <w:rPr>
          <w:rFonts w:hint="eastAsia" w:ascii="仿宋" w:hAnsi="仿宋" w:eastAsia="仿宋"/>
          <w:bCs/>
          <w:color w:val="auto"/>
          <w:sz w:val="24"/>
          <w:highlight w:val="none"/>
        </w:rPr>
        <w:t>二</w:t>
      </w:r>
      <w:r>
        <w:rPr>
          <w:rFonts w:ascii="仿宋" w:hAnsi="仿宋" w:eastAsia="仿宋"/>
          <w:bCs/>
          <w:color w:val="auto"/>
          <w:sz w:val="24"/>
          <w:highlight w:val="none"/>
        </w:rPr>
        <w:t>份。遴选响应文件的</w:t>
      </w:r>
      <w:r>
        <w:rPr>
          <w:rFonts w:ascii="仿宋" w:hAnsi="仿宋" w:eastAsia="仿宋"/>
          <w:color w:val="auto"/>
          <w:sz w:val="24"/>
          <w:highlight w:val="none"/>
        </w:rPr>
        <w:t>内容应包括：</w:t>
      </w:r>
    </w:p>
    <w:p w14:paraId="5D667F7F">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 xml:space="preserve">1. </w:t>
      </w:r>
      <w:r>
        <w:rPr>
          <w:rFonts w:hint="eastAsia" w:ascii="仿宋" w:hAnsi="仿宋" w:eastAsia="仿宋"/>
          <w:color w:val="auto"/>
          <w:sz w:val="24"/>
          <w:highlight w:val="none"/>
        </w:rPr>
        <w:t>响应</w:t>
      </w:r>
      <w:r>
        <w:rPr>
          <w:rFonts w:ascii="仿宋" w:hAnsi="仿宋" w:eastAsia="仿宋"/>
          <w:color w:val="auto"/>
          <w:sz w:val="24"/>
          <w:highlight w:val="none"/>
        </w:rPr>
        <w:t>书（格式见附件一）</w:t>
      </w:r>
      <w:r>
        <w:rPr>
          <w:rFonts w:hint="eastAsia" w:ascii="仿宋" w:hAnsi="仿宋" w:eastAsia="仿宋"/>
          <w:color w:val="auto"/>
          <w:sz w:val="24"/>
          <w:highlight w:val="none"/>
        </w:rPr>
        <w:t>；</w:t>
      </w:r>
    </w:p>
    <w:p w14:paraId="4A124F65">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 xml:space="preserve">2. </w:t>
      </w:r>
      <w:r>
        <w:rPr>
          <w:rFonts w:hint="eastAsia" w:ascii="仿宋" w:hAnsi="仿宋" w:eastAsia="仿宋"/>
          <w:color w:val="auto"/>
          <w:sz w:val="24"/>
          <w:highlight w:val="none"/>
        </w:rPr>
        <w:t>报价</w:t>
      </w:r>
      <w:r>
        <w:rPr>
          <w:rFonts w:ascii="仿宋" w:hAnsi="仿宋" w:eastAsia="仿宋"/>
          <w:color w:val="auto"/>
          <w:sz w:val="24"/>
          <w:highlight w:val="none"/>
        </w:rPr>
        <w:t>一览表（格式见附件二）</w:t>
      </w:r>
      <w:r>
        <w:rPr>
          <w:rFonts w:hint="eastAsia" w:ascii="仿宋" w:hAnsi="仿宋" w:eastAsia="仿宋"/>
          <w:color w:val="auto"/>
          <w:sz w:val="24"/>
          <w:highlight w:val="none"/>
        </w:rPr>
        <w:t>；</w:t>
      </w:r>
    </w:p>
    <w:p w14:paraId="550052E9">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3. 法定代表人授权书（格式见附件</w:t>
      </w:r>
      <w:r>
        <w:rPr>
          <w:rFonts w:hint="eastAsia" w:ascii="仿宋" w:hAnsi="仿宋" w:eastAsia="仿宋"/>
          <w:color w:val="auto"/>
          <w:sz w:val="24"/>
          <w:highlight w:val="none"/>
        </w:rPr>
        <w:t>三</w:t>
      </w:r>
      <w:r>
        <w:rPr>
          <w:rFonts w:ascii="仿宋" w:hAnsi="仿宋" w:eastAsia="仿宋"/>
          <w:color w:val="auto"/>
          <w:sz w:val="24"/>
          <w:highlight w:val="none"/>
        </w:rPr>
        <w:t>）</w:t>
      </w:r>
      <w:r>
        <w:rPr>
          <w:rFonts w:hint="eastAsia" w:ascii="仿宋" w:hAnsi="仿宋" w:eastAsia="仿宋"/>
          <w:color w:val="auto"/>
          <w:sz w:val="24"/>
          <w:highlight w:val="none"/>
        </w:rPr>
        <w:t>；</w:t>
      </w:r>
    </w:p>
    <w:p w14:paraId="1BFDC778">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4. 企业简介</w:t>
      </w:r>
      <w:r>
        <w:rPr>
          <w:rFonts w:hint="eastAsia" w:ascii="仿宋" w:hAnsi="仿宋" w:eastAsia="仿宋"/>
          <w:color w:val="auto"/>
          <w:sz w:val="24"/>
          <w:highlight w:val="none"/>
        </w:rPr>
        <w:t>；</w:t>
      </w:r>
    </w:p>
    <w:p w14:paraId="7664F2A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5. 从事医院招标代理服务情况，提供相关资料</w:t>
      </w:r>
    </w:p>
    <w:p w14:paraId="39D1EB0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 从事</w:t>
      </w:r>
      <w:r>
        <w:rPr>
          <w:rFonts w:ascii="仿宋" w:hAnsi="仿宋" w:eastAsia="仿宋"/>
          <w:color w:val="auto"/>
          <w:sz w:val="24"/>
          <w:highlight w:val="none"/>
        </w:rPr>
        <w:t>医院</w:t>
      </w:r>
      <w:r>
        <w:rPr>
          <w:rFonts w:hint="eastAsia" w:ascii="仿宋" w:hAnsi="仿宋" w:eastAsia="仿宋"/>
          <w:color w:val="auto"/>
          <w:sz w:val="24"/>
          <w:highlight w:val="none"/>
        </w:rPr>
        <w:t>项目</w:t>
      </w:r>
      <w:r>
        <w:rPr>
          <w:rFonts w:ascii="仿宋" w:hAnsi="仿宋" w:eastAsia="仿宋"/>
          <w:color w:val="auto"/>
          <w:sz w:val="24"/>
          <w:highlight w:val="none"/>
        </w:rPr>
        <w:t>招标代理服务项目业绩情况，提供相关资料；</w:t>
      </w:r>
    </w:p>
    <w:p w14:paraId="176A9C34">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7. 针对本项目制定的招标代理实施方案</w:t>
      </w:r>
      <w:r>
        <w:rPr>
          <w:rFonts w:hint="eastAsia" w:ascii="仿宋" w:hAnsi="仿宋" w:eastAsia="仿宋"/>
          <w:color w:val="auto"/>
          <w:sz w:val="24"/>
          <w:highlight w:val="none"/>
        </w:rPr>
        <w:t>；</w:t>
      </w:r>
    </w:p>
    <w:p w14:paraId="01D508DB">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8. 招标代理机构的招标业务内控机制（招标业务内部管理体系）</w:t>
      </w:r>
      <w:r>
        <w:rPr>
          <w:rFonts w:hint="eastAsia" w:ascii="仿宋" w:hAnsi="仿宋" w:eastAsia="仿宋"/>
          <w:color w:val="auto"/>
          <w:sz w:val="24"/>
          <w:highlight w:val="none"/>
        </w:rPr>
        <w:t>和</w:t>
      </w:r>
      <w:r>
        <w:rPr>
          <w:rFonts w:ascii="仿宋" w:hAnsi="仿宋" w:eastAsia="仿宋"/>
          <w:color w:val="auto"/>
          <w:sz w:val="24"/>
          <w:highlight w:val="none"/>
        </w:rPr>
        <w:t>内部管理体系如ISO9001等方面</w:t>
      </w:r>
      <w:r>
        <w:rPr>
          <w:rFonts w:hint="eastAsia" w:ascii="仿宋" w:hAnsi="仿宋" w:eastAsia="仿宋"/>
          <w:color w:val="auto"/>
          <w:sz w:val="24"/>
          <w:highlight w:val="none"/>
        </w:rPr>
        <w:t>；</w:t>
      </w:r>
    </w:p>
    <w:p w14:paraId="4586EBA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9. 项目组人员情况</w:t>
      </w:r>
    </w:p>
    <w:p w14:paraId="1755D9A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10. </w:t>
      </w:r>
      <w:r>
        <w:rPr>
          <w:rFonts w:ascii="仿宋" w:hAnsi="仿宋" w:eastAsia="仿宋"/>
          <w:color w:val="auto"/>
          <w:sz w:val="24"/>
          <w:highlight w:val="none"/>
        </w:rPr>
        <w:t>营业执照复印件</w:t>
      </w:r>
      <w:r>
        <w:rPr>
          <w:rFonts w:hint="eastAsia" w:ascii="仿宋" w:hAnsi="仿宋" w:eastAsia="仿宋"/>
          <w:color w:val="auto"/>
          <w:sz w:val="24"/>
          <w:highlight w:val="none"/>
        </w:rPr>
        <w:t>；</w:t>
      </w:r>
    </w:p>
    <w:p w14:paraId="0BD9979C">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1</w:t>
      </w:r>
      <w:r>
        <w:rPr>
          <w:rFonts w:ascii="仿宋" w:hAnsi="仿宋" w:eastAsia="仿宋"/>
          <w:color w:val="auto"/>
          <w:sz w:val="24"/>
          <w:highlight w:val="none"/>
        </w:rPr>
        <w:t>. 招标代理机构认为需要的其他资料</w:t>
      </w:r>
      <w:r>
        <w:rPr>
          <w:rFonts w:hint="eastAsia" w:ascii="仿宋" w:hAnsi="仿宋" w:eastAsia="仿宋"/>
          <w:color w:val="auto"/>
          <w:sz w:val="24"/>
          <w:highlight w:val="none"/>
        </w:rPr>
        <w:t>；</w:t>
      </w:r>
    </w:p>
    <w:p w14:paraId="666968A7">
      <w:pPr>
        <w:spacing w:line="360" w:lineRule="auto"/>
        <w:rPr>
          <w:rFonts w:ascii="仿宋" w:hAnsi="仿宋" w:eastAsia="仿宋"/>
          <w:color w:val="auto"/>
          <w:sz w:val="24"/>
          <w:highlight w:val="none"/>
        </w:rPr>
      </w:pPr>
      <w:r>
        <w:rPr>
          <w:rFonts w:ascii="仿宋" w:hAnsi="仿宋" w:eastAsia="仿宋"/>
          <w:color w:val="auto"/>
          <w:sz w:val="24"/>
          <w:highlight w:val="none"/>
        </w:rPr>
        <w:t>（</w:t>
      </w:r>
      <w:r>
        <w:rPr>
          <w:rFonts w:hint="eastAsia" w:ascii="仿宋" w:hAnsi="仿宋" w:eastAsia="仿宋"/>
          <w:color w:val="auto"/>
          <w:sz w:val="24"/>
          <w:highlight w:val="none"/>
        </w:rPr>
        <w:t>三</w:t>
      </w:r>
      <w:r>
        <w:rPr>
          <w:rFonts w:ascii="仿宋" w:hAnsi="仿宋" w:eastAsia="仿宋"/>
          <w:color w:val="auto"/>
          <w:sz w:val="24"/>
          <w:highlight w:val="none"/>
        </w:rPr>
        <w:t>）投标有效期</w:t>
      </w:r>
    </w:p>
    <w:p w14:paraId="768552B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1、▲遴选响应文件从遴选响应文件递交截止之日起，有效期为90天；</w:t>
      </w:r>
    </w:p>
    <w:p w14:paraId="65192275">
      <w:pPr>
        <w:spacing w:line="360" w:lineRule="auto"/>
        <w:ind w:firstLine="480" w:firstLineChars="200"/>
        <w:rPr>
          <w:rFonts w:ascii="仿宋" w:hAnsi="仿宋" w:eastAsia="仿宋"/>
          <w:color w:val="auto"/>
          <w:sz w:val="24"/>
          <w:highlight w:val="none"/>
        </w:rPr>
      </w:pPr>
    </w:p>
    <w:p w14:paraId="52E66D61">
      <w:pPr>
        <w:spacing w:line="360" w:lineRule="auto"/>
        <w:rPr>
          <w:rFonts w:ascii="仿宋" w:hAnsi="仿宋" w:eastAsia="仿宋"/>
          <w:color w:val="auto"/>
          <w:sz w:val="24"/>
          <w:highlight w:val="none"/>
        </w:rPr>
      </w:pPr>
      <w:r>
        <w:rPr>
          <w:rFonts w:ascii="仿宋" w:hAnsi="仿宋" w:eastAsia="仿宋"/>
          <w:color w:val="auto"/>
          <w:sz w:val="24"/>
          <w:highlight w:val="none"/>
        </w:rPr>
        <w:t>（</w:t>
      </w:r>
      <w:r>
        <w:rPr>
          <w:rFonts w:hint="eastAsia" w:ascii="仿宋" w:hAnsi="仿宋" w:eastAsia="仿宋"/>
          <w:color w:val="auto"/>
          <w:sz w:val="24"/>
          <w:highlight w:val="none"/>
        </w:rPr>
        <w:t>四</w:t>
      </w:r>
      <w:r>
        <w:rPr>
          <w:rFonts w:ascii="仿宋" w:hAnsi="仿宋" w:eastAsia="仿宋"/>
          <w:color w:val="auto"/>
          <w:sz w:val="24"/>
          <w:highlight w:val="none"/>
        </w:rPr>
        <w:t>）遴选响应文件的签署及规定</w:t>
      </w:r>
    </w:p>
    <w:p w14:paraId="09DC5D8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1、每套文件均须清楚的标明“正本”、“副本”。若正本和副本有差异，以正本为准。</w:t>
      </w:r>
    </w:p>
    <w:p w14:paraId="752BAB8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2、遴选响应文件的正本需打印或用不褪色墨水书写，文件的副本可采用正本的复印件。</w:t>
      </w:r>
    </w:p>
    <w:p w14:paraId="058868E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3、任何行间插字、涂改和增删，必须由</w:t>
      </w:r>
      <w:r>
        <w:rPr>
          <w:rFonts w:hint="eastAsia" w:ascii="仿宋" w:hAnsi="仿宋" w:eastAsia="仿宋"/>
          <w:color w:val="auto"/>
          <w:sz w:val="24"/>
          <w:highlight w:val="none"/>
        </w:rPr>
        <w:t>各</w:t>
      </w:r>
      <w:r>
        <w:rPr>
          <w:rFonts w:ascii="仿宋" w:hAnsi="仿宋" w:eastAsia="仿宋"/>
          <w:color w:val="auto"/>
          <w:sz w:val="24"/>
          <w:highlight w:val="none"/>
        </w:rPr>
        <w:t>招标代理机构代表在旁边签字才有效。</w:t>
      </w:r>
    </w:p>
    <w:p w14:paraId="6437A1F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4、电报、电话、传真形式的遴选响应文件概不接受。</w:t>
      </w:r>
    </w:p>
    <w:p w14:paraId="6B2E4215">
      <w:pPr>
        <w:spacing w:line="360" w:lineRule="auto"/>
        <w:rPr>
          <w:rFonts w:ascii="仿宋" w:hAnsi="仿宋" w:eastAsia="仿宋"/>
          <w:color w:val="auto"/>
          <w:sz w:val="24"/>
          <w:highlight w:val="none"/>
        </w:rPr>
      </w:pPr>
      <w:r>
        <w:rPr>
          <w:rFonts w:ascii="仿宋" w:hAnsi="仿宋" w:eastAsia="仿宋"/>
          <w:color w:val="auto"/>
          <w:sz w:val="24"/>
          <w:highlight w:val="none"/>
        </w:rPr>
        <w:t>（</w:t>
      </w:r>
      <w:r>
        <w:rPr>
          <w:rFonts w:hint="eastAsia" w:ascii="仿宋" w:hAnsi="仿宋" w:eastAsia="仿宋"/>
          <w:color w:val="auto"/>
          <w:sz w:val="24"/>
          <w:highlight w:val="none"/>
        </w:rPr>
        <w:t>五</w:t>
      </w:r>
      <w:r>
        <w:rPr>
          <w:rFonts w:ascii="仿宋" w:hAnsi="仿宋" w:eastAsia="仿宋"/>
          <w:color w:val="auto"/>
          <w:sz w:val="24"/>
          <w:highlight w:val="none"/>
        </w:rPr>
        <w:t>）遴选响应文件的密封和标记</w:t>
      </w:r>
    </w:p>
    <w:p w14:paraId="42E0FDF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1、遴选响应文件应密封。</w:t>
      </w:r>
    </w:p>
    <w:p w14:paraId="71E4B04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2、密封包装的封面均应注明项目名称、招标代理机构名称、遴选响应文件名称。</w:t>
      </w:r>
    </w:p>
    <w:p w14:paraId="72410791">
      <w:pPr>
        <w:spacing w:line="360" w:lineRule="auto"/>
        <w:rPr>
          <w:rFonts w:ascii="仿宋" w:hAnsi="仿宋" w:eastAsia="仿宋"/>
          <w:color w:val="auto"/>
          <w:sz w:val="24"/>
          <w:highlight w:val="none"/>
        </w:rPr>
      </w:pPr>
    </w:p>
    <w:p w14:paraId="2A80AEB5">
      <w:pPr>
        <w:spacing w:line="360" w:lineRule="auto"/>
        <w:rPr>
          <w:rFonts w:ascii="仿宋" w:hAnsi="仿宋" w:eastAsia="仿宋"/>
          <w:b/>
          <w:bCs/>
          <w:color w:val="auto"/>
          <w:sz w:val="24"/>
          <w:highlight w:val="none"/>
        </w:rPr>
      </w:pPr>
      <w:r>
        <w:rPr>
          <w:rFonts w:ascii="仿宋" w:hAnsi="仿宋" w:eastAsia="仿宋"/>
          <w:b/>
          <w:bCs/>
          <w:color w:val="auto"/>
          <w:sz w:val="24"/>
          <w:highlight w:val="none"/>
        </w:rPr>
        <w:t>四、遴选响应文件的递交</w:t>
      </w:r>
    </w:p>
    <w:p w14:paraId="1470D52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（一）遴选响应文件的递交、修改和撤回</w:t>
      </w:r>
    </w:p>
    <w:p w14:paraId="3D94043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各</w:t>
      </w:r>
      <w:r>
        <w:rPr>
          <w:rFonts w:ascii="仿宋" w:hAnsi="仿宋" w:eastAsia="仿宋"/>
          <w:color w:val="auto"/>
          <w:sz w:val="24"/>
          <w:highlight w:val="none"/>
        </w:rPr>
        <w:t>招标代理机构在递交遴选响应文件后，可以修改或撤回其遴选响应文件，但招标代理机构必须在规定的递交遴选响应文件截止时间之前将修改或撤回的书面通知递交到医院。</w:t>
      </w:r>
    </w:p>
    <w:p w14:paraId="7C6284D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各</w:t>
      </w:r>
      <w:r>
        <w:rPr>
          <w:rFonts w:ascii="仿宋" w:hAnsi="仿宋" w:eastAsia="仿宋"/>
          <w:color w:val="auto"/>
          <w:sz w:val="24"/>
          <w:highlight w:val="none"/>
        </w:rPr>
        <w:t>招标代理机构修改后的遴选响应文件应按原来的规定编制、密封、标记和递交。</w:t>
      </w:r>
    </w:p>
    <w:p w14:paraId="646219E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3、在递交遴选响应文件截止期之后，</w:t>
      </w:r>
      <w:r>
        <w:rPr>
          <w:rFonts w:hint="eastAsia" w:ascii="仿宋" w:hAnsi="仿宋" w:eastAsia="仿宋"/>
          <w:color w:val="auto"/>
          <w:sz w:val="24"/>
          <w:highlight w:val="none"/>
        </w:rPr>
        <w:t>各</w:t>
      </w:r>
      <w:r>
        <w:rPr>
          <w:rFonts w:ascii="仿宋" w:hAnsi="仿宋" w:eastAsia="仿宋"/>
          <w:color w:val="auto"/>
          <w:sz w:val="24"/>
          <w:highlight w:val="none"/>
        </w:rPr>
        <w:t>招标代理机构不得对其遴选响应文件做任何修改。</w:t>
      </w:r>
    </w:p>
    <w:p w14:paraId="33F22BF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4、递交遴选响应文件截止期后，</w:t>
      </w:r>
      <w:r>
        <w:rPr>
          <w:rFonts w:hint="eastAsia" w:ascii="仿宋" w:hAnsi="仿宋" w:eastAsia="仿宋"/>
          <w:color w:val="auto"/>
          <w:sz w:val="24"/>
          <w:highlight w:val="none"/>
        </w:rPr>
        <w:t>各</w:t>
      </w:r>
      <w:r>
        <w:rPr>
          <w:rFonts w:ascii="仿宋" w:hAnsi="仿宋" w:eastAsia="仿宋"/>
          <w:color w:val="auto"/>
          <w:sz w:val="24"/>
          <w:highlight w:val="none"/>
        </w:rPr>
        <w:t>招标代理机构不得撤回其遴选响应文件，否则</w:t>
      </w:r>
      <w:r>
        <w:rPr>
          <w:rFonts w:hint="eastAsia" w:ascii="仿宋" w:hAnsi="仿宋" w:eastAsia="仿宋"/>
          <w:color w:val="auto"/>
          <w:sz w:val="24"/>
          <w:highlight w:val="none"/>
        </w:rPr>
        <w:t>将视为自动放弃竞争</w:t>
      </w:r>
      <w:r>
        <w:rPr>
          <w:rFonts w:ascii="仿宋" w:hAnsi="仿宋" w:eastAsia="仿宋"/>
          <w:color w:val="auto"/>
          <w:sz w:val="24"/>
          <w:highlight w:val="none"/>
        </w:rPr>
        <w:t>。</w:t>
      </w:r>
    </w:p>
    <w:p w14:paraId="70B3AF0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5、实质上没有响应本文件要求的遴选响应文件将被拒绝。</w:t>
      </w:r>
      <w:r>
        <w:rPr>
          <w:rFonts w:hint="eastAsia" w:ascii="仿宋" w:hAnsi="仿宋" w:eastAsia="仿宋"/>
          <w:color w:val="auto"/>
          <w:sz w:val="24"/>
          <w:highlight w:val="none"/>
        </w:rPr>
        <w:t>各</w:t>
      </w:r>
      <w:r>
        <w:rPr>
          <w:rFonts w:ascii="仿宋" w:hAnsi="仿宋" w:eastAsia="仿宋"/>
          <w:color w:val="auto"/>
          <w:sz w:val="24"/>
          <w:highlight w:val="none"/>
        </w:rPr>
        <w:t>招标代理机构不得通过修正或撤消不合要求的偏离或保留从而使其遴选响应文件成为实质上响应的文件。</w:t>
      </w:r>
    </w:p>
    <w:p w14:paraId="51C869C5">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▲（二）</w:t>
      </w:r>
      <w:r>
        <w:rPr>
          <w:rFonts w:hint="eastAsia" w:ascii="仿宋" w:hAnsi="仿宋" w:eastAsia="仿宋"/>
          <w:color w:val="auto"/>
          <w:sz w:val="24"/>
          <w:highlight w:val="none"/>
        </w:rPr>
        <w:t>报价要求</w:t>
      </w:r>
    </w:p>
    <w:p w14:paraId="3991F33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（1）招标代理服务费按采购单位委托的标项分别计取，并由各标项的中标人向代理公司支付。特殊项目如采购单位要求由采购单位支付的，则另行协商，并在采购项目的采购文件中明示。</w:t>
      </w:r>
    </w:p>
    <w:p w14:paraId="6E7A83C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为避免供应商之间恶性竞争，最终影响代理工作的质量，结合国家发展计划小组计价格【2002】1980号文《招标代理服务收费管理办法》，在收费标准基础上（以成交（中标）价为计算基数），设定有效标范围为该收费标准的80%至100%；凡低于80%或高于100%的报价均为无效。</w:t>
      </w:r>
    </w:p>
    <w:p w14:paraId="41B2C75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招标代理服务费包含实施约定范围内采购代理工作所需的全部成本及专家评审费，包含人工费用、办公费用（包括但不限于项目人员办公车辆费用、办公设备、办公场地等）、管理费用、材料费、资料费、公证费、会场费、利润、税费等；</w:t>
      </w:r>
    </w:p>
    <w:p w14:paraId="018C5E0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（4）造价咨询服务费（如有）：造价咨询服务费向招标人收取。造价咨询服务费按《浙江造价咨询收费标准》（浙价服[2009]84号）收费标准执行，提供单个项目造价咨询服务费保底收费。</w:t>
      </w:r>
    </w:p>
    <w:p w14:paraId="3C788960">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w:t>
      </w:r>
      <w:r>
        <w:rPr>
          <w:rFonts w:hint="eastAsia" w:ascii="仿宋" w:hAnsi="仿宋" w:eastAsia="仿宋"/>
          <w:color w:val="auto"/>
          <w:sz w:val="24"/>
          <w:highlight w:val="none"/>
        </w:rPr>
        <w:t>三</w:t>
      </w:r>
      <w:r>
        <w:rPr>
          <w:rFonts w:ascii="仿宋" w:hAnsi="仿宋" w:eastAsia="仿宋"/>
          <w:color w:val="auto"/>
          <w:sz w:val="24"/>
          <w:highlight w:val="none"/>
        </w:rPr>
        <w:t>）无效的遴选响应文件</w:t>
      </w:r>
      <w:r>
        <w:rPr>
          <w:rFonts w:hint="eastAsia" w:ascii="仿宋" w:hAnsi="仿宋" w:eastAsia="仿宋"/>
          <w:color w:val="auto"/>
          <w:sz w:val="24"/>
          <w:highlight w:val="none"/>
        </w:rPr>
        <w:t>（符合性审查内容）</w:t>
      </w:r>
    </w:p>
    <w:p w14:paraId="6C65DE4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发生下列情况之一的遴选响应文件被视为无效：</w:t>
      </w:r>
    </w:p>
    <w:p w14:paraId="4AA79FE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文件递交</w:t>
      </w:r>
      <w:r>
        <w:rPr>
          <w:rFonts w:ascii="仿宋" w:hAnsi="仿宋" w:eastAsia="仿宋"/>
          <w:color w:val="auto"/>
          <w:sz w:val="24"/>
          <w:highlight w:val="none"/>
        </w:rPr>
        <w:t>截止时间以后送达的遴选响应文件；</w:t>
      </w:r>
    </w:p>
    <w:p w14:paraId="38AD6F2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2、以电讯形式投标的遴选响应文件；</w:t>
      </w:r>
    </w:p>
    <w:p w14:paraId="57236C9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3、与遴选文件有重大偏离的遴选响应文件；</w:t>
      </w:r>
    </w:p>
    <w:p w14:paraId="0176959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 xml:space="preserve">、存在“▲”条款的负偏离或不满足要求； </w:t>
      </w:r>
    </w:p>
    <w:p w14:paraId="200AAFE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、资格证明文件不全，致使无法确认招标代理机构的投标资格的；</w:t>
      </w:r>
    </w:p>
    <w:p w14:paraId="0C31450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、遴选响应文件无法区分正、副本的；</w:t>
      </w:r>
    </w:p>
    <w:p w14:paraId="322CBAC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w:t>
      </w:r>
      <w:r>
        <w:rPr>
          <w:rFonts w:ascii="仿宋" w:hAnsi="仿宋" w:eastAsia="仿宋"/>
          <w:color w:val="auto"/>
          <w:sz w:val="24"/>
          <w:highlight w:val="none"/>
        </w:rPr>
        <w:t>、超出经营范围</w:t>
      </w:r>
      <w:r>
        <w:rPr>
          <w:rFonts w:hint="eastAsia" w:ascii="仿宋" w:hAnsi="仿宋" w:eastAsia="仿宋"/>
          <w:color w:val="auto"/>
          <w:sz w:val="24"/>
          <w:highlight w:val="none"/>
        </w:rPr>
        <w:t>响应</w:t>
      </w:r>
      <w:r>
        <w:rPr>
          <w:rFonts w:ascii="仿宋" w:hAnsi="仿宋" w:eastAsia="仿宋"/>
          <w:color w:val="auto"/>
          <w:sz w:val="24"/>
          <w:highlight w:val="none"/>
        </w:rPr>
        <w:t>的；</w:t>
      </w:r>
    </w:p>
    <w:p w14:paraId="41F48CE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w:t>
      </w:r>
      <w:r>
        <w:rPr>
          <w:rFonts w:ascii="仿宋" w:hAnsi="仿宋" w:eastAsia="仿宋"/>
          <w:color w:val="auto"/>
          <w:sz w:val="24"/>
          <w:highlight w:val="none"/>
        </w:rPr>
        <w:t>、其他违反法律法规规定行为的。</w:t>
      </w:r>
    </w:p>
    <w:p w14:paraId="497DD427">
      <w:pPr>
        <w:pStyle w:val="13"/>
        <w:snapToGrid w:val="0"/>
        <w:spacing w:line="360" w:lineRule="auto"/>
        <w:ind w:left="720" w:hanging="720" w:hangingChars="300"/>
        <w:rPr>
          <w:rFonts w:ascii="仿宋" w:hAnsi="仿宋" w:eastAsia="仿宋"/>
          <w:color w:val="auto"/>
          <w:sz w:val="24"/>
          <w:szCs w:val="24"/>
          <w:highlight w:val="none"/>
        </w:rPr>
      </w:pPr>
    </w:p>
    <w:p w14:paraId="7C3DDA15">
      <w:pPr>
        <w:pStyle w:val="13"/>
        <w:snapToGrid w:val="0"/>
        <w:spacing w:line="360" w:lineRule="auto"/>
        <w:ind w:left="300" w:leftChars="28" w:hanging="241" w:hangingChars="100"/>
        <w:outlineLvl w:val="1"/>
        <w:rPr>
          <w:rFonts w:hint="eastAsia" w:ascii="仿宋" w:hAnsi="仿宋" w:eastAsia="仿宋"/>
          <w:b/>
          <w:color w:val="auto"/>
          <w:sz w:val="24"/>
          <w:szCs w:val="24"/>
          <w:highlight w:val="none"/>
        </w:rPr>
      </w:pPr>
      <w:r>
        <w:rPr>
          <w:rFonts w:ascii="仿宋" w:hAnsi="仿宋" w:eastAsia="仿宋"/>
          <w:b/>
          <w:color w:val="auto"/>
          <w:sz w:val="24"/>
          <w:szCs w:val="24"/>
          <w:highlight w:val="none"/>
        </w:rPr>
        <w:t>五、评</w:t>
      </w:r>
      <w:r>
        <w:rPr>
          <w:rFonts w:hint="eastAsia" w:ascii="仿宋" w:hAnsi="仿宋" w:eastAsia="仿宋"/>
          <w:b/>
          <w:color w:val="auto"/>
          <w:sz w:val="24"/>
          <w:szCs w:val="24"/>
          <w:highlight w:val="none"/>
        </w:rPr>
        <w:t>议</w:t>
      </w:r>
    </w:p>
    <w:p w14:paraId="1F34A5F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由医院组织相关人员组成遴选评审小组，在审阅各招标代理机构遴选响应文件后，根据评分标准进行打分，得分从高到低的顺序，排名第1位的为遴选中标单位。</w:t>
      </w:r>
      <w:r>
        <w:rPr>
          <w:rFonts w:ascii="仿宋" w:hAnsi="仿宋" w:eastAsia="仿宋"/>
          <w:color w:val="auto"/>
          <w:sz w:val="24"/>
          <w:highlight w:val="none"/>
        </w:rPr>
        <w:t>具体评标内容及评分标准等详见《第</w:t>
      </w:r>
      <w:r>
        <w:rPr>
          <w:rFonts w:hint="eastAsia" w:ascii="仿宋" w:hAnsi="仿宋" w:eastAsia="仿宋"/>
          <w:color w:val="auto"/>
          <w:sz w:val="24"/>
          <w:highlight w:val="none"/>
        </w:rPr>
        <w:t>三</w:t>
      </w:r>
      <w:r>
        <w:rPr>
          <w:rFonts w:ascii="仿宋" w:hAnsi="仿宋" w:eastAsia="仿宋"/>
          <w:color w:val="auto"/>
          <w:sz w:val="24"/>
          <w:highlight w:val="none"/>
        </w:rPr>
        <w:t>章：评</w:t>
      </w:r>
      <w:r>
        <w:rPr>
          <w:rFonts w:hint="eastAsia" w:ascii="仿宋" w:hAnsi="仿宋" w:eastAsia="仿宋"/>
          <w:color w:val="auto"/>
          <w:sz w:val="24"/>
          <w:highlight w:val="none"/>
        </w:rPr>
        <w:t>定内容</w:t>
      </w:r>
      <w:r>
        <w:rPr>
          <w:rFonts w:ascii="仿宋" w:hAnsi="仿宋" w:eastAsia="仿宋"/>
          <w:color w:val="auto"/>
          <w:sz w:val="24"/>
          <w:highlight w:val="none"/>
        </w:rPr>
        <w:t>及评</w:t>
      </w:r>
      <w:r>
        <w:rPr>
          <w:rFonts w:hint="eastAsia" w:ascii="仿宋" w:hAnsi="仿宋" w:eastAsia="仿宋"/>
          <w:color w:val="auto"/>
          <w:sz w:val="24"/>
          <w:highlight w:val="none"/>
        </w:rPr>
        <w:t>标</w:t>
      </w:r>
      <w:r>
        <w:rPr>
          <w:rFonts w:ascii="仿宋" w:hAnsi="仿宋" w:eastAsia="仿宋"/>
          <w:color w:val="auto"/>
          <w:sz w:val="24"/>
          <w:highlight w:val="none"/>
        </w:rPr>
        <w:t>标准》</w:t>
      </w:r>
      <w:r>
        <w:rPr>
          <w:rFonts w:hint="eastAsia" w:ascii="仿宋" w:hAnsi="仿宋" w:eastAsia="仿宋"/>
          <w:color w:val="auto"/>
          <w:sz w:val="24"/>
          <w:highlight w:val="none"/>
        </w:rPr>
        <w:t>。</w:t>
      </w:r>
    </w:p>
    <w:p w14:paraId="4BDD49BB">
      <w:pPr>
        <w:spacing w:line="360" w:lineRule="auto"/>
        <w:rPr>
          <w:rFonts w:ascii="仿宋" w:hAnsi="仿宋" w:eastAsia="仿宋"/>
          <w:b/>
          <w:bCs/>
          <w:color w:val="auto"/>
          <w:sz w:val="24"/>
          <w:highlight w:val="none"/>
        </w:rPr>
      </w:pPr>
    </w:p>
    <w:p w14:paraId="693A01EA">
      <w:pPr>
        <w:spacing w:line="360" w:lineRule="auto"/>
        <w:rPr>
          <w:rFonts w:ascii="仿宋" w:hAnsi="仿宋" w:eastAsia="仿宋"/>
          <w:b/>
          <w:bCs/>
          <w:color w:val="auto"/>
          <w:sz w:val="24"/>
          <w:highlight w:val="none"/>
        </w:rPr>
      </w:pPr>
      <w:r>
        <w:rPr>
          <w:rFonts w:ascii="仿宋" w:hAnsi="仿宋" w:eastAsia="仿宋"/>
          <w:b/>
          <w:bCs/>
          <w:color w:val="auto"/>
          <w:sz w:val="24"/>
          <w:highlight w:val="none"/>
        </w:rPr>
        <w:t>六、授予合同</w:t>
      </w:r>
    </w:p>
    <w:p w14:paraId="7F86E04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（一）评标结果：评审小组根据评分标准进行打分，评出中标的招标代理机构。</w:t>
      </w:r>
    </w:p>
    <w:p w14:paraId="197C0CD4">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（二）中标通知和合同授予</w:t>
      </w:r>
      <w:r>
        <w:rPr>
          <w:rFonts w:hint="eastAsia" w:ascii="仿宋" w:hAnsi="仿宋" w:eastAsia="仿宋"/>
          <w:color w:val="auto"/>
          <w:sz w:val="24"/>
          <w:highlight w:val="none"/>
        </w:rPr>
        <w:t>：</w:t>
      </w:r>
      <w:r>
        <w:rPr>
          <w:rFonts w:ascii="仿宋" w:hAnsi="仿宋" w:eastAsia="仿宋"/>
          <w:color w:val="auto"/>
          <w:sz w:val="24"/>
          <w:highlight w:val="none"/>
        </w:rPr>
        <w:t>医院将以书面形式发出《中标通知书》。《中标通知书》将作为签订合同的依据。</w:t>
      </w:r>
    </w:p>
    <w:p w14:paraId="0A8F1726">
      <w:pPr>
        <w:spacing w:line="360" w:lineRule="auto"/>
        <w:rPr>
          <w:rFonts w:hint="eastAsia" w:ascii="仿宋" w:hAnsi="仿宋" w:eastAsia="仿宋"/>
          <w:color w:val="auto"/>
          <w:sz w:val="24"/>
          <w:highlight w:val="none"/>
        </w:rPr>
      </w:pPr>
    </w:p>
    <w:p w14:paraId="4C6C867F">
      <w:pPr>
        <w:spacing w:line="360" w:lineRule="auto"/>
        <w:jc w:val="center"/>
        <w:rPr>
          <w:rFonts w:hint="eastAsia" w:ascii="仿宋" w:hAnsi="仿宋" w:eastAsia="仿宋"/>
          <w:b/>
          <w:color w:val="auto"/>
          <w:sz w:val="28"/>
          <w:szCs w:val="28"/>
          <w:highlight w:val="none"/>
        </w:rPr>
      </w:pPr>
      <w:r>
        <w:rPr>
          <w:rFonts w:ascii="仿宋" w:hAnsi="仿宋" w:eastAsia="仿宋"/>
          <w:b/>
          <w:bCs/>
          <w:color w:val="auto"/>
          <w:sz w:val="32"/>
          <w:highlight w:val="none"/>
        </w:rPr>
        <w:br w:type="page"/>
      </w:r>
      <w:r>
        <w:rPr>
          <w:rFonts w:ascii="仿宋" w:hAnsi="仿宋" w:eastAsia="仿宋"/>
          <w:b/>
          <w:color w:val="auto"/>
          <w:sz w:val="28"/>
          <w:szCs w:val="28"/>
          <w:highlight w:val="none"/>
        </w:rPr>
        <w:t>第</w:t>
      </w:r>
      <w:r>
        <w:rPr>
          <w:rFonts w:hint="eastAsia" w:ascii="仿宋" w:hAnsi="仿宋" w:eastAsia="仿宋"/>
          <w:b/>
          <w:color w:val="auto"/>
          <w:sz w:val="28"/>
          <w:szCs w:val="28"/>
          <w:highlight w:val="none"/>
        </w:rPr>
        <w:t>三</w:t>
      </w:r>
      <w:r>
        <w:rPr>
          <w:rFonts w:ascii="仿宋" w:hAnsi="仿宋" w:eastAsia="仿宋"/>
          <w:b/>
          <w:color w:val="auto"/>
          <w:sz w:val="28"/>
          <w:szCs w:val="28"/>
          <w:highlight w:val="none"/>
        </w:rPr>
        <w:t>章  评定内容及评标标准</w:t>
      </w:r>
    </w:p>
    <w:p w14:paraId="2388B163">
      <w:pPr>
        <w:spacing w:line="360" w:lineRule="auto"/>
        <w:ind w:right="85" w:firstLine="480"/>
        <w:jc w:val="center"/>
        <w:rPr>
          <w:rFonts w:hint="eastAsia" w:ascii="仿宋" w:hAnsi="仿宋" w:eastAsia="仿宋"/>
          <w:b/>
          <w:bCs/>
          <w:color w:val="auto"/>
          <w:sz w:val="32"/>
          <w:szCs w:val="32"/>
          <w:highlight w:val="none"/>
        </w:rPr>
      </w:pPr>
    </w:p>
    <w:p w14:paraId="4D40DC81">
      <w:pPr>
        <w:pStyle w:val="13"/>
        <w:snapToGrid w:val="0"/>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由评审小组</w:t>
      </w:r>
      <w:r>
        <w:rPr>
          <w:rFonts w:ascii="仿宋" w:hAnsi="仿宋" w:eastAsia="仿宋"/>
          <w:color w:val="auto"/>
          <w:sz w:val="24"/>
          <w:szCs w:val="24"/>
          <w:highlight w:val="none"/>
        </w:rPr>
        <w:t>在审阅各招标代理机构遴选响应文件后，根据以下评分标准进行打分，满分为100分，得分最高的为</w:t>
      </w:r>
      <w:r>
        <w:rPr>
          <w:rFonts w:hint="eastAsia" w:ascii="仿宋" w:hAnsi="仿宋" w:eastAsia="仿宋"/>
          <w:color w:val="auto"/>
          <w:sz w:val="24"/>
          <w:szCs w:val="24"/>
          <w:highlight w:val="none"/>
        </w:rPr>
        <w:t>遴选</w:t>
      </w:r>
      <w:r>
        <w:rPr>
          <w:rFonts w:ascii="仿宋" w:hAnsi="仿宋" w:eastAsia="仿宋"/>
          <w:color w:val="auto"/>
          <w:sz w:val="24"/>
          <w:szCs w:val="24"/>
          <w:highlight w:val="none"/>
        </w:rPr>
        <w:t>中标单位。</w:t>
      </w:r>
    </w:p>
    <w:p w14:paraId="440B0BA5">
      <w:pPr>
        <w:pStyle w:val="13"/>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一、评审小组对遴选响应文件进行符合性审阅。</w:t>
      </w:r>
    </w:p>
    <w:p w14:paraId="272B5F8C">
      <w:pPr>
        <w:pStyle w:val="13"/>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二、对通过符合性检查的遴选响应文件，根据以下评标标准进行打分。</w:t>
      </w:r>
    </w:p>
    <w:p w14:paraId="3538B337">
      <w:pPr>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1、机构资质与经验（20分）</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5529"/>
        <w:gridCol w:w="1184"/>
      </w:tblGrid>
      <w:tr w14:paraId="2DACB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32AF9CD2">
            <w:pPr>
              <w:jc w:val="center"/>
              <w:rPr>
                <w:b/>
                <w:color w:val="auto"/>
                <w:sz w:val="28"/>
                <w:szCs w:val="28"/>
                <w:highlight w:val="none"/>
              </w:rPr>
            </w:pPr>
            <w:r>
              <w:rPr>
                <w:rFonts w:hint="eastAsia"/>
                <w:b/>
                <w:color w:val="auto"/>
                <w:sz w:val="28"/>
                <w:szCs w:val="28"/>
                <w:highlight w:val="none"/>
              </w:rPr>
              <w:t>评分项</w:t>
            </w:r>
          </w:p>
        </w:tc>
        <w:tc>
          <w:tcPr>
            <w:tcW w:w="5529" w:type="dxa"/>
            <w:noWrap w:val="0"/>
            <w:vAlign w:val="top"/>
          </w:tcPr>
          <w:p w14:paraId="63A49896">
            <w:pPr>
              <w:jc w:val="center"/>
              <w:rPr>
                <w:b/>
                <w:color w:val="auto"/>
                <w:sz w:val="28"/>
                <w:szCs w:val="28"/>
                <w:highlight w:val="none"/>
              </w:rPr>
            </w:pPr>
            <w:r>
              <w:rPr>
                <w:rFonts w:hint="eastAsia"/>
                <w:b/>
                <w:color w:val="auto"/>
                <w:sz w:val="28"/>
                <w:szCs w:val="28"/>
                <w:highlight w:val="none"/>
              </w:rPr>
              <w:t>评分细则</w:t>
            </w:r>
          </w:p>
        </w:tc>
        <w:tc>
          <w:tcPr>
            <w:tcW w:w="1184" w:type="dxa"/>
            <w:noWrap w:val="0"/>
            <w:vAlign w:val="top"/>
          </w:tcPr>
          <w:p w14:paraId="2044C3B3">
            <w:pPr>
              <w:jc w:val="center"/>
              <w:rPr>
                <w:b/>
                <w:color w:val="auto"/>
                <w:sz w:val="28"/>
                <w:szCs w:val="28"/>
                <w:highlight w:val="none"/>
              </w:rPr>
            </w:pPr>
            <w:r>
              <w:rPr>
                <w:rFonts w:hint="eastAsia"/>
                <w:b/>
                <w:color w:val="auto"/>
                <w:sz w:val="28"/>
                <w:szCs w:val="28"/>
                <w:highlight w:val="none"/>
              </w:rPr>
              <w:t>分值</w:t>
            </w:r>
          </w:p>
        </w:tc>
      </w:tr>
      <w:tr w14:paraId="60A1F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7043E222">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基本情况</w:t>
            </w:r>
          </w:p>
        </w:tc>
        <w:tc>
          <w:tcPr>
            <w:tcW w:w="5529" w:type="dxa"/>
            <w:noWrap w:val="0"/>
            <w:vAlign w:val="top"/>
          </w:tcPr>
          <w:p w14:paraId="5F119464">
            <w:pP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根据代理机构整体经营状况、财务状况、技术力量及提供的相关证明材料等情况综合评定，最高3分。（截止2025年1月1日）</w:t>
            </w:r>
          </w:p>
        </w:tc>
        <w:tc>
          <w:tcPr>
            <w:tcW w:w="1184" w:type="dxa"/>
            <w:noWrap w:val="0"/>
            <w:vAlign w:val="center"/>
          </w:tcPr>
          <w:p w14:paraId="71C8825C">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0-3分</w:t>
            </w:r>
          </w:p>
        </w:tc>
      </w:tr>
      <w:tr w14:paraId="083D3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2C784379">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资质认证</w:t>
            </w:r>
          </w:p>
        </w:tc>
        <w:tc>
          <w:tcPr>
            <w:tcW w:w="5529" w:type="dxa"/>
            <w:noWrap w:val="0"/>
            <w:vAlign w:val="top"/>
          </w:tcPr>
          <w:p w14:paraId="38FCEA81">
            <w:pP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1.具备政府采购代理资质：1分；</w:t>
            </w:r>
          </w:p>
          <w:p w14:paraId="63F5AEE2">
            <w:pP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2.质量管理体系认证（如ISO9001）：1分；</w:t>
            </w:r>
          </w:p>
          <w:p w14:paraId="696F9CFC">
            <w:pP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3.其他与招标代理相关的专业资质（如造价咨询、工程咨询等）：1分</w:t>
            </w:r>
          </w:p>
          <w:p w14:paraId="0223B37F">
            <w:pP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（每项需提供有效证书复印件，最高3分）  </w:t>
            </w:r>
          </w:p>
        </w:tc>
        <w:tc>
          <w:tcPr>
            <w:tcW w:w="1184" w:type="dxa"/>
            <w:noWrap w:val="0"/>
            <w:vAlign w:val="center"/>
          </w:tcPr>
          <w:p w14:paraId="2E237BDA">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0-3分</w:t>
            </w:r>
          </w:p>
        </w:tc>
      </w:tr>
      <w:tr w14:paraId="5B4A2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3106B2C7">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行业业绩</w:t>
            </w:r>
          </w:p>
        </w:tc>
        <w:tc>
          <w:tcPr>
            <w:tcW w:w="5529" w:type="dxa"/>
            <w:noWrap w:val="0"/>
            <w:vAlign w:val="top"/>
          </w:tcPr>
          <w:p w14:paraId="11C8FFB1">
            <w:pP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近3年（2022年1月1日至今）完成的招标代理项目：每提供1份有效合同或中标通知书：1分，同一业主不同年度合同不重复计分。</w:t>
            </w:r>
          </w:p>
          <w:p w14:paraId="6DE70A3B">
            <w:pP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（需提供合同关键页及项目公示截图，最高8分）</w:t>
            </w:r>
          </w:p>
        </w:tc>
        <w:tc>
          <w:tcPr>
            <w:tcW w:w="1184" w:type="dxa"/>
            <w:noWrap w:val="0"/>
            <w:vAlign w:val="center"/>
          </w:tcPr>
          <w:p w14:paraId="6195AEAE">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0-8分</w:t>
            </w:r>
          </w:p>
        </w:tc>
      </w:tr>
      <w:tr w14:paraId="3F49C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14F481AD">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认证与荣誉</w:t>
            </w:r>
          </w:p>
        </w:tc>
        <w:tc>
          <w:tcPr>
            <w:tcW w:w="5529" w:type="dxa"/>
            <w:noWrap w:val="0"/>
            <w:vAlign w:val="top"/>
          </w:tcPr>
          <w:p w14:paraId="5396D7B2">
            <w:pP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1.具备环境/职业健康安全管理体系认证：1分；</w:t>
            </w:r>
          </w:p>
          <w:p w14:paraId="213FAADC">
            <w:pP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2.获得省级及以上行业协会或政府部门颁发的招标代理相关荣誉：每个得1分，最高5分。</w:t>
            </w:r>
          </w:p>
          <w:p w14:paraId="75BC4AA9">
            <w:pP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（需提供证书或公告截图）</w:t>
            </w:r>
          </w:p>
        </w:tc>
        <w:tc>
          <w:tcPr>
            <w:tcW w:w="1184" w:type="dxa"/>
            <w:noWrap w:val="0"/>
            <w:vAlign w:val="center"/>
          </w:tcPr>
          <w:p w14:paraId="3125BB1F">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0-6分</w:t>
            </w:r>
          </w:p>
        </w:tc>
      </w:tr>
    </w:tbl>
    <w:p w14:paraId="7F805452">
      <w:pPr>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2、服务团队实力（25分）</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5529"/>
        <w:gridCol w:w="1184"/>
      </w:tblGrid>
      <w:tr w14:paraId="4C233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589B257B">
            <w:pPr>
              <w:jc w:val="center"/>
              <w:rPr>
                <w:b/>
                <w:color w:val="auto"/>
                <w:sz w:val="28"/>
                <w:szCs w:val="28"/>
                <w:highlight w:val="none"/>
              </w:rPr>
            </w:pPr>
            <w:r>
              <w:rPr>
                <w:rFonts w:hint="eastAsia"/>
                <w:b/>
                <w:color w:val="auto"/>
                <w:sz w:val="28"/>
                <w:szCs w:val="28"/>
                <w:highlight w:val="none"/>
              </w:rPr>
              <w:t>评分项</w:t>
            </w:r>
          </w:p>
        </w:tc>
        <w:tc>
          <w:tcPr>
            <w:tcW w:w="5529" w:type="dxa"/>
            <w:noWrap w:val="0"/>
            <w:vAlign w:val="top"/>
          </w:tcPr>
          <w:p w14:paraId="6E35BC3C">
            <w:pPr>
              <w:jc w:val="center"/>
              <w:rPr>
                <w:b/>
                <w:color w:val="auto"/>
                <w:sz w:val="28"/>
                <w:szCs w:val="28"/>
                <w:highlight w:val="none"/>
              </w:rPr>
            </w:pPr>
            <w:r>
              <w:rPr>
                <w:rFonts w:hint="eastAsia"/>
                <w:b/>
                <w:color w:val="auto"/>
                <w:sz w:val="28"/>
                <w:szCs w:val="28"/>
                <w:highlight w:val="none"/>
              </w:rPr>
              <w:t>评分细则</w:t>
            </w:r>
          </w:p>
        </w:tc>
        <w:tc>
          <w:tcPr>
            <w:tcW w:w="1184" w:type="dxa"/>
            <w:noWrap w:val="0"/>
            <w:vAlign w:val="top"/>
          </w:tcPr>
          <w:p w14:paraId="7D1515FC">
            <w:pPr>
              <w:jc w:val="center"/>
              <w:rPr>
                <w:b/>
                <w:color w:val="auto"/>
                <w:sz w:val="28"/>
                <w:szCs w:val="28"/>
                <w:highlight w:val="none"/>
              </w:rPr>
            </w:pPr>
            <w:r>
              <w:rPr>
                <w:rFonts w:hint="eastAsia"/>
                <w:b/>
                <w:color w:val="auto"/>
                <w:sz w:val="28"/>
                <w:szCs w:val="28"/>
                <w:highlight w:val="none"/>
              </w:rPr>
              <w:t>分值</w:t>
            </w:r>
          </w:p>
        </w:tc>
      </w:tr>
      <w:tr w14:paraId="70656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7D017AE5">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项目负责人</w:t>
            </w:r>
          </w:p>
          <w:p w14:paraId="38942A0E">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资质</w:t>
            </w:r>
          </w:p>
        </w:tc>
        <w:tc>
          <w:tcPr>
            <w:tcW w:w="5529" w:type="dxa"/>
            <w:noWrap w:val="0"/>
            <w:vAlign w:val="top"/>
          </w:tcPr>
          <w:p w14:paraId="04B00D4C">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1.具备高级工程师职称：2分；</w:t>
            </w:r>
          </w:p>
          <w:p w14:paraId="2F0FC09D">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2.具备政府采购培训证书：1分；</w:t>
            </w:r>
          </w:p>
          <w:p w14:paraId="18C19678">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3.具备注册执业资格（造价师/一级建造师/监理工程师）：1分。</w:t>
            </w:r>
          </w:p>
          <w:p w14:paraId="3151680D">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（需提供证书及近5年社保证明，最高4分）  </w:t>
            </w:r>
          </w:p>
        </w:tc>
        <w:tc>
          <w:tcPr>
            <w:tcW w:w="1184" w:type="dxa"/>
            <w:noWrap w:val="0"/>
            <w:vAlign w:val="center"/>
          </w:tcPr>
          <w:p w14:paraId="40B86B3F">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0-4分</w:t>
            </w:r>
          </w:p>
        </w:tc>
      </w:tr>
      <w:tr w14:paraId="257E4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2A1CD324">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团队人员配置</w:t>
            </w:r>
          </w:p>
        </w:tc>
        <w:tc>
          <w:tcPr>
            <w:tcW w:w="5529" w:type="dxa"/>
            <w:noWrap w:val="0"/>
            <w:vAlign w:val="top"/>
          </w:tcPr>
          <w:p w14:paraId="2A10E40E">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团队成员中每1人具备中级职称+政府采购培训证书：1分，最高5分</w:t>
            </w:r>
          </w:p>
          <w:p w14:paraId="13AD9BDC">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（需提供证书及近5年社保证明）</w:t>
            </w:r>
          </w:p>
        </w:tc>
        <w:tc>
          <w:tcPr>
            <w:tcW w:w="1184" w:type="dxa"/>
            <w:noWrap w:val="0"/>
            <w:vAlign w:val="center"/>
          </w:tcPr>
          <w:p w14:paraId="063EF084">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0-5分</w:t>
            </w:r>
          </w:p>
        </w:tc>
      </w:tr>
      <w:tr w14:paraId="3F272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0E53D23C">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人员稳定性</w:t>
            </w:r>
          </w:p>
        </w:tc>
        <w:tc>
          <w:tcPr>
            <w:tcW w:w="5529" w:type="dxa"/>
            <w:noWrap w:val="0"/>
            <w:vAlign w:val="top"/>
          </w:tcPr>
          <w:p w14:paraId="5E989720">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项目组人员近3年社保连续缴纳证明齐全：3分。</w:t>
            </w:r>
          </w:p>
          <w:p w14:paraId="457A395C">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（需提供社保证明文件）           </w:t>
            </w:r>
          </w:p>
        </w:tc>
        <w:tc>
          <w:tcPr>
            <w:tcW w:w="1184" w:type="dxa"/>
            <w:noWrap w:val="0"/>
            <w:vAlign w:val="center"/>
          </w:tcPr>
          <w:p w14:paraId="1C54711B">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0-3分</w:t>
            </w:r>
          </w:p>
        </w:tc>
      </w:tr>
      <w:tr w14:paraId="4CA68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19841676">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应急响应能力</w:t>
            </w:r>
          </w:p>
        </w:tc>
        <w:tc>
          <w:tcPr>
            <w:tcW w:w="5529" w:type="dxa"/>
            <w:noWrap w:val="0"/>
            <w:vAlign w:val="top"/>
          </w:tcPr>
          <w:p w14:paraId="5D734650">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承诺服务期内响应时间≤1小时：3分；响应时间≤2小时：1分。</w:t>
            </w:r>
          </w:p>
          <w:p w14:paraId="2C07239F">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（需书面承诺并附实施方案）</w:t>
            </w:r>
          </w:p>
        </w:tc>
        <w:tc>
          <w:tcPr>
            <w:tcW w:w="1184" w:type="dxa"/>
            <w:noWrap w:val="0"/>
            <w:vAlign w:val="center"/>
          </w:tcPr>
          <w:p w14:paraId="43BE91DC">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0-3分</w:t>
            </w:r>
          </w:p>
        </w:tc>
      </w:tr>
      <w:tr w14:paraId="18959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72C73821">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过往业绩</w:t>
            </w:r>
          </w:p>
        </w:tc>
        <w:tc>
          <w:tcPr>
            <w:tcW w:w="5529" w:type="dxa"/>
            <w:noWrap w:val="0"/>
            <w:vAlign w:val="top"/>
          </w:tcPr>
          <w:p w14:paraId="4D977A2E">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项目负责人近3年主导完成的同类项目：每提供1份得2分，最高10分。</w:t>
            </w:r>
          </w:p>
          <w:p w14:paraId="0FF98619">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（需提供合同或中标通知书，并注明负责人信息）</w:t>
            </w:r>
          </w:p>
        </w:tc>
        <w:tc>
          <w:tcPr>
            <w:tcW w:w="1184" w:type="dxa"/>
            <w:noWrap w:val="0"/>
            <w:vAlign w:val="center"/>
          </w:tcPr>
          <w:p w14:paraId="4B8ADF1B">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0-10分</w:t>
            </w:r>
          </w:p>
        </w:tc>
      </w:tr>
    </w:tbl>
    <w:p w14:paraId="57591F2C">
      <w:pPr>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3、服务方案与质量保障（30分）</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5529"/>
        <w:gridCol w:w="1184"/>
      </w:tblGrid>
      <w:tr w14:paraId="6CF49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182C2D59">
            <w:pPr>
              <w:jc w:val="center"/>
              <w:rPr>
                <w:b/>
                <w:color w:val="auto"/>
                <w:sz w:val="28"/>
                <w:szCs w:val="28"/>
                <w:highlight w:val="none"/>
              </w:rPr>
            </w:pPr>
            <w:r>
              <w:rPr>
                <w:rFonts w:hint="eastAsia"/>
                <w:b/>
                <w:color w:val="auto"/>
                <w:sz w:val="28"/>
                <w:szCs w:val="28"/>
                <w:highlight w:val="none"/>
              </w:rPr>
              <w:t>评分项</w:t>
            </w:r>
          </w:p>
        </w:tc>
        <w:tc>
          <w:tcPr>
            <w:tcW w:w="5529" w:type="dxa"/>
            <w:noWrap w:val="0"/>
            <w:vAlign w:val="top"/>
          </w:tcPr>
          <w:p w14:paraId="3B5535DF">
            <w:pPr>
              <w:jc w:val="center"/>
              <w:rPr>
                <w:b/>
                <w:color w:val="auto"/>
                <w:sz w:val="28"/>
                <w:szCs w:val="28"/>
                <w:highlight w:val="none"/>
              </w:rPr>
            </w:pPr>
            <w:r>
              <w:rPr>
                <w:rFonts w:hint="eastAsia"/>
                <w:b/>
                <w:color w:val="auto"/>
                <w:sz w:val="28"/>
                <w:szCs w:val="28"/>
                <w:highlight w:val="none"/>
              </w:rPr>
              <w:t>评分细则</w:t>
            </w:r>
          </w:p>
        </w:tc>
        <w:tc>
          <w:tcPr>
            <w:tcW w:w="1184" w:type="dxa"/>
            <w:noWrap w:val="0"/>
            <w:vAlign w:val="top"/>
          </w:tcPr>
          <w:p w14:paraId="3E5DB961">
            <w:pPr>
              <w:jc w:val="center"/>
              <w:rPr>
                <w:b/>
                <w:color w:val="auto"/>
                <w:sz w:val="28"/>
                <w:szCs w:val="28"/>
                <w:highlight w:val="none"/>
              </w:rPr>
            </w:pPr>
            <w:r>
              <w:rPr>
                <w:rFonts w:hint="eastAsia"/>
                <w:b/>
                <w:color w:val="auto"/>
                <w:sz w:val="28"/>
                <w:szCs w:val="28"/>
                <w:highlight w:val="none"/>
              </w:rPr>
              <w:t>分值</w:t>
            </w:r>
          </w:p>
        </w:tc>
      </w:tr>
      <w:tr w14:paraId="5E5BE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37AF99A3">
            <w:pPr>
              <w:jc w:val="center"/>
              <w:rPr>
                <w:rFonts w:ascii="仿宋" w:hAnsi="仿宋" w:eastAsia="仿宋"/>
                <w:color w:val="auto"/>
                <w:sz w:val="24"/>
                <w:highlight w:val="none"/>
              </w:rPr>
            </w:pPr>
            <w:r>
              <w:rPr>
                <w:rFonts w:hint="eastAsia" w:ascii="仿宋" w:hAnsi="仿宋" w:eastAsia="仿宋"/>
                <w:color w:val="auto"/>
                <w:sz w:val="24"/>
                <w:highlight w:val="none"/>
              </w:rPr>
              <w:t>服务流程设计</w:t>
            </w:r>
          </w:p>
        </w:tc>
        <w:tc>
          <w:tcPr>
            <w:tcW w:w="5529" w:type="dxa"/>
            <w:noWrap w:val="0"/>
            <w:vAlign w:val="top"/>
          </w:tcPr>
          <w:p w14:paraId="0AB212DF">
            <w:pPr>
              <w:rPr>
                <w:rFonts w:ascii="仿宋" w:hAnsi="仿宋" w:eastAsia="仿宋"/>
                <w:color w:val="auto"/>
                <w:sz w:val="24"/>
                <w:highlight w:val="none"/>
              </w:rPr>
            </w:pPr>
            <w:r>
              <w:rPr>
                <w:rFonts w:hint="eastAsia" w:ascii="仿宋" w:hAnsi="仿宋" w:eastAsia="仿宋"/>
                <w:color w:val="auto"/>
                <w:sz w:val="24"/>
                <w:highlight w:val="none"/>
              </w:rPr>
              <w:t>1.方案包含完整服务流程（需求分析、文件编制、评审组织、档案管理等）：5分；</w:t>
            </w:r>
          </w:p>
          <w:p w14:paraId="2DB5702D">
            <w:pPr>
              <w:rPr>
                <w:rFonts w:ascii="仿宋" w:hAnsi="仿宋" w:eastAsia="仿宋"/>
                <w:color w:val="auto"/>
                <w:sz w:val="24"/>
                <w:highlight w:val="none"/>
              </w:rPr>
            </w:pPr>
            <w:r>
              <w:rPr>
                <w:rFonts w:hint="eastAsia" w:ascii="仿宋" w:hAnsi="仿宋" w:eastAsia="仿宋"/>
                <w:color w:val="auto"/>
                <w:sz w:val="24"/>
                <w:highlight w:val="none"/>
              </w:rPr>
              <w:t>2.对招标难点（如技术参数、风险防控）提出针对性措施：5分。</w:t>
            </w:r>
          </w:p>
          <w:p w14:paraId="7368B2DC">
            <w:pPr>
              <w:rPr>
                <w:rFonts w:ascii="仿宋" w:hAnsi="仿宋" w:eastAsia="仿宋"/>
                <w:color w:val="auto"/>
                <w:sz w:val="24"/>
                <w:highlight w:val="none"/>
              </w:rPr>
            </w:pPr>
            <w:r>
              <w:rPr>
                <w:rFonts w:hint="eastAsia" w:ascii="仿宋" w:hAnsi="仿宋" w:eastAsia="仿宋"/>
                <w:color w:val="auto"/>
                <w:sz w:val="24"/>
                <w:highlight w:val="none"/>
              </w:rPr>
              <w:t>（横向对比评分，根据完整性和可行性分档）</w:t>
            </w:r>
          </w:p>
        </w:tc>
        <w:tc>
          <w:tcPr>
            <w:tcW w:w="1184" w:type="dxa"/>
            <w:noWrap w:val="0"/>
            <w:vAlign w:val="center"/>
          </w:tcPr>
          <w:p w14:paraId="07BB265B">
            <w:pPr>
              <w:jc w:val="center"/>
              <w:rPr>
                <w:rFonts w:ascii="仿宋" w:hAnsi="仿宋" w:eastAsia="仿宋"/>
                <w:color w:val="auto"/>
                <w:sz w:val="24"/>
                <w:highlight w:val="none"/>
              </w:rPr>
            </w:pPr>
            <w:r>
              <w:rPr>
                <w:rFonts w:hint="eastAsia" w:ascii="仿宋" w:hAnsi="仿宋" w:eastAsia="仿宋"/>
                <w:color w:val="auto"/>
                <w:sz w:val="24"/>
                <w:highlight w:val="none"/>
              </w:rPr>
              <w:t>0-10分</w:t>
            </w:r>
          </w:p>
        </w:tc>
      </w:tr>
      <w:tr w14:paraId="238C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03EDA205">
            <w:pPr>
              <w:jc w:val="center"/>
              <w:rPr>
                <w:rFonts w:ascii="仿宋" w:hAnsi="仿宋" w:eastAsia="仿宋"/>
                <w:color w:val="auto"/>
                <w:sz w:val="24"/>
                <w:highlight w:val="none"/>
              </w:rPr>
            </w:pPr>
            <w:r>
              <w:rPr>
                <w:rFonts w:hint="eastAsia" w:ascii="仿宋" w:hAnsi="仿宋" w:eastAsia="仿宋"/>
                <w:color w:val="auto"/>
                <w:sz w:val="24"/>
                <w:highlight w:val="none"/>
              </w:rPr>
              <w:t>质量控制措施</w:t>
            </w:r>
          </w:p>
        </w:tc>
        <w:tc>
          <w:tcPr>
            <w:tcW w:w="5529" w:type="dxa"/>
            <w:noWrap w:val="0"/>
            <w:vAlign w:val="top"/>
          </w:tcPr>
          <w:p w14:paraId="407CECAB">
            <w:pPr>
              <w:rPr>
                <w:rFonts w:ascii="仿宋" w:hAnsi="仿宋" w:eastAsia="仿宋"/>
                <w:color w:val="auto"/>
                <w:sz w:val="24"/>
                <w:highlight w:val="none"/>
              </w:rPr>
            </w:pPr>
            <w:r>
              <w:rPr>
                <w:rFonts w:hint="eastAsia" w:ascii="仿宋" w:hAnsi="仿宋" w:eastAsia="仿宋"/>
                <w:color w:val="auto"/>
                <w:sz w:val="24"/>
                <w:highlight w:val="none"/>
              </w:rPr>
              <w:t>1.提供招标文件编制质量审核制度：4分；</w:t>
            </w:r>
          </w:p>
          <w:p w14:paraId="6E6A0D5A">
            <w:pPr>
              <w:rPr>
                <w:rFonts w:ascii="仿宋" w:hAnsi="仿宋" w:eastAsia="仿宋"/>
                <w:color w:val="auto"/>
                <w:sz w:val="24"/>
                <w:highlight w:val="none"/>
              </w:rPr>
            </w:pPr>
            <w:r>
              <w:rPr>
                <w:rFonts w:hint="eastAsia" w:ascii="仿宋" w:hAnsi="仿宋" w:eastAsia="仿宋"/>
                <w:color w:val="auto"/>
                <w:sz w:val="24"/>
                <w:highlight w:val="none"/>
              </w:rPr>
              <w:t>2.评审过程风险防控方案（如专家回避机制）：4分；</w:t>
            </w:r>
          </w:p>
          <w:p w14:paraId="23A60085">
            <w:pPr>
              <w:rPr>
                <w:rFonts w:ascii="仿宋" w:hAnsi="仿宋" w:eastAsia="仿宋"/>
                <w:color w:val="auto"/>
                <w:sz w:val="24"/>
                <w:highlight w:val="none"/>
              </w:rPr>
            </w:pPr>
            <w:r>
              <w:rPr>
                <w:rFonts w:hint="eastAsia" w:ascii="仿宋" w:hAnsi="仿宋" w:eastAsia="仿宋"/>
                <w:color w:val="auto"/>
                <w:sz w:val="24"/>
                <w:highlight w:val="none"/>
              </w:rPr>
              <w:t>3.档案管理制度（含电子化存档）：1分。</w:t>
            </w:r>
          </w:p>
          <w:p w14:paraId="183E354C">
            <w:pPr>
              <w:rPr>
                <w:rFonts w:ascii="仿宋" w:hAnsi="仿宋" w:eastAsia="仿宋"/>
                <w:color w:val="auto"/>
                <w:sz w:val="24"/>
                <w:highlight w:val="none"/>
              </w:rPr>
            </w:pPr>
            <w:r>
              <w:rPr>
                <w:rFonts w:hint="eastAsia" w:ascii="仿宋" w:hAnsi="仿宋" w:eastAsia="仿宋"/>
                <w:color w:val="auto"/>
                <w:sz w:val="24"/>
                <w:highlight w:val="none"/>
              </w:rPr>
              <w:t xml:space="preserve">（需提供书面文件）   </w:t>
            </w:r>
          </w:p>
        </w:tc>
        <w:tc>
          <w:tcPr>
            <w:tcW w:w="1184" w:type="dxa"/>
            <w:noWrap w:val="0"/>
            <w:vAlign w:val="center"/>
          </w:tcPr>
          <w:p w14:paraId="4B151555">
            <w:pPr>
              <w:jc w:val="center"/>
              <w:rPr>
                <w:rFonts w:ascii="仿宋" w:hAnsi="仿宋" w:eastAsia="仿宋"/>
                <w:color w:val="auto"/>
                <w:sz w:val="24"/>
                <w:highlight w:val="none"/>
              </w:rPr>
            </w:pPr>
            <w:r>
              <w:rPr>
                <w:rFonts w:hint="eastAsia" w:ascii="仿宋" w:hAnsi="仿宋" w:eastAsia="仿宋"/>
                <w:color w:val="auto"/>
                <w:sz w:val="24"/>
                <w:highlight w:val="none"/>
              </w:rPr>
              <w:t>0-10分</w:t>
            </w:r>
          </w:p>
        </w:tc>
      </w:tr>
      <w:tr w14:paraId="2CA33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5CC4A21F">
            <w:pPr>
              <w:jc w:val="center"/>
              <w:rPr>
                <w:rFonts w:ascii="仿宋" w:hAnsi="仿宋" w:eastAsia="仿宋"/>
                <w:color w:val="auto"/>
                <w:sz w:val="24"/>
                <w:highlight w:val="none"/>
              </w:rPr>
            </w:pPr>
            <w:r>
              <w:rPr>
                <w:rFonts w:hint="eastAsia" w:ascii="仿宋" w:hAnsi="仿宋" w:eastAsia="仿宋"/>
                <w:color w:val="auto"/>
                <w:sz w:val="24"/>
                <w:highlight w:val="none"/>
              </w:rPr>
              <w:t>投诉与应急</w:t>
            </w:r>
          </w:p>
          <w:p w14:paraId="631A8B33">
            <w:pPr>
              <w:jc w:val="center"/>
              <w:rPr>
                <w:rFonts w:ascii="仿宋" w:hAnsi="仿宋" w:eastAsia="仿宋"/>
                <w:color w:val="auto"/>
                <w:sz w:val="24"/>
                <w:highlight w:val="none"/>
              </w:rPr>
            </w:pPr>
            <w:r>
              <w:rPr>
                <w:rFonts w:hint="eastAsia" w:ascii="仿宋" w:hAnsi="仿宋" w:eastAsia="仿宋"/>
                <w:color w:val="auto"/>
                <w:sz w:val="24"/>
                <w:highlight w:val="none"/>
              </w:rPr>
              <w:t>处理</w:t>
            </w:r>
          </w:p>
        </w:tc>
        <w:tc>
          <w:tcPr>
            <w:tcW w:w="5529" w:type="dxa"/>
            <w:noWrap w:val="0"/>
            <w:vAlign w:val="top"/>
          </w:tcPr>
          <w:p w14:paraId="4903F53C">
            <w:pPr>
              <w:rPr>
                <w:rFonts w:ascii="仿宋" w:hAnsi="仿宋" w:eastAsia="仿宋"/>
                <w:color w:val="auto"/>
                <w:sz w:val="24"/>
                <w:highlight w:val="none"/>
              </w:rPr>
            </w:pPr>
            <w:r>
              <w:rPr>
                <w:rFonts w:hint="eastAsia" w:ascii="仿宋" w:hAnsi="仿宋" w:eastAsia="仿宋"/>
                <w:color w:val="auto"/>
                <w:sz w:val="24"/>
                <w:highlight w:val="none"/>
              </w:rPr>
              <w:t>1.明确质疑投诉处理流程（含响应时间、解决措施）：3分；</w:t>
            </w:r>
          </w:p>
          <w:p w14:paraId="51CC04CF">
            <w:pPr>
              <w:rPr>
                <w:rFonts w:ascii="仿宋" w:hAnsi="仿宋" w:eastAsia="仿宋"/>
                <w:color w:val="auto"/>
                <w:sz w:val="24"/>
                <w:highlight w:val="none"/>
              </w:rPr>
            </w:pPr>
            <w:r>
              <w:rPr>
                <w:rFonts w:hint="eastAsia" w:ascii="仿宋" w:hAnsi="仿宋" w:eastAsia="仿宋"/>
                <w:color w:val="auto"/>
                <w:sz w:val="24"/>
                <w:highlight w:val="none"/>
              </w:rPr>
              <w:t>2.突发事件应急预案（如系统故障、评标延期）：2分。</w:t>
            </w:r>
          </w:p>
          <w:p w14:paraId="30F25066">
            <w:pPr>
              <w:rPr>
                <w:rFonts w:ascii="仿宋" w:hAnsi="仿宋" w:eastAsia="仿宋"/>
                <w:color w:val="auto"/>
                <w:sz w:val="24"/>
                <w:highlight w:val="none"/>
              </w:rPr>
            </w:pPr>
            <w:r>
              <w:rPr>
                <w:rFonts w:hint="eastAsia" w:ascii="仿宋" w:hAnsi="仿宋" w:eastAsia="仿宋"/>
                <w:color w:val="auto"/>
                <w:sz w:val="24"/>
                <w:highlight w:val="none"/>
              </w:rPr>
              <w:t xml:space="preserve">（需提供详细方案）           </w:t>
            </w:r>
          </w:p>
        </w:tc>
        <w:tc>
          <w:tcPr>
            <w:tcW w:w="1184" w:type="dxa"/>
            <w:noWrap w:val="0"/>
            <w:vAlign w:val="center"/>
          </w:tcPr>
          <w:p w14:paraId="54CB10EC">
            <w:pPr>
              <w:jc w:val="center"/>
              <w:rPr>
                <w:rFonts w:ascii="仿宋" w:hAnsi="仿宋" w:eastAsia="仿宋"/>
                <w:color w:val="auto"/>
                <w:sz w:val="24"/>
                <w:highlight w:val="none"/>
              </w:rPr>
            </w:pPr>
            <w:r>
              <w:rPr>
                <w:rFonts w:hint="eastAsia" w:ascii="仿宋" w:hAnsi="仿宋" w:eastAsia="仿宋"/>
                <w:color w:val="auto"/>
                <w:sz w:val="24"/>
                <w:highlight w:val="none"/>
              </w:rPr>
              <w:t>0-5分</w:t>
            </w:r>
          </w:p>
        </w:tc>
      </w:tr>
      <w:tr w14:paraId="6589A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2A1557F7">
            <w:pPr>
              <w:jc w:val="center"/>
              <w:rPr>
                <w:rFonts w:ascii="仿宋" w:hAnsi="仿宋" w:eastAsia="仿宋"/>
                <w:color w:val="auto"/>
                <w:sz w:val="24"/>
                <w:highlight w:val="none"/>
              </w:rPr>
            </w:pPr>
            <w:r>
              <w:rPr>
                <w:rFonts w:hint="eastAsia" w:ascii="仿宋" w:hAnsi="仿宋" w:eastAsia="仿宋"/>
                <w:color w:val="auto"/>
                <w:sz w:val="24"/>
                <w:highlight w:val="none"/>
              </w:rPr>
              <w:t>服务效率</w:t>
            </w:r>
          </w:p>
        </w:tc>
        <w:tc>
          <w:tcPr>
            <w:tcW w:w="5529" w:type="dxa"/>
            <w:noWrap w:val="0"/>
            <w:vAlign w:val="top"/>
          </w:tcPr>
          <w:p w14:paraId="471C4E19">
            <w:pPr>
              <w:rPr>
                <w:rFonts w:ascii="仿宋" w:hAnsi="仿宋" w:eastAsia="仿宋"/>
                <w:color w:val="auto"/>
                <w:sz w:val="24"/>
                <w:highlight w:val="none"/>
              </w:rPr>
            </w:pPr>
            <w:r>
              <w:rPr>
                <w:rFonts w:hint="eastAsia" w:ascii="仿宋" w:hAnsi="仿宋" w:eastAsia="仿宋"/>
                <w:color w:val="auto"/>
                <w:sz w:val="24"/>
                <w:highlight w:val="none"/>
              </w:rPr>
              <w:t>1.承诺招标文件编制周期≤5个工作日：3分；</w:t>
            </w:r>
          </w:p>
          <w:p w14:paraId="4F853382">
            <w:pPr>
              <w:rPr>
                <w:rFonts w:ascii="仿宋" w:hAnsi="仿宋" w:eastAsia="仿宋"/>
                <w:color w:val="auto"/>
                <w:sz w:val="24"/>
                <w:highlight w:val="none"/>
              </w:rPr>
            </w:pPr>
            <w:r>
              <w:rPr>
                <w:rFonts w:hint="eastAsia" w:ascii="仿宋" w:hAnsi="仿宋" w:eastAsia="仿宋"/>
                <w:color w:val="auto"/>
                <w:sz w:val="24"/>
                <w:highlight w:val="none"/>
              </w:rPr>
              <w:t>2.承诺全程服务周期≤30个工作日：2分。</w:t>
            </w:r>
          </w:p>
          <w:p w14:paraId="7E9B4F5F">
            <w:pPr>
              <w:rPr>
                <w:rFonts w:ascii="仿宋" w:hAnsi="仿宋" w:eastAsia="仿宋"/>
                <w:color w:val="auto"/>
                <w:sz w:val="24"/>
                <w:highlight w:val="none"/>
              </w:rPr>
            </w:pPr>
            <w:r>
              <w:rPr>
                <w:rFonts w:hint="eastAsia" w:ascii="仿宋" w:hAnsi="仿宋" w:eastAsia="仿宋"/>
                <w:color w:val="auto"/>
                <w:sz w:val="24"/>
                <w:highlight w:val="none"/>
              </w:rPr>
              <w:t xml:space="preserve">（需书面承诺并附进度计划）  </w:t>
            </w:r>
          </w:p>
        </w:tc>
        <w:tc>
          <w:tcPr>
            <w:tcW w:w="1184" w:type="dxa"/>
            <w:noWrap w:val="0"/>
            <w:vAlign w:val="center"/>
          </w:tcPr>
          <w:p w14:paraId="0503EF59">
            <w:pPr>
              <w:jc w:val="center"/>
              <w:rPr>
                <w:rFonts w:ascii="仿宋" w:hAnsi="仿宋" w:eastAsia="仿宋"/>
                <w:color w:val="auto"/>
                <w:sz w:val="24"/>
                <w:highlight w:val="none"/>
              </w:rPr>
            </w:pPr>
            <w:r>
              <w:rPr>
                <w:rFonts w:hint="eastAsia" w:ascii="仿宋" w:hAnsi="仿宋" w:eastAsia="仿宋"/>
                <w:color w:val="auto"/>
                <w:sz w:val="24"/>
                <w:highlight w:val="none"/>
              </w:rPr>
              <w:t>0-5分</w:t>
            </w:r>
          </w:p>
        </w:tc>
      </w:tr>
    </w:tbl>
    <w:p w14:paraId="1DD64BF9">
      <w:pPr>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4、价格合理性（15分）</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5529"/>
        <w:gridCol w:w="1184"/>
      </w:tblGrid>
      <w:tr w14:paraId="74B00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31BCC5AA">
            <w:pPr>
              <w:jc w:val="center"/>
              <w:rPr>
                <w:b/>
                <w:color w:val="auto"/>
                <w:sz w:val="28"/>
                <w:szCs w:val="28"/>
                <w:highlight w:val="none"/>
              </w:rPr>
            </w:pPr>
            <w:r>
              <w:rPr>
                <w:rFonts w:hint="eastAsia"/>
                <w:b/>
                <w:color w:val="auto"/>
                <w:sz w:val="28"/>
                <w:szCs w:val="28"/>
                <w:highlight w:val="none"/>
              </w:rPr>
              <w:t>评分项</w:t>
            </w:r>
          </w:p>
        </w:tc>
        <w:tc>
          <w:tcPr>
            <w:tcW w:w="5529" w:type="dxa"/>
            <w:noWrap w:val="0"/>
            <w:vAlign w:val="top"/>
          </w:tcPr>
          <w:p w14:paraId="193C26B6">
            <w:pPr>
              <w:jc w:val="center"/>
              <w:rPr>
                <w:b/>
                <w:color w:val="auto"/>
                <w:sz w:val="28"/>
                <w:szCs w:val="28"/>
                <w:highlight w:val="none"/>
              </w:rPr>
            </w:pPr>
            <w:r>
              <w:rPr>
                <w:rFonts w:hint="eastAsia"/>
                <w:b/>
                <w:color w:val="auto"/>
                <w:sz w:val="28"/>
                <w:szCs w:val="28"/>
                <w:highlight w:val="none"/>
              </w:rPr>
              <w:t>评分细则</w:t>
            </w:r>
          </w:p>
        </w:tc>
        <w:tc>
          <w:tcPr>
            <w:tcW w:w="1184" w:type="dxa"/>
            <w:noWrap w:val="0"/>
            <w:vAlign w:val="top"/>
          </w:tcPr>
          <w:p w14:paraId="31954708">
            <w:pPr>
              <w:jc w:val="center"/>
              <w:rPr>
                <w:b/>
                <w:color w:val="auto"/>
                <w:sz w:val="28"/>
                <w:szCs w:val="28"/>
                <w:highlight w:val="none"/>
              </w:rPr>
            </w:pPr>
            <w:r>
              <w:rPr>
                <w:rFonts w:hint="eastAsia"/>
                <w:b/>
                <w:color w:val="auto"/>
                <w:sz w:val="28"/>
                <w:szCs w:val="28"/>
                <w:highlight w:val="none"/>
              </w:rPr>
              <w:t>分值</w:t>
            </w:r>
          </w:p>
        </w:tc>
      </w:tr>
      <w:tr w14:paraId="7A6A8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5B707345">
            <w:pPr>
              <w:jc w:val="center"/>
              <w:rPr>
                <w:rFonts w:ascii="仿宋" w:hAnsi="仿宋" w:eastAsia="仿宋"/>
                <w:color w:val="auto"/>
                <w:sz w:val="24"/>
                <w:highlight w:val="none"/>
              </w:rPr>
            </w:pPr>
            <w:r>
              <w:rPr>
                <w:rFonts w:hint="eastAsia" w:ascii="仿宋" w:hAnsi="仿宋" w:eastAsia="仿宋"/>
                <w:color w:val="auto"/>
                <w:sz w:val="24"/>
                <w:highlight w:val="none"/>
              </w:rPr>
              <w:t>服务费用报价</w:t>
            </w:r>
          </w:p>
        </w:tc>
        <w:tc>
          <w:tcPr>
            <w:tcW w:w="5529" w:type="dxa"/>
            <w:noWrap w:val="0"/>
            <w:vAlign w:val="top"/>
          </w:tcPr>
          <w:p w14:paraId="2E4E898B">
            <w:pPr>
              <w:adjustRightInd w:val="0"/>
              <w:snapToGrid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报价以原国家计委《招标代理服务收费管理暂行办法》（计价格〔2002〕1980号）规定和国家发展改革委员会办公厅关于招标代理服务收费有关问题的通知（发改办价格〔2003〕857号）的收费标准为参照基础，投标单位在此范围内自行报价。</w:t>
            </w:r>
          </w:p>
          <w:p w14:paraId="687C8717">
            <w:pPr>
              <w:widowControl/>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1.评审基准价：若有效供应商≥5家，则全部有效报价扣除一个最高价和一个最低价后的算术平均值为评审基准价；若有效供应商＜5家，则全部有效报价的算术平均值为评审基准价；</w:t>
            </w:r>
          </w:p>
          <w:p w14:paraId="306CEF77">
            <w:pPr>
              <w:adjustRightInd w:val="0"/>
              <w:snapToGrid w:val="0"/>
              <w:rPr>
                <w:color w:val="auto"/>
                <w:highlight w:val="none"/>
              </w:rPr>
            </w:pPr>
            <w:r>
              <w:rPr>
                <w:rFonts w:hint="eastAsia" w:ascii="仿宋" w:hAnsi="仿宋" w:eastAsia="仿宋" w:cs="宋体"/>
                <w:color w:val="auto"/>
                <w:kern w:val="0"/>
                <w:sz w:val="24"/>
                <w:highlight w:val="none"/>
              </w:rPr>
              <w:t>2.有效报价小于等于评审基准价时得15分，每高于评审基准价一个百分点扣1分，扣完为止。</w:t>
            </w:r>
          </w:p>
        </w:tc>
        <w:tc>
          <w:tcPr>
            <w:tcW w:w="1184" w:type="dxa"/>
            <w:noWrap w:val="0"/>
            <w:vAlign w:val="center"/>
          </w:tcPr>
          <w:p w14:paraId="253C91F4">
            <w:pPr>
              <w:jc w:val="center"/>
              <w:rPr>
                <w:rFonts w:ascii="仿宋" w:hAnsi="仿宋" w:eastAsia="仿宋"/>
                <w:color w:val="auto"/>
                <w:sz w:val="24"/>
                <w:highlight w:val="none"/>
              </w:rPr>
            </w:pPr>
            <w:r>
              <w:rPr>
                <w:rFonts w:hint="eastAsia" w:ascii="仿宋" w:hAnsi="仿宋" w:eastAsia="仿宋"/>
                <w:color w:val="auto"/>
                <w:sz w:val="24"/>
                <w:highlight w:val="none"/>
              </w:rPr>
              <w:t>0-15分</w:t>
            </w:r>
          </w:p>
        </w:tc>
      </w:tr>
    </w:tbl>
    <w:p w14:paraId="631E156D">
      <w:pPr>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5、附加服务承诺（10分）</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5529"/>
        <w:gridCol w:w="1184"/>
      </w:tblGrid>
      <w:tr w14:paraId="30226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12E0AD75">
            <w:pPr>
              <w:jc w:val="center"/>
              <w:rPr>
                <w:b/>
                <w:color w:val="auto"/>
                <w:sz w:val="28"/>
                <w:szCs w:val="28"/>
                <w:highlight w:val="none"/>
              </w:rPr>
            </w:pPr>
            <w:r>
              <w:rPr>
                <w:rFonts w:hint="eastAsia"/>
                <w:b/>
                <w:color w:val="auto"/>
                <w:sz w:val="28"/>
                <w:szCs w:val="28"/>
                <w:highlight w:val="none"/>
              </w:rPr>
              <w:t>评分项</w:t>
            </w:r>
          </w:p>
        </w:tc>
        <w:tc>
          <w:tcPr>
            <w:tcW w:w="5529" w:type="dxa"/>
            <w:noWrap w:val="0"/>
            <w:vAlign w:val="top"/>
          </w:tcPr>
          <w:p w14:paraId="0E84A1A1">
            <w:pPr>
              <w:jc w:val="center"/>
              <w:rPr>
                <w:b/>
                <w:color w:val="auto"/>
                <w:sz w:val="28"/>
                <w:szCs w:val="28"/>
                <w:highlight w:val="none"/>
              </w:rPr>
            </w:pPr>
            <w:r>
              <w:rPr>
                <w:rFonts w:hint="eastAsia"/>
                <w:b/>
                <w:color w:val="auto"/>
                <w:sz w:val="28"/>
                <w:szCs w:val="28"/>
                <w:highlight w:val="none"/>
              </w:rPr>
              <w:t>评分细则</w:t>
            </w:r>
          </w:p>
        </w:tc>
        <w:tc>
          <w:tcPr>
            <w:tcW w:w="1184" w:type="dxa"/>
            <w:noWrap w:val="0"/>
            <w:vAlign w:val="top"/>
          </w:tcPr>
          <w:p w14:paraId="2582A968">
            <w:pPr>
              <w:jc w:val="center"/>
              <w:rPr>
                <w:b/>
                <w:color w:val="auto"/>
                <w:sz w:val="28"/>
                <w:szCs w:val="28"/>
                <w:highlight w:val="none"/>
              </w:rPr>
            </w:pPr>
            <w:r>
              <w:rPr>
                <w:rFonts w:hint="eastAsia"/>
                <w:b/>
                <w:color w:val="auto"/>
                <w:sz w:val="28"/>
                <w:szCs w:val="28"/>
                <w:highlight w:val="none"/>
              </w:rPr>
              <w:t>分值</w:t>
            </w:r>
          </w:p>
        </w:tc>
      </w:tr>
      <w:tr w14:paraId="678B8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7F284DF5">
            <w:pPr>
              <w:jc w:val="center"/>
              <w:rPr>
                <w:rFonts w:ascii="仿宋" w:hAnsi="仿宋" w:eastAsia="仿宋"/>
                <w:color w:val="auto"/>
                <w:sz w:val="24"/>
                <w:highlight w:val="none"/>
              </w:rPr>
            </w:pPr>
            <w:r>
              <w:rPr>
                <w:rFonts w:hint="eastAsia" w:ascii="仿宋" w:hAnsi="仿宋" w:eastAsia="仿宋"/>
                <w:color w:val="auto"/>
                <w:sz w:val="24"/>
                <w:highlight w:val="none"/>
              </w:rPr>
              <w:t>增值服务</w:t>
            </w:r>
          </w:p>
        </w:tc>
        <w:tc>
          <w:tcPr>
            <w:tcW w:w="5529" w:type="dxa"/>
            <w:noWrap w:val="0"/>
            <w:vAlign w:val="top"/>
          </w:tcPr>
          <w:p w14:paraId="0FEE92A1">
            <w:pPr>
              <w:rPr>
                <w:rFonts w:ascii="仿宋" w:hAnsi="仿宋" w:eastAsia="仿宋"/>
                <w:color w:val="auto"/>
                <w:sz w:val="24"/>
                <w:highlight w:val="none"/>
              </w:rPr>
            </w:pPr>
            <w:r>
              <w:rPr>
                <w:rFonts w:hint="eastAsia" w:ascii="仿宋" w:hAnsi="仿宋" w:eastAsia="仿宋"/>
                <w:color w:val="auto"/>
                <w:sz w:val="24"/>
                <w:highlight w:val="none"/>
              </w:rPr>
              <w:t>1.提供采购数据分析报告：2分；</w:t>
            </w:r>
          </w:p>
          <w:p w14:paraId="7550385A">
            <w:pPr>
              <w:rPr>
                <w:rFonts w:ascii="仿宋" w:hAnsi="仿宋" w:eastAsia="仿宋"/>
                <w:color w:val="auto"/>
                <w:sz w:val="24"/>
                <w:highlight w:val="none"/>
              </w:rPr>
            </w:pPr>
            <w:r>
              <w:rPr>
                <w:rFonts w:hint="eastAsia" w:ascii="仿宋" w:hAnsi="仿宋" w:eastAsia="仿宋"/>
                <w:color w:val="auto"/>
                <w:sz w:val="24"/>
                <w:highlight w:val="none"/>
              </w:rPr>
              <w:t>2.提供招标流程培训服务：2分；</w:t>
            </w:r>
          </w:p>
          <w:p w14:paraId="1F0BB959">
            <w:pPr>
              <w:rPr>
                <w:rFonts w:ascii="仿宋" w:hAnsi="仿宋" w:eastAsia="仿宋"/>
                <w:color w:val="auto"/>
                <w:sz w:val="24"/>
                <w:highlight w:val="none"/>
              </w:rPr>
            </w:pPr>
            <w:r>
              <w:rPr>
                <w:rFonts w:hint="eastAsia" w:ascii="仿宋" w:hAnsi="仿宋" w:eastAsia="仿宋"/>
                <w:color w:val="auto"/>
                <w:sz w:val="24"/>
                <w:highlight w:val="none"/>
              </w:rPr>
              <w:t>3.其他创新性服务（如电子化平台支持、后期履约跟踪等）：每项2分，最高6分。</w:t>
            </w:r>
          </w:p>
          <w:p w14:paraId="4198087C">
            <w:pPr>
              <w:rPr>
                <w:rFonts w:ascii="仿宋" w:hAnsi="仿宋" w:eastAsia="仿宋"/>
                <w:color w:val="auto"/>
                <w:sz w:val="24"/>
                <w:highlight w:val="none"/>
              </w:rPr>
            </w:pPr>
            <w:r>
              <w:rPr>
                <w:rFonts w:hint="eastAsia" w:ascii="仿宋" w:hAnsi="仿宋" w:eastAsia="仿宋"/>
                <w:color w:val="auto"/>
                <w:sz w:val="24"/>
                <w:highlight w:val="none"/>
              </w:rPr>
              <w:t>（需书面承诺并说明具体内容）</w:t>
            </w:r>
          </w:p>
        </w:tc>
        <w:tc>
          <w:tcPr>
            <w:tcW w:w="1184" w:type="dxa"/>
            <w:noWrap w:val="0"/>
            <w:vAlign w:val="center"/>
          </w:tcPr>
          <w:p w14:paraId="6FF2EE37">
            <w:pPr>
              <w:rPr>
                <w:rFonts w:ascii="仿宋" w:hAnsi="仿宋" w:eastAsia="仿宋"/>
                <w:color w:val="auto"/>
                <w:sz w:val="24"/>
                <w:highlight w:val="none"/>
              </w:rPr>
            </w:pPr>
            <w:r>
              <w:rPr>
                <w:rFonts w:hint="eastAsia" w:ascii="仿宋" w:hAnsi="仿宋" w:eastAsia="仿宋"/>
                <w:color w:val="auto"/>
                <w:sz w:val="24"/>
                <w:highlight w:val="none"/>
              </w:rPr>
              <w:t>0-10分</w:t>
            </w:r>
          </w:p>
        </w:tc>
      </w:tr>
    </w:tbl>
    <w:p w14:paraId="7D87E16D">
      <w:pPr>
        <w:rPr>
          <w:color w:val="auto"/>
          <w:highlight w:val="none"/>
        </w:rPr>
      </w:pPr>
    </w:p>
    <w:p w14:paraId="4C195BEF">
      <w:pPr>
        <w:spacing w:line="360" w:lineRule="auto"/>
        <w:jc w:val="center"/>
        <w:rPr>
          <w:rFonts w:ascii="仿宋" w:hAnsi="仿宋" w:eastAsia="仿宋"/>
          <w:b/>
          <w:bCs/>
          <w:color w:val="auto"/>
          <w:sz w:val="32"/>
          <w:highlight w:val="none"/>
        </w:rPr>
      </w:pPr>
      <w:r>
        <w:rPr>
          <w:rFonts w:ascii="仿宋" w:hAnsi="仿宋" w:eastAsia="仿宋"/>
          <w:b/>
          <w:bCs/>
          <w:color w:val="auto"/>
          <w:sz w:val="32"/>
          <w:highlight w:val="none"/>
        </w:rPr>
        <w:br w:type="page"/>
      </w:r>
      <w:r>
        <w:rPr>
          <w:rFonts w:ascii="仿宋" w:hAnsi="仿宋" w:eastAsia="仿宋"/>
          <w:b/>
          <w:bCs/>
          <w:color w:val="auto"/>
          <w:sz w:val="32"/>
          <w:highlight w:val="none"/>
        </w:rPr>
        <w:t>第</w:t>
      </w:r>
      <w:r>
        <w:rPr>
          <w:rFonts w:hint="eastAsia" w:ascii="仿宋" w:hAnsi="仿宋" w:eastAsia="仿宋"/>
          <w:b/>
          <w:bCs/>
          <w:color w:val="auto"/>
          <w:sz w:val="32"/>
          <w:highlight w:val="none"/>
        </w:rPr>
        <w:t>四</w:t>
      </w:r>
      <w:r>
        <w:rPr>
          <w:rFonts w:ascii="仿宋" w:hAnsi="仿宋" w:eastAsia="仿宋"/>
          <w:b/>
          <w:bCs/>
          <w:color w:val="auto"/>
          <w:sz w:val="32"/>
          <w:highlight w:val="none"/>
        </w:rPr>
        <w:t>章  合同主要条款</w:t>
      </w:r>
    </w:p>
    <w:p w14:paraId="21C9EFA5">
      <w:pPr>
        <w:spacing w:line="360" w:lineRule="auto"/>
        <w:rPr>
          <w:rFonts w:ascii="仿宋" w:hAnsi="仿宋" w:eastAsia="仿宋"/>
          <w:color w:val="auto"/>
          <w:sz w:val="24"/>
          <w:highlight w:val="none"/>
        </w:rPr>
      </w:pPr>
      <w:r>
        <w:rPr>
          <w:rFonts w:ascii="仿宋" w:hAnsi="仿宋" w:eastAsia="仿宋"/>
          <w:color w:val="auto"/>
          <w:sz w:val="24"/>
          <w:highlight w:val="none"/>
        </w:rPr>
        <w:t xml:space="preserve">甲方：   </w:t>
      </w:r>
    </w:p>
    <w:p w14:paraId="392B3559">
      <w:pPr>
        <w:spacing w:line="360" w:lineRule="auto"/>
        <w:rPr>
          <w:rFonts w:ascii="仿宋" w:hAnsi="仿宋" w:eastAsia="仿宋"/>
          <w:color w:val="auto"/>
          <w:sz w:val="24"/>
          <w:highlight w:val="none"/>
        </w:rPr>
      </w:pPr>
      <w:r>
        <w:rPr>
          <w:rFonts w:ascii="仿宋" w:hAnsi="仿宋" w:eastAsia="仿宋"/>
          <w:color w:val="auto"/>
          <w:sz w:val="24"/>
          <w:highlight w:val="none"/>
        </w:rPr>
        <w:t>乙方：</w:t>
      </w:r>
    </w:p>
    <w:p w14:paraId="12A78A67">
      <w:pPr>
        <w:spacing w:line="360" w:lineRule="auto"/>
        <w:rPr>
          <w:rFonts w:ascii="仿宋" w:hAnsi="仿宋" w:eastAsia="仿宋"/>
          <w:color w:val="auto"/>
          <w:sz w:val="24"/>
          <w:highlight w:val="none"/>
        </w:rPr>
      </w:pPr>
      <w:r>
        <w:rPr>
          <w:rFonts w:ascii="仿宋" w:hAnsi="仿宋" w:eastAsia="仿宋"/>
          <w:color w:val="auto"/>
          <w:sz w:val="24"/>
          <w:highlight w:val="none"/>
        </w:rPr>
        <w:t>一、 说  明</w:t>
      </w:r>
    </w:p>
    <w:p w14:paraId="60383D88">
      <w:pPr>
        <w:pStyle w:val="20"/>
        <w:spacing w:before="0" w:beforeAutospacing="0" w:after="0" w:afterAutospacing="0" w:line="360" w:lineRule="auto"/>
        <w:ind w:firstLine="480"/>
        <w:rPr>
          <w:rFonts w:ascii="仿宋" w:hAnsi="仿宋" w:eastAsia="仿宋"/>
          <w:color w:val="auto"/>
          <w:highlight w:val="none"/>
        </w:rPr>
      </w:pPr>
      <w:r>
        <w:rPr>
          <w:rFonts w:ascii="仿宋" w:hAnsi="仿宋" w:eastAsia="仿宋"/>
          <w:color w:val="auto"/>
          <w:highlight w:val="none"/>
        </w:rPr>
        <w:t>1．合同基本条款是指采购人（以下简称甲方）和中标人（以下简称乙方）应共同遵守的基本原则，并作为双方签约的依据。对于合同的其他条款，双方应本着互谅互让的精神协商解决。</w:t>
      </w:r>
      <w:r>
        <w:rPr>
          <w:rFonts w:ascii="仿宋" w:hAnsi="仿宋" w:eastAsia="仿宋"/>
          <w:color w:val="auto"/>
          <w:highlight w:val="none"/>
        </w:rPr>
        <w:br w:type="textWrapping"/>
      </w:r>
      <w:r>
        <w:rPr>
          <w:rFonts w:ascii="仿宋" w:hAnsi="仿宋" w:eastAsia="仿宋"/>
          <w:color w:val="auto"/>
          <w:highlight w:val="none"/>
        </w:rPr>
        <w:t xml:space="preserve">    2．制定“合同主要条款”的依据是《中华人民共和国合同法》。甲方和乙方经协商一致，达成如下协议：</w:t>
      </w:r>
    </w:p>
    <w:p w14:paraId="49C4EE25">
      <w:pPr>
        <w:spacing w:line="360" w:lineRule="auto"/>
        <w:rPr>
          <w:rFonts w:ascii="仿宋" w:hAnsi="仿宋" w:eastAsia="仿宋"/>
          <w:color w:val="auto"/>
          <w:sz w:val="24"/>
          <w:highlight w:val="none"/>
        </w:rPr>
      </w:pPr>
      <w:r>
        <w:rPr>
          <w:rFonts w:ascii="仿宋" w:hAnsi="仿宋" w:eastAsia="仿宋"/>
          <w:color w:val="auto"/>
          <w:sz w:val="24"/>
          <w:highlight w:val="none"/>
        </w:rPr>
        <w:t>　  3、从</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日至</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hint="eastAsia" w:ascii="仿宋" w:hAnsi="仿宋" w:eastAsia="仿宋"/>
          <w:color w:val="auto"/>
          <w:sz w:val="24"/>
          <w:highlight w:val="none"/>
        </w:rPr>
        <w:t>（合同期满后可续签合同一年）</w:t>
      </w:r>
      <w:r>
        <w:rPr>
          <w:rFonts w:ascii="仿宋" w:hAnsi="仿宋" w:eastAsia="仿宋"/>
          <w:color w:val="auto"/>
          <w:sz w:val="24"/>
          <w:highlight w:val="none"/>
        </w:rPr>
        <w:t>，乙方为</w:t>
      </w:r>
      <w:r>
        <w:rPr>
          <w:rFonts w:hint="eastAsia" w:ascii="仿宋" w:hAnsi="仿宋" w:eastAsia="仿宋"/>
          <w:bCs/>
          <w:color w:val="auto"/>
          <w:sz w:val="28"/>
          <w:szCs w:val="28"/>
          <w:highlight w:val="none"/>
          <w:lang w:eastAsia="zh-CN"/>
        </w:rPr>
        <w:t>杭州市</w:t>
      </w:r>
      <w:r>
        <w:rPr>
          <w:rFonts w:hint="eastAsia" w:ascii="仿宋" w:hAnsi="仿宋" w:eastAsia="仿宋"/>
          <w:bCs/>
          <w:color w:val="auto"/>
          <w:sz w:val="24"/>
          <w:szCs w:val="24"/>
          <w:highlight w:val="none"/>
          <w:lang w:eastAsia="zh-CN"/>
        </w:rPr>
        <w:t>西湖区转塘街道社区卫生服务中</w:t>
      </w:r>
      <w:r>
        <w:rPr>
          <w:rFonts w:hint="eastAsia" w:ascii="仿宋" w:hAnsi="仿宋" w:eastAsia="仿宋"/>
          <w:bCs/>
          <w:color w:val="auto"/>
          <w:sz w:val="28"/>
          <w:szCs w:val="28"/>
          <w:highlight w:val="none"/>
          <w:lang w:eastAsia="zh-CN"/>
        </w:rPr>
        <w:t>心</w:t>
      </w:r>
      <w:r>
        <w:rPr>
          <w:rFonts w:hint="eastAsia" w:ascii="仿宋" w:hAnsi="仿宋" w:eastAsia="仿宋"/>
          <w:color w:val="auto"/>
          <w:sz w:val="24"/>
          <w:highlight w:val="none"/>
        </w:rPr>
        <w:t>货物类、服务类、工程类项目（非政府集中采购项目）招标代理机构</w:t>
      </w:r>
      <w:r>
        <w:rPr>
          <w:rFonts w:ascii="仿宋" w:hAnsi="仿宋" w:eastAsia="仿宋"/>
          <w:color w:val="auto"/>
          <w:sz w:val="24"/>
          <w:highlight w:val="none"/>
        </w:rPr>
        <w:t>，必要时可延长合同期</w:t>
      </w:r>
      <w:r>
        <w:rPr>
          <w:rFonts w:hint="eastAsia" w:ascii="仿宋" w:hAnsi="仿宋" w:eastAsia="仿宋"/>
          <w:color w:val="auto"/>
          <w:sz w:val="24"/>
          <w:highlight w:val="none"/>
        </w:rPr>
        <w:t>至下次遴选</w:t>
      </w:r>
      <w:r>
        <w:rPr>
          <w:rFonts w:ascii="仿宋" w:hAnsi="仿宋" w:eastAsia="仿宋"/>
          <w:color w:val="auto"/>
          <w:sz w:val="24"/>
          <w:highlight w:val="none"/>
        </w:rPr>
        <w:t>。</w:t>
      </w:r>
    </w:p>
    <w:p w14:paraId="5C6270BD">
      <w:pPr>
        <w:spacing w:line="360" w:lineRule="auto"/>
        <w:rPr>
          <w:rFonts w:ascii="仿宋" w:hAnsi="仿宋" w:eastAsia="仿宋"/>
          <w:color w:val="auto"/>
          <w:sz w:val="24"/>
          <w:highlight w:val="none"/>
        </w:rPr>
      </w:pPr>
      <w:r>
        <w:rPr>
          <w:rFonts w:ascii="仿宋" w:hAnsi="仿宋" w:eastAsia="仿宋"/>
          <w:color w:val="auto"/>
          <w:sz w:val="24"/>
          <w:highlight w:val="none"/>
        </w:rPr>
        <w:t>　　二、甲方的权利：</w:t>
      </w:r>
    </w:p>
    <w:p w14:paraId="196F0854">
      <w:pPr>
        <w:spacing w:line="360" w:lineRule="auto"/>
        <w:rPr>
          <w:rFonts w:ascii="仿宋" w:hAnsi="仿宋" w:eastAsia="仿宋"/>
          <w:color w:val="auto"/>
          <w:sz w:val="24"/>
          <w:highlight w:val="none"/>
        </w:rPr>
      </w:pPr>
      <w:r>
        <w:rPr>
          <w:rFonts w:ascii="仿宋" w:hAnsi="仿宋" w:eastAsia="仿宋"/>
          <w:color w:val="auto"/>
          <w:sz w:val="24"/>
          <w:highlight w:val="none"/>
        </w:rPr>
        <w:t>　　（一）对乙方承诺的服务和实际提供的服务以及相关事项进行监督检查；</w:t>
      </w:r>
    </w:p>
    <w:p w14:paraId="389C1745">
      <w:pPr>
        <w:spacing w:line="360" w:lineRule="auto"/>
        <w:rPr>
          <w:rFonts w:ascii="仿宋" w:hAnsi="仿宋" w:eastAsia="仿宋"/>
          <w:color w:val="auto"/>
          <w:sz w:val="24"/>
          <w:highlight w:val="none"/>
        </w:rPr>
      </w:pPr>
      <w:r>
        <w:rPr>
          <w:rFonts w:ascii="仿宋" w:hAnsi="仿宋" w:eastAsia="仿宋"/>
          <w:color w:val="auto"/>
          <w:sz w:val="24"/>
          <w:highlight w:val="none"/>
        </w:rPr>
        <w:t>　　（二）对乙方承诺的优惠价格执行情况及招投标活动进行监督检查；</w:t>
      </w:r>
    </w:p>
    <w:p w14:paraId="747613B6">
      <w:pPr>
        <w:spacing w:line="360" w:lineRule="auto"/>
        <w:ind w:firstLine="480"/>
        <w:rPr>
          <w:rFonts w:hint="eastAsia" w:ascii="仿宋" w:hAnsi="仿宋" w:eastAsia="仿宋"/>
          <w:color w:val="auto"/>
          <w:sz w:val="24"/>
          <w:highlight w:val="none"/>
        </w:rPr>
      </w:pPr>
      <w:r>
        <w:rPr>
          <w:rFonts w:ascii="仿宋" w:hAnsi="仿宋" w:eastAsia="仿宋"/>
          <w:color w:val="auto"/>
          <w:sz w:val="24"/>
          <w:highlight w:val="none"/>
        </w:rPr>
        <w:t>（三）有权要求乙方对不符合合同的行为进行调整</w:t>
      </w:r>
      <w:r>
        <w:rPr>
          <w:rFonts w:hint="eastAsia" w:ascii="仿宋" w:hAnsi="仿宋" w:eastAsia="仿宋"/>
          <w:color w:val="auto"/>
          <w:sz w:val="24"/>
          <w:highlight w:val="none"/>
        </w:rPr>
        <w:t>；</w:t>
      </w:r>
    </w:p>
    <w:p w14:paraId="790EA2D1">
      <w:pPr>
        <w:spacing w:line="360" w:lineRule="auto"/>
        <w:ind w:firstLine="480"/>
        <w:rPr>
          <w:rFonts w:hint="eastAsia" w:ascii="仿宋" w:hAnsi="仿宋" w:eastAsia="仿宋"/>
          <w:color w:val="auto"/>
          <w:sz w:val="24"/>
          <w:highlight w:val="none"/>
        </w:rPr>
      </w:pPr>
      <w:r>
        <w:rPr>
          <w:rFonts w:ascii="仿宋" w:hAnsi="仿宋" w:eastAsia="仿宋"/>
          <w:color w:val="auto"/>
          <w:sz w:val="24"/>
          <w:highlight w:val="none"/>
        </w:rPr>
        <w:t>（</w:t>
      </w:r>
      <w:r>
        <w:rPr>
          <w:rFonts w:hint="eastAsia" w:ascii="仿宋" w:hAnsi="仿宋" w:eastAsia="仿宋"/>
          <w:color w:val="auto"/>
          <w:sz w:val="24"/>
          <w:highlight w:val="none"/>
        </w:rPr>
        <w:t>四</w:t>
      </w:r>
      <w:r>
        <w:rPr>
          <w:rFonts w:ascii="仿宋" w:hAnsi="仿宋" w:eastAsia="仿宋"/>
          <w:color w:val="auto"/>
          <w:sz w:val="24"/>
          <w:highlight w:val="none"/>
        </w:rPr>
        <w:t>）</w:t>
      </w:r>
      <w:r>
        <w:rPr>
          <w:rFonts w:hint="eastAsia" w:ascii="仿宋" w:hAnsi="仿宋" w:eastAsia="仿宋"/>
          <w:color w:val="auto"/>
          <w:sz w:val="24"/>
          <w:highlight w:val="none"/>
        </w:rPr>
        <w:t>合同期内</w:t>
      </w:r>
      <w:r>
        <w:rPr>
          <w:rFonts w:ascii="仿宋" w:hAnsi="仿宋" w:eastAsia="仿宋"/>
          <w:color w:val="auto"/>
          <w:sz w:val="24"/>
          <w:highlight w:val="none"/>
        </w:rPr>
        <w:t>甲</w:t>
      </w:r>
      <w:r>
        <w:rPr>
          <w:rFonts w:hint="eastAsia" w:ascii="仿宋" w:hAnsi="仿宋" w:eastAsia="仿宋"/>
          <w:color w:val="auto"/>
          <w:sz w:val="24"/>
          <w:highlight w:val="none"/>
        </w:rPr>
        <w:t>方保留终止合同重新遴选的权利。</w:t>
      </w:r>
      <w:bookmarkStart w:id="2" w:name="_GoBack"/>
      <w:bookmarkEnd w:id="2"/>
    </w:p>
    <w:p w14:paraId="20898E50">
      <w:pPr>
        <w:spacing w:line="360" w:lineRule="auto"/>
        <w:rPr>
          <w:rFonts w:ascii="仿宋" w:hAnsi="仿宋" w:eastAsia="仿宋"/>
          <w:color w:val="auto"/>
          <w:sz w:val="24"/>
          <w:highlight w:val="none"/>
        </w:rPr>
      </w:pPr>
      <w:r>
        <w:rPr>
          <w:rFonts w:ascii="仿宋" w:hAnsi="仿宋" w:eastAsia="仿宋"/>
          <w:color w:val="auto"/>
          <w:sz w:val="24"/>
          <w:highlight w:val="none"/>
        </w:rPr>
        <w:t>　　三、甲方的义务：</w:t>
      </w:r>
    </w:p>
    <w:p w14:paraId="72CDAC6A">
      <w:pPr>
        <w:spacing w:line="360" w:lineRule="auto"/>
        <w:rPr>
          <w:rFonts w:ascii="仿宋" w:hAnsi="仿宋" w:eastAsia="仿宋"/>
          <w:color w:val="auto"/>
          <w:sz w:val="24"/>
          <w:highlight w:val="none"/>
        </w:rPr>
      </w:pPr>
      <w:r>
        <w:rPr>
          <w:rFonts w:ascii="仿宋" w:hAnsi="仿宋" w:eastAsia="仿宋"/>
          <w:color w:val="auto"/>
          <w:sz w:val="24"/>
          <w:highlight w:val="none"/>
        </w:rPr>
        <w:t>　　（一）向乙方提供需要委托相关服务资料；</w:t>
      </w:r>
    </w:p>
    <w:p w14:paraId="7A910927">
      <w:pPr>
        <w:spacing w:line="360" w:lineRule="auto"/>
        <w:rPr>
          <w:rFonts w:ascii="仿宋" w:hAnsi="仿宋" w:eastAsia="仿宋"/>
          <w:color w:val="auto"/>
          <w:sz w:val="24"/>
          <w:highlight w:val="none"/>
        </w:rPr>
      </w:pPr>
      <w:r>
        <w:rPr>
          <w:rFonts w:ascii="仿宋" w:hAnsi="仿宋" w:eastAsia="仿宋"/>
          <w:color w:val="auto"/>
          <w:sz w:val="24"/>
          <w:highlight w:val="none"/>
        </w:rPr>
        <w:t>　　四、乙方的权利：</w:t>
      </w:r>
    </w:p>
    <w:p w14:paraId="73CEC4BE">
      <w:pPr>
        <w:spacing w:line="360" w:lineRule="auto"/>
        <w:ind w:firstLine="570"/>
        <w:rPr>
          <w:rFonts w:ascii="仿宋" w:hAnsi="仿宋" w:eastAsia="仿宋"/>
          <w:color w:val="auto"/>
          <w:sz w:val="24"/>
          <w:highlight w:val="none"/>
        </w:rPr>
      </w:pPr>
      <w:r>
        <w:rPr>
          <w:rFonts w:ascii="仿宋" w:hAnsi="仿宋" w:eastAsia="仿宋"/>
          <w:color w:val="auto"/>
          <w:sz w:val="24"/>
          <w:highlight w:val="none"/>
        </w:rPr>
        <w:t>（一）对甲方提出的超过协议规定服务范围的要求，乙方有权拒绝；</w:t>
      </w:r>
    </w:p>
    <w:p w14:paraId="0BCD931E">
      <w:pPr>
        <w:spacing w:line="360" w:lineRule="auto"/>
        <w:ind w:firstLine="570"/>
        <w:rPr>
          <w:rFonts w:ascii="仿宋" w:hAnsi="仿宋" w:eastAsia="仿宋"/>
          <w:color w:val="auto"/>
          <w:sz w:val="24"/>
          <w:highlight w:val="none"/>
        </w:rPr>
      </w:pPr>
      <w:r>
        <w:rPr>
          <w:rFonts w:ascii="仿宋" w:hAnsi="仿宋" w:eastAsia="仿宋"/>
          <w:color w:val="auto"/>
          <w:sz w:val="24"/>
          <w:highlight w:val="none"/>
        </w:rPr>
        <w:t>（二）乙方按照招标代理服务</w:t>
      </w:r>
      <w:r>
        <w:rPr>
          <w:rFonts w:hint="eastAsia" w:ascii="仿宋" w:hAnsi="仿宋" w:eastAsia="仿宋"/>
          <w:color w:val="auto"/>
          <w:sz w:val="24"/>
          <w:highlight w:val="none"/>
        </w:rPr>
        <w:t>（按</w:t>
      </w:r>
      <w:r>
        <w:rPr>
          <w:rFonts w:hint="eastAsia" w:ascii="仿宋" w:hAnsi="仿宋" w:eastAsia="仿宋" w:cs="宋体"/>
          <w:color w:val="auto"/>
          <w:kern w:val="0"/>
          <w:sz w:val="24"/>
          <w:highlight w:val="none"/>
        </w:rPr>
        <w:t>国家《招标代理服务收费管理暂行办法》（计价格[2002]1980号），发改办价格[2003]857号）</w:t>
      </w:r>
      <w:r>
        <w:rPr>
          <w:rFonts w:ascii="仿宋" w:hAnsi="仿宋" w:eastAsia="仿宋"/>
          <w:color w:val="auto"/>
          <w:sz w:val="24"/>
          <w:highlight w:val="none"/>
        </w:rPr>
        <w:t>收费标准乘以中标确定的优惠</w:t>
      </w:r>
      <w:r>
        <w:rPr>
          <w:rFonts w:hint="eastAsia" w:ascii="仿宋" w:hAnsi="仿宋" w:eastAsia="仿宋"/>
          <w:color w:val="auto"/>
          <w:sz w:val="24"/>
          <w:highlight w:val="none"/>
        </w:rPr>
        <w:t>折扣</w:t>
      </w:r>
      <w:r>
        <w:rPr>
          <w:rFonts w:ascii="仿宋" w:hAnsi="仿宋" w:eastAsia="仿宋"/>
          <w:color w:val="auto"/>
          <w:sz w:val="24"/>
          <w:highlight w:val="none"/>
        </w:rPr>
        <w:t>率向</w:t>
      </w:r>
      <w:r>
        <w:rPr>
          <w:rFonts w:hint="eastAsia" w:ascii="仿宋" w:hAnsi="仿宋" w:eastAsia="仿宋"/>
          <w:color w:val="auto"/>
          <w:sz w:val="24"/>
          <w:highlight w:val="none"/>
        </w:rPr>
        <w:t>中标人</w:t>
      </w:r>
      <w:r>
        <w:rPr>
          <w:rFonts w:ascii="仿宋" w:hAnsi="仿宋" w:eastAsia="仿宋"/>
          <w:color w:val="auto"/>
          <w:sz w:val="24"/>
          <w:highlight w:val="none"/>
        </w:rPr>
        <w:t>收取代理服务费。</w:t>
      </w:r>
    </w:p>
    <w:p w14:paraId="3893E486">
      <w:pPr>
        <w:spacing w:line="360" w:lineRule="auto"/>
        <w:rPr>
          <w:rFonts w:ascii="仿宋" w:hAnsi="仿宋" w:eastAsia="仿宋"/>
          <w:color w:val="auto"/>
          <w:sz w:val="24"/>
          <w:highlight w:val="none"/>
        </w:rPr>
      </w:pPr>
      <w:r>
        <w:rPr>
          <w:rFonts w:ascii="仿宋" w:hAnsi="仿宋" w:eastAsia="仿宋"/>
          <w:color w:val="auto"/>
          <w:sz w:val="24"/>
          <w:highlight w:val="none"/>
        </w:rPr>
        <w:t>　　　五、乙方的义务：</w:t>
      </w:r>
    </w:p>
    <w:p w14:paraId="0D3DB65F">
      <w:pPr>
        <w:spacing w:line="360" w:lineRule="auto"/>
        <w:ind w:firstLine="600"/>
        <w:rPr>
          <w:rFonts w:hint="eastAsia" w:ascii="仿宋" w:hAnsi="仿宋" w:eastAsia="仿宋"/>
          <w:color w:val="auto"/>
          <w:sz w:val="24"/>
          <w:highlight w:val="none"/>
        </w:rPr>
      </w:pPr>
      <w:r>
        <w:rPr>
          <w:rFonts w:ascii="仿宋" w:hAnsi="仿宋" w:eastAsia="仿宋"/>
          <w:color w:val="auto"/>
          <w:sz w:val="24"/>
          <w:highlight w:val="none"/>
        </w:rPr>
        <w:t>（一）在协议期内，乙方要按照本合同的规定，为</w:t>
      </w:r>
      <w:r>
        <w:rPr>
          <w:rFonts w:hint="eastAsia" w:ascii="仿宋" w:hAnsi="仿宋" w:eastAsia="仿宋"/>
          <w:bCs/>
          <w:color w:val="auto"/>
          <w:sz w:val="24"/>
          <w:highlight w:val="none"/>
          <w:lang w:eastAsia="zh-CN"/>
        </w:rPr>
        <w:t>杭州市西湖区转塘街道社区卫生服务中心</w:t>
      </w:r>
      <w:r>
        <w:rPr>
          <w:rFonts w:hint="eastAsia" w:ascii="仿宋" w:hAnsi="仿宋" w:eastAsia="仿宋"/>
          <w:color w:val="auto"/>
          <w:sz w:val="24"/>
          <w:highlight w:val="none"/>
        </w:rPr>
        <w:t>货物类、服务类、工程类项目（非政府集中采购项目）采购提供</w:t>
      </w:r>
      <w:r>
        <w:rPr>
          <w:rFonts w:ascii="仿宋" w:hAnsi="仿宋" w:eastAsia="仿宋"/>
          <w:color w:val="auto"/>
          <w:sz w:val="24"/>
          <w:highlight w:val="none"/>
        </w:rPr>
        <w:t>招标代理服务。</w:t>
      </w:r>
    </w:p>
    <w:p w14:paraId="1490CED8">
      <w:pPr>
        <w:spacing w:line="360" w:lineRule="auto"/>
        <w:ind w:firstLine="600"/>
        <w:rPr>
          <w:rFonts w:ascii="仿宋" w:hAnsi="仿宋" w:eastAsia="仿宋"/>
          <w:color w:val="auto"/>
          <w:sz w:val="24"/>
          <w:highlight w:val="none"/>
        </w:rPr>
      </w:pPr>
      <w:r>
        <w:rPr>
          <w:rFonts w:ascii="仿宋" w:hAnsi="仿宋" w:eastAsia="仿宋"/>
          <w:color w:val="auto"/>
          <w:sz w:val="24"/>
          <w:highlight w:val="none"/>
        </w:rPr>
        <w:t>（二）按照《中国人民共和国政府采购法》</w:t>
      </w:r>
      <w:r>
        <w:rPr>
          <w:rFonts w:hint="eastAsia" w:ascii="仿宋" w:hAnsi="仿宋" w:eastAsia="仿宋"/>
          <w:color w:val="auto"/>
          <w:sz w:val="24"/>
          <w:highlight w:val="none"/>
        </w:rPr>
        <w:t>等</w:t>
      </w:r>
      <w:r>
        <w:rPr>
          <w:rFonts w:ascii="仿宋" w:hAnsi="仿宋" w:eastAsia="仿宋"/>
          <w:color w:val="auto"/>
          <w:sz w:val="24"/>
          <w:highlight w:val="none"/>
        </w:rPr>
        <w:t>有关法律法规的要求，依法组织采购。</w:t>
      </w:r>
    </w:p>
    <w:p w14:paraId="05440C89">
      <w:pPr>
        <w:spacing w:line="360" w:lineRule="auto"/>
        <w:ind w:firstLine="600"/>
        <w:rPr>
          <w:rFonts w:ascii="仿宋" w:hAnsi="仿宋" w:eastAsia="仿宋"/>
          <w:color w:val="auto"/>
          <w:sz w:val="24"/>
          <w:highlight w:val="none"/>
        </w:rPr>
      </w:pPr>
      <w:r>
        <w:rPr>
          <w:rFonts w:ascii="仿宋" w:hAnsi="仿宋" w:eastAsia="仿宋"/>
          <w:color w:val="auto"/>
          <w:sz w:val="24"/>
          <w:highlight w:val="none"/>
        </w:rPr>
        <w:t>（三）按照招标代理服务的内容支付相应的招标评审费用，包括招标场地费、公证费等。</w:t>
      </w:r>
    </w:p>
    <w:p w14:paraId="4BF255DE">
      <w:pPr>
        <w:pStyle w:val="20"/>
        <w:spacing w:before="0" w:beforeAutospacing="0" w:after="0" w:afterAutospacing="0" w:line="360" w:lineRule="auto"/>
        <w:ind w:firstLine="470" w:firstLineChars="196"/>
        <w:rPr>
          <w:rFonts w:ascii="仿宋" w:hAnsi="仿宋" w:eastAsia="仿宋"/>
          <w:color w:val="auto"/>
          <w:highlight w:val="none"/>
        </w:rPr>
      </w:pPr>
      <w:r>
        <w:rPr>
          <w:rFonts w:ascii="仿宋" w:hAnsi="仿宋" w:eastAsia="仿宋"/>
          <w:bCs/>
          <w:color w:val="auto"/>
          <w:highlight w:val="none"/>
        </w:rPr>
        <w:t>六、 服务条款</w:t>
      </w:r>
    </w:p>
    <w:p w14:paraId="47783B4C">
      <w:pPr>
        <w:pStyle w:val="20"/>
        <w:spacing w:before="0" w:beforeAutospacing="0" w:after="0" w:afterAutospacing="0" w:line="360" w:lineRule="auto"/>
        <w:rPr>
          <w:rFonts w:ascii="仿宋" w:hAnsi="仿宋" w:eastAsia="仿宋"/>
          <w:color w:val="auto"/>
          <w:highlight w:val="none"/>
        </w:rPr>
      </w:pPr>
      <w:r>
        <w:rPr>
          <w:rFonts w:ascii="仿宋" w:hAnsi="仿宋" w:eastAsia="仿宋"/>
          <w:color w:val="auto"/>
          <w:highlight w:val="none"/>
        </w:rPr>
        <w:t>　　甲、乙双方应以遴选文件、遴选响应文件及</w:t>
      </w:r>
      <w:r>
        <w:rPr>
          <w:rFonts w:hint="eastAsia" w:ascii="仿宋" w:hAnsi="仿宋" w:eastAsia="仿宋"/>
          <w:color w:val="auto"/>
          <w:highlight w:val="none"/>
        </w:rPr>
        <w:t>评审小组</w:t>
      </w:r>
      <w:r>
        <w:rPr>
          <w:rFonts w:ascii="仿宋" w:hAnsi="仿宋" w:eastAsia="仿宋"/>
          <w:color w:val="auto"/>
          <w:highlight w:val="none"/>
        </w:rPr>
        <w:t>确认的服务要求、服务质量等作为本条款的基础。</w:t>
      </w:r>
    </w:p>
    <w:p w14:paraId="5BF26E36">
      <w:pPr>
        <w:pStyle w:val="20"/>
        <w:tabs>
          <w:tab w:val="right" w:pos="8312"/>
        </w:tabs>
        <w:spacing w:before="0" w:beforeAutospacing="0" w:after="0" w:afterAutospacing="0" w:line="360" w:lineRule="auto"/>
        <w:ind w:firstLine="470" w:firstLineChars="196"/>
        <w:rPr>
          <w:rFonts w:ascii="仿宋" w:hAnsi="仿宋" w:eastAsia="仿宋"/>
          <w:color w:val="auto"/>
          <w:highlight w:val="none"/>
        </w:rPr>
      </w:pPr>
      <w:r>
        <w:rPr>
          <w:rFonts w:ascii="仿宋" w:hAnsi="仿宋" w:eastAsia="仿宋"/>
          <w:bCs/>
          <w:color w:val="auto"/>
          <w:highlight w:val="none"/>
        </w:rPr>
        <w:t>七、 违约责任</w:t>
      </w:r>
      <w:r>
        <w:rPr>
          <w:rFonts w:ascii="仿宋" w:hAnsi="仿宋" w:eastAsia="仿宋"/>
          <w:bCs/>
          <w:color w:val="auto"/>
          <w:highlight w:val="none"/>
        </w:rPr>
        <w:tab/>
      </w:r>
    </w:p>
    <w:p w14:paraId="3E9423AC">
      <w:pPr>
        <w:pStyle w:val="20"/>
        <w:spacing w:before="0" w:beforeAutospacing="0" w:after="0" w:afterAutospacing="0" w:line="360" w:lineRule="auto"/>
        <w:ind w:firstLine="480" w:firstLineChars="200"/>
        <w:rPr>
          <w:rFonts w:ascii="仿宋" w:hAnsi="仿宋" w:eastAsia="仿宋"/>
          <w:color w:val="auto"/>
          <w:highlight w:val="none"/>
        </w:rPr>
      </w:pPr>
      <w:r>
        <w:rPr>
          <w:rFonts w:ascii="仿宋" w:hAnsi="仿宋" w:eastAsia="仿宋"/>
          <w:color w:val="auto"/>
          <w:highlight w:val="none"/>
        </w:rPr>
        <w:t>1．履行本合同的过程中，确因在现有水平和条件下难以克服的政策困难，导致部分或全部失败所造成的损失，风险责任由乙方全部承担。</w:t>
      </w:r>
    </w:p>
    <w:p w14:paraId="5EC921EA">
      <w:pPr>
        <w:pStyle w:val="20"/>
        <w:spacing w:before="0" w:beforeAutospacing="0" w:after="0" w:afterAutospacing="0" w:line="360" w:lineRule="auto"/>
        <w:ind w:firstLine="570"/>
        <w:rPr>
          <w:rFonts w:ascii="仿宋" w:hAnsi="仿宋" w:eastAsia="仿宋"/>
          <w:color w:val="auto"/>
          <w:highlight w:val="none"/>
        </w:rPr>
      </w:pPr>
      <w:r>
        <w:rPr>
          <w:rFonts w:ascii="仿宋" w:hAnsi="仿宋" w:eastAsia="仿宋"/>
          <w:color w:val="auto"/>
          <w:highlight w:val="none"/>
        </w:rPr>
        <w:t>2．乙方达不到项目规定的服务和服务要求，甲方有权中止合同，违约责任由乙方承担。</w:t>
      </w:r>
    </w:p>
    <w:p w14:paraId="1D86443B">
      <w:pPr>
        <w:pStyle w:val="20"/>
        <w:spacing w:before="0" w:beforeAutospacing="0" w:after="0" w:afterAutospacing="0" w:line="360" w:lineRule="auto"/>
        <w:ind w:firstLine="570"/>
        <w:rPr>
          <w:rFonts w:ascii="仿宋" w:hAnsi="仿宋" w:eastAsia="仿宋"/>
          <w:color w:val="auto"/>
          <w:highlight w:val="none"/>
        </w:rPr>
      </w:pPr>
      <w:r>
        <w:rPr>
          <w:rFonts w:ascii="仿宋" w:hAnsi="仿宋" w:eastAsia="仿宋"/>
          <w:color w:val="auto"/>
          <w:highlight w:val="none"/>
        </w:rPr>
        <w:t>3．乙方不得向供应商收取高出中标确定的优惠率所计收的代理服务费，如发现高收的，甲方有权终止合同，违约责任由乙方承担。</w:t>
      </w:r>
    </w:p>
    <w:p w14:paraId="4C208E59">
      <w:pPr>
        <w:pStyle w:val="20"/>
        <w:spacing w:before="0" w:beforeAutospacing="0" w:after="0" w:afterAutospacing="0" w:line="360" w:lineRule="auto"/>
        <w:ind w:firstLine="360" w:firstLineChars="150"/>
        <w:rPr>
          <w:rFonts w:ascii="仿宋" w:hAnsi="仿宋" w:eastAsia="仿宋"/>
          <w:color w:val="auto"/>
          <w:highlight w:val="none"/>
        </w:rPr>
      </w:pPr>
      <w:r>
        <w:rPr>
          <w:rFonts w:ascii="仿宋" w:hAnsi="仿宋" w:eastAsia="仿宋"/>
          <w:bCs/>
          <w:color w:val="auto"/>
          <w:highlight w:val="none"/>
        </w:rPr>
        <w:t>八、 不可抗力事件处理</w:t>
      </w:r>
    </w:p>
    <w:p w14:paraId="58E64C68">
      <w:pPr>
        <w:pStyle w:val="20"/>
        <w:spacing w:before="0" w:beforeAutospacing="0" w:after="0" w:afterAutospacing="0" w:line="360" w:lineRule="auto"/>
        <w:ind w:firstLine="570"/>
        <w:rPr>
          <w:rFonts w:ascii="仿宋" w:hAnsi="仿宋" w:eastAsia="仿宋"/>
          <w:color w:val="auto"/>
          <w:highlight w:val="none"/>
        </w:rPr>
      </w:pPr>
      <w:r>
        <w:rPr>
          <w:rFonts w:ascii="仿宋" w:hAnsi="仿宋" w:eastAsia="仿宋"/>
          <w:color w:val="auto"/>
          <w:highlight w:val="none"/>
        </w:rPr>
        <w:t>1．在执行合同期限内，任何一方因不可抗力事件所至不能履行合同，则合同履行期可延长，延长期与不可抗力影响期相同。</w:t>
      </w:r>
    </w:p>
    <w:p w14:paraId="07B34AC4">
      <w:pPr>
        <w:pStyle w:val="20"/>
        <w:spacing w:before="0" w:beforeAutospacing="0" w:after="0" w:afterAutospacing="0" w:line="360" w:lineRule="auto"/>
        <w:ind w:firstLine="570"/>
        <w:rPr>
          <w:rFonts w:ascii="仿宋" w:hAnsi="仿宋" w:eastAsia="仿宋"/>
          <w:color w:val="auto"/>
          <w:highlight w:val="none"/>
        </w:rPr>
      </w:pPr>
      <w:r>
        <w:rPr>
          <w:rFonts w:ascii="仿宋" w:hAnsi="仿宋" w:eastAsia="仿宋"/>
          <w:color w:val="auto"/>
          <w:highlight w:val="none"/>
        </w:rPr>
        <w:t>2．不可抗力事件发生后，应立即通知对方，并寄送有关权威机构出具的证明。</w:t>
      </w:r>
    </w:p>
    <w:p w14:paraId="5A71D718">
      <w:pPr>
        <w:pStyle w:val="20"/>
        <w:spacing w:before="0" w:beforeAutospacing="0" w:after="0" w:afterAutospacing="0" w:line="360" w:lineRule="auto"/>
        <w:ind w:firstLine="570"/>
        <w:rPr>
          <w:rFonts w:ascii="仿宋" w:hAnsi="仿宋" w:eastAsia="仿宋"/>
          <w:color w:val="auto"/>
          <w:highlight w:val="none"/>
        </w:rPr>
      </w:pPr>
      <w:r>
        <w:rPr>
          <w:rFonts w:ascii="仿宋" w:hAnsi="仿宋" w:eastAsia="仿宋"/>
          <w:color w:val="auto"/>
          <w:highlight w:val="none"/>
        </w:rPr>
        <w:t>3．不可抗力事件延续</w:t>
      </w:r>
      <w:r>
        <w:rPr>
          <w:rFonts w:hint="eastAsia" w:ascii="仿宋" w:hAnsi="仿宋" w:eastAsia="仿宋"/>
          <w:color w:val="auto"/>
          <w:highlight w:val="none"/>
          <w:u w:val="single"/>
        </w:rPr>
        <w:t>6</w:t>
      </w:r>
      <w:r>
        <w:rPr>
          <w:rFonts w:ascii="仿宋" w:hAnsi="仿宋" w:eastAsia="仿宋"/>
          <w:color w:val="auto"/>
          <w:highlight w:val="none"/>
        </w:rPr>
        <w:t>天以上，双方应通过友好协商，确定是否继续履行合同。</w:t>
      </w:r>
    </w:p>
    <w:p w14:paraId="4AB0D9A7">
      <w:pPr>
        <w:pStyle w:val="20"/>
        <w:spacing w:before="0" w:beforeAutospacing="0" w:after="0" w:afterAutospacing="0" w:line="360" w:lineRule="auto"/>
        <w:ind w:firstLine="480" w:firstLineChars="200"/>
        <w:rPr>
          <w:rFonts w:ascii="仿宋" w:hAnsi="仿宋" w:eastAsia="仿宋"/>
          <w:color w:val="auto"/>
          <w:highlight w:val="none"/>
        </w:rPr>
      </w:pPr>
      <w:r>
        <w:rPr>
          <w:rFonts w:ascii="仿宋" w:hAnsi="仿宋" w:eastAsia="仿宋"/>
          <w:bCs/>
          <w:color w:val="auto"/>
          <w:highlight w:val="none"/>
        </w:rPr>
        <w:t>九、 仲裁</w:t>
      </w:r>
    </w:p>
    <w:p w14:paraId="1D1DC3E0">
      <w:pPr>
        <w:pStyle w:val="20"/>
        <w:spacing w:before="0" w:beforeAutospacing="0" w:after="0" w:afterAutospacing="0" w:line="360" w:lineRule="auto"/>
        <w:rPr>
          <w:rFonts w:ascii="仿宋" w:hAnsi="仿宋" w:eastAsia="仿宋"/>
          <w:color w:val="auto"/>
          <w:highlight w:val="none"/>
        </w:rPr>
      </w:pPr>
      <w:r>
        <w:rPr>
          <w:rFonts w:ascii="仿宋" w:hAnsi="仿宋" w:eastAsia="仿宋"/>
          <w:color w:val="auto"/>
          <w:highlight w:val="none"/>
        </w:rPr>
        <w:t>　　双方在执行合同中所发生的一切争议，应通过协商解决。如协商不成，应向</w:t>
      </w:r>
      <w:r>
        <w:rPr>
          <w:rFonts w:hint="eastAsia" w:ascii="仿宋" w:hAnsi="仿宋" w:eastAsia="仿宋"/>
          <w:color w:val="auto"/>
          <w:highlight w:val="none"/>
        </w:rPr>
        <w:t>杭州仲裁委员会申请</w:t>
      </w:r>
      <w:r>
        <w:rPr>
          <w:rFonts w:ascii="仿宋" w:hAnsi="仿宋" w:eastAsia="仿宋"/>
          <w:color w:val="auto"/>
          <w:highlight w:val="none"/>
        </w:rPr>
        <w:t>仲裁。</w:t>
      </w:r>
    </w:p>
    <w:p w14:paraId="32554FFA">
      <w:pPr>
        <w:pStyle w:val="20"/>
        <w:spacing w:before="0" w:beforeAutospacing="0" w:after="0" w:afterAutospacing="0" w:line="360" w:lineRule="auto"/>
        <w:ind w:firstLine="480" w:firstLineChars="200"/>
        <w:rPr>
          <w:rFonts w:ascii="仿宋" w:hAnsi="仿宋" w:eastAsia="仿宋"/>
          <w:bCs/>
          <w:color w:val="auto"/>
          <w:highlight w:val="none"/>
        </w:rPr>
      </w:pPr>
      <w:r>
        <w:rPr>
          <w:rFonts w:ascii="仿宋" w:hAnsi="仿宋" w:eastAsia="仿宋"/>
          <w:bCs/>
          <w:color w:val="auto"/>
          <w:highlight w:val="none"/>
        </w:rPr>
        <w:t>十、 合同生效及其他</w:t>
      </w:r>
    </w:p>
    <w:p w14:paraId="2D05A44B">
      <w:pPr>
        <w:pStyle w:val="20"/>
        <w:spacing w:before="0" w:beforeAutospacing="0" w:after="0" w:afterAutospacing="0" w:line="360" w:lineRule="auto"/>
        <w:ind w:firstLine="615"/>
        <w:rPr>
          <w:rFonts w:ascii="仿宋" w:hAnsi="仿宋" w:eastAsia="仿宋"/>
          <w:color w:val="auto"/>
          <w:highlight w:val="none"/>
        </w:rPr>
      </w:pPr>
      <w:r>
        <w:rPr>
          <w:rFonts w:ascii="仿宋" w:hAnsi="仿宋" w:eastAsia="仿宋"/>
          <w:color w:val="auto"/>
          <w:highlight w:val="none"/>
        </w:rPr>
        <w:t>合同经双方签字并加盖公章后生效。本合同一式</w:t>
      </w:r>
      <w:r>
        <w:rPr>
          <w:rFonts w:hint="eastAsia" w:ascii="仿宋" w:hAnsi="仿宋" w:eastAsia="仿宋"/>
          <w:color w:val="auto"/>
          <w:highlight w:val="none"/>
        </w:rPr>
        <w:t>陆</w:t>
      </w:r>
      <w:r>
        <w:rPr>
          <w:rFonts w:ascii="仿宋" w:hAnsi="仿宋" w:eastAsia="仿宋"/>
          <w:color w:val="auto"/>
          <w:highlight w:val="none"/>
        </w:rPr>
        <w:t>份，甲方、乙方各</w:t>
      </w:r>
      <w:r>
        <w:rPr>
          <w:rFonts w:hint="eastAsia" w:ascii="仿宋" w:hAnsi="仿宋" w:eastAsia="仿宋"/>
          <w:color w:val="auto"/>
          <w:highlight w:val="none"/>
        </w:rPr>
        <w:t>叁</w:t>
      </w:r>
      <w:r>
        <w:rPr>
          <w:rFonts w:ascii="仿宋" w:hAnsi="仿宋" w:eastAsia="仿宋"/>
          <w:color w:val="auto"/>
          <w:highlight w:val="none"/>
        </w:rPr>
        <w:t>份。</w:t>
      </w:r>
    </w:p>
    <w:p w14:paraId="09F94D20">
      <w:pPr>
        <w:spacing w:line="360" w:lineRule="auto"/>
        <w:rPr>
          <w:rFonts w:ascii="仿宋" w:hAnsi="仿宋" w:eastAsia="仿宋"/>
          <w:color w:val="auto"/>
          <w:sz w:val="24"/>
          <w:highlight w:val="none"/>
        </w:rPr>
      </w:pPr>
      <w:r>
        <w:rPr>
          <w:rFonts w:ascii="仿宋" w:hAnsi="仿宋" w:eastAsia="仿宋"/>
          <w:color w:val="auto"/>
          <w:sz w:val="24"/>
          <w:highlight w:val="none"/>
        </w:rPr>
        <w:t>　　甲方单位名称（章）：　　　乙方单位名称（章）：</w:t>
      </w:r>
    </w:p>
    <w:p w14:paraId="1DB74009">
      <w:pPr>
        <w:spacing w:line="360" w:lineRule="auto"/>
        <w:rPr>
          <w:rFonts w:ascii="仿宋" w:hAnsi="仿宋" w:eastAsia="仿宋"/>
          <w:color w:val="auto"/>
          <w:sz w:val="24"/>
          <w:highlight w:val="none"/>
        </w:rPr>
      </w:pPr>
      <w:r>
        <w:rPr>
          <w:rFonts w:ascii="仿宋" w:hAnsi="仿宋" w:eastAsia="仿宋"/>
          <w:color w:val="auto"/>
          <w:sz w:val="24"/>
          <w:highlight w:val="none"/>
        </w:rPr>
        <w:t>　　单位地址：　　　　　　　　单位地址：</w:t>
      </w:r>
    </w:p>
    <w:p w14:paraId="7B7682B3">
      <w:pPr>
        <w:spacing w:line="360" w:lineRule="auto"/>
        <w:rPr>
          <w:rFonts w:ascii="仿宋" w:hAnsi="仿宋" w:eastAsia="仿宋"/>
          <w:color w:val="auto"/>
          <w:sz w:val="24"/>
          <w:highlight w:val="none"/>
        </w:rPr>
      </w:pPr>
      <w:r>
        <w:rPr>
          <w:rFonts w:ascii="仿宋" w:hAnsi="仿宋" w:eastAsia="仿宋"/>
          <w:color w:val="auto"/>
          <w:sz w:val="24"/>
          <w:highlight w:val="none"/>
        </w:rPr>
        <w:t>　　法人代表：　　　　　　　　法人代表：</w:t>
      </w:r>
    </w:p>
    <w:p w14:paraId="4CA95F70">
      <w:pPr>
        <w:spacing w:line="360" w:lineRule="auto"/>
        <w:rPr>
          <w:rFonts w:ascii="仿宋" w:hAnsi="仿宋" w:eastAsia="仿宋"/>
          <w:color w:val="auto"/>
          <w:sz w:val="24"/>
          <w:highlight w:val="none"/>
        </w:rPr>
      </w:pPr>
      <w:r>
        <w:rPr>
          <w:rFonts w:ascii="仿宋" w:hAnsi="仿宋" w:eastAsia="仿宋"/>
          <w:color w:val="auto"/>
          <w:sz w:val="24"/>
          <w:highlight w:val="none"/>
        </w:rPr>
        <w:t>　　电    话：　　　　　　　　电    话：</w:t>
      </w:r>
    </w:p>
    <w:p w14:paraId="4AC4B8D4">
      <w:pPr>
        <w:spacing w:line="360" w:lineRule="auto"/>
        <w:rPr>
          <w:rFonts w:ascii="仿宋" w:hAnsi="仿宋" w:eastAsia="仿宋"/>
          <w:color w:val="auto"/>
          <w:sz w:val="28"/>
          <w:highlight w:val="none"/>
        </w:rPr>
      </w:pPr>
      <w:r>
        <w:rPr>
          <w:rFonts w:ascii="仿宋" w:hAnsi="仿宋" w:eastAsia="仿宋"/>
          <w:color w:val="auto"/>
          <w:sz w:val="24"/>
          <w:highlight w:val="none"/>
        </w:rPr>
        <w:t>　　日期：　年　月　日　　　　日期：　年　月　日</w:t>
      </w:r>
    </w:p>
    <w:p w14:paraId="57883483">
      <w:pPr>
        <w:snapToGrid w:val="0"/>
        <w:spacing w:line="360" w:lineRule="auto"/>
        <w:jc w:val="center"/>
        <w:rPr>
          <w:rFonts w:ascii="仿宋" w:hAnsi="仿宋" w:eastAsia="仿宋"/>
          <w:b/>
          <w:bCs/>
          <w:color w:val="auto"/>
          <w:sz w:val="32"/>
          <w:highlight w:val="none"/>
        </w:rPr>
      </w:pPr>
      <w:r>
        <w:rPr>
          <w:rFonts w:ascii="仿宋" w:hAnsi="仿宋" w:eastAsia="仿宋"/>
          <w:b/>
          <w:bCs/>
          <w:color w:val="auto"/>
          <w:sz w:val="32"/>
          <w:highlight w:val="none"/>
        </w:rPr>
        <w:br w:type="page"/>
      </w:r>
      <w:r>
        <w:rPr>
          <w:rFonts w:ascii="仿宋" w:hAnsi="仿宋" w:eastAsia="仿宋"/>
          <w:b/>
          <w:bCs/>
          <w:color w:val="auto"/>
          <w:sz w:val="32"/>
          <w:highlight w:val="none"/>
        </w:rPr>
        <w:t>第</w:t>
      </w:r>
      <w:r>
        <w:rPr>
          <w:rFonts w:hint="eastAsia" w:ascii="仿宋" w:hAnsi="仿宋" w:eastAsia="仿宋"/>
          <w:b/>
          <w:bCs/>
          <w:color w:val="auto"/>
          <w:sz w:val="32"/>
          <w:highlight w:val="none"/>
        </w:rPr>
        <w:t>五</w:t>
      </w:r>
      <w:r>
        <w:rPr>
          <w:rFonts w:ascii="仿宋" w:hAnsi="仿宋" w:eastAsia="仿宋"/>
          <w:b/>
          <w:bCs/>
          <w:color w:val="auto"/>
          <w:sz w:val="32"/>
          <w:highlight w:val="none"/>
        </w:rPr>
        <w:t xml:space="preserve">章  </w:t>
      </w:r>
      <w:r>
        <w:rPr>
          <w:rFonts w:ascii="仿宋" w:hAnsi="仿宋" w:eastAsia="仿宋"/>
          <w:b/>
          <w:color w:val="auto"/>
          <w:sz w:val="32"/>
          <w:highlight w:val="none"/>
        </w:rPr>
        <w:t>附件</w:t>
      </w:r>
    </w:p>
    <w:p w14:paraId="5B0E813C">
      <w:pPr>
        <w:snapToGrid w:val="0"/>
        <w:spacing w:line="360" w:lineRule="auto"/>
        <w:ind w:firstLine="420"/>
        <w:jc w:val="center"/>
        <w:rPr>
          <w:rFonts w:ascii="仿宋" w:hAnsi="仿宋" w:eastAsia="仿宋"/>
          <w:b/>
          <w:bCs/>
          <w:color w:val="auto"/>
          <w:sz w:val="32"/>
          <w:highlight w:val="none"/>
        </w:rPr>
      </w:pPr>
    </w:p>
    <w:p w14:paraId="3A820C1C">
      <w:pPr>
        <w:snapToGrid w:val="0"/>
        <w:spacing w:line="360" w:lineRule="auto"/>
        <w:rPr>
          <w:rFonts w:ascii="仿宋" w:hAnsi="仿宋" w:eastAsia="仿宋"/>
          <w:b/>
          <w:bCs/>
          <w:color w:val="auto"/>
          <w:sz w:val="28"/>
          <w:szCs w:val="28"/>
          <w:highlight w:val="none"/>
        </w:rPr>
      </w:pPr>
      <w:r>
        <w:rPr>
          <w:rFonts w:ascii="仿宋" w:hAnsi="仿宋" w:eastAsia="仿宋"/>
          <w:b/>
          <w:bCs/>
          <w:color w:val="auto"/>
          <w:sz w:val="28"/>
          <w:szCs w:val="28"/>
          <w:highlight w:val="none"/>
        </w:rPr>
        <w:t>遴选响应文件部分格式</w:t>
      </w:r>
    </w:p>
    <w:p w14:paraId="15F0A381">
      <w:pPr>
        <w:spacing w:line="360" w:lineRule="auto"/>
        <w:jc w:val="center"/>
        <w:rPr>
          <w:rFonts w:ascii="仿宋" w:hAnsi="仿宋" w:eastAsia="仿宋"/>
          <w:b/>
          <w:color w:val="auto"/>
          <w:sz w:val="32"/>
          <w:highlight w:val="none"/>
        </w:rPr>
      </w:pPr>
      <w:r>
        <w:rPr>
          <w:rFonts w:ascii="仿宋" w:hAnsi="仿宋" w:eastAsia="仿宋"/>
          <w:b/>
          <w:color w:val="auto"/>
          <w:sz w:val="28"/>
          <w:szCs w:val="28"/>
          <w:highlight w:val="none"/>
        </w:rPr>
        <w:t xml:space="preserve">格式一  </w:t>
      </w:r>
      <w:r>
        <w:rPr>
          <w:rFonts w:hint="eastAsia" w:ascii="仿宋" w:hAnsi="仿宋" w:eastAsia="仿宋"/>
          <w:b/>
          <w:color w:val="auto"/>
          <w:sz w:val="28"/>
          <w:szCs w:val="28"/>
          <w:highlight w:val="none"/>
        </w:rPr>
        <w:t>响应</w:t>
      </w:r>
      <w:r>
        <w:rPr>
          <w:rFonts w:ascii="仿宋" w:hAnsi="仿宋" w:eastAsia="仿宋"/>
          <w:b/>
          <w:color w:val="auto"/>
          <w:sz w:val="28"/>
          <w:szCs w:val="28"/>
          <w:highlight w:val="none"/>
        </w:rPr>
        <w:t>函</w:t>
      </w:r>
    </w:p>
    <w:p w14:paraId="0825E4B4">
      <w:pPr>
        <w:ind w:left="540" w:leftChars="257" w:firstLine="2688" w:firstLineChars="960"/>
        <w:rPr>
          <w:rFonts w:ascii="仿宋" w:hAnsi="仿宋" w:eastAsia="仿宋"/>
          <w:color w:val="auto"/>
          <w:sz w:val="28"/>
          <w:szCs w:val="28"/>
          <w:highlight w:val="none"/>
        </w:rPr>
      </w:pPr>
    </w:p>
    <w:p w14:paraId="5F34E4F9">
      <w:pPr>
        <w:spacing w:line="480" w:lineRule="auto"/>
        <w:jc w:val="left"/>
        <w:rPr>
          <w:rFonts w:hint="eastAsia" w:ascii="仿宋" w:hAnsi="仿宋" w:eastAsia="仿宋"/>
          <w:color w:val="auto"/>
          <w:sz w:val="28"/>
          <w:szCs w:val="28"/>
          <w:highlight w:val="none"/>
          <w:lang w:eastAsia="zh-CN"/>
        </w:rPr>
      </w:pPr>
      <w:r>
        <w:rPr>
          <w:rFonts w:ascii="仿宋" w:hAnsi="仿宋" w:eastAsia="仿宋"/>
          <w:b/>
          <w:color w:val="auto"/>
          <w:sz w:val="28"/>
          <w:szCs w:val="28"/>
          <w:highlight w:val="none"/>
        </w:rPr>
        <w:t>致：</w:t>
      </w:r>
      <w:r>
        <w:rPr>
          <w:rFonts w:hint="eastAsia" w:ascii="仿宋" w:hAnsi="仿宋" w:eastAsia="仿宋"/>
          <w:b/>
          <w:color w:val="auto"/>
          <w:sz w:val="28"/>
          <w:szCs w:val="28"/>
          <w:highlight w:val="none"/>
          <w:lang w:eastAsia="zh-CN"/>
        </w:rPr>
        <w:t>杭州市西湖区转塘街道社区卫生服务中心</w:t>
      </w:r>
    </w:p>
    <w:p w14:paraId="2DCF7D48">
      <w:pPr>
        <w:spacing w:line="48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(招标代理机构全称)授权</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（全名、职务）为全权代表，参加贵方组织</w:t>
      </w:r>
      <w:r>
        <w:rPr>
          <w:rFonts w:hint="eastAsia" w:ascii="仿宋" w:hAnsi="仿宋" w:eastAsia="仿宋"/>
          <w:b/>
          <w:color w:val="auto"/>
          <w:sz w:val="28"/>
          <w:szCs w:val="28"/>
          <w:highlight w:val="none"/>
          <w:lang w:eastAsia="zh-CN"/>
        </w:rPr>
        <w:t>杭州市西湖区转塘街道社区卫生服务中心</w:t>
      </w:r>
      <w:r>
        <w:rPr>
          <w:rFonts w:hint="eastAsia" w:ascii="仿宋" w:hAnsi="仿宋" w:eastAsia="仿宋"/>
          <w:b/>
          <w:color w:val="auto"/>
          <w:sz w:val="28"/>
          <w:szCs w:val="28"/>
          <w:highlight w:val="none"/>
        </w:rPr>
        <w:t>2025年年度</w:t>
      </w:r>
      <w:r>
        <w:rPr>
          <w:rFonts w:ascii="仿宋" w:hAnsi="仿宋" w:eastAsia="仿宋"/>
          <w:color w:val="auto"/>
          <w:sz w:val="28"/>
          <w:szCs w:val="28"/>
          <w:highlight w:val="none"/>
        </w:rPr>
        <w:t>招标代理服务</w:t>
      </w:r>
      <w:r>
        <w:rPr>
          <w:rFonts w:hint="eastAsia" w:ascii="仿宋" w:hAnsi="仿宋" w:eastAsia="仿宋"/>
          <w:color w:val="auto"/>
          <w:sz w:val="28"/>
          <w:szCs w:val="28"/>
          <w:highlight w:val="none"/>
        </w:rPr>
        <w:t>机构遴选</w:t>
      </w:r>
      <w:r>
        <w:rPr>
          <w:rFonts w:ascii="仿宋" w:hAnsi="仿宋" w:eastAsia="仿宋"/>
          <w:color w:val="auto"/>
          <w:sz w:val="28"/>
          <w:szCs w:val="28"/>
          <w:highlight w:val="none"/>
        </w:rPr>
        <w:t>，为此：</w:t>
      </w:r>
    </w:p>
    <w:p w14:paraId="08F67F86">
      <w:pPr>
        <w:spacing w:line="480" w:lineRule="auto"/>
        <w:jc w:val="left"/>
        <w:rPr>
          <w:rFonts w:hint="eastAsia" w:ascii="仿宋" w:hAnsi="仿宋" w:eastAsia="仿宋"/>
          <w:color w:val="auto"/>
          <w:sz w:val="28"/>
          <w:szCs w:val="28"/>
          <w:highlight w:val="none"/>
        </w:rPr>
      </w:pPr>
      <w:r>
        <w:rPr>
          <w:rFonts w:ascii="仿宋" w:hAnsi="仿宋" w:eastAsia="仿宋"/>
          <w:color w:val="auto"/>
          <w:sz w:val="28"/>
          <w:szCs w:val="28"/>
          <w:highlight w:val="none"/>
        </w:rPr>
        <w:t>1、提供遴选文件中规定须提交的所有内容。</w:t>
      </w:r>
    </w:p>
    <w:p w14:paraId="3F053FFD">
      <w:pPr>
        <w:spacing w:line="480" w:lineRule="auto"/>
        <w:jc w:val="left"/>
        <w:rPr>
          <w:rFonts w:hint="eastAsia" w:ascii="仿宋" w:hAnsi="仿宋" w:eastAsia="仿宋"/>
          <w:color w:val="auto"/>
          <w:kern w:val="0"/>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kern w:val="0"/>
          <w:sz w:val="28"/>
          <w:szCs w:val="28"/>
          <w:highlight w:val="none"/>
        </w:rPr>
        <w:t>本响应文件有效期为自响应文件递交之日起</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个日历日。</w:t>
      </w:r>
    </w:p>
    <w:p w14:paraId="55129A2D">
      <w:pPr>
        <w:spacing w:line="480" w:lineRule="auto"/>
        <w:jc w:val="left"/>
        <w:rPr>
          <w:rFonts w:hint="eastAsia" w:ascii="仿宋" w:hAnsi="仿宋" w:eastAsia="仿宋"/>
          <w:color w:val="auto"/>
          <w:sz w:val="28"/>
          <w:szCs w:val="28"/>
          <w:highlight w:val="none"/>
        </w:rPr>
      </w:pPr>
      <w:r>
        <w:rPr>
          <w:rFonts w:hint="eastAsia" w:ascii="仿宋" w:hAnsi="仿宋" w:eastAsia="仿宋"/>
          <w:color w:val="auto"/>
          <w:kern w:val="0"/>
          <w:sz w:val="28"/>
          <w:szCs w:val="28"/>
          <w:highlight w:val="none"/>
        </w:rPr>
        <w:t>3、</w:t>
      </w:r>
      <w:r>
        <w:rPr>
          <w:rFonts w:ascii="仿宋" w:hAnsi="仿宋" w:eastAsia="仿宋"/>
          <w:color w:val="auto"/>
          <w:sz w:val="28"/>
          <w:szCs w:val="28"/>
          <w:highlight w:val="none"/>
        </w:rPr>
        <w:t>若</w:t>
      </w:r>
      <w:r>
        <w:rPr>
          <w:rFonts w:hint="eastAsia" w:ascii="仿宋" w:hAnsi="仿宋" w:eastAsia="仿宋"/>
          <w:color w:val="auto"/>
          <w:sz w:val="28"/>
          <w:szCs w:val="28"/>
          <w:highlight w:val="none"/>
        </w:rPr>
        <w:t>遴选成功</w:t>
      </w:r>
      <w:r>
        <w:rPr>
          <w:rFonts w:ascii="仿宋" w:hAnsi="仿宋" w:eastAsia="仿宋"/>
          <w:color w:val="auto"/>
          <w:sz w:val="28"/>
          <w:szCs w:val="28"/>
          <w:highlight w:val="none"/>
        </w:rPr>
        <w:t>，我方将按遴选文件规定履行合同责任和义务。</w:t>
      </w:r>
    </w:p>
    <w:p w14:paraId="12F595B5">
      <w:pPr>
        <w:spacing w:line="48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4、</w:t>
      </w:r>
      <w:r>
        <w:rPr>
          <w:rFonts w:ascii="仿宋" w:hAnsi="仿宋" w:eastAsia="仿宋"/>
          <w:color w:val="auto"/>
          <w:sz w:val="28"/>
          <w:szCs w:val="28"/>
          <w:highlight w:val="none"/>
        </w:rPr>
        <w:t>我方同意提供按照贵方的要求的一切数据或资料，并保证其真实性、合法性。</w:t>
      </w:r>
    </w:p>
    <w:p w14:paraId="3FBB896F">
      <w:pPr>
        <w:spacing w:line="480" w:lineRule="auto"/>
        <w:jc w:val="left"/>
        <w:rPr>
          <w:rFonts w:ascii="仿宋" w:hAnsi="仿宋" w:eastAsia="仿宋"/>
          <w:color w:val="auto"/>
          <w:sz w:val="28"/>
          <w:szCs w:val="28"/>
          <w:highlight w:val="none"/>
        </w:rPr>
      </w:pPr>
      <w:r>
        <w:rPr>
          <w:rFonts w:ascii="仿宋" w:hAnsi="仿宋" w:eastAsia="仿宋"/>
          <w:color w:val="auto"/>
          <w:sz w:val="28"/>
          <w:szCs w:val="28"/>
          <w:highlight w:val="none"/>
        </w:rPr>
        <w:t>5、我方与本次</w:t>
      </w:r>
      <w:r>
        <w:rPr>
          <w:rFonts w:hint="eastAsia" w:ascii="仿宋" w:hAnsi="仿宋" w:eastAsia="仿宋"/>
          <w:color w:val="auto"/>
          <w:sz w:val="28"/>
          <w:szCs w:val="28"/>
          <w:highlight w:val="none"/>
        </w:rPr>
        <w:t>遴选</w:t>
      </w:r>
      <w:r>
        <w:rPr>
          <w:rFonts w:ascii="仿宋" w:hAnsi="仿宋" w:eastAsia="仿宋"/>
          <w:color w:val="auto"/>
          <w:sz w:val="28"/>
          <w:szCs w:val="28"/>
          <w:highlight w:val="none"/>
        </w:rPr>
        <w:t>有关的一切正式来往通讯请寄：</w:t>
      </w:r>
    </w:p>
    <w:p w14:paraId="61E7900B">
      <w:pPr>
        <w:spacing w:line="480" w:lineRule="auto"/>
        <w:jc w:val="left"/>
        <w:rPr>
          <w:rFonts w:hint="eastAsia" w:ascii="仿宋" w:hAnsi="仿宋" w:eastAsia="仿宋" w:cs="Times New Roman"/>
          <w:color w:val="auto"/>
          <w:sz w:val="28"/>
          <w:szCs w:val="28"/>
          <w:highlight w:val="none"/>
        </w:rPr>
      </w:pPr>
      <w:r>
        <w:rPr>
          <w:rFonts w:ascii="仿宋" w:hAnsi="仿宋" w:eastAsia="仿宋"/>
          <w:color w:val="auto"/>
          <w:sz w:val="28"/>
          <w:szCs w:val="28"/>
          <w:highlight w:val="none"/>
        </w:rPr>
        <w:t>地址：</w:t>
      </w:r>
      <w:r>
        <w:rPr>
          <w:rFonts w:hint="eastAsia" w:ascii="仿宋" w:hAnsi="仿宋" w:eastAsia="仿宋" w:cs="Times New Roman"/>
          <w:color w:val="auto"/>
          <w:sz w:val="28"/>
          <w:szCs w:val="28"/>
          <w:highlight w:val="none"/>
        </w:rPr>
        <w:t>杭州市西湖区转塘街道洙泗路118号</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rPr>
        <w:t>楼</w:t>
      </w:r>
      <w:r>
        <w:rPr>
          <w:rFonts w:hint="eastAsia" w:ascii="仿宋" w:hAnsi="仿宋" w:eastAsia="仿宋" w:cs="Times New Roman"/>
          <w:color w:val="auto"/>
          <w:sz w:val="28"/>
          <w:szCs w:val="28"/>
          <w:highlight w:val="none"/>
          <w:lang w:val="en-US" w:eastAsia="zh-CN"/>
        </w:rPr>
        <w:t>517</w:t>
      </w:r>
      <w:r>
        <w:rPr>
          <w:rFonts w:hint="eastAsia" w:ascii="仿宋" w:hAnsi="仿宋" w:eastAsia="仿宋" w:cs="Times New Roman"/>
          <w:color w:val="auto"/>
          <w:sz w:val="28"/>
          <w:szCs w:val="28"/>
          <w:highlight w:val="none"/>
        </w:rPr>
        <w:t>室</w:t>
      </w:r>
    </w:p>
    <w:p w14:paraId="2E64EDBE">
      <w:pPr>
        <w:spacing w:line="480" w:lineRule="auto"/>
        <w:ind w:firstLine="840" w:firstLineChars="300"/>
        <w:jc w:val="left"/>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邮编：3100</w:t>
      </w:r>
      <w:r>
        <w:rPr>
          <w:rFonts w:hint="eastAsia" w:ascii="仿宋" w:hAnsi="仿宋" w:eastAsia="仿宋" w:cs="Times New Roman"/>
          <w:color w:val="auto"/>
          <w:sz w:val="28"/>
          <w:szCs w:val="28"/>
          <w:highlight w:val="none"/>
          <w:lang w:val="en-US" w:eastAsia="zh-CN"/>
        </w:rPr>
        <w:t>24</w:t>
      </w:r>
      <w:r>
        <w:rPr>
          <w:rFonts w:hint="eastAsia" w:ascii="仿宋" w:hAnsi="仿宋" w:eastAsia="仿宋" w:cs="Times New Roman"/>
          <w:color w:val="auto"/>
          <w:sz w:val="28"/>
          <w:szCs w:val="28"/>
          <w:highlight w:val="none"/>
        </w:rPr>
        <w:t>， 电话：0571</w:t>
      </w:r>
      <w:r>
        <w:rPr>
          <w:rFonts w:hint="eastAsia" w:ascii="仿宋" w:hAnsi="仿宋" w:eastAsia="仿宋" w:cs="Times New Roman"/>
          <w:color w:val="auto"/>
          <w:sz w:val="28"/>
          <w:szCs w:val="28"/>
          <w:highlight w:val="none"/>
          <w:lang w:val="en-US" w:eastAsia="zh-CN"/>
        </w:rPr>
        <w:t>56617193</w:t>
      </w:r>
    </w:p>
    <w:p w14:paraId="139ECE48">
      <w:pPr>
        <w:spacing w:line="48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招标代理机构</w:t>
      </w:r>
      <w:r>
        <w:rPr>
          <w:rFonts w:ascii="仿宋" w:hAnsi="仿宋" w:eastAsia="仿宋"/>
          <w:color w:val="auto"/>
          <w:sz w:val="28"/>
          <w:szCs w:val="28"/>
          <w:highlight w:val="none"/>
        </w:rPr>
        <w:t>单位名称：</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（公章）</w:t>
      </w:r>
    </w:p>
    <w:p w14:paraId="3E4DE512">
      <w:pPr>
        <w:spacing w:line="480" w:lineRule="auto"/>
        <w:jc w:val="left"/>
        <w:rPr>
          <w:rFonts w:ascii="仿宋" w:hAnsi="仿宋" w:eastAsia="仿宋"/>
          <w:color w:val="auto"/>
          <w:sz w:val="28"/>
          <w:szCs w:val="28"/>
          <w:highlight w:val="none"/>
        </w:rPr>
      </w:pPr>
      <w:r>
        <w:rPr>
          <w:rFonts w:ascii="仿宋" w:hAnsi="仿宋" w:eastAsia="仿宋"/>
          <w:color w:val="auto"/>
          <w:sz w:val="28"/>
          <w:szCs w:val="28"/>
          <w:highlight w:val="none"/>
        </w:rPr>
        <w:t>招标代理机构代表签字：</w:t>
      </w:r>
      <w:r>
        <w:rPr>
          <w:rFonts w:ascii="仿宋" w:hAnsi="仿宋" w:eastAsia="仿宋"/>
          <w:color w:val="auto"/>
          <w:sz w:val="28"/>
          <w:szCs w:val="28"/>
          <w:highlight w:val="none"/>
          <w:u w:val="single"/>
        </w:rPr>
        <w:t xml:space="preserve">                   </w:t>
      </w:r>
    </w:p>
    <w:p w14:paraId="60AB9F73">
      <w:pPr>
        <w:spacing w:line="480" w:lineRule="auto"/>
        <w:jc w:val="left"/>
        <w:rPr>
          <w:rFonts w:ascii="仿宋" w:hAnsi="仿宋" w:eastAsia="仿宋"/>
          <w:color w:val="auto"/>
          <w:sz w:val="28"/>
          <w:szCs w:val="28"/>
          <w:highlight w:val="none"/>
        </w:rPr>
      </w:pPr>
      <w:r>
        <w:rPr>
          <w:rFonts w:ascii="仿宋" w:hAnsi="仿宋" w:eastAsia="仿宋"/>
          <w:color w:val="auto"/>
          <w:sz w:val="28"/>
          <w:szCs w:val="28"/>
          <w:highlight w:val="none"/>
        </w:rPr>
        <w:t>日期：</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年</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月</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日</w:t>
      </w:r>
    </w:p>
    <w:p w14:paraId="0B1811A9">
      <w:pPr>
        <w:jc w:val="center"/>
        <w:rPr>
          <w:rFonts w:ascii="仿宋" w:hAnsi="仿宋" w:eastAsia="仿宋"/>
          <w:b/>
          <w:color w:val="auto"/>
          <w:sz w:val="28"/>
          <w:szCs w:val="28"/>
          <w:highlight w:val="none"/>
        </w:rPr>
      </w:pPr>
      <w:r>
        <w:rPr>
          <w:rFonts w:ascii="仿宋" w:hAnsi="仿宋" w:eastAsia="仿宋"/>
          <w:color w:val="auto"/>
          <w:sz w:val="28"/>
          <w:szCs w:val="28"/>
          <w:highlight w:val="none"/>
        </w:rPr>
        <w:br w:type="page"/>
      </w:r>
      <w:r>
        <w:rPr>
          <w:rFonts w:ascii="仿宋" w:hAnsi="仿宋" w:eastAsia="仿宋"/>
          <w:b/>
          <w:color w:val="auto"/>
          <w:sz w:val="28"/>
          <w:szCs w:val="28"/>
          <w:highlight w:val="none"/>
        </w:rPr>
        <w:t xml:space="preserve">格式二   </w:t>
      </w:r>
      <w:r>
        <w:rPr>
          <w:rFonts w:hint="eastAsia" w:ascii="仿宋" w:hAnsi="仿宋" w:eastAsia="仿宋"/>
          <w:b/>
          <w:color w:val="auto"/>
          <w:sz w:val="28"/>
          <w:szCs w:val="28"/>
          <w:highlight w:val="none"/>
        </w:rPr>
        <w:t>报价</w:t>
      </w:r>
      <w:r>
        <w:rPr>
          <w:rFonts w:ascii="仿宋" w:hAnsi="仿宋" w:eastAsia="仿宋"/>
          <w:b/>
          <w:color w:val="auto"/>
          <w:sz w:val="28"/>
          <w:szCs w:val="28"/>
          <w:highlight w:val="none"/>
        </w:rPr>
        <w:t>一览表</w:t>
      </w:r>
    </w:p>
    <w:p w14:paraId="126FF2CE">
      <w:pPr>
        <w:ind w:firstLine="281" w:firstLineChars="100"/>
        <w:rPr>
          <w:rFonts w:ascii="仿宋" w:hAnsi="仿宋" w:eastAsia="仿宋"/>
          <w:b/>
          <w:color w:val="auto"/>
          <w:sz w:val="28"/>
          <w:highlight w:val="none"/>
        </w:rPr>
      </w:pPr>
      <w:r>
        <w:rPr>
          <w:rFonts w:ascii="仿宋" w:hAnsi="仿宋" w:eastAsia="仿宋"/>
          <w:b/>
          <w:color w:val="auto"/>
          <w:sz w:val="28"/>
          <w:highlight w:val="none"/>
        </w:rPr>
        <w:t xml:space="preserve">                       </w:t>
      </w:r>
    </w:p>
    <w:p w14:paraId="208CC712">
      <w:pPr>
        <w:rPr>
          <w:rFonts w:ascii="仿宋" w:hAnsi="仿宋" w:eastAsia="仿宋"/>
          <w:b/>
          <w:color w:val="auto"/>
          <w:sz w:val="24"/>
          <w:highlight w:val="none"/>
        </w:rPr>
      </w:pPr>
      <w:r>
        <w:rPr>
          <w:rFonts w:ascii="仿宋" w:hAnsi="仿宋" w:eastAsia="仿宋"/>
          <w:b/>
          <w:color w:val="auto"/>
          <w:sz w:val="24"/>
          <w:highlight w:val="none"/>
        </w:rPr>
        <w:t xml:space="preserve">                                   </w:t>
      </w:r>
    </w:p>
    <w:tbl>
      <w:tblPr>
        <w:tblStyle w:val="22"/>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0"/>
      </w:tblGrid>
      <w:tr w14:paraId="4ECA1F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8460" w:type="dxa"/>
            <w:noWrap w:val="0"/>
            <w:vAlign w:val="center"/>
          </w:tcPr>
          <w:p w14:paraId="1186A8DA">
            <w:pPr>
              <w:jc w:val="center"/>
              <w:rPr>
                <w:rFonts w:ascii="仿宋" w:hAnsi="仿宋" w:eastAsia="仿宋"/>
                <w:b/>
                <w:color w:val="auto"/>
                <w:sz w:val="28"/>
                <w:szCs w:val="28"/>
                <w:highlight w:val="none"/>
              </w:rPr>
            </w:pPr>
            <w:r>
              <w:rPr>
                <w:rFonts w:ascii="仿宋" w:hAnsi="仿宋" w:eastAsia="仿宋"/>
                <w:b/>
                <w:color w:val="auto"/>
                <w:sz w:val="28"/>
                <w:szCs w:val="28"/>
                <w:highlight w:val="none"/>
              </w:rPr>
              <w:t>招标代理服务收费标准基础上的</w:t>
            </w:r>
            <w:r>
              <w:rPr>
                <w:rFonts w:hint="eastAsia" w:ascii="仿宋" w:hAnsi="仿宋" w:eastAsia="仿宋"/>
                <w:b/>
                <w:color w:val="auto"/>
                <w:sz w:val="28"/>
                <w:szCs w:val="28"/>
                <w:highlight w:val="none"/>
              </w:rPr>
              <w:t>折扣</w:t>
            </w:r>
          </w:p>
        </w:tc>
      </w:tr>
      <w:tr w14:paraId="76F613F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8460" w:type="dxa"/>
            <w:noWrap w:val="0"/>
            <w:vAlign w:val="center"/>
          </w:tcPr>
          <w:p w14:paraId="61A395A1">
            <w:pPr>
              <w:jc w:val="center"/>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用中文描述）</w:t>
            </w:r>
          </w:p>
        </w:tc>
      </w:tr>
    </w:tbl>
    <w:p w14:paraId="35F1293E">
      <w:pPr>
        <w:spacing w:line="480" w:lineRule="auto"/>
        <w:rPr>
          <w:rFonts w:hint="eastAsia" w:ascii="仿宋" w:hAnsi="仿宋" w:eastAsia="仿宋"/>
          <w:color w:val="auto"/>
          <w:sz w:val="28"/>
          <w:szCs w:val="28"/>
          <w:highlight w:val="none"/>
        </w:rPr>
      </w:pPr>
    </w:p>
    <w:p w14:paraId="353C6A44">
      <w:pPr>
        <w:spacing w:line="480" w:lineRule="auto"/>
        <w:ind w:firstLine="280" w:firstLineChars="100"/>
        <w:rPr>
          <w:rFonts w:ascii="仿宋" w:hAnsi="仿宋" w:eastAsia="仿宋"/>
          <w:color w:val="auto"/>
          <w:sz w:val="28"/>
          <w:szCs w:val="28"/>
          <w:highlight w:val="none"/>
        </w:rPr>
      </w:pPr>
    </w:p>
    <w:p w14:paraId="1E0D35ED">
      <w:pPr>
        <w:spacing w:line="480" w:lineRule="auto"/>
        <w:ind w:firstLine="280" w:firstLineChars="100"/>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招标代理机构</w:t>
      </w:r>
      <w:r>
        <w:rPr>
          <w:rFonts w:ascii="仿宋" w:hAnsi="仿宋" w:eastAsia="仿宋"/>
          <w:color w:val="auto"/>
          <w:sz w:val="28"/>
          <w:szCs w:val="28"/>
          <w:highlight w:val="none"/>
        </w:rPr>
        <w:t>名称：</w:t>
      </w:r>
      <w:r>
        <w:rPr>
          <w:rFonts w:hint="eastAsia" w:ascii="仿宋" w:hAnsi="仿宋" w:eastAsia="仿宋"/>
          <w:color w:val="auto"/>
          <w:sz w:val="28"/>
          <w:szCs w:val="28"/>
          <w:highlight w:val="none"/>
          <w:u w:val="single"/>
        </w:rPr>
        <w:t xml:space="preserve">                 </w:t>
      </w:r>
    </w:p>
    <w:p w14:paraId="567F4430">
      <w:pPr>
        <w:spacing w:line="480" w:lineRule="auto"/>
        <w:ind w:firstLine="280" w:firstLineChars="100"/>
        <w:rPr>
          <w:rFonts w:ascii="仿宋" w:hAnsi="仿宋" w:eastAsia="仿宋"/>
          <w:color w:val="auto"/>
          <w:sz w:val="28"/>
          <w:szCs w:val="28"/>
          <w:highlight w:val="none"/>
        </w:rPr>
      </w:pPr>
      <w:r>
        <w:rPr>
          <w:rFonts w:ascii="仿宋" w:hAnsi="仿宋" w:eastAsia="仿宋"/>
          <w:color w:val="auto"/>
          <w:sz w:val="28"/>
          <w:szCs w:val="28"/>
          <w:highlight w:val="none"/>
        </w:rPr>
        <w:t>（单位公章）</w:t>
      </w:r>
    </w:p>
    <w:p w14:paraId="7AC6824E">
      <w:pPr>
        <w:spacing w:line="480" w:lineRule="auto"/>
        <w:rPr>
          <w:rFonts w:ascii="仿宋" w:hAnsi="仿宋" w:eastAsia="仿宋"/>
          <w:color w:val="auto"/>
          <w:sz w:val="28"/>
          <w:szCs w:val="28"/>
          <w:highlight w:val="none"/>
        </w:rPr>
      </w:pPr>
    </w:p>
    <w:p w14:paraId="3028C9E5">
      <w:pPr>
        <w:spacing w:line="480" w:lineRule="auto"/>
        <w:ind w:firstLine="280" w:firstLineChars="100"/>
        <w:rPr>
          <w:rFonts w:ascii="仿宋" w:hAnsi="仿宋" w:eastAsia="仿宋"/>
          <w:color w:val="auto"/>
          <w:sz w:val="28"/>
          <w:szCs w:val="28"/>
          <w:highlight w:val="none"/>
        </w:rPr>
      </w:pPr>
      <w:r>
        <w:rPr>
          <w:rFonts w:ascii="仿宋" w:hAnsi="仿宋" w:eastAsia="仿宋"/>
          <w:color w:val="auto"/>
          <w:sz w:val="28"/>
          <w:szCs w:val="28"/>
          <w:highlight w:val="none"/>
        </w:rPr>
        <w:t>招标代理机构代表签字：</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p>
    <w:p w14:paraId="2642E65B">
      <w:pPr>
        <w:spacing w:line="480" w:lineRule="auto"/>
        <w:ind w:firstLine="280" w:firstLineChars="100"/>
        <w:rPr>
          <w:rFonts w:hint="eastAsia" w:ascii="仿宋" w:hAnsi="仿宋" w:eastAsia="仿宋"/>
          <w:color w:val="auto"/>
          <w:sz w:val="28"/>
          <w:szCs w:val="28"/>
          <w:highlight w:val="none"/>
          <w:u w:val="single"/>
        </w:rPr>
      </w:pPr>
      <w:r>
        <w:rPr>
          <w:rFonts w:ascii="仿宋" w:hAnsi="仿宋" w:eastAsia="仿宋"/>
          <w:color w:val="auto"/>
          <w:sz w:val="28"/>
          <w:szCs w:val="28"/>
          <w:highlight w:val="none"/>
        </w:rPr>
        <w:t>日</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期：</w:t>
      </w:r>
      <w:r>
        <w:rPr>
          <w:rFonts w:hint="eastAsia" w:ascii="仿宋" w:hAnsi="仿宋" w:eastAsia="仿宋"/>
          <w:color w:val="auto"/>
          <w:sz w:val="28"/>
          <w:szCs w:val="28"/>
          <w:highlight w:val="none"/>
          <w:u w:val="single"/>
        </w:rPr>
        <w:t xml:space="preserve">                 </w:t>
      </w:r>
    </w:p>
    <w:p w14:paraId="361CD96C">
      <w:pPr>
        <w:spacing w:line="480" w:lineRule="auto"/>
        <w:ind w:firstLine="280" w:firstLineChars="100"/>
        <w:rPr>
          <w:rFonts w:hint="eastAsia" w:ascii="仿宋" w:hAnsi="仿宋" w:eastAsia="仿宋"/>
          <w:color w:val="auto"/>
          <w:sz w:val="28"/>
          <w:szCs w:val="28"/>
          <w:highlight w:val="none"/>
          <w:u w:val="single"/>
        </w:rPr>
      </w:pPr>
    </w:p>
    <w:p w14:paraId="0BB658AA">
      <w:pPr>
        <w:spacing w:line="360" w:lineRule="auto"/>
        <w:ind w:left="1276" w:hanging="1276"/>
        <w:rPr>
          <w:rFonts w:ascii="仿宋" w:hAnsi="仿宋" w:eastAsia="仿宋"/>
          <w:color w:val="auto"/>
          <w:sz w:val="28"/>
          <w:szCs w:val="28"/>
          <w:highlight w:val="none"/>
        </w:rPr>
      </w:pPr>
    </w:p>
    <w:p w14:paraId="03DD498C">
      <w:pPr>
        <w:jc w:val="center"/>
        <w:rPr>
          <w:rFonts w:ascii="仿宋" w:hAnsi="仿宋" w:eastAsia="仿宋"/>
          <w:b/>
          <w:bCs/>
          <w:color w:val="auto"/>
          <w:sz w:val="28"/>
          <w:szCs w:val="28"/>
          <w:highlight w:val="none"/>
        </w:rPr>
      </w:pPr>
      <w:r>
        <w:rPr>
          <w:rFonts w:ascii="仿宋" w:hAnsi="仿宋" w:eastAsia="仿宋"/>
          <w:color w:val="auto"/>
          <w:sz w:val="28"/>
          <w:szCs w:val="28"/>
          <w:highlight w:val="none"/>
        </w:rPr>
        <w:br w:type="page"/>
      </w:r>
      <w:r>
        <w:rPr>
          <w:rFonts w:ascii="仿宋" w:hAnsi="仿宋" w:eastAsia="仿宋"/>
          <w:b/>
          <w:bCs/>
          <w:color w:val="auto"/>
          <w:kern w:val="0"/>
          <w:sz w:val="28"/>
          <w:szCs w:val="28"/>
          <w:highlight w:val="none"/>
        </w:rPr>
        <w:t>格式</w:t>
      </w:r>
      <w:r>
        <w:rPr>
          <w:rFonts w:hint="eastAsia" w:ascii="仿宋" w:hAnsi="仿宋" w:eastAsia="仿宋"/>
          <w:b/>
          <w:bCs/>
          <w:color w:val="auto"/>
          <w:kern w:val="0"/>
          <w:sz w:val="28"/>
          <w:szCs w:val="28"/>
          <w:highlight w:val="none"/>
        </w:rPr>
        <w:t>三</w:t>
      </w:r>
      <w:r>
        <w:rPr>
          <w:rFonts w:ascii="仿宋" w:hAnsi="仿宋" w:eastAsia="仿宋"/>
          <w:color w:val="auto"/>
          <w:kern w:val="0"/>
          <w:sz w:val="28"/>
          <w:szCs w:val="28"/>
          <w:highlight w:val="none"/>
        </w:rPr>
        <w:t xml:space="preserve">   </w:t>
      </w:r>
      <w:r>
        <w:rPr>
          <w:rFonts w:ascii="仿宋" w:hAnsi="仿宋" w:eastAsia="仿宋"/>
          <w:b/>
          <w:bCs/>
          <w:color w:val="auto"/>
          <w:sz w:val="28"/>
          <w:szCs w:val="28"/>
          <w:highlight w:val="none"/>
        </w:rPr>
        <w:t>法定代表人授权书</w:t>
      </w:r>
    </w:p>
    <w:p w14:paraId="7A01FC9C">
      <w:pPr>
        <w:spacing w:line="480" w:lineRule="auto"/>
        <w:rPr>
          <w:rFonts w:ascii="仿宋" w:hAnsi="仿宋" w:eastAsia="仿宋"/>
          <w:color w:val="auto"/>
          <w:sz w:val="36"/>
          <w:highlight w:val="none"/>
        </w:rPr>
      </w:pPr>
    </w:p>
    <w:p w14:paraId="27FC0952">
      <w:pPr>
        <w:spacing w:line="480" w:lineRule="auto"/>
        <w:rPr>
          <w:rFonts w:hint="eastAsia" w:ascii="仿宋" w:hAnsi="仿宋" w:eastAsia="仿宋"/>
          <w:b/>
          <w:color w:val="auto"/>
          <w:sz w:val="28"/>
          <w:szCs w:val="28"/>
          <w:highlight w:val="none"/>
          <w:lang w:eastAsia="zh-CN"/>
        </w:rPr>
      </w:pPr>
      <w:r>
        <w:rPr>
          <w:rFonts w:ascii="仿宋" w:hAnsi="仿宋" w:eastAsia="仿宋"/>
          <w:b/>
          <w:color w:val="auto"/>
          <w:sz w:val="28"/>
          <w:szCs w:val="28"/>
          <w:highlight w:val="none"/>
        </w:rPr>
        <w:t>致：</w:t>
      </w:r>
      <w:r>
        <w:rPr>
          <w:rFonts w:hint="eastAsia" w:ascii="仿宋" w:hAnsi="仿宋" w:eastAsia="仿宋"/>
          <w:bCs/>
          <w:color w:val="auto"/>
          <w:sz w:val="28"/>
          <w:szCs w:val="28"/>
          <w:highlight w:val="none"/>
          <w:lang w:eastAsia="zh-CN"/>
        </w:rPr>
        <w:t>杭州市西湖区转塘街道社区卫生服务中心</w:t>
      </w:r>
    </w:p>
    <w:p w14:paraId="497824C4">
      <w:pPr>
        <w:spacing w:line="480" w:lineRule="auto"/>
        <w:ind w:left="315" w:leftChars="150"/>
        <w:rPr>
          <w:rFonts w:ascii="仿宋" w:hAnsi="仿宋" w:eastAsia="仿宋"/>
          <w:color w:val="auto"/>
          <w:sz w:val="28"/>
          <w:szCs w:val="28"/>
          <w:highlight w:val="none"/>
        </w:rPr>
      </w:pPr>
    </w:p>
    <w:p w14:paraId="2DC26A1C">
      <w:pPr>
        <w:spacing w:line="480" w:lineRule="auto"/>
        <w:ind w:left="315" w:leftChars="15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（招标代理机构全称）</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法定代表人</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授权</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r>
        <w:rPr>
          <w:rFonts w:hint="eastAsia" w:ascii="仿宋" w:hAnsi="仿宋" w:eastAsia="仿宋"/>
          <w:color w:val="auto"/>
          <w:sz w:val="28"/>
          <w:szCs w:val="28"/>
          <w:highlight w:val="none"/>
        </w:rPr>
        <w:t>招标代理机构代表</w:t>
      </w:r>
      <w:r>
        <w:rPr>
          <w:rFonts w:ascii="仿宋" w:hAnsi="仿宋" w:eastAsia="仿宋"/>
          <w:color w:val="auto"/>
          <w:sz w:val="28"/>
          <w:szCs w:val="28"/>
          <w:highlight w:val="none"/>
        </w:rPr>
        <w:t>）为全权代表，参加</w:t>
      </w:r>
      <w:r>
        <w:rPr>
          <w:rFonts w:hint="eastAsia" w:ascii="仿宋" w:hAnsi="仿宋" w:eastAsia="仿宋"/>
          <w:color w:val="auto"/>
          <w:sz w:val="28"/>
          <w:szCs w:val="28"/>
          <w:highlight w:val="none"/>
        </w:rPr>
        <w:t>贵方组织的</w:t>
      </w:r>
      <w:r>
        <w:rPr>
          <w:rFonts w:hint="eastAsia" w:ascii="仿宋" w:hAnsi="仿宋" w:eastAsia="仿宋"/>
          <w:bCs/>
          <w:color w:val="auto"/>
          <w:sz w:val="28"/>
          <w:szCs w:val="28"/>
          <w:highlight w:val="none"/>
          <w:lang w:eastAsia="zh-CN"/>
        </w:rPr>
        <w:t>杭州市西湖区转塘街道社区卫生服务中心</w:t>
      </w:r>
      <w:r>
        <w:rPr>
          <w:rFonts w:hint="eastAsia" w:ascii="仿宋" w:hAnsi="仿宋" w:eastAsia="仿宋"/>
          <w:bCs/>
          <w:color w:val="auto"/>
          <w:sz w:val="28"/>
          <w:szCs w:val="28"/>
          <w:highlight w:val="none"/>
        </w:rPr>
        <w:t>2025年年度招</w:t>
      </w:r>
      <w:r>
        <w:rPr>
          <w:rFonts w:ascii="仿宋" w:hAnsi="仿宋" w:eastAsia="仿宋"/>
          <w:color w:val="auto"/>
          <w:sz w:val="28"/>
          <w:szCs w:val="28"/>
          <w:highlight w:val="none"/>
        </w:rPr>
        <w:t>标代理服务</w:t>
      </w:r>
      <w:r>
        <w:rPr>
          <w:rFonts w:hint="eastAsia" w:ascii="仿宋" w:hAnsi="仿宋" w:eastAsia="仿宋"/>
          <w:color w:val="auto"/>
          <w:sz w:val="28"/>
          <w:szCs w:val="28"/>
          <w:highlight w:val="none"/>
        </w:rPr>
        <w:t>机构遴选</w:t>
      </w:r>
      <w:r>
        <w:rPr>
          <w:rFonts w:ascii="仿宋" w:hAnsi="仿宋" w:eastAsia="仿宋"/>
          <w:color w:val="auto"/>
          <w:sz w:val="28"/>
          <w:szCs w:val="28"/>
          <w:highlight w:val="none"/>
        </w:rPr>
        <w:t>，其在</w:t>
      </w:r>
      <w:r>
        <w:rPr>
          <w:rFonts w:hint="eastAsia" w:ascii="仿宋" w:hAnsi="仿宋" w:eastAsia="仿宋"/>
          <w:color w:val="auto"/>
          <w:sz w:val="28"/>
          <w:szCs w:val="28"/>
          <w:highlight w:val="none"/>
        </w:rPr>
        <w:t>遴选</w:t>
      </w:r>
      <w:r>
        <w:rPr>
          <w:rFonts w:ascii="仿宋" w:hAnsi="仿宋" w:eastAsia="仿宋"/>
          <w:color w:val="auto"/>
          <w:sz w:val="28"/>
          <w:szCs w:val="28"/>
          <w:highlight w:val="none"/>
        </w:rPr>
        <w:t>中的一切活动本公司均予承认。</w:t>
      </w:r>
    </w:p>
    <w:p w14:paraId="38B0DAE8">
      <w:pPr>
        <w:spacing w:line="480" w:lineRule="auto"/>
        <w:ind w:left="150"/>
        <w:jc w:val="center"/>
        <w:rPr>
          <w:rFonts w:ascii="仿宋" w:hAnsi="仿宋" w:eastAsia="仿宋"/>
          <w:color w:val="auto"/>
          <w:sz w:val="28"/>
          <w:szCs w:val="28"/>
          <w:highlight w:val="none"/>
        </w:rPr>
      </w:pPr>
      <w:r>
        <w:rPr>
          <w:rFonts w:ascii="仿宋" w:hAnsi="仿宋" w:eastAsia="仿宋"/>
          <w:color w:val="auto"/>
          <w:sz w:val="28"/>
          <w:szCs w:val="28"/>
          <w:highlight w:val="none"/>
        </w:rPr>
        <w:t xml:space="preserve">     </w:t>
      </w:r>
    </w:p>
    <w:p w14:paraId="3710A87B">
      <w:pPr>
        <w:spacing w:line="480" w:lineRule="auto"/>
        <w:ind w:left="150"/>
        <w:jc w:val="center"/>
        <w:rPr>
          <w:rFonts w:ascii="仿宋" w:hAnsi="仿宋" w:eastAsia="仿宋"/>
          <w:color w:val="auto"/>
          <w:sz w:val="28"/>
          <w:szCs w:val="28"/>
          <w:highlight w:val="none"/>
        </w:rPr>
      </w:pPr>
    </w:p>
    <w:p w14:paraId="11F4FE1B">
      <w:pPr>
        <w:spacing w:line="480" w:lineRule="auto"/>
        <w:ind w:left="150"/>
        <w:jc w:val="center"/>
        <w:rPr>
          <w:rFonts w:ascii="仿宋" w:hAnsi="仿宋" w:eastAsia="仿宋"/>
          <w:color w:val="auto"/>
          <w:sz w:val="28"/>
          <w:szCs w:val="28"/>
          <w:highlight w:val="none"/>
        </w:rPr>
      </w:pPr>
    </w:p>
    <w:p w14:paraId="5626A148">
      <w:pPr>
        <w:spacing w:line="480" w:lineRule="auto"/>
        <w:ind w:left="150"/>
        <w:jc w:val="center"/>
        <w:rPr>
          <w:rFonts w:hint="eastAsia" w:ascii="仿宋" w:hAnsi="仿宋" w:eastAsia="仿宋"/>
          <w:color w:val="auto"/>
          <w:sz w:val="28"/>
          <w:szCs w:val="28"/>
          <w:highlight w:val="none"/>
          <w:u w:val="single"/>
        </w:rPr>
      </w:pPr>
      <w:r>
        <w:rPr>
          <w:rFonts w:ascii="仿宋" w:hAnsi="仿宋" w:eastAsia="仿宋"/>
          <w:color w:val="auto"/>
          <w:sz w:val="28"/>
          <w:szCs w:val="28"/>
          <w:highlight w:val="none"/>
        </w:rPr>
        <w:t xml:space="preserve">                   法定代表人签字：</w:t>
      </w:r>
      <w:r>
        <w:rPr>
          <w:rFonts w:hint="eastAsia" w:ascii="仿宋" w:hAnsi="仿宋" w:eastAsia="仿宋"/>
          <w:color w:val="auto"/>
          <w:sz w:val="28"/>
          <w:szCs w:val="28"/>
          <w:highlight w:val="none"/>
          <w:u w:val="single"/>
        </w:rPr>
        <w:t xml:space="preserve">           </w:t>
      </w:r>
    </w:p>
    <w:p w14:paraId="4DC33CCC">
      <w:pPr>
        <w:spacing w:line="480" w:lineRule="auto"/>
        <w:ind w:left="150"/>
        <w:jc w:val="center"/>
        <w:rPr>
          <w:rFonts w:ascii="仿宋" w:hAnsi="仿宋" w:eastAsia="仿宋"/>
          <w:color w:val="auto"/>
          <w:sz w:val="28"/>
          <w:szCs w:val="28"/>
          <w:highlight w:val="none"/>
        </w:rPr>
      </w:pPr>
      <w:r>
        <w:rPr>
          <w:rFonts w:ascii="仿宋" w:hAnsi="仿宋" w:eastAsia="仿宋"/>
          <w:color w:val="auto"/>
          <w:sz w:val="28"/>
          <w:szCs w:val="28"/>
          <w:highlight w:val="none"/>
        </w:rPr>
        <w:t xml:space="preserve">             单位公章：</w:t>
      </w:r>
    </w:p>
    <w:p w14:paraId="4B803287">
      <w:pPr>
        <w:spacing w:line="480" w:lineRule="auto"/>
        <w:ind w:left="150"/>
        <w:jc w:val="center"/>
        <w:rPr>
          <w:rFonts w:ascii="仿宋" w:hAnsi="仿宋" w:eastAsia="仿宋"/>
          <w:color w:val="auto"/>
          <w:highlight w:val="none"/>
        </w:rPr>
      </w:pPr>
      <w:r>
        <w:rPr>
          <w:rFonts w:ascii="仿宋" w:hAnsi="仿宋" w:eastAsia="仿宋"/>
          <w:color w:val="auto"/>
          <w:sz w:val="28"/>
          <w:szCs w:val="28"/>
          <w:highlight w:val="none"/>
        </w:rPr>
        <w:t xml:space="preserve">                               时间：</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年</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月</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日</w:t>
      </w:r>
    </w:p>
    <w:sectPr>
      <w:footerReference r:id="rId3" w:type="default"/>
      <w:footerReference r:id="rId4" w:type="even"/>
      <w:pgSz w:w="11906" w:h="16838"/>
      <w:pgMar w:top="1558"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8967A">
    <w:pPr>
      <w:pStyle w:val="17"/>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D277">
    <w:pPr>
      <w:pStyle w:val="17"/>
      <w:framePr w:wrap="around" w:vAnchor="text" w:hAnchor="margin" w:xAlign="center" w:y="1"/>
      <w:rPr>
        <w:rStyle w:val="26"/>
      </w:rPr>
    </w:pPr>
    <w:r>
      <w:fldChar w:fldCharType="begin"/>
    </w:r>
    <w:r>
      <w:rPr>
        <w:rStyle w:val="26"/>
      </w:rPr>
      <w:instrText xml:space="preserve">PAGE  </w:instrText>
    </w:r>
    <w:r>
      <w:fldChar w:fldCharType="end"/>
    </w:r>
  </w:p>
  <w:p w14:paraId="3650D2CF">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74395"/>
    <w:multiLevelType w:val="multilevel"/>
    <w:tmpl w:val="23774395"/>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3"/>
      <w:suff w:val="nothing"/>
      <w:lvlText w:val=""/>
      <w:lvlJc w:val="left"/>
      <w:pPr>
        <w:ind w:left="0" w:firstLine="0"/>
      </w:pPr>
    </w:lvl>
    <w:lvl w:ilvl="4" w:tentative="0">
      <w:start w:val="1"/>
      <w:numFmt w:val="none"/>
      <w:pStyle w:val="5"/>
      <w:suff w:val="nothing"/>
      <w:lvlText w:val=""/>
      <w:lvlJc w:val="left"/>
      <w:pPr>
        <w:ind w:left="0" w:firstLine="0"/>
      </w:pPr>
    </w:lvl>
    <w:lvl w:ilvl="5" w:tentative="0">
      <w:start w:val="1"/>
      <w:numFmt w:val="none"/>
      <w:pStyle w:val="6"/>
      <w:suff w:val="nothing"/>
      <w:lvlText w:val=""/>
      <w:lvlJc w:val="left"/>
      <w:pPr>
        <w:ind w:left="0" w:firstLine="0"/>
      </w:pPr>
    </w:lvl>
    <w:lvl w:ilvl="6" w:tentative="0">
      <w:start w:val="1"/>
      <w:numFmt w:val="none"/>
      <w:pStyle w:val="7"/>
      <w:suff w:val="nothing"/>
      <w:lvlText w:val=""/>
      <w:lvlJc w:val="left"/>
      <w:pPr>
        <w:ind w:left="0" w:firstLine="0"/>
      </w:pPr>
    </w:lvl>
    <w:lvl w:ilvl="7" w:tentative="0">
      <w:start w:val="1"/>
      <w:numFmt w:val="none"/>
      <w:pStyle w:val="8"/>
      <w:suff w:val="nothing"/>
      <w:lvlText w:val=""/>
      <w:lvlJc w:val="left"/>
      <w:pPr>
        <w:ind w:left="0" w:firstLine="0"/>
      </w:pPr>
    </w:lvl>
    <w:lvl w:ilvl="8" w:tentative="0">
      <w:start w:val="1"/>
      <w:numFmt w:val="none"/>
      <w:pStyle w:val="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2RmMzMxMTA3M2I3YjQxYTBjMjc2YTg3ZTljNTQifQ=="/>
  </w:docVars>
  <w:rsids>
    <w:rsidRoot w:val="0045599E"/>
    <w:rsid w:val="00004382"/>
    <w:rsid w:val="0000499A"/>
    <w:rsid w:val="0001731A"/>
    <w:rsid w:val="0003172E"/>
    <w:rsid w:val="00031F6D"/>
    <w:rsid w:val="000541FB"/>
    <w:rsid w:val="00063A0D"/>
    <w:rsid w:val="00073BA1"/>
    <w:rsid w:val="000803F2"/>
    <w:rsid w:val="000878D5"/>
    <w:rsid w:val="00091372"/>
    <w:rsid w:val="00093E23"/>
    <w:rsid w:val="000948BF"/>
    <w:rsid w:val="0009708E"/>
    <w:rsid w:val="000A1D0D"/>
    <w:rsid w:val="000A68F8"/>
    <w:rsid w:val="000B12A0"/>
    <w:rsid w:val="000D3E3F"/>
    <w:rsid w:val="00107BCE"/>
    <w:rsid w:val="001113F5"/>
    <w:rsid w:val="001146FC"/>
    <w:rsid w:val="00117554"/>
    <w:rsid w:val="001216ED"/>
    <w:rsid w:val="00124281"/>
    <w:rsid w:val="00124AC1"/>
    <w:rsid w:val="00130D94"/>
    <w:rsid w:val="00132658"/>
    <w:rsid w:val="00136B2A"/>
    <w:rsid w:val="00145D96"/>
    <w:rsid w:val="00145E68"/>
    <w:rsid w:val="00156ADD"/>
    <w:rsid w:val="001609AF"/>
    <w:rsid w:val="001637AA"/>
    <w:rsid w:val="00174BAA"/>
    <w:rsid w:val="00185D13"/>
    <w:rsid w:val="00196C36"/>
    <w:rsid w:val="00197F30"/>
    <w:rsid w:val="001A34FF"/>
    <w:rsid w:val="001A76B7"/>
    <w:rsid w:val="001A794F"/>
    <w:rsid w:val="001B5175"/>
    <w:rsid w:val="001B7DBA"/>
    <w:rsid w:val="001C1787"/>
    <w:rsid w:val="001D077E"/>
    <w:rsid w:val="001D0AE9"/>
    <w:rsid w:val="001D3550"/>
    <w:rsid w:val="001E1E43"/>
    <w:rsid w:val="001E2DFB"/>
    <w:rsid w:val="001E790D"/>
    <w:rsid w:val="001F59C6"/>
    <w:rsid w:val="002070D4"/>
    <w:rsid w:val="0021471B"/>
    <w:rsid w:val="002230C0"/>
    <w:rsid w:val="0023539B"/>
    <w:rsid w:val="00245441"/>
    <w:rsid w:val="00250D97"/>
    <w:rsid w:val="002740C2"/>
    <w:rsid w:val="002744B4"/>
    <w:rsid w:val="002766FB"/>
    <w:rsid w:val="002807FE"/>
    <w:rsid w:val="00284930"/>
    <w:rsid w:val="00286810"/>
    <w:rsid w:val="00287552"/>
    <w:rsid w:val="0029451B"/>
    <w:rsid w:val="00294E34"/>
    <w:rsid w:val="00295856"/>
    <w:rsid w:val="002A4698"/>
    <w:rsid w:val="002A595B"/>
    <w:rsid w:val="002B2CC6"/>
    <w:rsid w:val="002B75AB"/>
    <w:rsid w:val="002D23A7"/>
    <w:rsid w:val="002D2ABE"/>
    <w:rsid w:val="002D486D"/>
    <w:rsid w:val="002D65B2"/>
    <w:rsid w:val="002D71A8"/>
    <w:rsid w:val="002E0D3F"/>
    <w:rsid w:val="002E3104"/>
    <w:rsid w:val="002E6874"/>
    <w:rsid w:val="002F65AB"/>
    <w:rsid w:val="0030330F"/>
    <w:rsid w:val="00303507"/>
    <w:rsid w:val="00310E8D"/>
    <w:rsid w:val="003127A8"/>
    <w:rsid w:val="0031766B"/>
    <w:rsid w:val="00324EFD"/>
    <w:rsid w:val="003319F8"/>
    <w:rsid w:val="00336DF7"/>
    <w:rsid w:val="003417AB"/>
    <w:rsid w:val="00347967"/>
    <w:rsid w:val="00354DB6"/>
    <w:rsid w:val="00355290"/>
    <w:rsid w:val="00364D61"/>
    <w:rsid w:val="00367DEF"/>
    <w:rsid w:val="00377386"/>
    <w:rsid w:val="003777DE"/>
    <w:rsid w:val="00391D66"/>
    <w:rsid w:val="003B215A"/>
    <w:rsid w:val="003B5D54"/>
    <w:rsid w:val="003B7A12"/>
    <w:rsid w:val="003C242E"/>
    <w:rsid w:val="003E2C7C"/>
    <w:rsid w:val="003F7095"/>
    <w:rsid w:val="004009A5"/>
    <w:rsid w:val="00410185"/>
    <w:rsid w:val="00412C4C"/>
    <w:rsid w:val="0041771C"/>
    <w:rsid w:val="0043103D"/>
    <w:rsid w:val="0043773D"/>
    <w:rsid w:val="00441978"/>
    <w:rsid w:val="004460A1"/>
    <w:rsid w:val="00453A2B"/>
    <w:rsid w:val="004548A2"/>
    <w:rsid w:val="0045599E"/>
    <w:rsid w:val="00472563"/>
    <w:rsid w:val="004777E8"/>
    <w:rsid w:val="004815DC"/>
    <w:rsid w:val="004823B6"/>
    <w:rsid w:val="00484650"/>
    <w:rsid w:val="004973CC"/>
    <w:rsid w:val="0049763A"/>
    <w:rsid w:val="004B3815"/>
    <w:rsid w:val="004B5660"/>
    <w:rsid w:val="004B63F0"/>
    <w:rsid w:val="004C2A9F"/>
    <w:rsid w:val="004C51A0"/>
    <w:rsid w:val="004C598C"/>
    <w:rsid w:val="004D137A"/>
    <w:rsid w:val="004E4AB1"/>
    <w:rsid w:val="0050070E"/>
    <w:rsid w:val="00500C81"/>
    <w:rsid w:val="005042D1"/>
    <w:rsid w:val="00506411"/>
    <w:rsid w:val="00516F45"/>
    <w:rsid w:val="0052503D"/>
    <w:rsid w:val="00525C3E"/>
    <w:rsid w:val="0052605E"/>
    <w:rsid w:val="00526B0B"/>
    <w:rsid w:val="00535AAA"/>
    <w:rsid w:val="00543FE6"/>
    <w:rsid w:val="00551263"/>
    <w:rsid w:val="00551FA1"/>
    <w:rsid w:val="00566238"/>
    <w:rsid w:val="0057191E"/>
    <w:rsid w:val="00571F8A"/>
    <w:rsid w:val="0057781B"/>
    <w:rsid w:val="005834AF"/>
    <w:rsid w:val="00584A98"/>
    <w:rsid w:val="00590DEC"/>
    <w:rsid w:val="005915FF"/>
    <w:rsid w:val="00591FDB"/>
    <w:rsid w:val="00592299"/>
    <w:rsid w:val="005A0032"/>
    <w:rsid w:val="005A0CAD"/>
    <w:rsid w:val="005A5509"/>
    <w:rsid w:val="005A554B"/>
    <w:rsid w:val="005A6DE9"/>
    <w:rsid w:val="005C0279"/>
    <w:rsid w:val="005D76A3"/>
    <w:rsid w:val="005E4564"/>
    <w:rsid w:val="005F67D6"/>
    <w:rsid w:val="00600B64"/>
    <w:rsid w:val="006129D0"/>
    <w:rsid w:val="006136E4"/>
    <w:rsid w:val="006148BC"/>
    <w:rsid w:val="006245D2"/>
    <w:rsid w:val="00626602"/>
    <w:rsid w:val="00626C1B"/>
    <w:rsid w:val="00630FDD"/>
    <w:rsid w:val="006310BA"/>
    <w:rsid w:val="00632A49"/>
    <w:rsid w:val="006345B3"/>
    <w:rsid w:val="00634BA9"/>
    <w:rsid w:val="006404E5"/>
    <w:rsid w:val="0066271D"/>
    <w:rsid w:val="00674F48"/>
    <w:rsid w:val="00677DB2"/>
    <w:rsid w:val="00680E8C"/>
    <w:rsid w:val="00692777"/>
    <w:rsid w:val="0069554D"/>
    <w:rsid w:val="006B0385"/>
    <w:rsid w:val="006C4073"/>
    <w:rsid w:val="006C47C3"/>
    <w:rsid w:val="006C75B2"/>
    <w:rsid w:val="006D291E"/>
    <w:rsid w:val="006D4F8C"/>
    <w:rsid w:val="006F1AA9"/>
    <w:rsid w:val="006F5FEE"/>
    <w:rsid w:val="006F7796"/>
    <w:rsid w:val="0070096C"/>
    <w:rsid w:val="00700E3A"/>
    <w:rsid w:val="00705BBF"/>
    <w:rsid w:val="00713BE8"/>
    <w:rsid w:val="007242F6"/>
    <w:rsid w:val="007254C9"/>
    <w:rsid w:val="00733183"/>
    <w:rsid w:val="00742694"/>
    <w:rsid w:val="0074469E"/>
    <w:rsid w:val="0074562D"/>
    <w:rsid w:val="0075230F"/>
    <w:rsid w:val="007526F4"/>
    <w:rsid w:val="00752D62"/>
    <w:rsid w:val="007573E6"/>
    <w:rsid w:val="00760174"/>
    <w:rsid w:val="0076794A"/>
    <w:rsid w:val="00775EAB"/>
    <w:rsid w:val="00777CAD"/>
    <w:rsid w:val="00787219"/>
    <w:rsid w:val="007925F4"/>
    <w:rsid w:val="007B003A"/>
    <w:rsid w:val="007B64C9"/>
    <w:rsid w:val="007C37D7"/>
    <w:rsid w:val="007C6999"/>
    <w:rsid w:val="007D110F"/>
    <w:rsid w:val="007D417A"/>
    <w:rsid w:val="007D66F8"/>
    <w:rsid w:val="007E02F7"/>
    <w:rsid w:val="007E032C"/>
    <w:rsid w:val="007E1FA7"/>
    <w:rsid w:val="007F453F"/>
    <w:rsid w:val="007F7B7F"/>
    <w:rsid w:val="008049F0"/>
    <w:rsid w:val="0081486F"/>
    <w:rsid w:val="008173E5"/>
    <w:rsid w:val="00823181"/>
    <w:rsid w:val="00830D9D"/>
    <w:rsid w:val="00837A3D"/>
    <w:rsid w:val="0085148A"/>
    <w:rsid w:val="008518B2"/>
    <w:rsid w:val="008609C7"/>
    <w:rsid w:val="00864BE8"/>
    <w:rsid w:val="00882E69"/>
    <w:rsid w:val="008846E7"/>
    <w:rsid w:val="00890074"/>
    <w:rsid w:val="00890691"/>
    <w:rsid w:val="00891927"/>
    <w:rsid w:val="00892770"/>
    <w:rsid w:val="008A5165"/>
    <w:rsid w:val="008A5AFD"/>
    <w:rsid w:val="008A6FDB"/>
    <w:rsid w:val="008A794B"/>
    <w:rsid w:val="008A7CF4"/>
    <w:rsid w:val="008B09E2"/>
    <w:rsid w:val="008B28CD"/>
    <w:rsid w:val="008B40CC"/>
    <w:rsid w:val="008B4B1D"/>
    <w:rsid w:val="008B57AF"/>
    <w:rsid w:val="008C03D7"/>
    <w:rsid w:val="008C15DF"/>
    <w:rsid w:val="008C2AA4"/>
    <w:rsid w:val="008E0876"/>
    <w:rsid w:val="008E4BF0"/>
    <w:rsid w:val="008E5220"/>
    <w:rsid w:val="008E62ED"/>
    <w:rsid w:val="008F282D"/>
    <w:rsid w:val="008F2EB0"/>
    <w:rsid w:val="00901C19"/>
    <w:rsid w:val="00903E15"/>
    <w:rsid w:val="00907F56"/>
    <w:rsid w:val="00913023"/>
    <w:rsid w:val="009152CE"/>
    <w:rsid w:val="00916ABB"/>
    <w:rsid w:val="009335CC"/>
    <w:rsid w:val="0094350E"/>
    <w:rsid w:val="00964F24"/>
    <w:rsid w:val="00973AF1"/>
    <w:rsid w:val="009752C3"/>
    <w:rsid w:val="009763BC"/>
    <w:rsid w:val="009845A2"/>
    <w:rsid w:val="00993E8B"/>
    <w:rsid w:val="009955BC"/>
    <w:rsid w:val="009A1095"/>
    <w:rsid w:val="009A59BD"/>
    <w:rsid w:val="009A7AC4"/>
    <w:rsid w:val="009B3B0F"/>
    <w:rsid w:val="009B5A18"/>
    <w:rsid w:val="009C0631"/>
    <w:rsid w:val="009C57B4"/>
    <w:rsid w:val="009D4034"/>
    <w:rsid w:val="009E08DF"/>
    <w:rsid w:val="009E4129"/>
    <w:rsid w:val="009F3D4E"/>
    <w:rsid w:val="009F4E73"/>
    <w:rsid w:val="009F62D7"/>
    <w:rsid w:val="009F6F00"/>
    <w:rsid w:val="00A036A6"/>
    <w:rsid w:val="00A1576C"/>
    <w:rsid w:val="00A205C0"/>
    <w:rsid w:val="00A261D2"/>
    <w:rsid w:val="00A265EB"/>
    <w:rsid w:val="00A27E13"/>
    <w:rsid w:val="00A31EEA"/>
    <w:rsid w:val="00A52AE1"/>
    <w:rsid w:val="00A54582"/>
    <w:rsid w:val="00A56CAD"/>
    <w:rsid w:val="00A57590"/>
    <w:rsid w:val="00A61E23"/>
    <w:rsid w:val="00A710E9"/>
    <w:rsid w:val="00A71EAA"/>
    <w:rsid w:val="00A747D9"/>
    <w:rsid w:val="00A862C0"/>
    <w:rsid w:val="00A9057B"/>
    <w:rsid w:val="00A9437D"/>
    <w:rsid w:val="00AA7C1D"/>
    <w:rsid w:val="00AB4380"/>
    <w:rsid w:val="00AC738C"/>
    <w:rsid w:val="00AE2713"/>
    <w:rsid w:val="00AF2266"/>
    <w:rsid w:val="00B00467"/>
    <w:rsid w:val="00B0275E"/>
    <w:rsid w:val="00B05454"/>
    <w:rsid w:val="00B24988"/>
    <w:rsid w:val="00B25895"/>
    <w:rsid w:val="00B31901"/>
    <w:rsid w:val="00B36402"/>
    <w:rsid w:val="00B374F7"/>
    <w:rsid w:val="00B52ECE"/>
    <w:rsid w:val="00B561E1"/>
    <w:rsid w:val="00B610A2"/>
    <w:rsid w:val="00B6354F"/>
    <w:rsid w:val="00B65845"/>
    <w:rsid w:val="00B665F2"/>
    <w:rsid w:val="00B710C6"/>
    <w:rsid w:val="00B74CB0"/>
    <w:rsid w:val="00B803A6"/>
    <w:rsid w:val="00B87C61"/>
    <w:rsid w:val="00B97767"/>
    <w:rsid w:val="00BA1CE4"/>
    <w:rsid w:val="00BA1EA1"/>
    <w:rsid w:val="00BA37B1"/>
    <w:rsid w:val="00BB1A77"/>
    <w:rsid w:val="00BC3424"/>
    <w:rsid w:val="00BC4BD7"/>
    <w:rsid w:val="00BD385A"/>
    <w:rsid w:val="00BE6B3A"/>
    <w:rsid w:val="00BF6C62"/>
    <w:rsid w:val="00BF7346"/>
    <w:rsid w:val="00C054A6"/>
    <w:rsid w:val="00C140B4"/>
    <w:rsid w:val="00C156B9"/>
    <w:rsid w:val="00C237BC"/>
    <w:rsid w:val="00C26101"/>
    <w:rsid w:val="00C40009"/>
    <w:rsid w:val="00C4171D"/>
    <w:rsid w:val="00C445B7"/>
    <w:rsid w:val="00C4608B"/>
    <w:rsid w:val="00C47A7E"/>
    <w:rsid w:val="00C56AC8"/>
    <w:rsid w:val="00C66609"/>
    <w:rsid w:val="00C716F0"/>
    <w:rsid w:val="00C72116"/>
    <w:rsid w:val="00C73747"/>
    <w:rsid w:val="00C73BAA"/>
    <w:rsid w:val="00C8007B"/>
    <w:rsid w:val="00C911DC"/>
    <w:rsid w:val="00C91394"/>
    <w:rsid w:val="00C9273B"/>
    <w:rsid w:val="00C97D43"/>
    <w:rsid w:val="00CA0642"/>
    <w:rsid w:val="00CA60E2"/>
    <w:rsid w:val="00CB06DC"/>
    <w:rsid w:val="00CB0ADA"/>
    <w:rsid w:val="00CB62DA"/>
    <w:rsid w:val="00CD50B7"/>
    <w:rsid w:val="00CF051D"/>
    <w:rsid w:val="00D07D5E"/>
    <w:rsid w:val="00D1049D"/>
    <w:rsid w:val="00D112D2"/>
    <w:rsid w:val="00D15168"/>
    <w:rsid w:val="00D15CE4"/>
    <w:rsid w:val="00D17264"/>
    <w:rsid w:val="00D2227A"/>
    <w:rsid w:val="00D22350"/>
    <w:rsid w:val="00D22AA8"/>
    <w:rsid w:val="00D30D89"/>
    <w:rsid w:val="00D329F4"/>
    <w:rsid w:val="00D3602D"/>
    <w:rsid w:val="00D36FA5"/>
    <w:rsid w:val="00D43974"/>
    <w:rsid w:val="00D44578"/>
    <w:rsid w:val="00D46978"/>
    <w:rsid w:val="00D50465"/>
    <w:rsid w:val="00D55828"/>
    <w:rsid w:val="00D56D38"/>
    <w:rsid w:val="00D65507"/>
    <w:rsid w:val="00D65A76"/>
    <w:rsid w:val="00D72715"/>
    <w:rsid w:val="00D73FC0"/>
    <w:rsid w:val="00D77BFE"/>
    <w:rsid w:val="00D9015A"/>
    <w:rsid w:val="00D905FF"/>
    <w:rsid w:val="00D92690"/>
    <w:rsid w:val="00D93A66"/>
    <w:rsid w:val="00D94E27"/>
    <w:rsid w:val="00D95404"/>
    <w:rsid w:val="00D95B94"/>
    <w:rsid w:val="00DA5606"/>
    <w:rsid w:val="00DC19E4"/>
    <w:rsid w:val="00DC20C5"/>
    <w:rsid w:val="00DC62A8"/>
    <w:rsid w:val="00DE6E20"/>
    <w:rsid w:val="00DF610C"/>
    <w:rsid w:val="00E00C05"/>
    <w:rsid w:val="00E118BB"/>
    <w:rsid w:val="00E163C0"/>
    <w:rsid w:val="00E21063"/>
    <w:rsid w:val="00E21DB2"/>
    <w:rsid w:val="00E46C45"/>
    <w:rsid w:val="00E4721D"/>
    <w:rsid w:val="00E528A2"/>
    <w:rsid w:val="00E53F56"/>
    <w:rsid w:val="00E54533"/>
    <w:rsid w:val="00E5546A"/>
    <w:rsid w:val="00E575E2"/>
    <w:rsid w:val="00E66F87"/>
    <w:rsid w:val="00E80C71"/>
    <w:rsid w:val="00E93E7D"/>
    <w:rsid w:val="00E94FD9"/>
    <w:rsid w:val="00EC18EB"/>
    <w:rsid w:val="00EC5068"/>
    <w:rsid w:val="00EC753C"/>
    <w:rsid w:val="00ED3F4B"/>
    <w:rsid w:val="00ED7EEB"/>
    <w:rsid w:val="00EE2D4E"/>
    <w:rsid w:val="00EF4E8C"/>
    <w:rsid w:val="00EF6791"/>
    <w:rsid w:val="00F06577"/>
    <w:rsid w:val="00F123BC"/>
    <w:rsid w:val="00F20949"/>
    <w:rsid w:val="00F21BCB"/>
    <w:rsid w:val="00F24C14"/>
    <w:rsid w:val="00F25925"/>
    <w:rsid w:val="00F32360"/>
    <w:rsid w:val="00F3388E"/>
    <w:rsid w:val="00F371AA"/>
    <w:rsid w:val="00F42C11"/>
    <w:rsid w:val="00F478E2"/>
    <w:rsid w:val="00F51416"/>
    <w:rsid w:val="00F52639"/>
    <w:rsid w:val="00F539B9"/>
    <w:rsid w:val="00F611E7"/>
    <w:rsid w:val="00F634E4"/>
    <w:rsid w:val="00F76389"/>
    <w:rsid w:val="00F94AAF"/>
    <w:rsid w:val="00FA2772"/>
    <w:rsid w:val="00FA4B1F"/>
    <w:rsid w:val="00FB2126"/>
    <w:rsid w:val="00FB388D"/>
    <w:rsid w:val="00FB6914"/>
    <w:rsid w:val="00FC113E"/>
    <w:rsid w:val="00FC2233"/>
    <w:rsid w:val="00FC2BBC"/>
    <w:rsid w:val="00FD1900"/>
    <w:rsid w:val="00FE0E58"/>
    <w:rsid w:val="00FE2CAC"/>
    <w:rsid w:val="00FE57AA"/>
    <w:rsid w:val="00FF442E"/>
    <w:rsid w:val="011E0E1B"/>
    <w:rsid w:val="04E00927"/>
    <w:rsid w:val="079324F0"/>
    <w:rsid w:val="08C12844"/>
    <w:rsid w:val="09AF7214"/>
    <w:rsid w:val="0AB84D0E"/>
    <w:rsid w:val="0BC1638D"/>
    <w:rsid w:val="0CE5073C"/>
    <w:rsid w:val="0D4A63A0"/>
    <w:rsid w:val="0F1F3AF7"/>
    <w:rsid w:val="0F35369B"/>
    <w:rsid w:val="18326CAB"/>
    <w:rsid w:val="18B32A92"/>
    <w:rsid w:val="1A82318C"/>
    <w:rsid w:val="1ADA0357"/>
    <w:rsid w:val="1B0616F1"/>
    <w:rsid w:val="1C58699D"/>
    <w:rsid w:val="1E8B2577"/>
    <w:rsid w:val="1FAA6346"/>
    <w:rsid w:val="1FFF4985"/>
    <w:rsid w:val="21B00F44"/>
    <w:rsid w:val="25CD7D5C"/>
    <w:rsid w:val="25EE7A1A"/>
    <w:rsid w:val="270B5EB5"/>
    <w:rsid w:val="27113838"/>
    <w:rsid w:val="280C1C4F"/>
    <w:rsid w:val="2B0F281A"/>
    <w:rsid w:val="2C843AB5"/>
    <w:rsid w:val="2D895C4C"/>
    <w:rsid w:val="2F1C3757"/>
    <w:rsid w:val="2F6332E9"/>
    <w:rsid w:val="31102E48"/>
    <w:rsid w:val="323E1C80"/>
    <w:rsid w:val="34A81BBF"/>
    <w:rsid w:val="35954757"/>
    <w:rsid w:val="36B52E04"/>
    <w:rsid w:val="37D7630E"/>
    <w:rsid w:val="39477D26"/>
    <w:rsid w:val="39623412"/>
    <w:rsid w:val="3AE2217A"/>
    <w:rsid w:val="3D2B15B9"/>
    <w:rsid w:val="3D8F0A2E"/>
    <w:rsid w:val="3E86719B"/>
    <w:rsid w:val="3FD60B96"/>
    <w:rsid w:val="408847A8"/>
    <w:rsid w:val="41433CBC"/>
    <w:rsid w:val="41FE368F"/>
    <w:rsid w:val="42A52BEB"/>
    <w:rsid w:val="47840E3A"/>
    <w:rsid w:val="480A656D"/>
    <w:rsid w:val="49C7749C"/>
    <w:rsid w:val="4AFD0EEE"/>
    <w:rsid w:val="4D4B7289"/>
    <w:rsid w:val="541A1A62"/>
    <w:rsid w:val="56F731A6"/>
    <w:rsid w:val="57743FB8"/>
    <w:rsid w:val="57F70464"/>
    <w:rsid w:val="5971752F"/>
    <w:rsid w:val="59F94160"/>
    <w:rsid w:val="5B826D79"/>
    <w:rsid w:val="5B9D535B"/>
    <w:rsid w:val="5E5315A6"/>
    <w:rsid w:val="5E61355B"/>
    <w:rsid w:val="60747F1B"/>
    <w:rsid w:val="613F6CAD"/>
    <w:rsid w:val="61A02BBE"/>
    <w:rsid w:val="63244136"/>
    <w:rsid w:val="643D3C94"/>
    <w:rsid w:val="65276857"/>
    <w:rsid w:val="6650370B"/>
    <w:rsid w:val="67010066"/>
    <w:rsid w:val="678B489B"/>
    <w:rsid w:val="6A12054E"/>
    <w:rsid w:val="6E091601"/>
    <w:rsid w:val="6F45435E"/>
    <w:rsid w:val="6F7C65FA"/>
    <w:rsid w:val="70882B38"/>
    <w:rsid w:val="72B172DF"/>
    <w:rsid w:val="75030C49"/>
    <w:rsid w:val="758B0767"/>
    <w:rsid w:val="76065B94"/>
    <w:rsid w:val="77E872FF"/>
    <w:rsid w:val="79B86AB9"/>
    <w:rsid w:val="7AF03942"/>
    <w:rsid w:val="7D7A21F4"/>
    <w:rsid w:val="7E955F2E"/>
    <w:rsid w:val="7EE50DF7"/>
    <w:rsid w:val="7FA43B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宋体" w:hAnsi="宋体" w:cs="Arial"/>
      <w:b/>
      <w:bCs/>
      <w:sz w:val="28"/>
      <w:szCs w:val="18"/>
    </w:rPr>
  </w:style>
  <w:style w:type="paragraph" w:styleId="3">
    <w:name w:val="heading 4"/>
    <w:basedOn w:val="1"/>
    <w:next w:val="4"/>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5">
    <w:name w:val="heading 5"/>
    <w:basedOn w:val="1"/>
    <w:next w:val="4"/>
    <w:qFormat/>
    <w:uiPriority w:val="0"/>
    <w:pPr>
      <w:keepNext/>
      <w:keepLines/>
      <w:numPr>
        <w:ilvl w:val="4"/>
        <w:numId w:val="1"/>
      </w:numPr>
      <w:spacing w:before="280" w:after="290" w:line="376" w:lineRule="auto"/>
      <w:outlineLvl w:val="4"/>
    </w:pPr>
    <w:rPr>
      <w:b/>
      <w:sz w:val="28"/>
      <w:szCs w:val="20"/>
    </w:rPr>
  </w:style>
  <w:style w:type="paragraph" w:styleId="6">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7">
    <w:name w:val="heading 7"/>
    <w:basedOn w:val="1"/>
    <w:next w:val="4"/>
    <w:qFormat/>
    <w:uiPriority w:val="0"/>
    <w:pPr>
      <w:keepNext/>
      <w:keepLines/>
      <w:numPr>
        <w:ilvl w:val="6"/>
        <w:numId w:val="1"/>
      </w:numPr>
      <w:spacing w:before="240" w:after="64" w:line="320" w:lineRule="auto"/>
      <w:outlineLvl w:val="6"/>
    </w:pPr>
    <w:rPr>
      <w:b/>
      <w:sz w:val="24"/>
      <w:szCs w:val="20"/>
    </w:rPr>
  </w:style>
  <w:style w:type="paragraph" w:styleId="8">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9">
    <w:name w:val="heading 9"/>
    <w:basedOn w:val="1"/>
    <w:next w:val="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5">
    <w:name w:val="Default Paragraph Font"/>
    <w:semiHidden/>
    <w:qFormat/>
    <w:uiPriority w:val="0"/>
  </w:style>
  <w:style w:type="table" w:default="1" w:styleId="22">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hint="eastAsia" w:ascii="宋体" w:hAnsi="Courier New"/>
      <w:szCs w:val="20"/>
    </w:rPr>
  </w:style>
  <w:style w:type="paragraph" w:styleId="10">
    <w:name w:val="annotation text"/>
    <w:basedOn w:val="1"/>
    <w:semiHidden/>
    <w:qFormat/>
    <w:uiPriority w:val="0"/>
    <w:pPr>
      <w:jc w:val="left"/>
    </w:pPr>
  </w:style>
  <w:style w:type="paragraph" w:styleId="11">
    <w:name w:val="Body Text 3"/>
    <w:basedOn w:val="1"/>
    <w:uiPriority w:val="0"/>
    <w:pPr>
      <w:spacing w:after="120"/>
    </w:pPr>
    <w:rPr>
      <w:sz w:val="16"/>
      <w:szCs w:val="16"/>
    </w:rPr>
  </w:style>
  <w:style w:type="paragraph" w:styleId="12">
    <w:name w:val="Body Text Indent"/>
    <w:basedOn w:val="1"/>
    <w:qFormat/>
    <w:uiPriority w:val="0"/>
    <w:pPr>
      <w:spacing w:line="400" w:lineRule="atLeast"/>
      <w:ind w:left="210" w:firstLine="210"/>
    </w:pPr>
    <w:rPr>
      <w:rFonts w:hint="eastAsia" w:ascii="宋体" w:hAnsi="宋体"/>
      <w:szCs w:val="20"/>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4">
    <w:name w:val="Date"/>
    <w:basedOn w:val="1"/>
    <w:next w:val="1"/>
    <w:qFormat/>
    <w:uiPriority w:val="0"/>
    <w:pPr>
      <w:ind w:left="100" w:leftChars="2500"/>
    </w:pPr>
    <w:rPr>
      <w:rFonts w:ascii="仿宋_GB2312" w:eastAsia="仿宋_GB2312"/>
      <w:b/>
      <w:sz w:val="36"/>
      <w:szCs w:val="36"/>
    </w:rPr>
  </w:style>
  <w:style w:type="paragraph" w:styleId="15">
    <w:name w:val="Body Text Indent 2"/>
    <w:basedOn w:val="1"/>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semiHidden/>
    <w:uiPriority w:val="0"/>
    <w:rPr>
      <w:sz w:val="18"/>
      <w:szCs w:val="18"/>
    </w:rPr>
  </w:style>
  <w:style w:type="paragraph" w:styleId="17">
    <w:name w:val="footer"/>
    <w:basedOn w:val="1"/>
    <w:link w:val="30"/>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spacing w:line="360" w:lineRule="auto"/>
      <w:ind w:left="124" w:leftChars="59"/>
    </w:pPr>
    <w:rPr>
      <w:rFonts w:ascii="仿宋_GB2312" w:hAnsi="宋体" w:eastAsia="仿宋_GB2312"/>
      <w:sz w:val="28"/>
      <w:szCs w:val="21"/>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annotation subject"/>
    <w:basedOn w:val="10"/>
    <w:next w:val="10"/>
    <w:semiHidden/>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Elegant"/>
    <w:basedOn w:val="2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FollowedHyperlink"/>
    <w:basedOn w:val="25"/>
    <w:qFormat/>
    <w:uiPriority w:val="0"/>
    <w:rPr>
      <w:color w:val="800080"/>
      <w:u w:val="single"/>
    </w:rPr>
  </w:style>
  <w:style w:type="character" w:styleId="28">
    <w:name w:val="Hyperlink"/>
    <w:basedOn w:val="25"/>
    <w:qFormat/>
    <w:uiPriority w:val="0"/>
    <w:rPr>
      <w:rFonts w:eastAsia="仿宋_GB2312"/>
      <w:bCs/>
    </w:rPr>
  </w:style>
  <w:style w:type="character" w:styleId="29">
    <w:name w:val="annotation reference"/>
    <w:basedOn w:val="25"/>
    <w:semiHidden/>
    <w:qFormat/>
    <w:uiPriority w:val="0"/>
    <w:rPr>
      <w:sz w:val="21"/>
      <w:szCs w:val="21"/>
    </w:rPr>
  </w:style>
  <w:style w:type="character" w:customStyle="1" w:styleId="30">
    <w:name w:val="页脚 Char"/>
    <w:link w:val="17"/>
    <w:qFormat/>
    <w:uiPriority w:val="0"/>
    <w:rPr>
      <w:rFonts w:eastAsia="宋体"/>
      <w:kern w:val="2"/>
      <w:sz w:val="18"/>
      <w:szCs w:val="18"/>
      <w:lang w:val="en-US" w:eastAsia="zh-CN" w:bidi="ar-SA"/>
    </w:rPr>
  </w:style>
  <w:style w:type="character" w:customStyle="1" w:styleId="31">
    <w:name w:val="样式 小四"/>
    <w:basedOn w:val="25"/>
    <w:qFormat/>
    <w:uiPriority w:val="0"/>
    <w:rPr>
      <w:sz w:val="21"/>
    </w:rPr>
  </w:style>
  <w:style w:type="character" w:customStyle="1" w:styleId="32">
    <w:name w:val="标题 3 Char Char"/>
    <w:basedOn w:val="25"/>
    <w:qFormat/>
    <w:uiPriority w:val="0"/>
    <w:rPr>
      <w:rFonts w:eastAsia="黑体"/>
      <w:b/>
      <w:bCs/>
      <w:kern w:val="2"/>
      <w:sz w:val="30"/>
      <w:szCs w:val="32"/>
      <w:lang w:val="en-US" w:eastAsia="zh-CN" w:bidi="ar-SA"/>
    </w:rPr>
  </w:style>
  <w:style w:type="character" w:customStyle="1" w:styleId="33">
    <w:name w:val="large1"/>
    <w:basedOn w:val="25"/>
    <w:qFormat/>
    <w:uiPriority w:val="0"/>
    <w:rPr>
      <w:rFonts w:hint="eastAsia" w:ascii="宋体" w:hAnsi="宋体" w:eastAsia="宋体"/>
      <w:sz w:val="21"/>
      <w:szCs w:val="21"/>
    </w:rPr>
  </w:style>
  <w:style w:type="character" w:customStyle="1" w:styleId="34">
    <w:name w:val="141"/>
    <w:basedOn w:val="25"/>
    <w:qFormat/>
    <w:uiPriority w:val="0"/>
    <w:rPr>
      <w:sz w:val="21"/>
      <w:szCs w:val="21"/>
    </w:rPr>
  </w:style>
  <w:style w:type="character" w:customStyle="1" w:styleId="35">
    <w:name w:val="bulletintext1"/>
    <w:basedOn w:val="25"/>
    <w:qFormat/>
    <w:uiPriority w:val="0"/>
    <w:rPr>
      <w:color w:val="000000"/>
      <w:sz w:val="18"/>
      <w:szCs w:val="18"/>
    </w:rPr>
  </w:style>
  <w:style w:type="paragraph" w:customStyle="1" w:styleId="36">
    <w:name w:val=" Char2"/>
    <w:basedOn w:val="1"/>
    <w:qFormat/>
    <w:uiPriority w:val="0"/>
  </w:style>
  <w:style w:type="paragraph" w:customStyle="1" w:styleId="37">
    <w:name w:val="ss4"/>
    <w:basedOn w:val="1"/>
    <w:qFormat/>
    <w:uiPriority w:val="0"/>
    <w:pPr>
      <w:widowControl/>
      <w:spacing w:before="100" w:beforeAutospacing="1" w:after="100" w:afterAutospacing="1"/>
      <w:jc w:val="left"/>
    </w:pPr>
    <w:rPr>
      <w:rFonts w:hint="eastAsia" w:ascii="宋体" w:hAnsi="宋体"/>
      <w:color w:val="B80022"/>
      <w:kern w:val="0"/>
      <w:sz w:val="18"/>
      <w:szCs w:val="18"/>
    </w:rPr>
  </w:style>
  <w:style w:type="paragraph" w:customStyle="1" w:styleId="38">
    <w:name w:val="正文－恩普"/>
    <w:basedOn w:val="4"/>
    <w:qFormat/>
    <w:uiPriority w:val="0"/>
    <w:pPr>
      <w:framePr w:wrap="around" w:vAnchor="text" w:hAnchor="text" w:y="1"/>
      <w:spacing w:line="360" w:lineRule="auto"/>
      <w:ind w:firstLine="200" w:firstLineChars="200"/>
    </w:pPr>
    <w:rPr>
      <w:rFonts w:hint="default" w:ascii="Times New Roman" w:hAnsi="Times New Roman"/>
      <w:sz w:val="24"/>
      <w:szCs w:val="24"/>
    </w:rPr>
  </w:style>
  <w:style w:type="paragraph" w:customStyle="1" w:styleId="39">
    <w:name w:val="Table Text"/>
    <w:basedOn w:val="1"/>
    <w:qFormat/>
    <w:uiPriority w:val="0"/>
    <w:pPr>
      <w:widowControl/>
      <w:spacing w:before="60" w:after="60"/>
      <w:jc w:val="left"/>
    </w:pPr>
    <w:rPr>
      <w:kern w:val="0"/>
      <w:sz w:val="24"/>
    </w:rPr>
  </w:style>
  <w:style w:type="character" w:customStyle="1" w:styleId="40">
    <w:name w:val="NormalCharacter"/>
    <w:semiHidden/>
    <w:qFormat/>
    <w:uiPriority w:val="0"/>
  </w:style>
  <w:style w:type="paragraph" w:customStyle="1" w:styleId="41">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5950</Words>
  <Characters>6232</Characters>
  <Lines>51</Lines>
  <Paragraphs>14</Paragraphs>
  <TotalTime>10</TotalTime>
  <ScaleCrop>false</ScaleCrop>
  <LinksUpToDate>false</LinksUpToDate>
  <CharactersWithSpaces>6865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2023-09-21T09:51:00Z</dcterms:created>
  <dc:creator>l</dc:creator>
  <cp:lastModifiedBy>WIN10母机</cp:lastModifiedBy>
  <cp:lastPrinted>2015-04-21T06:11:00Z</cp:lastPrinted>
  <dcterms:modified xsi:type="dcterms:W3CDTF">2025-07-01T06:44:18Z</dcterms:modified>
  <dc:title>政府采购招标文件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5187B9DDD76C4DFE9928FB5E9D45ED07_13</vt:lpwstr>
  </property>
  <property fmtid="{D5CDD505-2E9C-101B-9397-08002B2CF9AE}" pid="4" name="KSOTemplateDocerSaveRecord">
    <vt:lpwstr>eyJoZGlkIjoiZmE4MDk1MzMyNzMyNzk3YWVhNjNhNTVkNWRiYWJkOTgifQ==</vt:lpwstr>
  </property>
</Properties>
</file>