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2025学年杭州市余杭区良渚第二中学食堂服务外包项目</w:t>
      </w: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编号:ZFCG-SX2025-045</w:t>
      </w:r>
      <w:r>
        <w:rPr>
          <w:rFonts w:hint="eastAsia" w:ascii="宋体" w:hAnsi="宋体" w:cs="宋体"/>
          <w:color w:val="auto"/>
          <w:sz w:val="30"/>
          <w:szCs w:val="30"/>
          <w:highlight w:val="none"/>
          <w:lang w:val="en-US" w:eastAsia="zh-CN"/>
        </w:rPr>
        <w:t>）</w:t>
      </w:r>
    </w:p>
    <w:p w14:paraId="2458756D">
      <w:pPr>
        <w:adjustRightInd/>
        <w:spacing w:line="360" w:lineRule="auto"/>
        <w:rPr>
          <w:rFonts w:ascii="宋体" w:hAnsi="宋体" w:cs="宋体"/>
          <w:color w:val="auto"/>
          <w:sz w:val="28"/>
          <w:szCs w:val="20"/>
          <w:highlight w:val="none"/>
        </w:rPr>
      </w:pPr>
    </w:p>
    <w:p w14:paraId="18BD316B">
      <w:pPr>
        <w:spacing w:line="360" w:lineRule="auto"/>
        <w:jc w:val="center"/>
        <w:rPr>
          <w:rFonts w:hint="eastAsia" w:ascii="宋体" w:hAnsi="宋体" w:cs="宋体"/>
          <w:b/>
          <w:color w:val="auto"/>
          <w:sz w:val="44"/>
          <w:szCs w:val="44"/>
          <w:highlight w:val="none"/>
        </w:rPr>
      </w:pPr>
    </w:p>
    <w:p w14:paraId="30AFA0E7">
      <w:pPr>
        <w:spacing w:line="360" w:lineRule="auto"/>
        <w:jc w:val="center"/>
        <w:rPr>
          <w:rFonts w:hint="eastAsia" w:ascii="宋体" w:hAnsi="宋体" w:cs="宋体"/>
          <w:b/>
          <w:color w:val="auto"/>
          <w:sz w:val="44"/>
          <w:szCs w:val="44"/>
          <w:highlight w:val="none"/>
        </w:rPr>
      </w:pPr>
    </w:p>
    <w:p w14:paraId="581386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79"/>
        <w:rPr>
          <w:rFonts w:ascii="宋体" w:hAnsi="宋体" w:cs="宋体"/>
          <w:color w:val="auto"/>
          <w:sz w:val="24"/>
          <w:highlight w:val="none"/>
        </w:rPr>
      </w:pPr>
    </w:p>
    <w:p w14:paraId="6C6078F5">
      <w:pPr>
        <w:pStyle w:val="79"/>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杭州市余杭区良渚第二中学</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eastAsia="宋体" w:cs="宋体"/>
          <w:color w:val="auto"/>
          <w:sz w:val="32"/>
          <w:szCs w:val="32"/>
          <w:highlight w:val="none"/>
          <w:lang w:val="en-US" w:eastAsia="zh-CN"/>
        </w:rPr>
        <w:t>杭州盛新项目管理咨询有限公司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snapToGrid w:val="0"/>
          <w:color w:val="auto"/>
          <w:kern w:val="28"/>
          <w:sz w:val="24"/>
          <w:szCs w:val="20"/>
          <w:highlight w:val="none"/>
          <w:u w:val="single"/>
          <w:lang w:val="en-US" w:eastAsia="zh-CN" w:bidi="ar-SA"/>
        </w:rPr>
        <w:t>2025学年杭州市余杭区良渚第二中学食堂服务外包项目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6"/>
          <w:rFonts w:hint="eastAsia" w:ascii="宋体" w:hAnsi="宋体" w:cs="宋体"/>
          <w:snapToGrid/>
          <w:color w:val="FF0000"/>
          <w:kern w:val="2"/>
          <w:sz w:val="24"/>
          <w:szCs w:val="24"/>
          <w:highlight w:val="none"/>
          <w:lang w:val="en-US" w:eastAsia="zh-CN"/>
        </w:rPr>
        <w:t>8</w:t>
      </w:r>
      <w:r>
        <w:rPr>
          <w:rStyle w:val="76"/>
          <w:rFonts w:hint="eastAsia" w:ascii="宋体" w:hAnsi="宋体" w:eastAsia="宋体" w:cs="宋体"/>
          <w:snapToGrid/>
          <w:color w:val="FF0000"/>
          <w:kern w:val="2"/>
          <w:sz w:val="24"/>
          <w:szCs w:val="24"/>
          <w:highlight w:val="none"/>
        </w:rPr>
        <w:t>月</w:t>
      </w:r>
      <w:r>
        <w:rPr>
          <w:rStyle w:val="76"/>
          <w:rFonts w:hint="eastAsia" w:ascii="宋体" w:hAnsi="宋体" w:cs="宋体"/>
          <w:snapToGrid/>
          <w:color w:val="FF0000"/>
          <w:kern w:val="2"/>
          <w:sz w:val="24"/>
          <w:szCs w:val="24"/>
          <w:highlight w:val="none"/>
          <w:lang w:val="en-US" w:eastAsia="zh-CN"/>
        </w:rPr>
        <w:t xml:space="preserve">  </w:t>
      </w:r>
      <w:r>
        <w:rPr>
          <w:rStyle w:val="76"/>
          <w:rFonts w:hint="eastAsia" w:ascii="宋体" w:hAnsi="宋体" w:eastAsia="宋体" w:cs="宋体"/>
          <w:snapToGrid/>
          <w:color w:val="FF0000"/>
          <w:kern w:val="2"/>
          <w:sz w:val="24"/>
          <w:szCs w:val="24"/>
          <w:highlight w:val="none"/>
        </w:rPr>
        <w:t>日</w:t>
      </w:r>
      <w:r>
        <w:rPr>
          <w:rStyle w:val="76"/>
          <w:rFonts w:hint="eastAsia" w:ascii="宋体" w:hAnsi="宋体" w:cs="宋体"/>
          <w:snapToGrid/>
          <w:color w:val="FF0000"/>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 xml:space="preserve">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eastAsia="宋体" w:cs="宋体"/>
          <w:snapToGrid w:val="0"/>
          <w:color w:val="auto"/>
          <w:kern w:val="28"/>
          <w:sz w:val="24"/>
          <w:szCs w:val="20"/>
          <w:highlight w:val="none"/>
          <w:u w:val="single"/>
          <w:lang w:val="en-US" w:eastAsia="zh-CN" w:bidi="ar-SA"/>
        </w:rPr>
        <w:t>ZFCG-SX2025-045</w:t>
      </w:r>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snapToGrid w:val="0"/>
          <w:color w:val="auto"/>
          <w:kern w:val="28"/>
          <w:sz w:val="24"/>
          <w:szCs w:val="20"/>
          <w:highlight w:val="none"/>
          <w:u w:val="single"/>
          <w:lang w:val="en-US" w:eastAsia="zh-CN" w:bidi="ar-SA"/>
        </w:rPr>
        <w:t>2025学年杭州市余杭区良渚第二中学食堂服务外包项目</w:t>
      </w:r>
    </w:p>
    <w:p w14:paraId="3B352F19">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2615800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2615800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val="0"/>
          <w:color w:val="auto"/>
          <w:kern w:val="28"/>
          <w:sz w:val="24"/>
          <w:szCs w:val="20"/>
          <w:highlight w:val="none"/>
          <w:u w:val="single"/>
          <w:lang w:val="en-US" w:eastAsia="zh-CN" w:bidi="ar-SA"/>
        </w:rPr>
        <w:t>2025学年杭州市余杭区良渚第二中学食堂服务外包项目</w:t>
      </w:r>
      <w:r>
        <w:rPr>
          <w:rFonts w:hint="eastAsia" w:ascii="宋体" w:hAnsi="宋体" w:cs="宋体"/>
          <w:b w:val="0"/>
          <w:bCs/>
          <w:color w:val="auto"/>
          <w:sz w:val="24"/>
          <w:highlight w:val="none"/>
          <w:lang w:val="en-US" w:eastAsia="zh-CN"/>
        </w:rPr>
        <w:t>。</w:t>
      </w:r>
      <w:r>
        <w:rPr>
          <w:rFonts w:hint="eastAsia" w:hAnsi="宋体" w:cs="宋体"/>
          <w:bCs/>
          <w:snapToGrid/>
          <w:color w:val="auto"/>
          <w:kern w:val="2"/>
          <w:sz w:val="24"/>
          <w:szCs w:val="24"/>
          <w:highlight w:val="none"/>
        </w:rPr>
        <w:t>主要内容：</w:t>
      </w:r>
      <w:r>
        <w:rPr>
          <w:rFonts w:hint="eastAsia" w:ascii="宋体" w:hAnsi="宋体" w:eastAsia="宋体" w:cs="宋体"/>
          <w:snapToGrid w:val="0"/>
          <w:color w:val="auto"/>
          <w:kern w:val="28"/>
          <w:sz w:val="24"/>
          <w:szCs w:val="20"/>
          <w:highlight w:val="none"/>
          <w:u w:val="single"/>
          <w:lang w:val="en-US" w:eastAsia="zh-CN" w:bidi="ar-SA"/>
        </w:rPr>
        <w:t>2025学年杭州市余杭区良渚第二中学食堂服务外包项目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合同履约期限：详见招标文件第三部分采购需求</w:t>
      </w:r>
      <w:r>
        <w:rPr>
          <w:rFonts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p>
    <w:p w14:paraId="675998BC">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FF0000"/>
          <w:sz w:val="24"/>
          <w:highlight w:val="none"/>
          <w:u w:val="single"/>
          <w:lang w:val="en-US" w:eastAsia="zh-CN"/>
        </w:rPr>
        <w:t>8</w:t>
      </w:r>
      <w:r>
        <w:rPr>
          <w:rFonts w:hint="eastAsia" w:ascii="宋体" w:hAnsi="宋体" w:cs="宋体"/>
          <w:color w:val="FF0000"/>
          <w:sz w:val="24"/>
          <w:highlight w:val="none"/>
          <w:u w:val="single"/>
        </w:rPr>
        <w:t xml:space="preserve">月 </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rPr>
        <w:t xml:space="preserve"> 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8</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rPr>
        <w:t>20</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8</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杭州市余杭区良渚</w:t>
      </w:r>
      <w:r>
        <w:rPr>
          <w:rFonts w:hint="eastAsia" w:ascii="宋体" w:hAnsi="宋体" w:cs="宋体"/>
          <w:color w:val="auto"/>
          <w:sz w:val="24"/>
          <w:highlight w:val="none"/>
          <w:lang w:val="en-US" w:eastAsia="zh-CN"/>
        </w:rPr>
        <w:t>第二中学</w:t>
      </w:r>
    </w:p>
    <w:p w14:paraId="1B200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良渚街道</w:t>
      </w:r>
      <w:r>
        <w:rPr>
          <w:rFonts w:hint="eastAsia" w:ascii="宋体" w:hAnsi="宋体" w:cs="宋体"/>
          <w:color w:val="auto"/>
          <w:sz w:val="24"/>
          <w:highlight w:val="none"/>
        </w:rPr>
        <w:t xml:space="preserve">       </w:t>
      </w:r>
    </w:p>
    <w:p w14:paraId="0610BA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B553B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王老师</w:t>
      </w:r>
      <w:r>
        <w:rPr>
          <w:rFonts w:hint="eastAsia" w:ascii="宋体" w:hAnsi="宋体" w:cs="宋体"/>
          <w:color w:val="auto"/>
          <w:sz w:val="24"/>
          <w:highlight w:val="none"/>
        </w:rPr>
        <w:t xml:space="preserve">  </w:t>
      </w:r>
    </w:p>
    <w:p w14:paraId="29CD8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0571- 88752412</w:t>
      </w:r>
      <w:r>
        <w:rPr>
          <w:rFonts w:hint="eastAsia" w:ascii="宋体" w:hAnsi="宋体" w:cs="宋体"/>
          <w:color w:val="auto"/>
          <w:sz w:val="24"/>
          <w:highlight w:val="none"/>
        </w:rPr>
        <w:t xml:space="preserve"> </w:t>
      </w:r>
    </w:p>
    <w:p w14:paraId="2C83C0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章老师</w:t>
      </w:r>
      <w:r>
        <w:rPr>
          <w:rFonts w:hint="eastAsia" w:ascii="宋体" w:hAnsi="宋体" w:cs="宋体"/>
          <w:color w:val="auto"/>
          <w:sz w:val="24"/>
          <w:highlight w:val="none"/>
        </w:rPr>
        <w:t xml:space="preserve"> </w:t>
      </w:r>
    </w:p>
    <w:p w14:paraId="7956A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18072726186</w:t>
      </w:r>
      <w:r>
        <w:rPr>
          <w:rFonts w:hint="eastAsia" w:ascii="宋体" w:hAnsi="宋体" w:cs="宋体"/>
          <w:color w:val="auto"/>
          <w:sz w:val="24"/>
          <w:highlight w:val="none"/>
        </w:rPr>
        <w:t xml:space="preserve">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杭州盛新项目管理咨询有限公司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杭州市余杭区瓶窑镇瓶仓大道966号2幢506—2室</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江美娟</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13967165271</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eastAsia="宋体" w:cs="宋体"/>
          <w:color w:val="auto"/>
          <w:sz w:val="24"/>
          <w:highlight w:val="none"/>
          <w:lang w:val="en-US" w:eastAsia="zh-CN"/>
        </w:rPr>
        <w:t>徐</w:t>
      </w:r>
      <w:r>
        <w:rPr>
          <w:rFonts w:hint="eastAsia" w:ascii="宋体" w:hAnsi="宋体" w:cs="宋体"/>
          <w:color w:val="auto"/>
          <w:sz w:val="24"/>
          <w:highlight w:val="none"/>
          <w:lang w:val="en-US" w:eastAsia="zh-CN"/>
        </w:rPr>
        <w:t>工</w:t>
      </w:r>
    </w:p>
    <w:p w14:paraId="663232C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0571-89089909</w:t>
      </w:r>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6ECB0C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snapToGrid w:val="0"/>
                <w:color w:val="auto"/>
                <w:kern w:val="28"/>
                <w:sz w:val="24"/>
                <w:szCs w:val="20"/>
                <w:highlight w:val="none"/>
                <w:u w:val="single"/>
                <w:lang w:val="en-US" w:eastAsia="zh-CN" w:bidi="ar-SA"/>
              </w:rPr>
              <w:t>2025学年杭州市余杭区良渚第二中学食堂服务外包项目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1"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杭州市余杭区瓶窑镇瓶仓大道966号2幢506—2室</w:t>
            </w:r>
            <w:r>
              <w:rPr>
                <w:rFonts w:hint="eastAsia" w:hAnsi="宋体" w:cs="宋体"/>
                <w:color w:val="auto"/>
                <w:sz w:val="24"/>
                <w:highlight w:val="none"/>
                <w:u w:val="single"/>
                <w:lang w:val="en-US" w:eastAsia="zh-CN"/>
              </w:rPr>
              <w:t>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13967165271</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F062E2B">
            <w:pPr>
              <w:spacing w:line="360" w:lineRule="auto"/>
              <w:rPr>
                <w:rFonts w:hint="eastAsia" w:ascii="宋体" w:hAnsi="宋体" w:eastAsia="宋体" w:cs="宋体"/>
                <w:color w:val="auto"/>
                <w:kern w:val="0"/>
                <w:sz w:val="24"/>
                <w:highlight w:val="none"/>
                <w:lang w:val="en" w:eastAsia="zh-CN"/>
              </w:rPr>
            </w:pPr>
            <w:r>
              <w:rPr>
                <w:rFonts w:hint="eastAsia"/>
                <w:sz w:val="24"/>
                <w:szCs w:val="24"/>
                <w:highlight w:val="none"/>
              </w:rPr>
              <w:t>本项目的招标代理费用由中标单位支付，</w:t>
            </w:r>
            <w:r>
              <w:rPr>
                <w:rFonts w:hint="eastAsia" w:ascii="Times New Roman" w:hAnsi="Times New Roman" w:eastAsia="宋体" w:cs="Times New Roman"/>
                <w:kern w:val="2"/>
                <w:sz w:val="24"/>
                <w:szCs w:val="24"/>
                <w:highlight w:val="none"/>
              </w:rPr>
              <w:t>代理服务费按照国家计委印发的《招标代理服务收费管理暂行办法》计价格[2002]1980号文件计取</w:t>
            </w:r>
            <w:r>
              <w:rPr>
                <w:rFonts w:hint="eastAsia"/>
                <w:color w:val="auto"/>
                <w:sz w:val="24"/>
                <w:szCs w:val="24"/>
                <w:highlight w:val="none"/>
                <w:lang w:val="en-US" w:eastAsia="zh-CN"/>
              </w:rPr>
              <w:t>，专家评审费按时结算</w:t>
            </w:r>
            <w:r>
              <w:rPr>
                <w:rFonts w:hint="eastAsia"/>
                <w:sz w:val="24"/>
                <w:szCs w:val="24"/>
                <w:highlight w:val="none"/>
              </w:rPr>
              <w:t>直接支付给分散采购招标代理单位。</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2"/>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5"/>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75236011"/>
      <w:bookmarkEnd w:id="17"/>
      <w:bookmarkStart w:id="18" w:name="_Hlt75236290"/>
      <w:bookmarkEnd w:id="18"/>
      <w:bookmarkStart w:id="19" w:name="_Hlt68403820"/>
      <w:bookmarkEnd w:id="19"/>
      <w:bookmarkStart w:id="20" w:name="_Hlt68072998"/>
      <w:bookmarkEnd w:id="20"/>
      <w:bookmarkStart w:id="21" w:name="_Hlt68057669"/>
      <w:bookmarkEnd w:id="21"/>
      <w:bookmarkStart w:id="22" w:name="_Hlt74714665"/>
      <w:bookmarkEnd w:id="22"/>
      <w:bookmarkStart w:id="23" w:name="_Hlt74729768"/>
      <w:bookmarkEnd w:id="23"/>
      <w:bookmarkStart w:id="24" w:name="_Hlt68072990"/>
      <w:bookmarkEnd w:id="24"/>
      <w:bookmarkStart w:id="25" w:name="_Hlt75236101"/>
      <w:bookmarkEnd w:id="25"/>
      <w:bookmarkStart w:id="26" w:name="_Hlt7470746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6A880BC6">
      <w:pPr>
        <w:keepNext w:val="0"/>
        <w:keepLines w:val="0"/>
        <w:pageBreakBefore w:val="0"/>
        <w:numPr>
          <w:ilvl w:val="0"/>
          <w:numId w:val="3"/>
        </w:numPr>
        <w:kinsoku/>
        <w:wordWrap/>
        <w:overflowPunct/>
        <w:topLinePunct w:val="0"/>
        <w:bidi w:val="0"/>
        <w:adjustRightInd w:val="0"/>
        <w:snapToGrid w:val="0"/>
        <w:spacing w:line="360" w:lineRule="auto"/>
        <w:ind w:left="420"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基本情况</w:t>
      </w:r>
    </w:p>
    <w:p w14:paraId="7FBA1EE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b w:val="0"/>
          <w:bCs w:val="0"/>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杭州市余杭区</w:t>
      </w:r>
      <w:r>
        <w:rPr>
          <w:rFonts w:hint="eastAsia" w:ascii="宋体" w:hAnsi="宋体" w:cs="Times New Roman"/>
          <w:color w:val="auto"/>
          <w:sz w:val="24"/>
          <w:lang w:val="en-US" w:eastAsia="zh-CN"/>
        </w:rPr>
        <w:t>良渚</w:t>
      </w:r>
      <w:r>
        <w:rPr>
          <w:rFonts w:hint="eastAsia" w:ascii="宋体" w:hAnsi="宋体" w:eastAsia="宋体" w:cs="Times New Roman"/>
          <w:color w:val="auto"/>
          <w:sz w:val="24"/>
          <w:lang w:val="en-US" w:eastAsia="zh-CN"/>
        </w:rPr>
        <w:t>第</w:t>
      </w:r>
      <w:r>
        <w:rPr>
          <w:rFonts w:hint="eastAsia" w:ascii="宋体" w:hAnsi="宋体" w:cs="Times New Roman"/>
          <w:color w:val="auto"/>
          <w:sz w:val="24"/>
          <w:lang w:val="en-US" w:eastAsia="zh-CN"/>
        </w:rPr>
        <w:t>二</w:t>
      </w:r>
      <w:r>
        <w:rPr>
          <w:rFonts w:hint="eastAsia" w:ascii="宋体" w:hAnsi="宋体" w:eastAsia="宋体" w:cs="Times New Roman"/>
          <w:color w:val="auto"/>
          <w:sz w:val="24"/>
          <w:lang w:val="en-US" w:eastAsia="zh-CN"/>
        </w:rPr>
        <w:t>中学</w:t>
      </w:r>
      <w:r>
        <w:rPr>
          <w:rFonts w:hint="eastAsia" w:ascii="宋体" w:hAnsi="宋体" w:eastAsia="宋体" w:cs="Times New Roman"/>
          <w:color w:val="auto"/>
          <w:sz w:val="24"/>
        </w:rPr>
        <w:t>，占地面积</w:t>
      </w:r>
      <w:r>
        <w:rPr>
          <w:rFonts w:hint="eastAsia" w:ascii="宋体" w:hAnsi="宋体" w:eastAsia="宋体" w:cs="Times New Roman"/>
          <w:color w:val="auto"/>
          <w:sz w:val="24"/>
          <w:lang w:val="en-US" w:eastAsia="zh-CN"/>
        </w:rPr>
        <w:t>约</w:t>
      </w:r>
      <w:r>
        <w:rPr>
          <w:rFonts w:hint="eastAsia" w:ascii="宋体" w:hAnsi="宋体" w:cs="Times New Roman"/>
          <w:color w:val="auto"/>
          <w:sz w:val="24"/>
          <w:lang w:val="en-US" w:eastAsia="zh-CN"/>
        </w:rPr>
        <w:t>2024</w:t>
      </w:r>
      <w:r>
        <w:rPr>
          <w:rFonts w:hint="eastAsia" w:ascii="宋体" w:hAnsi="宋体" w:eastAsia="宋体" w:cs="Times New Roman"/>
          <w:color w:val="auto"/>
          <w:sz w:val="24"/>
        </w:rPr>
        <w:t>平方米</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食堂建筑面积约</w:t>
      </w:r>
      <w:r>
        <w:rPr>
          <w:rFonts w:hint="eastAsia" w:ascii="宋体" w:hAnsi="宋体" w:cs="Times New Roman"/>
          <w:color w:val="auto"/>
          <w:sz w:val="24"/>
          <w:lang w:val="en-US" w:eastAsia="zh-CN"/>
        </w:rPr>
        <w:t>4055</w:t>
      </w:r>
      <w:r>
        <w:rPr>
          <w:rFonts w:hint="eastAsia" w:ascii="宋体" w:hAnsi="宋体" w:eastAsia="宋体" w:cs="Times New Roman"/>
          <w:color w:val="auto"/>
          <w:sz w:val="24"/>
        </w:rPr>
        <w:t>平米，有两个加工间和3个餐厅(1个教工餐厅，采用打餐制；2个学生餐厅</w:t>
      </w:r>
      <w:r>
        <w:rPr>
          <w:rFonts w:hint="eastAsia" w:ascii="宋体" w:hAnsi="宋体" w:cs="Times New Roman"/>
          <w:color w:val="auto"/>
          <w:sz w:val="24"/>
          <w:lang w:eastAsia="zh-CN"/>
        </w:rPr>
        <w:t>）</w:t>
      </w:r>
      <w:r>
        <w:rPr>
          <w:rFonts w:hint="eastAsia" w:ascii="宋体" w:hAnsi="宋体" w:eastAsia="宋体" w:cs="Times New Roman"/>
          <w:color w:val="auto"/>
          <w:sz w:val="24"/>
          <w:lang w:val="en-US" w:eastAsia="zh-CN"/>
        </w:rPr>
        <w:t>；</w:t>
      </w:r>
      <w:r>
        <w:rPr>
          <w:rFonts w:hint="eastAsia" w:ascii="宋体" w:hAnsi="宋体" w:eastAsia="宋体" w:cs="Times New Roman"/>
          <w:b w:val="0"/>
          <w:bCs w:val="0"/>
          <w:color w:val="auto"/>
          <w:sz w:val="24"/>
          <w:lang w:val="en-US" w:eastAsia="zh-CN"/>
        </w:rPr>
        <w:t>在校师生约2</w:t>
      </w:r>
      <w:r>
        <w:rPr>
          <w:rFonts w:hint="eastAsia" w:ascii="宋体" w:hAnsi="宋体" w:cs="Times New Roman"/>
          <w:b w:val="0"/>
          <w:bCs w:val="0"/>
          <w:color w:val="auto"/>
          <w:sz w:val="24"/>
          <w:lang w:val="en-US" w:eastAsia="zh-CN"/>
        </w:rPr>
        <w:t>100</w:t>
      </w:r>
      <w:r>
        <w:rPr>
          <w:rFonts w:hint="eastAsia" w:ascii="宋体" w:hAnsi="宋体" w:eastAsia="宋体" w:cs="Times New Roman"/>
          <w:b w:val="0"/>
          <w:bCs w:val="0"/>
          <w:color w:val="auto"/>
          <w:sz w:val="24"/>
          <w:lang w:val="en-US" w:eastAsia="zh-CN"/>
        </w:rPr>
        <w:t>人，住校学生约300人；</w:t>
      </w:r>
    </w:p>
    <w:p w14:paraId="34E4A16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b w:val="0"/>
          <w:bCs w:val="0"/>
          <w:color w:val="auto"/>
          <w:sz w:val="24"/>
          <w:lang w:val="en-US" w:eastAsia="zh-CN"/>
        </w:rPr>
      </w:pPr>
      <w:r>
        <w:rPr>
          <w:rFonts w:hint="eastAsia" w:ascii="宋体" w:hAnsi="宋体" w:eastAsia="宋体" w:cs="Times New Roman"/>
          <w:b w:val="0"/>
          <w:bCs w:val="0"/>
          <w:color w:val="auto"/>
          <w:sz w:val="24"/>
          <w:lang w:val="en-US" w:eastAsia="zh-CN"/>
        </w:rPr>
        <w:t>2.本项目主要内容包括：</w:t>
      </w:r>
    </w:p>
    <w:p w14:paraId="5C54173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（1）主要为学校两个校区内办公人员及学生加工日常的早、中、晚工作及每学年（含双休假日）学校组织培训、教研、阅卷、考试、会议等招待用餐。</w:t>
      </w:r>
    </w:p>
    <w:p w14:paraId="1D76B14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（2）食堂内保洁服务和“门口三包”、食堂内部消杀、食堂内的绿植维护和垃圾分类、</w:t>
      </w:r>
      <w:r>
        <w:rPr>
          <w:rFonts w:hint="default" w:ascii="宋体" w:hAnsi="宋体" w:eastAsia="宋体" w:cs="Times New Roman"/>
          <w:color w:val="auto"/>
          <w:sz w:val="24"/>
          <w:lang w:val="en-US" w:eastAsia="zh-CN"/>
        </w:rPr>
        <w:t>食堂</w:t>
      </w:r>
      <w:r>
        <w:rPr>
          <w:rFonts w:hint="eastAsia" w:ascii="宋体" w:hAnsi="宋体" w:eastAsia="宋体" w:cs="Times New Roman"/>
          <w:color w:val="auto"/>
          <w:sz w:val="24"/>
          <w:lang w:val="en-US" w:eastAsia="zh-CN"/>
        </w:rPr>
        <w:t>电</w:t>
      </w:r>
      <w:r>
        <w:rPr>
          <w:rFonts w:hint="default" w:ascii="宋体" w:hAnsi="宋体" w:eastAsia="宋体" w:cs="Times New Roman"/>
          <w:color w:val="auto"/>
          <w:sz w:val="24"/>
          <w:lang w:val="en-US" w:eastAsia="zh-CN"/>
        </w:rPr>
        <w:t>梯的年检维保维护</w:t>
      </w:r>
      <w:r>
        <w:rPr>
          <w:rFonts w:hint="eastAsia" w:ascii="宋体" w:hAnsi="宋体" w:eastAsia="宋体" w:cs="Times New Roman"/>
          <w:color w:val="auto"/>
          <w:sz w:val="24"/>
          <w:lang w:val="en-US" w:eastAsia="zh-CN"/>
        </w:rPr>
        <w:t>以及采购人交办的其他工作。</w:t>
      </w:r>
    </w:p>
    <w:p w14:paraId="68C31217">
      <w:pPr>
        <w:pageBreakBefore w:val="0"/>
        <w:numPr>
          <w:ilvl w:val="0"/>
          <w:numId w:val="0"/>
        </w:numPr>
        <w:wordWrap/>
        <w:topLinePunct w:val="0"/>
        <w:bidi w:val="0"/>
        <w:spacing w:line="360" w:lineRule="auto"/>
        <w:rPr>
          <w:rFonts w:hint="eastAsia" w:ascii="宋体" w:hAnsi="宋体" w:eastAsia="宋体" w:cs="宋体"/>
          <w:b w:val="0"/>
          <w:bCs w:val="0"/>
          <w:color w:val="auto"/>
          <w:sz w:val="28"/>
          <w:szCs w:val="28"/>
          <w:lang w:eastAsia="zh-Hans"/>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服务</w:t>
      </w:r>
      <w:r>
        <w:rPr>
          <w:rFonts w:hint="eastAsia" w:ascii="宋体" w:hAnsi="宋体" w:eastAsia="宋体" w:cs="宋体"/>
          <w:b/>
          <w:bCs/>
          <w:color w:val="auto"/>
          <w:sz w:val="24"/>
          <w:szCs w:val="24"/>
          <w:lang w:val="en-US" w:eastAsia="zh-CN"/>
        </w:rPr>
        <w:t>基本</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eastAsia="zh-CN"/>
        </w:rPr>
        <w:t>：</w:t>
      </w:r>
    </w:p>
    <w:p w14:paraId="0AE686F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1.中标人应具备对外经营的资质，并向采购人提供书面的资质证明，中标人及其从业人员应严格遵守国家《食品卫生法》和杭州市食品卫生防疫等方面法律和法规。应规范着装，上岗人员必须持健康证上岗。</w:t>
      </w:r>
    </w:p>
    <w:p w14:paraId="478DC35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管好设备和物品。餐具不能少，设施设备不能人为损坏。中标人对采购人提供的房产及设施设备，应精心维护，除正常消耗外，属于管理不当或故意引起的损失由中标人承担。协议终止时，中标人应将采购人提供的设施设备按原接收清单如数完好归还采购人（除折旧后）。食堂内所有设施设备，因为中标人员工操作不当或管理不到位引起的损坏和遗失，由中标人无条件赔偿或修复。</w:t>
      </w:r>
    </w:p>
    <w:p w14:paraId="425DC38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管好卫生和安全。按“五常法”和“色标化”的管理要求，搞好食堂内、外清洁卫生和安全，做好垃圾分类；定期开展食堂内灭蟑、防鼠、除蚊蝇工作，终年保持食堂内无蝇、无鼠、无蟑。加工食品严格执行《食品卫生法》和《食物留样制度》，切配和烹饪过程中做好消毒、清洗、贮藏工作，不能有二次污染。自觉接受学校的卫生监督和卫生防疫部门的检查。达到卫生食堂的标准，争创杭州市示范食堂，确保安全达标。</w:t>
      </w:r>
    </w:p>
    <w:p w14:paraId="6DDE159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提供食谱菜单，加工美味菜肴。中标人需每周三前将下周的菜单提供给采购人，菜单上需注明所需菜品、数量，并列明菜式明细单，例行节约，杜绝浪费。根据余杭区有关管理要求，落实好食材搭配和粗细加工。中标人严格按照采购人提出的供餐时间和就餐人数准时供餐，满足采购人在就餐时间、餐饮品种上的要求及采购人招待客餐的制作。</w:t>
      </w:r>
    </w:p>
    <w:p w14:paraId="1748C8BC">
      <w:pPr>
        <w:pStyle w:val="79"/>
        <w:ind w:firstLine="480" w:firstLineChars="200"/>
        <w:rPr>
          <w:rFonts w:hint="eastAsia" w:cs="Times New Roman"/>
          <w:color w:val="auto"/>
          <w:sz w:val="24"/>
          <w:lang w:val="en-US" w:eastAsia="zh-CN"/>
        </w:rPr>
      </w:pPr>
      <w:r>
        <w:rPr>
          <w:rFonts w:hint="eastAsia" w:ascii="宋体" w:hAnsi="宋体" w:eastAsia="宋体" w:cs="Times New Roman"/>
          <w:color w:val="auto"/>
          <w:sz w:val="24"/>
          <w:lang w:val="en-US" w:eastAsia="zh-CN"/>
        </w:rPr>
        <w:t>5.提供招待宴请餐具。中标人需配合招标人招待宴请时所需的提用</w:t>
      </w:r>
      <w:r>
        <w:rPr>
          <w:rFonts w:hint="eastAsia" w:cs="Times New Roman"/>
          <w:color w:val="auto"/>
          <w:sz w:val="24"/>
          <w:lang w:val="en-US" w:eastAsia="zh-CN"/>
        </w:rPr>
        <w:t>餐餐具。</w:t>
      </w:r>
    </w:p>
    <w:p w14:paraId="22C2BB31">
      <w:pPr>
        <w:pStyle w:val="79"/>
        <w:ind w:firstLine="480" w:firstLineChars="200"/>
        <w:rPr>
          <w:rFonts w:hint="default" w:cs="Times New Roman"/>
          <w:color w:val="auto"/>
          <w:sz w:val="24"/>
          <w:lang w:val="en-US" w:eastAsia="zh-CN"/>
        </w:rPr>
      </w:pPr>
      <w:r>
        <w:rPr>
          <w:rFonts w:hint="eastAsia" w:cs="Times New Roman"/>
          <w:color w:val="auto"/>
          <w:sz w:val="24"/>
          <w:lang w:val="en-US" w:eastAsia="zh-CN"/>
        </w:rPr>
        <w:t>6.</w:t>
      </w:r>
      <w:r>
        <w:rPr>
          <w:rFonts w:hint="default" w:cs="Times New Roman"/>
          <w:color w:val="auto"/>
          <w:sz w:val="24"/>
          <w:lang w:val="en-US" w:eastAsia="zh-CN"/>
        </w:rPr>
        <w:t>投标人每月10日前为员工向学校食堂交纳伙食费，伙食标准每人每月500元。员工遵守学校用餐管理制度。</w:t>
      </w:r>
    </w:p>
    <w:p w14:paraId="4E3B9D9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7</w:t>
      </w:r>
      <w:r>
        <w:rPr>
          <w:rFonts w:hint="eastAsia" w:ascii="宋体" w:hAnsi="宋体" w:eastAsia="宋体" w:cs="Times New Roman"/>
          <w:color w:val="auto"/>
          <w:sz w:val="24"/>
          <w:lang w:val="en-US" w:eastAsia="zh-CN"/>
        </w:rPr>
        <w:t>.做好留样备查工作。中标人应高度重视饭菜的清洁卫生和保鲜工作，主副食品按国家《食品安全法》规定留样48小时备查。因中标人原因引起的食物中毒、安全事故所造成的一切法律和经济责任均应由中标人承担。</w:t>
      </w:r>
    </w:p>
    <w:p w14:paraId="4508241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8</w:t>
      </w:r>
      <w:r>
        <w:rPr>
          <w:rFonts w:hint="eastAsia" w:ascii="宋体" w:hAnsi="宋体" w:eastAsia="宋体" w:cs="Times New Roman"/>
          <w:color w:val="auto"/>
          <w:sz w:val="24"/>
          <w:lang w:val="en-US" w:eastAsia="zh-CN"/>
        </w:rPr>
        <w:t>.管好用餐时间和秩序。中标人根据学校的《食堂餐厅管理办法》等食堂管理制度，配合落实好师生的就餐秩序。</w:t>
      </w:r>
    </w:p>
    <w:p w14:paraId="6C18998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9</w:t>
      </w:r>
      <w:r>
        <w:rPr>
          <w:rFonts w:hint="eastAsia" w:ascii="宋体" w:hAnsi="宋体" w:eastAsia="宋体" w:cs="Times New Roman"/>
          <w:color w:val="auto"/>
          <w:sz w:val="24"/>
          <w:lang w:val="en-US" w:eastAsia="zh-CN"/>
        </w:rPr>
        <w:t>.管好员工队伍团结。中标人负责餐厅员工队伍的组建及管理，依法与其建立劳动关系并及时支付劳动报酬。并遵守采购人相关的规章制度。如中标人与餐厅员工发生劳动争议、员工伤亡事故等事件，责任由中标人承担。</w:t>
      </w:r>
    </w:p>
    <w:p w14:paraId="3CDA613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10</w:t>
      </w:r>
      <w:r>
        <w:rPr>
          <w:rFonts w:hint="eastAsia" w:ascii="宋体" w:hAnsi="宋体" w:eastAsia="宋体" w:cs="Times New Roman"/>
          <w:color w:val="auto"/>
          <w:sz w:val="24"/>
          <w:lang w:val="en-US" w:eastAsia="zh-CN"/>
        </w:rPr>
        <w:t>.国定假或双休日的经营根据学校需要安排，确保师生的用餐。所有岗位的设置、排班，应符合《</w:t>
      </w:r>
      <w:r>
        <w:rPr>
          <w:rFonts w:hint="eastAsia" w:ascii="宋体" w:hAnsi="宋体" w:eastAsia="宋体" w:cs="Times New Roman"/>
          <w:color w:val="auto"/>
          <w:sz w:val="24"/>
          <w:lang w:val="en-US" w:eastAsia="zh-CN"/>
        </w:rPr>
        <w:fldChar w:fldCharType="begin"/>
      </w:r>
      <w:r>
        <w:rPr>
          <w:rFonts w:hint="eastAsia" w:ascii="宋体" w:hAnsi="宋体" w:eastAsia="宋体" w:cs="Times New Roman"/>
          <w:color w:val="auto"/>
          <w:sz w:val="24"/>
          <w:lang w:val="en-US" w:eastAsia="zh-CN"/>
        </w:rPr>
        <w:instrText xml:space="preserve"> HYPERLINK "http://www.baidu.com/link?url=F45hGkUIbBtxVnxPZATPQbkbwCTU3UxFBB4t-a-QSoW-3bIW4BtrL6FnbZHsoQuDz-Tl0uQwaqK33u1ssI-PWGeDOXSuPpiDhEwM8ziWofO" \t "https://www.baidu.com/_blank" </w:instrText>
      </w:r>
      <w:r>
        <w:rPr>
          <w:rFonts w:hint="eastAsia" w:ascii="宋体" w:hAnsi="宋体" w:eastAsia="宋体" w:cs="Times New Roman"/>
          <w:color w:val="auto"/>
          <w:sz w:val="24"/>
          <w:lang w:val="en-US" w:eastAsia="zh-CN"/>
        </w:rPr>
        <w:fldChar w:fldCharType="separate"/>
      </w:r>
      <w:r>
        <w:rPr>
          <w:rFonts w:hint="eastAsia" w:ascii="宋体" w:hAnsi="宋体" w:eastAsia="宋体" w:cs="Times New Roman"/>
          <w:color w:val="auto"/>
          <w:sz w:val="24"/>
          <w:lang w:val="en-US" w:eastAsia="zh-CN"/>
        </w:rPr>
        <w:t>中华人民共和国劳动法</w:t>
      </w:r>
      <w:r>
        <w:rPr>
          <w:rFonts w:hint="eastAsia" w:ascii="宋体" w:hAnsi="宋体" w:eastAsia="宋体" w:cs="Times New Roman"/>
          <w:color w:val="auto"/>
          <w:sz w:val="24"/>
          <w:lang w:val="en-US" w:eastAsia="zh-CN"/>
        </w:rPr>
        <w:fldChar w:fldCharType="end"/>
      </w:r>
      <w:r>
        <w:rPr>
          <w:rFonts w:hint="eastAsia" w:ascii="宋体" w:hAnsi="宋体" w:eastAsia="宋体" w:cs="Times New Roman"/>
          <w:color w:val="auto"/>
          <w:sz w:val="24"/>
          <w:lang w:val="en-US" w:eastAsia="zh-CN"/>
        </w:rPr>
        <w:t>》相关规定，应满足采购人工作日、双休日、节假日的全部工作任务，中标人自行合理安排员工休息时间，如产生替班加班情况，均由中标人自行承担相应费用。</w:t>
      </w:r>
    </w:p>
    <w:p w14:paraId="22AC41F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11</w:t>
      </w:r>
      <w:r>
        <w:rPr>
          <w:rFonts w:hint="eastAsia" w:ascii="宋体" w:hAnsi="宋体" w:eastAsia="宋体" w:cs="Times New Roman"/>
          <w:color w:val="auto"/>
          <w:sz w:val="24"/>
          <w:lang w:val="en-US" w:eastAsia="zh-CN"/>
        </w:rPr>
        <w:t>.树立良好服务形象。中标人遵守学校要求的各项规章制度，树立良好形象。合同期间，优化管理，遵守执法部门的法律与法规。服从采购人管理人员的指挥、检查、考核，遵守采购人制定的管理制度，不做有损学校声誉之事，</w:t>
      </w:r>
      <w:r>
        <w:rPr>
          <w:rFonts w:hint="eastAsia" w:ascii="宋体" w:hAnsi="宋体" w:eastAsia="宋体" w:cs="Times New Roman"/>
          <w:color w:val="auto"/>
          <w:sz w:val="24"/>
          <w:lang w:val="en-US" w:eastAsia="zh-Hans"/>
        </w:rPr>
        <w:t>各级任职人员</w:t>
      </w:r>
      <w:r>
        <w:rPr>
          <w:rFonts w:hint="eastAsia" w:ascii="宋体" w:hAnsi="宋体" w:eastAsia="宋体" w:cs="Times New Roman"/>
          <w:color w:val="auto"/>
          <w:sz w:val="24"/>
          <w:lang w:val="en-US" w:eastAsia="zh-CN"/>
        </w:rPr>
        <w:t>树立</w:t>
      </w:r>
      <w:r>
        <w:rPr>
          <w:rFonts w:hint="eastAsia" w:ascii="宋体" w:hAnsi="宋体" w:eastAsia="宋体" w:cs="Times New Roman"/>
          <w:color w:val="auto"/>
          <w:sz w:val="24"/>
          <w:lang w:val="en-US" w:eastAsia="zh-Hans"/>
        </w:rPr>
        <w:t>为师生服务的思想，身心健康，责任心强，无违法违纪行为。</w:t>
      </w:r>
      <w:r>
        <w:rPr>
          <w:rFonts w:hint="eastAsia" w:ascii="宋体" w:hAnsi="宋体" w:eastAsia="宋体" w:cs="Times New Roman"/>
          <w:color w:val="auto"/>
          <w:sz w:val="24"/>
          <w:lang w:val="en-US" w:eastAsia="zh-CN"/>
        </w:rPr>
        <w:t>中标人不得在采购人场地制作对外销售的食品（一经发现，对外销金额作为对采购人能源资源供给的补偿）</w:t>
      </w:r>
    </w:p>
    <w:p w14:paraId="78E4D8A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做好各类台账。中标人无条件接受上级各类部门的检查，对发现的问题及时整改到位，根据有关要求，做好各类台账（电子和书面）。中标人按上级要求做好学校各餐的营养分析、菜单发布、微信推送，公示公开，评比评审等准备工作；</w:t>
      </w:r>
    </w:p>
    <w:p w14:paraId="155DA17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3</w:t>
      </w:r>
      <w:r>
        <w:rPr>
          <w:rFonts w:hint="eastAsia" w:ascii="宋体" w:hAnsi="宋体" w:eastAsia="宋体" w:cs="Times New Roman"/>
          <w:color w:val="auto"/>
          <w:sz w:val="24"/>
          <w:lang w:val="en-US" w:eastAsia="zh-CN"/>
        </w:rPr>
        <w:t>.</w:t>
      </w:r>
      <w:r>
        <w:rPr>
          <w:rFonts w:hint="default" w:ascii="宋体" w:hAnsi="宋体" w:eastAsia="宋体" w:cs="Times New Roman"/>
          <w:color w:val="auto"/>
          <w:sz w:val="24"/>
          <w:lang w:val="en-US" w:eastAsia="zh-CN"/>
        </w:rPr>
        <w:t>做好食堂内</w:t>
      </w:r>
      <w:r>
        <w:rPr>
          <w:rFonts w:hint="eastAsia" w:ascii="宋体" w:hAnsi="宋体" w:eastAsia="宋体" w:cs="Times New Roman"/>
          <w:color w:val="auto"/>
          <w:sz w:val="24"/>
          <w:lang w:val="en-US" w:eastAsia="zh-CN"/>
        </w:rPr>
        <w:t>货</w:t>
      </w:r>
      <w:r>
        <w:rPr>
          <w:rFonts w:hint="default" w:ascii="宋体" w:hAnsi="宋体" w:eastAsia="宋体" w:cs="Times New Roman"/>
          <w:color w:val="auto"/>
          <w:sz w:val="24"/>
          <w:lang w:val="en-US" w:eastAsia="zh-CN"/>
        </w:rPr>
        <w:t>梯的年检维保维护。</w:t>
      </w:r>
      <w:r>
        <w:rPr>
          <w:rFonts w:hint="eastAsia" w:ascii="宋体" w:hAnsi="宋体" w:eastAsia="宋体" w:cs="Times New Roman"/>
          <w:color w:val="auto"/>
          <w:sz w:val="24"/>
          <w:lang w:val="en-US" w:eastAsia="zh-CN"/>
        </w:rPr>
        <w:t>中标人负责聘请有</w:t>
      </w:r>
      <w:r>
        <w:rPr>
          <w:rFonts w:hint="default" w:ascii="宋体" w:hAnsi="宋体" w:eastAsia="宋体" w:cs="Times New Roman"/>
          <w:color w:val="auto"/>
          <w:sz w:val="24"/>
          <w:lang w:val="en-US" w:eastAsia="zh-CN"/>
        </w:rPr>
        <w:t>专业资质维保单位至少每15日进行一次清洁、润滑、调整和检查，建立每台电梯的台账档案，日常维护和应急维修应及时记录。每年经有资质的检测机构检验合格，在《安全使用许可证》有效期内安全运行。</w:t>
      </w:r>
    </w:p>
    <w:p w14:paraId="5B4DCF9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.中标人</w:t>
      </w:r>
      <w:r>
        <w:rPr>
          <w:rFonts w:hint="default" w:ascii="宋体" w:hAnsi="宋体" w:eastAsia="宋体" w:cs="Times New Roman"/>
          <w:color w:val="auto"/>
          <w:sz w:val="24"/>
          <w:lang w:val="en-US" w:eastAsia="zh-CN"/>
        </w:rPr>
        <w:t>按疫情要求做好食堂的消杀和防控应急状况时的分餐。</w:t>
      </w:r>
      <w:r>
        <w:rPr>
          <w:rFonts w:hint="eastAsia" w:ascii="宋体" w:hAnsi="宋体" w:eastAsia="宋体" w:cs="Times New Roman"/>
          <w:color w:val="auto"/>
          <w:sz w:val="24"/>
          <w:lang w:val="en-US" w:eastAsia="zh-CN"/>
        </w:rPr>
        <w:t>中标人必须经过采购人的同意，方可处理食堂的剩饭剩菜等物品，严禁员工从食堂随意打包带出任何食材和物品。采购人将根据考核办法对中标人进行定期考核并给予相应的奖惩。</w:t>
      </w:r>
    </w:p>
    <w:p w14:paraId="61B6455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5</w:t>
      </w:r>
      <w:r>
        <w:rPr>
          <w:rFonts w:hint="eastAsia" w:ascii="宋体" w:hAnsi="宋体" w:eastAsia="宋体" w:cs="Times New Roman"/>
          <w:color w:val="auto"/>
          <w:sz w:val="24"/>
          <w:lang w:val="en-US" w:eastAsia="zh-CN"/>
        </w:rPr>
        <w:t>.中标人</w:t>
      </w:r>
      <w:r>
        <w:rPr>
          <w:rFonts w:hint="default" w:ascii="宋体" w:hAnsi="宋体" w:eastAsia="宋体" w:cs="Times New Roman"/>
          <w:color w:val="auto"/>
          <w:sz w:val="24"/>
          <w:lang w:val="en-US" w:eastAsia="zh-CN"/>
        </w:rPr>
        <w:t>在管理上确保学校食堂量化分级评定的A级不降级。</w:t>
      </w:r>
    </w:p>
    <w:p w14:paraId="62EF880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宋体" w:hAnsi="宋体" w:eastAsia="宋体" w:cs="Times New Roman"/>
          <w:b w:val="0"/>
          <w:bCs w:val="0"/>
          <w:color w:val="auto"/>
          <w:kern w:val="2"/>
          <w:sz w:val="24"/>
          <w:szCs w:val="24"/>
          <w:lang w:val="en-US" w:eastAsia="zh-CN" w:bidi="ar-SA"/>
        </w:rPr>
      </w:pPr>
      <w:r>
        <w:rPr>
          <w:rFonts w:hint="eastAsia" w:ascii="宋体" w:hAnsi="宋体" w:eastAsia="宋体" w:cs="Times New Roman"/>
          <w:color w:val="auto"/>
          <w:sz w:val="24"/>
          <w:lang w:val="en-US" w:eastAsia="zh-CN"/>
        </w:rPr>
        <w:t>以上规定，中标人若有违反，采购人有权做出警告，罚款甚至单方面取消合同，由此造成的损失，一切由中标人自负。</w:t>
      </w:r>
    </w:p>
    <w:p w14:paraId="2073CE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三、服务质量：</w:t>
      </w:r>
    </w:p>
    <w:p w14:paraId="3022977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1.中标人在服务提升方面需做到以下几点：</w:t>
      </w:r>
    </w:p>
    <w:p w14:paraId="6C56981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增加管理人员。增加管理人员负责管理食堂的日常管理工作和教研活动活动的全部接待工作；增加面点师负责早餐的制作，增加手工现做产品，丰富早餐的种类，减少速冻半成品品种的使用；调换新厨师和增加厨师，丰富日常菜品的种类，更好的提升菜品质量和口感。</w:t>
      </w:r>
    </w:p>
    <w:p w14:paraId="5F01EE6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（2）增加风味餐品。食堂除了原来每日的自选式中式快餐模式，每周将增加一到两次风味餐（如扬州炒饭、炒面、炒牛河、特色水饺等）。</w:t>
      </w:r>
    </w:p>
    <w:p w14:paraId="62CFF60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（3）严管餐具卫生。在二楼规划出专门用于清洁碗筷的洗碗间，由专人负责进行碗筷、餐盘的清洗和消毒，消毒完成后用指定推车运送至打餐台，保证餐具的整洁和卫生，彻底解决餐具卫生问题。</w:t>
      </w:r>
    </w:p>
    <w:p w14:paraId="04EEF12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4）规范细化管理。对食堂所有员工加强管理，规范各项规章制度和操作规范，厨房所有流程严格按照食品安全法和食品安全操作规范进行操作，保障食品安全，更加高效、安全的服务于贵校广大师生。食堂按6T规范管理，公司提供整套管理文件，并做好制度上墙，落实管理。在食堂6T管理到基础上，按照HACCP体系认证和食品安全管理体系认证的要求，提出食堂部分硬件的改造计划，辅助学校完成HACCP与ISO22000的体系认证。 </w:t>
      </w:r>
    </w:p>
    <w:p w14:paraId="5C524D9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（5）推出营养餐计划。按照余杭区教育局要求，在食堂实行营养餐计划，规划学生和老师的日常营养餐菜单，力争做到科学分析、营养搭配，完成营养餐计划的落地实施</w:t>
      </w:r>
    </w:p>
    <w:p w14:paraId="52695DF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2.中标人应提供优质服务，保证服务质量，且不能低于合同规定的范围和种类。采购人将定期或不定期的对中标人提供的服务实行动态跟踪、检查。</w:t>
      </w:r>
    </w:p>
    <w:p w14:paraId="2CCA040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中标人在收到采购人或使用单位关于服务质量问题的通知后三天内，应迅速查处并书面答复。如果中标人在收到通知三天后没有弥补缺陷，采购人或使用单位可采取必要的补救措施，但风险和费用将由中标人承担。</w:t>
      </w:r>
    </w:p>
    <w:p w14:paraId="3B17D0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宋体" w:hAnsi="宋体" w:eastAsia="宋体" w:cs="宋体"/>
          <w:b/>
          <w:bCs/>
          <w:color w:val="auto"/>
          <w:sz w:val="24"/>
          <w:szCs w:val="24"/>
          <w:lang w:val="en-US" w:eastAsia="zh-CN"/>
        </w:rPr>
        <w:t>四、人员配置要求</w:t>
      </w:r>
    </w:p>
    <w:p w14:paraId="28B20B8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1.总体要求：中标人用工必须符合当地劳动部门和教育局的规定，</w:t>
      </w:r>
      <w:r>
        <w:rPr>
          <w:rFonts w:hint="eastAsia" w:ascii="宋体" w:hAnsi="宋体" w:eastAsia="宋体" w:cs="Times New Roman"/>
          <w:color w:val="auto"/>
          <w:sz w:val="24"/>
          <w:lang w:val="en-US" w:eastAsia="zh-Hans"/>
        </w:rPr>
        <w:t>总人数不少于</w:t>
      </w:r>
      <w:r>
        <w:rPr>
          <w:rFonts w:hint="eastAsia" w:ascii="宋体" w:hAnsi="宋体" w:cs="Times New Roman"/>
          <w:color w:val="auto"/>
          <w:sz w:val="24"/>
          <w:lang w:val="en-US" w:eastAsia="zh-CN"/>
        </w:rPr>
        <w:t>29</w:t>
      </w:r>
      <w:r>
        <w:rPr>
          <w:rFonts w:hint="eastAsia" w:ascii="宋体" w:hAnsi="宋体" w:eastAsia="宋体" w:cs="Times New Roman"/>
          <w:color w:val="auto"/>
          <w:sz w:val="24"/>
          <w:lang w:val="en-US" w:eastAsia="zh-Hans"/>
        </w:rPr>
        <w:t>人</w:t>
      </w:r>
      <w:r>
        <w:rPr>
          <w:rFonts w:hint="eastAsia" w:ascii="宋体" w:hAnsi="宋体" w:eastAsia="宋体" w:cs="Times New Roman"/>
          <w:color w:val="auto"/>
          <w:sz w:val="24"/>
          <w:lang w:val="en-US" w:eastAsia="zh-CN"/>
        </w:rPr>
        <w:t>，包括</w:t>
      </w:r>
      <w:r>
        <w:rPr>
          <w:rFonts w:hint="eastAsia" w:ascii="宋体" w:hAnsi="宋体" w:eastAsia="宋体" w:cs="Times New Roman"/>
          <w:b/>
          <w:bCs/>
          <w:color w:val="auto"/>
          <w:sz w:val="24"/>
          <w:lang w:val="en-US" w:eastAsia="zh-CN"/>
        </w:rPr>
        <w:t>：</w:t>
      </w:r>
      <w:r>
        <w:rPr>
          <w:rFonts w:hint="eastAsia" w:ascii="宋体" w:hAnsi="宋体" w:eastAsia="宋体" w:cs="Times New Roman"/>
          <w:b w:val="0"/>
          <w:bCs w:val="0"/>
          <w:color w:val="auto"/>
          <w:sz w:val="24"/>
          <w:lang w:val="en-US" w:eastAsia="zh-CN"/>
        </w:rPr>
        <w:t>项目经理1人，主管</w:t>
      </w:r>
      <w:r>
        <w:rPr>
          <w:rFonts w:hint="eastAsia" w:ascii="宋体" w:hAnsi="宋体" w:cs="Times New Roman"/>
          <w:b w:val="0"/>
          <w:bCs w:val="0"/>
          <w:color w:val="auto"/>
          <w:sz w:val="24"/>
          <w:lang w:val="en-US" w:eastAsia="zh-CN"/>
        </w:rPr>
        <w:t>2</w:t>
      </w:r>
      <w:r>
        <w:rPr>
          <w:rFonts w:hint="eastAsia" w:ascii="宋体" w:hAnsi="宋体" w:eastAsia="宋体" w:cs="Times New Roman"/>
          <w:b w:val="0"/>
          <w:bCs w:val="0"/>
          <w:color w:val="auto"/>
          <w:sz w:val="24"/>
          <w:lang w:val="en-US" w:eastAsia="zh-CN"/>
        </w:rPr>
        <w:t>人，厨师不少于</w:t>
      </w:r>
      <w:r>
        <w:rPr>
          <w:rFonts w:hint="eastAsia" w:ascii="宋体" w:hAnsi="宋体" w:cs="Times New Roman"/>
          <w:b w:val="0"/>
          <w:bCs w:val="0"/>
          <w:color w:val="auto"/>
          <w:sz w:val="24"/>
          <w:lang w:val="en-US" w:eastAsia="zh-CN"/>
        </w:rPr>
        <w:t>4</w:t>
      </w:r>
      <w:r>
        <w:rPr>
          <w:rFonts w:hint="eastAsia" w:ascii="宋体" w:hAnsi="宋体" w:eastAsia="宋体" w:cs="Times New Roman"/>
          <w:b w:val="0"/>
          <w:bCs w:val="0"/>
          <w:color w:val="auto"/>
          <w:sz w:val="24"/>
          <w:lang w:val="en-US" w:eastAsia="zh-CN"/>
        </w:rPr>
        <w:t>人</w:t>
      </w:r>
      <w:r>
        <w:rPr>
          <w:rFonts w:hint="eastAsia" w:ascii="宋体" w:hAnsi="宋体" w:cs="Times New Roman"/>
          <w:b w:val="0"/>
          <w:bCs w:val="0"/>
          <w:color w:val="auto"/>
          <w:sz w:val="24"/>
          <w:lang w:val="en-US" w:eastAsia="zh-CN"/>
        </w:rPr>
        <w:t>（含大</w:t>
      </w:r>
      <w:r>
        <w:rPr>
          <w:rFonts w:hint="eastAsia" w:ascii="宋体" w:hAnsi="宋体" w:eastAsia="宋体" w:cs="Times New Roman"/>
          <w:b w:val="0"/>
          <w:bCs w:val="0"/>
          <w:color w:val="auto"/>
          <w:sz w:val="24"/>
          <w:lang w:val="en-US" w:eastAsia="zh-CN"/>
        </w:rPr>
        <w:t>厨</w:t>
      </w:r>
      <w:r>
        <w:rPr>
          <w:rFonts w:hint="eastAsia" w:ascii="宋体" w:hAnsi="宋体" w:cs="Times New Roman"/>
          <w:b w:val="0"/>
          <w:bCs w:val="0"/>
          <w:color w:val="auto"/>
          <w:sz w:val="24"/>
          <w:lang w:val="en-US" w:eastAsia="zh-CN"/>
        </w:rPr>
        <w:t>不</w:t>
      </w:r>
      <w:r>
        <w:rPr>
          <w:rFonts w:hint="eastAsia" w:ascii="宋体" w:hAnsi="宋体" w:eastAsia="宋体" w:cs="Times New Roman"/>
          <w:b w:val="0"/>
          <w:bCs w:val="0"/>
          <w:color w:val="auto"/>
          <w:sz w:val="24"/>
          <w:lang w:val="en-US" w:eastAsia="zh-CN"/>
        </w:rPr>
        <w:t>少于</w:t>
      </w:r>
      <w:r>
        <w:rPr>
          <w:rFonts w:hint="eastAsia" w:ascii="宋体" w:hAnsi="宋体" w:cs="Times New Roman"/>
          <w:b w:val="0"/>
          <w:bCs w:val="0"/>
          <w:color w:val="auto"/>
          <w:sz w:val="24"/>
          <w:lang w:val="en-US" w:eastAsia="zh-CN"/>
        </w:rPr>
        <w:t>3</w:t>
      </w:r>
      <w:r>
        <w:rPr>
          <w:rFonts w:hint="eastAsia" w:ascii="宋体" w:hAnsi="宋体" w:eastAsia="宋体" w:cs="Times New Roman"/>
          <w:b w:val="0"/>
          <w:bCs w:val="0"/>
          <w:color w:val="auto"/>
          <w:sz w:val="24"/>
          <w:lang w:val="en-US" w:eastAsia="zh-CN"/>
        </w:rPr>
        <w:t>人</w:t>
      </w:r>
      <w:r>
        <w:rPr>
          <w:rFonts w:hint="eastAsia" w:ascii="宋体" w:hAnsi="宋体" w:cs="Times New Roman"/>
          <w:b w:val="0"/>
          <w:bCs w:val="0"/>
          <w:color w:val="auto"/>
          <w:sz w:val="24"/>
          <w:lang w:val="en-US" w:eastAsia="zh-CN"/>
        </w:rPr>
        <w:t>）</w:t>
      </w:r>
      <w:r>
        <w:rPr>
          <w:rFonts w:hint="eastAsia" w:ascii="宋体" w:hAnsi="宋体" w:eastAsia="宋体" w:cs="Times New Roman"/>
          <w:b w:val="0"/>
          <w:bCs w:val="0"/>
          <w:color w:val="auto"/>
          <w:sz w:val="24"/>
          <w:lang w:val="en-US" w:eastAsia="zh-CN"/>
        </w:rPr>
        <w:t>，其他2</w:t>
      </w:r>
      <w:r>
        <w:rPr>
          <w:rFonts w:hint="eastAsia" w:ascii="宋体" w:hAnsi="宋体" w:cs="Times New Roman"/>
          <w:b w:val="0"/>
          <w:bCs w:val="0"/>
          <w:color w:val="auto"/>
          <w:sz w:val="24"/>
          <w:lang w:val="en-US" w:eastAsia="zh-CN"/>
        </w:rPr>
        <w:t>2</w:t>
      </w:r>
      <w:r>
        <w:rPr>
          <w:rFonts w:hint="eastAsia" w:ascii="宋体" w:hAnsi="宋体" w:eastAsia="宋体" w:cs="Times New Roman"/>
          <w:b w:val="0"/>
          <w:bCs w:val="0"/>
          <w:color w:val="auto"/>
          <w:sz w:val="24"/>
          <w:lang w:val="en-US" w:eastAsia="zh-CN"/>
        </w:rPr>
        <w:t>人。</w:t>
      </w:r>
      <w:r>
        <w:rPr>
          <w:rFonts w:hint="eastAsia" w:ascii="宋体" w:hAnsi="宋体" w:eastAsia="宋体" w:cs="Times New Roman"/>
          <w:color w:val="auto"/>
          <w:sz w:val="24"/>
          <w:lang w:val="en-US" w:eastAsia="zh-CN"/>
        </w:rPr>
        <w:t>中标人与所招聘的食堂员工签订劳务协议。所有从业人员必须持有健康证，</w:t>
      </w:r>
      <w:r>
        <w:rPr>
          <w:rFonts w:hint="eastAsia" w:ascii="宋体" w:hAnsi="宋体" w:eastAsia="宋体" w:cs="Times New Roman"/>
          <w:color w:val="auto"/>
          <w:sz w:val="24"/>
          <w:lang w:val="en-US" w:eastAsia="zh-Hans"/>
        </w:rPr>
        <w:t>无犯罪记录证明，</w:t>
      </w:r>
      <w:r>
        <w:rPr>
          <w:rFonts w:hint="eastAsia" w:ascii="宋体" w:hAnsi="宋体" w:eastAsia="宋体" w:cs="Times New Roman"/>
          <w:color w:val="auto"/>
          <w:sz w:val="24"/>
          <w:lang w:val="en-US" w:eastAsia="zh-CN"/>
        </w:rPr>
        <w:t>相关人员应具备特种设备操作资格证等。</w:t>
      </w:r>
    </w:p>
    <w:p w14:paraId="1A65DD0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2.中标人外派食堂工作人员由中标人自行招聘，所聘员工工资、福利待遇、保险、劳动保护</w:t>
      </w:r>
      <w:r>
        <w:rPr>
          <w:rFonts w:hint="eastAsia" w:ascii="宋体" w:hAnsi="宋体" w:eastAsia="宋体" w:cs="Times New Roman"/>
          <w:color w:val="auto"/>
          <w:sz w:val="24"/>
          <w:lang w:val="en-US" w:eastAsia="zh-Hans"/>
        </w:rPr>
        <w:t>个人消耗</w:t>
      </w:r>
      <w:r>
        <w:rPr>
          <w:rFonts w:hint="eastAsia" w:ascii="宋体" w:hAnsi="宋体" w:eastAsia="宋体" w:cs="Times New Roman"/>
          <w:color w:val="auto"/>
          <w:sz w:val="24"/>
          <w:lang w:val="en-US" w:eastAsia="zh-CN"/>
        </w:rPr>
        <w:t>用品、体检费、加班费、培训费、丧残疾病、工伤事故、员工住宿由中标人自行承担。用工人员工资不得低于杭州市政府公布的最低工资水平，按规定缴纳社保，并确保工作团队的稳定性。</w:t>
      </w:r>
    </w:p>
    <w:p w14:paraId="50D4E39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3.工作人员年龄要求：</w:t>
      </w:r>
    </w:p>
    <w:p w14:paraId="5DAB260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（1）项目经理：年龄55周岁以下，具有食堂餐饮项目管理工作经验不少于3年；</w:t>
      </w:r>
    </w:p>
    <w:p w14:paraId="5362884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cs="Times New Roman"/>
          <w:color w:val="auto"/>
          <w:sz w:val="24"/>
          <w:lang w:val="en-US" w:eastAsia="zh-CN"/>
        </w:rPr>
      </w:pPr>
      <w:r>
        <w:rPr>
          <w:rFonts w:hint="eastAsia" w:ascii="宋体" w:hAnsi="宋体" w:eastAsia="宋体" w:cs="Times New Roman"/>
          <w:color w:val="auto"/>
          <w:sz w:val="24"/>
          <w:lang w:val="en-US" w:eastAsia="zh-CN"/>
        </w:rPr>
        <w:t>（2）</w:t>
      </w:r>
      <w:r>
        <w:rPr>
          <w:rFonts w:hint="eastAsia" w:ascii="宋体" w:hAnsi="宋体" w:cs="Times New Roman"/>
          <w:color w:val="auto"/>
          <w:sz w:val="24"/>
          <w:lang w:val="en-US" w:eastAsia="zh-CN"/>
        </w:rPr>
        <w:t>食堂</w:t>
      </w:r>
      <w:r>
        <w:rPr>
          <w:rFonts w:hint="eastAsia" w:ascii="宋体" w:hAnsi="宋体" w:eastAsia="宋体" w:cs="Times New Roman"/>
          <w:color w:val="auto"/>
          <w:sz w:val="24"/>
          <w:lang w:val="en-US" w:eastAsia="zh-CN"/>
        </w:rPr>
        <w:t>主管：</w:t>
      </w:r>
      <w:r>
        <w:rPr>
          <w:rFonts w:hint="eastAsia" w:ascii="宋体" w:hAnsi="宋体" w:cs="Times New Roman"/>
          <w:color w:val="auto"/>
          <w:sz w:val="24"/>
          <w:lang w:val="en-US" w:eastAsia="zh-CN"/>
        </w:rPr>
        <w:t>人数2人，</w:t>
      </w:r>
      <w:r>
        <w:rPr>
          <w:rFonts w:hint="eastAsia" w:ascii="宋体" w:hAnsi="宋体" w:eastAsia="宋体" w:cs="Times New Roman"/>
          <w:color w:val="auto"/>
          <w:sz w:val="24"/>
          <w:lang w:val="en-US" w:eastAsia="zh-CN"/>
        </w:rPr>
        <w:t>年龄50周岁以下，具有食堂餐饮项目主管工作经验</w:t>
      </w:r>
      <w:r>
        <w:rPr>
          <w:rFonts w:hint="eastAsia" w:ascii="宋体" w:hAnsi="宋体" w:cs="Times New Roman"/>
          <w:color w:val="auto"/>
          <w:sz w:val="24"/>
          <w:lang w:val="en-US" w:eastAsia="zh-CN"/>
        </w:rPr>
        <w:t>。</w:t>
      </w:r>
    </w:p>
    <w:p w14:paraId="7375F28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（3）食堂大厨：年龄50周岁以下，具有厨师工作经验，持有国家职业资格二级及以上厨师证；</w:t>
      </w:r>
    </w:p>
    <w:p w14:paraId="4273A72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（4）粗加工人员：男，60周岁以下；女50周岁以下；能力特别突出者经采购人同意可适当放宽。</w:t>
      </w:r>
    </w:p>
    <w:p w14:paraId="28C4AB2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30080A4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5.管理服务人员应按规定统一着装，工作服样式要求能体现岗位特色和方便不同岗位作业。知晓本岗位服务礼仪，遵守《食堂劳务服务人员行为规范》要求。</w:t>
      </w:r>
    </w:p>
    <w:p w14:paraId="7D54E4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五、服务期限及费用结算方式</w:t>
      </w:r>
    </w:p>
    <w:p w14:paraId="59E6408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color w:val="auto"/>
          <w:sz w:val="24"/>
          <w:lang w:val="en-US" w:eastAsia="zh-CN"/>
        </w:rPr>
      </w:pPr>
      <w:r>
        <w:rPr>
          <w:rFonts w:hint="eastAsia" w:ascii="新宋体" w:hAnsi="新宋体" w:eastAsia="新宋体" w:cs="新宋体"/>
          <w:b/>
          <w:bCs/>
          <w:color w:val="auto"/>
          <w:sz w:val="24"/>
          <w:szCs w:val="24"/>
          <w:lang w:val="en-US" w:eastAsia="zh-CN"/>
        </w:rPr>
        <w:t>1.</w:t>
      </w:r>
      <w:r>
        <w:rPr>
          <w:rFonts w:hint="eastAsia" w:ascii="新宋体" w:hAnsi="新宋体" w:eastAsia="新宋体" w:cs="新宋体"/>
          <w:b/>
          <w:bCs/>
          <w:color w:val="auto"/>
          <w:sz w:val="24"/>
          <w:szCs w:val="24"/>
        </w:rPr>
        <w:t>服务</w:t>
      </w:r>
      <w:r>
        <w:rPr>
          <w:rFonts w:hint="eastAsia" w:ascii="新宋体" w:hAnsi="新宋体" w:eastAsia="新宋体" w:cs="新宋体"/>
          <w:b/>
          <w:bCs/>
          <w:color w:val="auto"/>
          <w:sz w:val="24"/>
          <w:szCs w:val="24"/>
          <w:lang w:val="en-US" w:eastAsia="zh-CN"/>
        </w:rPr>
        <w:t>期</w:t>
      </w:r>
      <w:r>
        <w:rPr>
          <w:rFonts w:hint="eastAsia" w:ascii="新宋体" w:hAnsi="新宋体" w:eastAsia="新宋体" w:cs="新宋体"/>
          <w:b/>
          <w:bCs/>
          <w:color w:val="auto"/>
          <w:sz w:val="24"/>
          <w:szCs w:val="24"/>
        </w:rPr>
        <w:t>限</w:t>
      </w:r>
      <w:r>
        <w:rPr>
          <w:rFonts w:hint="eastAsia" w:ascii="新宋体" w:hAnsi="新宋体" w:eastAsia="新宋体" w:cs="新宋体"/>
          <w:b/>
          <w:bCs/>
          <w:color w:val="auto"/>
          <w:sz w:val="24"/>
          <w:szCs w:val="24"/>
          <w:lang w:eastAsia="zh-CN"/>
        </w:rPr>
        <w:t>：</w:t>
      </w:r>
      <w:bookmarkStart w:id="405" w:name="_GoBack"/>
      <w:r>
        <w:rPr>
          <w:rFonts w:hint="eastAsia" w:ascii="宋体" w:hAnsi="宋体" w:eastAsia="宋体" w:cs="Times New Roman"/>
          <w:color w:val="auto"/>
          <w:sz w:val="24"/>
          <w:lang w:val="en-US" w:eastAsia="zh-CN"/>
        </w:rPr>
        <w:t>服务期限为壹年，自202</w:t>
      </w:r>
      <w:r>
        <w:rPr>
          <w:rFonts w:hint="eastAsia" w:ascii="宋体" w:hAnsi="宋体" w:cs="Times New Roman"/>
          <w:color w:val="auto"/>
          <w:sz w:val="24"/>
          <w:lang w:val="en-US" w:eastAsia="zh-CN"/>
        </w:rPr>
        <w:t>5</w:t>
      </w:r>
      <w:r>
        <w:rPr>
          <w:rFonts w:hint="eastAsia" w:ascii="宋体" w:hAnsi="宋体" w:eastAsia="宋体" w:cs="Times New Roman"/>
          <w:color w:val="auto"/>
          <w:sz w:val="24"/>
          <w:lang w:val="en-US" w:eastAsia="zh-CN"/>
        </w:rPr>
        <w:t>年</w:t>
      </w:r>
      <w:r>
        <w:rPr>
          <w:rFonts w:hint="eastAsia" w:ascii="宋体" w:hAnsi="宋体" w:cs="Times New Roman"/>
          <w:color w:val="auto"/>
          <w:sz w:val="24"/>
          <w:u w:val="single"/>
          <w:lang w:val="en-US" w:eastAsia="zh-CN"/>
        </w:rPr>
        <w:t xml:space="preserve"> 9 </w:t>
      </w:r>
      <w:r>
        <w:rPr>
          <w:rFonts w:hint="eastAsia" w:ascii="宋体" w:hAnsi="宋体" w:eastAsia="宋体" w:cs="Times New Roman"/>
          <w:color w:val="auto"/>
          <w:sz w:val="24"/>
          <w:lang w:val="en-US" w:eastAsia="zh-CN"/>
        </w:rPr>
        <w:t>月</w:t>
      </w:r>
      <w:r>
        <w:rPr>
          <w:rFonts w:hint="eastAsia" w:ascii="宋体" w:hAnsi="宋体" w:cs="Times New Roman"/>
          <w:color w:val="auto"/>
          <w:sz w:val="24"/>
          <w:u w:val="single"/>
          <w:lang w:val="en-US" w:eastAsia="zh-CN"/>
        </w:rPr>
        <w:t xml:space="preserve"> 1 </w:t>
      </w:r>
      <w:r>
        <w:rPr>
          <w:rFonts w:hint="eastAsia" w:ascii="宋体" w:hAnsi="宋体" w:eastAsia="宋体" w:cs="Times New Roman"/>
          <w:color w:val="auto"/>
          <w:sz w:val="24"/>
          <w:lang w:val="en-US" w:eastAsia="zh-CN"/>
        </w:rPr>
        <w:t>日起至202</w:t>
      </w:r>
      <w:r>
        <w:rPr>
          <w:rFonts w:hint="eastAsia" w:ascii="宋体" w:hAnsi="宋体" w:cs="Times New Roman"/>
          <w:color w:val="auto"/>
          <w:sz w:val="24"/>
          <w:lang w:val="en-US" w:eastAsia="zh-CN"/>
        </w:rPr>
        <w:t>6</w:t>
      </w:r>
      <w:r>
        <w:rPr>
          <w:rFonts w:hint="eastAsia" w:ascii="宋体" w:hAnsi="宋体" w:eastAsia="宋体" w:cs="Times New Roman"/>
          <w:color w:val="auto"/>
          <w:sz w:val="24"/>
          <w:lang w:val="en-US" w:eastAsia="zh-CN"/>
        </w:rPr>
        <w:t>年</w:t>
      </w:r>
      <w:r>
        <w:rPr>
          <w:rFonts w:hint="eastAsia" w:ascii="宋体" w:hAnsi="宋体" w:cs="Times New Roman"/>
          <w:color w:val="auto"/>
          <w:sz w:val="24"/>
          <w:u w:val="single"/>
          <w:lang w:val="en-US" w:eastAsia="zh-CN"/>
        </w:rPr>
        <w:t xml:space="preserve"> 8</w:t>
      </w:r>
      <w:r>
        <w:rPr>
          <w:rFonts w:hint="eastAsia" w:ascii="宋体" w:hAnsi="宋体" w:eastAsia="宋体" w:cs="Times New Roman"/>
          <w:color w:val="auto"/>
          <w:sz w:val="24"/>
          <w:lang w:val="en-US" w:eastAsia="zh-CN"/>
        </w:rPr>
        <w:t>月</w:t>
      </w:r>
      <w:r>
        <w:rPr>
          <w:rFonts w:hint="eastAsia" w:ascii="宋体" w:hAnsi="宋体" w:cs="Times New Roman"/>
          <w:color w:val="auto"/>
          <w:sz w:val="24"/>
          <w:u w:val="single"/>
          <w:lang w:val="en-US" w:eastAsia="zh-CN"/>
        </w:rPr>
        <w:t xml:space="preserve"> 31 </w:t>
      </w:r>
      <w:r>
        <w:rPr>
          <w:rFonts w:hint="eastAsia" w:ascii="宋体" w:hAnsi="宋体" w:eastAsia="宋体" w:cs="Times New Roman"/>
          <w:color w:val="auto"/>
          <w:sz w:val="24"/>
          <w:lang w:val="en-US" w:eastAsia="zh-CN"/>
        </w:rPr>
        <w:t>日止。</w:t>
      </w:r>
      <w:bookmarkEnd w:id="405"/>
    </w:p>
    <w:p w14:paraId="339C74A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合同期内，采购人将对中标人实施考核，如果出现二次满意率达不到要求，学校将中途终止与中标人的服务协议，由学校另行招聘服务方。</w:t>
      </w:r>
    </w:p>
    <w:p w14:paraId="41F4155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78" w:firstLineChars="200"/>
        <w:jc w:val="both"/>
        <w:textAlignment w:val="auto"/>
        <w:outlineLvl w:val="9"/>
        <w:rPr>
          <w:rFonts w:hint="eastAsia" w:ascii="宋体" w:hAnsi="宋体" w:eastAsia="宋体" w:cs="Times New Roman"/>
          <w:color w:val="auto"/>
          <w:sz w:val="24"/>
          <w:lang w:val="en-US" w:eastAsia="zh-CN"/>
        </w:rPr>
      </w:pPr>
      <w:r>
        <w:rPr>
          <w:rFonts w:hint="eastAsia" w:ascii="仿宋" w:hAnsi="仿宋" w:eastAsia="仿宋" w:cs="仿宋"/>
          <w:b/>
          <w:bCs/>
          <w:color w:val="auto"/>
          <w:spacing w:val="4"/>
          <w:sz w:val="28"/>
          <w:szCs w:val="28"/>
          <w:lang w:val="en-US" w:eastAsia="zh-CN"/>
        </w:rPr>
        <w:t>2.</w:t>
      </w:r>
      <w:r>
        <w:rPr>
          <w:rFonts w:hint="eastAsia" w:ascii="宋体" w:hAnsi="宋体" w:eastAsia="宋体" w:cs="宋体"/>
          <w:b/>
          <w:bCs/>
          <w:color w:val="auto"/>
          <w:sz w:val="24"/>
          <w:szCs w:val="24"/>
          <w:lang w:val="en-US" w:eastAsia="zh-CN"/>
        </w:rPr>
        <w:t>费用</w:t>
      </w:r>
      <w:r>
        <w:rPr>
          <w:rFonts w:hint="eastAsia" w:ascii="宋体" w:hAnsi="宋体" w:eastAsia="宋体" w:cs="宋体"/>
          <w:b/>
          <w:bCs/>
          <w:color w:val="auto"/>
          <w:spacing w:val="2"/>
          <w:sz w:val="24"/>
          <w:szCs w:val="24"/>
        </w:rPr>
        <w:t>结算方式：</w:t>
      </w:r>
      <w:r>
        <w:rPr>
          <w:rFonts w:hint="eastAsia" w:ascii="宋体" w:hAnsi="宋体" w:eastAsia="宋体" w:cs="Times New Roman"/>
          <w:color w:val="auto"/>
          <w:sz w:val="24"/>
          <w:lang w:val="en-US" w:eastAsia="zh-CN"/>
        </w:rPr>
        <w:t>自合同签订之日15天内，甲方向乙方支付合同价的50%为预付款。自合同签订之日后，采购人根据劳务服务质量的考核结果，按每三个月支付服务费一次，每次支付合同价的10%。甲方每次经季度考核后签署支付意见单，乙方提供发票，甲方凭发票于三十日内向乙方支付款项。采购人根据考核结果，中标人因工作失误造成的扣款在付款时予以扣除。</w:t>
      </w:r>
    </w:p>
    <w:p w14:paraId="1644B68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中标价的10%作为年度考核金额，采购人按年度对中标人进行考核，根据考核结果确定考核金额发放，考核良好及以上全额支付，考核合格支付考核金额的80%，考核基本合格支付考核金额的50%，考核不合格不予发放。</w:t>
      </w:r>
    </w:p>
    <w:p w14:paraId="115D679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3.考核评定等级划分</w:t>
      </w:r>
    </w:p>
    <w:p w14:paraId="0A8AC32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本考核要求采用百分制，每年考核四次，每三个月考核一次，采购人可视情况增加考核次数，并按以下原则评定考核等级： </w:t>
      </w:r>
    </w:p>
    <w:p w14:paraId="7D04079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（1）考核分≥90分，视为优秀，全额拨付当期服务费用。</w:t>
      </w:r>
    </w:p>
    <w:p w14:paraId="224485D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（2）80≤考核分＜90分，视为良好，扣除当期服务费用的2%；</w:t>
      </w:r>
    </w:p>
    <w:p w14:paraId="287981C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（3）70≤考核分＜80分，视为合格，扣除当期服务费用的5%；</w:t>
      </w:r>
    </w:p>
    <w:p w14:paraId="24365A89">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570" w:leftChars="0" w:right="0" w:rightChars="0" w:firstLine="480" w:firstLineChars="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考核分＜70分视为不合格，扣除当期服务费用的10%。如在考核中中标人连续二次考核分＜70分，采购人将通知中标人解除服务合同。</w:t>
      </w:r>
    </w:p>
    <w:p w14:paraId="5D277146">
      <w:pPr>
        <w:numPr>
          <w:ilvl w:val="0"/>
          <w:numId w:val="0"/>
        </w:numPr>
        <w:snapToGrid w:val="0"/>
        <w:spacing w:line="440" w:lineRule="exact"/>
        <w:ind w:firstLine="3313" w:firstLineChars="1100"/>
        <w:jc w:val="both"/>
        <w:rPr>
          <w:rFonts w:hint="eastAsia" w:ascii="新宋体" w:hAnsi="新宋体" w:eastAsia="新宋体" w:cs="新宋体"/>
          <w:b/>
          <w:bCs/>
          <w:color w:val="auto"/>
          <w:sz w:val="30"/>
          <w:szCs w:val="30"/>
          <w:lang w:val="en-US" w:eastAsia="zh-CN"/>
        </w:rPr>
        <w:sectPr>
          <w:pgSz w:w="11907" w:h="16840"/>
          <w:pgMar w:top="1474" w:right="1304" w:bottom="1474" w:left="1304" w:header="851" w:footer="851" w:gutter="0"/>
          <w:cols w:space="720" w:num="1"/>
        </w:sectPr>
      </w:pPr>
    </w:p>
    <w:p w14:paraId="1456E03C">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食堂劳务服务</w:t>
      </w:r>
      <w:r>
        <w:rPr>
          <w:rFonts w:hint="eastAsia" w:ascii="新宋体" w:hAnsi="新宋体" w:eastAsia="新宋体" w:cs="新宋体"/>
          <w:b/>
          <w:bCs/>
          <w:color w:val="auto"/>
          <w:sz w:val="30"/>
          <w:szCs w:val="30"/>
          <w:lang w:eastAsia="zh-CN"/>
        </w:rPr>
        <w:t>考核标准</w:t>
      </w:r>
    </w:p>
    <w:p w14:paraId="5B6D9521">
      <w:pPr>
        <w:numPr>
          <w:ilvl w:val="0"/>
          <w:numId w:val="0"/>
        </w:numPr>
        <w:snapToGrid w:val="0"/>
        <w:spacing w:line="440" w:lineRule="exact"/>
        <w:ind w:firstLine="0" w:firstLineChars="0"/>
        <w:jc w:val="right"/>
        <w:rPr>
          <w:rFonts w:hint="default"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bCs/>
          <w:color w:val="auto"/>
          <w:sz w:val="24"/>
          <w:szCs w:val="24"/>
          <w:lang w:eastAsia="zh-CN"/>
        </w:rPr>
        <w:t>考核人：</w:t>
      </w:r>
      <w:r>
        <w:rPr>
          <w:rFonts w:hint="eastAsia" w:ascii="新宋体" w:hAnsi="新宋体" w:eastAsia="新宋体" w:cs="新宋体"/>
          <w:b/>
          <w:bCs/>
          <w:color w:val="auto"/>
          <w:sz w:val="24"/>
          <w:szCs w:val="24"/>
          <w:lang w:val="en-US" w:eastAsia="zh-CN"/>
        </w:rPr>
        <w:t xml:space="preserve">             考核时间：        年   月   日</w:t>
      </w:r>
    </w:p>
    <w:tbl>
      <w:tblPr>
        <w:tblStyle w:val="966"/>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7193"/>
        <w:gridCol w:w="7"/>
        <w:gridCol w:w="1"/>
        <w:gridCol w:w="6"/>
        <w:gridCol w:w="946"/>
        <w:gridCol w:w="1"/>
        <w:gridCol w:w="7"/>
        <w:gridCol w:w="7"/>
        <w:gridCol w:w="908"/>
        <w:gridCol w:w="3244"/>
      </w:tblGrid>
      <w:tr w14:paraId="59D31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721" w:type="dxa"/>
            <w:tcBorders>
              <w:left w:val="single" w:color="000000" w:sz="6" w:space="0"/>
            </w:tcBorders>
            <w:vAlign w:val="center"/>
          </w:tcPr>
          <w:p w14:paraId="651B6B07">
            <w:pPr>
              <w:widowControl/>
              <w:kinsoku w:val="0"/>
              <w:wordWrap/>
              <w:autoSpaceDE w:val="0"/>
              <w:autoSpaceDN w:val="0"/>
              <w:adjustRightInd w:val="0"/>
              <w:snapToGrid w:val="0"/>
              <w:spacing w:line="240" w:lineRule="atLeast"/>
              <w:ind w:left="139"/>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序</w:t>
            </w:r>
            <w:r>
              <w:rPr>
                <w:rFonts w:hint="eastAsia" w:ascii="新宋体" w:hAnsi="新宋体" w:eastAsia="新宋体" w:cs="新宋体"/>
                <w:color w:val="auto"/>
                <w:sz w:val="24"/>
                <w:szCs w:val="24"/>
              </w:rPr>
              <w:t>号</w:t>
            </w:r>
          </w:p>
        </w:tc>
        <w:tc>
          <w:tcPr>
            <w:tcW w:w="844" w:type="dxa"/>
            <w:vAlign w:val="center"/>
          </w:tcPr>
          <w:p w14:paraId="1283837E">
            <w:pPr>
              <w:widowControl/>
              <w:kinsoku w:val="0"/>
              <w:wordWrap/>
              <w:autoSpaceDE w:val="0"/>
              <w:autoSpaceDN w:val="0"/>
              <w:adjustRightInd w:val="0"/>
              <w:snapToGrid w:val="0"/>
              <w:spacing w:line="240" w:lineRule="atLeast"/>
              <w:ind w:left="205"/>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项</w:t>
            </w:r>
            <w:r>
              <w:rPr>
                <w:rFonts w:hint="eastAsia" w:ascii="新宋体" w:hAnsi="新宋体" w:eastAsia="新宋体" w:cs="新宋体"/>
                <w:color w:val="auto"/>
                <w:sz w:val="24"/>
                <w:szCs w:val="24"/>
              </w:rPr>
              <w:t>目</w:t>
            </w:r>
          </w:p>
        </w:tc>
        <w:tc>
          <w:tcPr>
            <w:tcW w:w="7201" w:type="dxa"/>
            <w:gridSpan w:val="3"/>
            <w:vAlign w:val="center"/>
          </w:tcPr>
          <w:p w14:paraId="27FB348D">
            <w:pPr>
              <w:widowControl/>
              <w:kinsoku w:val="0"/>
              <w:wordWrap/>
              <w:autoSpaceDE w:val="0"/>
              <w:autoSpaceDN w:val="0"/>
              <w:adjustRightInd w:val="0"/>
              <w:snapToGrid w:val="0"/>
              <w:spacing w:line="240" w:lineRule="atLeast"/>
              <w:ind w:left="2968"/>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eastAsia="zh-CN"/>
              </w:rPr>
              <w:t>考核</w:t>
            </w:r>
            <w:r>
              <w:rPr>
                <w:rFonts w:hint="eastAsia" w:ascii="新宋体" w:hAnsi="新宋体" w:eastAsia="新宋体" w:cs="新宋体"/>
                <w:color w:val="auto"/>
                <w:sz w:val="24"/>
                <w:szCs w:val="24"/>
              </w:rPr>
              <w:t>标准</w:t>
            </w:r>
          </w:p>
        </w:tc>
        <w:tc>
          <w:tcPr>
            <w:tcW w:w="952" w:type="dxa"/>
            <w:gridSpan w:val="2"/>
            <w:vAlign w:val="center"/>
          </w:tcPr>
          <w:p w14:paraId="545F3EA9">
            <w:pPr>
              <w:widowControl/>
              <w:kinsoku w:val="0"/>
              <w:wordWrap/>
              <w:autoSpaceDE w:val="0"/>
              <w:autoSpaceDN w:val="0"/>
              <w:adjustRightInd w:val="0"/>
              <w:snapToGrid w:val="0"/>
              <w:spacing w:line="240" w:lineRule="atLeast"/>
              <w:ind w:left="268"/>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923" w:type="dxa"/>
            <w:gridSpan w:val="4"/>
            <w:vAlign w:val="center"/>
          </w:tcPr>
          <w:p w14:paraId="2C501CC5">
            <w:pPr>
              <w:widowControl/>
              <w:kinsoku w:val="0"/>
              <w:wordWrap/>
              <w:autoSpaceDE w:val="0"/>
              <w:autoSpaceDN w:val="0"/>
              <w:adjustRightInd w:val="0"/>
              <w:snapToGrid w:val="0"/>
              <w:spacing w:line="240" w:lineRule="atLeast"/>
              <w:ind w:left="256"/>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评</w:t>
            </w:r>
            <w:r>
              <w:rPr>
                <w:rFonts w:hint="eastAsia" w:ascii="新宋体" w:hAnsi="新宋体" w:eastAsia="新宋体" w:cs="新宋体"/>
                <w:color w:val="auto"/>
                <w:sz w:val="24"/>
                <w:szCs w:val="24"/>
              </w:rPr>
              <w:t>分</w:t>
            </w:r>
          </w:p>
        </w:tc>
        <w:tc>
          <w:tcPr>
            <w:tcW w:w="3244" w:type="dxa"/>
            <w:tcBorders>
              <w:right w:val="single" w:color="000000" w:sz="6" w:space="0"/>
            </w:tcBorders>
            <w:vAlign w:val="center"/>
          </w:tcPr>
          <w:p w14:paraId="38B154DD">
            <w:pPr>
              <w:widowControl/>
              <w:kinsoku w:val="0"/>
              <w:wordWrap/>
              <w:autoSpaceDE w:val="0"/>
              <w:autoSpaceDN w:val="0"/>
              <w:adjustRightInd w:val="0"/>
              <w:snapToGrid w:val="0"/>
              <w:spacing w:line="240" w:lineRule="atLeast"/>
              <w:ind w:left="1196"/>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4A5CD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721" w:type="dxa"/>
            <w:vMerge w:val="restart"/>
            <w:tcBorders>
              <w:left w:val="single" w:color="000000" w:sz="6" w:space="0"/>
            </w:tcBorders>
            <w:vAlign w:val="center"/>
          </w:tcPr>
          <w:p w14:paraId="269CF09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1B094057">
            <w:pPr>
              <w:widowControl/>
              <w:kinsoku w:val="0"/>
              <w:wordWrap/>
              <w:autoSpaceDE w:val="0"/>
              <w:autoSpaceDN w:val="0"/>
              <w:adjustRightInd w:val="0"/>
              <w:snapToGrid w:val="0"/>
              <w:spacing w:line="240" w:lineRule="atLeast"/>
              <w:ind w:left="31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844" w:type="dxa"/>
            <w:vMerge w:val="restart"/>
            <w:vAlign w:val="center"/>
          </w:tcPr>
          <w:p w14:paraId="18BF85BF">
            <w:pPr>
              <w:widowControl/>
              <w:kinsoku w:val="0"/>
              <w:wordWrap/>
              <w:autoSpaceDE w:val="0"/>
              <w:autoSpaceDN w:val="0"/>
              <w:adjustRightInd w:val="0"/>
              <w:snapToGrid w:val="0"/>
              <w:spacing w:line="240" w:lineRule="atLeast"/>
              <w:ind w:left="2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人员</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管理</w:t>
            </w:r>
          </w:p>
        </w:tc>
        <w:tc>
          <w:tcPr>
            <w:tcW w:w="7201" w:type="dxa"/>
            <w:gridSpan w:val="3"/>
            <w:vAlign w:val="center"/>
          </w:tcPr>
          <w:p w14:paraId="4565E2F6">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lang w:val="en-US" w:eastAsia="zh-CN"/>
              </w:rPr>
              <w:t>1.</w:t>
            </w:r>
            <w:r>
              <w:rPr>
                <w:rFonts w:hint="eastAsia" w:ascii="新宋体" w:hAnsi="新宋体" w:eastAsia="新宋体" w:cs="新宋体"/>
                <w:color w:val="auto"/>
                <w:spacing w:val="-2"/>
                <w:sz w:val="24"/>
                <w:szCs w:val="24"/>
              </w:rPr>
              <w:t>项目投标时所承诺的项目工作人员，</w:t>
            </w:r>
            <w:r>
              <w:rPr>
                <w:rFonts w:hint="eastAsia" w:ascii="新宋体" w:hAnsi="新宋体" w:eastAsia="新宋体" w:cs="新宋体"/>
                <w:color w:val="auto"/>
                <w:spacing w:val="-1"/>
                <w:sz w:val="24"/>
                <w:szCs w:val="24"/>
              </w:rPr>
              <w:t>必须和承接此项目后开展工作的团队</w:t>
            </w:r>
            <w:r>
              <w:rPr>
                <w:rFonts w:hint="eastAsia" w:ascii="新宋体" w:hAnsi="新宋体" w:eastAsia="新宋体" w:cs="新宋体"/>
                <w:color w:val="auto"/>
                <w:spacing w:val="-5"/>
                <w:sz w:val="24"/>
                <w:szCs w:val="24"/>
              </w:rPr>
              <w:t>人员相符，</w:t>
            </w:r>
            <w:r>
              <w:rPr>
                <w:rFonts w:hint="eastAsia" w:ascii="新宋体" w:hAnsi="新宋体" w:eastAsia="新宋体" w:cs="新宋体"/>
                <w:color w:val="auto"/>
                <w:spacing w:val="-2"/>
                <w:sz w:val="24"/>
                <w:szCs w:val="24"/>
              </w:rPr>
              <w:t>实行</w:t>
            </w:r>
            <w:r>
              <w:rPr>
                <w:rFonts w:hint="eastAsia" w:ascii="宋体" w:hAnsi="宋体" w:eastAsia="宋体" w:cs="Times New Roman"/>
                <w:b w:val="0"/>
                <w:bCs w:val="0"/>
                <w:color w:val="auto"/>
                <w:sz w:val="24"/>
                <w:lang w:val="en-US" w:eastAsia="zh-CN"/>
              </w:rPr>
              <w:t>厨师</w:t>
            </w:r>
            <w:r>
              <w:rPr>
                <w:rFonts w:hint="eastAsia" w:ascii="新宋体" w:hAnsi="新宋体" w:eastAsia="新宋体" w:cs="新宋体"/>
                <w:color w:val="auto"/>
                <w:spacing w:val="-1"/>
                <w:sz w:val="24"/>
                <w:szCs w:val="24"/>
              </w:rPr>
              <w:t>持证上岗制度。</w:t>
            </w:r>
          </w:p>
        </w:tc>
        <w:tc>
          <w:tcPr>
            <w:tcW w:w="952" w:type="dxa"/>
            <w:gridSpan w:val="2"/>
            <w:vAlign w:val="center"/>
          </w:tcPr>
          <w:p w14:paraId="29C72F35">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3" w:type="dxa"/>
            <w:gridSpan w:val="4"/>
            <w:vAlign w:val="center"/>
          </w:tcPr>
          <w:p w14:paraId="214834B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restart"/>
            <w:tcBorders>
              <w:right w:val="single" w:color="000000" w:sz="6" w:space="0"/>
            </w:tcBorders>
            <w:vAlign w:val="center"/>
          </w:tcPr>
          <w:p w14:paraId="5FB8163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p w14:paraId="5D48359C">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1 人不符合， </w:t>
            </w:r>
          </w:p>
          <w:p w14:paraId="7FEC7F81">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1"/>
                <w:sz w:val="24"/>
                <w:szCs w:val="24"/>
              </w:rPr>
              <w:t>扣除</w:t>
            </w:r>
            <w:r>
              <w:rPr>
                <w:rFonts w:hint="eastAsia" w:ascii="新宋体" w:hAnsi="新宋体" w:eastAsia="新宋体" w:cs="新宋体"/>
                <w:color w:val="auto"/>
                <w:spacing w:val="-11"/>
                <w:sz w:val="24"/>
                <w:szCs w:val="24"/>
                <w:lang w:val="en-US" w:eastAsia="zh-CN"/>
              </w:rPr>
              <w:t>0.5-</w:t>
            </w:r>
            <w:r>
              <w:rPr>
                <w:rFonts w:hint="eastAsia" w:ascii="新宋体" w:hAnsi="新宋体" w:eastAsia="新宋体" w:cs="新宋体"/>
                <w:color w:val="auto"/>
                <w:spacing w:val="-11"/>
                <w:sz w:val="24"/>
                <w:szCs w:val="24"/>
              </w:rPr>
              <w:t xml:space="preserve"> 1 分</w:t>
            </w:r>
          </w:p>
        </w:tc>
      </w:tr>
      <w:tr w14:paraId="65781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5F7790B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1A625C0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201" w:type="dxa"/>
            <w:gridSpan w:val="3"/>
            <w:vAlign w:val="center"/>
          </w:tcPr>
          <w:p w14:paraId="112A64FC">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项目经理</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提前20天、</w:t>
            </w:r>
            <w:r>
              <w:rPr>
                <w:rFonts w:hint="eastAsia" w:ascii="新宋体" w:hAnsi="新宋体" w:eastAsia="新宋体" w:cs="新宋体"/>
                <w:color w:val="auto"/>
                <w:sz w:val="24"/>
                <w:szCs w:val="24"/>
                <w:lang w:eastAsia="zh-CN"/>
              </w:rPr>
              <w:t>其他</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提前7天告知采购人</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不得影响师生正常供餐</w:t>
            </w:r>
            <w:r>
              <w:rPr>
                <w:rFonts w:hint="eastAsia" w:ascii="新宋体" w:hAnsi="新宋体" w:eastAsia="新宋体" w:cs="新宋体"/>
                <w:color w:val="auto"/>
                <w:sz w:val="24"/>
                <w:szCs w:val="24"/>
                <w:lang w:eastAsia="zh-CN"/>
              </w:rPr>
              <w:t>。</w:t>
            </w:r>
          </w:p>
        </w:tc>
        <w:tc>
          <w:tcPr>
            <w:tcW w:w="952" w:type="dxa"/>
            <w:gridSpan w:val="2"/>
            <w:vAlign w:val="center"/>
          </w:tcPr>
          <w:p w14:paraId="34C6C582">
            <w:pPr>
              <w:widowControl/>
              <w:kinsoku w:val="0"/>
              <w:wordWrap/>
              <w:autoSpaceDE w:val="0"/>
              <w:autoSpaceDN w:val="0"/>
              <w:adjustRightInd w:val="0"/>
              <w:snapToGrid w:val="0"/>
              <w:spacing w:line="240" w:lineRule="atLeast"/>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3" w:type="dxa"/>
            <w:gridSpan w:val="4"/>
            <w:vAlign w:val="center"/>
          </w:tcPr>
          <w:p w14:paraId="027BF05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right w:val="single" w:color="000000" w:sz="6" w:space="0"/>
            </w:tcBorders>
            <w:vAlign w:val="center"/>
          </w:tcPr>
          <w:p w14:paraId="5C462BC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D4F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restart"/>
            <w:tcBorders>
              <w:left w:val="single" w:color="000000" w:sz="6" w:space="0"/>
            </w:tcBorders>
            <w:vAlign w:val="center"/>
          </w:tcPr>
          <w:p w14:paraId="21F3CBE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844" w:type="dxa"/>
            <w:vMerge w:val="restart"/>
            <w:vAlign w:val="center"/>
          </w:tcPr>
          <w:p w14:paraId="11D2208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制度</w:t>
            </w:r>
            <w:r>
              <w:rPr>
                <w:rFonts w:hint="eastAsia" w:ascii="新宋体" w:hAnsi="新宋体" w:eastAsia="新宋体" w:cs="新宋体"/>
                <w:color w:val="auto"/>
                <w:sz w:val="24"/>
                <w:szCs w:val="24"/>
                <w:lang w:eastAsia="zh-CN"/>
              </w:rPr>
              <w:br w:type="textWrapping"/>
            </w:r>
            <w:r>
              <w:rPr>
                <w:rFonts w:hint="eastAsia" w:ascii="新宋体" w:hAnsi="新宋体" w:eastAsia="新宋体" w:cs="新宋体"/>
                <w:color w:val="auto"/>
                <w:sz w:val="24"/>
                <w:szCs w:val="24"/>
                <w:lang w:eastAsia="zh-CN"/>
              </w:rPr>
              <w:t>履约</w:t>
            </w:r>
          </w:p>
        </w:tc>
        <w:tc>
          <w:tcPr>
            <w:tcW w:w="7201" w:type="dxa"/>
            <w:gridSpan w:val="3"/>
            <w:vAlign w:val="center"/>
          </w:tcPr>
          <w:p w14:paraId="54F1945B">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1"/>
                <w:sz w:val="24"/>
                <w:szCs w:val="24"/>
                <w:lang w:val="en-US" w:eastAsia="zh-CN"/>
              </w:rPr>
              <w:t>1.</w:t>
            </w:r>
            <w:r>
              <w:rPr>
                <w:rFonts w:hint="eastAsia" w:ascii="新宋体" w:hAnsi="新宋体" w:eastAsia="新宋体" w:cs="新宋体"/>
                <w:color w:val="auto"/>
                <w:spacing w:val="-1"/>
                <w:sz w:val="24"/>
                <w:szCs w:val="24"/>
                <w:lang w:eastAsia="zh-CN"/>
              </w:rPr>
              <w:t>遵守《</w:t>
            </w:r>
            <w:r>
              <w:rPr>
                <w:rFonts w:hint="eastAsia" w:ascii="新宋体" w:hAnsi="新宋体" w:eastAsia="新宋体" w:cs="新宋体"/>
                <w:color w:val="auto"/>
                <w:spacing w:val="-1"/>
                <w:sz w:val="24"/>
                <w:szCs w:val="24"/>
                <w:lang w:val="en-US" w:eastAsia="zh-CN"/>
              </w:rPr>
              <w:t>食堂劳务</w:t>
            </w:r>
            <w:r>
              <w:rPr>
                <w:rFonts w:hint="eastAsia" w:ascii="新宋体" w:hAnsi="新宋体" w:eastAsia="新宋体" w:cs="新宋体"/>
                <w:color w:val="auto"/>
                <w:spacing w:val="-1"/>
                <w:sz w:val="24"/>
                <w:szCs w:val="24"/>
              </w:rPr>
              <w:t>服务人员行为</w:t>
            </w:r>
            <w:r>
              <w:rPr>
                <w:rFonts w:hint="eastAsia" w:ascii="新宋体" w:hAnsi="新宋体" w:eastAsia="新宋体" w:cs="新宋体"/>
                <w:color w:val="auto"/>
                <w:sz w:val="24"/>
                <w:szCs w:val="24"/>
              </w:rPr>
              <w:t>规范</w:t>
            </w:r>
            <w:r>
              <w:rPr>
                <w:rFonts w:hint="eastAsia" w:ascii="新宋体" w:hAnsi="新宋体" w:eastAsia="新宋体" w:cs="新宋体"/>
                <w:color w:val="auto"/>
                <w:spacing w:val="-1"/>
                <w:sz w:val="24"/>
                <w:szCs w:val="24"/>
                <w:lang w:eastAsia="zh-CN"/>
              </w:rPr>
              <w:t>》</w:t>
            </w:r>
          </w:p>
        </w:tc>
        <w:tc>
          <w:tcPr>
            <w:tcW w:w="952" w:type="dxa"/>
            <w:gridSpan w:val="2"/>
            <w:vAlign w:val="center"/>
          </w:tcPr>
          <w:p w14:paraId="7B12D7C4">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3" w:type="dxa"/>
            <w:gridSpan w:val="4"/>
            <w:vAlign w:val="center"/>
          </w:tcPr>
          <w:p w14:paraId="18A55E2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restart"/>
            <w:tcBorders>
              <w:right w:val="single" w:color="000000" w:sz="6" w:space="0"/>
            </w:tcBorders>
            <w:vAlign w:val="center"/>
          </w:tcPr>
          <w:p w14:paraId="46C9D9D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w:t>
            </w:r>
            <w:r>
              <w:rPr>
                <w:rFonts w:hint="eastAsia" w:ascii="新宋体" w:hAnsi="新宋体" w:eastAsia="新宋体" w:cs="新宋体"/>
                <w:color w:val="auto"/>
                <w:spacing w:val="-11"/>
                <w:sz w:val="24"/>
                <w:szCs w:val="24"/>
                <w:lang w:val="en-US" w:eastAsia="zh-CN"/>
              </w:rPr>
              <w:t>每一条</w:t>
            </w:r>
            <w:r>
              <w:rPr>
                <w:rFonts w:hint="eastAsia" w:ascii="新宋体" w:hAnsi="新宋体" w:eastAsia="新宋体" w:cs="新宋体"/>
                <w:color w:val="auto"/>
                <w:spacing w:val="-11"/>
                <w:sz w:val="24"/>
                <w:szCs w:val="24"/>
              </w:rPr>
              <w:t xml:space="preserve">不符合， </w:t>
            </w:r>
          </w:p>
          <w:p w14:paraId="7CA9B67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1"/>
                <w:sz w:val="24"/>
                <w:szCs w:val="24"/>
              </w:rPr>
              <w:t xml:space="preserve">扣除 </w:t>
            </w:r>
            <w:r>
              <w:rPr>
                <w:rFonts w:hint="eastAsia" w:ascii="新宋体" w:hAnsi="新宋体" w:eastAsia="新宋体" w:cs="新宋体"/>
                <w:color w:val="auto"/>
                <w:spacing w:val="-11"/>
                <w:sz w:val="24"/>
                <w:szCs w:val="24"/>
                <w:lang w:val="en-US" w:eastAsia="zh-CN"/>
              </w:rPr>
              <w:t>0.2-0.5</w:t>
            </w:r>
            <w:r>
              <w:rPr>
                <w:rFonts w:hint="eastAsia" w:ascii="新宋体" w:hAnsi="新宋体" w:eastAsia="新宋体" w:cs="新宋体"/>
                <w:color w:val="auto"/>
                <w:spacing w:val="-11"/>
                <w:sz w:val="24"/>
                <w:szCs w:val="24"/>
              </w:rPr>
              <w:t>分</w:t>
            </w:r>
          </w:p>
        </w:tc>
      </w:tr>
      <w:tr w14:paraId="7EF7C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03C177C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537DB62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201" w:type="dxa"/>
            <w:gridSpan w:val="3"/>
            <w:vAlign w:val="center"/>
          </w:tcPr>
          <w:p w14:paraId="0DB99766">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sz w:val="24"/>
                <w:szCs w:val="24"/>
                <w:lang w:val="en-US" w:eastAsia="zh-CN"/>
              </w:rPr>
              <w:t>2.有</w:t>
            </w:r>
            <w:r>
              <w:rPr>
                <w:rFonts w:hint="eastAsia" w:ascii="新宋体" w:hAnsi="新宋体" w:eastAsia="新宋体" w:cs="新宋体"/>
                <w:color w:val="auto"/>
                <w:spacing w:val="-2"/>
                <w:sz w:val="24"/>
                <w:szCs w:val="24"/>
                <w:lang w:eastAsia="zh-CN"/>
              </w:rPr>
              <w:t>健全的管理</w:t>
            </w:r>
            <w:r>
              <w:rPr>
                <w:rFonts w:hint="eastAsia" w:ascii="新宋体" w:hAnsi="新宋体" w:eastAsia="新宋体" w:cs="新宋体"/>
                <w:color w:val="auto"/>
                <w:sz w:val="24"/>
                <w:szCs w:val="24"/>
              </w:rPr>
              <w:t>制度</w:t>
            </w:r>
            <w:r>
              <w:rPr>
                <w:rFonts w:hint="eastAsia" w:ascii="新宋体" w:hAnsi="新宋体" w:eastAsia="新宋体" w:cs="新宋体"/>
                <w:color w:val="auto"/>
                <w:sz w:val="24"/>
                <w:szCs w:val="24"/>
                <w:lang w:val="en-US" w:eastAsia="zh-CN"/>
              </w:rPr>
              <w:t>和</w:t>
            </w:r>
            <w:r>
              <w:rPr>
                <w:rFonts w:hint="eastAsia" w:ascii="新宋体" w:hAnsi="新宋体" w:eastAsia="新宋体" w:cs="新宋体"/>
                <w:color w:val="auto"/>
                <w:spacing w:val="-2"/>
                <w:sz w:val="24"/>
                <w:szCs w:val="24"/>
                <w:lang w:eastAsia="zh-CN"/>
              </w:rPr>
              <w:t>流程、</w:t>
            </w:r>
            <w:r>
              <w:rPr>
                <w:rFonts w:hint="eastAsia" w:ascii="新宋体" w:hAnsi="新宋体" w:eastAsia="新宋体" w:cs="新宋体"/>
                <w:color w:val="auto"/>
                <w:sz w:val="24"/>
                <w:szCs w:val="24"/>
              </w:rPr>
              <w:t>管理机制</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运作规范</w:t>
            </w:r>
            <w:r>
              <w:rPr>
                <w:rFonts w:hint="eastAsia" w:ascii="新宋体" w:hAnsi="新宋体" w:eastAsia="新宋体" w:cs="新宋体"/>
                <w:color w:val="auto"/>
                <w:sz w:val="24"/>
                <w:szCs w:val="24"/>
                <w:lang w:eastAsia="zh-CN"/>
              </w:rPr>
              <w:t>。</w:t>
            </w:r>
          </w:p>
        </w:tc>
        <w:tc>
          <w:tcPr>
            <w:tcW w:w="952" w:type="dxa"/>
            <w:gridSpan w:val="2"/>
            <w:vAlign w:val="center"/>
          </w:tcPr>
          <w:p w14:paraId="49C9E26C">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3" w:type="dxa"/>
            <w:gridSpan w:val="4"/>
            <w:vAlign w:val="center"/>
          </w:tcPr>
          <w:p w14:paraId="6A94284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right w:val="single" w:color="000000" w:sz="6" w:space="0"/>
            </w:tcBorders>
            <w:vAlign w:val="center"/>
          </w:tcPr>
          <w:p w14:paraId="4E54399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45BFF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721" w:type="dxa"/>
            <w:vMerge w:val="continue"/>
            <w:tcBorders>
              <w:left w:val="single" w:color="000000" w:sz="6" w:space="0"/>
            </w:tcBorders>
            <w:vAlign w:val="center"/>
          </w:tcPr>
          <w:p w14:paraId="7093248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1602CEE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201" w:type="dxa"/>
            <w:gridSpan w:val="3"/>
            <w:vAlign w:val="center"/>
          </w:tcPr>
          <w:p w14:paraId="0547FF1B">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1"/>
                <w:sz w:val="24"/>
                <w:szCs w:val="24"/>
                <w:lang w:val="en-US" w:eastAsia="zh-CN"/>
              </w:rPr>
              <w:t>3.</w:t>
            </w:r>
            <w:r>
              <w:rPr>
                <w:rFonts w:hint="eastAsia" w:ascii="新宋体" w:hAnsi="新宋体" w:eastAsia="新宋体" w:cs="新宋体"/>
                <w:color w:val="auto"/>
                <w:spacing w:val="-1"/>
                <w:sz w:val="24"/>
                <w:szCs w:val="24"/>
                <w:lang w:eastAsia="zh-CN"/>
              </w:rPr>
              <w:t>遵守</w:t>
            </w:r>
            <w:r>
              <w:rPr>
                <w:rFonts w:hint="eastAsia" w:ascii="新宋体" w:hAnsi="新宋体" w:eastAsia="新宋体" w:cs="新宋体"/>
                <w:color w:val="auto"/>
                <w:spacing w:val="-1"/>
                <w:sz w:val="24"/>
                <w:szCs w:val="24"/>
                <w:lang w:val="en-US" w:eastAsia="zh-CN"/>
              </w:rPr>
              <w:t>余杭区食堂“管理操作113条”。</w:t>
            </w:r>
          </w:p>
        </w:tc>
        <w:tc>
          <w:tcPr>
            <w:tcW w:w="952" w:type="dxa"/>
            <w:gridSpan w:val="2"/>
            <w:vAlign w:val="center"/>
          </w:tcPr>
          <w:p w14:paraId="0B46538C">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3" w:type="dxa"/>
            <w:gridSpan w:val="4"/>
            <w:vAlign w:val="center"/>
          </w:tcPr>
          <w:p w14:paraId="0E0758E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right w:val="single" w:color="000000" w:sz="6" w:space="0"/>
            </w:tcBorders>
            <w:vAlign w:val="center"/>
          </w:tcPr>
          <w:p w14:paraId="309F82D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258E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721" w:type="dxa"/>
            <w:vMerge w:val="restart"/>
            <w:vAlign w:val="center"/>
          </w:tcPr>
          <w:p w14:paraId="3F518A2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2E9AC4C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76C57398">
            <w:pPr>
              <w:widowControl/>
              <w:kinsoku w:val="0"/>
              <w:wordWrap/>
              <w:autoSpaceDE w:val="0"/>
              <w:autoSpaceDN w:val="0"/>
              <w:adjustRightInd w:val="0"/>
              <w:snapToGrid w:val="0"/>
              <w:spacing w:line="240" w:lineRule="atLeast"/>
              <w:ind w:left="309"/>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844" w:type="dxa"/>
            <w:vMerge w:val="restart"/>
            <w:vAlign w:val="center"/>
          </w:tcPr>
          <w:p w14:paraId="4BF6674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p w14:paraId="64E6C669">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position w:val="9"/>
                <w:sz w:val="24"/>
                <w:szCs w:val="24"/>
                <w:lang w:val="en-US" w:eastAsia="zh-CN"/>
              </w:rPr>
              <w:t>食堂公共卫生</w:t>
            </w:r>
            <w:r>
              <w:rPr>
                <w:rFonts w:hint="eastAsia" w:ascii="新宋体" w:hAnsi="新宋体" w:eastAsia="新宋体" w:cs="新宋体"/>
                <w:color w:val="auto"/>
                <w:spacing w:val="-2"/>
                <w:position w:val="9"/>
                <w:sz w:val="24"/>
                <w:szCs w:val="24"/>
                <w:lang w:eastAsia="zh-CN"/>
              </w:rPr>
              <w:br w:type="textWrapping"/>
            </w:r>
          </w:p>
        </w:tc>
        <w:tc>
          <w:tcPr>
            <w:tcW w:w="7201" w:type="dxa"/>
            <w:gridSpan w:val="3"/>
            <w:vAlign w:val="center"/>
          </w:tcPr>
          <w:p w14:paraId="4008DFC1">
            <w:pPr>
              <w:widowControl/>
              <w:numPr>
                <w:ilvl w:val="0"/>
                <w:numId w:val="0"/>
              </w:numPr>
              <w:kinsoku w:val="0"/>
              <w:wordWrap/>
              <w:autoSpaceDE w:val="0"/>
              <w:autoSpaceDN w:val="0"/>
              <w:adjustRightInd w:val="0"/>
              <w:snapToGrid w:val="0"/>
              <w:spacing w:line="240" w:lineRule="atLeast"/>
              <w:ind w:right="161" w:rightChars="0"/>
              <w:jc w:val="both"/>
              <w:textAlignment w:val="baseline"/>
              <w:rPr>
                <w:rFonts w:hint="eastAsia" w:ascii="新宋体" w:hAnsi="新宋体" w:eastAsia="宋体" w:cs="新宋体"/>
                <w:color w:val="auto"/>
                <w:sz w:val="21"/>
                <w:szCs w:val="21"/>
                <w:lang w:eastAsia="zh-CN"/>
              </w:rPr>
            </w:pPr>
            <w:r>
              <w:rPr>
                <w:rFonts w:hint="eastAsia" w:ascii="新宋体" w:hAnsi="新宋体" w:eastAsia="新宋体" w:cs="新宋体"/>
                <w:color w:val="auto"/>
                <w:spacing w:val="4"/>
                <w:sz w:val="21"/>
                <w:szCs w:val="21"/>
                <w:lang w:val="en-US" w:eastAsia="zh-CN"/>
              </w:rPr>
              <w:t>1.食堂内部</w:t>
            </w:r>
            <w:r>
              <w:rPr>
                <w:rFonts w:hint="eastAsia" w:ascii="新宋体" w:hAnsi="新宋体" w:eastAsia="新宋体" w:cs="新宋体"/>
                <w:color w:val="auto"/>
                <w:spacing w:val="4"/>
                <w:sz w:val="21"/>
                <w:szCs w:val="21"/>
              </w:rPr>
              <w:t>地面、墙面、楼梯、扶手、大厅、玻</w:t>
            </w:r>
            <w:r>
              <w:rPr>
                <w:rFonts w:hint="eastAsia" w:ascii="新宋体" w:hAnsi="新宋体" w:eastAsia="新宋体" w:cs="新宋体"/>
                <w:color w:val="auto"/>
                <w:spacing w:val="-7"/>
                <w:sz w:val="21"/>
                <w:szCs w:val="21"/>
              </w:rPr>
              <w:t>璃、门及门窗框、天花板、栏杆、走廊</w:t>
            </w:r>
            <w:r>
              <w:rPr>
                <w:rFonts w:hint="eastAsia" w:ascii="新宋体" w:hAnsi="新宋体" w:eastAsia="新宋体" w:cs="新宋体"/>
                <w:color w:val="auto"/>
                <w:spacing w:val="-7"/>
                <w:sz w:val="21"/>
                <w:szCs w:val="21"/>
                <w:lang w:eastAsia="zh-CN"/>
              </w:rPr>
              <w:t>、</w:t>
            </w:r>
            <w:r>
              <w:rPr>
                <w:rFonts w:hint="eastAsia" w:ascii="新宋体" w:hAnsi="新宋体" w:eastAsia="新宋体" w:cs="新宋体"/>
                <w:color w:val="auto"/>
                <w:spacing w:val="-7"/>
                <w:sz w:val="21"/>
                <w:szCs w:val="21"/>
                <w:lang w:val="en-US" w:eastAsia="zh-CN"/>
              </w:rPr>
              <w:t>灯具和风扇表面清</w:t>
            </w:r>
            <w:r>
              <w:rPr>
                <w:rFonts w:hint="eastAsia" w:ascii="新宋体" w:hAnsi="新宋体" w:eastAsia="新宋体" w:cs="新宋体"/>
                <w:color w:val="auto"/>
                <w:spacing w:val="-7"/>
                <w:sz w:val="21"/>
                <w:szCs w:val="21"/>
              </w:rPr>
              <w:t>洁干净，无垃圾、</w:t>
            </w:r>
            <w:r>
              <w:rPr>
                <w:rFonts w:hint="eastAsia" w:ascii="新宋体" w:hAnsi="新宋体" w:eastAsia="新宋体" w:cs="新宋体"/>
                <w:color w:val="auto"/>
                <w:spacing w:val="-8"/>
                <w:sz w:val="21"/>
                <w:szCs w:val="21"/>
              </w:rPr>
              <w:t>无积灰、无污渍、无手印。</w:t>
            </w:r>
            <w:r>
              <w:rPr>
                <w:rFonts w:hint="eastAsia" w:ascii="宋体" w:hAnsi="宋体" w:eastAsia="宋体" w:cs="宋体"/>
                <w:color w:val="auto"/>
                <w:sz w:val="21"/>
                <w:szCs w:val="21"/>
              </w:rPr>
              <w:t>餐桌摆放整齐，桌面无油污</w:t>
            </w:r>
            <w:r>
              <w:rPr>
                <w:rFonts w:hint="eastAsia" w:ascii="宋体" w:hAnsi="宋体" w:eastAsia="宋体" w:cs="宋体"/>
                <w:color w:val="auto"/>
                <w:sz w:val="21"/>
                <w:szCs w:val="21"/>
                <w:lang w:eastAsia="zh-CN"/>
              </w:rPr>
              <w:t>。</w:t>
            </w:r>
          </w:p>
        </w:tc>
        <w:tc>
          <w:tcPr>
            <w:tcW w:w="952" w:type="dxa"/>
            <w:gridSpan w:val="2"/>
            <w:vAlign w:val="center"/>
          </w:tcPr>
          <w:p w14:paraId="7D493BC2">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23" w:type="dxa"/>
            <w:gridSpan w:val="4"/>
            <w:vAlign w:val="center"/>
          </w:tcPr>
          <w:p w14:paraId="1A7A6FD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restart"/>
            <w:tcBorders>
              <w:bottom w:val="nil"/>
            </w:tcBorders>
            <w:vAlign w:val="center"/>
          </w:tcPr>
          <w:p w14:paraId="69A7F64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354CB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vMerge w:val="continue"/>
            <w:vAlign w:val="center"/>
          </w:tcPr>
          <w:p w14:paraId="59A8954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2E765AA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201" w:type="dxa"/>
            <w:gridSpan w:val="3"/>
            <w:vAlign w:val="center"/>
          </w:tcPr>
          <w:p w14:paraId="1C39256C">
            <w:pPr>
              <w:widowControl/>
              <w:numPr>
                <w:ilvl w:val="0"/>
                <w:numId w:val="0"/>
              </w:numPr>
              <w:kinsoku w:val="0"/>
              <w:wordWrap/>
              <w:autoSpaceDE w:val="0"/>
              <w:autoSpaceDN w:val="0"/>
              <w:adjustRightInd w:val="0"/>
              <w:snapToGrid w:val="0"/>
              <w:spacing w:line="240" w:lineRule="atLeast"/>
              <w:ind w:right="50" w:rightChars="0"/>
              <w:jc w:val="both"/>
              <w:textAlignment w:val="baseline"/>
              <w:rPr>
                <w:rFonts w:hint="eastAsia" w:ascii="新宋体" w:hAnsi="新宋体" w:eastAsia="新宋体" w:cs="新宋体"/>
                <w:color w:val="auto"/>
                <w:sz w:val="21"/>
                <w:szCs w:val="21"/>
              </w:rPr>
            </w:pPr>
            <w:r>
              <w:rPr>
                <w:rFonts w:hint="eastAsia" w:ascii="新宋体" w:hAnsi="新宋体" w:eastAsia="新宋体" w:cs="新宋体"/>
                <w:color w:val="auto"/>
                <w:spacing w:val="-4"/>
                <w:sz w:val="21"/>
                <w:szCs w:val="21"/>
                <w:lang w:val="en-US" w:eastAsia="zh-CN"/>
              </w:rPr>
              <w:t>2.</w:t>
            </w:r>
            <w:r>
              <w:rPr>
                <w:rFonts w:hint="eastAsia" w:ascii="宋体" w:hAnsi="宋体" w:eastAsia="宋体" w:cs="宋体"/>
                <w:color w:val="auto"/>
                <w:sz w:val="21"/>
                <w:szCs w:val="21"/>
              </w:rPr>
              <w:t>制作间内无卫生死角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加工间内</w:t>
            </w:r>
            <w:r>
              <w:rPr>
                <w:rFonts w:hint="eastAsia" w:ascii="宋体" w:hAnsi="宋体" w:eastAsia="宋体" w:cs="宋体"/>
                <w:color w:val="auto"/>
                <w:sz w:val="21"/>
                <w:szCs w:val="21"/>
              </w:rPr>
              <w:t>锅台、地面、案台、墙壁干净无油污，水池干净，地面无积水机械设备厨房用具用后及时清洗，保持干净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放置安全规范。</w:t>
            </w:r>
            <w:r>
              <w:rPr>
                <w:rFonts w:hint="eastAsia" w:ascii="宋体" w:hAnsi="宋体" w:eastAsia="宋体" w:cs="宋体"/>
                <w:color w:val="auto"/>
                <w:sz w:val="21"/>
                <w:szCs w:val="21"/>
              </w:rPr>
              <w:t>操作间内不</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存放私人用品</w:t>
            </w:r>
            <w:r>
              <w:rPr>
                <w:rFonts w:hint="eastAsia" w:ascii="宋体" w:hAnsi="宋体" w:eastAsia="宋体" w:cs="宋体"/>
                <w:color w:val="auto"/>
                <w:sz w:val="21"/>
                <w:szCs w:val="21"/>
                <w:lang w:eastAsia="zh-CN"/>
              </w:rPr>
              <w:t>。</w:t>
            </w:r>
          </w:p>
        </w:tc>
        <w:tc>
          <w:tcPr>
            <w:tcW w:w="952" w:type="dxa"/>
            <w:gridSpan w:val="2"/>
            <w:vAlign w:val="center"/>
          </w:tcPr>
          <w:p w14:paraId="7CCCDA89">
            <w:pPr>
              <w:widowControl/>
              <w:kinsoku w:val="0"/>
              <w:wordWrap/>
              <w:autoSpaceDE w:val="0"/>
              <w:autoSpaceDN w:val="0"/>
              <w:adjustRightInd w:val="0"/>
              <w:snapToGrid w:val="0"/>
              <w:spacing w:line="240" w:lineRule="atLeast"/>
              <w:ind w:left="433"/>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23" w:type="dxa"/>
            <w:gridSpan w:val="4"/>
            <w:vAlign w:val="center"/>
          </w:tcPr>
          <w:p w14:paraId="3F0F90C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top w:val="nil"/>
            </w:tcBorders>
            <w:vAlign w:val="center"/>
          </w:tcPr>
          <w:p w14:paraId="3CA77C1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3AC7C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721" w:type="dxa"/>
            <w:vMerge w:val="continue"/>
            <w:vAlign w:val="center"/>
          </w:tcPr>
          <w:p w14:paraId="611A75D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1127231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93" w:type="dxa"/>
            <w:vAlign w:val="center"/>
          </w:tcPr>
          <w:p w14:paraId="6828562D">
            <w:pPr>
              <w:widowControl/>
              <w:numPr>
                <w:ilvl w:val="0"/>
                <w:numId w:val="0"/>
              </w:numPr>
              <w:kinsoku w:val="0"/>
              <w:wordWrap/>
              <w:autoSpaceDE w:val="0"/>
              <w:autoSpaceDN w:val="0"/>
              <w:adjustRightInd w:val="0"/>
              <w:snapToGrid w:val="0"/>
              <w:spacing w:line="240" w:lineRule="atLeast"/>
              <w:ind w:right="0" w:rightChars="0"/>
              <w:jc w:val="both"/>
              <w:textAlignment w:val="baseline"/>
              <w:outlineLvl w:val="9"/>
              <w:rPr>
                <w:rFonts w:hint="default" w:ascii="新宋体" w:hAnsi="新宋体" w:eastAsia="宋体" w:cs="新宋体"/>
                <w:color w:val="auto"/>
                <w:sz w:val="21"/>
                <w:szCs w:val="21"/>
                <w:lang w:val="en-US" w:eastAsia="zh-CN"/>
              </w:rPr>
            </w:pPr>
            <w:r>
              <w:rPr>
                <w:rFonts w:hint="eastAsia" w:ascii="新宋体" w:hAnsi="新宋体" w:eastAsia="新宋体" w:cs="新宋体"/>
                <w:color w:val="auto"/>
                <w:sz w:val="21"/>
                <w:szCs w:val="21"/>
                <w:lang w:val="en-US" w:eastAsia="zh-CN"/>
              </w:rPr>
              <w:t>3.食堂</w:t>
            </w:r>
            <w:r>
              <w:rPr>
                <w:rFonts w:hint="eastAsia" w:ascii="新宋体" w:hAnsi="新宋体" w:eastAsia="新宋体" w:cs="新宋体"/>
                <w:color w:val="auto"/>
                <w:sz w:val="21"/>
                <w:szCs w:val="21"/>
              </w:rPr>
              <w:t>“门前三包”</w:t>
            </w:r>
            <w:r>
              <w:rPr>
                <w:rFonts w:hint="eastAsia" w:ascii="新宋体" w:hAnsi="新宋体" w:eastAsia="新宋体" w:cs="新宋体"/>
                <w:color w:val="auto"/>
                <w:sz w:val="21"/>
                <w:szCs w:val="21"/>
                <w:lang w:val="en-US" w:eastAsia="zh-CN"/>
              </w:rPr>
              <w:t>指食堂周围道路中线以内的</w:t>
            </w:r>
            <w:r>
              <w:rPr>
                <w:rFonts w:hint="eastAsia" w:ascii="新宋体" w:hAnsi="新宋体" w:eastAsia="新宋体" w:cs="新宋体"/>
                <w:color w:val="auto"/>
                <w:sz w:val="21"/>
                <w:szCs w:val="21"/>
              </w:rPr>
              <w:t>区域的地面</w:t>
            </w:r>
            <w:r>
              <w:rPr>
                <w:rFonts w:hint="eastAsia" w:ascii="新宋体" w:hAnsi="新宋体" w:eastAsia="新宋体" w:cs="新宋体"/>
                <w:color w:val="auto"/>
                <w:sz w:val="21"/>
                <w:szCs w:val="21"/>
                <w:lang w:val="en-US" w:eastAsia="zh-CN"/>
              </w:rPr>
              <w:t>清洁</w:t>
            </w:r>
            <w:r>
              <w:rPr>
                <w:rFonts w:hint="eastAsia" w:ascii="新宋体" w:hAnsi="新宋体" w:eastAsia="新宋体" w:cs="新宋体"/>
                <w:color w:val="auto"/>
                <w:sz w:val="21"/>
                <w:szCs w:val="21"/>
              </w:rPr>
              <w:t>干净，无杂物、无积水、无淤泥、无污垢。</w:t>
            </w:r>
            <w:r>
              <w:rPr>
                <w:rFonts w:ascii="宋体" w:hAnsi="宋体" w:eastAsia="宋体" w:cs="宋体"/>
                <w:color w:val="auto"/>
                <w:sz w:val="22"/>
                <w:szCs w:val="22"/>
              </w:rPr>
              <w:t>绿化带</w:t>
            </w:r>
            <w:r>
              <w:rPr>
                <w:rFonts w:hint="eastAsia" w:ascii="宋体" w:hAnsi="宋体" w:eastAsia="宋体" w:cs="宋体"/>
                <w:color w:val="auto"/>
                <w:sz w:val="22"/>
                <w:szCs w:val="22"/>
                <w:lang w:val="en-US" w:eastAsia="zh-CN"/>
              </w:rPr>
              <w:t>内</w:t>
            </w:r>
            <w:r>
              <w:rPr>
                <w:rFonts w:ascii="宋体" w:hAnsi="宋体" w:eastAsia="宋体" w:cs="宋体"/>
                <w:color w:val="auto"/>
                <w:sz w:val="22"/>
                <w:szCs w:val="22"/>
              </w:rPr>
              <w:t>无垃圾。</w:t>
            </w:r>
            <w:r>
              <w:rPr>
                <w:rFonts w:hint="eastAsia" w:cs="宋体"/>
                <w:color w:val="auto"/>
                <w:sz w:val="22"/>
                <w:szCs w:val="22"/>
                <w:lang w:val="en-US" w:eastAsia="zh-CN"/>
              </w:rPr>
              <w:t>垃圾桶放置整齐，</w:t>
            </w:r>
            <w:r>
              <w:rPr>
                <w:rFonts w:hint="eastAsia" w:ascii="新宋体" w:hAnsi="新宋体" w:eastAsia="新宋体" w:cs="新宋体"/>
                <w:color w:val="auto"/>
                <w:sz w:val="24"/>
                <w:szCs w:val="24"/>
              </w:rPr>
              <w:t>垃圾箱(房</w:t>
            </w:r>
            <w:r>
              <w:rPr>
                <w:rFonts w:hint="eastAsia" w:ascii="新宋体" w:hAnsi="新宋体" w:eastAsia="新宋体" w:cs="新宋体"/>
                <w:color w:val="auto"/>
                <w:sz w:val="24"/>
                <w:szCs w:val="24"/>
                <w:lang w:val="en-US" w:eastAsia="zh-CN"/>
              </w:rPr>
              <w:t>棚</w:t>
            </w:r>
            <w:r>
              <w:rPr>
                <w:rFonts w:hint="eastAsia" w:ascii="新宋体" w:hAnsi="新宋体" w:eastAsia="新宋体" w:cs="新宋体"/>
                <w:color w:val="auto"/>
                <w:sz w:val="24"/>
                <w:szCs w:val="24"/>
              </w:rPr>
              <w:t>)外侧面清洁、内侧无残留物、无异味。</w:t>
            </w:r>
          </w:p>
        </w:tc>
        <w:tc>
          <w:tcPr>
            <w:tcW w:w="961" w:type="dxa"/>
            <w:gridSpan w:val="5"/>
            <w:vAlign w:val="center"/>
          </w:tcPr>
          <w:p w14:paraId="7D94A171">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p>
        </w:tc>
        <w:tc>
          <w:tcPr>
            <w:tcW w:w="922" w:type="dxa"/>
            <w:gridSpan w:val="3"/>
            <w:vAlign w:val="center"/>
          </w:tcPr>
          <w:p w14:paraId="2E02839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restart"/>
            <w:vAlign w:val="center"/>
          </w:tcPr>
          <w:p w14:paraId="249F5D1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r>
              <w:rPr>
                <w:rFonts w:hint="eastAsia" w:ascii="新宋体" w:hAnsi="新宋体" w:eastAsia="新宋体" w:cs="新宋体"/>
                <w:snapToGrid w:val="0"/>
                <w:color w:val="auto"/>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1" name="矩形 1"/>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9pt;margin-top:0pt;height:232.05pt;width:0.5pt;mso-position-horizontal-relative:page;mso-position-vertical-relative:page;z-index:251662336;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FhvmtcA&#10;AAAKAQAADwAAAAAAAAABACAAAAAiAAAAZHJzL2Rvd25yZXYueG1sUEsBAhQAFAAAAAgAh07iQDJb&#10;kyKuAQAAXQMAAA4AAAAAAAAAAQAgAAAAJgEAAGRycy9lMm9Eb2MueG1sUEsFBgAAAAAGAAYAWQEA&#10;AEYFAAAAAA==&#10;">
                      <v:fill on="t" focussize="0,0"/>
                      <v:stroke on="f"/>
                      <v:imagedata o:title=""/>
                      <o:lock v:ext="edit" aspectratio="f"/>
                    </v:rect>
                  </w:pict>
                </mc:Fallback>
              </mc:AlternateContent>
            </w:r>
          </w:p>
        </w:tc>
      </w:tr>
      <w:tr w14:paraId="026B5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vMerge w:val="continue"/>
            <w:vAlign w:val="center"/>
          </w:tcPr>
          <w:p w14:paraId="0D720D7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679DF38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93" w:type="dxa"/>
            <w:vAlign w:val="center"/>
          </w:tcPr>
          <w:p w14:paraId="0896633C">
            <w:pPr>
              <w:widowControl/>
              <w:numPr>
                <w:ilvl w:val="0"/>
                <w:numId w:val="0"/>
              </w:numPr>
              <w:kinsoku w:val="0"/>
              <w:wordWrap/>
              <w:autoSpaceDE w:val="0"/>
              <w:autoSpaceDN w:val="0"/>
              <w:adjustRightInd w:val="0"/>
              <w:snapToGrid w:val="0"/>
              <w:spacing w:line="360" w:lineRule="auto"/>
              <w:ind w:right="0" w:rightChars="0"/>
              <w:jc w:val="both"/>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1"/>
                <w:szCs w:val="21"/>
                <w:lang w:val="en-US" w:eastAsia="zh-CN"/>
              </w:rPr>
              <w:t>4.食堂</w:t>
            </w:r>
            <w:r>
              <w:rPr>
                <w:rFonts w:hint="eastAsia" w:ascii="新宋体" w:hAnsi="新宋体" w:eastAsia="新宋体" w:cs="新宋体"/>
                <w:color w:val="auto"/>
                <w:sz w:val="21"/>
                <w:szCs w:val="21"/>
              </w:rPr>
              <w:t>内绿化养护应100%存活</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植株长势良好，无残枝、无黄叶、无积尘，花朵饱满、无萎蔫，托盘内无积水。</w:t>
            </w:r>
          </w:p>
        </w:tc>
        <w:tc>
          <w:tcPr>
            <w:tcW w:w="961" w:type="dxa"/>
            <w:gridSpan w:val="5"/>
            <w:vAlign w:val="center"/>
          </w:tcPr>
          <w:p w14:paraId="2037B9E7">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22" w:type="dxa"/>
            <w:gridSpan w:val="3"/>
            <w:vAlign w:val="center"/>
          </w:tcPr>
          <w:p w14:paraId="4FAB52D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vAlign w:val="center"/>
          </w:tcPr>
          <w:p w14:paraId="115B4E0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6B365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721" w:type="dxa"/>
            <w:vMerge w:val="continue"/>
            <w:tcBorders>
              <w:bottom w:val="nil"/>
            </w:tcBorders>
            <w:vAlign w:val="center"/>
          </w:tcPr>
          <w:p w14:paraId="10A5FE7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tcBorders>
              <w:bottom w:val="nil"/>
            </w:tcBorders>
            <w:vAlign w:val="center"/>
          </w:tcPr>
          <w:p w14:paraId="6216858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93" w:type="dxa"/>
            <w:vAlign w:val="center"/>
          </w:tcPr>
          <w:p w14:paraId="30C755CE">
            <w:pPr>
              <w:widowControl/>
              <w:numPr>
                <w:ilvl w:val="0"/>
                <w:numId w:val="0"/>
              </w:numPr>
              <w:kinsoku w:val="0"/>
              <w:wordWrap/>
              <w:autoSpaceDE w:val="0"/>
              <w:autoSpaceDN w:val="0"/>
              <w:adjustRightInd w:val="0"/>
              <w:snapToGrid w:val="0"/>
              <w:spacing w:line="360" w:lineRule="auto"/>
              <w:ind w:right="0" w:rightChars="0"/>
              <w:jc w:val="both"/>
              <w:textAlignment w:val="baseline"/>
              <w:outlineLvl w:val="9"/>
              <w:rPr>
                <w:rFonts w:hint="default" w:ascii="宋体" w:hAnsi="宋体" w:eastAsia="宋体" w:cs="宋体"/>
                <w:color w:val="auto"/>
                <w:spacing w:val="-2"/>
                <w:sz w:val="22"/>
                <w:szCs w:val="22"/>
                <w:lang w:val="en-US" w:eastAsia="zh-CN"/>
              </w:rPr>
            </w:pPr>
            <w:r>
              <w:rPr>
                <w:rFonts w:hint="eastAsia" w:cs="宋体"/>
                <w:color w:val="auto"/>
                <w:spacing w:val="-2"/>
                <w:sz w:val="22"/>
                <w:szCs w:val="22"/>
                <w:lang w:val="en-US" w:eastAsia="zh-CN"/>
              </w:rPr>
              <w:t>5.食堂加工间物品用具按照上级部门检查的要求放置，标识标记规范。</w:t>
            </w:r>
            <w:r>
              <w:rPr>
                <w:rFonts w:hint="eastAsia" w:ascii="宋体" w:hAnsi="宋体" w:eastAsia="宋体" w:cs="宋体"/>
                <w:color w:val="auto"/>
                <w:sz w:val="21"/>
                <w:szCs w:val="21"/>
              </w:rPr>
              <w:t>三防设施齐全完好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操作间内所有下水道必须畅通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盖板完好</w:t>
            </w:r>
            <w:r>
              <w:rPr>
                <w:rFonts w:hint="eastAsia" w:ascii="宋体" w:hAnsi="宋体" w:eastAsia="宋体" w:cs="宋体"/>
                <w:color w:val="auto"/>
                <w:sz w:val="21"/>
                <w:szCs w:val="21"/>
                <w:lang w:eastAsia="zh-CN"/>
              </w:rPr>
              <w:t>。</w:t>
            </w:r>
          </w:p>
        </w:tc>
        <w:tc>
          <w:tcPr>
            <w:tcW w:w="961" w:type="dxa"/>
            <w:gridSpan w:val="5"/>
            <w:vAlign w:val="center"/>
          </w:tcPr>
          <w:p w14:paraId="44B8ECE5">
            <w:pPr>
              <w:widowControl/>
              <w:numPr>
                <w:ilvl w:val="0"/>
                <w:numId w:val="0"/>
              </w:numPr>
              <w:kinsoku w:val="0"/>
              <w:wordWrap/>
              <w:autoSpaceDE w:val="0"/>
              <w:autoSpaceDN w:val="0"/>
              <w:adjustRightInd w:val="0"/>
              <w:snapToGrid w:val="0"/>
              <w:spacing w:line="240" w:lineRule="atLeast"/>
              <w:ind w:left="400"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922" w:type="dxa"/>
            <w:gridSpan w:val="3"/>
            <w:vAlign w:val="center"/>
          </w:tcPr>
          <w:p w14:paraId="7C495A6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vAlign w:val="center"/>
          </w:tcPr>
          <w:p w14:paraId="255A2F1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7759E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1" w:type="dxa"/>
            <w:tcBorders>
              <w:top w:val="nil"/>
              <w:left w:val="single" w:color="000000" w:sz="6" w:space="0"/>
            </w:tcBorders>
            <w:vAlign w:val="center"/>
          </w:tcPr>
          <w:p w14:paraId="171A903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844" w:type="dxa"/>
            <w:tcBorders>
              <w:top w:val="nil"/>
            </w:tcBorders>
            <w:vAlign w:val="center"/>
          </w:tcPr>
          <w:p w14:paraId="555A7F9A">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lang w:val="en-US" w:eastAsia="zh-CN"/>
              </w:rPr>
            </w:pPr>
          </w:p>
        </w:tc>
        <w:tc>
          <w:tcPr>
            <w:tcW w:w="7193" w:type="dxa"/>
            <w:vAlign w:val="center"/>
          </w:tcPr>
          <w:p w14:paraId="4830A6BB">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.餐饮具消毒、浸泡，</w:t>
            </w:r>
            <w:r>
              <w:rPr>
                <w:rFonts w:hint="eastAsia" w:ascii="宋体" w:hAnsi="宋体" w:eastAsia="宋体" w:cs="宋体"/>
                <w:color w:val="auto"/>
                <w:sz w:val="21"/>
                <w:szCs w:val="21"/>
                <w:lang w:val="en-US" w:eastAsia="zh-CN"/>
              </w:rPr>
              <w:t>有</w:t>
            </w:r>
            <w:r>
              <w:rPr>
                <w:rFonts w:hint="eastAsia" w:ascii="宋体" w:hAnsi="宋体" w:cs="宋体"/>
                <w:color w:val="auto"/>
                <w:sz w:val="21"/>
                <w:szCs w:val="21"/>
                <w:lang w:val="en-US" w:eastAsia="zh-CN"/>
              </w:rPr>
              <w:t>清洗消毒</w:t>
            </w:r>
            <w:r>
              <w:rPr>
                <w:rFonts w:hint="eastAsia" w:ascii="宋体" w:hAnsi="宋体" w:eastAsia="宋体" w:cs="宋体"/>
                <w:color w:val="auto"/>
                <w:sz w:val="21"/>
                <w:szCs w:val="21"/>
              </w:rPr>
              <w:t>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当</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餐具餐后必须清洗干净进入保洁柜</w:t>
            </w:r>
            <w:r>
              <w:rPr>
                <w:rFonts w:hint="eastAsia" w:ascii="宋体" w:hAnsi="宋体" w:cs="宋体"/>
                <w:color w:val="auto"/>
                <w:sz w:val="21"/>
                <w:szCs w:val="21"/>
                <w:lang w:val="en-US" w:eastAsia="zh-CN"/>
              </w:rPr>
              <w:t>或放入消毒柜。</w:t>
            </w:r>
            <w:r>
              <w:rPr>
                <w:rFonts w:hint="eastAsia" w:ascii="宋体" w:hAnsi="宋体" w:eastAsia="宋体" w:cs="宋体"/>
                <w:color w:val="auto"/>
                <w:sz w:val="21"/>
                <w:szCs w:val="21"/>
                <w:lang w:val="en-US" w:eastAsia="zh-CN"/>
              </w:rPr>
              <w:t>师生所用餐具表面</w:t>
            </w:r>
            <w:r>
              <w:rPr>
                <w:rFonts w:hint="eastAsia" w:ascii="宋体" w:hAnsi="宋体" w:eastAsia="宋体" w:cs="宋体"/>
                <w:color w:val="auto"/>
                <w:sz w:val="21"/>
                <w:szCs w:val="21"/>
              </w:rPr>
              <w:t>干净无油污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无湿滑现象。</w:t>
            </w:r>
          </w:p>
        </w:tc>
        <w:tc>
          <w:tcPr>
            <w:tcW w:w="961" w:type="dxa"/>
            <w:gridSpan w:val="5"/>
            <w:vAlign w:val="center"/>
          </w:tcPr>
          <w:p w14:paraId="61AC07AC">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922" w:type="dxa"/>
            <w:gridSpan w:val="3"/>
            <w:vAlign w:val="center"/>
          </w:tcPr>
          <w:p w14:paraId="0AF2E24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vAlign w:val="center"/>
          </w:tcPr>
          <w:p w14:paraId="5DFE0B8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839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14:paraId="6607518F">
            <w:pPr>
              <w:widowControl/>
              <w:kinsoku w:val="0"/>
              <w:wordWrap/>
              <w:autoSpaceDE w:val="0"/>
              <w:autoSpaceDN w:val="0"/>
              <w:adjustRightInd w:val="0"/>
              <w:snapToGrid w:val="0"/>
              <w:spacing w:line="240" w:lineRule="atLeast"/>
              <w:jc w:val="center"/>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844" w:type="dxa"/>
            <w:vMerge w:val="restart"/>
            <w:vAlign w:val="center"/>
          </w:tcPr>
          <w:p w14:paraId="6D14E525">
            <w:pPr>
              <w:widowControl/>
              <w:kinsoku w:val="0"/>
              <w:wordWrap/>
              <w:autoSpaceDE w:val="0"/>
              <w:autoSpaceDN w:val="0"/>
              <w:adjustRightInd w:val="0"/>
              <w:snapToGrid w:val="0"/>
              <w:spacing w:line="240" w:lineRule="atLeast"/>
              <w:ind w:left="211"/>
              <w:jc w:val="center"/>
              <w:textAlignment w:val="baseline"/>
              <w:rPr>
                <w:rFonts w:hint="eastAsia" w:ascii="新宋体" w:hAnsi="新宋体" w:eastAsia="宋体" w:cs="新宋体"/>
                <w:color w:val="auto"/>
                <w:sz w:val="24"/>
                <w:szCs w:val="24"/>
                <w:lang w:val="en-US" w:eastAsia="zh-CN"/>
              </w:rPr>
            </w:pPr>
            <w:r>
              <w:rPr>
                <w:rFonts w:hint="eastAsia" w:ascii="宋体" w:hAnsi="宋体" w:eastAsia="宋体" w:cs="宋体"/>
                <w:color w:val="auto"/>
                <w:sz w:val="21"/>
                <w:szCs w:val="21"/>
                <w:lang w:val="en-US" w:eastAsia="zh-CN"/>
              </w:rPr>
              <w:t>员工</w:t>
            </w:r>
            <w:r>
              <w:rPr>
                <w:rFonts w:hint="eastAsia" w:ascii="宋体" w:hAnsi="宋体" w:eastAsia="宋体" w:cs="宋体"/>
                <w:color w:val="auto"/>
                <w:sz w:val="21"/>
                <w:szCs w:val="21"/>
              </w:rPr>
              <w:t>卫生</w:t>
            </w:r>
            <w:r>
              <w:rPr>
                <w:rFonts w:hint="eastAsia" w:ascii="宋体" w:hAnsi="宋体" w:eastAsia="宋体" w:cs="宋体"/>
                <w:color w:val="auto"/>
                <w:sz w:val="21"/>
                <w:szCs w:val="21"/>
                <w:lang w:val="en-US" w:eastAsia="zh-CN"/>
              </w:rPr>
              <w:t>纪律</w:t>
            </w:r>
          </w:p>
        </w:tc>
        <w:tc>
          <w:tcPr>
            <w:tcW w:w="7193" w:type="dxa"/>
            <w:vAlign w:val="center"/>
          </w:tcPr>
          <w:p w14:paraId="6D6C3F56">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1.员工上班时着工作服，手套、口罩穿戴</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rPr>
              <w:t>整洁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不得在操作间吸烟、喝酒、玩手机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员工上班时</w:t>
            </w:r>
            <w:r>
              <w:rPr>
                <w:rFonts w:hint="eastAsia" w:ascii="宋体" w:hAnsi="宋体" w:eastAsia="宋体" w:cs="宋体"/>
                <w:color w:val="auto"/>
                <w:sz w:val="21"/>
                <w:szCs w:val="21"/>
                <w:lang w:val="en-US" w:eastAsia="zh-CN"/>
              </w:rPr>
              <w:t>间，不赤脚凉风。</w:t>
            </w:r>
          </w:p>
        </w:tc>
        <w:tc>
          <w:tcPr>
            <w:tcW w:w="961" w:type="dxa"/>
            <w:gridSpan w:val="5"/>
            <w:vAlign w:val="center"/>
          </w:tcPr>
          <w:p w14:paraId="146F9E0B">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2" w:type="dxa"/>
            <w:gridSpan w:val="3"/>
            <w:vAlign w:val="center"/>
          </w:tcPr>
          <w:p w14:paraId="35757C1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restart"/>
            <w:tcBorders>
              <w:right w:val="single" w:color="000000" w:sz="6" w:space="0"/>
            </w:tcBorders>
            <w:vAlign w:val="center"/>
          </w:tcPr>
          <w:p w14:paraId="4B43745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236C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03316E2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7DA0D36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93" w:type="dxa"/>
            <w:tcBorders>
              <w:right w:val="single" w:color="auto" w:sz="4" w:space="0"/>
            </w:tcBorders>
            <w:vAlign w:val="center"/>
          </w:tcPr>
          <w:p w14:paraId="534DC8BE">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2.操作人员讲卫生，不留染长指甲，且不佩戴金银首饰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工作人员需戴手套，不能直接接触食品</w:t>
            </w:r>
          </w:p>
        </w:tc>
        <w:tc>
          <w:tcPr>
            <w:tcW w:w="961" w:type="dxa"/>
            <w:gridSpan w:val="5"/>
            <w:tcBorders>
              <w:left w:val="single" w:color="auto" w:sz="4" w:space="0"/>
            </w:tcBorders>
            <w:vAlign w:val="center"/>
          </w:tcPr>
          <w:p w14:paraId="0051E7DB">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2" w:type="dxa"/>
            <w:gridSpan w:val="3"/>
            <w:vAlign w:val="center"/>
          </w:tcPr>
          <w:p w14:paraId="65B7A83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right w:val="single" w:color="000000" w:sz="6" w:space="0"/>
            </w:tcBorders>
            <w:vAlign w:val="center"/>
          </w:tcPr>
          <w:p w14:paraId="04B8FD3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658D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52845D9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844" w:type="dxa"/>
            <w:vMerge w:val="continue"/>
            <w:vAlign w:val="center"/>
          </w:tcPr>
          <w:p w14:paraId="58E2043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p>
        </w:tc>
        <w:tc>
          <w:tcPr>
            <w:tcW w:w="7193" w:type="dxa"/>
            <w:tcBorders>
              <w:right w:val="single" w:color="auto" w:sz="4" w:space="0"/>
            </w:tcBorders>
            <w:vAlign w:val="center"/>
          </w:tcPr>
          <w:p w14:paraId="70E3B6E4">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新宋体" w:hAnsi="新宋体" w:eastAsia="宋体" w:cs="新宋体"/>
                <w:color w:val="auto"/>
                <w:sz w:val="24"/>
                <w:szCs w:val="24"/>
                <w:lang w:val="en-US" w:eastAsia="zh-CN"/>
              </w:rPr>
            </w:pPr>
            <w:r>
              <w:rPr>
                <w:rFonts w:hint="eastAsia" w:ascii="新宋体" w:hAnsi="新宋体" w:eastAsia="新宋体" w:cs="新宋体"/>
                <w:color w:val="auto"/>
                <w:sz w:val="24"/>
                <w:szCs w:val="24"/>
                <w:lang w:val="en-US" w:eastAsia="zh-CN"/>
              </w:rPr>
              <w:t>3.</w:t>
            </w:r>
            <w:r>
              <w:rPr>
                <w:rFonts w:hint="eastAsia" w:ascii="宋体" w:hAnsi="宋体" w:eastAsia="宋体" w:cs="宋体"/>
                <w:color w:val="auto"/>
                <w:sz w:val="21"/>
                <w:szCs w:val="21"/>
                <w:lang w:val="en-US" w:eastAsia="zh-CN"/>
              </w:rPr>
              <w:t>员工纪律，</w:t>
            </w:r>
            <w:r>
              <w:rPr>
                <w:rFonts w:hint="eastAsia" w:ascii="宋体" w:hAnsi="宋体" w:eastAsia="宋体" w:cs="宋体"/>
                <w:color w:val="auto"/>
                <w:sz w:val="21"/>
                <w:szCs w:val="21"/>
              </w:rPr>
              <w:t>食堂经理须每天坚持在岗，有事须向学校食堂负责人汇报</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员工之间应团结友爱，无争吵、打架、赌博现象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无事故或事故苗头发生，并经常进行安全教育和检查</w:t>
            </w:r>
            <w:r>
              <w:rPr>
                <w:rFonts w:hint="eastAsia" w:ascii="宋体" w:hAnsi="宋体" w:eastAsia="宋体" w:cs="宋体"/>
                <w:color w:val="auto"/>
                <w:sz w:val="21"/>
                <w:szCs w:val="21"/>
                <w:lang w:eastAsia="zh-CN"/>
              </w:rPr>
              <w:t>。</w:t>
            </w:r>
          </w:p>
        </w:tc>
        <w:tc>
          <w:tcPr>
            <w:tcW w:w="961" w:type="dxa"/>
            <w:gridSpan w:val="5"/>
            <w:tcBorders>
              <w:left w:val="single" w:color="auto" w:sz="4" w:space="0"/>
              <w:right w:val="single" w:color="auto" w:sz="4" w:space="0"/>
            </w:tcBorders>
            <w:vAlign w:val="center"/>
          </w:tcPr>
          <w:p w14:paraId="023E7C49">
            <w:pPr>
              <w:widowControl/>
              <w:kinsoku w:val="0"/>
              <w:wordWrap/>
              <w:autoSpaceDE w:val="0"/>
              <w:autoSpaceDN w:val="0"/>
              <w:adjustRightInd w:val="0"/>
              <w:snapToGrid w:val="0"/>
              <w:spacing w:line="240" w:lineRule="atLeast"/>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922" w:type="dxa"/>
            <w:gridSpan w:val="3"/>
            <w:tcBorders>
              <w:left w:val="single" w:color="auto" w:sz="4" w:space="0"/>
            </w:tcBorders>
            <w:vAlign w:val="center"/>
          </w:tcPr>
          <w:p w14:paraId="3580F40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c>
          <w:tcPr>
            <w:tcW w:w="3244" w:type="dxa"/>
            <w:vMerge w:val="continue"/>
            <w:tcBorders>
              <w:right w:val="single" w:color="000000" w:sz="6" w:space="0"/>
            </w:tcBorders>
            <w:vAlign w:val="center"/>
          </w:tcPr>
          <w:p w14:paraId="3EBB880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69BB9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blHeader/>
          <w:jc w:val="center"/>
        </w:trPr>
        <w:tc>
          <w:tcPr>
            <w:tcW w:w="721" w:type="dxa"/>
            <w:vMerge w:val="restart"/>
            <w:tcBorders>
              <w:left w:val="single" w:color="000000" w:sz="6" w:space="0"/>
            </w:tcBorders>
            <w:vAlign w:val="center"/>
          </w:tcPr>
          <w:p w14:paraId="54D72F5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5</w:t>
            </w:r>
          </w:p>
        </w:tc>
        <w:tc>
          <w:tcPr>
            <w:tcW w:w="844" w:type="dxa"/>
            <w:vMerge w:val="restart"/>
            <w:vAlign w:val="center"/>
          </w:tcPr>
          <w:p w14:paraId="3A8CFF2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公物</w:t>
            </w:r>
          </w:p>
          <w:p w14:paraId="3E76F32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维护</w:t>
            </w:r>
          </w:p>
        </w:tc>
        <w:tc>
          <w:tcPr>
            <w:tcW w:w="7200" w:type="dxa"/>
            <w:gridSpan w:val="2"/>
            <w:tcBorders>
              <w:bottom w:val="single" w:color="auto" w:sz="4" w:space="0"/>
              <w:right w:val="single" w:color="auto" w:sz="4" w:space="0"/>
            </w:tcBorders>
            <w:vAlign w:val="center"/>
          </w:tcPr>
          <w:p w14:paraId="65AA6231">
            <w:pPr>
              <w:widowControl/>
              <w:numPr>
                <w:ilvl w:val="0"/>
                <w:numId w:val="0"/>
              </w:numPr>
              <w:kinsoku w:val="0"/>
              <w:wordWrap/>
              <w:autoSpaceDE w:val="0"/>
              <w:autoSpaceDN w:val="0"/>
              <w:adjustRightInd w:val="0"/>
              <w:snapToGrid w:val="0"/>
              <w:spacing w:line="360" w:lineRule="auto"/>
              <w:ind w:right="0" w:rightChars="0"/>
              <w:jc w:val="left"/>
              <w:textAlignment w:val="baseline"/>
              <w:outlineLvl w:val="9"/>
              <w:rPr>
                <w:rFonts w:hint="eastAsia" w:ascii="新宋体" w:hAnsi="新宋体" w:eastAsia="新宋体" w:cs="新宋体"/>
                <w:snapToGrid w:val="0"/>
                <w:color w:val="auto"/>
                <w:kern w:val="0"/>
                <w:sz w:val="24"/>
                <w:szCs w:val="24"/>
                <w:lang w:val="en-US" w:eastAsia="zh-CN" w:bidi="ar-SA"/>
              </w:rPr>
            </w:pPr>
            <w:r>
              <w:rPr>
                <w:rFonts w:hint="eastAsia" w:ascii="新宋体" w:hAnsi="新宋体" w:eastAsia="新宋体" w:cs="新宋体"/>
                <w:i w:val="0"/>
                <w:caps w:val="0"/>
                <w:color w:val="auto"/>
                <w:spacing w:val="0"/>
                <w:sz w:val="21"/>
                <w:szCs w:val="21"/>
                <w:shd w:val="clear" w:color="auto" w:fill="auto"/>
                <w:lang w:val="en-US" w:eastAsia="zh-CN"/>
              </w:rPr>
              <w:t>1.管好食堂内一切加工用具、餐具和设备，因管理不当而造成的损坏和遗失，需要加倍赔偿和扣分。不得将食堂用具、食材和剩饭菜带出食堂。</w:t>
            </w:r>
          </w:p>
        </w:tc>
        <w:tc>
          <w:tcPr>
            <w:tcW w:w="961" w:type="dxa"/>
            <w:gridSpan w:val="5"/>
            <w:tcBorders>
              <w:left w:val="single" w:color="auto" w:sz="4" w:space="0"/>
              <w:bottom w:val="single" w:color="auto" w:sz="4" w:space="0"/>
              <w:right w:val="single" w:color="auto" w:sz="4" w:space="0"/>
            </w:tcBorders>
            <w:vAlign w:val="center"/>
          </w:tcPr>
          <w:p w14:paraId="4DEA559F">
            <w:pPr>
              <w:widowControl/>
              <w:numPr>
                <w:ilvl w:val="0"/>
                <w:numId w:val="0"/>
              </w:numPr>
              <w:kinsoku w:val="0"/>
              <w:wordWrap/>
              <w:autoSpaceDE w:val="0"/>
              <w:autoSpaceDN w:val="0"/>
              <w:adjustRightInd w:val="0"/>
              <w:snapToGrid w:val="0"/>
              <w:spacing w:line="240" w:lineRule="auto"/>
              <w:ind w:left="0" w:leftChars="0" w:right="0" w:rightChars="0" w:firstLine="0" w:firstLineChars="0"/>
              <w:jc w:val="center"/>
              <w:textAlignment w:val="baseline"/>
              <w:outlineLvl w:val="9"/>
              <w:rPr>
                <w:rFonts w:hint="default"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5</w:t>
            </w:r>
          </w:p>
        </w:tc>
        <w:tc>
          <w:tcPr>
            <w:tcW w:w="915" w:type="dxa"/>
            <w:gridSpan w:val="2"/>
            <w:tcBorders>
              <w:left w:val="single" w:color="auto" w:sz="4" w:space="0"/>
              <w:bottom w:val="single" w:color="auto" w:sz="4" w:space="0"/>
            </w:tcBorders>
            <w:vAlign w:val="center"/>
          </w:tcPr>
          <w:p w14:paraId="3B5350C6">
            <w:pPr>
              <w:widowControl/>
              <w:numPr>
                <w:ilvl w:val="0"/>
                <w:numId w:val="0"/>
              </w:numPr>
              <w:kinsoku w:val="0"/>
              <w:wordWrap/>
              <w:autoSpaceDE w:val="0"/>
              <w:autoSpaceDN w:val="0"/>
              <w:adjustRightInd w:val="0"/>
              <w:snapToGrid w:val="0"/>
              <w:spacing w:line="240" w:lineRule="auto"/>
              <w:ind w:left="0" w:leftChars="0" w:right="0" w:rightChars="0" w:firstLine="0" w:firstLine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p>
        </w:tc>
        <w:tc>
          <w:tcPr>
            <w:tcW w:w="3244" w:type="dxa"/>
            <w:vMerge w:val="restart"/>
            <w:tcBorders>
              <w:right w:val="single" w:color="000000" w:sz="6" w:space="0"/>
            </w:tcBorders>
            <w:vAlign w:val="center"/>
          </w:tcPr>
          <w:p w14:paraId="64B1F525">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6BE5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blHeader/>
          <w:jc w:val="center"/>
        </w:trPr>
        <w:tc>
          <w:tcPr>
            <w:tcW w:w="721" w:type="dxa"/>
            <w:vMerge w:val="continue"/>
            <w:tcBorders>
              <w:left w:val="single" w:color="000000" w:sz="6" w:space="0"/>
            </w:tcBorders>
            <w:vAlign w:val="center"/>
          </w:tcPr>
          <w:p w14:paraId="18F18D2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844" w:type="dxa"/>
            <w:vMerge w:val="continue"/>
            <w:vAlign w:val="center"/>
          </w:tcPr>
          <w:p w14:paraId="1E69927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p>
        </w:tc>
        <w:tc>
          <w:tcPr>
            <w:tcW w:w="7200" w:type="dxa"/>
            <w:gridSpan w:val="2"/>
            <w:tcBorders>
              <w:top w:val="single" w:color="auto" w:sz="4" w:space="0"/>
              <w:right w:val="single" w:color="auto" w:sz="4" w:space="0"/>
            </w:tcBorders>
            <w:vAlign w:val="center"/>
          </w:tcPr>
          <w:p w14:paraId="02EC1893">
            <w:pPr>
              <w:widowControl/>
              <w:numPr>
                <w:ilvl w:val="0"/>
                <w:numId w:val="0"/>
              </w:numPr>
              <w:kinsoku w:val="0"/>
              <w:wordWrap/>
              <w:autoSpaceDE w:val="0"/>
              <w:autoSpaceDN w:val="0"/>
              <w:adjustRightInd w:val="0"/>
              <w:snapToGrid w:val="0"/>
              <w:spacing w:line="360" w:lineRule="auto"/>
              <w:ind w:right="0" w:right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2.维护好食堂内电动货梯。货梯每30日至少进行一次清洁、润滑、调整和检查，做好日常维护和应急维修时的记录。每年经有资质的检测机构检验合格，确保货梯在《安全使用许可证》有效期内安全运行。</w:t>
            </w:r>
          </w:p>
        </w:tc>
        <w:tc>
          <w:tcPr>
            <w:tcW w:w="961" w:type="dxa"/>
            <w:gridSpan w:val="5"/>
            <w:tcBorders>
              <w:top w:val="single" w:color="auto" w:sz="4" w:space="0"/>
              <w:left w:val="single" w:color="auto" w:sz="4" w:space="0"/>
              <w:right w:val="single" w:color="auto" w:sz="4" w:space="0"/>
            </w:tcBorders>
            <w:vAlign w:val="center"/>
          </w:tcPr>
          <w:p w14:paraId="39E9340E">
            <w:pPr>
              <w:widowControl/>
              <w:numPr>
                <w:ilvl w:val="0"/>
                <w:numId w:val="0"/>
              </w:numPr>
              <w:kinsoku w:val="0"/>
              <w:wordWrap/>
              <w:autoSpaceDE w:val="0"/>
              <w:autoSpaceDN w:val="0"/>
              <w:adjustRightInd w:val="0"/>
              <w:snapToGrid w:val="0"/>
              <w:spacing w:line="240" w:lineRule="auto"/>
              <w:ind w:left="0" w:leftChars="0" w:right="0" w:rightChars="0" w:firstLine="0" w:firstLineChars="0"/>
              <w:jc w:val="center"/>
              <w:textAlignment w:val="baseline"/>
              <w:outlineLvl w:val="9"/>
              <w:rPr>
                <w:rFonts w:hint="default" w:ascii="新宋体" w:hAnsi="新宋体" w:eastAsia="新宋体" w:cs="新宋体"/>
                <w:i w:val="0"/>
                <w:caps w:val="0"/>
                <w:color w:val="auto"/>
                <w:spacing w:val="0"/>
                <w:sz w:val="21"/>
                <w:szCs w:val="21"/>
                <w:shd w:val="clear" w:color="auto" w:fill="auto"/>
                <w:lang w:val="en-US" w:eastAsia="zh-CN"/>
              </w:rPr>
            </w:pPr>
            <w:r>
              <w:rPr>
                <w:rFonts w:hint="eastAsia" w:ascii="新宋体" w:hAnsi="新宋体" w:eastAsia="新宋体" w:cs="新宋体"/>
                <w:i w:val="0"/>
                <w:caps w:val="0"/>
                <w:color w:val="auto"/>
                <w:spacing w:val="0"/>
                <w:sz w:val="21"/>
                <w:szCs w:val="21"/>
                <w:shd w:val="clear" w:color="auto" w:fill="auto"/>
                <w:lang w:val="en-US" w:eastAsia="zh-CN"/>
              </w:rPr>
              <w:t>5</w:t>
            </w:r>
          </w:p>
        </w:tc>
        <w:tc>
          <w:tcPr>
            <w:tcW w:w="915" w:type="dxa"/>
            <w:gridSpan w:val="2"/>
            <w:tcBorders>
              <w:top w:val="single" w:color="auto" w:sz="4" w:space="0"/>
              <w:left w:val="single" w:color="auto" w:sz="4" w:space="0"/>
            </w:tcBorders>
            <w:vAlign w:val="center"/>
          </w:tcPr>
          <w:p w14:paraId="033A437C">
            <w:pPr>
              <w:widowControl/>
              <w:numPr>
                <w:ilvl w:val="0"/>
                <w:numId w:val="0"/>
              </w:numPr>
              <w:kinsoku w:val="0"/>
              <w:wordWrap/>
              <w:autoSpaceDE w:val="0"/>
              <w:autoSpaceDN w:val="0"/>
              <w:adjustRightInd w:val="0"/>
              <w:snapToGrid w:val="0"/>
              <w:spacing w:line="240" w:lineRule="auto"/>
              <w:ind w:left="0" w:leftChars="0" w:right="0" w:rightChars="0" w:firstLine="0" w:firstLineChars="0"/>
              <w:jc w:val="left"/>
              <w:textAlignment w:val="baseline"/>
              <w:outlineLvl w:val="9"/>
              <w:rPr>
                <w:rFonts w:hint="eastAsia" w:ascii="新宋体" w:hAnsi="新宋体" w:eastAsia="新宋体" w:cs="新宋体"/>
                <w:i w:val="0"/>
                <w:caps w:val="0"/>
                <w:color w:val="auto"/>
                <w:spacing w:val="0"/>
                <w:sz w:val="21"/>
                <w:szCs w:val="21"/>
                <w:shd w:val="clear" w:color="auto" w:fill="auto"/>
                <w:lang w:val="en-US" w:eastAsia="zh-CN"/>
              </w:rPr>
            </w:pPr>
          </w:p>
        </w:tc>
        <w:tc>
          <w:tcPr>
            <w:tcW w:w="3244" w:type="dxa"/>
            <w:vMerge w:val="continue"/>
            <w:tcBorders>
              <w:right w:val="single" w:color="000000" w:sz="6" w:space="0"/>
            </w:tcBorders>
            <w:vAlign w:val="center"/>
          </w:tcPr>
          <w:p w14:paraId="35D871CB">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p>
        </w:tc>
      </w:tr>
      <w:tr w14:paraId="5F60A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14:paraId="4E15391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844" w:type="dxa"/>
            <w:vAlign w:val="center"/>
          </w:tcPr>
          <w:p w14:paraId="73388F8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环境消杀除蟑</w:t>
            </w:r>
          </w:p>
        </w:tc>
        <w:tc>
          <w:tcPr>
            <w:tcW w:w="7200" w:type="dxa"/>
            <w:gridSpan w:val="2"/>
            <w:tcBorders>
              <w:right w:val="single" w:color="auto" w:sz="4" w:space="0"/>
            </w:tcBorders>
            <w:vAlign w:val="center"/>
          </w:tcPr>
          <w:p w14:paraId="6DFAE383">
            <w:pPr>
              <w:widowControl/>
              <w:numPr>
                <w:ilvl w:val="0"/>
                <w:numId w:val="0"/>
              </w:numPr>
              <w:kinsoku w:val="0"/>
              <w:wordWrap/>
              <w:autoSpaceDE w:val="0"/>
              <w:autoSpaceDN w:val="0"/>
              <w:adjustRightInd w:val="0"/>
              <w:snapToGrid w:val="0"/>
              <w:spacing w:line="360" w:lineRule="auto"/>
              <w:ind w:left="0" w:leftChars="0" w:right="0" w:rightChars="0" w:firstLine="0" w:firstLineChars="0"/>
              <w:jc w:val="left"/>
              <w:textAlignment w:val="baseline"/>
              <w:outlineLvl w:val="9"/>
              <w:rPr>
                <w:rFonts w:hint="eastAsia" w:ascii="新宋体" w:hAnsi="新宋体" w:eastAsia="新宋体" w:cs="新宋体"/>
                <w:snapToGrid w:val="0"/>
                <w:color w:val="auto"/>
                <w:kern w:val="0"/>
                <w:sz w:val="24"/>
                <w:szCs w:val="24"/>
                <w:lang w:val="en-US" w:eastAsia="zh-CN" w:bidi="ar-SA"/>
              </w:rPr>
            </w:pPr>
            <w:r>
              <w:rPr>
                <w:rFonts w:hint="eastAsia" w:ascii="新宋体" w:hAnsi="新宋体" w:eastAsia="新宋体" w:cs="新宋体"/>
                <w:i w:val="0"/>
                <w:caps w:val="0"/>
                <w:color w:val="auto"/>
                <w:spacing w:val="0"/>
                <w:sz w:val="21"/>
                <w:szCs w:val="21"/>
                <w:shd w:val="clear" w:color="auto" w:fill="auto"/>
                <w:lang w:val="en-US" w:eastAsia="zh-CN"/>
              </w:rPr>
              <w:t>1.管好食堂内一切加工用具、餐具和设备，因管理不当而造成的损坏和遗失，需要加倍赔偿和扣分。不得将食堂用具、食材和剩饭菜带出食堂。</w:t>
            </w:r>
          </w:p>
        </w:tc>
        <w:tc>
          <w:tcPr>
            <w:tcW w:w="961" w:type="dxa"/>
            <w:gridSpan w:val="5"/>
            <w:tcBorders>
              <w:left w:val="single" w:color="auto" w:sz="4" w:space="0"/>
              <w:right w:val="single" w:color="auto" w:sz="4" w:space="0"/>
            </w:tcBorders>
            <w:vAlign w:val="center"/>
          </w:tcPr>
          <w:p w14:paraId="27DBE962">
            <w:pPr>
              <w:widowControl/>
              <w:kinsoku w:val="0"/>
              <w:wordWrap/>
              <w:autoSpaceDE w:val="0"/>
              <w:autoSpaceDN w:val="0"/>
              <w:adjustRightInd w:val="0"/>
              <w:snapToGrid w:val="0"/>
              <w:spacing w:line="240" w:lineRule="atLeast"/>
              <w:ind w:left="110" w:leftChars="0"/>
              <w:jc w:val="center"/>
              <w:textAlignment w:val="baseline"/>
              <w:rPr>
                <w:rFonts w:hint="default" w:cs="宋体"/>
                <w:bCs/>
                <w:color w:val="auto"/>
                <w:sz w:val="21"/>
                <w:szCs w:val="21"/>
                <w:lang w:val="en-US" w:eastAsia="zh-CN"/>
              </w:rPr>
            </w:pPr>
            <w:r>
              <w:rPr>
                <w:rFonts w:hint="eastAsia" w:cs="宋体"/>
                <w:bCs/>
                <w:color w:val="auto"/>
                <w:sz w:val="21"/>
                <w:szCs w:val="21"/>
                <w:lang w:val="en-US" w:eastAsia="zh-CN"/>
              </w:rPr>
              <w:t>6</w:t>
            </w:r>
          </w:p>
        </w:tc>
        <w:tc>
          <w:tcPr>
            <w:tcW w:w="915" w:type="dxa"/>
            <w:gridSpan w:val="2"/>
            <w:tcBorders>
              <w:left w:val="single" w:color="auto" w:sz="4" w:space="0"/>
            </w:tcBorders>
            <w:vAlign w:val="center"/>
          </w:tcPr>
          <w:p w14:paraId="6E40D092">
            <w:pPr>
              <w:widowControl/>
              <w:kinsoku w:val="0"/>
              <w:wordWrap/>
              <w:autoSpaceDE w:val="0"/>
              <w:autoSpaceDN w:val="0"/>
              <w:adjustRightInd w:val="0"/>
              <w:snapToGrid w:val="0"/>
              <w:spacing w:line="240" w:lineRule="atLeast"/>
              <w:ind w:left="110" w:leftChars="0"/>
              <w:jc w:val="both"/>
              <w:textAlignment w:val="baseline"/>
              <w:rPr>
                <w:rFonts w:hint="eastAsia" w:cs="宋体"/>
                <w:bCs/>
                <w:color w:val="auto"/>
                <w:sz w:val="21"/>
                <w:szCs w:val="21"/>
                <w:lang w:val="en-US" w:eastAsia="zh-CN"/>
              </w:rPr>
            </w:pPr>
          </w:p>
        </w:tc>
        <w:tc>
          <w:tcPr>
            <w:tcW w:w="3244" w:type="dxa"/>
            <w:tcBorders>
              <w:right w:val="single" w:color="000000" w:sz="6" w:space="0"/>
            </w:tcBorders>
            <w:vAlign w:val="center"/>
          </w:tcPr>
          <w:p w14:paraId="6916E9AC">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满分，部分符合相应</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 xml:space="preserve">减， </w:t>
            </w:r>
            <w:r>
              <w:rPr>
                <w:rFonts w:hint="eastAsia" w:ascii="新宋体" w:hAnsi="新宋体" w:eastAsia="新宋体" w:cs="新宋体"/>
                <w:color w:val="auto"/>
                <w:spacing w:val="-12"/>
                <w:sz w:val="24"/>
                <w:szCs w:val="24"/>
                <w:lang w:val="en-US" w:eastAsia="zh-CN"/>
              </w:rPr>
              <w:t>每处每次</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7D57B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blHeader/>
          <w:jc w:val="center"/>
        </w:trPr>
        <w:tc>
          <w:tcPr>
            <w:tcW w:w="721" w:type="dxa"/>
            <w:vMerge w:val="restart"/>
            <w:tcBorders>
              <w:left w:val="single" w:color="000000" w:sz="6" w:space="0"/>
            </w:tcBorders>
            <w:vAlign w:val="center"/>
          </w:tcPr>
          <w:p w14:paraId="2553284D">
            <w:pPr>
              <w:widowControl/>
              <w:kinsoku w:val="0"/>
              <w:wordWrap/>
              <w:autoSpaceDE w:val="0"/>
              <w:autoSpaceDN w:val="0"/>
              <w:adjustRightInd w:val="0"/>
              <w:snapToGrid w:val="0"/>
              <w:spacing w:line="240" w:lineRule="atLeast"/>
              <w:ind w:left="303" w:leftChars="0"/>
              <w:jc w:val="center"/>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844" w:type="dxa"/>
            <w:vMerge w:val="restart"/>
            <w:vAlign w:val="center"/>
          </w:tcPr>
          <w:p w14:paraId="4774D69B">
            <w:pPr>
              <w:widowControl/>
              <w:kinsoku w:val="0"/>
              <w:wordWrap/>
              <w:autoSpaceDE w:val="0"/>
              <w:autoSpaceDN w:val="0"/>
              <w:adjustRightInd w:val="0"/>
              <w:snapToGrid w:val="0"/>
              <w:spacing w:line="240" w:lineRule="atLeast"/>
              <w:ind w:left="316" w:leftChars="0"/>
              <w:jc w:val="center"/>
              <w:textAlignment w:val="baseline"/>
              <w:rPr>
                <w:rFonts w:hint="default" w:ascii="新宋体" w:hAnsi="新宋体" w:eastAsia="新宋体" w:cs="新宋体"/>
                <w:color w:val="auto"/>
                <w:sz w:val="24"/>
                <w:szCs w:val="24"/>
                <w:lang w:val="en-US" w:eastAsia="zh-CN"/>
              </w:rPr>
            </w:pPr>
            <w:r>
              <w:rPr>
                <w:rFonts w:hint="eastAsia" w:ascii="宋体" w:hAnsi="宋体" w:eastAsia="宋体" w:cs="宋体"/>
                <w:color w:val="auto"/>
                <w:sz w:val="21"/>
                <w:szCs w:val="21"/>
              </w:rPr>
              <w:t>食</w:t>
            </w:r>
            <w:r>
              <w:rPr>
                <w:rFonts w:hint="eastAsia" w:ascii="宋体" w:hAnsi="宋体" w:eastAsia="宋体" w:cs="宋体"/>
                <w:color w:val="auto"/>
                <w:sz w:val="21"/>
                <w:szCs w:val="21"/>
                <w:lang w:val="en-US" w:eastAsia="zh-CN"/>
              </w:rPr>
              <w:t>材   加工</w:t>
            </w:r>
            <w:r>
              <w:rPr>
                <w:rFonts w:hint="eastAsia" w:ascii="宋体" w:hAnsi="宋体" w:eastAsia="宋体" w:cs="宋体"/>
                <w:color w:val="auto"/>
                <w:sz w:val="21"/>
                <w:szCs w:val="21"/>
              </w:rPr>
              <w:t>留样</w:t>
            </w:r>
          </w:p>
        </w:tc>
        <w:tc>
          <w:tcPr>
            <w:tcW w:w="7207" w:type="dxa"/>
            <w:gridSpan w:val="4"/>
            <w:tcBorders>
              <w:right w:val="single" w:color="auto" w:sz="4" w:space="0"/>
            </w:tcBorders>
            <w:vAlign w:val="center"/>
          </w:tcPr>
          <w:p w14:paraId="50E3875A">
            <w:pPr>
              <w:widowControl/>
              <w:numPr>
                <w:ilvl w:val="0"/>
                <w:numId w:val="0"/>
              </w:numPr>
              <w:kinsoku w:val="0"/>
              <w:wordWrap/>
              <w:autoSpaceDE w:val="0"/>
              <w:autoSpaceDN w:val="0"/>
              <w:adjustRightInd w:val="0"/>
              <w:snapToGrid w:val="0"/>
              <w:spacing w:line="360" w:lineRule="auto"/>
              <w:ind w:left="0" w:leftChars="0" w:right="0" w:rightChars="0" w:firstLine="0" w:firstLineChars="0"/>
              <w:jc w:val="left"/>
              <w:textAlignment w:val="baseline"/>
              <w:outlineLvl w:val="9"/>
              <w:rPr>
                <w:rFonts w:hint="eastAsia" w:ascii="新宋体" w:hAnsi="新宋体" w:eastAsia="新宋体" w:cs="新宋体"/>
                <w:i w:val="0"/>
                <w:caps w:val="0"/>
                <w:color w:val="auto"/>
                <w:spacing w:val="0"/>
                <w:kern w:val="2"/>
                <w:sz w:val="21"/>
                <w:szCs w:val="21"/>
                <w:shd w:val="clear" w:color="auto" w:fill="auto"/>
                <w:lang w:val="en-US" w:eastAsia="zh-CN" w:bidi="ar-SA"/>
              </w:rPr>
            </w:pPr>
            <w:r>
              <w:rPr>
                <w:rFonts w:hint="eastAsia" w:ascii="新宋体" w:hAnsi="新宋体" w:eastAsia="新宋体" w:cs="新宋体"/>
                <w:i w:val="0"/>
                <w:caps w:val="0"/>
                <w:color w:val="auto"/>
                <w:spacing w:val="0"/>
                <w:sz w:val="21"/>
                <w:szCs w:val="21"/>
                <w:shd w:val="clear" w:color="auto" w:fill="auto"/>
                <w:lang w:val="en-US" w:eastAsia="zh-CN"/>
              </w:rPr>
              <w:t>2.维护好食堂内电动货梯。货梯每30日至少进行一次清洁、润滑、调整和检查，做好日常维护和应急维修时的记录。每年经有资质的检测机构检验合格，确保货梯在《安全使用许可证》有效期内安全运行。</w:t>
            </w:r>
          </w:p>
        </w:tc>
        <w:tc>
          <w:tcPr>
            <w:tcW w:w="961" w:type="dxa"/>
            <w:gridSpan w:val="4"/>
            <w:tcBorders>
              <w:left w:val="single" w:color="auto" w:sz="4" w:space="0"/>
              <w:right w:val="single" w:color="auto" w:sz="4" w:space="0"/>
            </w:tcBorders>
            <w:vAlign w:val="center"/>
          </w:tcPr>
          <w:p w14:paraId="332C97B4">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08" w:type="dxa"/>
            <w:tcBorders>
              <w:left w:val="single" w:color="auto" w:sz="4" w:space="0"/>
            </w:tcBorders>
            <w:vAlign w:val="center"/>
          </w:tcPr>
          <w:p w14:paraId="3E206264">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244" w:type="dxa"/>
            <w:vMerge w:val="restart"/>
            <w:tcBorders>
              <w:right w:val="single" w:color="000000" w:sz="6" w:space="0"/>
            </w:tcBorders>
            <w:vAlign w:val="center"/>
          </w:tcPr>
          <w:p w14:paraId="5E1FBDD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21B2F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3856648D">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844" w:type="dxa"/>
            <w:vMerge w:val="continue"/>
            <w:vAlign w:val="center"/>
          </w:tcPr>
          <w:p w14:paraId="0285330D">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207" w:type="dxa"/>
            <w:gridSpan w:val="4"/>
            <w:tcBorders>
              <w:right w:val="single" w:color="auto" w:sz="4" w:space="0"/>
            </w:tcBorders>
            <w:vAlign w:val="center"/>
          </w:tcPr>
          <w:p w14:paraId="64C82B0A">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2.冰箱生熟分开，定期除霜，标志明显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过期变质食品、三无产品（含违规使用食品添加剂）</w:t>
            </w:r>
          </w:p>
        </w:tc>
        <w:tc>
          <w:tcPr>
            <w:tcW w:w="961" w:type="dxa"/>
            <w:gridSpan w:val="4"/>
            <w:tcBorders>
              <w:left w:val="single" w:color="auto" w:sz="4" w:space="0"/>
              <w:right w:val="single" w:color="auto" w:sz="4" w:space="0"/>
            </w:tcBorders>
            <w:vAlign w:val="center"/>
          </w:tcPr>
          <w:p w14:paraId="47C215B3">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08" w:type="dxa"/>
            <w:tcBorders>
              <w:left w:val="single" w:color="auto" w:sz="4" w:space="0"/>
            </w:tcBorders>
            <w:vAlign w:val="center"/>
          </w:tcPr>
          <w:p w14:paraId="2243A7F0">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244" w:type="dxa"/>
            <w:vMerge w:val="continue"/>
            <w:tcBorders>
              <w:right w:val="single" w:color="000000" w:sz="6" w:space="0"/>
            </w:tcBorders>
            <w:vAlign w:val="center"/>
          </w:tcPr>
          <w:p w14:paraId="26B5A265">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10DE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14:paraId="21C7FE8A">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844" w:type="dxa"/>
            <w:vMerge w:val="continue"/>
            <w:vAlign w:val="center"/>
          </w:tcPr>
          <w:p w14:paraId="6C013003">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207" w:type="dxa"/>
            <w:gridSpan w:val="4"/>
            <w:tcBorders>
              <w:right w:val="single" w:color="auto" w:sz="4" w:space="0"/>
            </w:tcBorders>
            <w:vAlign w:val="center"/>
          </w:tcPr>
          <w:p w14:paraId="68EDFA39">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所有毛菜需整理干净，无杂物烂叶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按照卫生要求规范</w:t>
            </w:r>
            <w:r>
              <w:rPr>
                <w:rFonts w:hint="eastAsia" w:ascii="宋体" w:hAnsi="宋体" w:eastAsia="宋体" w:cs="宋体"/>
                <w:color w:val="auto"/>
                <w:sz w:val="21"/>
                <w:szCs w:val="21"/>
              </w:rPr>
              <w:t>摆放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不得随意放置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蔬菜清洗</w:t>
            </w:r>
            <w:r>
              <w:rPr>
                <w:rFonts w:hint="eastAsia" w:ascii="宋体" w:hAnsi="宋体" w:eastAsia="宋体" w:cs="宋体"/>
                <w:color w:val="auto"/>
                <w:sz w:val="21"/>
                <w:szCs w:val="21"/>
                <w:lang w:val="en-US" w:eastAsia="zh-CN"/>
              </w:rPr>
              <w:t>要</w:t>
            </w:r>
            <w:r>
              <w:rPr>
                <w:rFonts w:hint="eastAsia" w:ascii="宋体" w:hAnsi="宋体" w:eastAsia="宋体" w:cs="宋体"/>
                <w:color w:val="auto"/>
                <w:sz w:val="21"/>
                <w:szCs w:val="21"/>
              </w:rPr>
              <w:t>干净，饭菜里不能出现异物</w:t>
            </w:r>
            <w:r>
              <w:rPr>
                <w:rFonts w:hint="eastAsia" w:ascii="宋体" w:hAnsi="宋体" w:eastAsia="宋体" w:cs="宋体"/>
                <w:color w:val="auto"/>
                <w:sz w:val="21"/>
                <w:szCs w:val="21"/>
                <w:lang w:eastAsia="zh-CN"/>
              </w:rPr>
              <w:t>。</w:t>
            </w:r>
          </w:p>
        </w:tc>
        <w:tc>
          <w:tcPr>
            <w:tcW w:w="961" w:type="dxa"/>
            <w:gridSpan w:val="4"/>
            <w:tcBorders>
              <w:left w:val="single" w:color="auto" w:sz="4" w:space="0"/>
              <w:right w:val="single" w:color="auto" w:sz="4" w:space="0"/>
            </w:tcBorders>
            <w:vAlign w:val="center"/>
          </w:tcPr>
          <w:p w14:paraId="21477DBB">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08" w:type="dxa"/>
            <w:tcBorders>
              <w:left w:val="single" w:color="auto" w:sz="4" w:space="0"/>
            </w:tcBorders>
            <w:vAlign w:val="center"/>
          </w:tcPr>
          <w:p w14:paraId="0803DA38">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3244" w:type="dxa"/>
            <w:vMerge w:val="continue"/>
            <w:tcBorders>
              <w:right w:val="single" w:color="000000" w:sz="6" w:space="0"/>
            </w:tcBorders>
            <w:vAlign w:val="center"/>
          </w:tcPr>
          <w:p w14:paraId="47A205B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r w14:paraId="2C036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blHeader/>
          <w:jc w:val="center"/>
        </w:trPr>
        <w:tc>
          <w:tcPr>
            <w:tcW w:w="721" w:type="dxa"/>
            <w:vMerge w:val="continue"/>
            <w:tcBorders>
              <w:left w:val="single" w:color="000000" w:sz="6" w:space="0"/>
            </w:tcBorders>
            <w:vAlign w:val="center"/>
          </w:tcPr>
          <w:p w14:paraId="2484E611">
            <w:pPr>
              <w:widowControl/>
              <w:kinsoku w:val="0"/>
              <w:wordWrap/>
              <w:autoSpaceDE w:val="0"/>
              <w:autoSpaceDN w:val="0"/>
              <w:adjustRightInd w:val="0"/>
              <w:snapToGrid w:val="0"/>
              <w:spacing w:line="240" w:lineRule="atLeast"/>
              <w:ind w:left="303" w:leftChars="0"/>
              <w:jc w:val="center"/>
              <w:textAlignment w:val="baseline"/>
              <w:rPr>
                <w:rFonts w:hint="eastAsia" w:ascii="新宋体" w:hAnsi="新宋体" w:eastAsia="新宋体" w:cs="新宋体"/>
                <w:color w:val="auto"/>
                <w:sz w:val="24"/>
                <w:szCs w:val="24"/>
                <w:lang w:val="en-US" w:eastAsia="zh-CN"/>
              </w:rPr>
            </w:pPr>
          </w:p>
        </w:tc>
        <w:tc>
          <w:tcPr>
            <w:tcW w:w="844" w:type="dxa"/>
            <w:vMerge w:val="continue"/>
            <w:vAlign w:val="center"/>
          </w:tcPr>
          <w:p w14:paraId="04FAE825">
            <w:pPr>
              <w:widowControl/>
              <w:kinsoku w:val="0"/>
              <w:wordWrap/>
              <w:autoSpaceDE w:val="0"/>
              <w:autoSpaceDN w:val="0"/>
              <w:adjustRightInd w:val="0"/>
              <w:snapToGrid w:val="0"/>
              <w:spacing w:line="240" w:lineRule="atLeast"/>
              <w:ind w:left="316" w:leftChars="0"/>
              <w:jc w:val="center"/>
              <w:textAlignment w:val="baseline"/>
              <w:rPr>
                <w:rFonts w:hint="eastAsia" w:ascii="新宋体" w:hAnsi="新宋体" w:eastAsia="新宋体" w:cs="新宋体"/>
                <w:color w:val="auto"/>
                <w:sz w:val="24"/>
                <w:szCs w:val="24"/>
              </w:rPr>
            </w:pPr>
          </w:p>
        </w:tc>
        <w:tc>
          <w:tcPr>
            <w:tcW w:w="7207" w:type="dxa"/>
            <w:gridSpan w:val="4"/>
            <w:tcBorders>
              <w:right w:val="single" w:color="auto" w:sz="4" w:space="0"/>
            </w:tcBorders>
            <w:vAlign w:val="center"/>
          </w:tcPr>
          <w:p w14:paraId="3603707C">
            <w:pPr>
              <w:widowControl w:val="0"/>
              <w:wordWrap/>
              <w:adjustRightInd w:val="0"/>
              <w:snapToGrid/>
              <w:spacing w:before="0" w:beforeAutospacing="0" w:after="0" w:afterAutospacing="0" w:line="360" w:lineRule="auto"/>
              <w:ind w:left="0" w:leftChars="0" w:right="0" w:rightChars="0" w:firstLine="0" w:firstLineChars="0"/>
              <w:jc w:val="left"/>
              <w:textAlignment w:val="auto"/>
              <w:outlineLvl w:val="9"/>
              <w:rPr>
                <w:rFonts w:hint="eastAsia" w:ascii="新宋体" w:hAnsi="新宋体" w:eastAsia="新宋体" w:cs="新宋体"/>
                <w:color w:val="auto"/>
                <w:sz w:val="24"/>
                <w:szCs w:val="24"/>
              </w:rPr>
            </w:pPr>
            <w:r>
              <w:rPr>
                <w:rFonts w:hint="eastAsia" w:ascii="宋体" w:hAnsi="宋体" w:eastAsia="宋体" w:cs="宋体"/>
                <w:color w:val="auto"/>
                <w:sz w:val="21"/>
                <w:szCs w:val="21"/>
              </w:rPr>
              <w:t>4.食品留样</w:t>
            </w:r>
            <w:r>
              <w:rPr>
                <w:rFonts w:hint="eastAsia" w:ascii="宋体" w:hAnsi="宋体" w:eastAsia="宋体" w:cs="宋体"/>
                <w:color w:val="auto"/>
                <w:sz w:val="21"/>
                <w:szCs w:val="21"/>
                <w:lang w:val="en-US" w:eastAsia="zh-CN"/>
              </w:rPr>
              <w:t>规范。</w:t>
            </w:r>
          </w:p>
        </w:tc>
        <w:tc>
          <w:tcPr>
            <w:tcW w:w="961" w:type="dxa"/>
            <w:gridSpan w:val="4"/>
            <w:tcBorders>
              <w:left w:val="single" w:color="auto" w:sz="4" w:space="0"/>
              <w:right w:val="single" w:color="auto" w:sz="4" w:space="0"/>
            </w:tcBorders>
            <w:vAlign w:val="center"/>
          </w:tcPr>
          <w:p w14:paraId="3EA10850">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08" w:type="dxa"/>
            <w:tcBorders>
              <w:left w:val="single" w:color="auto" w:sz="4" w:space="0"/>
            </w:tcBorders>
            <w:vAlign w:val="center"/>
          </w:tcPr>
          <w:p w14:paraId="43550211">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lang w:val="en-US" w:eastAsia="zh-CN"/>
              </w:rPr>
            </w:pPr>
          </w:p>
        </w:tc>
        <w:tc>
          <w:tcPr>
            <w:tcW w:w="3244" w:type="dxa"/>
            <w:vMerge w:val="continue"/>
            <w:tcBorders>
              <w:right w:val="single" w:color="000000" w:sz="6" w:space="0"/>
            </w:tcBorders>
            <w:vAlign w:val="center"/>
          </w:tcPr>
          <w:p w14:paraId="69EA7AB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rPr>
            </w:pPr>
          </w:p>
        </w:tc>
      </w:tr>
    </w:tbl>
    <w:tbl>
      <w:tblPr>
        <w:tblStyle w:val="62"/>
        <w:tblW w:w="13074"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952"/>
        <w:gridCol w:w="7190"/>
        <w:gridCol w:w="900"/>
        <w:gridCol w:w="970"/>
        <w:gridCol w:w="2377"/>
      </w:tblGrid>
      <w:tr w14:paraId="54AF05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52DD1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检查</w:t>
            </w:r>
          </w:p>
          <w:p w14:paraId="20A72A0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95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D99E7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检查内容</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215B5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lang w:eastAsia="zh-CN"/>
              </w:rPr>
              <w:t>考核</w:t>
            </w:r>
            <w:r>
              <w:rPr>
                <w:rFonts w:hint="eastAsia" w:ascii="新宋体" w:hAnsi="新宋体" w:eastAsia="新宋体" w:cs="新宋体"/>
                <w:color w:val="auto"/>
                <w:sz w:val="24"/>
                <w:szCs w:val="24"/>
              </w:rPr>
              <w:t>标准</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7902CF">
            <w:pPr>
              <w:widowControl/>
              <w:kinsoku w:val="0"/>
              <w:wordWrap/>
              <w:autoSpaceDE w:val="0"/>
              <w:autoSpaceDN w:val="0"/>
              <w:adjustRightInd w:val="0"/>
              <w:snapToGrid w:val="0"/>
              <w:spacing w:before="0" w:beforeAutospacing="0" w:after="0" w:afterAutospacing="0" w:line="240" w:lineRule="atLeast"/>
              <w:ind w:left="268"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78F39A">
            <w:pPr>
              <w:widowControl/>
              <w:kinsoku w:val="0"/>
              <w:wordWrap/>
              <w:autoSpaceDE w:val="0"/>
              <w:autoSpaceDN w:val="0"/>
              <w:adjustRightInd w:val="0"/>
              <w:snapToGrid w:val="0"/>
              <w:spacing w:before="0" w:beforeAutospacing="0" w:after="0" w:afterAutospacing="0" w:line="240" w:lineRule="atLeast"/>
              <w:ind w:left="256"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评</w:t>
            </w:r>
            <w:r>
              <w:rPr>
                <w:rFonts w:hint="eastAsia" w:ascii="新宋体" w:hAnsi="新宋体" w:eastAsia="新宋体" w:cs="新宋体"/>
                <w:color w:val="auto"/>
                <w:sz w:val="24"/>
                <w:szCs w:val="24"/>
              </w:rPr>
              <w:t>分</w:t>
            </w:r>
          </w:p>
        </w:tc>
        <w:tc>
          <w:tcPr>
            <w:tcW w:w="237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099FE">
            <w:pPr>
              <w:widowControl/>
              <w:kinsoku w:val="0"/>
              <w:wordWrap/>
              <w:autoSpaceDE w:val="0"/>
              <w:autoSpaceDN w:val="0"/>
              <w:adjustRightInd w:val="0"/>
              <w:snapToGrid w:val="0"/>
              <w:spacing w:before="0" w:beforeAutospacing="0" w:after="0" w:afterAutospacing="0" w:line="240" w:lineRule="atLeast"/>
              <w:ind w:left="1196" w:leftChars="0" w:right="0"/>
              <w:jc w:val="both"/>
              <w:textAlignment w:val="baseline"/>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23450A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right w:val="outset" w:color="000000" w:sz="6" w:space="0"/>
            </w:tcBorders>
            <w:shd w:val="clear" w:color="auto" w:fill="FFFFFF"/>
            <w:vAlign w:val="center"/>
          </w:tcPr>
          <w:p w14:paraId="39816BE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95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69D726A">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配菜</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B605BE">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1.早减少浪费，</w:t>
            </w:r>
            <w:r>
              <w:rPr>
                <w:rFonts w:hint="eastAsia" w:ascii="宋体" w:hAnsi="宋体" w:eastAsia="宋体" w:cs="宋体"/>
                <w:color w:val="auto"/>
                <w:sz w:val="21"/>
                <w:szCs w:val="21"/>
              </w:rPr>
              <w:t>食堂不能出现</w:t>
            </w:r>
            <w:r>
              <w:rPr>
                <w:rFonts w:hint="eastAsia" w:ascii="宋体" w:hAnsi="宋体" w:eastAsia="宋体" w:cs="宋体"/>
                <w:color w:val="auto"/>
                <w:sz w:val="21"/>
                <w:szCs w:val="21"/>
                <w:lang w:val="en-US" w:eastAsia="zh-CN"/>
              </w:rPr>
              <w:t>大量</w:t>
            </w:r>
            <w:r>
              <w:rPr>
                <w:rFonts w:hint="eastAsia" w:ascii="宋体" w:hAnsi="宋体" w:eastAsia="宋体" w:cs="宋体"/>
                <w:color w:val="auto"/>
                <w:sz w:val="21"/>
                <w:szCs w:val="21"/>
              </w:rPr>
              <w:t>剩饭剩菜</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879589">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9A9BF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restart"/>
            <w:tcBorders>
              <w:top w:val="outset" w:color="000000" w:sz="6" w:space="0"/>
              <w:left w:val="outset" w:color="000000" w:sz="6" w:space="0"/>
              <w:right w:val="outset" w:color="000000" w:sz="6" w:space="0"/>
            </w:tcBorders>
            <w:shd w:val="clear" w:color="auto" w:fill="FFFFFF"/>
            <w:vAlign w:val="center"/>
          </w:tcPr>
          <w:p w14:paraId="23EEB66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7F60790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1F68F67">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D7249B1">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E757E3">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2.饭菜荤素、配料须符合</w:t>
            </w:r>
            <w:r>
              <w:rPr>
                <w:rFonts w:hint="eastAsia" w:ascii="宋体" w:hAnsi="宋体" w:eastAsia="宋体" w:cs="宋体"/>
                <w:color w:val="auto"/>
                <w:sz w:val="21"/>
                <w:szCs w:val="21"/>
                <w:lang w:val="en-US" w:eastAsia="zh-CN"/>
              </w:rPr>
              <w:t>学校</w:t>
            </w:r>
            <w:r>
              <w:rPr>
                <w:rFonts w:hint="eastAsia" w:ascii="宋体" w:hAnsi="宋体" w:eastAsia="宋体" w:cs="宋体"/>
                <w:color w:val="auto"/>
                <w:sz w:val="21"/>
                <w:szCs w:val="21"/>
              </w:rPr>
              <w:t>标准</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9C5D3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1D07C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right w:val="outset" w:color="000000" w:sz="6" w:space="0"/>
            </w:tcBorders>
            <w:shd w:val="clear" w:color="auto" w:fill="FFFFFF"/>
            <w:vAlign w:val="center"/>
          </w:tcPr>
          <w:p w14:paraId="55E448B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7875011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9BDE6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79DB4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4DEDD9">
            <w:pPr>
              <w:widowControl w:val="0"/>
              <w:numPr>
                <w:ilvl w:val="0"/>
                <w:numId w:val="0"/>
              </w:numPr>
              <w:wordWrap/>
              <w:adjustRightInd w:val="0"/>
              <w:snapToGrid/>
              <w:spacing w:before="0" w:beforeAutospacing="0" w:after="0" w:afterAutospacing="0" w:line="240" w:lineRule="auto"/>
              <w:ind w:left="0" w:right="0" w:right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饭菜</w:t>
            </w:r>
            <w:r>
              <w:rPr>
                <w:rFonts w:hint="eastAsia" w:ascii="宋体" w:hAnsi="宋体" w:eastAsia="宋体" w:cs="宋体"/>
                <w:color w:val="auto"/>
                <w:sz w:val="21"/>
                <w:szCs w:val="21"/>
                <w:lang w:val="en-US" w:eastAsia="zh-CN"/>
              </w:rPr>
              <w:t>加工</w:t>
            </w:r>
            <w:r>
              <w:rPr>
                <w:rFonts w:hint="eastAsia" w:ascii="宋体" w:hAnsi="宋体" w:eastAsia="宋体" w:cs="宋体"/>
                <w:color w:val="auto"/>
                <w:sz w:val="21"/>
                <w:szCs w:val="21"/>
              </w:rPr>
              <w:t>色泽</w:t>
            </w:r>
            <w:r>
              <w:rPr>
                <w:rFonts w:hint="eastAsia" w:ascii="宋体" w:hAnsi="宋体" w:eastAsia="宋体" w:cs="宋体"/>
                <w:color w:val="auto"/>
                <w:sz w:val="21"/>
                <w:szCs w:val="21"/>
                <w:lang w:val="en-US" w:eastAsia="zh-CN"/>
              </w:rPr>
              <w:t>香味的满意度高，</w:t>
            </w:r>
            <w:r>
              <w:rPr>
                <w:rFonts w:hint="eastAsia" w:ascii="宋体" w:hAnsi="宋体" w:eastAsia="宋体" w:cs="宋体"/>
                <w:color w:val="auto"/>
                <w:sz w:val="21"/>
                <w:szCs w:val="21"/>
              </w:rPr>
              <w:t>饭菜无杂物、泥沙、异味</w:t>
            </w:r>
            <w:r>
              <w:rPr>
                <w:rFonts w:hint="eastAsia" w:ascii="宋体" w:hAnsi="宋体" w:eastAsia="宋体" w:cs="宋体"/>
                <w:color w:val="auto"/>
                <w:sz w:val="21"/>
                <w:szCs w:val="21"/>
                <w:lang w:eastAsia="zh-CN"/>
              </w:rPr>
              <w:t>，</w:t>
            </w:r>
          </w:p>
          <w:p w14:paraId="47B0E65D">
            <w:pPr>
              <w:widowControl w:val="0"/>
              <w:numPr>
                <w:ilvl w:val="0"/>
                <w:numId w:val="0"/>
              </w:numPr>
              <w:wordWrap/>
              <w:adjustRightInd w:val="0"/>
              <w:snapToGrid/>
              <w:spacing w:before="0" w:beforeAutospacing="0" w:after="0" w:afterAutospacing="0" w:line="240" w:lineRule="auto"/>
              <w:ind w:left="40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饭菜无夹生、不熟情况</w:t>
            </w:r>
            <w:r>
              <w:rPr>
                <w:rFonts w:hint="eastAsia" w:ascii="宋体" w:hAnsi="宋体" w:eastAsia="宋体" w:cs="宋体"/>
                <w:color w:val="auto"/>
                <w:sz w:val="21"/>
                <w:szCs w:val="21"/>
                <w:lang w:val="en-US"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50650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84ACF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right w:val="outset" w:color="000000" w:sz="6" w:space="0"/>
            </w:tcBorders>
            <w:shd w:val="clear" w:color="auto" w:fill="FFFFFF"/>
            <w:vAlign w:val="center"/>
          </w:tcPr>
          <w:p w14:paraId="0DF68EB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6F400ED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14:paraId="5C7EA48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14:paraId="4A1684B5">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single" w:color="auto" w:sz="4" w:space="0"/>
              <w:right w:val="outset" w:color="000000" w:sz="6" w:space="0"/>
            </w:tcBorders>
            <w:shd w:val="clear" w:color="auto" w:fill="FFFFFF"/>
            <w:vAlign w:val="center"/>
          </w:tcPr>
          <w:p w14:paraId="1A53D7FE">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每天早餐至少有两种现加工食品.</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94C00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461C49">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bottom w:val="outset" w:color="000000" w:sz="6" w:space="0"/>
              <w:right w:val="outset" w:color="000000" w:sz="6" w:space="0"/>
            </w:tcBorders>
            <w:shd w:val="clear" w:color="auto" w:fill="FFFFFF"/>
            <w:vAlign w:val="center"/>
          </w:tcPr>
          <w:p w14:paraId="2204FCFD">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031C594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restart"/>
            <w:tcBorders>
              <w:top w:val="single" w:color="auto" w:sz="4" w:space="0"/>
              <w:left w:val="outset" w:color="000000" w:sz="6" w:space="0"/>
              <w:right w:val="outset" w:color="000000" w:sz="6" w:space="0"/>
            </w:tcBorders>
            <w:shd w:val="clear" w:color="auto" w:fill="FFFFFF"/>
            <w:vAlign w:val="center"/>
          </w:tcPr>
          <w:p w14:paraId="3DE81572">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952" w:type="dxa"/>
            <w:vMerge w:val="restart"/>
            <w:tcBorders>
              <w:top w:val="single" w:color="auto" w:sz="4" w:space="0"/>
              <w:left w:val="outset" w:color="000000" w:sz="6" w:space="0"/>
              <w:right w:val="outset" w:color="000000" w:sz="6" w:space="0"/>
            </w:tcBorders>
            <w:shd w:val="clear" w:color="auto" w:fill="FFFFFF"/>
            <w:vAlign w:val="center"/>
          </w:tcPr>
          <w:p w14:paraId="256A34E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新宋体" w:hAnsi="新宋体" w:eastAsia="新宋体" w:cs="新宋体"/>
                <w:color w:val="auto"/>
                <w:sz w:val="24"/>
                <w:szCs w:val="24"/>
                <w:lang w:val="en-US" w:eastAsia="zh-CN"/>
              </w:rPr>
              <w:t>服务  态度</w:t>
            </w:r>
            <w:r>
              <w:rPr>
                <w:rFonts w:hint="eastAsia" w:ascii="宋体" w:hAnsi="宋体" w:eastAsia="宋体" w:cs="宋体"/>
                <w:color w:val="auto"/>
                <w:sz w:val="21"/>
                <w:szCs w:val="21"/>
                <w:lang w:val="en-US" w:eastAsia="zh-CN"/>
              </w:rPr>
              <w:t xml:space="preserve">   </w:t>
            </w:r>
          </w:p>
        </w:tc>
        <w:tc>
          <w:tcPr>
            <w:tcW w:w="7190" w:type="dxa"/>
            <w:tcBorders>
              <w:top w:val="single" w:color="auto" w:sz="4" w:space="0"/>
              <w:left w:val="outset" w:color="000000" w:sz="6" w:space="0"/>
              <w:bottom w:val="outset" w:color="000000" w:sz="6" w:space="0"/>
              <w:right w:val="outset" w:color="000000" w:sz="6" w:space="0"/>
            </w:tcBorders>
            <w:shd w:val="clear" w:color="auto" w:fill="FFFFFF"/>
            <w:vAlign w:val="center"/>
          </w:tcPr>
          <w:p w14:paraId="03F80B8E">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服从学校安排，配合做好各项上级部门检查工作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及时完成问题整改</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91ED45">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889D0C">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restart"/>
            <w:tcBorders>
              <w:top w:val="outset" w:color="000000" w:sz="6" w:space="0"/>
              <w:left w:val="outset" w:color="000000" w:sz="6" w:space="0"/>
              <w:right w:val="outset" w:color="000000" w:sz="6" w:space="0"/>
            </w:tcBorders>
            <w:shd w:val="clear" w:color="auto" w:fill="FFFFFF"/>
            <w:vAlign w:val="center"/>
          </w:tcPr>
          <w:p w14:paraId="23B9EF4A">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每个点检查</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r>
      <w:tr w14:paraId="13F7793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67DADCC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p>
        </w:tc>
        <w:tc>
          <w:tcPr>
            <w:tcW w:w="952" w:type="dxa"/>
            <w:vMerge w:val="continue"/>
            <w:tcBorders>
              <w:left w:val="outset" w:color="000000" w:sz="6" w:space="0"/>
              <w:right w:val="outset" w:color="000000" w:sz="6" w:space="0"/>
            </w:tcBorders>
            <w:shd w:val="clear" w:color="auto" w:fill="FFFFFF"/>
            <w:vAlign w:val="center"/>
          </w:tcPr>
          <w:p w14:paraId="4814DF1A">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116C17">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default"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.上窗</w:t>
            </w:r>
            <w:r>
              <w:rPr>
                <w:rFonts w:hint="eastAsia" w:ascii="宋体" w:hAnsi="宋体" w:eastAsia="宋体" w:cs="宋体"/>
                <w:color w:val="auto"/>
                <w:sz w:val="21"/>
                <w:szCs w:val="21"/>
                <w:lang w:val="en-US" w:eastAsia="zh-CN"/>
              </w:rPr>
              <w:t>分菜</w:t>
            </w:r>
            <w:r>
              <w:rPr>
                <w:rFonts w:hint="eastAsia" w:ascii="宋体" w:hAnsi="宋体" w:eastAsia="宋体" w:cs="宋体"/>
                <w:color w:val="auto"/>
                <w:sz w:val="21"/>
                <w:szCs w:val="21"/>
              </w:rPr>
              <w:t>人员语言文明，讲话和气态度和蔼，与用餐者无争吵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对学校组织的例检态度和气</w:t>
            </w:r>
            <w:r>
              <w:rPr>
                <w:rFonts w:hint="eastAsia" w:ascii="宋体" w:hAnsi="宋体" w:eastAsia="宋体" w:cs="宋体"/>
                <w:color w:val="auto"/>
                <w:sz w:val="21"/>
                <w:szCs w:val="21"/>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100031">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6FBF04">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right w:val="outset" w:color="000000" w:sz="6" w:space="0"/>
            </w:tcBorders>
            <w:shd w:val="clear" w:color="auto" w:fill="FFFFFF"/>
            <w:vAlign w:val="center"/>
          </w:tcPr>
          <w:p w14:paraId="2972A51F">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4EC255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36833D06">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left w:val="outset" w:color="000000" w:sz="6" w:space="0"/>
              <w:right w:val="outset" w:color="000000" w:sz="6" w:space="0"/>
            </w:tcBorders>
            <w:shd w:val="clear" w:color="auto" w:fill="FFFFFF"/>
            <w:vAlign w:val="center"/>
          </w:tcPr>
          <w:p w14:paraId="436B472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F752E3">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3.按照学校要求做好师生水果牛奶的分发工作，每天有记录，无数量错误，误差小。</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2A249A">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638A73">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right w:val="outset" w:color="000000" w:sz="6" w:space="0"/>
            </w:tcBorders>
            <w:shd w:val="clear" w:color="auto" w:fill="FFFFFF"/>
            <w:vAlign w:val="center"/>
          </w:tcPr>
          <w:p w14:paraId="48E1505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7FA4B7C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left w:val="outset" w:color="000000" w:sz="6" w:space="0"/>
              <w:right w:val="outset" w:color="000000" w:sz="6" w:space="0"/>
            </w:tcBorders>
            <w:shd w:val="clear" w:color="auto" w:fill="FFFFFF"/>
            <w:vAlign w:val="center"/>
          </w:tcPr>
          <w:p w14:paraId="5EFAF96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952" w:type="dxa"/>
            <w:vMerge w:val="continue"/>
            <w:tcBorders>
              <w:left w:val="outset" w:color="000000" w:sz="6" w:space="0"/>
              <w:right w:val="outset" w:color="000000" w:sz="6" w:space="0"/>
            </w:tcBorders>
            <w:shd w:val="clear" w:color="auto" w:fill="FFFFFF"/>
            <w:vAlign w:val="center"/>
          </w:tcPr>
          <w:p w14:paraId="3920A64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C9DE9A1">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val="en-US" w:eastAsia="zh-CN" w:bidi="ar-SA"/>
              </w:rPr>
            </w:pPr>
            <w:r>
              <w:rPr>
                <w:rFonts w:hint="eastAsia" w:ascii="新宋体" w:hAnsi="新宋体" w:eastAsia="新宋体" w:cs="新宋体"/>
                <w:color w:val="auto"/>
                <w:sz w:val="24"/>
                <w:szCs w:val="24"/>
                <w:lang w:val="en-US" w:eastAsia="zh-CN"/>
              </w:rPr>
              <w:t>4.</w:t>
            </w:r>
            <w:r>
              <w:rPr>
                <w:rFonts w:hint="eastAsia" w:ascii="宋体" w:hAnsi="宋体" w:eastAsia="宋体" w:cs="宋体"/>
                <w:color w:val="auto"/>
                <w:sz w:val="21"/>
                <w:szCs w:val="21"/>
                <w:lang w:val="en-US" w:eastAsia="zh-CN"/>
              </w:rPr>
              <w:t>中标人</w:t>
            </w:r>
            <w:r>
              <w:rPr>
                <w:rFonts w:hint="eastAsia" w:ascii="新宋体" w:hAnsi="新宋体" w:eastAsia="新宋体" w:cs="新宋体"/>
                <w:color w:val="auto"/>
                <w:sz w:val="21"/>
                <w:szCs w:val="21"/>
                <w:lang w:val="en-US" w:eastAsia="zh-CN"/>
              </w:rPr>
              <w:t>配合学校，每天完成食堂的智能电子平台管理；做好相应的食堂公开公示工作。监督</w:t>
            </w:r>
            <w:r>
              <w:rPr>
                <w:rFonts w:hint="eastAsia" w:ascii="宋体" w:hAnsi="宋体" w:eastAsia="宋体" w:cs="宋体"/>
                <w:color w:val="auto"/>
                <w:sz w:val="21"/>
                <w:szCs w:val="21"/>
                <w:lang w:val="en-US" w:eastAsia="zh-CN"/>
              </w:rPr>
              <w:t>所有非食工作人员，不得进入食堂加工间。</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4AE67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B9C551">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vMerge w:val="continue"/>
            <w:tcBorders>
              <w:left w:val="outset" w:color="000000" w:sz="6" w:space="0"/>
              <w:bottom w:val="outset" w:color="000000" w:sz="6" w:space="0"/>
              <w:right w:val="outset" w:color="000000" w:sz="6" w:space="0"/>
            </w:tcBorders>
            <w:shd w:val="clear" w:color="auto" w:fill="FFFFFF"/>
            <w:vAlign w:val="center"/>
          </w:tcPr>
          <w:p w14:paraId="7E321A48">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r w14:paraId="1937144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114602">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5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13C4FE">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71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111311">
            <w:pPr>
              <w:widowControl w:val="0"/>
              <w:wordWrap/>
              <w:adjustRightInd w:val="0"/>
              <w:snapToGrid/>
              <w:spacing w:before="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新宋体" w:hAnsi="新宋体" w:eastAsia="新宋体" w:cs="新宋体"/>
                <w:color w:val="auto"/>
                <w:spacing w:val="-1"/>
                <w:sz w:val="24"/>
                <w:szCs w:val="24"/>
              </w:rPr>
              <w:t>完全符合得</w:t>
            </w:r>
            <w:r>
              <w:rPr>
                <w:rFonts w:hint="eastAsia" w:ascii="新宋体" w:hAnsi="新宋体" w:eastAsia="新宋体" w:cs="新宋体"/>
                <w:color w:val="auto"/>
                <w:sz w:val="24"/>
                <w:szCs w:val="24"/>
              </w:rPr>
              <w:t>满分，</w:t>
            </w:r>
            <w:r>
              <w:rPr>
                <w:rFonts w:hint="eastAsia" w:ascii="新宋体" w:hAnsi="新宋体" w:eastAsia="新宋体" w:cs="新宋体"/>
                <w:color w:val="auto"/>
                <w:spacing w:val="-12"/>
                <w:sz w:val="24"/>
                <w:szCs w:val="24"/>
              </w:rPr>
              <w:t xml:space="preserve"> </w:t>
            </w:r>
            <w:r>
              <w:rPr>
                <w:rFonts w:hint="eastAsia" w:ascii="新宋体" w:hAnsi="新宋体" w:eastAsia="新宋体" w:cs="新宋体"/>
                <w:color w:val="auto"/>
                <w:spacing w:val="-12"/>
                <w:sz w:val="24"/>
                <w:szCs w:val="24"/>
                <w:lang w:val="en-US" w:eastAsia="zh-CN"/>
              </w:rPr>
              <w:t>每次检查，不符合的每个点</w:t>
            </w:r>
            <w:r>
              <w:rPr>
                <w:rFonts w:hint="eastAsia" w:ascii="新宋体" w:hAnsi="新宋体" w:eastAsia="新宋体" w:cs="新宋体"/>
                <w:color w:val="auto"/>
                <w:spacing w:val="-18"/>
                <w:sz w:val="24"/>
                <w:szCs w:val="24"/>
              </w:rPr>
              <w:t>递</w:t>
            </w:r>
            <w:r>
              <w:rPr>
                <w:rFonts w:hint="eastAsia" w:ascii="新宋体" w:hAnsi="新宋体" w:eastAsia="新宋体" w:cs="新宋体"/>
                <w:color w:val="auto"/>
                <w:spacing w:val="-12"/>
                <w:sz w:val="24"/>
                <w:szCs w:val="24"/>
              </w:rPr>
              <w:t>减</w:t>
            </w:r>
            <w:r>
              <w:rPr>
                <w:rFonts w:hint="eastAsia" w:ascii="新宋体" w:hAnsi="新宋体" w:eastAsia="新宋体" w:cs="新宋体"/>
                <w:color w:val="auto"/>
                <w:spacing w:val="-12"/>
                <w:sz w:val="24"/>
                <w:szCs w:val="24"/>
                <w:lang w:val="en-US" w:eastAsia="zh-CN"/>
              </w:rPr>
              <w:t>0.2-0.5</w:t>
            </w:r>
            <w:r>
              <w:rPr>
                <w:rFonts w:hint="eastAsia" w:ascii="新宋体" w:hAnsi="新宋体" w:eastAsia="新宋体" w:cs="新宋体"/>
                <w:color w:val="auto"/>
                <w:spacing w:val="-12"/>
                <w:sz w:val="24"/>
                <w:szCs w:val="24"/>
              </w:rPr>
              <w:t>分</w:t>
            </w:r>
            <w:r>
              <w:rPr>
                <w:rFonts w:hint="eastAsia" w:ascii="新宋体" w:hAnsi="新宋体" w:eastAsia="新宋体" w:cs="新宋体"/>
                <w:color w:val="auto"/>
                <w:spacing w:val="-12"/>
                <w:sz w:val="24"/>
                <w:szCs w:val="24"/>
                <w:lang w:eastAsia="zh-CN"/>
              </w:rPr>
              <w:t>。</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C23C2F">
            <w:pPr>
              <w:widowControl w:val="0"/>
              <w:wordWrap/>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9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988D72">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c>
          <w:tcPr>
            <w:tcW w:w="2377"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173EBC0">
            <w:pPr>
              <w:widowControl w:val="0"/>
              <w:wordWrap/>
              <w:adjustRightInd w:val="0"/>
              <w:snapToGrid/>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 w:val="21"/>
                <w:szCs w:val="21"/>
              </w:rPr>
            </w:pPr>
          </w:p>
        </w:tc>
      </w:tr>
    </w:tbl>
    <w:p w14:paraId="1B426A6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p>
    <w:p w14:paraId="5450B02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p>
    <w:p w14:paraId="7CE01DE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p>
    <w:p w14:paraId="5990024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p>
    <w:p w14:paraId="75520B0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p>
    <w:p w14:paraId="3780FE0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sectPr>
          <w:pgSz w:w="16838" w:h="11905" w:orient="landscape"/>
          <w:pgMar w:top="1304" w:right="1474" w:bottom="1304" w:left="1474" w:header="851" w:footer="850" w:gutter="0"/>
          <w:cols w:space="0" w:num="1"/>
          <w:rtlGutter w:val="0"/>
          <w:docGrid w:linePitch="0" w:charSpace="0"/>
        </w:sectPr>
      </w:pPr>
    </w:p>
    <w:p w14:paraId="4E4CD5B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both"/>
        <w:textAlignment w:val="auto"/>
        <w:outlineLvl w:val="9"/>
        <w:rPr>
          <w:rFonts w:hint="eastAsia"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六、服务承诺</w:t>
      </w:r>
    </w:p>
    <w:p w14:paraId="510306F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1.中标人应制定专门的项目负责人与招标人保持联系，随时解决各类问题；</w:t>
      </w:r>
    </w:p>
    <w:p w14:paraId="27CED4B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2.中标人须对招标文件中提出的服务内容和各项要求做出明确的承诺，说明是否可以达到相应的标准以及如何达到；</w:t>
      </w:r>
    </w:p>
    <w:p w14:paraId="74E30A1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3.服务方案和相关服务承诺应内容明确，范围清楚，内容真实可行，并必须真实可靠，否则一切后果中标人自负；</w:t>
      </w:r>
    </w:p>
    <w:p w14:paraId="19E706B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4.食堂内所有设施设备，因为中标人员工操作不当或管理不到位引起的损坏和遗失，由中标人无条件赔偿；</w:t>
      </w:r>
    </w:p>
    <w:p w14:paraId="39B77E3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5.中标人根据学校有关制度要求，做好师生用餐秩序的管理。</w:t>
      </w:r>
    </w:p>
    <w:p w14:paraId="7E2C475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七、其他服务</w:t>
      </w:r>
    </w:p>
    <w:p w14:paraId="2E30874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1、除招标人提出的各项服务要求外，中标人可根据本公司业务开展情况，说明可提供的其他特色服务。</w:t>
      </w:r>
    </w:p>
    <w:p w14:paraId="4C23193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2.中标人在管理上确保学校食堂量化分级评定的A级不降级。</w:t>
      </w:r>
    </w:p>
    <w:p w14:paraId="00514FC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3.中标人做好食堂内电梯的年检维保维护。</w:t>
      </w:r>
    </w:p>
    <w:p w14:paraId="4278996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4.中标人按疫情要求做好食堂的消杀和防控应急状况时的分餐。</w:t>
      </w:r>
    </w:p>
    <w:p w14:paraId="6BCE6E8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八、优惠服务</w:t>
      </w:r>
    </w:p>
    <w:p w14:paraId="0BF77CB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1、中标人可根据自身条件，说明可能给予招标人的优惠服务，这些优惠服务必须是符合国家相关规定的、与服务项目相关的内容；</w:t>
      </w:r>
    </w:p>
    <w:p w14:paraId="73DD78F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2、中标人提供的优惠服务将作为评标的一个因素； </w:t>
      </w:r>
    </w:p>
    <w:p w14:paraId="1F9B1BEC">
      <w:pPr>
        <w:spacing w:line="360" w:lineRule="auto"/>
        <w:jc w:val="center"/>
        <w:outlineLvl w:val="0"/>
        <w:rPr>
          <w:rFonts w:hint="eastAsia" w:ascii="宋体" w:hAnsi="宋体" w:cs="宋体"/>
          <w:b/>
          <w:color w:val="auto"/>
          <w:sz w:val="36"/>
          <w:szCs w:val="36"/>
          <w:highlight w:val="none"/>
        </w:rPr>
      </w:pPr>
    </w:p>
    <w:p w14:paraId="39512085">
      <w:pPr>
        <w:spacing w:line="360" w:lineRule="auto"/>
        <w:jc w:val="center"/>
        <w:outlineLvl w:val="0"/>
        <w:rPr>
          <w:rFonts w:hint="eastAsia"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36"/>
          <w:szCs w:val="36"/>
          <w:highlight w:val="none"/>
        </w:rPr>
        <w:t xml:space="preserve">第四部分   </w:t>
      </w:r>
      <w:bookmarkStart w:id="28" w:name="_Toc184310336"/>
      <w:bookmarkEnd w:id="28"/>
      <w:bookmarkStart w:id="29" w:name="_Toc184313263"/>
      <w:bookmarkEnd w:id="29"/>
      <w:bookmarkStart w:id="30" w:name="_Toc184314418"/>
      <w:bookmarkEnd w:id="30"/>
      <w:bookmarkStart w:id="31" w:name="_Toc184314458"/>
      <w:bookmarkEnd w:id="31"/>
      <w:bookmarkStart w:id="32" w:name="_Toc184314465"/>
      <w:bookmarkEnd w:id="32"/>
      <w:bookmarkStart w:id="33" w:name="_Toc184308083"/>
      <w:bookmarkEnd w:id="33"/>
      <w:bookmarkStart w:id="34" w:name="_Toc184310318"/>
      <w:bookmarkEnd w:id="34"/>
      <w:bookmarkStart w:id="35" w:name="_Toc184313275"/>
      <w:bookmarkEnd w:id="35"/>
      <w:bookmarkStart w:id="36" w:name="_Toc184313298"/>
      <w:bookmarkEnd w:id="36"/>
      <w:bookmarkStart w:id="37" w:name="_Toc184312127"/>
      <w:bookmarkEnd w:id="37"/>
      <w:bookmarkStart w:id="38" w:name="_Toc184314450"/>
      <w:bookmarkEnd w:id="38"/>
      <w:bookmarkStart w:id="39" w:name="_Toc184312099"/>
      <w:bookmarkEnd w:id="39"/>
      <w:bookmarkStart w:id="40" w:name="_Toc184308043"/>
      <w:bookmarkEnd w:id="40"/>
      <w:bookmarkStart w:id="41" w:name="_Toc184310273"/>
      <w:bookmarkEnd w:id="41"/>
      <w:bookmarkStart w:id="42" w:name="_Toc184308071"/>
      <w:bookmarkEnd w:id="42"/>
      <w:bookmarkStart w:id="43" w:name="_Toc184312124"/>
      <w:bookmarkEnd w:id="43"/>
      <w:bookmarkStart w:id="44" w:name="_Toc184308091"/>
      <w:bookmarkEnd w:id="44"/>
      <w:bookmarkStart w:id="45" w:name="_Toc184308038"/>
      <w:bookmarkEnd w:id="45"/>
      <w:bookmarkStart w:id="46" w:name="_Toc184314414"/>
      <w:bookmarkEnd w:id="46"/>
      <w:bookmarkStart w:id="47" w:name="_Toc184310297"/>
      <w:bookmarkEnd w:id="47"/>
      <w:bookmarkStart w:id="48" w:name="_Toc184312136"/>
      <w:bookmarkEnd w:id="48"/>
      <w:bookmarkStart w:id="49" w:name="_Toc184312068"/>
      <w:bookmarkEnd w:id="49"/>
      <w:bookmarkStart w:id="50" w:name="_Toc184313240"/>
      <w:bookmarkEnd w:id="50"/>
      <w:bookmarkStart w:id="51" w:name="_Toc184314423"/>
      <w:bookmarkEnd w:id="51"/>
      <w:bookmarkStart w:id="52" w:name="_Toc184312131"/>
      <w:bookmarkEnd w:id="52"/>
      <w:bookmarkStart w:id="53" w:name="_Toc184314442"/>
      <w:bookmarkEnd w:id="53"/>
      <w:bookmarkStart w:id="54" w:name="_Toc184313260"/>
      <w:bookmarkEnd w:id="54"/>
      <w:bookmarkStart w:id="55" w:name="_Toc184308096"/>
      <w:bookmarkEnd w:id="55"/>
      <w:bookmarkStart w:id="56" w:name="_Toc184308059"/>
      <w:bookmarkEnd w:id="56"/>
      <w:bookmarkStart w:id="57" w:name="_Toc184310312"/>
      <w:bookmarkEnd w:id="57"/>
      <w:bookmarkStart w:id="58" w:name="_Toc184313244"/>
      <w:bookmarkEnd w:id="58"/>
      <w:bookmarkStart w:id="59" w:name="_Toc184314430"/>
      <w:bookmarkEnd w:id="59"/>
      <w:bookmarkStart w:id="60" w:name="_Toc184310325"/>
      <w:bookmarkEnd w:id="60"/>
      <w:bookmarkStart w:id="61" w:name="_Toc184314419"/>
      <w:bookmarkEnd w:id="61"/>
      <w:bookmarkStart w:id="62" w:name="_Toc184310332"/>
      <w:bookmarkEnd w:id="62"/>
      <w:bookmarkStart w:id="63" w:name="_Toc184312119"/>
      <w:bookmarkEnd w:id="63"/>
      <w:bookmarkStart w:id="64" w:name="_Toc184310295"/>
      <w:bookmarkEnd w:id="64"/>
      <w:bookmarkStart w:id="65" w:name="_Toc184314443"/>
      <w:bookmarkEnd w:id="65"/>
      <w:bookmarkStart w:id="66" w:name="_Toc184314411"/>
      <w:bookmarkEnd w:id="66"/>
      <w:bookmarkStart w:id="67" w:name="_Toc184314457"/>
      <w:bookmarkEnd w:id="67"/>
      <w:bookmarkStart w:id="68" w:name="_Toc184308103"/>
      <w:bookmarkEnd w:id="68"/>
      <w:bookmarkStart w:id="69" w:name="_Toc184313257"/>
      <w:bookmarkEnd w:id="69"/>
      <w:bookmarkStart w:id="70" w:name="_Toc184312102"/>
      <w:bookmarkEnd w:id="70"/>
      <w:bookmarkStart w:id="71" w:name="_Toc184308086"/>
      <w:bookmarkEnd w:id="71"/>
      <w:bookmarkStart w:id="72" w:name="_Toc184310309"/>
      <w:bookmarkEnd w:id="72"/>
      <w:bookmarkStart w:id="73" w:name="_Toc184313294"/>
      <w:bookmarkEnd w:id="73"/>
      <w:bookmarkStart w:id="74" w:name="_Toc184313302"/>
      <w:bookmarkEnd w:id="74"/>
      <w:bookmarkStart w:id="75" w:name="_Toc184314429"/>
      <w:bookmarkEnd w:id="75"/>
      <w:bookmarkStart w:id="76" w:name="_Toc184312077"/>
      <w:bookmarkEnd w:id="76"/>
      <w:bookmarkStart w:id="77" w:name="_Toc184310294"/>
      <w:bookmarkEnd w:id="77"/>
      <w:bookmarkStart w:id="78" w:name="_Toc184314468"/>
      <w:bookmarkEnd w:id="78"/>
      <w:bookmarkStart w:id="79" w:name="_Toc184314439"/>
      <w:bookmarkEnd w:id="79"/>
      <w:bookmarkStart w:id="80" w:name="_Toc184312072"/>
      <w:bookmarkEnd w:id="80"/>
      <w:bookmarkStart w:id="81" w:name="_Toc184310321"/>
      <w:bookmarkEnd w:id="81"/>
      <w:bookmarkStart w:id="82" w:name="_Toc184313288"/>
      <w:bookmarkEnd w:id="82"/>
      <w:bookmarkStart w:id="83" w:name="_Toc184314425"/>
      <w:bookmarkEnd w:id="83"/>
      <w:bookmarkStart w:id="84" w:name="_Toc184313291"/>
      <w:bookmarkEnd w:id="84"/>
      <w:bookmarkStart w:id="85" w:name="_Toc184313261"/>
      <w:bookmarkEnd w:id="85"/>
      <w:bookmarkStart w:id="86" w:name="_Toc184312108"/>
      <w:bookmarkEnd w:id="86"/>
      <w:bookmarkStart w:id="87" w:name="_Toc184313239"/>
      <w:bookmarkEnd w:id="87"/>
      <w:bookmarkStart w:id="88" w:name="_Toc184312098"/>
      <w:bookmarkEnd w:id="88"/>
      <w:bookmarkStart w:id="89" w:name="_Toc184312094"/>
      <w:bookmarkEnd w:id="89"/>
      <w:bookmarkStart w:id="90" w:name="_Toc184308102"/>
      <w:bookmarkEnd w:id="90"/>
      <w:bookmarkStart w:id="91" w:name="_Toc184312120"/>
      <w:bookmarkEnd w:id="91"/>
      <w:bookmarkStart w:id="92" w:name="_Toc184310277"/>
      <w:bookmarkEnd w:id="92"/>
      <w:bookmarkStart w:id="93" w:name="_Toc184310276"/>
      <w:bookmarkEnd w:id="93"/>
      <w:bookmarkStart w:id="94" w:name="_Toc184310285"/>
      <w:bookmarkEnd w:id="94"/>
      <w:bookmarkStart w:id="95" w:name="_Toc184313295"/>
      <w:bookmarkEnd w:id="95"/>
      <w:bookmarkStart w:id="96" w:name="_Toc184313242"/>
      <w:bookmarkEnd w:id="96"/>
      <w:bookmarkStart w:id="97" w:name="_Toc184312104"/>
      <w:bookmarkEnd w:id="97"/>
      <w:bookmarkStart w:id="98" w:name="_Toc184314454"/>
      <w:bookmarkEnd w:id="98"/>
      <w:bookmarkStart w:id="99" w:name="_Toc184310313"/>
      <w:bookmarkEnd w:id="99"/>
      <w:bookmarkStart w:id="100" w:name="_Toc184313301"/>
      <w:bookmarkEnd w:id="100"/>
      <w:bookmarkStart w:id="101" w:name="_Toc184310288"/>
      <w:bookmarkEnd w:id="101"/>
      <w:bookmarkStart w:id="102" w:name="_Toc184312107"/>
      <w:bookmarkEnd w:id="102"/>
      <w:bookmarkStart w:id="103" w:name="_Toc184312123"/>
      <w:bookmarkEnd w:id="103"/>
      <w:bookmarkStart w:id="104" w:name="_Toc184308097"/>
      <w:bookmarkEnd w:id="104"/>
      <w:bookmarkStart w:id="105" w:name="_Toc184308077"/>
      <w:bookmarkEnd w:id="105"/>
      <w:bookmarkStart w:id="106" w:name="_Toc184313296"/>
      <w:bookmarkEnd w:id="106"/>
      <w:bookmarkStart w:id="107" w:name="_Toc184308073"/>
      <w:bookmarkEnd w:id="107"/>
      <w:bookmarkStart w:id="108" w:name="_Toc184308082"/>
      <w:bookmarkEnd w:id="108"/>
      <w:bookmarkStart w:id="109" w:name="_Toc184312086"/>
      <w:bookmarkEnd w:id="109"/>
      <w:bookmarkStart w:id="110" w:name="_Toc184313285"/>
      <w:bookmarkEnd w:id="110"/>
      <w:bookmarkStart w:id="111" w:name="_Toc184312070"/>
      <w:bookmarkEnd w:id="111"/>
      <w:bookmarkStart w:id="112" w:name="_Toc184312138"/>
      <w:bookmarkEnd w:id="112"/>
      <w:bookmarkStart w:id="113" w:name="_Toc184312112"/>
      <w:bookmarkEnd w:id="113"/>
      <w:bookmarkStart w:id="114" w:name="_Toc184314420"/>
      <w:bookmarkEnd w:id="114"/>
      <w:bookmarkStart w:id="115" w:name="_Toc184310300"/>
      <w:bookmarkEnd w:id="115"/>
      <w:bookmarkStart w:id="116" w:name="_Toc184314463"/>
      <w:bookmarkEnd w:id="116"/>
      <w:bookmarkStart w:id="117" w:name="_Toc184310301"/>
      <w:bookmarkEnd w:id="117"/>
      <w:bookmarkStart w:id="118" w:name="_Toc184312105"/>
      <w:bookmarkEnd w:id="118"/>
      <w:bookmarkStart w:id="119" w:name="_Toc184308092"/>
      <w:bookmarkEnd w:id="119"/>
      <w:bookmarkStart w:id="120" w:name="_Toc184308044"/>
      <w:bookmarkEnd w:id="120"/>
      <w:bookmarkStart w:id="121" w:name="_Toc184308067"/>
      <w:bookmarkEnd w:id="121"/>
      <w:bookmarkStart w:id="122" w:name="_Toc184312097"/>
      <w:bookmarkEnd w:id="122"/>
      <w:bookmarkStart w:id="123" w:name="_Toc184308060"/>
      <w:bookmarkEnd w:id="123"/>
      <w:bookmarkStart w:id="124" w:name="_Toc184313268"/>
      <w:bookmarkEnd w:id="124"/>
      <w:bookmarkStart w:id="125" w:name="_Toc184314467"/>
      <w:bookmarkEnd w:id="125"/>
      <w:bookmarkStart w:id="126" w:name="_Toc184314476"/>
      <w:bookmarkEnd w:id="126"/>
      <w:bookmarkStart w:id="127" w:name="_Toc184310284"/>
      <w:bookmarkEnd w:id="127"/>
      <w:bookmarkStart w:id="128" w:name="_Toc184313273"/>
      <w:bookmarkEnd w:id="128"/>
      <w:bookmarkStart w:id="129" w:name="_Toc184313280"/>
      <w:bookmarkEnd w:id="129"/>
      <w:bookmarkStart w:id="130" w:name="_Toc184312082"/>
      <w:bookmarkEnd w:id="130"/>
      <w:bookmarkStart w:id="131" w:name="_Toc184310306"/>
      <w:bookmarkEnd w:id="131"/>
      <w:bookmarkStart w:id="132" w:name="_Toc184313290"/>
      <w:bookmarkEnd w:id="132"/>
      <w:bookmarkStart w:id="133" w:name="_Toc184313266"/>
      <w:bookmarkEnd w:id="133"/>
      <w:bookmarkStart w:id="134" w:name="_Toc184313300"/>
      <w:bookmarkEnd w:id="134"/>
      <w:bookmarkStart w:id="135" w:name="_Toc184313267"/>
      <w:bookmarkEnd w:id="135"/>
      <w:bookmarkStart w:id="136" w:name="_Toc184312067"/>
      <w:bookmarkEnd w:id="136"/>
      <w:bookmarkStart w:id="137" w:name="_Toc184312126"/>
      <w:bookmarkEnd w:id="137"/>
      <w:bookmarkStart w:id="138" w:name="_Toc184313264"/>
      <w:bookmarkEnd w:id="138"/>
      <w:bookmarkStart w:id="139" w:name="_Toc184314447"/>
      <w:bookmarkEnd w:id="139"/>
      <w:bookmarkStart w:id="140" w:name="_Toc184314456"/>
      <w:bookmarkEnd w:id="140"/>
      <w:bookmarkStart w:id="141" w:name="_Toc184308054"/>
      <w:bookmarkEnd w:id="141"/>
      <w:bookmarkStart w:id="142" w:name="_Toc184313292"/>
      <w:bookmarkEnd w:id="142"/>
      <w:bookmarkStart w:id="143" w:name="_Toc184308085"/>
      <w:bookmarkEnd w:id="143"/>
      <w:bookmarkStart w:id="144" w:name="_Toc184308106"/>
      <w:bookmarkEnd w:id="144"/>
      <w:bookmarkStart w:id="145" w:name="_Toc184312091"/>
      <w:bookmarkEnd w:id="145"/>
      <w:bookmarkStart w:id="146" w:name="_Toc184308081"/>
      <w:bookmarkEnd w:id="146"/>
      <w:bookmarkStart w:id="147" w:name="_Toc184312121"/>
      <w:bookmarkEnd w:id="147"/>
      <w:bookmarkStart w:id="148" w:name="_Toc184312096"/>
      <w:bookmarkEnd w:id="148"/>
      <w:bookmarkStart w:id="149" w:name="_Toc184312093"/>
      <w:bookmarkEnd w:id="149"/>
      <w:bookmarkStart w:id="150" w:name="_Toc184308075"/>
      <w:bookmarkEnd w:id="150"/>
      <w:bookmarkStart w:id="151" w:name="_Toc184310322"/>
      <w:bookmarkEnd w:id="151"/>
      <w:bookmarkStart w:id="152" w:name="_Toc184313259"/>
      <w:bookmarkEnd w:id="152"/>
      <w:bookmarkStart w:id="153" w:name="_Toc184312125"/>
      <w:bookmarkEnd w:id="153"/>
      <w:bookmarkStart w:id="154" w:name="_Toc184313270"/>
      <w:bookmarkEnd w:id="154"/>
      <w:bookmarkStart w:id="155" w:name="_Toc184313248"/>
      <w:bookmarkEnd w:id="155"/>
      <w:bookmarkStart w:id="156" w:name="_Toc184313297"/>
      <w:bookmarkEnd w:id="156"/>
      <w:bookmarkStart w:id="157" w:name="_Toc184308084"/>
      <w:bookmarkEnd w:id="157"/>
      <w:bookmarkStart w:id="158" w:name="_Toc184312090"/>
      <w:bookmarkEnd w:id="158"/>
      <w:bookmarkStart w:id="159" w:name="_Toc184308039"/>
      <w:bookmarkEnd w:id="159"/>
      <w:bookmarkStart w:id="160" w:name="_Toc184312078"/>
      <w:bookmarkEnd w:id="160"/>
      <w:bookmarkStart w:id="161" w:name="_Toc184310296"/>
      <w:bookmarkEnd w:id="161"/>
      <w:bookmarkStart w:id="162" w:name="_Toc184310274"/>
      <w:bookmarkEnd w:id="162"/>
      <w:bookmarkStart w:id="163" w:name="_Toc184308057"/>
      <w:bookmarkEnd w:id="163"/>
      <w:bookmarkStart w:id="164" w:name="_Toc184314437"/>
      <w:bookmarkEnd w:id="164"/>
      <w:bookmarkStart w:id="165" w:name="_Toc184313281"/>
      <w:bookmarkEnd w:id="165"/>
      <w:bookmarkStart w:id="166" w:name="_Toc184308069"/>
      <w:bookmarkEnd w:id="166"/>
      <w:bookmarkStart w:id="167" w:name="_Toc184313249"/>
      <w:bookmarkEnd w:id="167"/>
      <w:bookmarkStart w:id="168" w:name="_Toc184312129"/>
      <w:bookmarkEnd w:id="168"/>
      <w:bookmarkStart w:id="169" w:name="_Toc184310287"/>
      <w:bookmarkEnd w:id="169"/>
      <w:bookmarkStart w:id="170" w:name="_Toc184313306"/>
      <w:bookmarkEnd w:id="170"/>
      <w:bookmarkStart w:id="171" w:name="_Toc184313262"/>
      <w:bookmarkEnd w:id="171"/>
      <w:bookmarkStart w:id="172" w:name="_Toc184313309"/>
      <w:bookmarkEnd w:id="172"/>
      <w:bookmarkStart w:id="173" w:name="_Toc184308095"/>
      <w:bookmarkEnd w:id="173"/>
      <w:bookmarkStart w:id="174" w:name="_Toc184314434"/>
      <w:bookmarkEnd w:id="174"/>
      <w:bookmarkStart w:id="175" w:name="_Toc184314451"/>
      <w:bookmarkEnd w:id="175"/>
      <w:bookmarkStart w:id="176" w:name="_Toc184310307"/>
      <w:bookmarkEnd w:id="176"/>
      <w:bookmarkStart w:id="177" w:name="_Toc184314424"/>
      <w:bookmarkEnd w:id="177"/>
      <w:bookmarkStart w:id="178" w:name="_Toc184312081"/>
      <w:bookmarkEnd w:id="178"/>
      <w:bookmarkStart w:id="179" w:name="_Toc184314482"/>
      <w:bookmarkEnd w:id="179"/>
      <w:bookmarkStart w:id="180" w:name="_Toc184308072"/>
      <w:bookmarkEnd w:id="180"/>
      <w:bookmarkStart w:id="181" w:name="_Toc184313305"/>
      <w:bookmarkEnd w:id="181"/>
      <w:bookmarkStart w:id="182" w:name="_Toc184313256"/>
      <w:bookmarkEnd w:id="182"/>
      <w:bookmarkStart w:id="183" w:name="_Toc184314445"/>
      <w:bookmarkEnd w:id="183"/>
      <w:bookmarkStart w:id="184" w:name="_Toc184313250"/>
      <w:bookmarkEnd w:id="184"/>
      <w:bookmarkStart w:id="185" w:name="_Toc184312095"/>
      <w:bookmarkEnd w:id="185"/>
      <w:bookmarkStart w:id="186" w:name="_Toc184312083"/>
      <w:bookmarkEnd w:id="186"/>
      <w:bookmarkStart w:id="187" w:name="_Toc184314446"/>
      <w:bookmarkEnd w:id="187"/>
      <w:bookmarkStart w:id="188" w:name="_Toc184312115"/>
      <w:bookmarkEnd w:id="188"/>
      <w:bookmarkStart w:id="189" w:name="_Toc184314459"/>
      <w:bookmarkEnd w:id="189"/>
      <w:bookmarkStart w:id="190" w:name="_Toc184314481"/>
      <w:bookmarkEnd w:id="190"/>
      <w:bookmarkStart w:id="191" w:name="_Toc184308087"/>
      <w:bookmarkEnd w:id="191"/>
      <w:bookmarkStart w:id="192" w:name="_Toc184310334"/>
      <w:bookmarkEnd w:id="192"/>
      <w:bookmarkStart w:id="193" w:name="_Toc184313272"/>
      <w:bookmarkEnd w:id="193"/>
      <w:bookmarkStart w:id="194" w:name="_Toc184310330"/>
      <w:bookmarkEnd w:id="194"/>
      <w:bookmarkStart w:id="195" w:name="_Toc184310275"/>
      <w:bookmarkEnd w:id="195"/>
      <w:bookmarkStart w:id="196" w:name="_Toc184314415"/>
      <w:bookmarkEnd w:id="196"/>
      <w:bookmarkStart w:id="197" w:name="_Toc184313299"/>
      <w:bookmarkEnd w:id="197"/>
      <w:bookmarkStart w:id="198" w:name="_Toc184312079"/>
      <w:bookmarkEnd w:id="198"/>
      <w:bookmarkStart w:id="199" w:name="_Toc184313276"/>
      <w:bookmarkEnd w:id="199"/>
      <w:bookmarkStart w:id="200" w:name="_Toc184310308"/>
      <w:bookmarkEnd w:id="200"/>
      <w:bookmarkStart w:id="201" w:name="_Toc184310281"/>
      <w:bookmarkEnd w:id="201"/>
      <w:bookmarkStart w:id="202" w:name="_Toc184308053"/>
      <w:bookmarkEnd w:id="202"/>
      <w:bookmarkStart w:id="203" w:name="_Toc184312074"/>
      <w:bookmarkEnd w:id="203"/>
      <w:bookmarkStart w:id="204" w:name="_Toc184310320"/>
      <w:bookmarkEnd w:id="204"/>
      <w:bookmarkStart w:id="205" w:name="_Toc184312110"/>
      <w:bookmarkEnd w:id="205"/>
      <w:bookmarkStart w:id="206" w:name="_Toc184314440"/>
      <w:bookmarkEnd w:id="206"/>
      <w:bookmarkStart w:id="207" w:name="_Toc184312084"/>
      <w:bookmarkEnd w:id="207"/>
      <w:bookmarkStart w:id="208" w:name="_Toc184310324"/>
      <w:bookmarkEnd w:id="208"/>
      <w:bookmarkStart w:id="209" w:name="_Toc184310343"/>
      <w:bookmarkEnd w:id="209"/>
      <w:bookmarkStart w:id="210" w:name="_Toc184314422"/>
      <w:bookmarkEnd w:id="210"/>
      <w:bookmarkStart w:id="211" w:name="_Toc184310315"/>
      <w:bookmarkEnd w:id="211"/>
      <w:bookmarkStart w:id="212" w:name="_Toc184308045"/>
      <w:bookmarkEnd w:id="212"/>
      <w:bookmarkStart w:id="213" w:name="_Toc184308061"/>
      <w:bookmarkEnd w:id="213"/>
      <w:bookmarkStart w:id="214" w:name="_Toc184314478"/>
      <w:bookmarkEnd w:id="214"/>
      <w:bookmarkStart w:id="215" w:name="_Toc184308041"/>
      <w:bookmarkEnd w:id="215"/>
      <w:bookmarkStart w:id="216" w:name="_Toc184310329"/>
      <w:bookmarkEnd w:id="216"/>
      <w:bookmarkStart w:id="217" w:name="_Toc184310282"/>
      <w:bookmarkEnd w:id="217"/>
      <w:bookmarkStart w:id="218" w:name="_Toc184313238"/>
      <w:bookmarkEnd w:id="218"/>
      <w:bookmarkStart w:id="219" w:name="_Toc184312130"/>
      <w:bookmarkEnd w:id="219"/>
      <w:bookmarkStart w:id="220" w:name="_Toc184313269"/>
      <w:bookmarkEnd w:id="220"/>
      <w:bookmarkStart w:id="221" w:name="_Toc184313310"/>
      <w:bookmarkEnd w:id="221"/>
      <w:bookmarkStart w:id="222" w:name="_Toc184314453"/>
      <w:bookmarkEnd w:id="222"/>
      <w:bookmarkStart w:id="223" w:name="_Toc184312113"/>
      <w:bookmarkEnd w:id="223"/>
      <w:bookmarkStart w:id="224" w:name="_Toc184310272"/>
      <w:bookmarkEnd w:id="224"/>
      <w:bookmarkStart w:id="225" w:name="_Toc184308094"/>
      <w:bookmarkEnd w:id="225"/>
      <w:bookmarkStart w:id="226" w:name="_Toc184312075"/>
      <w:bookmarkEnd w:id="226"/>
      <w:bookmarkStart w:id="227" w:name="_Toc184313265"/>
      <w:bookmarkEnd w:id="227"/>
      <w:bookmarkStart w:id="228" w:name="_Toc184308101"/>
      <w:bookmarkEnd w:id="228"/>
      <w:bookmarkStart w:id="229" w:name="_Toc184310344"/>
      <w:bookmarkEnd w:id="229"/>
      <w:bookmarkStart w:id="230" w:name="_Toc184308098"/>
      <w:bookmarkEnd w:id="230"/>
      <w:bookmarkStart w:id="231" w:name="_Toc184314417"/>
      <w:bookmarkEnd w:id="231"/>
      <w:bookmarkStart w:id="232" w:name="_Toc184314452"/>
      <w:bookmarkEnd w:id="232"/>
      <w:bookmarkStart w:id="233" w:name="_Toc184308104"/>
      <w:bookmarkEnd w:id="233"/>
      <w:bookmarkStart w:id="234" w:name="_Toc184308056"/>
      <w:bookmarkEnd w:id="234"/>
      <w:bookmarkStart w:id="235" w:name="_Toc184308080"/>
      <w:bookmarkEnd w:id="235"/>
      <w:bookmarkStart w:id="236" w:name="_Toc184310302"/>
      <w:bookmarkEnd w:id="236"/>
      <w:bookmarkStart w:id="237" w:name="_Toc184312134"/>
      <w:bookmarkEnd w:id="237"/>
      <w:bookmarkStart w:id="238" w:name="_Toc184313245"/>
      <w:bookmarkEnd w:id="238"/>
      <w:bookmarkStart w:id="239" w:name="_Toc184312139"/>
      <w:bookmarkEnd w:id="239"/>
      <w:bookmarkStart w:id="240" w:name="_Toc184312114"/>
      <w:bookmarkEnd w:id="240"/>
      <w:bookmarkStart w:id="241" w:name="_Toc184310337"/>
      <w:bookmarkEnd w:id="241"/>
      <w:bookmarkStart w:id="242" w:name="_Toc184310278"/>
      <w:bookmarkEnd w:id="242"/>
      <w:bookmarkStart w:id="243" w:name="_Toc184314470"/>
      <w:bookmarkEnd w:id="243"/>
      <w:bookmarkStart w:id="244" w:name="_Toc184308064"/>
      <w:bookmarkEnd w:id="244"/>
      <w:bookmarkStart w:id="245" w:name="_Toc184313279"/>
      <w:bookmarkEnd w:id="245"/>
      <w:bookmarkStart w:id="246" w:name="_Toc184310319"/>
      <w:bookmarkEnd w:id="246"/>
      <w:bookmarkStart w:id="247" w:name="_Toc184313286"/>
      <w:bookmarkEnd w:id="247"/>
      <w:bookmarkStart w:id="248" w:name="_Toc184312071"/>
      <w:bookmarkEnd w:id="248"/>
      <w:bookmarkStart w:id="249" w:name="_Toc184312101"/>
      <w:bookmarkEnd w:id="249"/>
      <w:bookmarkStart w:id="250" w:name="_Toc184310293"/>
      <w:bookmarkEnd w:id="250"/>
      <w:bookmarkStart w:id="251" w:name="_Toc184312137"/>
      <w:bookmarkEnd w:id="251"/>
      <w:bookmarkStart w:id="252" w:name="_Toc184308037"/>
      <w:bookmarkEnd w:id="252"/>
      <w:bookmarkStart w:id="253" w:name="_Toc184313247"/>
      <w:bookmarkEnd w:id="253"/>
      <w:bookmarkStart w:id="254" w:name="_Toc184308066"/>
      <w:bookmarkEnd w:id="254"/>
      <w:bookmarkStart w:id="255" w:name="_Toc184313283"/>
      <w:bookmarkEnd w:id="255"/>
      <w:bookmarkStart w:id="256" w:name="_Toc184312111"/>
      <w:bookmarkEnd w:id="256"/>
      <w:bookmarkStart w:id="257" w:name="_Toc184312092"/>
      <w:bookmarkEnd w:id="257"/>
      <w:bookmarkStart w:id="258" w:name="_Toc184308108"/>
      <w:bookmarkEnd w:id="258"/>
      <w:bookmarkStart w:id="259" w:name="_Toc184313251"/>
      <w:bookmarkEnd w:id="259"/>
      <w:bookmarkStart w:id="260" w:name="_Toc184308068"/>
      <w:bookmarkEnd w:id="260"/>
      <w:bookmarkStart w:id="261" w:name="_Toc184313278"/>
      <w:bookmarkEnd w:id="261"/>
      <w:bookmarkStart w:id="262" w:name="_Toc184308089"/>
      <w:bookmarkEnd w:id="262"/>
      <w:bookmarkStart w:id="263" w:name="_Toc184313253"/>
      <w:bookmarkEnd w:id="263"/>
      <w:bookmarkStart w:id="264" w:name="_Toc184312080"/>
      <w:bookmarkEnd w:id="264"/>
      <w:bookmarkStart w:id="265" w:name="_Toc184314461"/>
      <w:bookmarkEnd w:id="265"/>
      <w:bookmarkStart w:id="266" w:name="_Toc184314448"/>
      <w:bookmarkEnd w:id="266"/>
      <w:bookmarkStart w:id="267" w:name="_Toc184310280"/>
      <w:bookmarkEnd w:id="267"/>
      <w:bookmarkStart w:id="268" w:name="_Toc184308090"/>
      <w:bookmarkEnd w:id="268"/>
      <w:bookmarkStart w:id="269" w:name="_Toc184314469"/>
      <w:bookmarkEnd w:id="269"/>
      <w:bookmarkStart w:id="270" w:name="_Toc184310289"/>
      <w:bookmarkEnd w:id="270"/>
      <w:bookmarkStart w:id="271" w:name="_Toc184314472"/>
      <w:bookmarkEnd w:id="271"/>
      <w:bookmarkStart w:id="272" w:name="_Toc184308062"/>
      <w:bookmarkEnd w:id="272"/>
      <w:bookmarkStart w:id="273" w:name="_Toc184310323"/>
      <w:bookmarkEnd w:id="273"/>
      <w:bookmarkStart w:id="274" w:name="_Toc184314428"/>
      <w:bookmarkEnd w:id="274"/>
      <w:bookmarkStart w:id="275" w:name="_Toc184313243"/>
      <w:bookmarkEnd w:id="275"/>
      <w:bookmarkStart w:id="276" w:name="_Toc184314449"/>
      <w:bookmarkEnd w:id="276"/>
      <w:bookmarkStart w:id="277" w:name="_Toc184312106"/>
      <w:bookmarkEnd w:id="277"/>
      <w:bookmarkStart w:id="278" w:name="_Toc184312128"/>
      <w:bookmarkEnd w:id="278"/>
      <w:bookmarkStart w:id="279" w:name="_Toc184310316"/>
      <w:bookmarkEnd w:id="279"/>
      <w:bookmarkStart w:id="280" w:name="_Toc184308052"/>
      <w:bookmarkEnd w:id="280"/>
      <w:bookmarkStart w:id="281" w:name="_Toc184312117"/>
      <w:bookmarkEnd w:id="281"/>
      <w:bookmarkStart w:id="282" w:name="_Toc184314474"/>
      <w:bookmarkEnd w:id="282"/>
      <w:bookmarkStart w:id="283" w:name="_Toc184310314"/>
      <w:bookmarkEnd w:id="283"/>
      <w:bookmarkStart w:id="284" w:name="_Toc184310310"/>
      <w:bookmarkEnd w:id="284"/>
      <w:bookmarkStart w:id="285" w:name="_Toc184314432"/>
      <w:bookmarkEnd w:id="285"/>
      <w:bookmarkStart w:id="286" w:name="_Toc184310303"/>
      <w:bookmarkEnd w:id="286"/>
      <w:bookmarkStart w:id="287" w:name="_Toc184310339"/>
      <w:bookmarkEnd w:id="287"/>
      <w:bookmarkStart w:id="288" w:name="_Toc184314431"/>
      <w:bookmarkEnd w:id="288"/>
      <w:bookmarkStart w:id="289" w:name="_Toc184312085"/>
      <w:bookmarkEnd w:id="289"/>
      <w:bookmarkStart w:id="290" w:name="_Toc184310317"/>
      <w:bookmarkEnd w:id="290"/>
      <w:bookmarkStart w:id="291" w:name="_Toc184308093"/>
      <w:bookmarkEnd w:id="291"/>
      <w:bookmarkStart w:id="292" w:name="_Toc184310291"/>
      <w:bookmarkEnd w:id="292"/>
      <w:bookmarkStart w:id="293" w:name="_Toc184310304"/>
      <w:bookmarkEnd w:id="293"/>
      <w:bookmarkStart w:id="294" w:name="_Toc184308100"/>
      <w:bookmarkEnd w:id="294"/>
      <w:bookmarkStart w:id="295" w:name="_Toc184313287"/>
      <w:bookmarkEnd w:id="295"/>
      <w:bookmarkStart w:id="296" w:name="_Toc184312122"/>
      <w:bookmarkEnd w:id="296"/>
      <w:bookmarkStart w:id="297" w:name="_Toc184314473"/>
      <w:bookmarkEnd w:id="297"/>
      <w:bookmarkStart w:id="298" w:name="_Toc184308049"/>
      <w:bookmarkEnd w:id="298"/>
      <w:bookmarkStart w:id="299" w:name="_Toc184308078"/>
      <w:bookmarkEnd w:id="299"/>
      <w:bookmarkStart w:id="300" w:name="_Toc184308065"/>
      <w:bookmarkEnd w:id="300"/>
      <w:bookmarkStart w:id="301" w:name="_Toc184312116"/>
      <w:bookmarkEnd w:id="301"/>
      <w:bookmarkStart w:id="302" w:name="_Toc184308070"/>
      <w:bookmarkEnd w:id="302"/>
      <w:bookmarkStart w:id="303" w:name="_Toc184313246"/>
      <w:bookmarkEnd w:id="303"/>
      <w:bookmarkStart w:id="304" w:name="_Toc184308055"/>
      <w:bookmarkEnd w:id="304"/>
      <w:bookmarkStart w:id="305" w:name="_Toc184310311"/>
      <w:bookmarkEnd w:id="305"/>
      <w:bookmarkStart w:id="306" w:name="_Toc184310298"/>
      <w:bookmarkEnd w:id="306"/>
      <w:bookmarkStart w:id="307" w:name="_Toc184313271"/>
      <w:bookmarkEnd w:id="307"/>
      <w:bookmarkStart w:id="308" w:name="_Toc184310292"/>
      <w:bookmarkEnd w:id="308"/>
      <w:bookmarkStart w:id="309" w:name="_Toc184313277"/>
      <w:bookmarkEnd w:id="309"/>
      <w:bookmarkStart w:id="310" w:name="_Toc184313255"/>
      <w:bookmarkEnd w:id="310"/>
      <w:bookmarkStart w:id="311" w:name="_Toc184312100"/>
      <w:bookmarkEnd w:id="311"/>
      <w:bookmarkStart w:id="312" w:name="_Toc184308046"/>
      <w:bookmarkEnd w:id="312"/>
      <w:bookmarkStart w:id="313" w:name="_Toc184310279"/>
      <w:bookmarkEnd w:id="313"/>
      <w:bookmarkStart w:id="314" w:name="_Toc184314427"/>
      <w:bookmarkEnd w:id="314"/>
      <w:bookmarkStart w:id="315" w:name="_Toc184313293"/>
      <w:bookmarkEnd w:id="315"/>
      <w:bookmarkStart w:id="316" w:name="_Toc184314426"/>
      <w:bookmarkEnd w:id="316"/>
      <w:bookmarkStart w:id="317" w:name="_Toc184312087"/>
      <w:bookmarkEnd w:id="317"/>
      <w:bookmarkStart w:id="318" w:name="_Toc184312088"/>
      <w:bookmarkEnd w:id="318"/>
      <w:bookmarkStart w:id="319" w:name="_Toc184314436"/>
      <w:bookmarkEnd w:id="319"/>
      <w:bookmarkStart w:id="320" w:name="_Toc184314444"/>
      <w:bookmarkEnd w:id="320"/>
      <w:bookmarkStart w:id="321" w:name="_Toc184314471"/>
      <w:bookmarkEnd w:id="321"/>
      <w:bookmarkStart w:id="322" w:name="_Toc184308058"/>
      <w:bookmarkEnd w:id="322"/>
      <w:bookmarkStart w:id="323" w:name="_Toc184310341"/>
      <w:bookmarkEnd w:id="323"/>
      <w:bookmarkStart w:id="324" w:name="_Toc184314433"/>
      <w:bookmarkEnd w:id="324"/>
      <w:bookmarkStart w:id="325" w:name="_Toc184313282"/>
      <w:bookmarkEnd w:id="325"/>
      <w:bookmarkStart w:id="326" w:name="_Toc184310331"/>
      <w:bookmarkEnd w:id="326"/>
      <w:bookmarkStart w:id="327" w:name="_Toc184310327"/>
      <w:bookmarkEnd w:id="327"/>
      <w:bookmarkStart w:id="328" w:name="_Toc184308042"/>
      <w:bookmarkEnd w:id="328"/>
      <w:bookmarkStart w:id="329" w:name="_Toc184310338"/>
      <w:bookmarkEnd w:id="329"/>
      <w:bookmarkStart w:id="330" w:name="_Toc184310342"/>
      <w:bookmarkEnd w:id="330"/>
      <w:bookmarkStart w:id="331" w:name="_Toc184310335"/>
      <w:bookmarkEnd w:id="331"/>
      <w:bookmarkStart w:id="332" w:name="_Toc184313308"/>
      <w:bookmarkEnd w:id="332"/>
      <w:bookmarkStart w:id="333" w:name="_Toc184313303"/>
      <w:bookmarkEnd w:id="333"/>
      <w:bookmarkStart w:id="334" w:name="_Toc184310333"/>
      <w:bookmarkEnd w:id="334"/>
      <w:bookmarkStart w:id="335" w:name="_Toc184312076"/>
      <w:bookmarkEnd w:id="335"/>
      <w:bookmarkStart w:id="336" w:name="_Toc184314475"/>
      <w:bookmarkEnd w:id="336"/>
      <w:bookmarkStart w:id="337" w:name="_Toc184308099"/>
      <w:bookmarkEnd w:id="337"/>
      <w:bookmarkStart w:id="338" w:name="_Toc184314460"/>
      <w:bookmarkEnd w:id="338"/>
      <w:bookmarkStart w:id="339" w:name="_Toc184314462"/>
      <w:bookmarkEnd w:id="339"/>
      <w:bookmarkStart w:id="340" w:name="_Toc184313252"/>
      <w:bookmarkEnd w:id="340"/>
      <w:bookmarkStart w:id="341" w:name="_Toc184313284"/>
      <w:bookmarkEnd w:id="341"/>
      <w:bookmarkStart w:id="342" w:name="_Toc184308040"/>
      <w:bookmarkEnd w:id="342"/>
      <w:bookmarkStart w:id="343" w:name="_Toc184314466"/>
      <w:bookmarkEnd w:id="343"/>
      <w:bookmarkStart w:id="344" w:name="_Toc184308048"/>
      <w:bookmarkEnd w:id="344"/>
      <w:bookmarkStart w:id="345" w:name="_Toc184308076"/>
      <w:bookmarkEnd w:id="345"/>
      <w:bookmarkStart w:id="346" w:name="_Toc184310286"/>
      <w:bookmarkEnd w:id="346"/>
      <w:bookmarkStart w:id="347" w:name="_Toc184308051"/>
      <w:bookmarkEnd w:id="347"/>
      <w:bookmarkStart w:id="348" w:name="_Toc184312109"/>
      <w:bookmarkEnd w:id="348"/>
      <w:bookmarkStart w:id="349" w:name="_Toc184314441"/>
      <w:bookmarkEnd w:id="349"/>
      <w:bookmarkStart w:id="350" w:name="_Toc184310290"/>
      <w:bookmarkEnd w:id="350"/>
      <w:bookmarkStart w:id="351" w:name="_Toc184314477"/>
      <w:bookmarkEnd w:id="351"/>
      <w:bookmarkStart w:id="352" w:name="_Toc184312069"/>
      <w:bookmarkEnd w:id="352"/>
      <w:bookmarkStart w:id="353" w:name="_Toc184312118"/>
      <w:bookmarkEnd w:id="353"/>
      <w:bookmarkStart w:id="354" w:name="_Toc184313274"/>
      <w:bookmarkEnd w:id="354"/>
      <w:bookmarkStart w:id="355" w:name="_Toc184314480"/>
      <w:bookmarkEnd w:id="355"/>
      <w:bookmarkStart w:id="356" w:name="_Toc184310283"/>
      <w:bookmarkEnd w:id="356"/>
      <w:bookmarkStart w:id="357" w:name="_Toc184310326"/>
      <w:bookmarkEnd w:id="357"/>
      <w:bookmarkStart w:id="358" w:name="_Toc184314455"/>
      <w:bookmarkEnd w:id="358"/>
      <w:bookmarkStart w:id="359" w:name="_Toc184312073"/>
      <w:bookmarkEnd w:id="359"/>
      <w:bookmarkStart w:id="360" w:name="_Toc184312133"/>
      <w:bookmarkEnd w:id="360"/>
      <w:bookmarkStart w:id="361" w:name="_Toc184308074"/>
      <w:bookmarkEnd w:id="361"/>
      <w:bookmarkStart w:id="362" w:name="_Toc184312103"/>
      <w:bookmarkEnd w:id="362"/>
      <w:bookmarkStart w:id="363" w:name="_Toc184314421"/>
      <w:bookmarkEnd w:id="363"/>
      <w:bookmarkStart w:id="364" w:name="_Toc184314410"/>
      <w:bookmarkEnd w:id="364"/>
      <w:bookmarkStart w:id="365" w:name="_Toc184310328"/>
      <w:bookmarkEnd w:id="365"/>
      <w:bookmarkStart w:id="366" w:name="_Toc184308107"/>
      <w:bookmarkEnd w:id="366"/>
      <w:bookmarkStart w:id="367" w:name="_Toc184314412"/>
      <w:bookmarkEnd w:id="367"/>
      <w:bookmarkStart w:id="368" w:name="_Toc184313289"/>
      <w:bookmarkEnd w:id="368"/>
      <w:bookmarkStart w:id="369" w:name="_Toc184308088"/>
      <w:bookmarkEnd w:id="369"/>
      <w:bookmarkStart w:id="370" w:name="_Toc184308105"/>
      <w:bookmarkEnd w:id="370"/>
      <w:bookmarkStart w:id="371" w:name="_Toc184312089"/>
      <w:bookmarkEnd w:id="371"/>
      <w:bookmarkStart w:id="372" w:name="_Toc184313307"/>
      <w:bookmarkEnd w:id="372"/>
      <w:bookmarkStart w:id="373" w:name="_Toc184314464"/>
      <w:bookmarkEnd w:id="373"/>
      <w:bookmarkStart w:id="374" w:name="_Toc184314413"/>
      <w:bookmarkEnd w:id="374"/>
      <w:bookmarkStart w:id="375" w:name="_Toc184308079"/>
      <w:bookmarkEnd w:id="375"/>
      <w:bookmarkStart w:id="376" w:name="_Toc184313258"/>
      <w:bookmarkEnd w:id="376"/>
      <w:bookmarkStart w:id="377" w:name="_Toc184314435"/>
      <w:bookmarkEnd w:id="377"/>
      <w:bookmarkStart w:id="378" w:name="_Toc184308063"/>
      <w:bookmarkEnd w:id="378"/>
      <w:bookmarkStart w:id="379" w:name="_Toc184314416"/>
      <w:bookmarkEnd w:id="379"/>
      <w:bookmarkStart w:id="380" w:name="_Toc184310340"/>
      <w:bookmarkEnd w:id="380"/>
      <w:bookmarkStart w:id="381" w:name="_Toc184308047"/>
      <w:bookmarkEnd w:id="381"/>
      <w:bookmarkStart w:id="382" w:name="_Toc184313254"/>
      <w:bookmarkEnd w:id="382"/>
      <w:bookmarkStart w:id="383" w:name="_Toc184314438"/>
      <w:bookmarkEnd w:id="383"/>
      <w:bookmarkStart w:id="384" w:name="_Toc184314479"/>
      <w:bookmarkEnd w:id="384"/>
      <w:bookmarkStart w:id="385" w:name="_Toc184312135"/>
      <w:bookmarkEnd w:id="385"/>
      <w:bookmarkStart w:id="386" w:name="_Toc184313241"/>
      <w:bookmarkEnd w:id="386"/>
      <w:bookmarkStart w:id="387" w:name="_Toc184312132"/>
      <w:bookmarkEnd w:id="387"/>
      <w:bookmarkStart w:id="388" w:name="_Toc184310299"/>
      <w:bookmarkEnd w:id="388"/>
      <w:bookmarkStart w:id="389" w:name="_Toc184310305"/>
      <w:bookmarkEnd w:id="389"/>
      <w:bookmarkStart w:id="390" w:name="_Toc184313304"/>
      <w:bookmarkEnd w:id="390"/>
      <w:bookmarkStart w:id="391" w:name="_Toc184308036"/>
      <w:bookmarkEnd w:id="391"/>
      <w:bookmarkStart w:id="392" w:name="_Toc184308050"/>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038"/>
        <w:gridCol w:w="682"/>
        <w:gridCol w:w="1069"/>
        <w:gridCol w:w="1832"/>
      </w:tblGrid>
      <w:tr w14:paraId="3F57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3" w:type="dxa"/>
            <w:vAlign w:val="center"/>
          </w:tcPr>
          <w:p w14:paraId="686AD29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038" w:type="dxa"/>
            <w:vAlign w:val="center"/>
          </w:tcPr>
          <w:p w14:paraId="65F8DA5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682" w:type="dxa"/>
            <w:vAlign w:val="center"/>
          </w:tcPr>
          <w:p w14:paraId="1A919DB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1069" w:type="dxa"/>
            <w:vAlign w:val="center"/>
          </w:tcPr>
          <w:p w14:paraId="368DBCE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832" w:type="dxa"/>
            <w:vAlign w:val="top"/>
          </w:tcPr>
          <w:p w14:paraId="55C4F602">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7CEA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3" w:type="dxa"/>
            <w:vAlign w:val="center"/>
          </w:tcPr>
          <w:p w14:paraId="05C1222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038" w:type="dxa"/>
            <w:vAlign w:val="center"/>
          </w:tcPr>
          <w:p w14:paraId="501E68B9">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类似项目业绩：投标人自2022年1月1日起承担过类似项目业绩的，每个项目得0.5分，最高得1分。</w:t>
            </w:r>
          </w:p>
          <w:p w14:paraId="5B4448AA">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注：投标文件中须提供合同复印件，时间认定以合同签订时间为准；若合同中未能反映项目内容的，则须提供业主证明材料，否则不得分。</w:t>
            </w:r>
          </w:p>
        </w:tc>
        <w:tc>
          <w:tcPr>
            <w:tcW w:w="682" w:type="dxa"/>
            <w:vAlign w:val="center"/>
          </w:tcPr>
          <w:p w14:paraId="7644925E">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1</w:t>
            </w:r>
          </w:p>
        </w:tc>
        <w:tc>
          <w:tcPr>
            <w:tcW w:w="1069" w:type="dxa"/>
            <w:vAlign w:val="center"/>
          </w:tcPr>
          <w:p w14:paraId="57CDAA7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6742EF1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类似业绩</w:t>
            </w:r>
          </w:p>
        </w:tc>
      </w:tr>
      <w:tr w14:paraId="03BF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3" w:type="dxa"/>
            <w:vAlign w:val="center"/>
          </w:tcPr>
          <w:p w14:paraId="581B03B5">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038" w:type="dxa"/>
            <w:vAlign w:val="center"/>
          </w:tcPr>
          <w:p w14:paraId="55DB1781">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Times New Roman"/>
                <w:snapToGrid/>
                <w:color w:val="000000"/>
                <w:kern w:val="2"/>
                <w:sz w:val="24"/>
                <w:szCs w:val="24"/>
                <w:highlight w:val="none"/>
                <w:lang w:val="en-US" w:eastAsia="zh-CN" w:bidi="ar-SA"/>
              </w:rPr>
              <w:t>投</w:t>
            </w:r>
            <w:r>
              <w:rPr>
                <w:rFonts w:hint="eastAsia" w:ascii="仿宋" w:hAnsi="仿宋" w:eastAsia="仿宋" w:cs="仿宋"/>
                <w:color w:val="auto"/>
                <w:sz w:val="21"/>
                <w:szCs w:val="21"/>
                <w:highlight w:val="none"/>
                <w:lang w:val="en-US" w:eastAsia="zh-CN"/>
              </w:rPr>
              <w:t>标人具有质量管理体系认证证书、环境管理体系认证证书、职业健康安全管理体系认证证书、食品安全管理体系认证每个得2分，最高得8分。</w:t>
            </w:r>
          </w:p>
          <w:p w14:paraId="72510B69">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须提供有效期内的证书复印件或扫描件并加盖单位公章，不提供不得分。</w:t>
            </w:r>
          </w:p>
        </w:tc>
        <w:tc>
          <w:tcPr>
            <w:tcW w:w="682" w:type="dxa"/>
            <w:vAlign w:val="center"/>
          </w:tcPr>
          <w:p w14:paraId="79FABDAA">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8</w:t>
            </w:r>
          </w:p>
        </w:tc>
        <w:tc>
          <w:tcPr>
            <w:tcW w:w="1069" w:type="dxa"/>
            <w:vAlign w:val="center"/>
          </w:tcPr>
          <w:p w14:paraId="2B632DE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832" w:type="dxa"/>
            <w:vAlign w:val="center"/>
          </w:tcPr>
          <w:p w14:paraId="77FA63A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r>
      <w:tr w14:paraId="569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4CB9BD1F">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038" w:type="dxa"/>
            <w:vAlign w:val="center"/>
          </w:tcPr>
          <w:p w14:paraId="481D6AF7">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拟派厨师团队：</w:t>
            </w:r>
          </w:p>
          <w:p w14:paraId="1BE4F703">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（1）拟派“厨师长”：具有一级中式烹调师职业资格的得2分；</w:t>
            </w:r>
          </w:p>
          <w:p w14:paraId="13869512">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（2）拟派大灶厨师中具有三级中式烹调师职业资格及以上的每提供1本得1分，最高得2分。</w:t>
            </w:r>
          </w:p>
          <w:p w14:paraId="583E244A">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须提供职称证书复印件或扫描件，及其在投标单位的近一个月社保缴纳记录[落款时间在本项目招标公告发布之日（含发布之日）后社保部门出具的单位或个人社保证明]复制件，以上材料均需加盖单位公章，不符合要求或未提供的不得分。</w:t>
            </w:r>
          </w:p>
        </w:tc>
        <w:tc>
          <w:tcPr>
            <w:tcW w:w="682" w:type="dxa"/>
            <w:vAlign w:val="center"/>
          </w:tcPr>
          <w:p w14:paraId="6EF9FDF9">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4</w:t>
            </w:r>
          </w:p>
        </w:tc>
        <w:tc>
          <w:tcPr>
            <w:tcW w:w="1069" w:type="dxa"/>
            <w:vAlign w:val="center"/>
          </w:tcPr>
          <w:p w14:paraId="64C3279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832" w:type="dxa"/>
            <w:vAlign w:val="center"/>
          </w:tcPr>
          <w:p w14:paraId="0677C12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拟派厨师团队人员安排情况</w:t>
            </w:r>
          </w:p>
        </w:tc>
      </w:tr>
      <w:tr w14:paraId="2E91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73" w:type="dxa"/>
            <w:vAlign w:val="center"/>
          </w:tcPr>
          <w:p w14:paraId="2F7D93E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038" w:type="dxa"/>
            <w:vAlign w:val="center"/>
          </w:tcPr>
          <w:p w14:paraId="19EC4CAE">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拟派服务团队人员中具有食品安全管理员证的每一人得1分，最多得1分。不提供不得分。</w:t>
            </w:r>
          </w:p>
          <w:p w14:paraId="55817ED5">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拟派服务团队人员中具有高级营养师职业资格证书的每一人得1分，最多得1分。不提供不得分。</w:t>
            </w:r>
          </w:p>
          <w:p w14:paraId="7A7A422E">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拟派人员中具有健康管理师资格证书的每一人得1分，最多得1分。不提供不得分。</w:t>
            </w:r>
          </w:p>
          <w:p w14:paraId="3E4DDEFE">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拟派团队人员中具有健康证且健康证在有效期内的得1分，少1本或其中有失效的不得分。</w:t>
            </w:r>
          </w:p>
          <w:p w14:paraId="3AFD1FCA">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须提相应的证书复印件或扫描件，以上材料均需加盖单位公章，不符合要求或未提供的不得分。</w:t>
            </w:r>
          </w:p>
        </w:tc>
        <w:tc>
          <w:tcPr>
            <w:tcW w:w="682" w:type="dxa"/>
            <w:vAlign w:val="center"/>
          </w:tcPr>
          <w:p w14:paraId="0A3489AA">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4</w:t>
            </w:r>
          </w:p>
        </w:tc>
        <w:tc>
          <w:tcPr>
            <w:tcW w:w="1069" w:type="dxa"/>
            <w:vAlign w:val="center"/>
          </w:tcPr>
          <w:p w14:paraId="210D8E9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客观分</w:t>
            </w:r>
          </w:p>
        </w:tc>
        <w:tc>
          <w:tcPr>
            <w:tcW w:w="1832" w:type="dxa"/>
            <w:vAlign w:val="center"/>
          </w:tcPr>
          <w:p w14:paraId="4FC828E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拟派服务团队人员安排情况</w:t>
            </w:r>
          </w:p>
        </w:tc>
      </w:tr>
      <w:tr w14:paraId="5DF3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3" w:type="dxa"/>
            <w:vAlign w:val="center"/>
          </w:tcPr>
          <w:p w14:paraId="13093B15">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038" w:type="dxa"/>
            <w:vAlign w:val="center"/>
          </w:tcPr>
          <w:p w14:paraId="05F1D08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投标人提供的服务质量控制方案</w:t>
            </w:r>
            <w:r>
              <w:rPr>
                <w:rFonts w:hint="eastAsia" w:ascii="仿宋" w:hAnsi="仿宋" w:eastAsia="仿宋" w:cs="仿宋"/>
                <w:color w:val="auto"/>
                <w:kern w:val="2"/>
                <w:sz w:val="21"/>
                <w:szCs w:val="21"/>
                <w:highlight w:val="none"/>
                <w:lang w:val="en-US" w:eastAsia="zh-CN" w:bidi="ar-SA"/>
              </w:rPr>
              <w:t>完整、科学合理的得4分；</w:t>
            </w:r>
            <w:r>
              <w:rPr>
                <w:rFonts w:hint="eastAsia" w:ascii="仿宋" w:hAnsi="仿宋" w:eastAsia="仿宋" w:cs="仿宋"/>
                <w:color w:val="auto"/>
                <w:sz w:val="21"/>
                <w:szCs w:val="21"/>
                <w:highlight w:val="none"/>
                <w:lang w:val="en-US" w:eastAsia="zh-CN"/>
              </w:rPr>
              <w:t>投标人提供的服务质量控制方案</w:t>
            </w:r>
            <w:r>
              <w:rPr>
                <w:rFonts w:hint="eastAsia" w:ascii="仿宋" w:hAnsi="仿宋" w:eastAsia="仿宋" w:cs="仿宋"/>
                <w:color w:val="auto"/>
                <w:kern w:val="2"/>
                <w:sz w:val="21"/>
                <w:szCs w:val="21"/>
                <w:highlight w:val="none"/>
                <w:lang w:val="en-US" w:eastAsia="zh-CN" w:bidi="ar-SA"/>
              </w:rPr>
              <w:t>较为完整、科学合理性较好的得2分；</w:t>
            </w:r>
            <w:r>
              <w:rPr>
                <w:rFonts w:hint="eastAsia" w:ascii="仿宋" w:hAnsi="仿宋" w:eastAsia="仿宋" w:cs="仿宋"/>
                <w:color w:val="auto"/>
                <w:sz w:val="21"/>
                <w:szCs w:val="21"/>
                <w:highlight w:val="none"/>
                <w:lang w:val="en-US" w:eastAsia="zh-CN"/>
              </w:rPr>
              <w:t>投标人提供的服务质量控制方案</w:t>
            </w:r>
            <w:r>
              <w:rPr>
                <w:rFonts w:hint="eastAsia" w:ascii="仿宋" w:hAnsi="仿宋" w:eastAsia="仿宋" w:cs="仿宋"/>
                <w:color w:val="auto"/>
                <w:kern w:val="2"/>
                <w:sz w:val="21"/>
                <w:szCs w:val="21"/>
                <w:highlight w:val="none"/>
                <w:lang w:val="en-US" w:eastAsia="zh-CN" w:bidi="ar-SA"/>
              </w:rPr>
              <w:t>不够完整、科学合理性一般的得1分；</w:t>
            </w:r>
            <w:r>
              <w:rPr>
                <w:rFonts w:hint="eastAsia" w:ascii="仿宋" w:hAnsi="仿宋" w:eastAsia="仿宋" w:cs="仿宋"/>
                <w:color w:val="auto"/>
                <w:sz w:val="21"/>
                <w:szCs w:val="21"/>
                <w:highlight w:val="none"/>
                <w:lang w:val="en-US" w:eastAsia="zh-CN"/>
              </w:rPr>
              <w:t>投标人提供的服务质量控制方案</w:t>
            </w:r>
            <w:r>
              <w:rPr>
                <w:rFonts w:hint="eastAsia" w:ascii="仿宋" w:hAnsi="仿宋" w:eastAsia="仿宋" w:cs="仿宋"/>
                <w:color w:val="auto"/>
                <w:kern w:val="2"/>
                <w:sz w:val="21"/>
                <w:szCs w:val="21"/>
                <w:highlight w:val="none"/>
                <w:lang w:val="en-US" w:eastAsia="zh-CN" w:bidi="ar-SA"/>
              </w:rPr>
              <w:t>明显不足、科学合理性差的或未提供相关内容的不得分。</w:t>
            </w:r>
          </w:p>
        </w:tc>
        <w:tc>
          <w:tcPr>
            <w:tcW w:w="682" w:type="dxa"/>
            <w:vAlign w:val="center"/>
          </w:tcPr>
          <w:p w14:paraId="025CD26E">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4</w:t>
            </w:r>
          </w:p>
        </w:tc>
        <w:tc>
          <w:tcPr>
            <w:tcW w:w="1069" w:type="dxa"/>
            <w:vAlign w:val="center"/>
          </w:tcPr>
          <w:p w14:paraId="4D5AFCB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832" w:type="dxa"/>
            <w:vAlign w:val="center"/>
          </w:tcPr>
          <w:p w14:paraId="3272340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服务质量控制方案</w:t>
            </w:r>
          </w:p>
        </w:tc>
      </w:tr>
      <w:tr w14:paraId="6913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408B5AF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038" w:type="dxa"/>
            <w:vAlign w:val="center"/>
          </w:tcPr>
          <w:p w14:paraId="75CC9839">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根据投标人提供的食品保存管理方案，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强，计划安排科学合理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根据投标人提供的食品保存管理方案，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根据投标人提供的食品保存管理方案，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w:t>
            </w:r>
            <w:r>
              <w:rPr>
                <w:rFonts w:hint="eastAsia" w:ascii="仿宋" w:hAnsi="仿宋" w:eastAsia="仿宋" w:cs="仿宋"/>
                <w:color w:val="auto"/>
                <w:sz w:val="21"/>
                <w:szCs w:val="21"/>
                <w:highlight w:val="none"/>
              </w:rPr>
              <w:t>，制定工作方案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分；方案不合理或未提供方案不得分。</w:t>
            </w:r>
          </w:p>
        </w:tc>
        <w:tc>
          <w:tcPr>
            <w:tcW w:w="682" w:type="dxa"/>
            <w:vAlign w:val="center"/>
          </w:tcPr>
          <w:p w14:paraId="5B778CDD">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069" w:type="dxa"/>
            <w:vAlign w:val="center"/>
          </w:tcPr>
          <w:p w14:paraId="7EA8D62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026F1127">
            <w:pPr>
              <w:keepNext w:val="0"/>
              <w:keepLines w:val="0"/>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食品保存管理方案</w:t>
            </w:r>
          </w:p>
        </w:tc>
      </w:tr>
      <w:tr w14:paraId="713F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5116EF0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038" w:type="dxa"/>
            <w:vAlign w:val="center"/>
          </w:tcPr>
          <w:p w14:paraId="4CF38B8C">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根据投标人提供的原材料使用方案，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强，计划安排科学合理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根据投标人提供的原材料使用方案，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根据投标人提供的原材料使用方案，</w:t>
            </w:r>
            <w:r>
              <w:rPr>
                <w:rFonts w:hint="eastAsia" w:ascii="仿宋" w:hAnsi="仿宋" w:eastAsia="仿宋" w:cs="仿宋"/>
                <w:color w:val="auto"/>
                <w:sz w:val="21"/>
                <w:szCs w:val="21"/>
                <w:highlight w:val="none"/>
              </w:rPr>
              <w:t>切合本项目采购需求，操作性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w:t>
            </w:r>
            <w:r>
              <w:rPr>
                <w:rFonts w:hint="eastAsia" w:ascii="仿宋" w:hAnsi="仿宋" w:eastAsia="仿宋" w:cs="仿宋"/>
                <w:color w:val="auto"/>
                <w:sz w:val="21"/>
                <w:szCs w:val="21"/>
                <w:highlight w:val="none"/>
              </w:rPr>
              <w:t>，制定工作方案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w:t>
            </w:r>
            <w:r>
              <w:rPr>
                <w:rFonts w:hint="eastAsia" w:ascii="仿宋" w:hAnsi="仿宋" w:eastAsia="仿宋" w:cs="仿宋"/>
                <w:color w:val="auto"/>
                <w:kern w:val="2"/>
                <w:sz w:val="21"/>
                <w:szCs w:val="21"/>
                <w:highlight w:val="none"/>
                <w:lang w:val="en-US" w:eastAsia="zh-CN" w:bidi="ar-SA"/>
              </w:rPr>
              <w:t>或未提供相关内容的不得分。</w:t>
            </w:r>
          </w:p>
        </w:tc>
        <w:tc>
          <w:tcPr>
            <w:tcW w:w="682" w:type="dxa"/>
            <w:vAlign w:val="center"/>
          </w:tcPr>
          <w:p w14:paraId="6D164C3F">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069" w:type="dxa"/>
            <w:vAlign w:val="center"/>
          </w:tcPr>
          <w:p w14:paraId="34F4453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3198A8C1">
            <w:pPr>
              <w:keepNext w:val="0"/>
              <w:keepLines w:val="0"/>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原材料使用方案</w:t>
            </w:r>
          </w:p>
        </w:tc>
      </w:tr>
      <w:tr w14:paraId="1BE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3" w:type="dxa"/>
            <w:vAlign w:val="center"/>
          </w:tcPr>
          <w:p w14:paraId="1BC35B3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038" w:type="dxa"/>
            <w:vAlign w:val="center"/>
          </w:tcPr>
          <w:p w14:paraId="26D4AABC">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餐饮服务食品安全管理五常法在食堂管理中的运用方案完整、全面的得5分；餐饮服务食品安全管理五常法在食堂管理中的运用方案较为完整、全面的得3分；餐饮服务食品安全管理五常法在食堂管理中的运用方案完整性全面性一般的得1分；</w:t>
            </w:r>
            <w:r>
              <w:rPr>
                <w:rFonts w:hint="eastAsia" w:ascii="仿宋" w:hAnsi="仿宋" w:eastAsia="仿宋" w:cs="仿宋"/>
                <w:color w:val="auto"/>
                <w:sz w:val="21"/>
                <w:szCs w:val="21"/>
                <w:highlight w:val="none"/>
              </w:rPr>
              <w:t>方案不合理或</w:t>
            </w:r>
            <w:r>
              <w:rPr>
                <w:rFonts w:hint="eastAsia" w:ascii="仿宋" w:hAnsi="仿宋" w:eastAsia="仿宋" w:cs="仿宋"/>
                <w:color w:val="auto"/>
                <w:kern w:val="2"/>
                <w:sz w:val="21"/>
                <w:szCs w:val="21"/>
                <w:highlight w:val="none"/>
                <w:lang w:val="en-US" w:eastAsia="zh-CN" w:bidi="ar-SA"/>
              </w:rPr>
              <w:t>或未提供相关内容的不得分。</w:t>
            </w:r>
          </w:p>
        </w:tc>
        <w:tc>
          <w:tcPr>
            <w:tcW w:w="682" w:type="dxa"/>
            <w:vAlign w:val="center"/>
          </w:tcPr>
          <w:p w14:paraId="6F7E2307">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069" w:type="dxa"/>
            <w:vAlign w:val="center"/>
          </w:tcPr>
          <w:p w14:paraId="103750B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1007B923">
            <w:pPr>
              <w:keepNext w:val="0"/>
              <w:keepLines w:val="0"/>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餐饮服务食品安全管理五常法运用方案</w:t>
            </w:r>
          </w:p>
        </w:tc>
      </w:tr>
      <w:tr w14:paraId="33A7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73" w:type="dxa"/>
            <w:vAlign w:val="center"/>
          </w:tcPr>
          <w:p w14:paraId="27EBB9C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038" w:type="dxa"/>
            <w:vAlign w:val="center"/>
          </w:tcPr>
          <w:p w14:paraId="3C419D16">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为保持食物口味多样性，主要人员（厨师）合理轮换方案的可行、合理</w:t>
            </w:r>
            <w:r>
              <w:rPr>
                <w:rFonts w:hint="eastAsia" w:ascii="仿宋" w:hAnsi="仿宋" w:eastAsia="仿宋" w:cs="仿宋"/>
                <w:color w:val="auto"/>
                <w:kern w:val="2"/>
                <w:sz w:val="21"/>
                <w:szCs w:val="21"/>
                <w:highlight w:val="none"/>
                <w:lang w:val="en-US" w:eastAsia="zh-CN" w:bidi="ar-SA"/>
              </w:rPr>
              <w:t>的得5分；</w:t>
            </w:r>
            <w:r>
              <w:rPr>
                <w:rFonts w:hint="default" w:ascii="仿宋" w:hAnsi="仿宋" w:eastAsia="仿宋" w:cs="仿宋"/>
                <w:color w:val="auto"/>
                <w:kern w:val="2"/>
                <w:sz w:val="21"/>
                <w:szCs w:val="21"/>
                <w:highlight w:val="none"/>
                <w:lang w:val="en-US" w:eastAsia="zh-CN" w:bidi="ar-SA"/>
              </w:rPr>
              <w:t>主要人员（厨师）合理轮换方案的</w:t>
            </w:r>
            <w:r>
              <w:rPr>
                <w:rFonts w:hint="eastAsia" w:ascii="仿宋" w:hAnsi="仿宋" w:eastAsia="仿宋" w:cs="仿宋"/>
                <w:color w:val="auto"/>
                <w:kern w:val="2"/>
                <w:sz w:val="21"/>
                <w:szCs w:val="21"/>
                <w:highlight w:val="none"/>
                <w:lang w:val="en-US" w:eastAsia="zh-CN" w:bidi="ar-SA"/>
              </w:rPr>
              <w:t>较为</w:t>
            </w:r>
            <w:r>
              <w:rPr>
                <w:rFonts w:hint="default" w:ascii="仿宋" w:hAnsi="仿宋" w:eastAsia="仿宋" w:cs="仿宋"/>
                <w:color w:val="auto"/>
                <w:kern w:val="2"/>
                <w:sz w:val="21"/>
                <w:szCs w:val="21"/>
                <w:highlight w:val="none"/>
                <w:lang w:val="en-US" w:eastAsia="zh-CN" w:bidi="ar-SA"/>
              </w:rPr>
              <w:t>可行、合理</w:t>
            </w:r>
            <w:r>
              <w:rPr>
                <w:rFonts w:hint="eastAsia" w:ascii="仿宋" w:hAnsi="仿宋" w:eastAsia="仿宋" w:cs="仿宋"/>
                <w:color w:val="auto"/>
                <w:kern w:val="2"/>
                <w:sz w:val="21"/>
                <w:szCs w:val="21"/>
                <w:highlight w:val="none"/>
                <w:lang w:val="en-US" w:eastAsia="zh-CN" w:bidi="ar-SA"/>
              </w:rPr>
              <w:t>的得3分；</w:t>
            </w:r>
            <w:r>
              <w:rPr>
                <w:rFonts w:hint="default" w:ascii="仿宋" w:hAnsi="仿宋" w:eastAsia="仿宋" w:cs="仿宋"/>
                <w:color w:val="auto"/>
                <w:kern w:val="2"/>
                <w:sz w:val="21"/>
                <w:szCs w:val="21"/>
                <w:highlight w:val="none"/>
                <w:lang w:val="en-US" w:eastAsia="zh-CN" w:bidi="ar-SA"/>
              </w:rPr>
              <w:t>主要人员（厨师）合理轮换方案的可行、合理</w:t>
            </w:r>
            <w:r>
              <w:rPr>
                <w:rFonts w:hint="eastAsia" w:ascii="仿宋" w:hAnsi="仿宋" w:eastAsia="仿宋" w:cs="仿宋"/>
                <w:color w:val="auto"/>
                <w:kern w:val="2"/>
                <w:sz w:val="21"/>
                <w:szCs w:val="21"/>
                <w:highlight w:val="none"/>
                <w:lang w:val="en-US" w:eastAsia="zh-CN" w:bidi="ar-SA"/>
              </w:rPr>
              <w:t>性一般的得1分；方案不够可行合理或未提供相关内容的不得分。</w:t>
            </w:r>
          </w:p>
        </w:tc>
        <w:tc>
          <w:tcPr>
            <w:tcW w:w="682" w:type="dxa"/>
            <w:vAlign w:val="center"/>
          </w:tcPr>
          <w:p w14:paraId="7BC5C2B2">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60B1DA2C">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1DEBEBC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主要人员（厨师）合理轮换方案</w:t>
            </w:r>
          </w:p>
        </w:tc>
      </w:tr>
      <w:tr w14:paraId="7D61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73" w:type="dxa"/>
            <w:vAlign w:val="center"/>
          </w:tcPr>
          <w:p w14:paraId="1861775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038" w:type="dxa"/>
            <w:vAlign w:val="center"/>
          </w:tcPr>
          <w:p w14:paraId="3A5F352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根据投标人提供的特色服务方案，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根据投标人提供的特色服务方案，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根据投标人提供的特色服务方案，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可行性一般的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建议不合理或未提供合理化建议的不得分。</w:t>
            </w:r>
          </w:p>
        </w:tc>
        <w:tc>
          <w:tcPr>
            <w:tcW w:w="682" w:type="dxa"/>
            <w:vAlign w:val="center"/>
          </w:tcPr>
          <w:p w14:paraId="3F738B5A">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71DF5E1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0F3EBBE9">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特色服务方案</w:t>
            </w:r>
          </w:p>
        </w:tc>
      </w:tr>
    </w:tbl>
    <w:p w14:paraId="4A65F3E4"/>
    <w:p w14:paraId="24ED14AB">
      <w:pPr>
        <w:pStyle w:val="2"/>
      </w:pPr>
    </w:p>
    <w:tbl>
      <w:tblPr>
        <w:tblStyle w:val="63"/>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038"/>
        <w:gridCol w:w="682"/>
        <w:gridCol w:w="1069"/>
        <w:gridCol w:w="1832"/>
      </w:tblGrid>
      <w:tr w14:paraId="456E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573" w:type="dxa"/>
            <w:vAlign w:val="center"/>
          </w:tcPr>
          <w:p w14:paraId="136CE57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038" w:type="dxa"/>
            <w:vAlign w:val="center"/>
          </w:tcPr>
          <w:p w14:paraId="09B42B7D">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根据投标人提供的食堂管理制度及管理方案，</w:t>
            </w:r>
            <w:r>
              <w:rPr>
                <w:rFonts w:hint="eastAsia" w:ascii="仿宋" w:hAnsi="仿宋" w:eastAsia="仿宋" w:cs="仿宋"/>
                <w:color w:val="auto"/>
                <w:sz w:val="21"/>
                <w:szCs w:val="21"/>
                <w:highlight w:val="none"/>
              </w:rPr>
              <w:t>切合本项目采购需求，针对性、操作性强，计划安排科学合理，制定工作方案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根据投标人提供的食堂管理制度及管理方案，等</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根据投标人提供的食堂管理制度及管理方案，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w:t>
            </w:r>
            <w:r>
              <w:rPr>
                <w:rFonts w:hint="eastAsia" w:ascii="仿宋" w:hAnsi="仿宋" w:eastAsia="仿宋" w:cs="仿宋"/>
                <w:color w:val="auto"/>
                <w:sz w:val="21"/>
                <w:szCs w:val="21"/>
                <w:highlight w:val="none"/>
              </w:rPr>
              <w:t>，制定工作方案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w:t>
            </w:r>
            <w:r>
              <w:rPr>
                <w:rFonts w:hint="eastAsia" w:ascii="仿宋" w:hAnsi="仿宋" w:eastAsia="仿宋" w:cs="仿宋"/>
                <w:color w:val="auto"/>
                <w:kern w:val="2"/>
                <w:sz w:val="21"/>
                <w:szCs w:val="21"/>
                <w:highlight w:val="none"/>
                <w:lang w:val="en-US" w:eastAsia="zh-CN" w:bidi="ar-SA"/>
              </w:rPr>
              <w:t>或未提供相关内容的不得分。</w:t>
            </w:r>
          </w:p>
        </w:tc>
        <w:tc>
          <w:tcPr>
            <w:tcW w:w="682" w:type="dxa"/>
            <w:vAlign w:val="center"/>
          </w:tcPr>
          <w:p w14:paraId="300DA0BA">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64482A2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7F2DC6DE">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食堂管理制度及方案</w:t>
            </w:r>
          </w:p>
        </w:tc>
      </w:tr>
      <w:tr w14:paraId="0415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3911592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038" w:type="dxa"/>
            <w:vAlign w:val="center"/>
          </w:tcPr>
          <w:p w14:paraId="339EDB4E">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根据投标人提供的投诉处理方案，</w:t>
            </w:r>
            <w:r>
              <w:rPr>
                <w:rFonts w:hint="eastAsia" w:ascii="仿宋" w:hAnsi="仿宋" w:eastAsia="仿宋" w:cs="仿宋"/>
                <w:color w:val="auto"/>
                <w:sz w:val="21"/>
                <w:szCs w:val="21"/>
                <w:highlight w:val="none"/>
              </w:rPr>
              <w:t>切合本项目采购需求，针对性、操作性强，计划安排科学合理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根据投标人提供的投诉处理方案，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根据投标人提供的投诉处理方案，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w:t>
            </w:r>
            <w:r>
              <w:rPr>
                <w:rFonts w:hint="eastAsia" w:ascii="仿宋" w:hAnsi="仿宋" w:eastAsia="仿宋" w:cs="仿宋"/>
                <w:color w:val="auto"/>
                <w:sz w:val="21"/>
                <w:szCs w:val="21"/>
                <w:highlight w:val="none"/>
              </w:rPr>
              <w:t>，制定工作方案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分；方案不合理或未提供方案不得分。</w:t>
            </w:r>
          </w:p>
        </w:tc>
        <w:tc>
          <w:tcPr>
            <w:tcW w:w="682" w:type="dxa"/>
            <w:vAlign w:val="center"/>
          </w:tcPr>
          <w:p w14:paraId="155B6E5D">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318C515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508E5C8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投诉处理方案</w:t>
            </w:r>
          </w:p>
        </w:tc>
      </w:tr>
      <w:tr w14:paraId="512A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73" w:type="dxa"/>
            <w:vAlign w:val="center"/>
          </w:tcPr>
          <w:p w14:paraId="062F8205">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6038" w:type="dxa"/>
            <w:vAlign w:val="center"/>
          </w:tcPr>
          <w:p w14:paraId="583E09BB">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根据投标人提供的员工培训方案，</w:t>
            </w:r>
            <w:r>
              <w:rPr>
                <w:rFonts w:hint="eastAsia" w:ascii="仿宋" w:hAnsi="仿宋" w:eastAsia="仿宋" w:cs="仿宋"/>
                <w:color w:val="auto"/>
                <w:sz w:val="21"/>
                <w:szCs w:val="21"/>
                <w:highlight w:val="none"/>
              </w:rPr>
              <w:t>切合本项目采购需求，</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强，计划安排科学合理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根据投标人提供的员工培训方案，</w:t>
            </w:r>
            <w:r>
              <w:rPr>
                <w:rFonts w:hint="eastAsia" w:ascii="仿宋" w:hAnsi="仿宋" w:eastAsia="仿宋" w:cs="仿宋"/>
                <w:color w:val="auto"/>
                <w:sz w:val="21"/>
                <w:szCs w:val="21"/>
                <w:highlight w:val="none"/>
              </w:rPr>
              <w:t>切合本项目采购需求，</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根据投标人提供的员工培训方案，</w:t>
            </w:r>
            <w:r>
              <w:rPr>
                <w:rFonts w:hint="eastAsia" w:ascii="仿宋" w:hAnsi="仿宋" w:eastAsia="仿宋" w:cs="仿宋"/>
                <w:color w:val="auto"/>
                <w:sz w:val="21"/>
                <w:szCs w:val="21"/>
                <w:highlight w:val="none"/>
              </w:rPr>
              <w:t>切合本项目采购需求，</w:t>
            </w:r>
            <w:r>
              <w:rPr>
                <w:rFonts w:hint="eastAsia" w:ascii="仿宋" w:hAnsi="仿宋" w:eastAsia="仿宋" w:cs="仿宋"/>
                <w:color w:val="auto"/>
                <w:sz w:val="21"/>
                <w:szCs w:val="21"/>
                <w:highlight w:val="none"/>
                <w:lang w:val="en-US" w:eastAsia="zh-CN"/>
              </w:rPr>
              <w:t>可行性一般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w:t>
            </w:r>
            <w:r>
              <w:rPr>
                <w:rFonts w:hint="eastAsia" w:ascii="仿宋" w:hAnsi="仿宋" w:eastAsia="仿宋" w:cs="仿宋"/>
                <w:color w:val="auto"/>
                <w:sz w:val="21"/>
                <w:szCs w:val="21"/>
                <w:highlight w:val="none"/>
              </w:rPr>
              <w:t>，制定工作方案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分；方案不合理或未提供方案不得分。</w:t>
            </w:r>
          </w:p>
        </w:tc>
        <w:tc>
          <w:tcPr>
            <w:tcW w:w="682" w:type="dxa"/>
            <w:vAlign w:val="center"/>
          </w:tcPr>
          <w:p w14:paraId="7CFFC73E">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09F06F1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5F7C68A7">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员工培训方案</w:t>
            </w:r>
          </w:p>
        </w:tc>
      </w:tr>
      <w:tr w14:paraId="333F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51A5E94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038" w:type="dxa"/>
            <w:vAlign w:val="center"/>
          </w:tcPr>
          <w:p w14:paraId="014E45A7">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拟投入本项目人员团队</w:t>
            </w:r>
            <w:r>
              <w:rPr>
                <w:rFonts w:hint="eastAsia" w:ascii="仿宋" w:hAnsi="仿宋" w:eastAsia="仿宋" w:cs="仿宋"/>
                <w:color w:val="auto"/>
                <w:kern w:val="2"/>
                <w:sz w:val="21"/>
                <w:szCs w:val="21"/>
                <w:highlight w:val="none"/>
                <w:lang w:val="en-US" w:eastAsia="zh-CN" w:bidi="ar-SA"/>
              </w:rPr>
              <w:t>人员岗位安排分配，包括人员数量、配备合理，各岗位的配置和劳动力的投入满足工作量要求的得5分；</w:t>
            </w:r>
            <w:r>
              <w:rPr>
                <w:rFonts w:hint="eastAsia" w:ascii="仿宋" w:hAnsi="仿宋" w:eastAsia="仿宋" w:cs="仿宋"/>
                <w:color w:val="auto"/>
                <w:sz w:val="21"/>
                <w:szCs w:val="21"/>
                <w:highlight w:val="none"/>
                <w:lang w:val="en-US" w:eastAsia="zh-CN"/>
              </w:rPr>
              <w:t>拟投入本项目人员团队</w:t>
            </w:r>
            <w:r>
              <w:rPr>
                <w:rFonts w:hint="eastAsia" w:ascii="仿宋" w:hAnsi="仿宋" w:eastAsia="仿宋" w:cs="仿宋"/>
                <w:color w:val="auto"/>
                <w:kern w:val="2"/>
                <w:sz w:val="21"/>
                <w:szCs w:val="21"/>
                <w:highlight w:val="none"/>
                <w:lang w:val="en-US" w:eastAsia="zh-CN" w:bidi="ar-SA"/>
              </w:rPr>
              <w:t>人员岗位安排分配，包括人员数量、配备较合理，各岗位的配置和劳动力的投入较满足工作量要求的得3分；</w:t>
            </w:r>
            <w:r>
              <w:rPr>
                <w:rFonts w:hint="eastAsia" w:ascii="仿宋" w:hAnsi="仿宋" w:eastAsia="仿宋" w:cs="仿宋"/>
                <w:color w:val="auto"/>
                <w:sz w:val="21"/>
                <w:szCs w:val="21"/>
                <w:highlight w:val="none"/>
                <w:lang w:val="en-US" w:eastAsia="zh-CN"/>
              </w:rPr>
              <w:t>拟投入本项目人员团队</w:t>
            </w:r>
            <w:r>
              <w:rPr>
                <w:rFonts w:hint="eastAsia" w:ascii="仿宋" w:hAnsi="仿宋" w:eastAsia="仿宋" w:cs="仿宋"/>
                <w:color w:val="auto"/>
                <w:kern w:val="2"/>
                <w:sz w:val="21"/>
                <w:szCs w:val="21"/>
                <w:highlight w:val="none"/>
                <w:lang w:val="en-US" w:eastAsia="zh-CN" w:bidi="ar-SA"/>
              </w:rPr>
              <w:t>人员岗位安排分配，包括人员数量、配备合理性一般，各岗位的配置和劳动力的投入基本满足工作量要求的得1分；</w:t>
            </w:r>
            <w:r>
              <w:rPr>
                <w:rFonts w:hint="eastAsia" w:ascii="仿宋" w:hAnsi="仿宋" w:eastAsia="仿宋" w:cs="仿宋"/>
                <w:color w:val="auto"/>
                <w:sz w:val="21"/>
                <w:szCs w:val="21"/>
                <w:highlight w:val="none"/>
              </w:rPr>
              <w:t>方案不合理或未提供方案不得分。</w:t>
            </w:r>
          </w:p>
        </w:tc>
        <w:tc>
          <w:tcPr>
            <w:tcW w:w="682" w:type="dxa"/>
            <w:vAlign w:val="center"/>
          </w:tcPr>
          <w:p w14:paraId="69C6D548">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40BEAFC4">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主观分</w:t>
            </w:r>
          </w:p>
        </w:tc>
        <w:tc>
          <w:tcPr>
            <w:tcW w:w="1832" w:type="dxa"/>
            <w:vAlign w:val="center"/>
          </w:tcPr>
          <w:p w14:paraId="53F0CFE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拟投入本项目人员</w:t>
            </w:r>
            <w:r>
              <w:rPr>
                <w:rFonts w:hint="eastAsia" w:ascii="仿宋" w:hAnsi="仿宋" w:eastAsia="仿宋" w:cs="仿宋"/>
                <w:color w:val="auto"/>
                <w:kern w:val="2"/>
                <w:sz w:val="21"/>
                <w:szCs w:val="21"/>
                <w:highlight w:val="none"/>
                <w:lang w:val="en-US" w:eastAsia="zh-CN" w:bidi="ar-SA"/>
              </w:rPr>
              <w:t>岗位安排分配情况</w:t>
            </w:r>
          </w:p>
        </w:tc>
      </w:tr>
      <w:tr w14:paraId="313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3" w:type="dxa"/>
            <w:vAlign w:val="center"/>
          </w:tcPr>
          <w:p w14:paraId="1B7BEB81">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038" w:type="dxa"/>
            <w:vAlign w:val="center"/>
          </w:tcPr>
          <w:p w14:paraId="6C3F2AC5">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根据投标人提供的事故应急处理预案，</w:t>
            </w:r>
            <w:r>
              <w:rPr>
                <w:rFonts w:hint="eastAsia" w:ascii="仿宋" w:hAnsi="仿宋" w:eastAsia="仿宋" w:cs="仿宋"/>
                <w:color w:val="auto"/>
                <w:sz w:val="21"/>
                <w:szCs w:val="21"/>
                <w:highlight w:val="none"/>
              </w:rPr>
              <w:t>切合本项目采购需求，针对性、操作性强，</w:t>
            </w:r>
            <w:r>
              <w:rPr>
                <w:rFonts w:hint="eastAsia" w:ascii="仿宋" w:hAnsi="仿宋" w:eastAsia="仿宋" w:cs="仿宋"/>
                <w:color w:val="auto"/>
                <w:sz w:val="21"/>
                <w:szCs w:val="21"/>
                <w:highlight w:val="none"/>
                <w:lang w:val="en-US" w:eastAsia="zh-CN"/>
              </w:rPr>
              <w:t>安全可行，</w:t>
            </w:r>
            <w:r>
              <w:rPr>
                <w:rFonts w:hint="eastAsia" w:ascii="仿宋" w:hAnsi="仿宋" w:eastAsia="仿宋" w:cs="仿宋"/>
                <w:color w:val="auto"/>
                <w:sz w:val="21"/>
                <w:szCs w:val="21"/>
                <w:highlight w:val="none"/>
              </w:rPr>
              <w:t>计划安排科学合理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根据投标人提供的事故应急处理预案，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强，计划安排</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科学合理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根据投标人提供的事故应急处理预案，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rPr>
              <w:t>，计划安排合理</w:t>
            </w:r>
            <w:r>
              <w:rPr>
                <w:rFonts w:hint="eastAsia" w:ascii="仿宋" w:hAnsi="仿宋" w:eastAsia="仿宋" w:cs="仿宋"/>
                <w:color w:val="auto"/>
                <w:sz w:val="21"/>
                <w:szCs w:val="21"/>
                <w:highlight w:val="none"/>
                <w:lang w:val="en-US" w:eastAsia="zh-CN"/>
              </w:rPr>
              <w:t>性一般，可行性一般的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分；方案不合理或未提供方案不得分。</w:t>
            </w:r>
          </w:p>
        </w:tc>
        <w:tc>
          <w:tcPr>
            <w:tcW w:w="682" w:type="dxa"/>
            <w:vAlign w:val="center"/>
          </w:tcPr>
          <w:p w14:paraId="66DD4303">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19DE8A8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r>
              <w:rPr>
                <w:rFonts w:hint="eastAsia" w:ascii="仿宋" w:hAnsi="仿宋" w:eastAsia="仿宋" w:cs="仿宋"/>
                <w:bCs/>
                <w:color w:val="auto"/>
                <w:kern w:val="2"/>
                <w:sz w:val="21"/>
                <w:szCs w:val="21"/>
                <w:highlight w:val="none"/>
                <w:lang w:val="en-US" w:eastAsia="zh-CN" w:bidi="ar-SA"/>
              </w:rPr>
              <w:t>分</w:t>
            </w:r>
          </w:p>
        </w:tc>
        <w:tc>
          <w:tcPr>
            <w:tcW w:w="1832" w:type="dxa"/>
            <w:vAlign w:val="center"/>
          </w:tcPr>
          <w:p w14:paraId="62A2941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事故应急处理预案</w:t>
            </w:r>
          </w:p>
        </w:tc>
      </w:tr>
      <w:tr w14:paraId="56E3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73" w:type="dxa"/>
            <w:vAlign w:val="center"/>
          </w:tcPr>
          <w:p w14:paraId="0E5E50CC">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038" w:type="dxa"/>
            <w:vAlign w:val="center"/>
          </w:tcPr>
          <w:p w14:paraId="5D1C9509">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w:t>
            </w:r>
            <w:r>
              <w:rPr>
                <w:rFonts w:hint="eastAsia" w:ascii="仿宋" w:hAnsi="仿宋" w:eastAsia="仿宋" w:cs="仿宋"/>
                <w:color w:val="auto"/>
                <w:sz w:val="21"/>
                <w:szCs w:val="21"/>
                <w:highlight w:val="none"/>
              </w:rPr>
              <w:t>其他承诺和优惠条件</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得5分；</w:t>
            </w:r>
            <w:r>
              <w:rPr>
                <w:rFonts w:hint="eastAsia" w:ascii="仿宋" w:hAnsi="仿宋" w:eastAsia="仿宋" w:cs="仿宋"/>
                <w:color w:val="auto"/>
                <w:sz w:val="21"/>
                <w:szCs w:val="21"/>
                <w:highlight w:val="none"/>
                <w:lang w:val="en-US" w:eastAsia="zh-CN"/>
              </w:rPr>
              <w:t>根据投标人提供的</w:t>
            </w:r>
            <w:r>
              <w:rPr>
                <w:rFonts w:hint="eastAsia" w:ascii="仿宋" w:hAnsi="仿宋" w:eastAsia="仿宋" w:cs="仿宋"/>
                <w:color w:val="auto"/>
                <w:sz w:val="21"/>
                <w:szCs w:val="21"/>
                <w:highlight w:val="none"/>
              </w:rPr>
              <w:t>其他承诺和优惠条件</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根据投标人提供的</w:t>
            </w:r>
            <w:r>
              <w:rPr>
                <w:rFonts w:hint="eastAsia" w:ascii="仿宋" w:hAnsi="仿宋" w:eastAsia="仿宋" w:cs="仿宋"/>
                <w:color w:val="auto"/>
                <w:sz w:val="21"/>
                <w:szCs w:val="21"/>
                <w:highlight w:val="none"/>
              </w:rPr>
              <w:t>其他承诺和优惠条件</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可行性一般的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分；方案不合理或未提供方案不得分。</w:t>
            </w:r>
          </w:p>
        </w:tc>
        <w:tc>
          <w:tcPr>
            <w:tcW w:w="682" w:type="dxa"/>
            <w:vAlign w:val="center"/>
          </w:tcPr>
          <w:p w14:paraId="45B770D4">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069" w:type="dxa"/>
            <w:vAlign w:val="center"/>
          </w:tcPr>
          <w:p w14:paraId="0F696CC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42951D6E">
            <w:pPr>
              <w:keepNext w:val="0"/>
              <w:keepLines w:val="0"/>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承诺和优惠</w:t>
            </w:r>
            <w:r>
              <w:rPr>
                <w:rFonts w:hint="eastAsia" w:ascii="仿宋" w:hAnsi="仿宋" w:eastAsia="仿宋" w:cs="仿宋"/>
                <w:color w:val="auto"/>
                <w:sz w:val="21"/>
                <w:szCs w:val="21"/>
                <w:highlight w:val="none"/>
                <w:lang w:val="en-US" w:eastAsia="zh-CN"/>
              </w:rPr>
              <w:t>方案</w:t>
            </w:r>
          </w:p>
        </w:tc>
      </w:tr>
      <w:tr w14:paraId="5051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573" w:type="dxa"/>
            <w:vAlign w:val="center"/>
          </w:tcPr>
          <w:p w14:paraId="7C9C01B1">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6038" w:type="dxa"/>
            <w:vAlign w:val="center"/>
          </w:tcPr>
          <w:p w14:paraId="159306B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682" w:type="dxa"/>
            <w:vAlign w:val="center"/>
          </w:tcPr>
          <w:p w14:paraId="2CFD8274">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5A5F849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6FC7A4BB">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重大活动保障方案</w:t>
            </w:r>
          </w:p>
        </w:tc>
      </w:tr>
      <w:tr w14:paraId="552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73" w:type="dxa"/>
            <w:vAlign w:val="center"/>
          </w:tcPr>
          <w:p w14:paraId="637602C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6038" w:type="dxa"/>
            <w:vAlign w:val="center"/>
          </w:tcPr>
          <w:p w14:paraId="5F9A59B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售后服务响应方案，售后响应服务方案合理、科学，售后服务能力强，售后服务安排合理高效的得5分；售后响应服务方案较为合理、科学，售后服务能力一般，有安排合理的售后服务得3分；售后响应服务方案合理性、科学性一般的，售后服务能力一般的，售后服务安排一般的得1分；无售后响应服务方案的不得分。</w:t>
            </w:r>
          </w:p>
        </w:tc>
        <w:tc>
          <w:tcPr>
            <w:tcW w:w="682" w:type="dxa"/>
            <w:vAlign w:val="center"/>
          </w:tcPr>
          <w:p w14:paraId="609BE7B2">
            <w:pPr>
              <w:pStyle w:val="33"/>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5</w:t>
            </w:r>
          </w:p>
        </w:tc>
        <w:tc>
          <w:tcPr>
            <w:tcW w:w="1069" w:type="dxa"/>
            <w:vAlign w:val="center"/>
          </w:tcPr>
          <w:p w14:paraId="271DFC9E">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3F9EA92C">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售后服务响应方案</w:t>
            </w:r>
          </w:p>
        </w:tc>
      </w:tr>
      <w:tr w14:paraId="2D6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73" w:type="dxa"/>
            <w:vAlign w:val="center"/>
          </w:tcPr>
          <w:p w14:paraId="05FFB8C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6038" w:type="dxa"/>
            <w:vAlign w:val="center"/>
          </w:tcPr>
          <w:p w14:paraId="29D1D24B">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根据投标人提供的合理化建议，</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根据投标人提供的合理化建议，</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可行性较</w:t>
            </w:r>
            <w:r>
              <w:rPr>
                <w:rFonts w:hint="eastAsia" w:ascii="仿宋" w:hAnsi="仿宋" w:eastAsia="仿宋" w:cs="仿宋"/>
                <w:color w:val="auto"/>
                <w:sz w:val="21"/>
                <w:szCs w:val="21"/>
                <w:highlight w:val="none"/>
              </w:rPr>
              <w:t>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根据投标人提供的合理化建议，</w:t>
            </w:r>
            <w:r>
              <w:rPr>
                <w:rFonts w:hint="eastAsia" w:ascii="仿宋" w:hAnsi="仿宋" w:eastAsia="仿宋" w:cs="仿宋"/>
                <w:color w:val="auto"/>
                <w:sz w:val="21"/>
                <w:szCs w:val="21"/>
                <w:highlight w:val="none"/>
              </w:rPr>
              <w:t>切合本项目采购需求，针对性、操作性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可行性一般的</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建议不合理或未提供合理化建议的不得分。</w:t>
            </w:r>
          </w:p>
        </w:tc>
        <w:tc>
          <w:tcPr>
            <w:tcW w:w="682" w:type="dxa"/>
            <w:vAlign w:val="center"/>
          </w:tcPr>
          <w:p w14:paraId="1407C781">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069" w:type="dxa"/>
            <w:vAlign w:val="center"/>
          </w:tcPr>
          <w:p w14:paraId="1906F45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主观分</w:t>
            </w:r>
          </w:p>
        </w:tc>
        <w:tc>
          <w:tcPr>
            <w:tcW w:w="1832" w:type="dxa"/>
            <w:vAlign w:val="center"/>
          </w:tcPr>
          <w:p w14:paraId="3D05AA42">
            <w:pPr>
              <w:keepNext w:val="0"/>
              <w:keepLines w:val="0"/>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合理化建议</w:t>
            </w:r>
          </w:p>
        </w:tc>
      </w:tr>
      <w:tr w14:paraId="3244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73" w:type="dxa"/>
            <w:vAlign w:val="center"/>
          </w:tcPr>
          <w:p w14:paraId="52B5641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6038" w:type="dxa"/>
            <w:vAlign w:val="top"/>
          </w:tcPr>
          <w:p w14:paraId="458D5595">
            <w:pPr>
              <w:keepNext w:val="0"/>
              <w:keepLines w:val="0"/>
              <w:pageBreakBefore w:val="0"/>
              <w:widowControl w:val="0"/>
              <w:kinsoku/>
              <w:wordWrap/>
              <w:overflowPunct/>
              <w:topLinePunct w:val="0"/>
              <w:autoSpaceDE/>
              <w:autoSpaceDN/>
              <w:bidi w:val="0"/>
              <w:spacing w:before="0" w:beforeAutospacing="0" w:after="0" w:afterAutospacing="0" w:line="288" w:lineRule="auto"/>
              <w:ind w:left="0" w:right="0" w:firstLine="0" w:firstLineChars="0"/>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有效投标报价的最低价作为评标基准价，其最低报价为满分；按［投标报价得分=（评标基准价/投标报价）*权重］的计算公式计算。</w:t>
            </w:r>
          </w:p>
          <w:p w14:paraId="5BD924C4">
            <w:pPr>
              <w:keepNext w:val="0"/>
              <w:keepLines w:val="0"/>
              <w:pageBreakBefore w:val="0"/>
              <w:widowControl w:val="0"/>
              <w:kinsoku/>
              <w:wordWrap/>
              <w:overflowPunct/>
              <w:topLinePunct w:val="0"/>
              <w:autoSpaceDE/>
              <w:autoSpaceDN/>
              <w:bidi w:val="0"/>
              <w:spacing w:before="0" w:beforeAutospacing="0" w:after="0" w:afterAutospacing="0" w:line="288" w:lineRule="auto"/>
              <w:ind w:left="0" w:right="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lang w:val="en-US" w:eastAsia="zh-CN" w:bidi="ar-SA"/>
              </w:rPr>
              <w:t>评标过程中，不得去掉报价中的最高报价和最低报价。</w:t>
            </w:r>
          </w:p>
        </w:tc>
        <w:tc>
          <w:tcPr>
            <w:tcW w:w="682" w:type="dxa"/>
            <w:vAlign w:val="center"/>
          </w:tcPr>
          <w:p w14:paraId="3FFFA5DE">
            <w:pPr>
              <w:keepNext w:val="0"/>
              <w:keepLines w:val="0"/>
              <w:pageBreakBefore w:val="0"/>
              <w:kinsoku/>
              <w:wordWrap/>
              <w:overflowPunct/>
              <w:topLinePunct w:val="0"/>
              <w:autoSpaceDE/>
              <w:autoSpaceDN/>
              <w:bidi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069" w:type="dxa"/>
            <w:vAlign w:val="center"/>
          </w:tcPr>
          <w:p w14:paraId="46D79E7C">
            <w:pPr>
              <w:keepNext w:val="0"/>
              <w:keepLines w:val="0"/>
              <w:pageBreakBefore w:val="0"/>
              <w:kinsoku/>
              <w:wordWrap/>
              <w:overflowPunct/>
              <w:topLinePunct w:val="0"/>
              <w:autoSpaceDE/>
              <w:autoSpaceDN/>
              <w:bidi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rPr>
            </w:pPr>
          </w:p>
        </w:tc>
        <w:tc>
          <w:tcPr>
            <w:tcW w:w="1832" w:type="dxa"/>
            <w:vAlign w:val="center"/>
          </w:tcPr>
          <w:p w14:paraId="2BE71077">
            <w:pPr>
              <w:keepNext w:val="0"/>
              <w:keepLines w:val="0"/>
              <w:pageBreakBefore w:val="0"/>
              <w:kinsoku/>
              <w:wordWrap/>
              <w:overflowPunct/>
              <w:topLinePunct w:val="0"/>
              <w:autoSpaceDE/>
              <w:autoSpaceDN/>
              <w:bidi w:val="0"/>
              <w:spacing w:before="0" w:beforeAutospacing="0" w:after="0" w:afterAutospacing="0" w:line="360" w:lineRule="auto"/>
              <w:ind w:left="0" w:right="0"/>
              <w:jc w:val="center"/>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28BD5D3E">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7E53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5"/>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60EA4F3B">
      <w:pPr>
        <w:spacing w:line="360" w:lineRule="auto"/>
        <w:ind w:left="720" w:leftChars="343" w:firstLine="1084" w:firstLineChars="300"/>
        <w:outlineLvl w:val="0"/>
        <w:rPr>
          <w:rFonts w:ascii="宋体" w:hAnsi="宋体" w:cs="宋体"/>
          <w:b/>
          <w:color w:val="auto"/>
          <w:sz w:val="36"/>
          <w:szCs w:val="36"/>
          <w:highlight w:val="none"/>
        </w:rPr>
      </w:pPr>
    </w:p>
    <w:p w14:paraId="126FA915">
      <w:pPr>
        <w:spacing w:line="360" w:lineRule="auto"/>
        <w:ind w:left="720" w:leftChars="343" w:firstLine="1084" w:firstLineChars="300"/>
        <w:outlineLvl w:val="0"/>
        <w:rPr>
          <w:rFonts w:ascii="宋体" w:hAnsi="宋体" w:cs="宋体"/>
          <w:b/>
          <w:color w:val="auto"/>
          <w:sz w:val="36"/>
          <w:szCs w:val="36"/>
          <w:highlight w:val="none"/>
        </w:rPr>
      </w:pPr>
    </w:p>
    <w:p w14:paraId="45FDBC4D">
      <w:pPr>
        <w:widowControl/>
        <w:adjustRightInd/>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8E099E">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2B1444F6">
      <w:pPr>
        <w:rPr>
          <w:rFonts w:hint="eastAsia" w:ascii="宋体" w:hAnsi="宋体" w:eastAsia="宋体" w:cs="宋体"/>
          <w:color w:val="000000"/>
          <w:sz w:val="24"/>
          <w:szCs w:val="24"/>
        </w:rPr>
      </w:pPr>
    </w:p>
    <w:p w14:paraId="36DE0CB6">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221BA1D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718B85A">
      <w:pPr>
        <w:spacing w:line="560" w:lineRule="exact"/>
        <w:jc w:val="center"/>
        <w:rPr>
          <w:rFonts w:hint="eastAsia" w:ascii="宋体" w:hAnsi="宋体" w:eastAsia="宋体" w:cs="宋体"/>
          <w:color w:val="000000"/>
          <w:spacing w:val="-20"/>
          <w:sz w:val="24"/>
          <w:szCs w:val="24"/>
        </w:rPr>
      </w:pPr>
    </w:p>
    <w:p w14:paraId="4B14434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6EF7431B">
      <w:pPr>
        <w:wordWrap w:val="0"/>
        <w:spacing w:line="580" w:lineRule="exact"/>
        <w:jc w:val="center"/>
        <w:rPr>
          <w:rFonts w:hint="eastAsia" w:ascii="宋体" w:hAnsi="宋体" w:eastAsia="宋体" w:cs="宋体"/>
          <w:snapToGrid w:val="0"/>
          <w:kern w:val="0"/>
          <w:sz w:val="24"/>
          <w:szCs w:val="24"/>
        </w:rPr>
      </w:pPr>
    </w:p>
    <w:p w14:paraId="3B84AAA1">
      <w:pPr>
        <w:jc w:val="center"/>
        <w:rPr>
          <w:rFonts w:hint="eastAsia" w:ascii="宋体" w:hAnsi="宋体" w:eastAsia="宋体" w:cs="宋体"/>
          <w:color w:val="000000"/>
          <w:spacing w:val="-20"/>
          <w:sz w:val="24"/>
          <w:szCs w:val="24"/>
        </w:rPr>
      </w:pPr>
    </w:p>
    <w:p w14:paraId="5DB7F267">
      <w:pPr>
        <w:jc w:val="center"/>
        <w:rPr>
          <w:rFonts w:hint="eastAsia" w:ascii="宋体" w:hAnsi="宋体" w:eastAsia="宋体" w:cs="宋体"/>
          <w:color w:val="000000"/>
          <w:spacing w:val="-20"/>
          <w:sz w:val="24"/>
          <w:szCs w:val="24"/>
        </w:rPr>
      </w:pPr>
    </w:p>
    <w:p w14:paraId="09C2F699">
      <w:pPr>
        <w:jc w:val="center"/>
        <w:rPr>
          <w:rFonts w:hint="eastAsia" w:ascii="宋体" w:hAnsi="宋体" w:eastAsia="宋体" w:cs="宋体"/>
          <w:color w:val="000000"/>
          <w:spacing w:val="-20"/>
          <w:sz w:val="24"/>
          <w:szCs w:val="24"/>
        </w:rPr>
      </w:pPr>
    </w:p>
    <w:p w14:paraId="32BE40CA">
      <w:pPr>
        <w:pStyle w:val="23"/>
        <w:rPr>
          <w:rFonts w:hint="eastAsia" w:ascii="宋体" w:hAnsi="宋体" w:eastAsia="宋体" w:cs="宋体"/>
          <w:sz w:val="24"/>
          <w:szCs w:val="24"/>
        </w:rPr>
      </w:pPr>
    </w:p>
    <w:p w14:paraId="383982B9">
      <w:pPr>
        <w:pStyle w:val="24"/>
        <w:rPr>
          <w:rFonts w:hint="eastAsia" w:ascii="宋体" w:hAnsi="宋体" w:eastAsia="宋体" w:cs="宋体"/>
          <w:sz w:val="24"/>
          <w:szCs w:val="24"/>
        </w:rPr>
      </w:pPr>
    </w:p>
    <w:p w14:paraId="6DB09004">
      <w:pPr>
        <w:rPr>
          <w:rFonts w:hint="eastAsia" w:ascii="宋体" w:hAnsi="宋体" w:eastAsia="宋体" w:cs="宋体"/>
          <w:sz w:val="24"/>
          <w:szCs w:val="24"/>
        </w:rPr>
      </w:pPr>
    </w:p>
    <w:p w14:paraId="5E045F73">
      <w:pPr>
        <w:pStyle w:val="23"/>
        <w:rPr>
          <w:rFonts w:hint="eastAsia" w:ascii="宋体" w:hAnsi="宋体" w:eastAsia="宋体" w:cs="宋体"/>
          <w:sz w:val="24"/>
          <w:szCs w:val="24"/>
        </w:rPr>
      </w:pPr>
    </w:p>
    <w:p w14:paraId="2027FAD7">
      <w:pPr>
        <w:jc w:val="center"/>
        <w:rPr>
          <w:rFonts w:hint="eastAsia" w:ascii="宋体" w:hAnsi="宋体" w:eastAsia="宋体" w:cs="宋体"/>
          <w:color w:val="000000"/>
          <w:spacing w:val="-20"/>
          <w:sz w:val="24"/>
          <w:szCs w:val="24"/>
        </w:rPr>
      </w:pPr>
    </w:p>
    <w:p w14:paraId="65513A0A">
      <w:pPr>
        <w:rPr>
          <w:rFonts w:hint="eastAsia" w:ascii="宋体" w:hAnsi="宋体" w:eastAsia="宋体" w:cs="宋体"/>
          <w:color w:val="000000"/>
          <w:spacing w:val="-20"/>
          <w:sz w:val="24"/>
          <w:szCs w:val="24"/>
        </w:rPr>
      </w:pPr>
    </w:p>
    <w:p w14:paraId="3B4F9522">
      <w:pPr>
        <w:jc w:val="center"/>
        <w:rPr>
          <w:rFonts w:hint="eastAsia" w:ascii="宋体" w:hAnsi="宋体" w:eastAsia="宋体" w:cs="宋体"/>
          <w:color w:val="000000"/>
          <w:spacing w:val="-20"/>
          <w:sz w:val="24"/>
          <w:szCs w:val="24"/>
        </w:rPr>
      </w:pPr>
    </w:p>
    <w:p w14:paraId="6825F9F0">
      <w:pPr>
        <w:pStyle w:val="23"/>
        <w:ind w:left="63" w:right="63"/>
        <w:rPr>
          <w:rFonts w:hint="eastAsia" w:ascii="宋体" w:hAnsi="宋体" w:eastAsia="宋体" w:cs="宋体"/>
          <w:sz w:val="24"/>
          <w:szCs w:val="24"/>
        </w:rPr>
      </w:pPr>
    </w:p>
    <w:p w14:paraId="577DAC9D">
      <w:pPr>
        <w:pStyle w:val="23"/>
        <w:ind w:left="63" w:right="63"/>
        <w:jc w:val="center"/>
        <w:rPr>
          <w:rFonts w:hint="eastAsia" w:ascii="宋体" w:hAnsi="宋体" w:eastAsia="宋体" w:cs="宋体"/>
          <w:sz w:val="24"/>
          <w:szCs w:val="24"/>
        </w:rPr>
      </w:pPr>
    </w:p>
    <w:p w14:paraId="516A7F48">
      <w:pPr>
        <w:jc w:val="center"/>
        <w:rPr>
          <w:rFonts w:hint="eastAsia" w:ascii="宋体" w:hAnsi="宋体" w:eastAsia="宋体" w:cs="宋体"/>
          <w:color w:val="000000"/>
          <w:spacing w:val="-20"/>
          <w:sz w:val="24"/>
          <w:szCs w:val="24"/>
          <w:u w:val="single"/>
        </w:rPr>
      </w:pP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施行</w:t>
      </w:r>
    </w:p>
    <w:p w14:paraId="6382A8ED">
      <w:pPr>
        <w:pStyle w:val="33"/>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11146301">
      <w:pPr>
        <w:pStyle w:val="33"/>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268E5F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D060AA">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2DCBA3">
      <w:pPr>
        <w:pStyle w:val="23"/>
        <w:rPr>
          <w:rFonts w:hint="eastAsia" w:ascii="宋体" w:hAnsi="宋体" w:eastAsia="宋体" w:cs="宋体"/>
          <w:b/>
          <w:color w:val="auto"/>
          <w:kern w:val="2"/>
          <w:sz w:val="24"/>
          <w:szCs w:val="24"/>
          <w:lang w:val="en-US" w:eastAsia="zh-CN" w:bidi="ar"/>
        </w:rPr>
      </w:pPr>
    </w:p>
    <w:p w14:paraId="42B4C86F">
      <w:pPr>
        <w:pStyle w:val="24"/>
        <w:rPr>
          <w:rFonts w:hint="eastAsia" w:ascii="宋体" w:hAnsi="宋体" w:eastAsia="宋体" w:cs="宋体"/>
          <w:b/>
          <w:color w:val="auto"/>
          <w:kern w:val="2"/>
          <w:sz w:val="24"/>
          <w:szCs w:val="24"/>
          <w:lang w:val="en-US" w:eastAsia="zh-CN" w:bidi="ar"/>
        </w:rPr>
      </w:pPr>
    </w:p>
    <w:p w14:paraId="4B4BDAB4">
      <w:pPr>
        <w:rPr>
          <w:rFonts w:hint="eastAsia" w:ascii="宋体" w:hAnsi="宋体" w:eastAsia="宋体" w:cs="宋体"/>
          <w:b/>
          <w:color w:val="auto"/>
          <w:kern w:val="2"/>
          <w:sz w:val="24"/>
          <w:szCs w:val="24"/>
          <w:lang w:val="en-US" w:eastAsia="zh-CN" w:bidi="ar"/>
        </w:rPr>
      </w:pPr>
    </w:p>
    <w:p w14:paraId="291F801E">
      <w:pPr>
        <w:pStyle w:val="23"/>
        <w:rPr>
          <w:rFonts w:hint="eastAsia"/>
          <w:lang w:val="en-US" w:eastAsia="zh-CN"/>
        </w:rPr>
      </w:pPr>
    </w:p>
    <w:p w14:paraId="6A58AA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423C3227">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6C87120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49C3809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5254860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4CFB30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3AA822D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AB6E94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0E5FB25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51C37F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30798D2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13445FAD">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32217F6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7207F05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05777938">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F49FE95">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9E8C90F">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3234C569">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46E29B1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2B7E03F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6BC7F51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7A961E6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E0C53C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3775AE2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6AA3799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2C8B86B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234419C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4688EEB4">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服务</w:t>
      </w:r>
      <w:r>
        <w:rPr>
          <w:rFonts w:hint="eastAsia" w:ascii="宋体" w:hAnsi="宋体" w:eastAsia="宋体" w:cs="宋体"/>
          <w:b/>
          <w:bCs/>
          <w:color w:val="auto"/>
          <w:kern w:val="2"/>
          <w:sz w:val="24"/>
          <w:szCs w:val="24"/>
          <w:highlight w:val="none"/>
        </w:rPr>
        <w:t>费用</w:t>
      </w:r>
    </w:p>
    <w:p w14:paraId="1696CB6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服务费用为</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u w:val="none"/>
          <w:lang w:eastAsia="zh-CN"/>
        </w:rPr>
        <w:t>，</w:t>
      </w:r>
      <w:r>
        <w:rPr>
          <w:rFonts w:hint="eastAsia" w:ascii="宋体" w:hAnsi="宋体" w:eastAsia="宋体" w:cs="宋体"/>
          <w:b w:val="0"/>
          <w:color w:val="auto"/>
          <w:kern w:val="2"/>
          <w:sz w:val="24"/>
          <w:szCs w:val="24"/>
          <w:highlight w:val="none"/>
          <w:u w:val="none"/>
        </w:rPr>
        <w:t>分为固定费用和考核费用两部分</w:t>
      </w:r>
      <w:r>
        <w:rPr>
          <w:rFonts w:hint="eastAsia" w:ascii="宋体" w:hAnsi="宋体" w:eastAsia="宋体" w:cs="宋体"/>
          <w:b w:val="0"/>
          <w:color w:val="auto"/>
          <w:kern w:val="2"/>
          <w:sz w:val="24"/>
          <w:szCs w:val="24"/>
          <w:highlight w:val="none"/>
        </w:rPr>
        <w:t>。</w:t>
      </w:r>
    </w:p>
    <w:p w14:paraId="0850F97D">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4DE3BE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D4A4F1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7413F06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313AB17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55BFCE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435C8F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70853EF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397AEA22">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2D94BCB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7D80B1C4">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4F5BEC2E">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2040F9A">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4D76A42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277EEB7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156342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5D40E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226D753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751AD088">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59ABD6B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18F9AD6F">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79C6F3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AD7785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3EDABBD6">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5BE87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60E398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35F3BBD8">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441478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313DDCD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E5D71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582ABD8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21E4AAA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450682A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1C89C8F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5EE9CE4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25EC28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628FE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B2ECD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032214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2576851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89F38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25416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321741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384DF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D668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32C2C1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9DE2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2965D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4DE7B1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05F260A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30267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1F2770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648E43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04C455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4B0D7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063D1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42D2CB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A3536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697C491C">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19ACB0D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1CFD8C5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583796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2D4515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91282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594D7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BE500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AA5E9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214A47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49AEA8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2DAB0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48B56C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AEFE6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3493A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122FFE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169410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FC027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50DAA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15F3BDE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3B40D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019C585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091ED917">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43E524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11FD8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5274D3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1D759B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4EAB77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34CB2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07A43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BEDE36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C70E6D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74E2025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3FEFDC9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4D6291AB">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704E347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12184359">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4C477A0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B0963B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68CAE1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AB79E7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6BE77C8C">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4F5030A4">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604FD6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6065789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33463948">
      <w:pPr>
        <w:pStyle w:val="3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7B236591">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A259C45">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29C556E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1E14392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44FAA2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4405A87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9254A6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2604038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25CB376">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6B256F1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6B67CF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93C2FD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185726B3">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25BFFAA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7E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8C7D0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17B6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870B1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B72DC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0B9E2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D0119F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36254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3ECEFA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8146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F2C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686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9546B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5BB1F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91700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8B35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677DA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3BF14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E045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73CA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4E7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1846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819DA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4A72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DC6D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0E51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D3B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CC5027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1C73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565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B57DB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2F3D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170F7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0B887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BBC5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8B8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6DD6FD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7C28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70D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6DF90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E63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7D70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87CF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81236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8119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773A5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8059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639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05069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AE9D7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C777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D013E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3C7F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B87E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F438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A0866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3AEA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E0999E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BA5F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32FB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8020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D4B7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4E633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9E26A0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439A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C0903A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3E49F96B">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1B1FB786">
      <w:pPr>
        <w:pStyle w:val="3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val="en-US" w:eastAsia="zh-CN" w:bidi="ar-SA"/>
        </w:rPr>
        <w:t>食堂考核办法（仅供参考）</w:t>
      </w:r>
    </w:p>
    <w:p w14:paraId="13D8D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5D667ED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一、考核内容</w:t>
      </w:r>
    </w:p>
    <w:p w14:paraId="52AA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1.每月提取当月服务费用的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%作为考核经费，根据每学期测评结果返还：</w:t>
      </w:r>
    </w:p>
    <w:p w14:paraId="4478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1.1师生的满意度达到</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及以上的，付清学期服务费用；</w:t>
      </w:r>
    </w:p>
    <w:p w14:paraId="75B6B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1.2师生的满意度在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的，支付50%的学期服务费用；</w:t>
      </w:r>
    </w:p>
    <w:p w14:paraId="02655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1.3师生满意度在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以下的，不予支付学期剩余服务费用；</w:t>
      </w:r>
    </w:p>
    <w:p w14:paraId="1FA1F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1.4师生满意度在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以下的，甲方有权单方终止合同并没收履约保证金。</w:t>
      </w:r>
    </w:p>
    <w:p w14:paraId="202BE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u w:val="single"/>
          <w:lang w:val="en-US" w:eastAsia="zh-CN" w:bidi="ar"/>
        </w:rPr>
        <w:t xml:space="preserve">                                                  </w:t>
      </w:r>
    </w:p>
    <w:p w14:paraId="5F22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w:t>
      </w:r>
    </w:p>
    <w:p w14:paraId="578DB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1320A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26E14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22058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56D8C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22C44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2961A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2C06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B7E2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404FE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4C736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05B5D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6C898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3A16B7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291F5E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56E97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762B879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534E3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5E03C30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4F9B3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1D2F5EF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00F3B4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39FB7E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382D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28AB36C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3F9AC6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6C3194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935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31EC63DE">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344BF5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53DC6D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4D767D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35E28EC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5DC827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0F46A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5B5883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4F06C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3D441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0A2A8F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70B793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7205CF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6BC3C3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2E6049B3">
      <w:pPr>
        <w:keepNext w:val="0"/>
        <w:keepLines w:val="0"/>
        <w:pageBreakBefore w:val="0"/>
        <w:kinsoku/>
        <w:overflowPunct/>
        <w:topLinePunct w:val="0"/>
        <w:autoSpaceDN/>
        <w:bidi w:val="0"/>
        <w:adjustRightInd/>
        <w:spacing w:line="580" w:lineRule="exact"/>
        <w:textAlignment w:val="auto"/>
      </w:pPr>
      <w:r>
        <w:rPr>
          <w:rFonts w:hint="eastAsia" w:ascii="宋体" w:hAnsi="宋体" w:eastAsia="宋体" w:cs="宋体"/>
          <w:color w:val="auto"/>
          <w:kern w:val="2"/>
          <w:sz w:val="24"/>
          <w:szCs w:val="24"/>
          <w:u w:val="single"/>
          <w:lang w:val="en-US" w:eastAsia="zh-CN" w:bidi="ar"/>
        </w:rPr>
        <w:t xml:space="preserve">                                 </w:t>
      </w:r>
      <w:r>
        <w:rPr>
          <w:rFonts w:hint="eastAsia" w:ascii="仿宋_GB2312" w:hAnsi="Times New Roman" w:eastAsia="仿宋_GB2312" w:cs="仿宋_GB2312"/>
          <w:color w:val="auto"/>
          <w:kern w:val="2"/>
          <w:sz w:val="30"/>
          <w:szCs w:val="30"/>
          <w:u w:val="single"/>
          <w:lang w:val="en-US" w:eastAsia="zh-CN" w:bidi="ar"/>
        </w:rPr>
        <w:t xml:space="preserve">                      </w:t>
      </w:r>
    </w:p>
    <w:p w14:paraId="0B0DA2CC">
      <w:pPr>
        <w:keepNext w:val="0"/>
        <w:keepLines w:val="0"/>
        <w:pageBreakBefore w:val="0"/>
        <w:kinsoku/>
        <w:overflowPunct/>
        <w:topLinePunct w:val="0"/>
        <w:autoSpaceDN/>
        <w:bidi w:val="0"/>
        <w:adjustRightInd/>
        <w:spacing w:line="580" w:lineRule="exact"/>
        <w:textAlignment w:val="auto"/>
      </w:pPr>
    </w:p>
    <w:p w14:paraId="4474E663">
      <w:pPr>
        <w:keepNext w:val="0"/>
        <w:keepLines w:val="0"/>
        <w:pageBreakBefore w:val="0"/>
        <w:kinsoku/>
        <w:overflowPunct/>
        <w:topLinePunct w:val="0"/>
        <w:autoSpaceDN/>
        <w:bidi w:val="0"/>
        <w:adjustRightInd/>
        <w:spacing w:line="580" w:lineRule="exact"/>
        <w:textAlignment w:val="auto"/>
      </w:pPr>
    </w:p>
    <w:p w14:paraId="771DED6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EBA3B0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79"/>
        <w:rPr>
          <w:rFonts w:ascii="宋体" w:hAnsi="宋体" w:cs="宋体"/>
          <w:b/>
          <w:color w:val="auto"/>
          <w:kern w:val="0"/>
          <w:sz w:val="32"/>
          <w:szCs w:val="32"/>
          <w:highlight w:val="none"/>
        </w:rPr>
      </w:pPr>
    </w:p>
    <w:p w14:paraId="2ACEB1A7">
      <w:pPr>
        <w:pStyle w:val="79"/>
        <w:rPr>
          <w:rFonts w:ascii="宋体" w:hAnsi="宋体" w:cs="宋体"/>
          <w:b/>
          <w:color w:val="auto"/>
          <w:kern w:val="0"/>
          <w:sz w:val="32"/>
          <w:szCs w:val="32"/>
          <w:highlight w:val="none"/>
        </w:rPr>
      </w:pPr>
    </w:p>
    <w:p w14:paraId="140D2933">
      <w:pPr>
        <w:pStyle w:val="79"/>
        <w:rPr>
          <w:rFonts w:ascii="宋体" w:hAnsi="宋体" w:cs="宋体"/>
          <w:b/>
          <w:color w:val="auto"/>
          <w:kern w:val="0"/>
          <w:sz w:val="32"/>
          <w:szCs w:val="32"/>
          <w:highlight w:val="none"/>
        </w:rPr>
      </w:pPr>
    </w:p>
    <w:p w14:paraId="0F54DD26">
      <w:pPr>
        <w:pStyle w:val="79"/>
        <w:rPr>
          <w:rFonts w:ascii="宋体" w:hAnsi="宋体" w:cs="宋体"/>
          <w:b/>
          <w:color w:val="auto"/>
          <w:kern w:val="0"/>
          <w:sz w:val="32"/>
          <w:szCs w:val="32"/>
          <w:highlight w:val="none"/>
        </w:rPr>
      </w:pPr>
    </w:p>
    <w:p w14:paraId="56312D41">
      <w:pPr>
        <w:pStyle w:val="79"/>
        <w:rPr>
          <w:rFonts w:ascii="宋体" w:hAnsi="宋体" w:cs="宋体"/>
          <w:b/>
          <w:color w:val="auto"/>
          <w:kern w:val="0"/>
          <w:sz w:val="32"/>
          <w:szCs w:val="32"/>
          <w:highlight w:val="none"/>
        </w:rPr>
      </w:pPr>
    </w:p>
    <w:p w14:paraId="533E1078">
      <w:pPr>
        <w:pStyle w:val="79"/>
        <w:rPr>
          <w:rFonts w:ascii="宋体" w:hAnsi="宋体" w:cs="宋体"/>
          <w:b/>
          <w:color w:val="auto"/>
          <w:kern w:val="0"/>
          <w:sz w:val="32"/>
          <w:szCs w:val="32"/>
          <w:highlight w:val="none"/>
        </w:rPr>
      </w:pPr>
    </w:p>
    <w:p w14:paraId="668BD38A">
      <w:pPr>
        <w:pStyle w:val="79"/>
        <w:rPr>
          <w:rFonts w:ascii="宋体" w:hAnsi="宋体" w:cs="宋体"/>
          <w:b/>
          <w:color w:val="auto"/>
          <w:kern w:val="0"/>
          <w:sz w:val="32"/>
          <w:szCs w:val="32"/>
          <w:highlight w:val="none"/>
        </w:rPr>
      </w:pPr>
    </w:p>
    <w:p w14:paraId="288D63D2">
      <w:pPr>
        <w:pStyle w:val="79"/>
        <w:rPr>
          <w:rFonts w:ascii="宋体" w:hAnsi="宋体" w:cs="宋体"/>
          <w:b/>
          <w:color w:val="auto"/>
          <w:kern w:val="0"/>
          <w:sz w:val="32"/>
          <w:szCs w:val="32"/>
          <w:highlight w:val="none"/>
        </w:rPr>
      </w:pPr>
    </w:p>
    <w:p w14:paraId="79E7081D">
      <w:pPr>
        <w:pStyle w:val="79"/>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79"/>
        <w:rPr>
          <w:rFonts w:hint="eastAsia" w:ascii="宋体" w:hAnsi="宋体" w:cs="宋体"/>
          <w:color w:val="auto"/>
          <w:kern w:val="0"/>
          <w:sz w:val="24"/>
          <w:highlight w:val="none"/>
          <w:lang w:val="zh-CN"/>
        </w:rPr>
      </w:pPr>
    </w:p>
    <w:p w14:paraId="5ABAC001">
      <w:pPr>
        <w:pStyle w:val="79"/>
        <w:rPr>
          <w:rFonts w:hint="eastAsia" w:ascii="宋体" w:hAnsi="宋体" w:cs="宋体"/>
          <w:color w:val="auto"/>
          <w:kern w:val="0"/>
          <w:sz w:val="24"/>
          <w:highlight w:val="none"/>
          <w:lang w:val="zh-CN"/>
        </w:rPr>
      </w:pPr>
    </w:p>
    <w:p w14:paraId="1D45B2F8">
      <w:pPr>
        <w:pStyle w:val="79"/>
        <w:rPr>
          <w:rFonts w:hint="eastAsia" w:ascii="宋体" w:hAnsi="宋体" w:cs="宋体"/>
          <w:color w:val="auto"/>
          <w:kern w:val="0"/>
          <w:sz w:val="24"/>
          <w:highlight w:val="none"/>
          <w:lang w:val="zh-CN"/>
        </w:rPr>
      </w:pPr>
    </w:p>
    <w:p w14:paraId="6DE52433">
      <w:pPr>
        <w:pStyle w:val="79"/>
        <w:rPr>
          <w:rFonts w:hint="eastAsia" w:ascii="宋体" w:hAnsi="宋体" w:cs="宋体"/>
          <w:color w:val="auto"/>
          <w:kern w:val="0"/>
          <w:sz w:val="24"/>
          <w:highlight w:val="none"/>
          <w:lang w:val="zh-CN"/>
        </w:rPr>
      </w:pPr>
    </w:p>
    <w:p w14:paraId="14D4CE0B">
      <w:pPr>
        <w:pStyle w:val="79"/>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79"/>
        <w:rPr>
          <w:rFonts w:ascii="宋体" w:hAnsi="宋体" w:cs="宋体"/>
          <w:b/>
          <w:color w:val="auto"/>
          <w:kern w:val="0"/>
          <w:sz w:val="32"/>
          <w:szCs w:val="32"/>
          <w:highlight w:val="none"/>
        </w:rPr>
      </w:pPr>
    </w:p>
    <w:p w14:paraId="3338C734">
      <w:pPr>
        <w:pStyle w:val="79"/>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pPr>
    </w:p>
    <w:p w14:paraId="42257B55">
      <w:pPr>
        <w:snapToGrid w:val="0"/>
        <w:spacing w:line="360" w:lineRule="auto"/>
        <w:ind w:right="480"/>
        <w:jc w:val="center"/>
        <w:rPr>
          <w:rFonts w:ascii="宋体" w:hAnsi="宋体" w:cs="宋体"/>
          <w:b/>
          <w:color w:val="auto"/>
          <w:kern w:val="0"/>
          <w:sz w:val="32"/>
          <w:szCs w:val="32"/>
          <w:highlight w:val="none"/>
        </w:rPr>
      </w:pPr>
    </w:p>
    <w:p w14:paraId="7A162CC7">
      <w:pPr>
        <w:snapToGrid w:val="0"/>
        <w:spacing w:line="360" w:lineRule="auto"/>
        <w:ind w:right="480"/>
        <w:jc w:val="center"/>
        <w:rPr>
          <w:rFonts w:ascii="宋体" w:hAnsi="宋体" w:cs="宋体"/>
          <w:b/>
          <w:color w:val="auto"/>
          <w:kern w:val="0"/>
          <w:sz w:val="32"/>
          <w:szCs w:val="32"/>
          <w:highlight w:val="none"/>
        </w:rPr>
      </w:pPr>
    </w:p>
    <w:p w14:paraId="5197A211">
      <w:pPr>
        <w:snapToGrid w:val="0"/>
        <w:spacing w:line="360" w:lineRule="auto"/>
        <w:ind w:right="480"/>
        <w:jc w:val="center"/>
        <w:rPr>
          <w:rFonts w:ascii="宋体" w:hAnsi="宋体" w:cs="宋体"/>
          <w:b/>
          <w:color w:val="auto"/>
          <w:kern w:val="0"/>
          <w:sz w:val="32"/>
          <w:szCs w:val="32"/>
          <w:highlight w:val="none"/>
        </w:rPr>
      </w:pPr>
    </w:p>
    <w:p w14:paraId="5CD358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304" w:right="1134" w:bottom="1361" w:left="113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6A98080B">
      <w:pPr>
        <w:pStyle w:val="2"/>
        <w:rPr>
          <w:rFonts w:ascii="宋体" w:hAnsi="宋体" w:cs="宋体"/>
          <w:b/>
          <w:color w:val="auto"/>
          <w:sz w:val="24"/>
          <w:highlight w:val="none"/>
        </w:rPr>
      </w:pPr>
    </w:p>
    <w:p w14:paraId="0915DFFA">
      <w:pPr>
        <w:rPr>
          <w:rFonts w:ascii="宋体" w:hAnsi="宋体" w:cs="宋体"/>
          <w:b/>
          <w:color w:val="auto"/>
          <w:sz w:val="24"/>
          <w:highlight w:val="none"/>
        </w:rPr>
      </w:pPr>
    </w:p>
    <w:p w14:paraId="33A089E1">
      <w:pPr>
        <w:pStyle w:val="2"/>
      </w:pPr>
    </w:p>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7F7EA8CC">
      <w:pPr>
        <w:autoSpaceDE w:val="0"/>
        <w:autoSpaceDN w:val="0"/>
        <w:jc w:val="both"/>
        <w:rPr>
          <w:rFonts w:ascii="宋体" w:hAnsi="宋体" w:cs="宋体"/>
          <w:b/>
          <w:color w:val="auto"/>
          <w:spacing w:val="6"/>
          <w:sz w:val="32"/>
          <w:szCs w:val="32"/>
          <w:highlight w:val="none"/>
        </w:rPr>
      </w:pPr>
    </w:p>
    <w:p w14:paraId="699B054E">
      <w:pPr>
        <w:autoSpaceDE w:val="0"/>
        <w:autoSpaceDN w:val="0"/>
        <w:jc w:val="center"/>
        <w:rPr>
          <w:rFonts w:hint="eastAsia" w:ascii="宋体" w:hAnsi="宋体" w:cs="宋体"/>
          <w:b/>
          <w:color w:val="auto"/>
          <w:spacing w:val="6"/>
          <w:sz w:val="32"/>
          <w:szCs w:val="32"/>
          <w:highlight w:val="none"/>
        </w:rPr>
      </w:pPr>
    </w:p>
    <w:p w14:paraId="1D2B87AA">
      <w:pPr>
        <w:autoSpaceDE w:val="0"/>
        <w:autoSpaceDN w:val="0"/>
        <w:jc w:val="center"/>
        <w:rPr>
          <w:rFonts w:hint="eastAsia" w:ascii="宋体" w:hAnsi="宋体" w:cs="宋体"/>
          <w:b/>
          <w:color w:val="auto"/>
          <w:spacing w:val="6"/>
          <w:sz w:val="32"/>
          <w:szCs w:val="32"/>
          <w:highlight w:val="none"/>
        </w:rPr>
      </w:pPr>
    </w:p>
    <w:p w14:paraId="15C109B9">
      <w:pPr>
        <w:autoSpaceDE w:val="0"/>
        <w:autoSpaceDN w:val="0"/>
        <w:jc w:val="center"/>
        <w:rPr>
          <w:rFonts w:hint="eastAsia" w:ascii="宋体" w:hAnsi="宋体" w:cs="宋体"/>
          <w:b/>
          <w:color w:val="auto"/>
          <w:spacing w:val="6"/>
          <w:sz w:val="32"/>
          <w:szCs w:val="32"/>
          <w:highlight w:val="none"/>
        </w:rPr>
      </w:pPr>
    </w:p>
    <w:p w14:paraId="2ACAFB3A">
      <w:pPr>
        <w:autoSpaceDE w:val="0"/>
        <w:autoSpaceDN w:val="0"/>
        <w:jc w:val="center"/>
        <w:rPr>
          <w:rFonts w:hint="eastAsia" w:ascii="宋体" w:hAnsi="宋体" w:cs="宋体"/>
          <w:b/>
          <w:color w:val="auto"/>
          <w:spacing w:val="6"/>
          <w:sz w:val="32"/>
          <w:szCs w:val="32"/>
          <w:highlight w:val="none"/>
        </w:rPr>
      </w:pPr>
    </w:p>
    <w:p w14:paraId="0DE14991">
      <w:pPr>
        <w:autoSpaceDE w:val="0"/>
        <w:autoSpaceDN w:val="0"/>
        <w:jc w:val="center"/>
        <w:rPr>
          <w:rFonts w:hint="eastAsia" w:ascii="宋体" w:hAnsi="宋体" w:cs="宋体"/>
          <w:b/>
          <w:color w:val="auto"/>
          <w:spacing w:val="6"/>
          <w:sz w:val="32"/>
          <w:szCs w:val="32"/>
          <w:highlight w:val="none"/>
        </w:rPr>
      </w:pPr>
    </w:p>
    <w:p w14:paraId="35E473F9">
      <w:pPr>
        <w:autoSpaceDE w:val="0"/>
        <w:autoSpaceDN w:val="0"/>
        <w:jc w:val="center"/>
        <w:rPr>
          <w:rFonts w:hint="eastAsia"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3DD953C9">
      <w:pPr>
        <w:snapToGrid w:val="0"/>
        <w:spacing w:line="360" w:lineRule="auto"/>
        <w:rPr>
          <w:rFonts w:hint="eastAsia"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0A44A998">
      <w:pPr>
        <w:pStyle w:val="2"/>
        <w:rPr>
          <w:rFonts w:ascii="宋体" w:hAnsi="宋体" w:cs="宋体"/>
          <w:b/>
          <w:color w:val="auto"/>
          <w:spacing w:val="6"/>
          <w:sz w:val="32"/>
          <w:szCs w:val="32"/>
          <w:highlight w:val="none"/>
        </w:rPr>
      </w:pPr>
    </w:p>
    <w:p w14:paraId="046D8DD6">
      <w:pPr>
        <w:rPr>
          <w:rFonts w:ascii="宋体" w:hAnsi="宋体" w:cs="宋体"/>
          <w:b/>
          <w:color w:val="auto"/>
          <w:spacing w:val="6"/>
          <w:sz w:val="32"/>
          <w:szCs w:val="32"/>
          <w:highlight w:val="none"/>
        </w:rPr>
      </w:pPr>
    </w:p>
    <w:p w14:paraId="0341115E">
      <w:pPr>
        <w:pStyle w:val="2"/>
        <w:rPr>
          <w:rFonts w:ascii="宋体" w:hAnsi="宋体" w:cs="宋体"/>
          <w:b/>
          <w:color w:val="auto"/>
          <w:spacing w:val="6"/>
          <w:sz w:val="32"/>
          <w:szCs w:val="32"/>
          <w:highlight w:val="none"/>
        </w:rPr>
      </w:pPr>
    </w:p>
    <w:p w14:paraId="13481963">
      <w:pPr>
        <w:rPr>
          <w:rFonts w:ascii="宋体" w:hAnsi="宋体" w:cs="宋体"/>
          <w:b/>
          <w:color w:val="auto"/>
          <w:spacing w:val="6"/>
          <w:sz w:val="32"/>
          <w:szCs w:val="32"/>
          <w:highlight w:val="none"/>
        </w:rPr>
      </w:pPr>
    </w:p>
    <w:p w14:paraId="61AD441D">
      <w:pPr>
        <w:pStyle w:val="2"/>
        <w:rPr>
          <w:rFonts w:ascii="宋体" w:hAnsi="宋体" w:cs="宋体"/>
          <w:b/>
          <w:color w:val="auto"/>
          <w:spacing w:val="6"/>
          <w:sz w:val="32"/>
          <w:szCs w:val="32"/>
          <w:highlight w:val="none"/>
        </w:rPr>
      </w:pPr>
    </w:p>
    <w:p w14:paraId="4FBD3F4B">
      <w:pPr>
        <w:rPr>
          <w:rFonts w:ascii="宋体" w:hAnsi="宋体" w:cs="宋体"/>
          <w:b/>
          <w:color w:val="auto"/>
          <w:spacing w:val="6"/>
          <w:sz w:val="32"/>
          <w:szCs w:val="32"/>
          <w:highlight w:val="none"/>
        </w:rPr>
      </w:pPr>
    </w:p>
    <w:p w14:paraId="56A195BC">
      <w:pPr>
        <w:pStyle w:val="2"/>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0"/>
      <w:framePr w:wrap="around" w:vAnchor="text" w:hAnchor="margin" w:xAlign="right" w:y="1"/>
      <w:rPr>
        <w:rStyle w:val="72"/>
      </w:rPr>
    </w:pPr>
    <w:r>
      <w:fldChar w:fldCharType="begin"/>
    </w:r>
    <w:r>
      <w:rPr>
        <w:rStyle w:val="72"/>
      </w:rPr>
      <w:instrText xml:space="preserve">PAGE  </w:instrText>
    </w:r>
    <w:r>
      <w:fldChar w:fldCharType="end"/>
    </w:r>
  </w:p>
  <w:p w14:paraId="7CA5259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31845147"/>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0"/>
      <w:framePr w:wrap="around" w:vAnchor="text" w:hAnchor="margin" w:xAlign="right" w:y="1"/>
      <w:rPr>
        <w:rStyle w:val="72"/>
      </w:rPr>
    </w:pPr>
    <w:r>
      <w:fldChar w:fldCharType="begin"/>
    </w:r>
    <w:r>
      <w:rPr>
        <w:rStyle w:val="72"/>
      </w:rPr>
      <w:instrText xml:space="preserve">PAGE  </w:instrText>
    </w:r>
    <w:r>
      <w:fldChar w:fldCharType="end"/>
    </w:r>
  </w:p>
  <w:p w14:paraId="7BA5C5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449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A2E518">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9A2E51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1"/>
      <w:pBdr>
        <w:bottom w:val="single" w:color="auto" w:sz="6" w:space="4"/>
      </w:pBdr>
      <w:jc w:val="right"/>
    </w:pPr>
    <w:r>
      <w:t></w:t>
    </w:r>
    <w:r>
      <w:rPr>
        <w:rFonts w:hint="eastAsia"/>
      </w:rPr>
      <w:t xml:space="preserve">             </w:t>
    </w:r>
    <w:r>
      <w:t>杭州市政府采购公开招标文件</w:t>
    </w:r>
  </w:p>
  <w:p w14:paraId="5F94565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1"/>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1"/>
    </w:pPr>
    <w:r>
      <w:t></w:t>
    </w:r>
    <w:r>
      <w:rPr>
        <w:rFonts w:hint="eastAsia"/>
      </w:rPr>
      <w:t xml:space="preserve">         </w:t>
    </w:r>
  </w:p>
  <w:p w14:paraId="6B536497">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1"/>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1"/>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D7D48"/>
    <w:multiLevelType w:val="singleLevel"/>
    <w:tmpl w:val="C4AD7D48"/>
    <w:lvl w:ilvl="0" w:tentative="0">
      <w:start w:val="4"/>
      <w:numFmt w:val="decimal"/>
      <w:suff w:val="nothing"/>
      <w:lvlText w:val="（%1）"/>
      <w:lvlJc w:val="left"/>
      <w:pPr>
        <w:ind w:left="570"/>
      </w:pPr>
    </w:lvl>
  </w:abstractNum>
  <w:abstractNum w:abstractNumId="1">
    <w:nsid w:val="EDCB860D"/>
    <w:multiLevelType w:val="singleLevel"/>
    <w:tmpl w:val="EDCB860D"/>
    <w:lvl w:ilvl="0" w:tentative="0">
      <w:start w:val="1"/>
      <w:numFmt w:val="chineseCounting"/>
      <w:suff w:val="nothing"/>
      <w:lvlText w:val="%1、"/>
      <w:lvlJc w:val="left"/>
      <w:rPr>
        <w:rFonts w:hint="eastAsia"/>
      </w:rPr>
    </w:lvl>
  </w:abstractNum>
  <w:abstractNum w:abstractNumId="2">
    <w:nsid w:val="3A3B6038"/>
    <w:multiLevelType w:val="singleLevel"/>
    <w:tmpl w:val="3A3B6038"/>
    <w:lvl w:ilvl="0" w:tentative="0">
      <w:start w:val="3"/>
      <w:numFmt w:val="chineseCounting"/>
      <w:suff w:val="space"/>
      <w:lvlText w:val="第%1部分"/>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78AFC419"/>
    <w:multiLevelType w:val="singleLevel"/>
    <w:tmpl w:val="78AFC419"/>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C78F6"/>
    <w:rsid w:val="05251E14"/>
    <w:rsid w:val="05A16594"/>
    <w:rsid w:val="05A7762D"/>
    <w:rsid w:val="05C44F06"/>
    <w:rsid w:val="060E5941"/>
    <w:rsid w:val="06110FAF"/>
    <w:rsid w:val="061A578B"/>
    <w:rsid w:val="06493CA7"/>
    <w:rsid w:val="065A6178"/>
    <w:rsid w:val="066F1CF3"/>
    <w:rsid w:val="06930BB8"/>
    <w:rsid w:val="07245D42"/>
    <w:rsid w:val="07264C62"/>
    <w:rsid w:val="0779354C"/>
    <w:rsid w:val="08061376"/>
    <w:rsid w:val="08404E4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EC5E8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E1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444BF"/>
    <w:rsid w:val="14982588"/>
    <w:rsid w:val="149A5AD9"/>
    <w:rsid w:val="14A7619D"/>
    <w:rsid w:val="14C13542"/>
    <w:rsid w:val="14D0319D"/>
    <w:rsid w:val="150536C3"/>
    <w:rsid w:val="150C1963"/>
    <w:rsid w:val="151447A0"/>
    <w:rsid w:val="154A6454"/>
    <w:rsid w:val="15762120"/>
    <w:rsid w:val="16A74C55"/>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B259E"/>
    <w:rsid w:val="226D06CE"/>
    <w:rsid w:val="22BE6801"/>
    <w:rsid w:val="233500BF"/>
    <w:rsid w:val="23377FF7"/>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628662C"/>
    <w:rsid w:val="262D45DE"/>
    <w:rsid w:val="2652610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8A38B4"/>
    <w:rsid w:val="2F946CCB"/>
    <w:rsid w:val="2FD25781"/>
    <w:rsid w:val="2FDC745C"/>
    <w:rsid w:val="2FFD7934"/>
    <w:rsid w:val="30733ACD"/>
    <w:rsid w:val="308C3862"/>
    <w:rsid w:val="309379D8"/>
    <w:rsid w:val="30A270F7"/>
    <w:rsid w:val="30C82A93"/>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3492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07919"/>
    <w:rsid w:val="38BC0149"/>
    <w:rsid w:val="38D87D1C"/>
    <w:rsid w:val="39636459"/>
    <w:rsid w:val="396B7F6C"/>
    <w:rsid w:val="39B417A9"/>
    <w:rsid w:val="39E25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0092B"/>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752A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51932"/>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B2E1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C2E57"/>
    <w:rsid w:val="6ADE0BD1"/>
    <w:rsid w:val="6AE96859"/>
    <w:rsid w:val="6B147746"/>
    <w:rsid w:val="6B24787C"/>
    <w:rsid w:val="6B573233"/>
    <w:rsid w:val="6B5B6274"/>
    <w:rsid w:val="6B935D53"/>
    <w:rsid w:val="6C196F71"/>
    <w:rsid w:val="6C226FCB"/>
    <w:rsid w:val="6C31226F"/>
    <w:rsid w:val="6C3E7200"/>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EFD515F"/>
    <w:rsid w:val="6F2A7D94"/>
    <w:rsid w:val="6F8331F1"/>
    <w:rsid w:val="6FAE1A09"/>
    <w:rsid w:val="6FD75BF8"/>
    <w:rsid w:val="70326C80"/>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0643"/>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8719</Words>
  <Characters>9399</Characters>
  <Lines>281</Lines>
  <Paragraphs>79</Paragraphs>
  <TotalTime>32</TotalTime>
  <ScaleCrop>false</ScaleCrop>
  <LinksUpToDate>false</LinksUpToDate>
  <CharactersWithSpaces>9812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大梁</cp:lastModifiedBy>
  <cp:lastPrinted>2025-07-09T05:21:00Z</cp:lastPrinted>
  <dcterms:modified xsi:type="dcterms:W3CDTF">2025-07-18T08:25:12Z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eyJoZGlkIjoiNzI1ODM4MTdiMTEyMjUwOGRhMTkxNGY3ZWMwYjlhMDUiLCJ1c2VySWQiOiIzNjQxMTc5NTEifQ==</vt:lpwstr>
  </property>
</Properties>
</file>