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桐庐县统一政务咨询投诉举报平台热线服务外包采购项目</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编号:QDZFCG2025TL-GK-017</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中共桐庐县委桐庐县人民政府信访局</w:t>
      </w:r>
    </w:p>
    <w:p w14:paraId="289DCB78">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浙江乾达项目管理有限公司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桐庐县统一政务咨询投诉举报平台热线服务外包采购项目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eastAsia="宋体" w:cs="宋体"/>
          <w:b/>
          <w:bCs/>
          <w:snapToGrid/>
          <w:color w:val="FF0000"/>
          <w:kern w:val="2"/>
          <w:sz w:val="24"/>
          <w:szCs w:val="24"/>
          <w:highlight w:val="yellow"/>
        </w:rPr>
        <w:t>202</w:t>
      </w:r>
      <w:r>
        <w:rPr>
          <w:rStyle w:val="76"/>
          <w:rFonts w:hint="eastAsia" w:ascii="宋体" w:hAnsi="宋体" w:cs="宋体"/>
          <w:b/>
          <w:bCs/>
          <w:snapToGrid/>
          <w:color w:val="FF0000"/>
          <w:kern w:val="2"/>
          <w:sz w:val="24"/>
          <w:szCs w:val="24"/>
          <w:highlight w:val="yellow"/>
          <w:lang w:val="en-US" w:eastAsia="zh-CN"/>
        </w:rPr>
        <w:t>5</w:t>
      </w:r>
      <w:r>
        <w:rPr>
          <w:rStyle w:val="76"/>
          <w:rFonts w:hint="eastAsia" w:ascii="宋体" w:hAnsi="宋体" w:eastAsia="宋体" w:cs="宋体"/>
          <w:b/>
          <w:bCs/>
          <w:snapToGrid/>
          <w:color w:val="FF0000"/>
          <w:kern w:val="2"/>
          <w:sz w:val="24"/>
          <w:szCs w:val="24"/>
          <w:highlight w:val="yellow"/>
        </w:rPr>
        <w:t>年</w:t>
      </w:r>
      <w:r>
        <w:rPr>
          <w:rStyle w:val="76"/>
          <w:rFonts w:hint="eastAsia" w:ascii="宋体" w:hAnsi="宋体" w:cs="宋体"/>
          <w:b/>
          <w:bCs/>
          <w:snapToGrid/>
          <w:color w:val="FF0000"/>
          <w:kern w:val="2"/>
          <w:sz w:val="24"/>
          <w:szCs w:val="24"/>
          <w:highlight w:val="yellow"/>
          <w:lang w:val="en-US" w:eastAsia="zh-CN"/>
        </w:rPr>
        <w:t xml:space="preserve">  </w:t>
      </w:r>
      <w:r>
        <w:rPr>
          <w:rStyle w:val="76"/>
          <w:rFonts w:hint="eastAsia" w:ascii="宋体" w:hAnsi="宋体" w:eastAsia="宋体" w:cs="宋体"/>
          <w:b/>
          <w:bCs/>
          <w:snapToGrid/>
          <w:color w:val="FF0000"/>
          <w:kern w:val="2"/>
          <w:sz w:val="24"/>
          <w:szCs w:val="24"/>
          <w:highlight w:val="yellow"/>
        </w:rPr>
        <w:t>月 日</w:t>
      </w:r>
      <w:r>
        <w:rPr>
          <w:rStyle w:val="76"/>
          <w:rFonts w:hint="eastAsia" w:ascii="宋体" w:hAnsi="宋体" w:cs="宋体"/>
          <w:b/>
          <w:bCs/>
          <w:snapToGrid/>
          <w:color w:val="FF0000"/>
          <w:kern w:val="2"/>
          <w:sz w:val="24"/>
          <w:szCs w:val="24"/>
          <w:highlight w:val="yellow"/>
          <w:lang w:val="en-US" w:eastAsia="zh-CN"/>
        </w:rPr>
        <w:t xml:space="preserve">  </w:t>
      </w:r>
      <w:r>
        <w:rPr>
          <w:rStyle w:val="76"/>
          <w:rFonts w:hint="eastAsia" w:ascii="宋体" w:hAnsi="宋体" w:eastAsia="宋体" w:cs="宋体"/>
          <w:b/>
          <w:bCs/>
          <w:snapToGrid/>
          <w:color w:val="FF0000"/>
          <w:kern w:val="2"/>
          <w:sz w:val="24"/>
          <w:szCs w:val="24"/>
          <w:highlight w:val="yellow"/>
        </w:rPr>
        <w:t>点</w:t>
      </w:r>
      <w:r>
        <w:rPr>
          <w:rStyle w:val="76"/>
          <w:rFonts w:hint="eastAsia" w:ascii="宋体" w:hAnsi="宋体" w:cs="宋体"/>
          <w:b/>
          <w:bCs/>
          <w:snapToGrid/>
          <w:color w:val="FF0000"/>
          <w:kern w:val="2"/>
          <w:sz w:val="24"/>
          <w:szCs w:val="24"/>
          <w:highlight w:val="yellow"/>
          <w:lang w:val="en-US" w:eastAsia="zh-CN"/>
        </w:rPr>
        <w:t>00</w:t>
      </w:r>
      <w:r>
        <w:rPr>
          <w:rStyle w:val="76"/>
          <w:rFonts w:hint="eastAsia" w:ascii="宋体" w:hAnsi="宋体" w:eastAsia="宋体" w:cs="宋体"/>
          <w:b/>
          <w:bCs/>
          <w:snapToGrid/>
          <w:color w:val="FF0000"/>
          <w:kern w:val="2"/>
          <w:sz w:val="24"/>
          <w:szCs w:val="24"/>
          <w:highlight w:val="yellow"/>
        </w:rPr>
        <w:t>分00秒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QDZFCG2025TL-GK-017</w:t>
      </w:r>
    </w:p>
    <w:p w14:paraId="0312DF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桐庐县统一政务咨询投诉举报平台热线服务外包采购项目</w:t>
      </w:r>
    </w:p>
    <w:p w14:paraId="1C6D4CAA">
      <w:pPr>
        <w:spacing w:line="360" w:lineRule="auto"/>
        <w:rPr>
          <w:rFonts w:ascii="宋体" w:hAnsi="宋体" w:cs="宋体"/>
          <w:b w:val="0"/>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12588000</w:t>
      </w:r>
      <w:r>
        <w:rPr>
          <w:rFonts w:ascii="宋体" w:hAnsi="宋体" w:cs="宋体"/>
          <w:b w:val="0"/>
          <w:bCs/>
          <w:color w:val="auto"/>
          <w:sz w:val="24"/>
          <w:highlight w:val="none"/>
        </w:rPr>
        <w:t xml:space="preserve"> </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12588000</w:t>
      </w:r>
      <w:r>
        <w:rPr>
          <w:rFonts w:ascii="宋体" w:hAnsi="宋体" w:cs="宋体"/>
          <w:color w:val="auto"/>
          <w:sz w:val="24"/>
          <w:highlight w:val="none"/>
        </w:rPr>
        <w:t xml:space="preserve"> </w:t>
      </w:r>
    </w:p>
    <w:p w14:paraId="6EC5DB8E">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color w:val="auto"/>
          <w:sz w:val="24"/>
          <w:highlight w:val="none"/>
        </w:rPr>
        <w:t>桐庐县统一政务咨询投诉举报平台热线服务外包采购项目</w:t>
      </w:r>
      <w:r>
        <w:rPr>
          <w:rFonts w:hint="eastAsia" w:hAnsi="宋体" w:cs="宋体"/>
          <w:bCs/>
          <w:snapToGrid/>
          <w:color w:val="auto"/>
          <w:kern w:val="2"/>
          <w:sz w:val="24"/>
          <w:szCs w:val="24"/>
          <w:highlight w:val="none"/>
        </w:rPr>
        <w:t>主要内容：</w:t>
      </w:r>
      <w:r>
        <w:rPr>
          <w:rFonts w:hint="eastAsia" w:ascii="宋体" w:hAnsi="宋体" w:eastAsia="宋体" w:cs="宋体"/>
          <w:color w:val="auto"/>
          <w:sz w:val="24"/>
          <w:highlight w:val="none"/>
        </w:rPr>
        <w:t xml:space="preserve"> 提供热线平台运行所需的人力、培训、队伍建设等服务</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eastAsia="宋体" w:cs="宋体"/>
          <w:bCs/>
          <w:snapToGrid/>
          <w:color w:val="auto"/>
          <w:kern w:val="2"/>
          <w:sz w:val="24"/>
          <w:szCs w:val="24"/>
          <w:highlight w:val="none"/>
          <w:lang w:val="en-US" w:eastAsia="zh-CN" w:bidi="ar-SA"/>
        </w:rPr>
        <w:t>本项目服务期限三年，合同一年一签。(具</w:t>
      </w:r>
      <w:r>
        <w:rPr>
          <w:rFonts w:hint="eastAsia" w:hAnsi="宋体"/>
          <w:bCs/>
          <w:sz w:val="24"/>
          <w:szCs w:val="24"/>
        </w:rPr>
        <w:t>体服务期以合同签订为准</w:t>
      </w:r>
      <w:r>
        <w:rPr>
          <w:rFonts w:hint="eastAsia" w:hAnsi="宋体"/>
          <w:sz w:val="24"/>
          <w:szCs w:val="24"/>
        </w:rPr>
        <w:t>)。</w:t>
      </w:r>
      <w:r>
        <w:rPr>
          <w:rFonts w:ascii="宋体" w:hAnsi="宋体" w:cs="宋体"/>
          <w:color w:val="auto"/>
          <w:highlight w:val="none"/>
        </w:rPr>
        <w:t xml:space="preserve"> </w:t>
      </w:r>
    </w:p>
    <w:p w14:paraId="07281B0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FF0000"/>
          <w:sz w:val="24"/>
          <w:highlight w:val="yellow"/>
          <w:u w:val="single"/>
        </w:rPr>
        <w:t>202</w:t>
      </w:r>
      <w:r>
        <w:rPr>
          <w:rFonts w:hint="eastAsia" w:ascii="宋体" w:hAnsi="宋体" w:cs="宋体"/>
          <w:color w:val="FF0000"/>
          <w:sz w:val="24"/>
          <w:highlight w:val="yellow"/>
          <w:u w:val="single"/>
          <w:lang w:val="en-US" w:eastAsia="zh-CN"/>
        </w:rPr>
        <w:t>5</w:t>
      </w:r>
      <w:r>
        <w:rPr>
          <w:rFonts w:hint="eastAsia" w:ascii="宋体" w:hAnsi="宋体" w:cs="宋体"/>
          <w:color w:val="FF0000"/>
          <w:sz w:val="24"/>
          <w:highlight w:val="yellow"/>
          <w:u w:val="single"/>
        </w:rPr>
        <w:t>年</w:t>
      </w:r>
      <w:r>
        <w:rPr>
          <w:rFonts w:hint="eastAsia" w:ascii="宋体" w:hAnsi="宋体" w:cs="宋体"/>
          <w:color w:val="FF0000"/>
          <w:sz w:val="24"/>
          <w:highlight w:val="yellow"/>
          <w:u w:val="single"/>
          <w:lang w:val="en-US" w:eastAsia="zh-CN"/>
        </w:rPr>
        <w:t xml:space="preserve">  </w:t>
      </w:r>
      <w:r>
        <w:rPr>
          <w:rFonts w:hint="eastAsia" w:ascii="宋体" w:hAnsi="宋体" w:cs="宋体"/>
          <w:color w:val="FF0000"/>
          <w:sz w:val="24"/>
          <w:highlight w:val="yellow"/>
          <w:u w:val="single"/>
        </w:rPr>
        <w:t>月 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FF0000"/>
          <w:sz w:val="24"/>
          <w:highlight w:val="yellow"/>
          <w:u w:val="single"/>
        </w:rPr>
        <w:t>20</w:t>
      </w:r>
      <w:r>
        <w:rPr>
          <w:rFonts w:hint="eastAsia" w:ascii="宋体" w:hAnsi="宋体" w:cs="宋体"/>
          <w:color w:val="FF0000"/>
          <w:sz w:val="24"/>
          <w:highlight w:val="yellow"/>
          <w:u w:val="single"/>
          <w:lang w:val="en-US" w:eastAsia="zh-CN"/>
        </w:rPr>
        <w:t>25</w:t>
      </w:r>
      <w:r>
        <w:rPr>
          <w:rFonts w:hint="eastAsia" w:ascii="宋体" w:hAnsi="宋体" w:cs="宋体"/>
          <w:color w:val="FF0000"/>
          <w:sz w:val="24"/>
          <w:highlight w:val="yellow"/>
          <w:u w:val="single"/>
        </w:rPr>
        <w:t>年</w:t>
      </w:r>
      <w:r>
        <w:rPr>
          <w:rFonts w:hint="eastAsia" w:ascii="宋体" w:hAnsi="宋体" w:cs="宋体"/>
          <w:color w:val="FF0000"/>
          <w:sz w:val="24"/>
          <w:highlight w:val="yellow"/>
          <w:u w:val="single"/>
          <w:lang w:val="en-US" w:eastAsia="zh-CN"/>
        </w:rPr>
        <w:t xml:space="preserve">  </w:t>
      </w:r>
      <w:r>
        <w:rPr>
          <w:rFonts w:hint="eastAsia" w:ascii="宋体" w:hAnsi="宋体" w:cs="宋体"/>
          <w:color w:val="FF0000"/>
          <w:sz w:val="24"/>
          <w:highlight w:val="yellow"/>
          <w:u w:val="single"/>
        </w:rPr>
        <w:t>月 日</w:t>
      </w:r>
      <w:r>
        <w:rPr>
          <w:rFonts w:hint="eastAsia" w:ascii="宋体" w:hAnsi="宋体" w:cs="宋体"/>
          <w:color w:val="FF0000"/>
          <w:sz w:val="24"/>
          <w:highlight w:val="yellow"/>
          <w:u w:val="single"/>
          <w:lang w:val="en-US" w:eastAsia="zh-CN"/>
        </w:rPr>
        <w:t xml:space="preserve"> </w:t>
      </w:r>
      <w:r>
        <w:rPr>
          <w:rFonts w:hint="eastAsia" w:ascii="宋体" w:hAnsi="宋体" w:cs="宋体"/>
          <w:color w:val="FF0000"/>
          <w:sz w:val="24"/>
          <w:highlight w:val="yellow"/>
          <w:u w:val="single"/>
        </w:rPr>
        <w:t>点</w:t>
      </w:r>
      <w:r>
        <w:rPr>
          <w:rFonts w:hint="eastAsia" w:ascii="宋体" w:hAnsi="宋体" w:cs="宋体"/>
          <w:color w:val="FF0000"/>
          <w:sz w:val="24"/>
          <w:highlight w:val="yellow"/>
          <w:u w:val="single"/>
          <w:lang w:val="en-US" w:eastAsia="zh-CN"/>
        </w:rPr>
        <w:t>00</w:t>
      </w:r>
      <w:r>
        <w:rPr>
          <w:rFonts w:hint="eastAsia" w:ascii="宋体" w:hAnsi="宋体" w:cs="宋体"/>
          <w:color w:val="FF0000"/>
          <w:sz w:val="24"/>
          <w:highlight w:val="yellow"/>
          <w:u w:val="single"/>
        </w:rPr>
        <w:t>分00秒</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FF0000"/>
          <w:sz w:val="24"/>
          <w:highlight w:val="yellow"/>
          <w:u w:val="single"/>
        </w:rPr>
        <w:t>20</w:t>
      </w:r>
      <w:r>
        <w:rPr>
          <w:rFonts w:hint="eastAsia" w:ascii="宋体" w:hAnsi="宋体" w:cs="宋体"/>
          <w:color w:val="FF0000"/>
          <w:sz w:val="24"/>
          <w:highlight w:val="yellow"/>
          <w:u w:val="single"/>
          <w:lang w:val="en-US" w:eastAsia="zh-CN"/>
        </w:rPr>
        <w:t>25</w:t>
      </w:r>
      <w:r>
        <w:rPr>
          <w:rFonts w:hint="eastAsia" w:ascii="宋体" w:hAnsi="宋体" w:cs="宋体"/>
          <w:color w:val="FF0000"/>
          <w:sz w:val="24"/>
          <w:highlight w:val="yellow"/>
          <w:u w:val="single"/>
        </w:rPr>
        <w:t>年</w:t>
      </w:r>
      <w:r>
        <w:rPr>
          <w:rFonts w:hint="eastAsia" w:ascii="宋体" w:hAnsi="宋体" w:cs="宋体"/>
          <w:color w:val="FF0000"/>
          <w:sz w:val="24"/>
          <w:highlight w:val="yellow"/>
          <w:u w:val="single"/>
          <w:lang w:val="en-US" w:eastAsia="zh-CN"/>
        </w:rPr>
        <w:t xml:space="preserve">  </w:t>
      </w:r>
      <w:r>
        <w:rPr>
          <w:rFonts w:hint="eastAsia" w:ascii="宋体" w:hAnsi="宋体" w:cs="宋体"/>
          <w:color w:val="FF0000"/>
          <w:sz w:val="24"/>
          <w:highlight w:val="yellow"/>
          <w:u w:val="single"/>
        </w:rPr>
        <w:t>月 日</w:t>
      </w:r>
      <w:r>
        <w:rPr>
          <w:rFonts w:hint="eastAsia" w:ascii="宋体" w:hAnsi="宋体" w:cs="宋体"/>
          <w:color w:val="FF0000"/>
          <w:sz w:val="24"/>
          <w:highlight w:val="yellow"/>
          <w:u w:val="single"/>
          <w:lang w:val="en-US" w:eastAsia="zh-CN"/>
        </w:rPr>
        <w:t xml:space="preserve"> </w:t>
      </w:r>
      <w:r>
        <w:rPr>
          <w:rFonts w:hint="eastAsia" w:ascii="宋体" w:hAnsi="宋体" w:cs="宋体"/>
          <w:color w:val="FF0000"/>
          <w:sz w:val="24"/>
          <w:highlight w:val="yellow"/>
          <w:u w:val="single"/>
        </w:rPr>
        <w:t>点</w:t>
      </w:r>
      <w:r>
        <w:rPr>
          <w:rFonts w:hint="eastAsia" w:ascii="宋体" w:hAnsi="宋体" w:cs="宋体"/>
          <w:color w:val="FF0000"/>
          <w:sz w:val="24"/>
          <w:highlight w:val="yellow"/>
          <w:u w:val="single"/>
          <w:lang w:val="en-US" w:eastAsia="zh-CN"/>
        </w:rPr>
        <w:t>00</w:t>
      </w:r>
      <w:r>
        <w:rPr>
          <w:rFonts w:hint="eastAsia" w:ascii="宋体" w:hAnsi="宋体" w:cs="宋体"/>
          <w:color w:val="FF0000"/>
          <w:sz w:val="24"/>
          <w:highlight w:val="yellow"/>
          <w:u w:val="single"/>
        </w:rPr>
        <w:t>分00秒</w:t>
      </w:r>
      <w:r>
        <w:rPr>
          <w:rFonts w:hint="eastAsia" w:ascii="宋体" w:hAnsi="宋体" w:cs="宋体"/>
          <w:color w:val="auto"/>
          <w:sz w:val="24"/>
          <w:highlight w:val="none"/>
        </w:rPr>
        <w:t>（北京时间）</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名</w:t>
      </w:r>
      <w:r>
        <w:rPr>
          <w:rFonts w:hint="eastAsia" w:ascii="宋体" w:hAnsi="宋体" w:eastAsia="宋体" w:cs="宋体"/>
          <w:color w:val="auto"/>
          <w:sz w:val="24"/>
          <w:highlight w:val="none"/>
        </w:rPr>
        <w:t xml:space="preserve">    称：</w:t>
      </w:r>
      <w:r>
        <w:rPr>
          <w:rFonts w:hint="eastAsia" w:ascii="宋体" w:hAnsi="宋体" w:eastAsia="宋体" w:cs="宋体"/>
          <w:color w:val="auto"/>
          <w:sz w:val="24"/>
          <w:highlight w:val="none"/>
          <w:lang w:eastAsia="zh-CN"/>
        </w:rPr>
        <w:t>中共桐庐县委桐庐县人民政府信访局</w:t>
      </w:r>
      <w:r>
        <w:rPr>
          <w:rFonts w:hint="eastAsia" w:ascii="宋体" w:hAnsi="宋体" w:eastAsia="宋体" w:cs="宋体"/>
          <w:color w:val="auto"/>
          <w:sz w:val="24"/>
          <w:highlight w:val="none"/>
        </w:rPr>
        <w:t xml:space="preserve"> </w:t>
      </w:r>
    </w:p>
    <w:p w14:paraId="141E4C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color w:val="auto"/>
          <w:sz w:val="24"/>
          <w:highlight w:val="none"/>
          <w:lang w:eastAsia="zh-CN"/>
        </w:rPr>
        <w:t>桐庐县城南街道迎春南路</w:t>
      </w:r>
      <w:r>
        <w:rPr>
          <w:rFonts w:hint="eastAsia" w:ascii="宋体" w:hAnsi="宋体" w:eastAsia="宋体" w:cs="宋体"/>
          <w:color w:val="auto"/>
          <w:sz w:val="24"/>
          <w:highlight w:val="none"/>
          <w:lang w:val="en-US" w:eastAsia="zh-CN"/>
        </w:rPr>
        <w:t>303号丰源大厦3楼</w:t>
      </w:r>
      <w:r>
        <w:rPr>
          <w:rFonts w:hint="eastAsia" w:ascii="宋体" w:hAnsi="宋体" w:eastAsia="宋体" w:cs="宋体"/>
          <w:color w:val="auto"/>
          <w:sz w:val="24"/>
          <w:highlight w:val="none"/>
        </w:rPr>
        <w:t xml:space="preserve">       </w:t>
      </w:r>
    </w:p>
    <w:p w14:paraId="378259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791189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项目联系人（询问）：张彬  </w:t>
      </w:r>
    </w:p>
    <w:p w14:paraId="31CC70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 0571-642121</w:t>
      </w:r>
      <w:r>
        <w:rPr>
          <w:rFonts w:hint="eastAsia" w:ascii="宋体" w:hAnsi="宋体" w:eastAsia="宋体" w:cs="宋体"/>
          <w:color w:val="auto"/>
          <w:sz w:val="24"/>
          <w:highlight w:val="none"/>
          <w:lang w:val="en-US" w:eastAsia="zh-CN"/>
        </w:rPr>
        <w:t>87</w:t>
      </w:r>
      <w:r>
        <w:rPr>
          <w:rFonts w:hint="eastAsia" w:ascii="宋体" w:hAnsi="宋体" w:eastAsia="宋体" w:cs="宋体"/>
          <w:color w:val="auto"/>
          <w:sz w:val="24"/>
          <w:highlight w:val="none"/>
        </w:rPr>
        <w:t xml:space="preserve"> </w:t>
      </w:r>
    </w:p>
    <w:p w14:paraId="160DB7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eastAsia="zh-CN"/>
        </w:rPr>
        <w:t>林琳</w:t>
      </w:r>
      <w:r>
        <w:rPr>
          <w:rFonts w:hint="eastAsia" w:ascii="宋体" w:hAnsi="宋体" w:eastAsia="宋体" w:cs="宋体"/>
          <w:color w:val="auto"/>
          <w:sz w:val="24"/>
          <w:highlight w:val="none"/>
        </w:rPr>
        <w:t xml:space="preserve"> </w:t>
      </w:r>
    </w:p>
    <w:p w14:paraId="6722B2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w:t>
      </w:r>
      <w:r>
        <w:rPr>
          <w:rFonts w:hint="eastAsia" w:ascii="宋体" w:hAnsi="宋体" w:eastAsia="宋体" w:cs="宋体"/>
          <w:color w:val="auto"/>
          <w:sz w:val="24"/>
          <w:highlight w:val="none"/>
          <w:lang w:val="en-US" w:eastAsia="zh-CN"/>
        </w:rPr>
        <w:t>0571-64212708</w:t>
      </w:r>
      <w:r>
        <w:rPr>
          <w:rFonts w:hint="eastAsia" w:ascii="宋体" w:hAnsi="宋体" w:eastAsia="宋体" w:cs="宋体"/>
          <w:color w:val="auto"/>
          <w:sz w:val="24"/>
          <w:highlight w:val="none"/>
        </w:rPr>
        <w:t xml:space="preserve"> </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Theme="minorEastAsia" w:hAnsiTheme="minorEastAsia" w:eastAsiaTheme="minorEastAsia"/>
          <w:sz w:val="24"/>
        </w:rPr>
        <w:t>浙江乾达项目管理有限公司</w:t>
      </w:r>
    </w:p>
    <w:p w14:paraId="16C39B4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Theme="minorEastAsia" w:hAnsiTheme="minorEastAsia" w:eastAsiaTheme="minorEastAsia"/>
          <w:sz w:val="24"/>
        </w:rPr>
        <w:t>杭州市桐庐县荣正财富广场1301室</w:t>
      </w:r>
    </w:p>
    <w:p w14:paraId="4E949C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eastAsia="宋体" w:cs="宋体"/>
          <w:color w:val="auto"/>
          <w:sz w:val="24"/>
          <w:highlight w:val="none"/>
        </w:rPr>
        <w:t>/</w:t>
      </w:r>
      <w:r>
        <w:rPr>
          <w:rFonts w:hint="eastAsia" w:ascii="宋体" w:hAnsi="宋体" w:cs="宋体"/>
          <w:color w:val="auto"/>
          <w:sz w:val="24"/>
          <w:highlight w:val="none"/>
        </w:rPr>
        <w:t xml:space="preserve"> </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w:t>
      </w:r>
      <w:r>
        <w:rPr>
          <w:rFonts w:hint="eastAsia" w:asciiTheme="minorEastAsia" w:hAnsiTheme="minorEastAsia" w:eastAsiaTheme="minorEastAsia"/>
          <w:sz w:val="24"/>
        </w:rPr>
        <w:t>马浩鑫</w:t>
      </w:r>
    </w:p>
    <w:p w14:paraId="5C2D721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Theme="minorEastAsia" w:hAnsiTheme="minorEastAsia" w:eastAsiaTheme="minorEastAsia"/>
          <w:sz w:val="24"/>
        </w:rPr>
        <w:t>13750846187</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eastAsia="zh-CN"/>
        </w:rPr>
        <w:t>沈吉</w:t>
      </w:r>
    </w:p>
    <w:p w14:paraId="23E21F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13968055522</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43"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7019300">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eastAsia="宋体" w:cs="宋体"/>
                <w:kern w:val="0"/>
                <w:sz w:val="24"/>
                <w:u w:val="single"/>
              </w:rPr>
              <w:t>桐庐县统一政务咨询投诉举报平台热线服务外包采购项目</w:t>
            </w:r>
            <w:r>
              <w:rPr>
                <w:rFonts w:hint="eastAsia" w:ascii="宋体" w:hAnsi="宋体" w:cs="宋体"/>
                <w:color w:val="auto"/>
                <w:kern w:val="0"/>
                <w:sz w:val="24"/>
                <w:highlight w:val="none"/>
              </w:rPr>
              <w:t>，属于</w:t>
            </w:r>
            <w:r>
              <w:rPr>
                <w:rFonts w:hint="eastAsia" w:ascii="宋体" w:hAnsi="宋体" w:cs="宋体"/>
                <w:kern w:val="0"/>
                <w:sz w:val="24"/>
                <w:u w:val="single"/>
              </w:rPr>
              <w:t>其他未列明行业</w:t>
            </w:r>
            <w:r>
              <w:rPr>
                <w:rFonts w:hint="eastAsia" w:ascii="宋体" w:hAnsi="宋体" w:cs="宋体"/>
                <w:color w:val="auto"/>
                <w:kern w:val="0"/>
                <w:sz w:val="24"/>
                <w:highlight w:val="none"/>
              </w:rPr>
              <w:t>行业；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18E5266">
            <w:pPr>
              <w:pStyle w:val="79"/>
              <w:ind w:firstLine="0" w:firstLineChars="0"/>
              <w:rPr>
                <w:color w:val="auto"/>
                <w:highlight w:val="none"/>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vAlign w:val="center"/>
          </w:tcPr>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sz w:val="24"/>
                <w:u w:val="single"/>
              </w:rPr>
              <w:t>桐庐县荣正财富广场1301室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13750846187</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129343D">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sz w:val="24"/>
              </w:rPr>
              <w:t>本次代理服务费</w:t>
            </w:r>
            <w:r>
              <w:rPr>
                <w:rFonts w:hint="eastAsia" w:ascii="宋体" w:hAnsi="宋体" w:cs="宋体"/>
                <w:sz w:val="24"/>
                <w:lang w:val="en-US" w:eastAsia="zh-CN"/>
              </w:rPr>
              <w:t>按桐庐县中介优选标准</w:t>
            </w:r>
            <w:r>
              <w:rPr>
                <w:rFonts w:hint="eastAsia" w:ascii="宋体" w:hAnsi="宋体" w:cs="宋体"/>
                <w:sz w:val="24"/>
              </w:rPr>
              <w:t>由中标人支付。</w:t>
            </w:r>
            <w:r>
              <w:rPr>
                <w:rFonts w:hint="eastAsia" w:ascii="宋体" w:hAnsi="宋体" w:eastAsia="宋体" w:cs="宋体"/>
                <w:color w:val="auto"/>
                <w:sz w:val="24"/>
                <w:szCs w:val="24"/>
                <w:highlight w:val="none"/>
                <w:lang w:val="en-US" w:eastAsia="zh-Hans"/>
              </w:rPr>
              <w:t>代理服务费用由中标单位在领取中标通知书时，一次性支付给代理公司，上述费用应含在投标报价中（不得单独列项），投标人在投标报价让利中考虑上述费用。</w:t>
            </w:r>
          </w:p>
        </w:tc>
      </w:tr>
    </w:tbl>
    <w:p w14:paraId="1969C939">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2"/>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2BB4CFD">
      <w:pPr>
        <w:pStyle w:val="890"/>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2"/>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0" w:firstLineChars="200"/>
        <w:rPr>
          <w:rStyle w:val="78"/>
          <w:color w:val="auto"/>
          <w:highlight w:val="none"/>
        </w:rPr>
      </w:pPr>
      <w:r>
        <w:rPr>
          <w:rFonts w:hint="eastAsia" w:ascii="宋体" w:hAnsi="宋体" w:cs="宋体"/>
          <w:b w:val="0"/>
          <w:bCs/>
          <w:color w:val="auto"/>
          <w:szCs w:val="24"/>
          <w:highlight w:val="none"/>
          <w:lang w:val="en-US" w:eastAsia="zh-CN"/>
        </w:rPr>
        <w:t>23.4</w:t>
      </w:r>
      <w:r>
        <w:rPr>
          <w:rFonts w:hint="eastAsia" w:ascii="宋体" w:hAnsi="宋体" w:cs="宋体"/>
          <w:b/>
          <w:color w:val="auto"/>
          <w:szCs w:val="24"/>
          <w:highlight w:val="none"/>
          <w:lang w:val="en-US" w:eastAsia="zh-CN"/>
        </w:rPr>
        <w:t xml:space="preserve">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hint="eastAsia" w:ascii="宋体" w:hAnsi="宋体" w:cs="宋体"/>
          <w:color w:val="auto"/>
          <w:sz w:val="24"/>
          <w:highlight w:val="none"/>
          <w:lang w:val="en-US" w:eastAsia="zh-CN"/>
        </w:rPr>
        <w:t>0.</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2"/>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4"/>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68072998"/>
      <w:bookmarkEnd w:id="16"/>
      <w:bookmarkStart w:id="17" w:name="_Hlt68073093"/>
      <w:bookmarkEnd w:id="17"/>
      <w:bookmarkStart w:id="18" w:name="_Hlt75236101"/>
      <w:bookmarkEnd w:id="18"/>
      <w:bookmarkStart w:id="19" w:name="_Hlt74707468"/>
      <w:bookmarkEnd w:id="19"/>
      <w:bookmarkStart w:id="20" w:name="_Hlt68057669"/>
      <w:bookmarkEnd w:id="20"/>
      <w:bookmarkStart w:id="21" w:name="_Hlt74729768"/>
      <w:bookmarkEnd w:id="21"/>
      <w:bookmarkStart w:id="22" w:name="_Hlt74730295"/>
      <w:bookmarkEnd w:id="22"/>
      <w:bookmarkStart w:id="23" w:name="_Hlt68403820"/>
      <w:bookmarkEnd w:id="23"/>
      <w:bookmarkStart w:id="24" w:name="_Hlt74714665"/>
      <w:bookmarkEnd w:id="24"/>
      <w:bookmarkStart w:id="25" w:name="_Hlt75236290"/>
      <w:bookmarkEnd w:id="25"/>
      <w:bookmarkStart w:id="26" w:name="_Hlt75236011"/>
      <w:bookmarkEnd w:id="26"/>
    </w:p>
    <w:bookmarkEnd w:id="11"/>
    <w:bookmarkEnd w:id="12"/>
    <w:p w14:paraId="361939AC">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313BD9FA">
      <w:pPr>
        <w:widowControl/>
        <w:numPr>
          <w:ilvl w:val="0"/>
          <w:numId w:val="0"/>
        </w:numPr>
        <w:tabs>
          <w:tab w:val="left" w:pos="425"/>
          <w:tab w:val="left" w:pos="747"/>
        </w:tabs>
        <w:spacing w:line="360" w:lineRule="auto"/>
        <w:ind w:firstLine="241" w:firstLineChars="1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一、采购内容及数量</w:t>
      </w:r>
    </w:p>
    <w:tbl>
      <w:tblPr>
        <w:tblStyle w:val="62"/>
        <w:tblpPr w:leftFromText="180" w:rightFromText="180" w:vertAnchor="text" w:horzAnchor="page" w:tblpXSpec="center" w:tblpY="67"/>
        <w:tblOverlap w:val="never"/>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233"/>
        <w:gridCol w:w="1360"/>
        <w:gridCol w:w="3358"/>
        <w:gridCol w:w="903"/>
        <w:gridCol w:w="903"/>
      </w:tblGrid>
      <w:tr w14:paraId="3A00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shd w:val="clear" w:color="auto" w:fill="FFFFFF"/>
            <w:noWrap w:val="0"/>
            <w:vAlign w:val="center"/>
          </w:tcPr>
          <w:p w14:paraId="6329A7D9">
            <w:pPr>
              <w:pStyle w:val="841"/>
              <w:jc w:val="center"/>
              <w:rPr>
                <w:rFonts w:hint="eastAsia" w:ascii="宋体" w:hAnsi="宋体" w:eastAsia="宋体" w:cs="宋体"/>
                <w:b/>
                <w:bCs/>
                <w:sz w:val="24"/>
                <w:szCs w:val="24"/>
              </w:rPr>
            </w:pPr>
            <w:bookmarkStart w:id="28" w:name="_Toc488302347"/>
            <w:r>
              <w:rPr>
                <w:rFonts w:hint="eastAsia" w:ascii="宋体" w:hAnsi="宋体" w:eastAsia="宋体" w:cs="宋体"/>
                <w:b/>
                <w:bCs/>
                <w:sz w:val="24"/>
                <w:szCs w:val="24"/>
              </w:rPr>
              <w:t>序号</w:t>
            </w:r>
          </w:p>
        </w:tc>
        <w:tc>
          <w:tcPr>
            <w:tcW w:w="1233" w:type="dxa"/>
            <w:shd w:val="clear" w:color="auto" w:fill="FFFFFF"/>
            <w:noWrap w:val="0"/>
            <w:vAlign w:val="center"/>
          </w:tcPr>
          <w:p w14:paraId="3A1E8676">
            <w:pPr>
              <w:pStyle w:val="841"/>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1360" w:type="dxa"/>
            <w:shd w:val="clear" w:color="auto" w:fill="FFFFFF"/>
            <w:noWrap w:val="0"/>
            <w:vAlign w:val="center"/>
          </w:tcPr>
          <w:p w14:paraId="0D245C05">
            <w:pPr>
              <w:pStyle w:val="841"/>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3358" w:type="dxa"/>
            <w:shd w:val="clear" w:color="auto" w:fill="FFFFFF"/>
            <w:noWrap w:val="0"/>
            <w:vAlign w:val="center"/>
          </w:tcPr>
          <w:p w14:paraId="753988EF">
            <w:pPr>
              <w:pStyle w:val="841"/>
              <w:jc w:val="center"/>
              <w:rPr>
                <w:rFonts w:hint="eastAsia" w:ascii="宋体" w:hAnsi="宋体" w:eastAsia="宋体" w:cs="宋体"/>
                <w:b/>
                <w:bCs/>
                <w:sz w:val="24"/>
                <w:szCs w:val="24"/>
              </w:rPr>
            </w:pPr>
            <w:r>
              <w:rPr>
                <w:rFonts w:hint="eastAsia" w:ascii="宋体" w:hAnsi="宋体" w:eastAsia="宋体" w:cs="宋体"/>
                <w:b/>
                <w:bCs/>
                <w:sz w:val="24"/>
                <w:szCs w:val="24"/>
              </w:rPr>
              <w:t>服务内容</w:t>
            </w:r>
          </w:p>
        </w:tc>
        <w:tc>
          <w:tcPr>
            <w:tcW w:w="903" w:type="dxa"/>
            <w:shd w:val="clear" w:color="auto" w:fill="FFFFFF"/>
            <w:noWrap w:val="0"/>
            <w:vAlign w:val="center"/>
          </w:tcPr>
          <w:p w14:paraId="12F5A5CF">
            <w:pPr>
              <w:pStyle w:val="841"/>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903" w:type="dxa"/>
            <w:shd w:val="clear" w:color="auto" w:fill="FFFFFF"/>
            <w:noWrap w:val="0"/>
            <w:vAlign w:val="center"/>
          </w:tcPr>
          <w:p w14:paraId="71986A41">
            <w:pPr>
              <w:pStyle w:val="841"/>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单位</w:t>
            </w:r>
          </w:p>
        </w:tc>
      </w:tr>
      <w:tr w14:paraId="5D38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vMerge w:val="restart"/>
            <w:shd w:val="clear" w:color="auto" w:fill="FFFFFF"/>
            <w:noWrap w:val="0"/>
            <w:vAlign w:val="center"/>
          </w:tcPr>
          <w:p w14:paraId="77B11551">
            <w:pPr>
              <w:pStyle w:val="841"/>
              <w:jc w:val="center"/>
              <w:rPr>
                <w:rFonts w:hint="eastAsia" w:ascii="宋体" w:hAnsi="宋体" w:eastAsia="宋体" w:cs="宋体"/>
                <w:sz w:val="24"/>
                <w:szCs w:val="24"/>
              </w:rPr>
            </w:pPr>
            <w:r>
              <w:rPr>
                <w:rFonts w:hint="eastAsia" w:ascii="宋体" w:hAnsi="宋体" w:eastAsia="宋体" w:cs="宋体"/>
                <w:sz w:val="24"/>
                <w:szCs w:val="24"/>
              </w:rPr>
              <w:t>1</w:t>
            </w:r>
          </w:p>
        </w:tc>
        <w:tc>
          <w:tcPr>
            <w:tcW w:w="1233" w:type="dxa"/>
            <w:vMerge w:val="restart"/>
            <w:shd w:val="clear" w:color="auto" w:fill="FFFFFF"/>
            <w:noWrap w:val="0"/>
            <w:vAlign w:val="center"/>
          </w:tcPr>
          <w:p w14:paraId="2CB8C2DE">
            <w:pPr>
              <w:pStyle w:val="841"/>
              <w:rPr>
                <w:rFonts w:hint="eastAsia" w:ascii="宋体" w:hAnsi="宋体" w:eastAsia="宋体" w:cs="宋体"/>
                <w:sz w:val="24"/>
                <w:szCs w:val="24"/>
              </w:rPr>
            </w:pPr>
            <w:r>
              <w:rPr>
                <w:rFonts w:hint="eastAsia" w:ascii="宋体" w:hAnsi="宋体" w:eastAsia="宋体" w:cs="宋体"/>
                <w:sz w:val="24"/>
                <w:szCs w:val="24"/>
              </w:rPr>
              <w:t>建设运营部分</w:t>
            </w:r>
          </w:p>
          <w:p w14:paraId="36140FBF">
            <w:pPr>
              <w:ind w:firstLine="560"/>
              <w:rPr>
                <w:rFonts w:hint="eastAsia" w:ascii="宋体" w:hAnsi="宋体" w:eastAsia="宋体" w:cs="宋体"/>
                <w:sz w:val="24"/>
                <w:szCs w:val="24"/>
              </w:rPr>
            </w:pPr>
          </w:p>
        </w:tc>
        <w:tc>
          <w:tcPr>
            <w:tcW w:w="1360" w:type="dxa"/>
            <w:shd w:val="clear" w:color="auto" w:fill="FFFFFF"/>
            <w:noWrap w:val="0"/>
            <w:vAlign w:val="center"/>
          </w:tcPr>
          <w:p w14:paraId="1F1FA686">
            <w:pPr>
              <w:pStyle w:val="841"/>
              <w:rPr>
                <w:rFonts w:hint="eastAsia" w:ascii="宋体" w:hAnsi="宋体" w:eastAsia="宋体" w:cs="宋体"/>
                <w:sz w:val="24"/>
                <w:szCs w:val="24"/>
              </w:rPr>
            </w:pPr>
            <w:r>
              <w:rPr>
                <w:rFonts w:hint="eastAsia" w:ascii="宋体" w:hAnsi="宋体" w:eastAsia="宋体" w:cs="宋体"/>
                <w:sz w:val="24"/>
                <w:szCs w:val="24"/>
              </w:rPr>
              <w:t>坐席系统</w:t>
            </w:r>
          </w:p>
        </w:tc>
        <w:tc>
          <w:tcPr>
            <w:tcW w:w="3358" w:type="dxa"/>
            <w:shd w:val="clear" w:color="auto" w:fill="FFFFFF"/>
            <w:noWrap w:val="0"/>
            <w:vAlign w:val="center"/>
          </w:tcPr>
          <w:p w14:paraId="76AD5319">
            <w:pPr>
              <w:pStyle w:val="841"/>
              <w:rPr>
                <w:rFonts w:hint="eastAsia" w:ascii="宋体" w:hAnsi="宋体" w:eastAsia="宋体" w:cs="宋体"/>
                <w:sz w:val="24"/>
                <w:szCs w:val="24"/>
              </w:rPr>
            </w:pPr>
            <w:r>
              <w:rPr>
                <w:rFonts w:hint="eastAsia" w:ascii="宋体" w:hAnsi="宋体" w:eastAsia="宋体" w:cs="宋体"/>
                <w:sz w:val="24"/>
                <w:szCs w:val="24"/>
              </w:rPr>
              <w:t>呼叫中心坐席软件</w:t>
            </w:r>
          </w:p>
        </w:tc>
        <w:tc>
          <w:tcPr>
            <w:tcW w:w="903" w:type="dxa"/>
            <w:shd w:val="clear" w:color="auto" w:fill="FFFFFF"/>
            <w:noWrap w:val="0"/>
            <w:vAlign w:val="center"/>
          </w:tcPr>
          <w:p w14:paraId="6539BD8F">
            <w:pPr>
              <w:pStyle w:val="841"/>
              <w:jc w:val="center"/>
              <w:rPr>
                <w:rFonts w:hint="eastAsia" w:ascii="宋体" w:hAnsi="宋体" w:eastAsia="宋体" w:cs="宋体"/>
                <w:sz w:val="24"/>
                <w:szCs w:val="24"/>
              </w:rPr>
            </w:pPr>
            <w:r>
              <w:rPr>
                <w:rFonts w:hint="eastAsia" w:ascii="宋体" w:hAnsi="宋体" w:eastAsia="宋体" w:cs="宋体"/>
                <w:sz w:val="24"/>
                <w:szCs w:val="24"/>
              </w:rPr>
              <w:t>34</w:t>
            </w:r>
          </w:p>
        </w:tc>
        <w:tc>
          <w:tcPr>
            <w:tcW w:w="903" w:type="dxa"/>
            <w:shd w:val="clear" w:color="auto" w:fill="FFFFFF"/>
            <w:noWrap w:val="0"/>
            <w:vAlign w:val="center"/>
          </w:tcPr>
          <w:p w14:paraId="1FF5BBEF">
            <w:pPr>
              <w:pStyle w:val="841"/>
              <w:jc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r>
      <w:tr w14:paraId="51DF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vMerge w:val="continue"/>
            <w:shd w:val="clear" w:color="auto" w:fill="FFFFFF"/>
            <w:noWrap w:val="0"/>
            <w:vAlign w:val="center"/>
          </w:tcPr>
          <w:p w14:paraId="2BC75D51">
            <w:pPr>
              <w:pStyle w:val="841"/>
              <w:jc w:val="center"/>
              <w:rPr>
                <w:rFonts w:hint="eastAsia" w:ascii="宋体" w:hAnsi="宋体" w:eastAsia="宋体" w:cs="宋体"/>
                <w:sz w:val="24"/>
                <w:szCs w:val="24"/>
              </w:rPr>
            </w:pPr>
          </w:p>
        </w:tc>
        <w:tc>
          <w:tcPr>
            <w:tcW w:w="1233" w:type="dxa"/>
            <w:vMerge w:val="continue"/>
            <w:shd w:val="clear" w:color="auto" w:fill="FFFFFF"/>
            <w:noWrap w:val="0"/>
            <w:vAlign w:val="center"/>
          </w:tcPr>
          <w:p w14:paraId="1CED6433">
            <w:pPr>
              <w:pStyle w:val="841"/>
              <w:rPr>
                <w:rFonts w:hint="eastAsia" w:ascii="宋体" w:hAnsi="宋体" w:eastAsia="宋体" w:cs="宋体"/>
                <w:sz w:val="24"/>
                <w:szCs w:val="24"/>
              </w:rPr>
            </w:pPr>
          </w:p>
        </w:tc>
        <w:tc>
          <w:tcPr>
            <w:tcW w:w="1360" w:type="dxa"/>
            <w:shd w:val="clear" w:color="auto" w:fill="FFFFFF"/>
            <w:noWrap w:val="0"/>
            <w:vAlign w:val="center"/>
          </w:tcPr>
          <w:p w14:paraId="7A6D5B1B">
            <w:pPr>
              <w:pStyle w:val="841"/>
              <w:rPr>
                <w:rFonts w:hint="eastAsia" w:ascii="宋体" w:hAnsi="宋体" w:eastAsia="宋体" w:cs="宋体"/>
                <w:sz w:val="24"/>
                <w:szCs w:val="24"/>
              </w:rPr>
            </w:pPr>
            <w:r>
              <w:rPr>
                <w:rFonts w:hint="eastAsia" w:ascii="宋体" w:hAnsi="宋体" w:eastAsia="宋体" w:cs="宋体"/>
                <w:sz w:val="24"/>
                <w:szCs w:val="24"/>
              </w:rPr>
              <w:t>平台灾备坐席系统</w:t>
            </w:r>
          </w:p>
        </w:tc>
        <w:tc>
          <w:tcPr>
            <w:tcW w:w="3358" w:type="dxa"/>
            <w:shd w:val="clear" w:color="auto" w:fill="FFFFFF"/>
            <w:noWrap w:val="0"/>
            <w:vAlign w:val="center"/>
          </w:tcPr>
          <w:p w14:paraId="70901EC5">
            <w:pPr>
              <w:pStyle w:val="841"/>
              <w:rPr>
                <w:rFonts w:hint="eastAsia" w:ascii="宋体" w:hAnsi="宋体" w:eastAsia="宋体" w:cs="宋体"/>
                <w:sz w:val="24"/>
                <w:szCs w:val="24"/>
              </w:rPr>
            </w:pPr>
            <w:r>
              <w:rPr>
                <w:rFonts w:hint="eastAsia" w:ascii="宋体" w:hAnsi="宋体" w:eastAsia="宋体" w:cs="宋体"/>
                <w:sz w:val="24"/>
                <w:szCs w:val="24"/>
              </w:rPr>
              <w:t>灾备坐席系统</w:t>
            </w:r>
          </w:p>
        </w:tc>
        <w:tc>
          <w:tcPr>
            <w:tcW w:w="903" w:type="dxa"/>
            <w:shd w:val="clear" w:color="auto" w:fill="FFFFFF"/>
            <w:noWrap w:val="0"/>
            <w:vAlign w:val="center"/>
          </w:tcPr>
          <w:p w14:paraId="43BC790D">
            <w:pPr>
              <w:pStyle w:val="841"/>
              <w:jc w:val="center"/>
              <w:rPr>
                <w:rFonts w:hint="eastAsia" w:ascii="宋体" w:hAnsi="宋体" w:eastAsia="宋体" w:cs="宋体"/>
                <w:sz w:val="24"/>
                <w:szCs w:val="24"/>
              </w:rPr>
            </w:pPr>
            <w:r>
              <w:rPr>
                <w:rFonts w:hint="eastAsia" w:ascii="宋体" w:hAnsi="宋体" w:eastAsia="宋体" w:cs="宋体"/>
                <w:sz w:val="24"/>
                <w:szCs w:val="24"/>
              </w:rPr>
              <w:t>5</w:t>
            </w:r>
          </w:p>
        </w:tc>
        <w:tc>
          <w:tcPr>
            <w:tcW w:w="903" w:type="dxa"/>
            <w:shd w:val="clear" w:color="auto" w:fill="FFFFFF"/>
            <w:noWrap w:val="0"/>
            <w:vAlign w:val="center"/>
          </w:tcPr>
          <w:p w14:paraId="71068A91">
            <w:pPr>
              <w:pStyle w:val="841"/>
              <w:jc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r>
      <w:tr w14:paraId="7C38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vMerge w:val="continue"/>
            <w:shd w:val="clear" w:color="auto" w:fill="FFFFFF"/>
            <w:noWrap w:val="0"/>
            <w:vAlign w:val="center"/>
          </w:tcPr>
          <w:p w14:paraId="4D809E8A">
            <w:pPr>
              <w:pStyle w:val="841"/>
              <w:jc w:val="center"/>
              <w:rPr>
                <w:rFonts w:hint="eastAsia" w:ascii="宋体" w:hAnsi="宋体" w:eastAsia="宋体" w:cs="宋体"/>
                <w:sz w:val="24"/>
                <w:szCs w:val="24"/>
              </w:rPr>
            </w:pPr>
          </w:p>
        </w:tc>
        <w:tc>
          <w:tcPr>
            <w:tcW w:w="1233" w:type="dxa"/>
            <w:vMerge w:val="continue"/>
            <w:shd w:val="clear" w:color="auto" w:fill="FFFFFF"/>
            <w:noWrap w:val="0"/>
            <w:vAlign w:val="center"/>
          </w:tcPr>
          <w:p w14:paraId="22A9A52D">
            <w:pPr>
              <w:pStyle w:val="841"/>
              <w:rPr>
                <w:rFonts w:hint="eastAsia" w:ascii="宋体" w:hAnsi="宋体" w:eastAsia="宋体" w:cs="宋体"/>
                <w:sz w:val="24"/>
                <w:szCs w:val="24"/>
              </w:rPr>
            </w:pPr>
          </w:p>
        </w:tc>
        <w:tc>
          <w:tcPr>
            <w:tcW w:w="1360" w:type="dxa"/>
            <w:shd w:val="clear" w:color="auto" w:fill="FFFFFF"/>
            <w:noWrap w:val="0"/>
            <w:vAlign w:val="center"/>
          </w:tcPr>
          <w:p w14:paraId="3B1DD453">
            <w:pPr>
              <w:pStyle w:val="841"/>
              <w:rPr>
                <w:rFonts w:hint="eastAsia" w:ascii="宋体" w:hAnsi="宋体" w:eastAsia="宋体" w:cs="宋体"/>
                <w:sz w:val="24"/>
                <w:szCs w:val="24"/>
              </w:rPr>
            </w:pPr>
            <w:r>
              <w:rPr>
                <w:rFonts w:hint="eastAsia" w:ascii="宋体" w:hAnsi="宋体" w:eastAsia="宋体" w:cs="宋体"/>
                <w:sz w:val="24"/>
                <w:szCs w:val="24"/>
              </w:rPr>
              <w:t>培训、文化及技术维护</w:t>
            </w:r>
          </w:p>
        </w:tc>
        <w:tc>
          <w:tcPr>
            <w:tcW w:w="3358" w:type="dxa"/>
            <w:shd w:val="clear" w:color="auto" w:fill="FFFFFF"/>
            <w:noWrap w:val="0"/>
            <w:vAlign w:val="center"/>
          </w:tcPr>
          <w:p w14:paraId="4125149E">
            <w:pPr>
              <w:pStyle w:val="841"/>
              <w:rPr>
                <w:rFonts w:hint="eastAsia" w:ascii="宋体" w:hAnsi="宋体" w:eastAsia="宋体" w:cs="宋体"/>
                <w:sz w:val="24"/>
                <w:szCs w:val="24"/>
              </w:rPr>
            </w:pPr>
            <w:r>
              <w:rPr>
                <w:rFonts w:hint="eastAsia" w:ascii="宋体" w:hAnsi="宋体" w:eastAsia="宋体" w:cs="宋体"/>
                <w:sz w:val="24"/>
                <w:szCs w:val="24"/>
              </w:rPr>
              <w:t>业务培训、团队文化建设、网络环境维护及智能化应用服务</w:t>
            </w:r>
          </w:p>
        </w:tc>
        <w:tc>
          <w:tcPr>
            <w:tcW w:w="903" w:type="dxa"/>
            <w:shd w:val="clear" w:color="auto" w:fill="FFFFFF"/>
            <w:noWrap w:val="0"/>
            <w:vAlign w:val="center"/>
          </w:tcPr>
          <w:p w14:paraId="15080913">
            <w:pPr>
              <w:pStyle w:val="841"/>
              <w:jc w:val="center"/>
              <w:rPr>
                <w:rFonts w:hint="eastAsia" w:ascii="宋体" w:hAnsi="宋体" w:eastAsia="宋体" w:cs="宋体"/>
                <w:sz w:val="24"/>
                <w:szCs w:val="24"/>
              </w:rPr>
            </w:pPr>
            <w:r>
              <w:rPr>
                <w:rFonts w:hint="eastAsia" w:ascii="宋体" w:hAnsi="宋体" w:eastAsia="宋体" w:cs="宋体"/>
                <w:sz w:val="24"/>
                <w:szCs w:val="24"/>
              </w:rPr>
              <w:t>1</w:t>
            </w:r>
          </w:p>
        </w:tc>
        <w:tc>
          <w:tcPr>
            <w:tcW w:w="903" w:type="dxa"/>
            <w:shd w:val="clear" w:color="auto" w:fill="FFFFFF"/>
            <w:noWrap w:val="0"/>
            <w:vAlign w:val="center"/>
          </w:tcPr>
          <w:p w14:paraId="7F32DC7D">
            <w:pPr>
              <w:pStyle w:val="841"/>
              <w:jc w:val="center"/>
              <w:rPr>
                <w:rFonts w:hint="eastAsia" w:ascii="宋体" w:hAnsi="宋体" w:eastAsia="宋体" w:cs="宋体"/>
                <w:sz w:val="24"/>
                <w:szCs w:val="24"/>
                <w:lang w:eastAsia="zh-CN"/>
              </w:rPr>
            </w:pPr>
            <w:r>
              <w:rPr>
                <w:rFonts w:hint="eastAsia" w:ascii="宋体" w:hAnsi="宋体" w:cs="宋体"/>
                <w:sz w:val="24"/>
                <w:szCs w:val="24"/>
                <w:lang w:eastAsia="zh-CN"/>
              </w:rPr>
              <w:t>项</w:t>
            </w:r>
          </w:p>
        </w:tc>
      </w:tr>
      <w:tr w14:paraId="382F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vMerge w:val="restart"/>
            <w:shd w:val="clear" w:color="auto" w:fill="FFFFFF"/>
            <w:noWrap w:val="0"/>
            <w:vAlign w:val="center"/>
          </w:tcPr>
          <w:p w14:paraId="5748A23A">
            <w:pPr>
              <w:pStyle w:val="841"/>
              <w:jc w:val="center"/>
              <w:rPr>
                <w:rFonts w:hint="eastAsia" w:ascii="宋体" w:hAnsi="宋体" w:eastAsia="宋体" w:cs="宋体"/>
                <w:sz w:val="24"/>
                <w:szCs w:val="24"/>
              </w:rPr>
            </w:pPr>
            <w:r>
              <w:rPr>
                <w:rFonts w:hint="eastAsia" w:ascii="宋体" w:hAnsi="宋体" w:eastAsia="宋体" w:cs="宋体"/>
                <w:sz w:val="24"/>
                <w:szCs w:val="24"/>
              </w:rPr>
              <w:t>2</w:t>
            </w:r>
          </w:p>
        </w:tc>
        <w:tc>
          <w:tcPr>
            <w:tcW w:w="1233" w:type="dxa"/>
            <w:vMerge w:val="restart"/>
            <w:shd w:val="clear" w:color="auto" w:fill="FFFFFF"/>
            <w:noWrap w:val="0"/>
            <w:vAlign w:val="center"/>
          </w:tcPr>
          <w:p w14:paraId="1F6C4FC7">
            <w:pPr>
              <w:pStyle w:val="841"/>
              <w:rPr>
                <w:rFonts w:hint="eastAsia" w:ascii="宋体" w:hAnsi="宋体" w:eastAsia="宋体" w:cs="宋体"/>
                <w:sz w:val="24"/>
                <w:szCs w:val="24"/>
              </w:rPr>
            </w:pPr>
            <w:r>
              <w:rPr>
                <w:rFonts w:hint="eastAsia" w:ascii="宋体" w:hAnsi="宋体" w:eastAsia="宋体" w:cs="宋体"/>
                <w:sz w:val="24"/>
                <w:szCs w:val="24"/>
              </w:rPr>
              <w:t>人员部分</w:t>
            </w:r>
          </w:p>
        </w:tc>
        <w:tc>
          <w:tcPr>
            <w:tcW w:w="1360" w:type="dxa"/>
            <w:shd w:val="clear" w:color="auto" w:fill="FFFFFF"/>
            <w:noWrap w:val="0"/>
            <w:vAlign w:val="center"/>
          </w:tcPr>
          <w:p w14:paraId="021A02C2">
            <w:pPr>
              <w:pStyle w:val="841"/>
              <w:rPr>
                <w:rFonts w:hint="eastAsia" w:ascii="宋体" w:hAnsi="宋体" w:eastAsia="宋体" w:cs="宋体"/>
                <w:sz w:val="24"/>
                <w:szCs w:val="24"/>
              </w:rPr>
            </w:pPr>
            <w:r>
              <w:rPr>
                <w:rFonts w:hint="eastAsia" w:ascii="宋体" w:hAnsi="宋体" w:eastAsia="宋体" w:cs="宋体"/>
                <w:sz w:val="24"/>
                <w:szCs w:val="24"/>
              </w:rPr>
              <w:t>话务人员</w:t>
            </w:r>
          </w:p>
        </w:tc>
        <w:tc>
          <w:tcPr>
            <w:tcW w:w="3358" w:type="dxa"/>
            <w:shd w:val="clear" w:color="auto" w:fill="FFFFFF"/>
            <w:noWrap w:val="0"/>
            <w:vAlign w:val="center"/>
          </w:tcPr>
          <w:p w14:paraId="37FEE801">
            <w:pPr>
              <w:pStyle w:val="841"/>
              <w:rPr>
                <w:rFonts w:hint="eastAsia" w:ascii="宋体" w:hAnsi="宋体" w:eastAsia="宋体" w:cs="宋体"/>
                <w:sz w:val="24"/>
                <w:szCs w:val="24"/>
              </w:rPr>
            </w:pPr>
            <w:r>
              <w:rPr>
                <w:rFonts w:hint="eastAsia" w:ascii="宋体" w:hAnsi="宋体" w:eastAsia="宋体" w:cs="宋体"/>
                <w:sz w:val="24"/>
                <w:szCs w:val="24"/>
              </w:rPr>
              <w:t>提供24小时热线接听并及时响应市民来电，准确记录市民的投诉、咨询、建议等，并通过系统将案件转至对应的政府职能部门或责任单位，明确处理时限。</w:t>
            </w:r>
          </w:p>
        </w:tc>
        <w:tc>
          <w:tcPr>
            <w:tcW w:w="903" w:type="dxa"/>
            <w:shd w:val="clear" w:color="auto" w:fill="FFFFFF"/>
            <w:noWrap w:val="0"/>
            <w:vAlign w:val="center"/>
          </w:tcPr>
          <w:p w14:paraId="4E88B933">
            <w:pPr>
              <w:pStyle w:val="841"/>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903" w:type="dxa"/>
            <w:shd w:val="clear" w:color="auto" w:fill="FFFFFF"/>
            <w:noWrap w:val="0"/>
            <w:vAlign w:val="center"/>
          </w:tcPr>
          <w:p w14:paraId="1FEFCC55">
            <w:pPr>
              <w:pStyle w:val="841"/>
              <w:jc w:val="center"/>
              <w:rPr>
                <w:rFonts w:hint="eastAsia" w:ascii="宋体" w:hAnsi="宋体" w:eastAsia="宋体" w:cs="宋体"/>
                <w:sz w:val="24"/>
                <w:szCs w:val="24"/>
                <w:lang w:eastAsia="zh-CN"/>
              </w:rPr>
            </w:pPr>
            <w:r>
              <w:rPr>
                <w:rFonts w:hint="eastAsia" w:ascii="宋体" w:hAnsi="宋体" w:cs="宋体"/>
                <w:sz w:val="24"/>
                <w:szCs w:val="24"/>
                <w:lang w:eastAsia="zh-CN"/>
              </w:rPr>
              <w:t>人</w:t>
            </w:r>
          </w:p>
        </w:tc>
      </w:tr>
      <w:tr w14:paraId="1B47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vMerge w:val="continue"/>
            <w:shd w:val="clear" w:color="auto" w:fill="FFFFFF"/>
            <w:noWrap w:val="0"/>
            <w:vAlign w:val="center"/>
          </w:tcPr>
          <w:p w14:paraId="2BBD23C6">
            <w:pPr>
              <w:pStyle w:val="841"/>
              <w:rPr>
                <w:rFonts w:hint="eastAsia" w:ascii="宋体" w:hAnsi="宋体" w:eastAsia="宋体" w:cs="宋体"/>
                <w:sz w:val="24"/>
                <w:szCs w:val="24"/>
              </w:rPr>
            </w:pPr>
          </w:p>
        </w:tc>
        <w:tc>
          <w:tcPr>
            <w:tcW w:w="1233" w:type="dxa"/>
            <w:vMerge w:val="continue"/>
            <w:shd w:val="clear" w:color="auto" w:fill="FFFFFF"/>
            <w:noWrap w:val="0"/>
            <w:vAlign w:val="center"/>
          </w:tcPr>
          <w:p w14:paraId="170A25B0">
            <w:pPr>
              <w:pStyle w:val="841"/>
              <w:rPr>
                <w:rFonts w:hint="eastAsia" w:ascii="宋体" w:hAnsi="宋体" w:eastAsia="宋体" w:cs="宋体"/>
                <w:sz w:val="24"/>
                <w:szCs w:val="24"/>
              </w:rPr>
            </w:pPr>
          </w:p>
        </w:tc>
        <w:tc>
          <w:tcPr>
            <w:tcW w:w="1360" w:type="dxa"/>
            <w:shd w:val="clear" w:color="auto" w:fill="FFFFFF"/>
            <w:noWrap w:val="0"/>
            <w:vAlign w:val="center"/>
          </w:tcPr>
          <w:p w14:paraId="6423F76C">
            <w:pPr>
              <w:pStyle w:val="841"/>
              <w:rPr>
                <w:rFonts w:hint="eastAsia" w:ascii="宋体" w:hAnsi="宋体" w:eastAsia="宋体" w:cs="宋体"/>
                <w:sz w:val="24"/>
                <w:szCs w:val="24"/>
              </w:rPr>
            </w:pPr>
            <w:r>
              <w:rPr>
                <w:rFonts w:hint="eastAsia" w:ascii="宋体" w:hAnsi="宋体" w:eastAsia="宋体" w:cs="宋体"/>
                <w:sz w:val="24"/>
                <w:szCs w:val="24"/>
              </w:rPr>
              <w:t>专岗支撑人员</w:t>
            </w:r>
          </w:p>
        </w:tc>
        <w:tc>
          <w:tcPr>
            <w:tcW w:w="3358" w:type="dxa"/>
            <w:shd w:val="clear" w:color="auto" w:fill="FFFFFF"/>
            <w:noWrap w:val="0"/>
            <w:vAlign w:val="center"/>
          </w:tcPr>
          <w:p w14:paraId="78240B11">
            <w:pPr>
              <w:pStyle w:val="841"/>
              <w:rPr>
                <w:rFonts w:hint="eastAsia" w:ascii="宋体" w:hAnsi="宋体" w:eastAsia="宋体" w:cs="宋体"/>
                <w:sz w:val="24"/>
                <w:szCs w:val="24"/>
              </w:rPr>
            </w:pPr>
            <w:r>
              <w:rPr>
                <w:rFonts w:hint="eastAsia" w:ascii="宋体" w:hAnsi="宋体" w:eastAsia="宋体" w:cs="宋体"/>
                <w:sz w:val="24"/>
                <w:szCs w:val="24"/>
              </w:rPr>
              <w:t>主要负责技术支持、流程优化、数据分析及疑难问题处理，确保热线服务的高效运转。</w:t>
            </w:r>
          </w:p>
        </w:tc>
        <w:tc>
          <w:tcPr>
            <w:tcW w:w="903" w:type="dxa"/>
            <w:shd w:val="clear" w:color="auto" w:fill="FFFFFF"/>
            <w:noWrap w:val="0"/>
            <w:vAlign w:val="center"/>
          </w:tcPr>
          <w:p w14:paraId="3CFA614A">
            <w:pPr>
              <w:pStyle w:val="841"/>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903" w:type="dxa"/>
            <w:shd w:val="clear" w:color="auto" w:fill="FFFFFF"/>
            <w:noWrap w:val="0"/>
            <w:vAlign w:val="center"/>
          </w:tcPr>
          <w:p w14:paraId="4CF3844F">
            <w:pPr>
              <w:pStyle w:val="841"/>
              <w:jc w:val="center"/>
              <w:rPr>
                <w:rFonts w:hint="eastAsia" w:ascii="宋体" w:hAnsi="宋体" w:eastAsia="宋体" w:cs="宋体"/>
                <w:sz w:val="24"/>
                <w:szCs w:val="24"/>
              </w:rPr>
            </w:pPr>
            <w:r>
              <w:rPr>
                <w:rFonts w:hint="eastAsia" w:ascii="宋体" w:hAnsi="宋体" w:cs="宋体"/>
                <w:sz w:val="24"/>
                <w:szCs w:val="24"/>
                <w:lang w:eastAsia="zh-CN"/>
              </w:rPr>
              <w:t>人</w:t>
            </w:r>
          </w:p>
        </w:tc>
      </w:tr>
      <w:tr w14:paraId="436B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vMerge w:val="continue"/>
            <w:shd w:val="clear" w:color="auto" w:fill="FFFFFF"/>
            <w:noWrap w:val="0"/>
            <w:vAlign w:val="center"/>
          </w:tcPr>
          <w:p w14:paraId="2B9B4C5C">
            <w:pPr>
              <w:pStyle w:val="841"/>
              <w:rPr>
                <w:rFonts w:hint="eastAsia" w:ascii="宋体" w:hAnsi="宋体" w:eastAsia="宋体" w:cs="宋体"/>
                <w:sz w:val="24"/>
                <w:szCs w:val="24"/>
              </w:rPr>
            </w:pPr>
          </w:p>
        </w:tc>
        <w:tc>
          <w:tcPr>
            <w:tcW w:w="1233" w:type="dxa"/>
            <w:vMerge w:val="continue"/>
            <w:shd w:val="clear" w:color="auto" w:fill="FFFFFF"/>
            <w:noWrap w:val="0"/>
            <w:vAlign w:val="center"/>
          </w:tcPr>
          <w:p w14:paraId="5E401AF3">
            <w:pPr>
              <w:pStyle w:val="841"/>
              <w:rPr>
                <w:rFonts w:hint="eastAsia" w:ascii="宋体" w:hAnsi="宋体" w:eastAsia="宋体" w:cs="宋体"/>
                <w:sz w:val="24"/>
                <w:szCs w:val="24"/>
              </w:rPr>
            </w:pPr>
          </w:p>
        </w:tc>
        <w:tc>
          <w:tcPr>
            <w:tcW w:w="1360" w:type="dxa"/>
            <w:shd w:val="clear" w:color="auto" w:fill="FFFFFF"/>
            <w:noWrap w:val="0"/>
            <w:vAlign w:val="center"/>
          </w:tcPr>
          <w:p w14:paraId="65EF1B58">
            <w:pPr>
              <w:pStyle w:val="841"/>
              <w:rPr>
                <w:rFonts w:hint="eastAsia" w:ascii="宋体" w:hAnsi="宋体" w:eastAsia="宋体" w:cs="宋体"/>
                <w:sz w:val="24"/>
                <w:szCs w:val="24"/>
              </w:rPr>
            </w:pPr>
            <w:r>
              <w:rPr>
                <w:rFonts w:hint="eastAsia" w:ascii="宋体" w:hAnsi="宋体" w:eastAsia="宋体" w:cs="宋体"/>
                <w:sz w:val="24"/>
                <w:szCs w:val="24"/>
              </w:rPr>
              <w:t>管理人员</w:t>
            </w:r>
          </w:p>
        </w:tc>
        <w:tc>
          <w:tcPr>
            <w:tcW w:w="3358" w:type="dxa"/>
            <w:shd w:val="clear" w:color="auto" w:fill="FFFFFF"/>
            <w:noWrap w:val="0"/>
            <w:vAlign w:val="center"/>
          </w:tcPr>
          <w:p w14:paraId="114BC764">
            <w:pPr>
              <w:pStyle w:val="841"/>
              <w:rPr>
                <w:rFonts w:hint="eastAsia" w:ascii="宋体" w:hAnsi="宋体" w:eastAsia="宋体" w:cs="宋体"/>
                <w:sz w:val="24"/>
                <w:szCs w:val="24"/>
              </w:rPr>
            </w:pPr>
            <w:r>
              <w:rPr>
                <w:rFonts w:hint="eastAsia" w:ascii="宋体" w:hAnsi="宋体" w:cs="宋体"/>
                <w:sz w:val="24"/>
                <w:szCs w:val="24"/>
                <w:lang w:eastAsia="zh-CN"/>
              </w:rPr>
              <w:t>负责</w:t>
            </w:r>
            <w:r>
              <w:rPr>
                <w:rFonts w:hint="eastAsia" w:ascii="宋体" w:hAnsi="宋体" w:eastAsia="宋体" w:cs="宋体"/>
                <w:sz w:val="24"/>
                <w:szCs w:val="24"/>
              </w:rPr>
              <w:t>12345</w:t>
            </w:r>
            <w:r>
              <w:rPr>
                <w:rFonts w:hint="eastAsia" w:ascii="宋体" w:hAnsi="宋体" w:cs="宋体"/>
                <w:sz w:val="24"/>
                <w:szCs w:val="24"/>
                <w:lang w:eastAsia="zh-CN"/>
              </w:rPr>
              <w:t>整体运营管理</w:t>
            </w:r>
            <w:r>
              <w:rPr>
                <w:rFonts w:hint="eastAsia" w:ascii="宋体" w:hAnsi="宋体" w:eastAsia="宋体" w:cs="宋体"/>
                <w:sz w:val="24"/>
                <w:szCs w:val="24"/>
              </w:rPr>
              <w:t>。</w:t>
            </w:r>
          </w:p>
        </w:tc>
        <w:tc>
          <w:tcPr>
            <w:tcW w:w="903" w:type="dxa"/>
            <w:shd w:val="clear" w:color="auto" w:fill="FFFFFF"/>
            <w:noWrap w:val="0"/>
            <w:vAlign w:val="center"/>
          </w:tcPr>
          <w:p w14:paraId="7628F19B">
            <w:pPr>
              <w:pStyle w:val="841"/>
              <w:jc w:val="center"/>
              <w:rPr>
                <w:rFonts w:hint="eastAsia" w:ascii="宋体" w:hAnsi="宋体" w:eastAsia="宋体" w:cs="宋体"/>
                <w:sz w:val="24"/>
                <w:szCs w:val="24"/>
              </w:rPr>
            </w:pPr>
            <w:r>
              <w:rPr>
                <w:rFonts w:hint="eastAsia" w:ascii="宋体" w:hAnsi="宋体" w:eastAsia="宋体" w:cs="宋体"/>
                <w:sz w:val="24"/>
                <w:szCs w:val="24"/>
              </w:rPr>
              <w:t>1</w:t>
            </w:r>
          </w:p>
        </w:tc>
        <w:tc>
          <w:tcPr>
            <w:tcW w:w="903" w:type="dxa"/>
            <w:shd w:val="clear" w:color="auto" w:fill="FFFFFF"/>
            <w:noWrap w:val="0"/>
            <w:vAlign w:val="center"/>
          </w:tcPr>
          <w:p w14:paraId="3819ED34">
            <w:pPr>
              <w:pStyle w:val="841"/>
              <w:jc w:val="center"/>
              <w:rPr>
                <w:rFonts w:hint="eastAsia" w:ascii="宋体" w:hAnsi="宋体" w:eastAsia="宋体" w:cs="宋体"/>
                <w:sz w:val="24"/>
                <w:szCs w:val="24"/>
              </w:rPr>
            </w:pPr>
            <w:r>
              <w:rPr>
                <w:rFonts w:hint="eastAsia" w:ascii="宋体" w:hAnsi="宋体" w:cs="宋体"/>
                <w:sz w:val="24"/>
                <w:szCs w:val="24"/>
                <w:lang w:eastAsia="zh-CN"/>
              </w:rPr>
              <w:t>人</w:t>
            </w:r>
          </w:p>
        </w:tc>
      </w:tr>
      <w:bookmarkEnd w:id="28"/>
    </w:tbl>
    <w:p w14:paraId="4D549932">
      <w:pPr>
        <w:widowControl/>
        <w:numPr>
          <w:ilvl w:val="0"/>
          <w:numId w:val="0"/>
        </w:numPr>
        <w:tabs>
          <w:tab w:val="left" w:pos="425"/>
          <w:tab w:val="left" w:pos="747"/>
        </w:tabs>
        <w:spacing w:line="360" w:lineRule="auto"/>
        <w:jc w:val="left"/>
        <w:rPr>
          <w:rFonts w:hint="eastAsia" w:ascii="宋体" w:hAnsi="宋体" w:cs="宋体"/>
          <w:b/>
          <w:color w:val="auto"/>
          <w:sz w:val="24"/>
          <w:szCs w:val="24"/>
          <w:lang w:eastAsia="zh-CN"/>
        </w:rPr>
      </w:pPr>
    </w:p>
    <w:p w14:paraId="312D3876">
      <w:pPr>
        <w:widowControl/>
        <w:numPr>
          <w:ilvl w:val="0"/>
          <w:numId w:val="0"/>
        </w:numPr>
        <w:tabs>
          <w:tab w:val="left" w:pos="425"/>
          <w:tab w:val="left" w:pos="747"/>
        </w:tabs>
        <w:spacing w:line="360" w:lineRule="auto"/>
        <w:jc w:val="left"/>
        <w:rPr>
          <w:rFonts w:hint="eastAsia" w:ascii="宋体" w:hAnsi="宋体" w:eastAsia="宋体" w:cs="宋体"/>
          <w:b/>
          <w:color w:val="auto"/>
          <w:sz w:val="24"/>
          <w:szCs w:val="24"/>
        </w:rPr>
      </w:pPr>
      <w:r>
        <w:rPr>
          <w:rFonts w:hint="eastAsia" w:ascii="宋体" w:hAnsi="宋体" w:cs="宋体"/>
          <w:b/>
          <w:color w:val="auto"/>
          <w:sz w:val="24"/>
          <w:szCs w:val="24"/>
          <w:lang w:eastAsia="zh-CN"/>
        </w:rPr>
        <w:t>二、</w:t>
      </w:r>
      <w:r>
        <w:rPr>
          <w:rFonts w:hint="eastAsia" w:ascii="宋体" w:hAnsi="宋体" w:eastAsia="宋体" w:cs="宋体"/>
          <w:b/>
          <w:color w:val="auto"/>
          <w:sz w:val="24"/>
          <w:szCs w:val="24"/>
        </w:rPr>
        <w:t>采购需求</w:t>
      </w:r>
      <w:bookmarkStart w:id="29" w:name="_Toc488302349"/>
    </w:p>
    <w:bookmarkEnd w:id="29"/>
    <w:p w14:paraId="1583BE42">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（一）项目概况：</w:t>
      </w:r>
    </w:p>
    <w:p w14:paraId="45DD25B7">
      <w:pPr>
        <w:shd w:val="clear" w:color="auto" w:fill="auto"/>
        <w:spacing w:line="360" w:lineRule="auto"/>
        <w:ind w:firstLine="480" w:firstLineChars="20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桐庐县统一政务平台热线（含12345、967000两条热线）作为对外公开发布政务信息咨询或投诉举报的主渠道，受理量持续上升，需要提供更加规范化、专业化的服务。</w:t>
      </w:r>
    </w:p>
    <w:p w14:paraId="5DE47079">
      <w:pPr>
        <w:shd w:val="clear" w:color="auto" w:fill="auto"/>
        <w:spacing w:line="360" w:lineRule="auto"/>
        <w:ind w:firstLine="480" w:firstLineChars="20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（二）服务期：</w:t>
      </w:r>
    </w:p>
    <w:p w14:paraId="1DAB463E">
      <w:pPr>
        <w:shd w:val="clear" w:color="auto" w:fill="auto"/>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napToGrid/>
          <w:color w:val="auto"/>
          <w:kern w:val="2"/>
          <w:sz w:val="24"/>
          <w:szCs w:val="24"/>
          <w:highlight w:val="none"/>
          <w:lang w:val="en-US" w:eastAsia="zh-CN" w:bidi="ar-SA"/>
        </w:rPr>
        <w:t>本项目服务期限三年</w:t>
      </w:r>
      <w:r>
        <w:rPr>
          <w:rFonts w:hint="eastAsia" w:ascii="宋体" w:hAnsi="宋体" w:eastAsia="宋体" w:cs="宋体"/>
          <w:kern w:val="0"/>
          <w:sz w:val="24"/>
          <w:szCs w:val="24"/>
          <w:lang w:val="en-GB" w:eastAsia="zh-CN" w:bidi="ar-SA"/>
        </w:rPr>
        <w:t>，</w:t>
      </w:r>
      <w:r>
        <w:rPr>
          <w:rFonts w:hint="eastAsia" w:ascii="宋体" w:hAnsi="宋体" w:eastAsia="宋体" w:cs="宋体"/>
          <w:kern w:val="0"/>
          <w:sz w:val="24"/>
          <w:szCs w:val="24"/>
          <w:lang w:val="en-US" w:eastAsia="zh-CN" w:bidi="ar-SA"/>
        </w:rPr>
        <w:t>合同一年一签</w:t>
      </w:r>
      <w:r>
        <w:rPr>
          <w:rFonts w:hint="eastAsia" w:ascii="宋体" w:hAnsi="宋体" w:eastAsia="宋体" w:cs="宋体"/>
          <w:kern w:val="0"/>
          <w:sz w:val="24"/>
          <w:szCs w:val="24"/>
          <w:lang w:val="en-GB" w:eastAsia="zh-CN" w:bidi="ar-SA"/>
        </w:rPr>
        <w:t>。</w:t>
      </w:r>
      <w:r>
        <w:rPr>
          <w:rFonts w:hint="eastAsia" w:ascii="宋体" w:hAnsi="宋体" w:eastAsia="宋体" w:cs="宋体"/>
          <w:sz w:val="24"/>
          <w:szCs w:val="24"/>
          <w:highlight w:val="none"/>
        </w:rPr>
        <w:t>各年度实际应付金额根据年度预算安排情况据实调整</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不能按要求进行调整的，甲方有权无条件提前解除合同。</w:t>
      </w:r>
    </w:p>
    <w:p w14:paraId="685B489E">
      <w:pPr>
        <w:shd w:val="clear" w:color="auto" w:fill="auto"/>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lang w:val="en-GB" w:eastAsia="zh-CN" w:bidi="ar-SA"/>
        </w:rPr>
        <w:t>（三）</w:t>
      </w:r>
      <w:r>
        <w:rPr>
          <w:rFonts w:hint="eastAsia" w:ascii="宋体" w:hAnsi="宋体" w:eastAsia="宋体" w:cs="宋体"/>
          <w:sz w:val="24"/>
          <w:szCs w:val="24"/>
          <w:highlight w:val="none"/>
        </w:rPr>
        <w:t>项目预算：</w:t>
      </w:r>
    </w:p>
    <w:p w14:paraId="31AC5E99">
      <w:pPr>
        <w:keepNext w:val="0"/>
        <w:keepLines w:val="0"/>
        <w:pageBreakBefore w:val="0"/>
        <w:widowControl w:val="0"/>
        <w:shd w:val="clear" w:color="auto" w:fill="auto"/>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本项目投标费用包括但不限于：</w:t>
      </w:r>
    </w:p>
    <w:p w14:paraId="6E789B9C">
      <w:pPr>
        <w:pStyle w:val="19"/>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rPr>
        <w:t>第一部分：</w:t>
      </w:r>
      <w:r>
        <w:rPr>
          <w:rFonts w:hint="eastAsia" w:ascii="宋体" w:hAnsi="宋体" w:eastAsia="宋体" w:cs="宋体"/>
          <w:color w:val="000000"/>
          <w:kern w:val="0"/>
          <w:sz w:val="24"/>
          <w:szCs w:val="24"/>
          <w:highlight w:val="none"/>
        </w:rPr>
        <w:t>人员部分费用（包含工作人员工资、各种社会保险和福利、个人税费、人员食宿与交通及企业管理费和税费等一切费用，按照实际情况每年提高“五险一金”和“最低生活保障”金额</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且</w:t>
      </w:r>
      <w:r>
        <w:rPr>
          <w:rFonts w:hint="eastAsia" w:ascii="宋体" w:hAnsi="宋体" w:eastAsia="宋体" w:cs="宋体"/>
          <w:color w:val="000000"/>
          <w:kern w:val="0"/>
          <w:sz w:val="24"/>
          <w:szCs w:val="24"/>
          <w:highlight w:val="none"/>
          <w:lang w:eastAsia="zh-CN"/>
        </w:rPr>
        <w:t>人员费用需合理，低价投标无效</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FF0000"/>
          <w:kern w:val="0"/>
          <w:sz w:val="24"/>
          <w:szCs w:val="24"/>
          <w:highlight w:val="none"/>
          <w:lang w:val="en-US" w:eastAsia="zh-CN"/>
        </w:rPr>
        <w:t>若因</w:t>
      </w:r>
      <w:r>
        <w:rPr>
          <w:rFonts w:hint="eastAsia" w:ascii="宋体" w:hAnsi="宋体" w:cs="宋体"/>
          <w:color w:val="FF0000"/>
          <w:kern w:val="0"/>
          <w:sz w:val="24"/>
          <w:szCs w:val="24"/>
          <w:highlight w:val="none"/>
          <w:lang w:val="en-US" w:eastAsia="zh-CN"/>
        </w:rPr>
        <w:t>供应商</w:t>
      </w:r>
      <w:r>
        <w:rPr>
          <w:rFonts w:hint="eastAsia" w:ascii="宋体" w:hAnsi="宋体" w:eastAsia="宋体" w:cs="宋体"/>
          <w:color w:val="FF0000"/>
          <w:kern w:val="0"/>
          <w:sz w:val="24"/>
          <w:szCs w:val="24"/>
          <w:highlight w:val="none"/>
          <w:lang w:val="en-US" w:eastAsia="zh-CN"/>
        </w:rPr>
        <w:t>产生劳资纠纷对</w:t>
      </w:r>
      <w:r>
        <w:rPr>
          <w:rFonts w:hint="eastAsia" w:ascii="宋体" w:hAnsi="宋体" w:cs="宋体"/>
          <w:color w:val="FF0000"/>
          <w:kern w:val="0"/>
          <w:sz w:val="24"/>
          <w:szCs w:val="24"/>
          <w:highlight w:val="none"/>
          <w:lang w:val="en-US" w:eastAsia="zh-CN"/>
        </w:rPr>
        <w:t>采购人</w:t>
      </w:r>
      <w:r>
        <w:rPr>
          <w:rFonts w:hint="eastAsia" w:ascii="宋体" w:hAnsi="宋体" w:eastAsia="宋体" w:cs="宋体"/>
          <w:color w:val="FF0000"/>
          <w:kern w:val="0"/>
          <w:sz w:val="24"/>
          <w:szCs w:val="24"/>
          <w:highlight w:val="none"/>
          <w:lang w:val="en-US" w:eastAsia="zh-CN"/>
        </w:rPr>
        <w:t>造成损失或负面效果的，相应责任由</w:t>
      </w:r>
      <w:r>
        <w:rPr>
          <w:rFonts w:hint="eastAsia" w:ascii="宋体" w:hAnsi="宋体" w:cs="宋体"/>
          <w:color w:val="FF0000"/>
          <w:kern w:val="0"/>
          <w:sz w:val="24"/>
          <w:szCs w:val="24"/>
          <w:highlight w:val="none"/>
          <w:lang w:val="en-US" w:eastAsia="zh-CN"/>
        </w:rPr>
        <w:t>供应商</w:t>
      </w:r>
      <w:r>
        <w:rPr>
          <w:rFonts w:hint="eastAsia" w:ascii="宋体" w:hAnsi="宋体" w:eastAsia="宋体" w:cs="宋体"/>
          <w:color w:val="FF0000"/>
          <w:kern w:val="0"/>
          <w:sz w:val="24"/>
          <w:szCs w:val="24"/>
          <w:highlight w:val="none"/>
          <w:lang w:val="en-US" w:eastAsia="zh-CN"/>
        </w:rPr>
        <w:t>承担。</w:t>
      </w:r>
    </w:p>
    <w:p w14:paraId="0F395C03">
      <w:pPr>
        <w:keepNext w:val="0"/>
        <w:keepLines w:val="0"/>
        <w:pageBreakBefore w:val="0"/>
        <w:widowControl w:val="0"/>
        <w:shd w:val="clear" w:color="auto" w:fill="auto"/>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rPr>
        <w:t>第二部分：</w:t>
      </w:r>
      <w:r>
        <w:rPr>
          <w:rFonts w:hint="eastAsia" w:ascii="宋体" w:hAnsi="宋体" w:eastAsia="宋体" w:cs="宋体"/>
          <w:color w:val="000000"/>
          <w:kern w:val="0"/>
          <w:sz w:val="24"/>
          <w:szCs w:val="24"/>
          <w:highlight w:val="none"/>
        </w:rPr>
        <w:t>建设运行部分费用（包括坐席系统、平台灾备坐席系统、业务培训、团队文化建设、网络环境维护及智能化应用服务等费用）</w:t>
      </w:r>
      <w:r>
        <w:rPr>
          <w:rFonts w:hint="eastAsia" w:ascii="宋体" w:hAnsi="宋体" w:eastAsia="宋体" w:cs="宋体"/>
          <w:sz w:val="24"/>
          <w:szCs w:val="24"/>
          <w:highlight w:val="none"/>
        </w:rPr>
        <w:t>。</w:t>
      </w:r>
    </w:p>
    <w:p w14:paraId="62EE2174">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w:t>
      </w:r>
      <w:r>
        <w:rPr>
          <w:rFonts w:hint="eastAsia" w:ascii="宋体" w:hAnsi="宋体" w:eastAsia="宋体" w:cs="宋体"/>
          <w:kern w:val="0"/>
          <w:sz w:val="24"/>
          <w:szCs w:val="24"/>
          <w:lang w:val="en-US" w:eastAsia="zh-CN" w:bidi="ar-SA"/>
        </w:rPr>
        <w:t>四</w:t>
      </w:r>
      <w:r>
        <w:rPr>
          <w:rFonts w:hint="eastAsia" w:ascii="宋体" w:hAnsi="宋体" w:eastAsia="宋体" w:cs="宋体"/>
          <w:kern w:val="0"/>
          <w:sz w:val="24"/>
          <w:szCs w:val="24"/>
          <w:lang w:val="en-GB" w:eastAsia="zh-CN" w:bidi="ar-SA"/>
        </w:rPr>
        <w:t>）服务内容：</w:t>
      </w:r>
    </w:p>
    <w:p w14:paraId="14AA32CB">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桐庐县统一政务咨询投诉举报平台（以下简称</w:t>
      </w:r>
      <w:r>
        <w:rPr>
          <w:rFonts w:hint="eastAsia" w:ascii="宋体" w:hAnsi="宋体" w:cs="宋体"/>
          <w:kern w:val="0"/>
          <w:sz w:val="24"/>
          <w:szCs w:val="24"/>
          <w:lang w:val="en-US" w:eastAsia="zh-CN" w:bidi="ar-SA"/>
        </w:rPr>
        <w:t>县</w:t>
      </w:r>
      <w:r>
        <w:rPr>
          <w:rFonts w:hint="eastAsia" w:ascii="宋体" w:hAnsi="宋体" w:eastAsia="宋体" w:cs="宋体"/>
          <w:kern w:val="0"/>
          <w:sz w:val="24"/>
          <w:szCs w:val="24"/>
          <w:lang w:val="en-GB" w:eastAsia="zh-CN" w:bidi="ar-SA"/>
        </w:rPr>
        <w:t>统一政务</w:t>
      </w:r>
      <w:r>
        <w:rPr>
          <w:rFonts w:hint="eastAsia" w:ascii="宋体" w:hAnsi="宋体" w:cs="宋体"/>
          <w:kern w:val="0"/>
          <w:sz w:val="24"/>
          <w:szCs w:val="24"/>
          <w:lang w:val="en-US" w:eastAsia="zh-CN" w:bidi="ar-SA"/>
        </w:rPr>
        <w:t>平台</w:t>
      </w:r>
      <w:r>
        <w:rPr>
          <w:rFonts w:hint="eastAsia" w:ascii="宋体" w:hAnsi="宋体" w:eastAsia="宋体" w:cs="宋体"/>
          <w:kern w:val="0"/>
          <w:sz w:val="24"/>
          <w:szCs w:val="24"/>
          <w:lang w:val="en-GB" w:eastAsia="zh-CN" w:bidi="ar-SA"/>
        </w:rPr>
        <w:t>）电话投诉、咨询前台人工接听、受理服务内容包括但不限于如下：</w:t>
      </w:r>
    </w:p>
    <w:p w14:paraId="4B2C9352">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1、负责接听</w:t>
      </w:r>
      <w:r>
        <w:rPr>
          <w:rFonts w:hint="eastAsia" w:ascii="宋体" w:hAnsi="宋体" w:cs="宋体"/>
          <w:kern w:val="0"/>
          <w:sz w:val="24"/>
          <w:szCs w:val="24"/>
          <w:lang w:val="en-US" w:eastAsia="zh-CN" w:bidi="ar-SA"/>
        </w:rPr>
        <w:t>县</w:t>
      </w:r>
      <w:r>
        <w:rPr>
          <w:rFonts w:hint="eastAsia" w:ascii="宋体" w:hAnsi="宋体" w:eastAsia="宋体" w:cs="宋体"/>
          <w:kern w:val="0"/>
          <w:sz w:val="24"/>
          <w:szCs w:val="24"/>
          <w:lang w:val="en-GB" w:eastAsia="zh-CN" w:bidi="ar-SA"/>
        </w:rPr>
        <w:t>统一政务</w:t>
      </w:r>
      <w:r>
        <w:rPr>
          <w:rFonts w:hint="eastAsia" w:ascii="宋体" w:hAnsi="宋体" w:cs="宋体"/>
          <w:kern w:val="0"/>
          <w:sz w:val="24"/>
          <w:szCs w:val="24"/>
          <w:lang w:val="en-US" w:eastAsia="zh-CN" w:bidi="ar-SA"/>
        </w:rPr>
        <w:t>平台</w:t>
      </w:r>
      <w:r>
        <w:rPr>
          <w:rFonts w:hint="eastAsia" w:ascii="宋体" w:hAnsi="宋体" w:eastAsia="宋体" w:cs="宋体"/>
          <w:kern w:val="0"/>
          <w:sz w:val="24"/>
          <w:szCs w:val="24"/>
          <w:lang w:val="en-GB" w:eastAsia="zh-CN" w:bidi="ar-SA"/>
        </w:rPr>
        <w:t>所有来电。在系统中准确记录来电诉求，根据接话规范答复咨询类来电、转告相关责任人和交办承办单位。</w:t>
      </w:r>
    </w:p>
    <w:p w14:paraId="04929793">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2、在县信访局的指导下，负责群众诉求中重大紧急突发信息的报送和处置，并跟踪处理结果。</w:t>
      </w:r>
    </w:p>
    <w:p w14:paraId="5450DCD0">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3、负责</w:t>
      </w:r>
      <w:r>
        <w:rPr>
          <w:rFonts w:hint="eastAsia" w:ascii="宋体" w:hAnsi="宋体" w:cs="宋体"/>
          <w:kern w:val="0"/>
          <w:sz w:val="24"/>
          <w:szCs w:val="24"/>
          <w:lang w:val="en-US" w:eastAsia="zh-CN" w:bidi="ar-SA"/>
        </w:rPr>
        <w:t>县</w:t>
      </w:r>
      <w:r>
        <w:rPr>
          <w:rFonts w:hint="eastAsia" w:ascii="宋体" w:hAnsi="宋体" w:eastAsia="宋体" w:cs="宋体"/>
          <w:kern w:val="0"/>
          <w:sz w:val="24"/>
          <w:szCs w:val="24"/>
          <w:lang w:val="en-GB" w:eastAsia="zh-CN" w:bidi="ar-SA"/>
        </w:rPr>
        <w:t>统一政务</w:t>
      </w:r>
      <w:r>
        <w:rPr>
          <w:rFonts w:hint="eastAsia" w:ascii="宋体" w:hAnsi="宋体" w:cs="宋体"/>
          <w:kern w:val="0"/>
          <w:sz w:val="24"/>
          <w:szCs w:val="24"/>
          <w:lang w:val="en-US" w:eastAsia="zh-CN" w:bidi="ar-SA"/>
        </w:rPr>
        <w:t>平台</w:t>
      </w:r>
      <w:r>
        <w:rPr>
          <w:rFonts w:hint="eastAsia" w:ascii="宋体" w:hAnsi="宋体" w:eastAsia="宋体" w:cs="宋体"/>
          <w:kern w:val="0"/>
          <w:sz w:val="24"/>
          <w:szCs w:val="24"/>
          <w:lang w:val="en-GB" w:eastAsia="zh-CN" w:bidi="ar-SA"/>
        </w:rPr>
        <w:t>受理中涉及的信息采编和数据分析工作。负责</w:t>
      </w:r>
      <w:r>
        <w:rPr>
          <w:rFonts w:hint="eastAsia" w:ascii="宋体" w:hAnsi="宋体" w:cs="宋体"/>
          <w:kern w:val="0"/>
          <w:sz w:val="24"/>
          <w:szCs w:val="24"/>
          <w:lang w:val="en-US" w:eastAsia="zh-CN" w:bidi="ar-SA"/>
        </w:rPr>
        <w:t>县</w:t>
      </w:r>
      <w:r>
        <w:rPr>
          <w:rFonts w:hint="eastAsia" w:ascii="宋体" w:hAnsi="宋体" w:eastAsia="宋体" w:cs="宋体"/>
          <w:kern w:val="0"/>
          <w:sz w:val="24"/>
          <w:szCs w:val="24"/>
          <w:lang w:val="en-GB" w:eastAsia="zh-CN" w:bidi="ar-SA"/>
        </w:rPr>
        <w:t>统一政务</w:t>
      </w:r>
      <w:r>
        <w:rPr>
          <w:rFonts w:hint="eastAsia" w:ascii="宋体" w:hAnsi="宋体" w:cs="宋体"/>
          <w:kern w:val="0"/>
          <w:sz w:val="24"/>
          <w:szCs w:val="24"/>
          <w:lang w:val="en-US" w:eastAsia="zh-CN" w:bidi="ar-SA"/>
        </w:rPr>
        <w:t>平台</w:t>
      </w:r>
      <w:r>
        <w:rPr>
          <w:rFonts w:hint="eastAsia" w:ascii="宋体" w:hAnsi="宋体" w:eastAsia="宋体" w:cs="宋体"/>
          <w:kern w:val="0"/>
          <w:sz w:val="24"/>
          <w:szCs w:val="24"/>
          <w:lang w:val="en-GB" w:eastAsia="zh-CN" w:bidi="ar-SA"/>
        </w:rPr>
        <w:t>知识库的维护。</w:t>
      </w:r>
    </w:p>
    <w:p w14:paraId="5CB09507">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4、负责提供呼叫系统与采购人业务系统、微信等应用的技术接口支持，做好与采购人各系统的调试工作，保证呼叫热线平台正常运行。</w:t>
      </w:r>
    </w:p>
    <w:p w14:paraId="6C67CB27">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5、根据采购人要求，供应商负责提供热线对外通信网络维护及系统的灾备保障功能建设，负责受理系统升级建设、后台存储，微信维护等。</w:t>
      </w:r>
    </w:p>
    <w:p w14:paraId="4E3DF0FB">
      <w:pPr>
        <w:pStyle w:val="2"/>
        <w:ind w:left="433" w:leftChars="202" w:hanging="9" w:hangingChars="4"/>
        <w:rPr>
          <w:rFonts w:hint="eastAsia" w:ascii="宋体" w:hAnsi="宋体" w:eastAsia="宋体" w:cs="宋体"/>
          <w:b w:val="0"/>
          <w:bCs w:val="0"/>
          <w:color w:val="FF0000"/>
          <w:kern w:val="0"/>
          <w:sz w:val="24"/>
          <w:szCs w:val="24"/>
          <w:lang w:val="en-GB" w:eastAsia="zh-CN" w:bidi="ar-SA"/>
        </w:rPr>
      </w:pPr>
      <w:r>
        <w:rPr>
          <w:rFonts w:hint="eastAsia" w:ascii="宋体" w:hAnsi="宋体" w:eastAsia="宋体" w:cs="宋体"/>
          <w:b w:val="0"/>
          <w:bCs w:val="0"/>
          <w:color w:val="FF0000"/>
          <w:kern w:val="0"/>
          <w:sz w:val="24"/>
          <w:szCs w:val="24"/>
          <w:lang w:val="en-US" w:eastAsia="zh-CN" w:bidi="ar-SA"/>
        </w:rPr>
        <w:t>6、</w:t>
      </w:r>
      <w:r>
        <w:rPr>
          <w:rFonts w:hint="eastAsia" w:ascii="宋体" w:hAnsi="宋体" w:eastAsia="宋体" w:cs="宋体"/>
          <w:b w:val="0"/>
          <w:bCs w:val="0"/>
          <w:color w:val="FF0000"/>
          <w:kern w:val="0"/>
          <w:sz w:val="24"/>
          <w:szCs w:val="24"/>
          <w:lang w:val="en-GB" w:eastAsia="zh-CN" w:bidi="ar-SA"/>
        </w:rPr>
        <w:t>做好热点、难点问题、突发舆情的预测预警和分析研判工作，按周、月、</w:t>
      </w:r>
    </w:p>
    <w:p w14:paraId="61132060">
      <w:pPr>
        <w:pStyle w:val="2"/>
        <w:rPr>
          <w:rFonts w:hint="eastAsia" w:ascii="宋体" w:hAnsi="宋体" w:eastAsia="宋体" w:cs="宋体"/>
          <w:b w:val="0"/>
          <w:bCs w:val="0"/>
          <w:color w:val="FF0000"/>
          <w:kern w:val="0"/>
          <w:sz w:val="24"/>
          <w:szCs w:val="24"/>
          <w:lang w:val="en-GB" w:eastAsia="zh-CN" w:bidi="ar-SA"/>
        </w:rPr>
      </w:pPr>
      <w:r>
        <w:rPr>
          <w:rFonts w:hint="eastAsia" w:ascii="宋体" w:hAnsi="宋体" w:eastAsia="宋体" w:cs="宋体"/>
          <w:b w:val="0"/>
          <w:bCs w:val="0"/>
          <w:color w:val="FF0000"/>
          <w:kern w:val="0"/>
          <w:sz w:val="24"/>
          <w:szCs w:val="24"/>
          <w:lang w:val="en-GB" w:eastAsia="zh-CN" w:bidi="ar-SA"/>
        </w:rPr>
        <w:t>季度、年度报送热线受理情况分析报告，每月报送月度运营分析报告(含财务收</w:t>
      </w:r>
    </w:p>
    <w:p w14:paraId="7C4DA3FB">
      <w:pPr>
        <w:pStyle w:val="2"/>
        <w:rPr>
          <w:rFonts w:hint="eastAsia" w:ascii="宋体" w:hAnsi="宋体" w:eastAsia="宋体" w:cs="宋体"/>
          <w:b w:val="0"/>
          <w:bCs w:val="0"/>
          <w:color w:val="FF0000"/>
          <w:kern w:val="0"/>
          <w:sz w:val="24"/>
          <w:szCs w:val="24"/>
          <w:lang w:val="en-GB" w:eastAsia="zh-CN" w:bidi="ar-SA"/>
        </w:rPr>
      </w:pPr>
      <w:r>
        <w:rPr>
          <w:rFonts w:hint="eastAsia" w:ascii="宋体" w:hAnsi="宋体" w:eastAsia="宋体" w:cs="宋体"/>
          <w:b w:val="0"/>
          <w:bCs w:val="0"/>
          <w:color w:val="FF0000"/>
          <w:kern w:val="0"/>
          <w:sz w:val="24"/>
          <w:szCs w:val="24"/>
          <w:lang w:val="en-GB" w:eastAsia="zh-CN" w:bidi="ar-SA"/>
        </w:rPr>
        <w:t>支情况);及时对存在的问题提出完善和解决方案。</w:t>
      </w:r>
    </w:p>
    <w:p w14:paraId="0F7AD7AE">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cs="宋体"/>
          <w:kern w:val="0"/>
          <w:sz w:val="24"/>
          <w:szCs w:val="24"/>
          <w:lang w:val="en-US" w:eastAsia="zh-CN" w:bidi="ar-SA"/>
        </w:rPr>
        <w:t>7</w:t>
      </w:r>
      <w:r>
        <w:rPr>
          <w:rFonts w:hint="eastAsia" w:ascii="宋体" w:hAnsi="宋体" w:eastAsia="宋体" w:cs="宋体"/>
          <w:kern w:val="0"/>
          <w:sz w:val="24"/>
          <w:szCs w:val="24"/>
          <w:lang w:val="en-GB" w:eastAsia="zh-CN" w:bidi="ar-SA"/>
        </w:rPr>
        <w:t>、服务标准参照DB 3301/T 0328—2020《杭州12345 政务热线服务规范》执行</w:t>
      </w:r>
    </w:p>
    <w:p w14:paraId="03D00D0B">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US" w:eastAsia="zh-CN" w:bidi="ar-SA"/>
        </w:rPr>
        <w:t>五</w:t>
      </w:r>
      <w:r>
        <w:rPr>
          <w:rFonts w:hint="eastAsia" w:ascii="宋体" w:hAnsi="宋体" w:eastAsia="宋体" w:cs="宋体"/>
          <w:kern w:val="0"/>
          <w:sz w:val="24"/>
          <w:szCs w:val="24"/>
          <w:lang w:val="en-GB" w:eastAsia="zh-CN" w:bidi="ar-SA"/>
        </w:rPr>
        <w:t>）做强“</w:t>
      </w:r>
      <w:r>
        <w:rPr>
          <w:rFonts w:hint="eastAsia" w:ascii="宋体" w:hAnsi="宋体" w:eastAsia="宋体" w:cs="宋体"/>
          <w:kern w:val="0"/>
          <w:sz w:val="24"/>
          <w:szCs w:val="24"/>
          <w:lang w:val="en-US" w:eastAsia="zh-CN" w:bidi="ar-SA"/>
        </w:rPr>
        <w:t>桐庐12345”</w:t>
      </w:r>
      <w:r>
        <w:rPr>
          <w:rFonts w:hint="eastAsia" w:ascii="宋体" w:hAnsi="宋体" w:eastAsia="宋体" w:cs="宋体"/>
          <w:kern w:val="0"/>
          <w:sz w:val="24"/>
          <w:szCs w:val="24"/>
          <w:lang w:val="en-GB" w:eastAsia="zh-CN" w:bidi="ar-SA"/>
        </w:rPr>
        <w:t>品牌</w:t>
      </w:r>
    </w:p>
    <w:p w14:paraId="1B06B585">
      <w:pPr>
        <w:adjustRightInd/>
        <w:spacing w:line="360" w:lineRule="auto"/>
        <w:ind w:firstLine="480" w:firstLineChars="200"/>
        <w:jc w:val="both"/>
        <w:outlineLvl w:val="0"/>
        <w:rPr>
          <w:rFonts w:hint="eastAsia" w:ascii="宋体" w:hAnsi="宋体" w:eastAsia="宋体" w:cs="宋体"/>
          <w:kern w:val="0"/>
          <w:sz w:val="24"/>
          <w:szCs w:val="24"/>
          <w:highlight w:val="none"/>
          <w:lang w:val="en-GB" w:eastAsia="zh-CN" w:bidi="ar-SA"/>
        </w:rPr>
      </w:pPr>
      <w:r>
        <w:rPr>
          <w:rFonts w:hint="eastAsia" w:ascii="宋体" w:hAnsi="宋体" w:eastAsia="宋体" w:cs="宋体"/>
          <w:kern w:val="0"/>
          <w:sz w:val="24"/>
          <w:szCs w:val="24"/>
          <w:highlight w:val="none"/>
          <w:lang w:val="en-GB" w:eastAsia="zh-CN" w:bidi="ar-SA"/>
        </w:rPr>
        <w:t>1、</w:t>
      </w:r>
      <w:r>
        <w:rPr>
          <w:rFonts w:hint="eastAsia" w:ascii="宋体" w:hAnsi="宋体" w:eastAsia="宋体" w:cs="宋体"/>
          <w:kern w:val="0"/>
          <w:sz w:val="24"/>
          <w:szCs w:val="24"/>
          <w:highlight w:val="none"/>
          <w:lang w:val="en-US" w:eastAsia="zh-CN" w:bidi="ar-SA"/>
        </w:rPr>
        <w:t>参与</w:t>
      </w:r>
      <w:r>
        <w:rPr>
          <w:rFonts w:hint="eastAsia" w:ascii="宋体" w:hAnsi="宋体" w:eastAsia="宋体" w:cs="宋体"/>
          <w:kern w:val="0"/>
          <w:sz w:val="24"/>
          <w:szCs w:val="24"/>
          <w:highlight w:val="none"/>
          <w:lang w:val="en-GB" w:eastAsia="zh-CN" w:bidi="ar-SA"/>
        </w:rPr>
        <w:t>各部门活动、重大节日等线下宣传服务及新时代文明实践百姓热线便民服务队进社区志愿服务工作。</w:t>
      </w:r>
    </w:p>
    <w:p w14:paraId="6B7F08DE">
      <w:pPr>
        <w:adjustRightInd/>
        <w:spacing w:line="360" w:lineRule="auto"/>
        <w:ind w:firstLine="480" w:firstLineChars="200"/>
        <w:jc w:val="both"/>
        <w:outlineLvl w:val="0"/>
        <w:rPr>
          <w:rFonts w:hint="eastAsia" w:ascii="宋体" w:hAnsi="宋体" w:eastAsia="宋体" w:cs="宋体"/>
          <w:kern w:val="0"/>
          <w:sz w:val="24"/>
          <w:szCs w:val="24"/>
          <w:highlight w:val="none"/>
          <w:lang w:val="en-GB" w:eastAsia="zh-CN" w:bidi="ar-SA"/>
        </w:rPr>
      </w:pPr>
      <w:r>
        <w:rPr>
          <w:rFonts w:hint="eastAsia" w:ascii="宋体" w:hAnsi="宋体" w:eastAsia="宋体" w:cs="宋体"/>
          <w:kern w:val="0"/>
          <w:sz w:val="24"/>
          <w:szCs w:val="24"/>
          <w:highlight w:val="none"/>
          <w:lang w:val="en-GB" w:eastAsia="zh-CN" w:bidi="ar-SA"/>
        </w:rPr>
        <w:t>2、</w:t>
      </w:r>
      <w:r>
        <w:rPr>
          <w:rFonts w:hint="eastAsia" w:ascii="宋体" w:hAnsi="宋体" w:eastAsia="宋体" w:cs="宋体"/>
          <w:kern w:val="0"/>
          <w:sz w:val="24"/>
          <w:szCs w:val="24"/>
          <w:highlight w:val="none"/>
          <w:lang w:val="en-US" w:eastAsia="zh-CN" w:bidi="ar-SA"/>
        </w:rPr>
        <w:t>参与</w:t>
      </w:r>
      <w:r>
        <w:rPr>
          <w:rFonts w:hint="eastAsia" w:ascii="宋体" w:hAnsi="宋体" w:eastAsia="宋体" w:cs="宋体"/>
          <w:kern w:val="0"/>
          <w:sz w:val="24"/>
          <w:szCs w:val="24"/>
          <w:highlight w:val="none"/>
          <w:lang w:val="en-GB" w:eastAsia="zh-CN" w:bidi="ar-SA"/>
        </w:rPr>
        <w:t>“</w:t>
      </w:r>
      <w:r>
        <w:rPr>
          <w:rFonts w:hint="eastAsia" w:ascii="宋体" w:hAnsi="宋体" w:eastAsia="宋体" w:cs="宋体"/>
          <w:kern w:val="0"/>
          <w:sz w:val="24"/>
          <w:szCs w:val="24"/>
          <w:highlight w:val="none"/>
          <w:lang w:val="en-US" w:eastAsia="zh-CN" w:bidi="ar-SA"/>
        </w:rPr>
        <w:t>桐庐12345</w:t>
      </w:r>
      <w:r>
        <w:rPr>
          <w:rFonts w:hint="eastAsia" w:ascii="宋体" w:hAnsi="宋体" w:eastAsia="宋体" w:cs="宋体"/>
          <w:kern w:val="0"/>
          <w:sz w:val="24"/>
          <w:szCs w:val="24"/>
          <w:highlight w:val="none"/>
          <w:lang w:val="en-GB" w:eastAsia="zh-CN" w:bidi="ar-SA"/>
        </w:rPr>
        <w:t>”品牌宣传。</w:t>
      </w:r>
    </w:p>
    <w:p w14:paraId="1B3D6041">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US" w:eastAsia="zh-CN" w:bidi="ar-SA"/>
        </w:rPr>
        <w:t>六</w:t>
      </w:r>
      <w:r>
        <w:rPr>
          <w:rFonts w:hint="eastAsia" w:ascii="宋体" w:hAnsi="宋体" w:eastAsia="宋体" w:cs="宋体"/>
          <w:kern w:val="0"/>
          <w:sz w:val="24"/>
          <w:szCs w:val="24"/>
          <w:lang w:val="en-GB" w:eastAsia="zh-CN" w:bidi="ar-SA"/>
        </w:rPr>
        <w:t>）其他涉及</w:t>
      </w:r>
      <w:r>
        <w:rPr>
          <w:rFonts w:hint="eastAsia" w:ascii="宋体" w:hAnsi="宋体" w:cs="宋体"/>
          <w:kern w:val="0"/>
          <w:sz w:val="24"/>
          <w:szCs w:val="24"/>
          <w:lang w:val="en-US" w:eastAsia="zh-CN" w:bidi="ar-SA"/>
        </w:rPr>
        <w:t>县</w:t>
      </w:r>
      <w:r>
        <w:rPr>
          <w:rFonts w:hint="eastAsia" w:ascii="宋体" w:hAnsi="宋体" w:eastAsia="宋体" w:cs="宋体"/>
          <w:kern w:val="0"/>
          <w:sz w:val="24"/>
          <w:szCs w:val="24"/>
          <w:lang w:val="en-GB" w:eastAsia="zh-CN" w:bidi="ar-SA"/>
        </w:rPr>
        <w:t>统一政务</w:t>
      </w:r>
      <w:r>
        <w:rPr>
          <w:rFonts w:hint="eastAsia" w:ascii="宋体" w:hAnsi="宋体" w:cs="宋体"/>
          <w:kern w:val="0"/>
          <w:sz w:val="24"/>
          <w:szCs w:val="24"/>
          <w:lang w:val="en-US" w:eastAsia="zh-CN" w:bidi="ar-SA"/>
        </w:rPr>
        <w:t>平台</w:t>
      </w:r>
      <w:r>
        <w:rPr>
          <w:rFonts w:hint="eastAsia" w:ascii="宋体" w:hAnsi="宋体" w:eastAsia="宋体" w:cs="宋体"/>
          <w:kern w:val="0"/>
          <w:sz w:val="24"/>
          <w:szCs w:val="24"/>
          <w:lang w:val="en-GB" w:eastAsia="zh-CN" w:bidi="ar-SA"/>
        </w:rPr>
        <w:t>完善升级和本项目正常使用的技术合作。</w:t>
      </w:r>
    </w:p>
    <w:p w14:paraId="287B7E32">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US" w:eastAsia="zh-CN" w:bidi="ar-SA"/>
        </w:rPr>
        <w:t>七</w:t>
      </w:r>
      <w:r>
        <w:rPr>
          <w:rFonts w:hint="eastAsia" w:ascii="宋体" w:hAnsi="宋体" w:eastAsia="宋体" w:cs="宋体"/>
          <w:kern w:val="0"/>
          <w:sz w:val="24"/>
          <w:szCs w:val="24"/>
          <w:lang w:val="en-GB" w:eastAsia="zh-CN" w:bidi="ar-SA"/>
        </w:rPr>
        <w:t>）供应商所有业务必须在采购人授权下开展，不得开展或参于与此项目无关的项目。</w:t>
      </w:r>
      <w:r>
        <w:rPr>
          <w:rFonts w:hint="eastAsia" w:ascii="宋体" w:hAnsi="宋体" w:cs="宋体"/>
          <w:kern w:val="0"/>
          <w:sz w:val="24"/>
          <w:szCs w:val="24"/>
          <w:lang w:val="en-US" w:eastAsia="zh-CN" w:bidi="ar-SA"/>
        </w:rPr>
        <w:t>县</w:t>
      </w:r>
      <w:r>
        <w:rPr>
          <w:rFonts w:hint="eastAsia" w:ascii="宋体" w:hAnsi="宋体" w:eastAsia="宋体" w:cs="宋体"/>
          <w:kern w:val="0"/>
          <w:sz w:val="24"/>
          <w:szCs w:val="24"/>
          <w:lang w:val="en-GB" w:eastAsia="zh-CN" w:bidi="ar-SA"/>
        </w:rPr>
        <w:t>统一政务</w:t>
      </w:r>
      <w:r>
        <w:rPr>
          <w:rFonts w:hint="eastAsia" w:ascii="宋体" w:hAnsi="宋体" w:cs="宋体"/>
          <w:kern w:val="0"/>
          <w:sz w:val="24"/>
          <w:szCs w:val="24"/>
          <w:lang w:val="en-US" w:eastAsia="zh-CN" w:bidi="ar-SA"/>
        </w:rPr>
        <w:t>平台</w:t>
      </w:r>
      <w:r>
        <w:rPr>
          <w:rFonts w:hint="eastAsia" w:ascii="宋体" w:hAnsi="宋体" w:eastAsia="宋体" w:cs="宋体"/>
          <w:kern w:val="0"/>
          <w:sz w:val="24"/>
          <w:szCs w:val="24"/>
          <w:lang w:val="en-GB" w:eastAsia="zh-CN" w:bidi="ar-SA"/>
        </w:rPr>
        <w:t>产生的所有数据、信息等不得作为其它商业活动。</w:t>
      </w:r>
    </w:p>
    <w:p w14:paraId="4FC93B18">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US" w:eastAsia="zh-CN" w:bidi="ar-SA"/>
        </w:rPr>
        <w:t>八</w:t>
      </w:r>
      <w:r>
        <w:rPr>
          <w:rFonts w:hint="eastAsia" w:ascii="宋体" w:hAnsi="宋体" w:eastAsia="宋体" w:cs="宋体"/>
          <w:kern w:val="0"/>
          <w:sz w:val="24"/>
          <w:szCs w:val="24"/>
          <w:lang w:val="en-GB" w:eastAsia="zh-CN" w:bidi="ar-SA"/>
        </w:rPr>
        <w:t>）服务要求</w:t>
      </w:r>
    </w:p>
    <w:p w14:paraId="0810F580">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1、管理要求</w:t>
      </w:r>
    </w:p>
    <w:p w14:paraId="6919E770">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供应商成立专门的团队，负责受理工作。提供受话服务规范用语，明确来电处理流程，确保服务的顺利进行。</w:t>
      </w:r>
    </w:p>
    <w:p w14:paraId="510A3B73">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2、运营场所、设备及硬件设施要求</w:t>
      </w:r>
    </w:p>
    <w:p w14:paraId="646814C4">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采购人提供满足受理服务的固定场所和硬件设施，作为本项目电话人工受理的受理中心。受理中心具有呼叫坐席、办公室、网络通信及设备配备等。</w:t>
      </w:r>
    </w:p>
    <w:p w14:paraId="1CDACF49">
      <w:pPr>
        <w:adjustRightInd/>
        <w:spacing w:line="360" w:lineRule="auto"/>
        <w:ind w:firstLine="480" w:firstLineChars="200"/>
        <w:jc w:val="both"/>
        <w:outlineLvl w:val="0"/>
        <w:rPr>
          <w:rFonts w:hint="eastAsia" w:ascii="宋体" w:hAnsi="宋体" w:cs="宋体"/>
          <w:color w:val="FF0000"/>
          <w:kern w:val="0"/>
          <w:sz w:val="24"/>
          <w:szCs w:val="24"/>
          <w:lang w:val="en-GB" w:eastAsia="zh-CN" w:bidi="ar-SA"/>
        </w:rPr>
      </w:pPr>
      <w:r>
        <w:rPr>
          <w:rFonts w:hint="eastAsia" w:ascii="宋体" w:hAnsi="宋体" w:cs="宋体"/>
          <w:color w:val="FF0000"/>
          <w:kern w:val="0"/>
          <w:sz w:val="24"/>
          <w:szCs w:val="24"/>
          <w:lang w:val="en-GB" w:eastAsia="zh-CN" w:bidi="ar-SA"/>
        </w:rPr>
        <w:t>（</w:t>
      </w:r>
      <w:r>
        <w:rPr>
          <w:rFonts w:hint="eastAsia" w:ascii="宋体" w:hAnsi="宋体" w:cs="宋体"/>
          <w:color w:val="FF0000"/>
          <w:kern w:val="0"/>
          <w:sz w:val="24"/>
          <w:szCs w:val="24"/>
          <w:lang w:val="en-US" w:eastAsia="zh-CN" w:bidi="ar-SA"/>
        </w:rPr>
        <w:t>九</w:t>
      </w:r>
      <w:r>
        <w:rPr>
          <w:rFonts w:hint="eastAsia" w:ascii="宋体" w:hAnsi="宋体" w:cs="宋体"/>
          <w:color w:val="FF0000"/>
          <w:kern w:val="0"/>
          <w:sz w:val="24"/>
          <w:szCs w:val="24"/>
          <w:lang w:val="en-GB" w:eastAsia="zh-CN" w:bidi="ar-SA"/>
        </w:rPr>
        <w:t>）人员标准</w:t>
      </w:r>
    </w:p>
    <w:p w14:paraId="6C6CA75F">
      <w:pPr>
        <w:pStyle w:val="2"/>
        <w:ind w:left="0" w:leftChars="0" w:firstLine="480" w:firstLineChars="200"/>
        <w:rPr>
          <w:rFonts w:hint="eastAsia" w:ascii="宋体" w:hAnsi="宋体" w:eastAsia="宋体" w:cs="宋体"/>
          <w:b w:val="0"/>
          <w:bCs w:val="0"/>
          <w:color w:val="FF0000"/>
          <w:kern w:val="0"/>
          <w:sz w:val="24"/>
          <w:szCs w:val="24"/>
          <w:highlight w:val="none"/>
          <w:lang w:val="en-GB" w:eastAsia="zh-CN" w:bidi="ar-SA"/>
        </w:rPr>
      </w:pPr>
      <w:r>
        <w:rPr>
          <w:rFonts w:hint="eastAsia" w:ascii="宋体" w:hAnsi="宋体" w:eastAsia="宋体" w:cs="宋体"/>
          <w:b w:val="0"/>
          <w:bCs w:val="0"/>
          <w:color w:val="FF0000"/>
          <w:kern w:val="0"/>
          <w:sz w:val="24"/>
          <w:szCs w:val="24"/>
          <w:highlight w:val="none"/>
          <w:lang w:val="en-US" w:eastAsia="zh-CN" w:bidi="ar-SA"/>
        </w:rPr>
        <w:t>1、</w:t>
      </w:r>
      <w:r>
        <w:rPr>
          <w:rFonts w:hint="eastAsia" w:ascii="宋体" w:hAnsi="宋体" w:eastAsia="宋体" w:cs="宋体"/>
          <w:b w:val="0"/>
          <w:bCs w:val="0"/>
          <w:color w:val="FF0000"/>
          <w:kern w:val="0"/>
          <w:sz w:val="24"/>
          <w:szCs w:val="24"/>
          <w:highlight w:val="none"/>
          <w:lang w:val="en-GB" w:eastAsia="zh-CN" w:bidi="ar-SA"/>
        </w:rPr>
        <w:t>管理人员要求：在服务人员要求的基础上，具有2年及以上呼叫中心管理经验和良好的人际交往及协调能力。采购人有权对管理人员进行考核及更换，若供应商调整管理团队架构及人员，须书面向采购人征询意见。</w:t>
      </w:r>
    </w:p>
    <w:p w14:paraId="3E4998BD">
      <w:pPr>
        <w:pStyle w:val="2"/>
        <w:ind w:left="0" w:leftChars="0" w:firstLine="480" w:firstLineChars="200"/>
        <w:rPr>
          <w:rFonts w:hint="eastAsia" w:ascii="宋体" w:hAnsi="宋体" w:eastAsia="宋体" w:cs="宋体"/>
          <w:b w:val="0"/>
          <w:bCs w:val="0"/>
          <w:color w:val="FF0000"/>
          <w:kern w:val="0"/>
          <w:sz w:val="24"/>
          <w:szCs w:val="24"/>
          <w:highlight w:val="none"/>
          <w:lang w:val="en-GB" w:eastAsia="zh-CN" w:bidi="ar-SA"/>
        </w:rPr>
      </w:pPr>
      <w:r>
        <w:rPr>
          <w:rFonts w:hint="eastAsia" w:ascii="宋体" w:hAnsi="宋体" w:eastAsia="宋体" w:cs="宋体"/>
          <w:b w:val="0"/>
          <w:bCs w:val="0"/>
          <w:color w:val="FF0000"/>
          <w:kern w:val="0"/>
          <w:sz w:val="24"/>
          <w:szCs w:val="24"/>
          <w:highlight w:val="none"/>
          <w:lang w:val="en-US" w:eastAsia="zh-CN" w:bidi="ar-SA"/>
        </w:rPr>
        <w:t>2、</w:t>
      </w:r>
      <w:r>
        <w:rPr>
          <w:rFonts w:hint="eastAsia" w:ascii="宋体" w:hAnsi="宋体" w:eastAsia="宋体" w:cs="宋体"/>
          <w:b w:val="0"/>
          <w:bCs w:val="0"/>
          <w:color w:val="FF0000"/>
          <w:kern w:val="0"/>
          <w:sz w:val="24"/>
          <w:szCs w:val="24"/>
          <w:highlight w:val="none"/>
          <w:lang w:val="en-GB" w:eastAsia="zh-CN" w:bidi="ar-SA"/>
        </w:rPr>
        <w:t>服务人员要求：原则上要求大专(含高职)及以上学历，有一年以上政务服务热线工作经验的可适当放宽学历要求(高中及以上)，比例不超过6%其中，网络和系统维护技术人员不少于2名，要求大学本科及以上学历，计算机网络安全等相关专业。胜任呼叫中心工作；具有较强的服务意识，良好的应变能力、沟通能力及判断能力，耐心、热情、积极为群众排忧解难，做到文明礼貌、耐心细致、规范标准；有较强的语言表达和沟通能力、文字归纳和输入能力，具有良好的团队精神，普通话标准流利、口齿清晰，有责任心，服从管理；熟练操作计算机和办公软件，文字录入速度 40字/分钟以上；具有适应岗位要求的身体条件，无精神病、无各类传染病、无不良嗜好，有较强的承压能力、良好的必理调节能力，能够适应倒班及夜班，按规定体检。</w:t>
      </w:r>
    </w:p>
    <w:p w14:paraId="1B26875B">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US" w:eastAsia="zh-CN" w:bidi="ar-SA"/>
        </w:rPr>
        <w:t>十</w:t>
      </w:r>
      <w:r>
        <w:rPr>
          <w:rFonts w:hint="eastAsia" w:ascii="宋体" w:hAnsi="宋体" w:eastAsia="宋体" w:cs="宋体"/>
          <w:kern w:val="0"/>
          <w:sz w:val="24"/>
          <w:szCs w:val="24"/>
          <w:lang w:val="en-GB" w:eastAsia="zh-CN" w:bidi="ar-SA"/>
        </w:rPr>
        <w:t>）受理服务人员要求</w:t>
      </w:r>
    </w:p>
    <w:p w14:paraId="1C5B47F5">
      <w:pPr>
        <w:adjustRightInd/>
        <w:spacing w:line="360" w:lineRule="auto"/>
        <w:ind w:firstLine="480" w:firstLineChars="200"/>
        <w:jc w:val="both"/>
        <w:outlineLvl w:val="0"/>
        <w:rPr>
          <w:rFonts w:hint="eastAsia" w:ascii="宋体" w:hAnsi="宋体" w:eastAsia="宋体" w:cs="宋体"/>
          <w:kern w:val="0"/>
          <w:sz w:val="24"/>
          <w:szCs w:val="24"/>
          <w:highlight w:val="none"/>
          <w:lang w:val="en-GB" w:eastAsia="zh-CN" w:bidi="ar-SA"/>
        </w:rPr>
      </w:pPr>
      <w:r>
        <w:rPr>
          <w:rFonts w:hint="eastAsia" w:ascii="宋体" w:hAnsi="宋体" w:eastAsia="宋体" w:cs="宋体"/>
          <w:kern w:val="0"/>
          <w:sz w:val="24"/>
          <w:szCs w:val="24"/>
          <w:highlight w:val="none"/>
          <w:lang w:val="en-GB" w:eastAsia="zh-CN" w:bidi="ar-SA"/>
        </w:rPr>
        <w:t>1、供应商提供相应质量的电话接听能力，并持续按照省、市最新政务热线服务规范对接听人员进行定期培训，确保提供的接听服务能够满足省、市要求。</w:t>
      </w:r>
    </w:p>
    <w:p w14:paraId="542517B6">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2、供应商负责具体运营工作以及对坐席运营人员的考核、培训等，以达到采购人考核要求。</w:t>
      </w:r>
    </w:p>
    <w:p w14:paraId="4F99119D">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3、投标人必须按照杭州市社保缴纳基数相关规定进行社保缴纳，做到合法用工。</w:t>
      </w:r>
    </w:p>
    <w:p w14:paraId="64CF973E">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GB" w:eastAsia="zh-CN" w:bidi="ar-SA"/>
        </w:rPr>
        <w:t>十</w:t>
      </w:r>
      <w:r>
        <w:rPr>
          <w:rFonts w:hint="eastAsia" w:ascii="宋体" w:hAnsi="宋体" w:cs="宋体"/>
          <w:kern w:val="0"/>
          <w:sz w:val="24"/>
          <w:szCs w:val="24"/>
          <w:lang w:val="en-US" w:eastAsia="zh-CN" w:bidi="ar-SA"/>
        </w:rPr>
        <w:t>一</w:t>
      </w:r>
      <w:r>
        <w:rPr>
          <w:rFonts w:hint="eastAsia" w:ascii="宋体" w:hAnsi="宋体" w:eastAsia="宋体" w:cs="宋体"/>
          <w:kern w:val="0"/>
          <w:sz w:val="24"/>
          <w:szCs w:val="24"/>
          <w:lang w:val="en-GB" w:eastAsia="zh-CN" w:bidi="ar-SA"/>
        </w:rPr>
        <w:t>）受理服务人员培训要求</w:t>
      </w:r>
    </w:p>
    <w:p w14:paraId="3611808A">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供应商需组织岗前、岗中培训，采购人协助进行业务指导。具体基本话务技能培训、业务技能培训方案由投标单位在投标文件中提供，如中标，须经采购单位确认后实施。</w:t>
      </w:r>
    </w:p>
    <w:p w14:paraId="338C592B">
      <w:pPr>
        <w:adjustRightInd/>
        <w:spacing w:line="360" w:lineRule="auto"/>
        <w:ind w:firstLine="480" w:firstLineChars="200"/>
        <w:jc w:val="both"/>
        <w:outlineLvl w:val="0"/>
        <w:rPr>
          <w:rFonts w:hint="eastAsia" w:ascii="宋体" w:hAnsi="宋体" w:eastAsia="宋体" w:cs="宋体"/>
          <w:color w:val="FF0000"/>
          <w:kern w:val="0"/>
          <w:sz w:val="24"/>
          <w:szCs w:val="24"/>
          <w:lang w:val="en-GB" w:eastAsia="zh-CN" w:bidi="ar-SA"/>
        </w:rPr>
      </w:pPr>
      <w:r>
        <w:rPr>
          <w:rFonts w:hint="eastAsia" w:ascii="宋体" w:hAnsi="宋体" w:eastAsia="宋体" w:cs="宋体"/>
          <w:color w:val="FF0000"/>
          <w:kern w:val="0"/>
          <w:sz w:val="24"/>
          <w:szCs w:val="24"/>
          <w:lang w:val="en-GB" w:eastAsia="zh-CN" w:bidi="ar-SA"/>
        </w:rPr>
        <w:t>（十</w:t>
      </w:r>
      <w:r>
        <w:rPr>
          <w:rFonts w:hint="eastAsia" w:ascii="宋体" w:hAnsi="宋体" w:cs="宋体"/>
          <w:color w:val="FF0000"/>
          <w:kern w:val="0"/>
          <w:sz w:val="24"/>
          <w:szCs w:val="24"/>
          <w:lang w:val="en-US" w:eastAsia="zh-CN" w:bidi="ar-SA"/>
        </w:rPr>
        <w:t>二</w:t>
      </w:r>
      <w:r>
        <w:rPr>
          <w:rFonts w:hint="eastAsia" w:ascii="宋体" w:hAnsi="宋体" w:eastAsia="宋体" w:cs="宋体"/>
          <w:color w:val="FF0000"/>
          <w:kern w:val="0"/>
          <w:sz w:val="24"/>
          <w:szCs w:val="24"/>
          <w:lang w:val="en-GB" w:eastAsia="zh-CN" w:bidi="ar-SA"/>
        </w:rPr>
        <w:t>）</w:t>
      </w:r>
      <w:r>
        <w:rPr>
          <w:rFonts w:hint="eastAsia" w:ascii="宋体" w:hAnsi="宋体" w:cs="宋体"/>
          <w:color w:val="FF0000"/>
          <w:kern w:val="0"/>
          <w:sz w:val="24"/>
          <w:szCs w:val="24"/>
          <w:lang w:val="en-GB" w:eastAsia="zh-CN" w:bidi="ar-SA"/>
        </w:rPr>
        <w:t>场地及系统</w:t>
      </w:r>
      <w:r>
        <w:rPr>
          <w:rFonts w:hint="eastAsia" w:ascii="宋体" w:hAnsi="宋体" w:eastAsia="宋体" w:cs="宋体"/>
          <w:color w:val="FF0000"/>
          <w:kern w:val="0"/>
          <w:sz w:val="24"/>
          <w:szCs w:val="24"/>
          <w:lang w:val="en-GB" w:eastAsia="zh-CN" w:bidi="ar-SA"/>
        </w:rPr>
        <w:t>软、硬件设施</w:t>
      </w:r>
      <w:r>
        <w:rPr>
          <w:rFonts w:hint="eastAsia" w:ascii="宋体" w:hAnsi="宋体" w:cs="宋体"/>
          <w:color w:val="FF0000"/>
          <w:kern w:val="0"/>
          <w:sz w:val="24"/>
          <w:szCs w:val="24"/>
          <w:lang w:val="en-GB" w:eastAsia="zh-CN" w:bidi="ar-SA"/>
        </w:rPr>
        <w:t>要求</w:t>
      </w:r>
    </w:p>
    <w:p w14:paraId="1BDE1483">
      <w:pPr>
        <w:adjustRightInd/>
        <w:spacing w:line="360" w:lineRule="auto"/>
        <w:ind w:firstLine="480" w:firstLineChars="200"/>
        <w:jc w:val="both"/>
        <w:outlineLvl w:val="0"/>
        <w:rPr>
          <w:rFonts w:hint="eastAsia" w:ascii="宋体" w:hAnsi="宋体" w:eastAsia="宋体" w:cs="宋体"/>
          <w:color w:val="FF0000"/>
          <w:kern w:val="0"/>
          <w:sz w:val="24"/>
          <w:szCs w:val="24"/>
          <w:lang w:val="en-GB" w:eastAsia="zh-CN" w:bidi="ar-SA"/>
        </w:rPr>
      </w:pPr>
      <w:r>
        <w:rPr>
          <w:rFonts w:hint="eastAsia" w:ascii="宋体" w:hAnsi="宋体" w:cs="宋体"/>
          <w:color w:val="FF0000"/>
          <w:kern w:val="0"/>
          <w:sz w:val="24"/>
          <w:szCs w:val="24"/>
          <w:lang w:val="en-US" w:eastAsia="zh-CN" w:bidi="ar-SA"/>
        </w:rPr>
        <w:t>1、</w:t>
      </w:r>
      <w:r>
        <w:rPr>
          <w:rFonts w:hint="eastAsia" w:ascii="宋体" w:hAnsi="宋体" w:eastAsia="宋体" w:cs="宋体"/>
          <w:color w:val="FF0000"/>
          <w:kern w:val="0"/>
          <w:sz w:val="24"/>
          <w:szCs w:val="24"/>
          <w:lang w:val="en-GB" w:eastAsia="zh-CN" w:bidi="ar-SA"/>
        </w:rPr>
        <w:t>浙江省统一政务咨询投诉举报平台、杭州市统一政务咨询投诉举报平台由</w:t>
      </w:r>
      <w:r>
        <w:rPr>
          <w:rFonts w:hint="eastAsia" w:ascii="宋体" w:hAnsi="宋体" w:cs="宋体"/>
          <w:color w:val="FF0000"/>
          <w:kern w:val="0"/>
          <w:sz w:val="24"/>
          <w:szCs w:val="24"/>
          <w:lang w:val="en-GB" w:eastAsia="zh-CN" w:bidi="ar-SA"/>
        </w:rPr>
        <w:t>采购</w:t>
      </w:r>
      <w:r>
        <w:rPr>
          <w:rFonts w:hint="eastAsia" w:ascii="宋体" w:hAnsi="宋体" w:eastAsia="宋体" w:cs="宋体"/>
          <w:color w:val="FF0000"/>
          <w:kern w:val="0"/>
          <w:sz w:val="24"/>
          <w:szCs w:val="24"/>
          <w:lang w:val="en-GB" w:eastAsia="zh-CN" w:bidi="ar-SA"/>
        </w:rPr>
        <w:t>人提供，成交供应商负责安装。</w:t>
      </w:r>
    </w:p>
    <w:p w14:paraId="72B29F59">
      <w:pPr>
        <w:adjustRightInd/>
        <w:spacing w:line="360" w:lineRule="auto"/>
        <w:ind w:firstLine="480" w:firstLineChars="200"/>
        <w:jc w:val="both"/>
        <w:outlineLvl w:val="0"/>
        <w:rPr>
          <w:rFonts w:hint="eastAsia" w:ascii="宋体" w:hAnsi="宋体" w:eastAsia="宋体" w:cs="宋体"/>
          <w:color w:val="FF0000"/>
          <w:kern w:val="0"/>
          <w:sz w:val="24"/>
          <w:szCs w:val="24"/>
          <w:lang w:val="en-US" w:eastAsia="zh-CN" w:bidi="ar-SA"/>
        </w:rPr>
      </w:pPr>
      <w:r>
        <w:rPr>
          <w:rFonts w:hint="eastAsia" w:ascii="宋体" w:hAnsi="宋体" w:cs="宋体"/>
          <w:color w:val="FF0000"/>
          <w:kern w:val="0"/>
          <w:sz w:val="24"/>
          <w:szCs w:val="24"/>
          <w:lang w:val="en-US" w:eastAsia="zh-CN" w:bidi="ar-SA"/>
        </w:rPr>
        <w:t>2</w:t>
      </w:r>
      <w:r>
        <w:rPr>
          <w:rFonts w:hint="eastAsia" w:ascii="宋体" w:hAnsi="宋体" w:eastAsia="宋体" w:cs="宋体"/>
          <w:color w:val="FF0000"/>
          <w:kern w:val="0"/>
          <w:sz w:val="24"/>
          <w:szCs w:val="24"/>
          <w:lang w:val="en-US" w:eastAsia="zh-CN" w:bidi="ar-SA"/>
        </w:rPr>
        <w:t>、协助做好</w:t>
      </w:r>
      <w:r>
        <w:rPr>
          <w:rFonts w:hint="eastAsia" w:ascii="宋体" w:hAnsi="宋体" w:cs="宋体"/>
          <w:color w:val="FF0000"/>
          <w:kern w:val="0"/>
          <w:sz w:val="24"/>
          <w:szCs w:val="24"/>
          <w:lang w:val="en-US" w:eastAsia="zh-CN" w:bidi="ar-SA"/>
        </w:rPr>
        <w:t>采购人</w:t>
      </w:r>
      <w:r>
        <w:rPr>
          <w:rFonts w:hint="eastAsia" w:ascii="宋体" w:hAnsi="宋体" w:eastAsia="宋体" w:cs="宋体"/>
          <w:color w:val="FF0000"/>
          <w:kern w:val="0"/>
          <w:sz w:val="24"/>
          <w:szCs w:val="24"/>
          <w:lang w:val="en-US" w:eastAsia="zh-CN" w:bidi="ar-SA"/>
        </w:rPr>
        <w:t>的固定资产登记造册、管理维护、定期盘点，年末提交固定资产清查报告。如有损坏，应及时维修或更换。</w:t>
      </w:r>
    </w:p>
    <w:p w14:paraId="063113D0">
      <w:pPr>
        <w:adjustRightInd/>
        <w:spacing w:line="360" w:lineRule="auto"/>
        <w:ind w:firstLine="480" w:firstLineChars="200"/>
        <w:jc w:val="both"/>
        <w:outlineLvl w:val="0"/>
        <w:rPr>
          <w:rFonts w:hint="eastAsia" w:ascii="宋体" w:hAnsi="宋体" w:eastAsia="宋体" w:cs="宋体"/>
          <w:color w:val="FF0000"/>
          <w:kern w:val="0"/>
          <w:sz w:val="24"/>
          <w:szCs w:val="24"/>
          <w:lang w:val="en-US" w:eastAsia="zh-CN" w:bidi="ar-SA"/>
        </w:rPr>
      </w:pPr>
      <w:r>
        <w:rPr>
          <w:rFonts w:hint="eastAsia" w:ascii="宋体" w:hAnsi="宋体" w:cs="宋体"/>
          <w:color w:val="FF0000"/>
          <w:kern w:val="0"/>
          <w:sz w:val="24"/>
          <w:szCs w:val="24"/>
          <w:lang w:val="en-US" w:eastAsia="zh-CN" w:bidi="ar-SA"/>
        </w:rPr>
        <w:t>3</w:t>
      </w:r>
      <w:r>
        <w:rPr>
          <w:rFonts w:hint="eastAsia" w:ascii="宋体" w:hAnsi="宋体" w:eastAsia="宋体" w:cs="宋体"/>
          <w:color w:val="FF0000"/>
          <w:kern w:val="0"/>
          <w:sz w:val="24"/>
          <w:szCs w:val="24"/>
          <w:lang w:val="en-US" w:eastAsia="zh-CN" w:bidi="ar-SA"/>
        </w:rPr>
        <w:t>、负责租赁、采购网络光纤，信息系统维护，硬件设备设施保养维修。</w:t>
      </w:r>
    </w:p>
    <w:p w14:paraId="2CC0C26C">
      <w:pPr>
        <w:adjustRightInd/>
        <w:spacing w:line="360" w:lineRule="auto"/>
        <w:ind w:firstLine="480" w:firstLineChars="200"/>
        <w:jc w:val="both"/>
        <w:outlineLvl w:val="0"/>
        <w:rPr>
          <w:rFonts w:hint="eastAsia" w:ascii="宋体" w:hAnsi="宋体" w:eastAsia="宋体" w:cs="宋体"/>
          <w:color w:val="FF0000"/>
          <w:kern w:val="0"/>
          <w:sz w:val="24"/>
          <w:szCs w:val="24"/>
          <w:lang w:val="en-US" w:eastAsia="zh-CN" w:bidi="ar-SA"/>
        </w:rPr>
      </w:pPr>
      <w:r>
        <w:rPr>
          <w:rFonts w:hint="eastAsia" w:ascii="宋体" w:hAnsi="宋体" w:cs="宋体"/>
          <w:color w:val="FF0000"/>
          <w:kern w:val="0"/>
          <w:sz w:val="24"/>
          <w:szCs w:val="24"/>
          <w:lang w:val="en-US" w:eastAsia="zh-CN" w:bidi="ar-SA"/>
        </w:rPr>
        <w:t>4</w:t>
      </w:r>
      <w:r>
        <w:rPr>
          <w:rFonts w:hint="eastAsia" w:ascii="宋体" w:hAnsi="宋体" w:eastAsia="宋体" w:cs="宋体"/>
          <w:color w:val="FF0000"/>
          <w:kern w:val="0"/>
          <w:sz w:val="24"/>
          <w:szCs w:val="24"/>
          <w:lang w:val="en-US" w:eastAsia="zh-CN" w:bidi="ar-SA"/>
        </w:rPr>
        <w:t>、负责办公场地的环境、文化建设等，做好绿植、标牌标识、宣传广告等采购，做好办公场地及相关设施的日常维护、清洁卫生。</w:t>
      </w:r>
    </w:p>
    <w:p w14:paraId="60721649">
      <w:pPr>
        <w:adjustRightInd/>
        <w:spacing w:line="360" w:lineRule="auto"/>
        <w:ind w:firstLine="480" w:firstLineChars="200"/>
        <w:jc w:val="both"/>
        <w:outlineLvl w:val="0"/>
        <w:rPr>
          <w:rFonts w:hint="eastAsia" w:ascii="宋体" w:hAnsi="宋体" w:eastAsia="宋体" w:cs="宋体"/>
          <w:color w:val="FF0000"/>
          <w:kern w:val="0"/>
          <w:sz w:val="24"/>
          <w:szCs w:val="24"/>
          <w:lang w:val="en-US" w:eastAsia="zh-CN" w:bidi="ar-SA"/>
        </w:rPr>
      </w:pPr>
      <w:r>
        <w:rPr>
          <w:rFonts w:hint="eastAsia" w:ascii="宋体" w:hAnsi="宋体" w:cs="宋体"/>
          <w:color w:val="FF0000"/>
          <w:kern w:val="0"/>
          <w:sz w:val="24"/>
          <w:szCs w:val="24"/>
          <w:lang w:val="en-US" w:eastAsia="zh-CN" w:bidi="ar-SA"/>
        </w:rPr>
        <w:t>5</w:t>
      </w:r>
      <w:r>
        <w:rPr>
          <w:rFonts w:hint="eastAsia" w:ascii="宋体" w:hAnsi="宋体" w:eastAsia="宋体" w:cs="宋体"/>
          <w:color w:val="FF0000"/>
          <w:kern w:val="0"/>
          <w:sz w:val="24"/>
          <w:szCs w:val="24"/>
          <w:lang w:val="en-US" w:eastAsia="zh-CN" w:bidi="ar-SA"/>
        </w:rPr>
        <w:t>、按实际需要添置办公设备与耗材，并及时维修维护。</w:t>
      </w:r>
    </w:p>
    <w:p w14:paraId="3405EFC3">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0"/>
        <w:rPr>
          <w:rFonts w:hint="eastAsia" w:ascii="宋体" w:hAnsi="宋体" w:eastAsia="宋体" w:cs="宋体"/>
          <w:b/>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、费用结算及相关内容</w:t>
      </w:r>
    </w:p>
    <w:p w14:paraId="2E7C5278">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服务经费每月由甲方支付给乙方，甲方按照月平均中标服务经费为基数，按考核情况进行拨付。</w:t>
      </w:r>
    </w:p>
    <w:p w14:paraId="6F5F38AE">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0"/>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、服务期</w:t>
      </w:r>
    </w:p>
    <w:p w14:paraId="788179CA">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服务期限为</w:t>
      </w:r>
      <w:r>
        <w:rPr>
          <w:rFonts w:hint="eastAsia" w:ascii="宋体" w:hAnsi="宋体" w:eastAsia="宋体" w:cs="宋体"/>
          <w:kern w:val="0"/>
          <w:sz w:val="24"/>
          <w:szCs w:val="24"/>
          <w:lang w:val="en-US" w:eastAsia="zh-CN" w:bidi="ar-SA"/>
        </w:rPr>
        <w:t>三</w:t>
      </w:r>
      <w:r>
        <w:rPr>
          <w:rFonts w:hint="eastAsia" w:ascii="宋体" w:hAnsi="宋体" w:eastAsia="宋体" w:cs="宋体"/>
          <w:kern w:val="0"/>
          <w:sz w:val="24"/>
          <w:szCs w:val="24"/>
          <w:lang w:val="en-GB" w:eastAsia="zh-CN" w:bidi="ar-SA"/>
        </w:rPr>
        <w:t>年（具体日期以合同签订生效日为准），合同一年一签。如成交供应商在服务期内违反合同约定，采购单位有权提前终止合同。</w:t>
      </w:r>
    </w:p>
    <w:p w14:paraId="5852724F">
      <w:pPr>
        <w:autoSpaceDE w:val="0"/>
        <w:autoSpaceDN w:val="0"/>
        <w:spacing w:line="360" w:lineRule="auto"/>
        <w:ind w:firstLine="482" w:firstLineChars="200"/>
        <w:outlineLvl w:val="0"/>
        <w:rPr>
          <w:rFonts w:hint="eastAsia"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、监督考核指标</w:t>
      </w:r>
    </w:p>
    <w:p w14:paraId="55AA1814">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采购人负责对供应商坐席接通率、准确率等十</w:t>
      </w:r>
      <w:r>
        <w:rPr>
          <w:rFonts w:hint="eastAsia" w:ascii="宋体" w:hAnsi="宋体" w:cs="宋体"/>
          <w:kern w:val="0"/>
          <w:sz w:val="24"/>
          <w:szCs w:val="24"/>
          <w:lang w:val="en-US" w:eastAsia="zh-CN" w:bidi="ar-SA"/>
        </w:rPr>
        <w:t>六</w:t>
      </w:r>
      <w:r>
        <w:rPr>
          <w:rFonts w:hint="eastAsia" w:ascii="宋体" w:hAnsi="宋体" w:eastAsia="宋体" w:cs="宋体"/>
          <w:kern w:val="0"/>
          <w:sz w:val="24"/>
          <w:szCs w:val="24"/>
          <w:lang w:val="en-GB" w:eastAsia="zh-CN" w:bidi="ar-SA"/>
        </w:rPr>
        <w:t>项服务指标，每月进行考核。</w:t>
      </w:r>
    </w:p>
    <w:p w14:paraId="7B65A8AA">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（一）有效接通率：接通量/来电总数，要求月平均≥9</w:t>
      </w:r>
      <w:r>
        <w:rPr>
          <w:rFonts w:hint="eastAsia" w:ascii="宋体" w:hAnsi="宋体" w:eastAsia="宋体" w:cs="宋体"/>
          <w:kern w:val="0"/>
          <w:sz w:val="24"/>
          <w:szCs w:val="24"/>
          <w:lang w:val="en-US" w:eastAsia="zh-CN" w:bidi="ar-SA"/>
        </w:rPr>
        <w:t>3</w:t>
      </w:r>
      <w:r>
        <w:rPr>
          <w:rFonts w:hint="eastAsia" w:ascii="宋体" w:hAnsi="宋体" w:eastAsia="宋体" w:cs="宋体"/>
          <w:kern w:val="0"/>
          <w:sz w:val="24"/>
          <w:szCs w:val="24"/>
          <w:lang w:val="en-GB" w:eastAsia="zh-CN" w:bidi="ar-SA"/>
        </w:rPr>
        <w:t>%，每下降1%，扣除当月服务费3000元。</w:t>
      </w:r>
    </w:p>
    <w:p w14:paraId="6DA8DF83">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（二）上导准确率=1-上导杭州市“12345”差错量/上导总量，要求每月≥95%，每下降0.5%，扣3000元。</w:t>
      </w:r>
    </w:p>
    <w:p w14:paraId="772332D4">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（三）受理质量满意率：来电群众对受话人员的服务态度、服务质量进行评价，要求月均满意率≥9</w:t>
      </w:r>
      <w:r>
        <w:rPr>
          <w:rFonts w:hint="eastAsia" w:ascii="宋体" w:hAnsi="宋体" w:eastAsia="宋体" w:cs="宋体"/>
          <w:kern w:val="0"/>
          <w:sz w:val="24"/>
          <w:szCs w:val="24"/>
          <w:lang w:val="en-US" w:eastAsia="zh-CN" w:bidi="ar-SA"/>
        </w:rPr>
        <w:t>9</w:t>
      </w:r>
      <w:r>
        <w:rPr>
          <w:rFonts w:hint="eastAsia" w:ascii="宋体" w:hAnsi="宋体" w:eastAsia="宋体" w:cs="宋体"/>
          <w:kern w:val="0"/>
          <w:sz w:val="24"/>
          <w:szCs w:val="24"/>
          <w:lang w:val="en-GB" w:eastAsia="zh-CN" w:bidi="ar-SA"/>
        </w:rPr>
        <w:t>%，每下降</w:t>
      </w:r>
      <w:r>
        <w:rPr>
          <w:rFonts w:hint="eastAsia" w:ascii="宋体" w:hAnsi="宋体" w:eastAsia="宋体" w:cs="宋体"/>
          <w:kern w:val="0"/>
          <w:sz w:val="24"/>
          <w:szCs w:val="24"/>
          <w:lang w:val="en-US" w:eastAsia="zh-CN" w:bidi="ar-SA"/>
        </w:rPr>
        <w:t>0.5</w:t>
      </w:r>
      <w:r>
        <w:rPr>
          <w:rFonts w:hint="eastAsia" w:ascii="宋体" w:hAnsi="宋体" w:eastAsia="宋体" w:cs="宋体"/>
          <w:kern w:val="0"/>
          <w:sz w:val="24"/>
          <w:szCs w:val="24"/>
          <w:lang w:val="en-GB" w:eastAsia="zh-CN" w:bidi="ar-SA"/>
        </w:rPr>
        <w:t>%扣除当月服务费300元。</w:t>
      </w:r>
    </w:p>
    <w:p w14:paraId="4E7D23AF">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（四）重复交办准确率：1－重复交办差错量÷抽查总量，达标值≥95%。</w:t>
      </w:r>
    </w:p>
    <w:p w14:paraId="55F18E5B">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（五）咨询事项直接答复率：≥9</w:t>
      </w:r>
      <w:r>
        <w:rPr>
          <w:rFonts w:hint="eastAsia" w:ascii="宋体" w:hAnsi="宋体" w:eastAsia="宋体" w:cs="宋体"/>
          <w:kern w:val="0"/>
          <w:sz w:val="24"/>
          <w:szCs w:val="24"/>
          <w:lang w:val="en-US" w:eastAsia="zh-CN" w:bidi="ar-SA"/>
        </w:rPr>
        <w:t>5</w:t>
      </w:r>
      <w:r>
        <w:rPr>
          <w:rFonts w:hint="eastAsia" w:ascii="宋体" w:hAnsi="宋体" w:eastAsia="宋体" w:cs="宋体"/>
          <w:kern w:val="0"/>
          <w:sz w:val="24"/>
          <w:szCs w:val="24"/>
          <w:lang w:val="en-GB" w:eastAsia="zh-CN" w:bidi="ar-SA"/>
        </w:rPr>
        <w:t>%，每下降</w:t>
      </w:r>
      <w:r>
        <w:rPr>
          <w:rFonts w:hint="eastAsia" w:ascii="宋体" w:hAnsi="宋体" w:eastAsia="宋体" w:cs="宋体"/>
          <w:kern w:val="0"/>
          <w:sz w:val="24"/>
          <w:szCs w:val="24"/>
          <w:lang w:val="en-US" w:eastAsia="zh-CN" w:bidi="ar-SA"/>
        </w:rPr>
        <w:t>1</w:t>
      </w:r>
      <w:r>
        <w:rPr>
          <w:rFonts w:hint="eastAsia" w:ascii="宋体" w:hAnsi="宋体" w:eastAsia="宋体" w:cs="宋体"/>
          <w:kern w:val="0"/>
          <w:sz w:val="24"/>
          <w:szCs w:val="24"/>
          <w:lang w:val="en-GB" w:eastAsia="zh-CN" w:bidi="ar-SA"/>
        </w:rPr>
        <w:t>%扣除当月服务费300元。</w:t>
      </w:r>
    </w:p>
    <w:p w14:paraId="4B77E818">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w:t>
      </w:r>
      <w:r>
        <w:rPr>
          <w:rFonts w:hint="eastAsia" w:ascii="宋体" w:hAnsi="宋体" w:eastAsia="宋体" w:cs="宋体"/>
          <w:kern w:val="0"/>
          <w:sz w:val="24"/>
          <w:szCs w:val="24"/>
          <w:lang w:val="en-US" w:eastAsia="zh-CN" w:bidi="ar-SA"/>
        </w:rPr>
        <w:t>六</w:t>
      </w:r>
      <w:r>
        <w:rPr>
          <w:rFonts w:hint="eastAsia" w:ascii="宋体" w:hAnsi="宋体" w:eastAsia="宋体" w:cs="宋体"/>
          <w:kern w:val="0"/>
          <w:sz w:val="24"/>
          <w:szCs w:val="24"/>
          <w:lang w:val="en-GB" w:eastAsia="zh-CN" w:bidi="ar-SA"/>
        </w:rPr>
        <w:t>）质量问题件</w:t>
      </w:r>
      <w:r>
        <w:rPr>
          <w:rFonts w:hint="eastAsia" w:ascii="宋体" w:hAnsi="宋体" w:cs="宋体"/>
          <w:kern w:val="0"/>
          <w:sz w:val="24"/>
          <w:szCs w:val="24"/>
          <w:lang w:val="en-GB" w:eastAsia="zh-CN" w:bidi="ar-SA"/>
        </w:rPr>
        <w:t>：</w:t>
      </w:r>
      <w:r>
        <w:rPr>
          <w:rFonts w:hint="eastAsia" w:ascii="宋体" w:hAnsi="宋体" w:eastAsia="宋体" w:cs="宋体"/>
          <w:kern w:val="0"/>
          <w:sz w:val="24"/>
          <w:szCs w:val="24"/>
          <w:lang w:val="en-GB" w:eastAsia="zh-CN" w:bidi="ar-SA"/>
        </w:rPr>
        <w:t>被质量稽查发现存在诸如解答明显错误、应受理未受理交办不规范、文字记录与通话内容严重不符、工单填写处理不规范、话务结束未发起评价等问题的，每件扣减当月服务费100元。</w:t>
      </w:r>
    </w:p>
    <w:p w14:paraId="5833BC9D">
      <w:pPr>
        <w:adjustRightInd/>
        <w:spacing w:line="360" w:lineRule="auto"/>
        <w:ind w:firstLine="480" w:firstLineChars="200"/>
        <w:jc w:val="both"/>
        <w:outlineLvl w:val="0"/>
        <w:rPr>
          <w:rFonts w:hint="eastAsia" w:ascii="宋体" w:hAnsi="宋体" w:cs="宋体"/>
          <w:kern w:val="0"/>
          <w:sz w:val="24"/>
          <w:szCs w:val="24"/>
          <w:lang w:val="en-GB" w:eastAsia="zh-CN" w:bidi="ar-SA"/>
        </w:rPr>
      </w:pPr>
      <w:r>
        <w:rPr>
          <w:rFonts w:hint="eastAsia" w:ascii="宋体" w:hAnsi="宋体" w:cs="宋体"/>
          <w:kern w:val="0"/>
          <w:sz w:val="24"/>
          <w:szCs w:val="24"/>
          <w:lang w:val="en-GB" w:eastAsia="zh-CN" w:bidi="ar-SA"/>
        </w:rPr>
        <w:t>（</w:t>
      </w:r>
      <w:r>
        <w:rPr>
          <w:rFonts w:hint="eastAsia" w:ascii="宋体" w:hAnsi="宋体" w:cs="宋体"/>
          <w:kern w:val="0"/>
          <w:sz w:val="24"/>
          <w:szCs w:val="24"/>
          <w:lang w:val="en-US" w:eastAsia="zh-CN" w:bidi="ar-SA"/>
        </w:rPr>
        <w:t>七</w:t>
      </w:r>
      <w:r>
        <w:rPr>
          <w:rFonts w:hint="eastAsia" w:ascii="宋体" w:hAnsi="宋体" w:cs="宋体"/>
          <w:kern w:val="0"/>
          <w:sz w:val="24"/>
          <w:szCs w:val="24"/>
          <w:lang w:val="en-GB" w:eastAsia="zh-CN" w:bidi="ar-SA"/>
        </w:rPr>
        <w:t>）责任投诉：不得出现因受话人员业务差错等原因引起的有责投诉。每</w:t>
      </w:r>
      <w:r>
        <w:rPr>
          <w:rFonts w:hint="eastAsia" w:ascii="宋体" w:hAnsi="宋体" w:cs="宋体"/>
          <w:kern w:val="0"/>
          <w:sz w:val="24"/>
          <w:szCs w:val="24"/>
          <w:lang w:val="en-US" w:eastAsia="zh-CN" w:bidi="ar-SA"/>
        </w:rPr>
        <w:t>出</w:t>
      </w:r>
      <w:r>
        <w:rPr>
          <w:rFonts w:hint="eastAsia" w:ascii="宋体" w:hAnsi="宋体" w:cs="宋体"/>
          <w:kern w:val="0"/>
          <w:sz w:val="24"/>
          <w:szCs w:val="24"/>
          <w:lang w:val="en-GB" w:eastAsia="zh-CN" w:bidi="ar-SA"/>
        </w:rPr>
        <w:t>现1件，扣当月服务费</w:t>
      </w:r>
      <w:r>
        <w:rPr>
          <w:rFonts w:hint="eastAsia" w:ascii="宋体" w:hAnsi="宋体" w:cs="宋体"/>
          <w:color w:val="FF0000"/>
          <w:kern w:val="0"/>
          <w:sz w:val="24"/>
          <w:szCs w:val="24"/>
          <w:lang w:val="en-US" w:eastAsia="zh-CN" w:bidi="ar-SA"/>
        </w:rPr>
        <w:t>500</w:t>
      </w:r>
      <w:r>
        <w:rPr>
          <w:rFonts w:hint="eastAsia" w:ascii="宋体" w:hAnsi="宋体" w:cs="宋体"/>
          <w:kern w:val="0"/>
          <w:sz w:val="24"/>
          <w:szCs w:val="24"/>
          <w:lang w:val="en-GB" w:eastAsia="zh-CN" w:bidi="ar-SA"/>
        </w:rPr>
        <w:t>元。如造成不良影响的，加倍扣减服务费，</w:t>
      </w:r>
    </w:p>
    <w:p w14:paraId="664ADAAD">
      <w:pPr>
        <w:adjustRightInd/>
        <w:spacing w:line="360" w:lineRule="auto"/>
        <w:ind w:firstLine="480" w:firstLineChars="200"/>
        <w:jc w:val="both"/>
        <w:outlineLvl w:val="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US" w:eastAsia="zh-CN" w:bidi="ar-SA"/>
        </w:rPr>
        <w:t>八</w:t>
      </w:r>
      <w:r>
        <w:rPr>
          <w:rFonts w:hint="eastAsia" w:ascii="宋体" w:hAnsi="宋体" w:eastAsia="宋体" w:cs="宋体"/>
          <w:kern w:val="0"/>
          <w:sz w:val="24"/>
          <w:szCs w:val="24"/>
          <w:lang w:val="en-GB" w:eastAsia="zh-CN" w:bidi="ar-SA"/>
        </w:rPr>
        <w:t>）交办单退回率：由于交办错误等原因，被网络单位直接退回的交办</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GB" w:eastAsia="zh-CN" w:bidi="ar-SA"/>
        </w:rPr>
        <w:t>总交办单，要求每月交办单退回率≤2%。未达到指标的</w:t>
      </w:r>
      <w:r>
        <w:rPr>
          <w:rFonts w:hint="eastAsia" w:ascii="宋体" w:hAnsi="宋体" w:cs="宋体"/>
          <w:kern w:val="0"/>
          <w:sz w:val="24"/>
          <w:szCs w:val="24"/>
          <w:lang w:val="en-GB" w:eastAsia="zh-CN" w:bidi="ar-SA"/>
        </w:rPr>
        <w:t>，</w:t>
      </w:r>
      <w:r>
        <w:rPr>
          <w:rFonts w:hint="eastAsia" w:ascii="宋体" w:hAnsi="宋体" w:cs="宋体"/>
          <w:kern w:val="0"/>
          <w:sz w:val="24"/>
          <w:szCs w:val="24"/>
          <w:lang w:val="en-US" w:eastAsia="zh-CN" w:bidi="ar-SA"/>
        </w:rPr>
        <w:t>每月扣300元。</w:t>
      </w:r>
    </w:p>
    <w:p w14:paraId="7322D468">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US" w:eastAsia="zh-CN" w:bidi="ar-SA"/>
        </w:rPr>
        <w:t>九</w:t>
      </w:r>
      <w:r>
        <w:rPr>
          <w:rFonts w:hint="eastAsia" w:ascii="宋体" w:hAnsi="宋体" w:eastAsia="宋体" w:cs="宋体"/>
          <w:kern w:val="0"/>
          <w:sz w:val="24"/>
          <w:szCs w:val="24"/>
          <w:lang w:val="en-GB" w:eastAsia="zh-CN" w:bidi="ar-SA"/>
        </w:rPr>
        <w:t>）人员流失率：员工流失率每年≤</w:t>
      </w:r>
      <w:r>
        <w:rPr>
          <w:rFonts w:hint="eastAsia" w:ascii="宋体" w:hAnsi="宋体" w:cs="宋体"/>
          <w:kern w:val="0"/>
          <w:sz w:val="24"/>
          <w:szCs w:val="24"/>
          <w:lang w:val="en-US" w:eastAsia="zh-CN" w:bidi="ar-SA"/>
        </w:rPr>
        <w:t>1</w:t>
      </w:r>
      <w:r>
        <w:rPr>
          <w:rFonts w:hint="eastAsia" w:ascii="宋体" w:hAnsi="宋体" w:eastAsia="宋体" w:cs="宋体"/>
          <w:kern w:val="0"/>
          <w:sz w:val="24"/>
          <w:szCs w:val="24"/>
          <w:lang w:val="en-GB" w:eastAsia="zh-CN" w:bidi="ar-SA"/>
        </w:rPr>
        <w:t>0%（考上公务员和事业单位除外），每超过1人，扣除服务费3000元。考核指标测算时间为当年合同周期最末月。</w:t>
      </w:r>
    </w:p>
    <w:p w14:paraId="503014D6">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US" w:eastAsia="zh-CN" w:bidi="ar-SA"/>
        </w:rPr>
        <w:t>十</w:t>
      </w:r>
      <w:r>
        <w:rPr>
          <w:rFonts w:hint="eastAsia" w:ascii="宋体" w:hAnsi="宋体" w:eastAsia="宋体" w:cs="宋体"/>
          <w:kern w:val="0"/>
          <w:sz w:val="24"/>
          <w:szCs w:val="24"/>
          <w:lang w:val="en-GB" w:eastAsia="zh-CN" w:bidi="ar-SA"/>
        </w:rPr>
        <w:t>）人员稳定率:</w:t>
      </w:r>
      <w:r>
        <w:rPr>
          <w:rFonts w:hint="eastAsia" w:ascii="宋体" w:hAnsi="宋体" w:eastAsia="宋体" w:cs="宋体"/>
          <w:kern w:val="0"/>
          <w:sz w:val="24"/>
          <w:szCs w:val="24"/>
          <w:lang w:val="en-US" w:eastAsia="zh-CN" w:bidi="ar-SA"/>
        </w:rPr>
        <w:t>合同周期内</w:t>
      </w:r>
      <w:r>
        <w:rPr>
          <w:rFonts w:hint="eastAsia" w:ascii="宋体" w:hAnsi="宋体" w:eastAsia="宋体" w:cs="宋体"/>
          <w:kern w:val="0"/>
          <w:sz w:val="24"/>
          <w:szCs w:val="24"/>
          <w:lang w:val="en-GB" w:eastAsia="zh-CN" w:bidi="ar-SA"/>
        </w:rPr>
        <w:t>稳定在岗的服务团队人数占月平均服务团队人数≥8</w:t>
      </w:r>
      <w:r>
        <w:rPr>
          <w:rFonts w:hint="eastAsia" w:ascii="宋体" w:hAnsi="宋体" w:eastAsia="宋体" w:cs="宋体"/>
          <w:kern w:val="0"/>
          <w:sz w:val="24"/>
          <w:szCs w:val="24"/>
          <w:lang w:val="en-US" w:eastAsia="zh-CN" w:bidi="ar-SA"/>
        </w:rPr>
        <w:t>5</w:t>
      </w:r>
      <w:r>
        <w:rPr>
          <w:rFonts w:hint="eastAsia" w:ascii="宋体" w:hAnsi="宋体" w:eastAsia="宋体" w:cs="宋体"/>
          <w:kern w:val="0"/>
          <w:sz w:val="24"/>
          <w:szCs w:val="24"/>
          <w:lang w:val="en-GB" w:eastAsia="zh-CN" w:bidi="ar-SA"/>
        </w:rPr>
        <w:t>%，未达到指标的扣当年服务费5000元，每下降0.5%，加扣服务费 5000 元。</w:t>
      </w:r>
    </w:p>
    <w:p w14:paraId="4487502C">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US" w:eastAsia="zh-CN" w:bidi="ar-SA"/>
        </w:rPr>
        <w:t>十一</w:t>
      </w:r>
      <w:r>
        <w:rPr>
          <w:rFonts w:hint="eastAsia" w:ascii="宋体" w:hAnsi="宋体" w:eastAsia="宋体" w:cs="宋体"/>
          <w:kern w:val="0"/>
          <w:sz w:val="24"/>
          <w:szCs w:val="24"/>
          <w:lang w:val="en-GB" w:eastAsia="zh-CN" w:bidi="ar-SA"/>
        </w:rPr>
        <w:t>）紧急类工单转送及时：话务受理完成后10分钟，未及时交办网络单位的交办单，每查处一次，扣减当月服务费300元。</w:t>
      </w:r>
    </w:p>
    <w:p w14:paraId="759D5A98">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cs="宋体"/>
          <w:kern w:val="0"/>
          <w:sz w:val="24"/>
          <w:szCs w:val="24"/>
          <w:lang w:val="en-GB" w:eastAsia="zh-CN" w:bidi="ar-SA"/>
        </w:rPr>
        <w:t>（</w:t>
      </w:r>
      <w:r>
        <w:rPr>
          <w:rFonts w:hint="eastAsia" w:ascii="宋体" w:hAnsi="宋体" w:cs="宋体"/>
          <w:kern w:val="0"/>
          <w:sz w:val="24"/>
          <w:szCs w:val="24"/>
          <w:lang w:val="en-US" w:eastAsia="zh-CN" w:bidi="ar-SA"/>
        </w:rPr>
        <w:t>十二</w:t>
      </w:r>
      <w:r>
        <w:rPr>
          <w:rFonts w:hint="eastAsia" w:ascii="宋体" w:hAnsi="宋体" w:cs="宋体"/>
          <w:kern w:val="0"/>
          <w:sz w:val="24"/>
          <w:szCs w:val="24"/>
          <w:lang w:val="en-GB" w:eastAsia="zh-CN" w:bidi="ar-SA"/>
        </w:rPr>
        <w:t>）人工接听通话时长：人工接听通话时长5分钟内的通话数量</w:t>
      </w:r>
      <w:r>
        <w:rPr>
          <w:rFonts w:hint="eastAsia" w:ascii="宋体" w:hAnsi="宋体" w:cs="宋体"/>
          <w:kern w:val="0"/>
          <w:sz w:val="24"/>
          <w:szCs w:val="24"/>
          <w:lang w:val="en-US" w:eastAsia="zh-CN" w:bidi="ar-SA"/>
        </w:rPr>
        <w:t>/</w:t>
      </w:r>
      <w:r>
        <w:rPr>
          <w:rFonts w:hint="eastAsia" w:ascii="宋体" w:hAnsi="宋体" w:cs="宋体"/>
          <w:kern w:val="0"/>
          <w:sz w:val="24"/>
          <w:szCs w:val="24"/>
          <w:lang w:val="en-GB" w:eastAsia="zh-CN" w:bidi="ar-SA"/>
        </w:rPr>
        <w:t>人工接听通话总量，要求每月</w:t>
      </w: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GB" w:eastAsia="zh-CN" w:bidi="ar-SA"/>
        </w:rPr>
        <w:t>80%，未达到指标的，扣当月服务费3000元，每下降0.5%加扣服务费3000元。所有电话平均整理时长月均</w:t>
      </w: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GB" w:eastAsia="zh-CN" w:bidi="ar-SA"/>
        </w:rPr>
        <w:t>90秒，未达到指标的扣当月服务费3000元，每超过2秒，加扣服务费2000元。</w:t>
      </w:r>
    </w:p>
    <w:p w14:paraId="6A4D0260">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US" w:eastAsia="zh-CN" w:bidi="ar-SA"/>
        </w:rPr>
        <w:t>十三</w:t>
      </w:r>
      <w:r>
        <w:rPr>
          <w:rFonts w:hint="eastAsia" w:ascii="宋体" w:hAnsi="宋体" w:eastAsia="宋体" w:cs="宋体"/>
          <w:kern w:val="0"/>
          <w:sz w:val="24"/>
          <w:szCs w:val="24"/>
          <w:lang w:val="en-GB" w:eastAsia="zh-CN" w:bidi="ar-SA"/>
        </w:rPr>
        <w:t>）工作纪律：按机关事业单位工作纪律执行，每查处一次，扣减服务费300元。</w:t>
      </w:r>
    </w:p>
    <w:p w14:paraId="04C36E74">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US" w:eastAsia="zh-CN" w:bidi="ar-SA"/>
        </w:rPr>
        <w:t>十四</w:t>
      </w:r>
      <w:r>
        <w:rPr>
          <w:rFonts w:hint="eastAsia" w:ascii="宋体" w:hAnsi="宋体" w:eastAsia="宋体" w:cs="宋体"/>
          <w:kern w:val="0"/>
          <w:sz w:val="24"/>
          <w:szCs w:val="24"/>
          <w:lang w:val="en-GB" w:eastAsia="zh-CN" w:bidi="ar-SA"/>
        </w:rPr>
        <w:t>）供应商及所有话务员和管理员应对统一政务平台相关业务信息承担保密义务，如有泄密情况，采购人将按对供应商作出相应处分并扣罚合同金额的5%，如严重泄密，采购人有权终止合同并对其追究法律责任。</w:t>
      </w:r>
    </w:p>
    <w:p w14:paraId="0010DE2A">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US" w:eastAsia="zh-CN" w:bidi="ar-SA"/>
        </w:rPr>
        <w:t>十五</w:t>
      </w:r>
      <w:r>
        <w:rPr>
          <w:rFonts w:hint="eastAsia" w:ascii="宋体" w:hAnsi="宋体" w:eastAsia="宋体" w:cs="宋体"/>
          <w:kern w:val="0"/>
          <w:sz w:val="24"/>
          <w:szCs w:val="24"/>
          <w:lang w:val="en-GB" w:eastAsia="zh-CN" w:bidi="ar-SA"/>
        </w:rPr>
        <w:t>）若超过【故障修复】相应故障级别响应时间及服务要求，每次扣罚服务费1000元。</w:t>
      </w:r>
    </w:p>
    <w:p w14:paraId="4C4ABAF3">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cs="宋体"/>
          <w:kern w:val="0"/>
          <w:sz w:val="24"/>
          <w:szCs w:val="24"/>
          <w:lang w:val="en-GB" w:eastAsia="zh-CN" w:bidi="ar-SA"/>
        </w:rPr>
        <w:t>（</w:t>
      </w:r>
      <w:r>
        <w:rPr>
          <w:rFonts w:hint="eastAsia" w:ascii="宋体" w:hAnsi="宋体" w:cs="宋体"/>
          <w:kern w:val="0"/>
          <w:sz w:val="24"/>
          <w:szCs w:val="24"/>
          <w:lang w:val="en-US" w:eastAsia="zh-CN" w:bidi="ar-SA"/>
        </w:rPr>
        <w:t>十六</w:t>
      </w:r>
      <w:r>
        <w:rPr>
          <w:rFonts w:hint="eastAsia" w:ascii="宋体" w:hAnsi="宋体" w:cs="宋体"/>
          <w:kern w:val="0"/>
          <w:sz w:val="24"/>
          <w:szCs w:val="24"/>
          <w:lang w:val="en-GB" w:eastAsia="zh-CN" w:bidi="ar-SA"/>
        </w:rPr>
        <w:t>）工作量要求：年度人工受理办理</w:t>
      </w:r>
      <w:r>
        <w:rPr>
          <w:rFonts w:hint="eastAsia" w:ascii="宋体" w:hAnsi="宋体" w:cs="宋体"/>
          <w:kern w:val="0"/>
          <w:sz w:val="24"/>
          <w:szCs w:val="24"/>
          <w:lang w:val="en-US" w:eastAsia="zh-CN" w:bidi="ar-SA"/>
        </w:rPr>
        <w:t>25</w:t>
      </w:r>
      <w:r>
        <w:rPr>
          <w:rFonts w:hint="eastAsia" w:ascii="宋体" w:hAnsi="宋体" w:cs="宋体"/>
          <w:kern w:val="0"/>
          <w:sz w:val="24"/>
          <w:szCs w:val="24"/>
          <w:lang w:val="en-GB" w:eastAsia="zh-CN" w:bidi="ar-SA"/>
        </w:rPr>
        <w:t>万件。其中，月度</w:t>
      </w: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US" w:eastAsia="zh-CN" w:bidi="ar-SA"/>
        </w:rPr>
        <w:t>2</w:t>
      </w:r>
      <w:r>
        <w:rPr>
          <w:rFonts w:hint="eastAsia" w:ascii="宋体" w:hAnsi="宋体" w:cs="宋体"/>
          <w:kern w:val="0"/>
          <w:sz w:val="24"/>
          <w:szCs w:val="24"/>
          <w:lang w:val="en-GB" w:eastAsia="zh-CN" w:bidi="ar-SA"/>
        </w:rPr>
        <w:t>万件(春节及国庆节当月除外)，季度</w:t>
      </w: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US" w:eastAsia="zh-CN" w:bidi="ar-SA"/>
        </w:rPr>
        <w:t>6</w:t>
      </w:r>
      <w:r>
        <w:rPr>
          <w:rFonts w:hint="eastAsia" w:ascii="宋体" w:hAnsi="宋体" w:cs="宋体"/>
          <w:kern w:val="0"/>
          <w:sz w:val="24"/>
          <w:szCs w:val="24"/>
          <w:lang w:val="en-GB" w:eastAsia="zh-CN" w:bidi="ar-SA"/>
        </w:rPr>
        <w:t>万件，年度</w:t>
      </w: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US" w:eastAsia="zh-CN" w:bidi="ar-SA"/>
        </w:rPr>
        <w:t>25</w:t>
      </w:r>
      <w:r>
        <w:rPr>
          <w:rFonts w:hint="eastAsia" w:ascii="宋体" w:hAnsi="宋体" w:cs="宋体"/>
          <w:kern w:val="0"/>
          <w:sz w:val="24"/>
          <w:szCs w:val="24"/>
          <w:lang w:val="en-GB" w:eastAsia="zh-CN" w:bidi="ar-SA"/>
        </w:rPr>
        <w:t>万件；单件不重复考评。上下浮动2%内，服务费不作调整；不足2%部分，按</w:t>
      </w:r>
      <w:r>
        <w:rPr>
          <w:rFonts w:hint="eastAsia" w:ascii="宋体" w:hAnsi="宋体" w:cs="宋体"/>
          <w:kern w:val="0"/>
          <w:sz w:val="24"/>
          <w:szCs w:val="24"/>
          <w:lang w:val="en-US" w:eastAsia="zh-CN" w:bidi="ar-SA"/>
        </w:rPr>
        <w:t>5</w:t>
      </w:r>
      <w:r>
        <w:rPr>
          <w:rFonts w:hint="eastAsia" w:ascii="宋体" w:hAnsi="宋体" w:cs="宋体"/>
          <w:kern w:val="0"/>
          <w:sz w:val="24"/>
          <w:szCs w:val="24"/>
          <w:lang w:val="en-GB" w:eastAsia="zh-CN" w:bidi="ar-SA"/>
        </w:rPr>
        <w:t>元/件扣款。</w:t>
      </w:r>
    </w:p>
    <w:p w14:paraId="43D45312">
      <w:pPr>
        <w:autoSpaceDE w:val="0"/>
        <w:autoSpaceDN w:val="0"/>
        <w:spacing w:line="360" w:lineRule="auto"/>
        <w:ind w:firstLine="482" w:firstLineChars="200"/>
        <w:outlineLvl w:val="0"/>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、故障修复</w:t>
      </w:r>
    </w:p>
    <w:p w14:paraId="047F01CD">
      <w:pPr>
        <w:autoSpaceDE w:val="0"/>
        <w:autoSpaceDN w:val="0"/>
        <w:spacing w:line="360" w:lineRule="auto"/>
        <w:ind w:firstLine="480" w:firstLineChars="200"/>
        <w:outlineLvl w:val="0"/>
        <w:rPr>
          <w:rFonts w:hint="eastAsia" w:ascii="宋体" w:hAnsi="宋体" w:eastAsia="宋体" w:cs="宋体"/>
          <w:b w:val="0"/>
          <w:bCs/>
          <w:sz w:val="24"/>
          <w:szCs w:val="24"/>
        </w:rPr>
      </w:pPr>
      <w:bookmarkStart w:id="30" w:name="_Toc351647213"/>
      <w:r>
        <w:rPr>
          <w:rFonts w:hint="eastAsia" w:ascii="宋体" w:hAnsi="宋体" w:eastAsia="宋体" w:cs="宋体"/>
          <w:b w:val="0"/>
          <w:bCs/>
          <w:sz w:val="24"/>
          <w:szCs w:val="24"/>
        </w:rPr>
        <w:t>1、技术支持体系</w:t>
      </w:r>
    </w:p>
    <w:p w14:paraId="1F7CC281">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在外包呼叫中心验收通过并投入正常生产后，中标单位应派专业负责外包呼叫中心维护的团队介入维护工作。</w:t>
      </w:r>
    </w:p>
    <w:p w14:paraId="76EC5D7F">
      <w:pPr>
        <w:autoSpaceDE w:val="0"/>
        <w:autoSpaceDN w:val="0"/>
        <w:spacing w:line="360" w:lineRule="auto"/>
        <w:ind w:firstLine="480" w:firstLineChars="200"/>
        <w:outlineLvl w:val="0"/>
        <w:rPr>
          <w:rFonts w:hint="eastAsia" w:ascii="宋体" w:hAnsi="宋体" w:eastAsia="宋体" w:cs="宋体"/>
          <w:b w:val="0"/>
          <w:bCs/>
          <w:sz w:val="24"/>
          <w:szCs w:val="24"/>
        </w:rPr>
      </w:pPr>
      <w:r>
        <w:rPr>
          <w:rFonts w:hint="eastAsia" w:ascii="宋体" w:hAnsi="宋体" w:eastAsia="宋体" w:cs="宋体"/>
          <w:b w:val="0"/>
          <w:bCs/>
          <w:sz w:val="24"/>
          <w:szCs w:val="24"/>
        </w:rPr>
        <w:t>2、故障响应级别</w:t>
      </w:r>
    </w:p>
    <w:p w14:paraId="583EB5D7">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应根据不同的故障等级和处理时限提供服务。</w:t>
      </w:r>
    </w:p>
    <w:tbl>
      <w:tblPr>
        <w:tblStyle w:val="62"/>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45"/>
        <w:gridCol w:w="5190"/>
      </w:tblGrid>
      <w:tr w14:paraId="5E8D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2516508A">
            <w:pPr>
              <w:autoSpaceDE w:val="0"/>
              <w:autoSpaceDN w:val="0"/>
              <w:spacing w:line="360" w:lineRule="auto"/>
              <w:ind w:left="0" w:leftChars="0" w:firstLine="0" w:firstLineChars="0"/>
              <w:jc w:val="both"/>
              <w:outlineLvl w:val="0"/>
              <w:rPr>
                <w:rFonts w:hint="eastAsia" w:ascii="宋体" w:hAnsi="宋体" w:eastAsia="宋体" w:cs="宋体"/>
                <w:bCs/>
                <w:sz w:val="24"/>
                <w:szCs w:val="24"/>
              </w:rPr>
            </w:pPr>
            <w:r>
              <w:rPr>
                <w:rFonts w:hint="eastAsia" w:ascii="宋体" w:hAnsi="宋体" w:eastAsia="宋体" w:cs="宋体"/>
                <w:bCs/>
                <w:sz w:val="24"/>
                <w:szCs w:val="24"/>
              </w:rPr>
              <w:t>序号</w:t>
            </w:r>
          </w:p>
        </w:tc>
        <w:tc>
          <w:tcPr>
            <w:tcW w:w="2545" w:type="dxa"/>
            <w:noWrap w:val="0"/>
            <w:vAlign w:val="top"/>
          </w:tcPr>
          <w:p w14:paraId="7214064F">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故障级别定义</w:t>
            </w:r>
          </w:p>
        </w:tc>
        <w:tc>
          <w:tcPr>
            <w:tcW w:w="5190" w:type="dxa"/>
            <w:noWrap w:val="0"/>
            <w:vAlign w:val="top"/>
          </w:tcPr>
          <w:p w14:paraId="0A9F7E85">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故障现象描述</w:t>
            </w:r>
          </w:p>
        </w:tc>
      </w:tr>
      <w:tr w14:paraId="0719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F12E0F7">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1</w:t>
            </w:r>
          </w:p>
        </w:tc>
        <w:tc>
          <w:tcPr>
            <w:tcW w:w="2545" w:type="dxa"/>
            <w:noWrap w:val="0"/>
            <w:vAlign w:val="center"/>
          </w:tcPr>
          <w:p w14:paraId="0D276D61">
            <w:pPr>
              <w:autoSpaceDE w:val="0"/>
              <w:autoSpaceDN w:val="0"/>
              <w:spacing w:line="360" w:lineRule="auto"/>
              <w:ind w:left="0" w:leftChars="0" w:firstLine="0" w:firstLineChars="0"/>
              <w:jc w:val="both"/>
              <w:outlineLvl w:val="0"/>
              <w:rPr>
                <w:rFonts w:hint="eastAsia" w:ascii="宋体" w:hAnsi="宋体" w:eastAsia="宋体" w:cs="宋体"/>
                <w:bCs/>
                <w:sz w:val="24"/>
                <w:szCs w:val="24"/>
              </w:rPr>
            </w:pPr>
            <w:r>
              <w:rPr>
                <w:rFonts w:hint="eastAsia" w:ascii="宋体" w:hAnsi="宋体" w:eastAsia="宋体" w:cs="宋体"/>
                <w:bCs/>
                <w:sz w:val="24"/>
                <w:szCs w:val="24"/>
              </w:rPr>
              <w:t>一级故障（紧急故障）</w:t>
            </w:r>
          </w:p>
        </w:tc>
        <w:tc>
          <w:tcPr>
            <w:tcW w:w="5190" w:type="dxa"/>
            <w:noWrap w:val="0"/>
            <w:vAlign w:val="top"/>
          </w:tcPr>
          <w:p w14:paraId="3F2DACF0">
            <w:pPr>
              <w:autoSpaceDE w:val="0"/>
              <w:autoSpaceDN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因平台原因使系统运行中断，对用户业务的运行有严重影响</w:t>
            </w:r>
          </w:p>
        </w:tc>
      </w:tr>
      <w:tr w14:paraId="3CD6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5D522560">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2</w:t>
            </w:r>
          </w:p>
        </w:tc>
        <w:tc>
          <w:tcPr>
            <w:tcW w:w="2545" w:type="dxa"/>
            <w:noWrap w:val="0"/>
            <w:vAlign w:val="center"/>
          </w:tcPr>
          <w:p w14:paraId="2FA480B2">
            <w:pPr>
              <w:autoSpaceDE w:val="0"/>
              <w:autoSpaceDN w:val="0"/>
              <w:spacing w:line="360" w:lineRule="auto"/>
              <w:ind w:left="0" w:leftChars="0" w:firstLine="0" w:firstLineChars="0"/>
              <w:jc w:val="both"/>
              <w:outlineLvl w:val="0"/>
              <w:rPr>
                <w:rFonts w:hint="eastAsia" w:ascii="宋体" w:hAnsi="宋体" w:eastAsia="宋体" w:cs="宋体"/>
                <w:bCs/>
                <w:sz w:val="24"/>
                <w:szCs w:val="24"/>
              </w:rPr>
            </w:pPr>
            <w:r>
              <w:rPr>
                <w:rFonts w:hint="eastAsia" w:ascii="宋体" w:hAnsi="宋体" w:eastAsia="宋体" w:cs="宋体"/>
                <w:bCs/>
                <w:sz w:val="24"/>
                <w:szCs w:val="24"/>
              </w:rPr>
              <w:t>二级故障（严重故障）</w:t>
            </w:r>
          </w:p>
        </w:tc>
        <w:tc>
          <w:tcPr>
            <w:tcW w:w="5190" w:type="dxa"/>
            <w:noWrap w:val="0"/>
            <w:vAlign w:val="top"/>
          </w:tcPr>
          <w:p w14:paraId="45CAF3C2">
            <w:pPr>
              <w:autoSpaceDE w:val="0"/>
              <w:autoSpaceDN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因平台原因使系统中重要功能受损、主要性能指标严重下降</w:t>
            </w:r>
          </w:p>
        </w:tc>
      </w:tr>
      <w:tr w14:paraId="3DBA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755B59BF">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3</w:t>
            </w:r>
          </w:p>
        </w:tc>
        <w:tc>
          <w:tcPr>
            <w:tcW w:w="2545" w:type="dxa"/>
            <w:noWrap w:val="0"/>
            <w:vAlign w:val="center"/>
          </w:tcPr>
          <w:p w14:paraId="5FEF53BD">
            <w:pPr>
              <w:autoSpaceDE w:val="0"/>
              <w:autoSpaceDN w:val="0"/>
              <w:spacing w:line="360" w:lineRule="auto"/>
              <w:ind w:left="0" w:leftChars="0" w:firstLine="0" w:firstLineChars="0"/>
              <w:jc w:val="both"/>
              <w:outlineLvl w:val="0"/>
              <w:rPr>
                <w:rFonts w:hint="eastAsia" w:ascii="宋体" w:hAnsi="宋体" w:eastAsia="宋体" w:cs="宋体"/>
                <w:bCs/>
                <w:sz w:val="24"/>
                <w:szCs w:val="24"/>
              </w:rPr>
            </w:pPr>
            <w:r>
              <w:rPr>
                <w:rFonts w:hint="eastAsia" w:ascii="宋体" w:hAnsi="宋体" w:eastAsia="宋体" w:cs="宋体"/>
                <w:bCs/>
                <w:sz w:val="24"/>
                <w:szCs w:val="24"/>
              </w:rPr>
              <w:t>三级故障（一般故障）</w:t>
            </w:r>
          </w:p>
        </w:tc>
        <w:tc>
          <w:tcPr>
            <w:tcW w:w="5190" w:type="dxa"/>
            <w:noWrap w:val="0"/>
            <w:vAlign w:val="top"/>
          </w:tcPr>
          <w:p w14:paraId="2B0BF557">
            <w:pPr>
              <w:autoSpaceDE w:val="0"/>
              <w:autoSpaceDN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在系统主要功能及性能指标运行正常的情况下，系统部分功能与性能受损</w:t>
            </w:r>
          </w:p>
        </w:tc>
      </w:tr>
      <w:tr w14:paraId="7448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F3D11A2">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4</w:t>
            </w:r>
          </w:p>
        </w:tc>
        <w:tc>
          <w:tcPr>
            <w:tcW w:w="2545" w:type="dxa"/>
            <w:noWrap w:val="0"/>
            <w:vAlign w:val="center"/>
          </w:tcPr>
          <w:p w14:paraId="4CA82F17">
            <w:pPr>
              <w:autoSpaceDE w:val="0"/>
              <w:autoSpaceDN w:val="0"/>
              <w:spacing w:line="360" w:lineRule="auto"/>
              <w:jc w:val="both"/>
              <w:outlineLvl w:val="0"/>
              <w:rPr>
                <w:rFonts w:hint="eastAsia" w:ascii="宋体" w:hAnsi="宋体" w:eastAsia="宋体" w:cs="宋体"/>
                <w:bCs/>
                <w:sz w:val="24"/>
                <w:szCs w:val="24"/>
              </w:rPr>
            </w:pPr>
            <w:r>
              <w:rPr>
                <w:rFonts w:hint="eastAsia" w:ascii="宋体" w:hAnsi="宋体" w:eastAsia="宋体" w:cs="宋体"/>
                <w:bCs/>
                <w:sz w:val="24"/>
                <w:szCs w:val="24"/>
              </w:rPr>
              <w:t>四级故障</w:t>
            </w:r>
          </w:p>
        </w:tc>
        <w:tc>
          <w:tcPr>
            <w:tcW w:w="5190" w:type="dxa"/>
            <w:noWrap w:val="0"/>
            <w:vAlign w:val="top"/>
          </w:tcPr>
          <w:p w14:paraId="54DFFE78">
            <w:pPr>
              <w:autoSpaceDE w:val="0"/>
              <w:autoSpaceDN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在系统无故障或不影响用户业务运行的情况下，用户对系统的功能、安装、配置、性能优化或使用方面提出技术咨询服务要求</w:t>
            </w:r>
          </w:p>
        </w:tc>
      </w:tr>
    </w:tbl>
    <w:p w14:paraId="5AF7DB06">
      <w:pPr>
        <w:autoSpaceDE w:val="0"/>
        <w:autoSpaceDN w:val="0"/>
        <w:spacing w:line="360" w:lineRule="auto"/>
        <w:ind w:firstLine="480" w:firstLineChars="200"/>
        <w:outlineLvl w:val="0"/>
        <w:rPr>
          <w:rFonts w:hint="eastAsia" w:ascii="宋体" w:hAnsi="宋体" w:eastAsia="宋体" w:cs="宋体"/>
          <w:bCs/>
          <w:sz w:val="24"/>
          <w:szCs w:val="24"/>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160"/>
        <w:gridCol w:w="3420"/>
        <w:gridCol w:w="1800"/>
      </w:tblGrid>
      <w:tr w14:paraId="6D19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188" w:type="dxa"/>
            <w:vMerge w:val="restart"/>
            <w:noWrap w:val="0"/>
            <w:vAlign w:val="center"/>
          </w:tcPr>
          <w:p w14:paraId="24E28FF2">
            <w:pPr>
              <w:autoSpaceDE w:val="0"/>
              <w:autoSpaceDN w:val="0"/>
              <w:spacing w:line="360" w:lineRule="auto"/>
              <w:ind w:left="0" w:leftChars="0" w:firstLine="0" w:firstLineChars="0"/>
              <w:jc w:val="both"/>
              <w:outlineLvl w:val="0"/>
              <w:rPr>
                <w:rFonts w:hint="eastAsia" w:ascii="宋体" w:hAnsi="宋体" w:eastAsia="宋体" w:cs="宋体"/>
                <w:bCs/>
                <w:sz w:val="24"/>
                <w:szCs w:val="24"/>
              </w:rPr>
            </w:pPr>
            <w:r>
              <w:rPr>
                <w:rFonts w:hint="eastAsia" w:ascii="宋体" w:hAnsi="宋体" w:eastAsia="宋体" w:cs="宋体"/>
                <w:bCs/>
                <w:sz w:val="24"/>
                <w:szCs w:val="24"/>
              </w:rPr>
              <w:t>故障级别</w:t>
            </w:r>
          </w:p>
        </w:tc>
        <w:tc>
          <w:tcPr>
            <w:tcW w:w="2160" w:type="dxa"/>
            <w:vMerge w:val="restart"/>
            <w:noWrap w:val="0"/>
            <w:vAlign w:val="center"/>
          </w:tcPr>
          <w:p w14:paraId="731246B0">
            <w:pPr>
              <w:autoSpaceDE w:val="0"/>
              <w:autoSpaceDN w:val="0"/>
              <w:spacing w:line="360" w:lineRule="auto"/>
              <w:ind w:left="0" w:leftChars="0" w:firstLine="0" w:firstLineChars="0"/>
              <w:jc w:val="both"/>
              <w:outlineLvl w:val="0"/>
              <w:rPr>
                <w:rFonts w:hint="eastAsia" w:ascii="宋体" w:hAnsi="宋体" w:eastAsia="宋体" w:cs="宋体"/>
                <w:bCs/>
                <w:sz w:val="24"/>
                <w:szCs w:val="24"/>
              </w:rPr>
            </w:pPr>
            <w:r>
              <w:rPr>
                <w:rFonts w:hint="eastAsia" w:ascii="宋体" w:hAnsi="宋体" w:eastAsia="宋体" w:cs="宋体"/>
                <w:bCs/>
                <w:sz w:val="24"/>
                <w:szCs w:val="24"/>
              </w:rPr>
              <w:t>服务请求时间</w:t>
            </w:r>
          </w:p>
        </w:tc>
        <w:tc>
          <w:tcPr>
            <w:tcW w:w="3420" w:type="dxa"/>
            <w:noWrap w:val="0"/>
            <w:vAlign w:val="center"/>
          </w:tcPr>
          <w:p w14:paraId="7CDED469">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响应时间</w:t>
            </w:r>
          </w:p>
        </w:tc>
        <w:tc>
          <w:tcPr>
            <w:tcW w:w="1800" w:type="dxa"/>
            <w:noWrap w:val="0"/>
            <w:vAlign w:val="center"/>
          </w:tcPr>
          <w:p w14:paraId="44FD597E">
            <w:pPr>
              <w:autoSpaceDE w:val="0"/>
              <w:autoSpaceDN w:val="0"/>
              <w:spacing w:line="360" w:lineRule="auto"/>
              <w:ind w:firstLine="480" w:firstLineChars="200"/>
              <w:jc w:val="center"/>
              <w:outlineLvl w:val="0"/>
              <w:rPr>
                <w:rFonts w:hint="eastAsia" w:ascii="宋体" w:hAnsi="宋体" w:eastAsia="宋体" w:cs="宋体"/>
                <w:bCs/>
                <w:sz w:val="24"/>
                <w:szCs w:val="24"/>
              </w:rPr>
            </w:pPr>
          </w:p>
        </w:tc>
      </w:tr>
      <w:tr w14:paraId="568C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vMerge w:val="continue"/>
            <w:noWrap w:val="0"/>
            <w:vAlign w:val="center"/>
          </w:tcPr>
          <w:p w14:paraId="4B551BB4">
            <w:pPr>
              <w:autoSpaceDE w:val="0"/>
              <w:autoSpaceDN w:val="0"/>
              <w:spacing w:line="360" w:lineRule="auto"/>
              <w:ind w:firstLine="480" w:firstLineChars="200"/>
              <w:jc w:val="center"/>
              <w:outlineLvl w:val="0"/>
              <w:rPr>
                <w:rFonts w:hint="eastAsia" w:ascii="宋体" w:hAnsi="宋体" w:eastAsia="宋体" w:cs="宋体"/>
                <w:bCs/>
                <w:sz w:val="24"/>
                <w:szCs w:val="24"/>
              </w:rPr>
            </w:pPr>
          </w:p>
        </w:tc>
        <w:tc>
          <w:tcPr>
            <w:tcW w:w="2160" w:type="dxa"/>
            <w:vMerge w:val="continue"/>
            <w:noWrap w:val="0"/>
            <w:vAlign w:val="center"/>
          </w:tcPr>
          <w:p w14:paraId="37C3AD8A">
            <w:pPr>
              <w:autoSpaceDE w:val="0"/>
              <w:autoSpaceDN w:val="0"/>
              <w:spacing w:line="360" w:lineRule="auto"/>
              <w:ind w:firstLine="480" w:firstLineChars="200"/>
              <w:jc w:val="center"/>
              <w:outlineLvl w:val="0"/>
              <w:rPr>
                <w:rFonts w:hint="eastAsia" w:ascii="宋体" w:hAnsi="宋体" w:eastAsia="宋体" w:cs="宋体"/>
                <w:bCs/>
                <w:sz w:val="24"/>
                <w:szCs w:val="24"/>
              </w:rPr>
            </w:pPr>
          </w:p>
        </w:tc>
        <w:tc>
          <w:tcPr>
            <w:tcW w:w="3420" w:type="dxa"/>
            <w:noWrap w:val="0"/>
            <w:vAlign w:val="center"/>
          </w:tcPr>
          <w:p w14:paraId="75926065">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电话/传真/E-mail</w:t>
            </w:r>
          </w:p>
        </w:tc>
        <w:tc>
          <w:tcPr>
            <w:tcW w:w="1800" w:type="dxa"/>
            <w:noWrap w:val="0"/>
            <w:vAlign w:val="center"/>
          </w:tcPr>
          <w:p w14:paraId="35B7B29C">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服务要求</w:t>
            </w:r>
          </w:p>
        </w:tc>
      </w:tr>
      <w:tr w14:paraId="33AC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noWrap w:val="0"/>
            <w:vAlign w:val="center"/>
          </w:tcPr>
          <w:p w14:paraId="0A16E750">
            <w:pPr>
              <w:autoSpaceDE w:val="0"/>
              <w:autoSpaceDN w:val="0"/>
              <w:spacing w:line="360" w:lineRule="auto"/>
              <w:ind w:left="0" w:leftChars="0" w:firstLine="0" w:firstLineChars="0"/>
              <w:jc w:val="both"/>
              <w:outlineLvl w:val="0"/>
              <w:rPr>
                <w:rFonts w:hint="eastAsia" w:ascii="宋体" w:hAnsi="宋体" w:eastAsia="宋体" w:cs="宋体"/>
                <w:bCs/>
                <w:sz w:val="24"/>
                <w:szCs w:val="24"/>
              </w:rPr>
            </w:pPr>
            <w:r>
              <w:rPr>
                <w:rFonts w:hint="eastAsia" w:ascii="宋体" w:hAnsi="宋体" w:eastAsia="宋体" w:cs="宋体"/>
                <w:bCs/>
                <w:sz w:val="24"/>
                <w:szCs w:val="24"/>
              </w:rPr>
              <w:t>一级故障</w:t>
            </w:r>
          </w:p>
        </w:tc>
        <w:tc>
          <w:tcPr>
            <w:tcW w:w="2160" w:type="dxa"/>
            <w:noWrap w:val="0"/>
            <w:vAlign w:val="center"/>
          </w:tcPr>
          <w:p w14:paraId="59A17256">
            <w:pPr>
              <w:autoSpaceDE w:val="0"/>
              <w:autoSpaceDN w:val="0"/>
              <w:spacing w:line="360" w:lineRule="auto"/>
              <w:jc w:val="both"/>
              <w:outlineLvl w:val="0"/>
              <w:rPr>
                <w:rFonts w:hint="eastAsia" w:ascii="宋体" w:hAnsi="宋体" w:eastAsia="宋体" w:cs="宋体"/>
                <w:bCs/>
                <w:sz w:val="24"/>
                <w:szCs w:val="24"/>
              </w:rPr>
            </w:pPr>
            <w:r>
              <w:rPr>
                <w:rFonts w:hint="eastAsia" w:ascii="宋体" w:hAnsi="宋体" w:eastAsia="宋体" w:cs="宋体"/>
                <w:bCs/>
                <w:sz w:val="24"/>
                <w:szCs w:val="24"/>
              </w:rPr>
              <w:t>7＊24小时</w:t>
            </w:r>
          </w:p>
        </w:tc>
        <w:tc>
          <w:tcPr>
            <w:tcW w:w="3420" w:type="dxa"/>
            <w:noWrap w:val="0"/>
            <w:vAlign w:val="center"/>
          </w:tcPr>
          <w:p w14:paraId="4A88F251">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接到服务请求后半小时内给予答复，提供初步故障诊断分析和解决方案。</w:t>
            </w:r>
          </w:p>
        </w:tc>
        <w:tc>
          <w:tcPr>
            <w:tcW w:w="1800" w:type="dxa"/>
            <w:noWrap w:val="0"/>
            <w:vAlign w:val="center"/>
          </w:tcPr>
          <w:p w14:paraId="13E16438">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在接到服务请求后4小时内恢复系统运行。</w:t>
            </w:r>
          </w:p>
        </w:tc>
      </w:tr>
      <w:tr w14:paraId="1268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noWrap w:val="0"/>
            <w:vAlign w:val="center"/>
          </w:tcPr>
          <w:p w14:paraId="6A8D234A">
            <w:pPr>
              <w:autoSpaceDE w:val="0"/>
              <w:autoSpaceDN w:val="0"/>
              <w:spacing w:line="360" w:lineRule="auto"/>
              <w:ind w:left="0" w:leftChars="0" w:firstLine="0" w:firstLineChars="0"/>
              <w:jc w:val="both"/>
              <w:outlineLvl w:val="0"/>
              <w:rPr>
                <w:rFonts w:hint="eastAsia" w:ascii="宋体" w:hAnsi="宋体" w:eastAsia="宋体" w:cs="宋体"/>
                <w:bCs/>
                <w:sz w:val="24"/>
                <w:szCs w:val="24"/>
              </w:rPr>
            </w:pPr>
            <w:r>
              <w:rPr>
                <w:rFonts w:hint="eastAsia" w:ascii="宋体" w:hAnsi="宋体" w:eastAsia="宋体" w:cs="宋体"/>
                <w:bCs/>
                <w:sz w:val="24"/>
                <w:szCs w:val="24"/>
              </w:rPr>
              <w:t>二级故障</w:t>
            </w:r>
          </w:p>
        </w:tc>
        <w:tc>
          <w:tcPr>
            <w:tcW w:w="2160" w:type="dxa"/>
            <w:noWrap w:val="0"/>
            <w:vAlign w:val="center"/>
          </w:tcPr>
          <w:p w14:paraId="66CE43CD">
            <w:pPr>
              <w:autoSpaceDE w:val="0"/>
              <w:autoSpaceDN w:val="0"/>
              <w:spacing w:line="360" w:lineRule="auto"/>
              <w:jc w:val="both"/>
              <w:outlineLvl w:val="0"/>
              <w:rPr>
                <w:rFonts w:hint="eastAsia" w:ascii="宋体" w:hAnsi="宋体" w:eastAsia="宋体" w:cs="宋体"/>
                <w:bCs/>
                <w:sz w:val="24"/>
                <w:szCs w:val="24"/>
              </w:rPr>
            </w:pPr>
            <w:r>
              <w:rPr>
                <w:rFonts w:hint="eastAsia" w:ascii="宋体" w:hAnsi="宋体" w:eastAsia="宋体" w:cs="宋体"/>
                <w:bCs/>
                <w:sz w:val="24"/>
                <w:szCs w:val="24"/>
              </w:rPr>
              <w:t>7＊24小时</w:t>
            </w:r>
          </w:p>
        </w:tc>
        <w:tc>
          <w:tcPr>
            <w:tcW w:w="3420" w:type="dxa"/>
            <w:noWrap w:val="0"/>
            <w:vAlign w:val="center"/>
          </w:tcPr>
          <w:p w14:paraId="6A442744">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接到服务请求后2小时内给予答复，提供故障诊断分析和解决方案</w:t>
            </w:r>
          </w:p>
        </w:tc>
        <w:tc>
          <w:tcPr>
            <w:tcW w:w="1800" w:type="dxa"/>
            <w:noWrap w:val="0"/>
            <w:vAlign w:val="center"/>
          </w:tcPr>
          <w:p w14:paraId="590D4F68">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在接到服务请求后在8小时内解决系统故障。</w:t>
            </w:r>
          </w:p>
        </w:tc>
      </w:tr>
      <w:tr w14:paraId="07C6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noWrap w:val="0"/>
            <w:vAlign w:val="center"/>
          </w:tcPr>
          <w:p w14:paraId="3A78FE86">
            <w:pPr>
              <w:autoSpaceDE w:val="0"/>
              <w:autoSpaceDN w:val="0"/>
              <w:spacing w:line="360" w:lineRule="auto"/>
              <w:ind w:left="0" w:leftChars="0" w:firstLine="0" w:firstLineChars="0"/>
              <w:jc w:val="both"/>
              <w:outlineLvl w:val="0"/>
              <w:rPr>
                <w:rFonts w:hint="eastAsia" w:ascii="宋体" w:hAnsi="宋体" w:eastAsia="宋体" w:cs="宋体"/>
                <w:bCs/>
                <w:sz w:val="24"/>
                <w:szCs w:val="24"/>
              </w:rPr>
            </w:pPr>
            <w:r>
              <w:rPr>
                <w:rFonts w:hint="eastAsia" w:ascii="宋体" w:hAnsi="宋体" w:eastAsia="宋体" w:cs="宋体"/>
                <w:bCs/>
                <w:sz w:val="24"/>
                <w:szCs w:val="24"/>
              </w:rPr>
              <w:t>三级故障</w:t>
            </w:r>
          </w:p>
        </w:tc>
        <w:tc>
          <w:tcPr>
            <w:tcW w:w="2160" w:type="dxa"/>
            <w:noWrap w:val="0"/>
            <w:vAlign w:val="center"/>
          </w:tcPr>
          <w:p w14:paraId="0F0AC5F9">
            <w:pPr>
              <w:autoSpaceDE w:val="0"/>
              <w:autoSpaceDN w:val="0"/>
              <w:spacing w:line="360" w:lineRule="auto"/>
              <w:ind w:left="0" w:leftChars="0" w:firstLine="720" w:firstLineChars="300"/>
              <w:jc w:val="both"/>
              <w:outlineLvl w:val="0"/>
              <w:rPr>
                <w:rFonts w:hint="eastAsia" w:ascii="宋体" w:hAnsi="宋体" w:eastAsia="宋体" w:cs="宋体"/>
                <w:bCs/>
                <w:sz w:val="24"/>
                <w:szCs w:val="24"/>
              </w:rPr>
            </w:pPr>
            <w:r>
              <w:rPr>
                <w:rFonts w:hint="eastAsia" w:ascii="宋体" w:hAnsi="宋体" w:eastAsia="宋体" w:cs="宋体"/>
                <w:bCs/>
                <w:sz w:val="24"/>
                <w:szCs w:val="24"/>
              </w:rPr>
              <w:t>7*24小时</w:t>
            </w:r>
          </w:p>
        </w:tc>
        <w:tc>
          <w:tcPr>
            <w:tcW w:w="3420" w:type="dxa"/>
            <w:noWrap w:val="0"/>
            <w:vAlign w:val="center"/>
          </w:tcPr>
          <w:p w14:paraId="5246C62E">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接到服务请求后4小时内给予答复，提供故障诊断分析和解决方案</w:t>
            </w:r>
          </w:p>
        </w:tc>
        <w:tc>
          <w:tcPr>
            <w:tcW w:w="1800" w:type="dxa"/>
            <w:noWrap w:val="0"/>
            <w:vAlign w:val="center"/>
          </w:tcPr>
          <w:p w14:paraId="3B8E00F6">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在接到服务请求后的12小时之内解决系统故障。</w:t>
            </w:r>
          </w:p>
        </w:tc>
      </w:tr>
      <w:tr w14:paraId="4247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vMerge w:val="restart"/>
            <w:noWrap w:val="0"/>
            <w:vAlign w:val="center"/>
          </w:tcPr>
          <w:p w14:paraId="37AA9DC7">
            <w:pPr>
              <w:autoSpaceDE w:val="0"/>
              <w:autoSpaceDN w:val="0"/>
              <w:spacing w:line="360" w:lineRule="auto"/>
              <w:ind w:left="0" w:leftChars="0" w:firstLine="0" w:firstLineChars="0"/>
              <w:jc w:val="both"/>
              <w:outlineLvl w:val="0"/>
              <w:rPr>
                <w:rFonts w:hint="eastAsia" w:ascii="宋体" w:hAnsi="宋体" w:eastAsia="宋体" w:cs="宋体"/>
                <w:bCs/>
                <w:sz w:val="24"/>
                <w:szCs w:val="24"/>
              </w:rPr>
            </w:pPr>
            <w:r>
              <w:rPr>
                <w:rFonts w:hint="eastAsia" w:ascii="宋体" w:hAnsi="宋体" w:eastAsia="宋体" w:cs="宋体"/>
                <w:bCs/>
                <w:sz w:val="24"/>
                <w:szCs w:val="24"/>
              </w:rPr>
              <w:t>四级故障</w:t>
            </w:r>
          </w:p>
        </w:tc>
        <w:tc>
          <w:tcPr>
            <w:tcW w:w="2160" w:type="dxa"/>
            <w:noWrap w:val="0"/>
            <w:vAlign w:val="center"/>
          </w:tcPr>
          <w:p w14:paraId="2D4480B4">
            <w:pPr>
              <w:autoSpaceDE w:val="0"/>
              <w:autoSpaceDN w:val="0"/>
              <w:spacing w:line="360" w:lineRule="auto"/>
              <w:jc w:val="both"/>
              <w:outlineLvl w:val="0"/>
              <w:rPr>
                <w:rFonts w:hint="eastAsia" w:ascii="宋体" w:hAnsi="宋体" w:eastAsia="宋体" w:cs="宋体"/>
                <w:bCs/>
                <w:sz w:val="24"/>
                <w:szCs w:val="24"/>
              </w:rPr>
            </w:pPr>
            <w:r>
              <w:rPr>
                <w:rFonts w:hint="eastAsia" w:ascii="宋体" w:hAnsi="宋体" w:eastAsia="宋体" w:cs="宋体"/>
                <w:bCs/>
                <w:sz w:val="24"/>
                <w:szCs w:val="24"/>
              </w:rPr>
              <w:t>工作时间</w:t>
            </w:r>
          </w:p>
          <w:p w14:paraId="39D302AA">
            <w:pPr>
              <w:autoSpaceDE w:val="0"/>
              <w:autoSpaceDN w:val="0"/>
              <w:spacing w:line="360" w:lineRule="auto"/>
              <w:ind w:left="0" w:leftChars="0" w:firstLine="0" w:firstLineChars="0"/>
              <w:jc w:val="both"/>
              <w:outlineLvl w:val="0"/>
              <w:rPr>
                <w:rFonts w:hint="eastAsia" w:ascii="宋体" w:hAnsi="宋体" w:eastAsia="宋体" w:cs="宋体"/>
                <w:bCs/>
                <w:sz w:val="24"/>
                <w:szCs w:val="24"/>
              </w:rPr>
            </w:pPr>
            <w:r>
              <w:rPr>
                <w:rFonts w:hint="eastAsia" w:ascii="宋体" w:hAnsi="宋体" w:eastAsia="宋体" w:cs="宋体"/>
                <w:bCs/>
                <w:sz w:val="24"/>
                <w:szCs w:val="24"/>
              </w:rPr>
              <w:t>（星期一到星期五 早9:00到晚6:00）</w:t>
            </w:r>
          </w:p>
        </w:tc>
        <w:tc>
          <w:tcPr>
            <w:tcW w:w="3420" w:type="dxa"/>
            <w:noWrap w:val="0"/>
            <w:vAlign w:val="center"/>
          </w:tcPr>
          <w:p w14:paraId="50F3D2BF">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接到服务请求后6小时内给予答复，提供故障诊断分析和解决方案</w:t>
            </w:r>
          </w:p>
        </w:tc>
        <w:tc>
          <w:tcPr>
            <w:tcW w:w="1800" w:type="dxa"/>
            <w:noWrap w:val="0"/>
            <w:vAlign w:val="center"/>
          </w:tcPr>
          <w:p w14:paraId="6E955BDF">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在接到服务请求后的24小时内解决系统故障。</w:t>
            </w:r>
          </w:p>
        </w:tc>
      </w:tr>
      <w:tr w14:paraId="70A7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vMerge w:val="continue"/>
            <w:noWrap w:val="0"/>
            <w:vAlign w:val="center"/>
          </w:tcPr>
          <w:p w14:paraId="53396A33">
            <w:pPr>
              <w:autoSpaceDE w:val="0"/>
              <w:autoSpaceDN w:val="0"/>
              <w:spacing w:line="360" w:lineRule="auto"/>
              <w:ind w:firstLine="480" w:firstLineChars="200"/>
              <w:jc w:val="center"/>
              <w:outlineLvl w:val="0"/>
              <w:rPr>
                <w:rFonts w:hint="eastAsia" w:ascii="宋体" w:hAnsi="宋体" w:eastAsia="宋体" w:cs="宋体"/>
                <w:bCs/>
                <w:sz w:val="24"/>
                <w:szCs w:val="24"/>
              </w:rPr>
            </w:pPr>
          </w:p>
        </w:tc>
        <w:tc>
          <w:tcPr>
            <w:tcW w:w="2160" w:type="dxa"/>
            <w:noWrap w:val="0"/>
            <w:vAlign w:val="center"/>
          </w:tcPr>
          <w:p w14:paraId="59ED56B1">
            <w:pPr>
              <w:autoSpaceDE w:val="0"/>
              <w:autoSpaceDN w:val="0"/>
              <w:spacing w:line="360" w:lineRule="auto"/>
              <w:ind w:firstLine="480" w:firstLineChars="200"/>
              <w:jc w:val="center"/>
              <w:outlineLvl w:val="0"/>
              <w:rPr>
                <w:rFonts w:hint="eastAsia" w:ascii="宋体" w:hAnsi="宋体" w:eastAsia="宋体" w:cs="宋体"/>
                <w:bCs/>
                <w:sz w:val="24"/>
                <w:szCs w:val="24"/>
              </w:rPr>
            </w:pPr>
          </w:p>
          <w:p w14:paraId="21D05439">
            <w:pPr>
              <w:autoSpaceDE w:val="0"/>
              <w:autoSpaceDN w:val="0"/>
              <w:spacing w:line="360" w:lineRule="auto"/>
              <w:ind w:left="0" w:leftChars="0" w:firstLine="240" w:firstLineChars="100"/>
              <w:jc w:val="both"/>
              <w:outlineLvl w:val="0"/>
              <w:rPr>
                <w:rFonts w:hint="eastAsia" w:ascii="宋体" w:hAnsi="宋体" w:eastAsia="宋体" w:cs="宋体"/>
                <w:bCs/>
                <w:sz w:val="24"/>
                <w:szCs w:val="24"/>
              </w:rPr>
            </w:pPr>
            <w:r>
              <w:rPr>
                <w:rFonts w:hint="eastAsia" w:ascii="宋体" w:hAnsi="宋体" w:eastAsia="宋体" w:cs="宋体"/>
                <w:bCs/>
                <w:sz w:val="24"/>
                <w:szCs w:val="24"/>
              </w:rPr>
              <w:t>其他非工作时间</w:t>
            </w:r>
          </w:p>
        </w:tc>
        <w:tc>
          <w:tcPr>
            <w:tcW w:w="3420" w:type="dxa"/>
            <w:noWrap w:val="0"/>
            <w:vAlign w:val="center"/>
          </w:tcPr>
          <w:p w14:paraId="49810275">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接到服务请求后第24小时内给予答复，提供故障诊断分析和解决方案</w:t>
            </w:r>
          </w:p>
        </w:tc>
        <w:tc>
          <w:tcPr>
            <w:tcW w:w="1800" w:type="dxa"/>
            <w:noWrap w:val="0"/>
            <w:vAlign w:val="center"/>
          </w:tcPr>
          <w:p w14:paraId="7B22F609">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在接到服务请求后的48小时内排除故障。</w:t>
            </w:r>
          </w:p>
        </w:tc>
      </w:tr>
    </w:tbl>
    <w:p w14:paraId="35FCB1A1">
      <w:pPr>
        <w:autoSpaceDE w:val="0"/>
        <w:autoSpaceDN w:val="0"/>
        <w:spacing w:line="360" w:lineRule="auto"/>
        <w:ind w:firstLine="482" w:firstLineChars="200"/>
        <w:outlineLvl w:val="0"/>
        <w:rPr>
          <w:rFonts w:hint="eastAsia" w:ascii="宋体" w:hAnsi="宋体" w:eastAsia="宋体" w:cs="宋体"/>
          <w:b/>
          <w:sz w:val="24"/>
          <w:szCs w:val="24"/>
        </w:rPr>
      </w:pPr>
    </w:p>
    <w:p w14:paraId="31138DCE">
      <w:pPr>
        <w:autoSpaceDE w:val="0"/>
        <w:autoSpaceDN w:val="0"/>
        <w:spacing w:line="360" w:lineRule="auto"/>
        <w:ind w:firstLine="480" w:firstLineChars="200"/>
        <w:outlineLvl w:val="0"/>
        <w:rPr>
          <w:rFonts w:hint="eastAsia" w:ascii="宋体" w:hAnsi="宋体" w:eastAsia="宋体" w:cs="宋体"/>
          <w:b w:val="0"/>
          <w:bCs/>
          <w:sz w:val="24"/>
          <w:szCs w:val="24"/>
        </w:rPr>
      </w:pPr>
      <w:r>
        <w:rPr>
          <w:rFonts w:hint="eastAsia" w:ascii="宋体" w:hAnsi="宋体" w:eastAsia="宋体" w:cs="宋体"/>
          <w:b w:val="0"/>
          <w:bCs/>
          <w:sz w:val="24"/>
          <w:szCs w:val="24"/>
        </w:rPr>
        <w:t>3、标准化平台巡检及测试制度</w:t>
      </w:r>
      <w:bookmarkEnd w:id="30"/>
    </w:p>
    <w:p w14:paraId="7333D2FA">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（1）电力、安全、消防巡检。</w:t>
      </w:r>
    </w:p>
    <w:p w14:paraId="7821029F">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（2）环境温湿度、空调、送风等系统巡检。</w:t>
      </w:r>
    </w:p>
    <w:p w14:paraId="7FBB421E">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（3）机架、硬件设备等巡检</w:t>
      </w:r>
    </w:p>
    <w:p w14:paraId="649CF3DA">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（4）网络、服务器内存、CUP利用率、系统服务等巡检。</w:t>
      </w:r>
    </w:p>
    <w:p w14:paraId="2F09A9B6">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（5）灾备平台、倒换效率等测试及其他巡检。</w:t>
      </w:r>
    </w:p>
    <w:p w14:paraId="449BADA2">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集中管理平台也会对呼叫中心各设备关键性指标做预警判断。当设备超过系统设定的阀值时，将会自动发出告警。</w:t>
      </w:r>
    </w:p>
    <w:p w14:paraId="2B97E7DF">
      <w:pPr>
        <w:autoSpaceDE w:val="0"/>
        <w:autoSpaceDN w:val="0"/>
        <w:spacing w:line="360" w:lineRule="auto"/>
        <w:ind w:firstLine="480" w:firstLineChars="200"/>
        <w:outlineLvl w:val="0"/>
        <w:rPr>
          <w:rFonts w:hint="eastAsia" w:ascii="宋体" w:hAnsi="宋体" w:eastAsia="宋体" w:cs="宋体"/>
          <w:b w:val="0"/>
          <w:bCs/>
          <w:sz w:val="24"/>
          <w:szCs w:val="24"/>
        </w:rPr>
      </w:pPr>
      <w:bookmarkStart w:id="31" w:name="_Toc351647214"/>
      <w:r>
        <w:rPr>
          <w:rFonts w:hint="eastAsia" w:ascii="宋体" w:hAnsi="宋体" w:eastAsia="宋体" w:cs="宋体"/>
          <w:b w:val="0"/>
          <w:bCs/>
          <w:sz w:val="24"/>
          <w:szCs w:val="24"/>
        </w:rPr>
        <w:t>4、故障申报热线。</w:t>
      </w:r>
      <w:bookmarkEnd w:id="31"/>
    </w:p>
    <w:p w14:paraId="75FC822F">
      <w:pPr>
        <w:adjustRightInd/>
        <w:spacing w:line="360" w:lineRule="auto"/>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设置专门用于申报故障的热线，配备专业技术团队提供技术支持。故障申报及处理流程如下。</w:t>
      </w:r>
    </w:p>
    <w:p w14:paraId="6E20BA19">
      <w:pPr>
        <w:autoSpaceDE w:val="0"/>
        <w:autoSpaceDN w:val="0"/>
        <w:spacing w:line="360" w:lineRule="auto"/>
        <w:ind w:firstLine="480" w:firstLineChars="200"/>
        <w:outlineLvl w:val="0"/>
        <w:rPr>
          <w:rFonts w:hint="eastAsia" w:ascii="宋体" w:hAnsi="宋体" w:eastAsia="宋体" w:cs="宋体"/>
          <w:b/>
          <w:sz w:val="24"/>
          <w:szCs w:val="24"/>
        </w:rPr>
      </w:pPr>
      <w:bookmarkStart w:id="32" w:name="_Toc351647216"/>
      <w:r>
        <w:rPr>
          <w:rFonts w:hint="eastAsia" w:ascii="宋体" w:hAnsi="宋体" w:eastAsia="宋体" w:cs="宋体"/>
          <w:b w:val="0"/>
          <w:bCs/>
          <w:sz w:val="24"/>
          <w:szCs w:val="24"/>
        </w:rPr>
        <w:t>5、系统应急预案。</w:t>
      </w:r>
      <w:bookmarkEnd w:id="32"/>
    </w:p>
    <w:p w14:paraId="1B441695">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应急情况是指座席出现部分或者全部故障的情况下采用的应急预案</w:t>
      </w:r>
    </w:p>
    <w:p w14:paraId="602FFAC7">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（1）呼叫平台应急预案针对所有故障类别并按故障等级，分别制定应急预案。</w:t>
      </w:r>
    </w:p>
    <w:p w14:paraId="1AF1988F">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（2）软件升级预案。</w:t>
      </w:r>
    </w:p>
    <w:p w14:paraId="4FD111D2">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（3）灾备平台启动及手工倒换预案。</w:t>
      </w:r>
    </w:p>
    <w:p w14:paraId="6AB16459">
      <w:pPr>
        <w:autoSpaceDE w:val="0"/>
        <w:autoSpaceDN w:val="0"/>
        <w:spacing w:line="360" w:lineRule="auto"/>
        <w:ind w:firstLine="482" w:firstLineChars="200"/>
        <w:outlineLvl w:val="0"/>
        <w:rPr>
          <w:rFonts w:hint="eastAsia" w:ascii="宋体" w:hAnsi="宋体" w:eastAsia="宋体" w:cs="宋体"/>
          <w:b/>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、质量保证及后续服务</w:t>
      </w:r>
    </w:p>
    <w:p w14:paraId="6F6841A9">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供应商应按采购文件规定向采购人提供服务。对通信网络故障，供应商在接到采购人通知后2小时内响应并启动通信应急灾备方案。受话及其他业务系统在协议有效期内由供应商负责质保。在服务质量保证期内，供应商应对出现的质量及安全问题负责处理解决并承担相关费用。</w:t>
      </w:r>
    </w:p>
    <w:p w14:paraId="45E62856">
      <w:pPr>
        <w:numPr>
          <w:ilvl w:val="0"/>
          <w:numId w:val="1"/>
        </w:numPr>
        <w:adjustRightInd/>
        <w:spacing w:line="360" w:lineRule="auto"/>
        <w:ind w:firstLine="482" w:firstLineChars="200"/>
        <w:jc w:val="both"/>
        <w:outlineLvl w:val="0"/>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过渡期内容</w:t>
      </w:r>
    </w:p>
    <w:p w14:paraId="051179D6">
      <w:pPr>
        <w:adjustRightInd/>
        <w:spacing w:line="360" w:lineRule="auto"/>
        <w:ind w:firstLine="480" w:firstLineChars="200"/>
        <w:jc w:val="both"/>
        <w:outlineLvl w:val="0"/>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1、</w:t>
      </w:r>
      <w:r>
        <w:rPr>
          <w:rFonts w:hint="eastAsia" w:ascii="宋体" w:hAnsi="宋体" w:eastAsia="宋体" w:cs="宋体"/>
          <w:kern w:val="0"/>
          <w:sz w:val="24"/>
          <w:szCs w:val="24"/>
          <w:lang w:val="zh-CN" w:eastAsia="zh-CN" w:bidi="ar-SA"/>
        </w:rPr>
        <w:t>为保证工作的连续性和平稳过渡，</w:t>
      </w:r>
      <w:r>
        <w:rPr>
          <w:rFonts w:hint="eastAsia" w:ascii="宋体" w:hAnsi="宋体" w:eastAsia="宋体" w:cs="宋体"/>
          <w:kern w:val="0"/>
          <w:sz w:val="24"/>
          <w:szCs w:val="24"/>
          <w:lang w:val="en-US" w:eastAsia="zh-CN" w:bidi="ar-SA"/>
        </w:rPr>
        <w:t>原合同到期之日起15天内为过渡期</w:t>
      </w:r>
      <w:r>
        <w:rPr>
          <w:rFonts w:hint="eastAsia" w:ascii="宋体" w:hAnsi="宋体" w:eastAsia="宋体" w:cs="宋体"/>
          <w:kern w:val="0"/>
          <w:sz w:val="24"/>
          <w:szCs w:val="24"/>
          <w:lang w:val="zh-CN" w:eastAsia="zh-CN" w:bidi="ar-SA"/>
        </w:rPr>
        <w:t>，过渡期内仍由原服务单位提供服务，中标方需提供成熟、可靠的解决方案。</w:t>
      </w:r>
    </w:p>
    <w:p w14:paraId="06D0E8A9">
      <w:pPr>
        <w:adjustRightInd/>
        <w:spacing w:line="360" w:lineRule="auto"/>
        <w:ind w:firstLine="480" w:firstLineChars="200"/>
        <w:jc w:val="both"/>
        <w:outlineLvl w:val="0"/>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2、</w:t>
      </w:r>
      <w:r>
        <w:rPr>
          <w:rFonts w:hint="eastAsia" w:ascii="宋体" w:hAnsi="宋体" w:eastAsia="宋体" w:cs="宋体"/>
          <w:kern w:val="0"/>
          <w:sz w:val="24"/>
          <w:szCs w:val="24"/>
          <w:lang w:val="zh-CN" w:eastAsia="zh-CN" w:bidi="ar-SA"/>
        </w:rPr>
        <w:t>过渡期内产生的费用按实际产生的费用结算，由中标人支付给原服务单位。投标人应在投标文件将该笔费用报入总价，并承诺如中标将此笔费用支付给原服务单位。</w:t>
      </w:r>
    </w:p>
    <w:p w14:paraId="24D4BDAD">
      <w:pPr>
        <w:adjustRightInd/>
        <w:spacing w:line="360" w:lineRule="auto"/>
        <w:ind w:firstLine="480" w:firstLineChars="200"/>
        <w:jc w:val="both"/>
        <w:outlineLvl w:val="0"/>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3</w:t>
      </w:r>
      <w:r>
        <w:rPr>
          <w:rFonts w:hint="eastAsia" w:ascii="宋体" w:hAnsi="宋体" w:cs="宋体"/>
          <w:kern w:val="0"/>
          <w:sz w:val="24"/>
          <w:szCs w:val="24"/>
          <w:lang w:val="zh-CN" w:eastAsia="zh-CN" w:bidi="ar-SA"/>
        </w:rPr>
        <w:t>、</w:t>
      </w:r>
      <w:r>
        <w:rPr>
          <w:rFonts w:hint="eastAsia" w:ascii="宋体" w:hAnsi="宋体" w:eastAsia="宋体" w:cs="宋体"/>
          <w:kern w:val="0"/>
          <w:sz w:val="24"/>
          <w:szCs w:val="24"/>
          <w:lang w:val="zh-CN" w:eastAsia="zh-CN" w:bidi="ar-SA"/>
        </w:rPr>
        <w:t>中标单位在过渡期内，将项目所需人员、设备设施等以及和原服务单位完成对接工作按采购要求及投标文件的要求全部到位。</w:t>
      </w:r>
    </w:p>
    <w:p w14:paraId="59394896">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US" w:eastAsia="zh-CN" w:bidi="ar-SA"/>
        </w:rPr>
        <w:t>4</w:t>
      </w:r>
      <w:r>
        <w:rPr>
          <w:rFonts w:hint="eastAsia" w:ascii="宋体" w:hAnsi="宋体" w:cs="宋体"/>
          <w:kern w:val="0"/>
          <w:sz w:val="24"/>
          <w:szCs w:val="24"/>
          <w:lang w:val="zh-CN" w:eastAsia="zh-CN" w:bidi="ar-SA"/>
        </w:rPr>
        <w:t>、</w:t>
      </w:r>
      <w:r>
        <w:rPr>
          <w:rFonts w:hint="eastAsia" w:ascii="宋体" w:hAnsi="宋体" w:eastAsia="宋体" w:cs="宋体"/>
          <w:kern w:val="0"/>
          <w:sz w:val="24"/>
          <w:szCs w:val="24"/>
          <w:lang w:val="zh-CN" w:eastAsia="zh-CN" w:bidi="ar-SA"/>
        </w:rPr>
        <w:t>如过渡期涉及技术实现方案，请在投标文件中详细说明实施措施及其可行性，无需过渡的提供说明函。</w:t>
      </w:r>
    </w:p>
    <w:p w14:paraId="55F64BC2">
      <w:pPr>
        <w:adjustRightInd/>
        <w:spacing w:line="360" w:lineRule="auto"/>
        <w:ind w:firstLine="480" w:firstLineChars="200"/>
        <w:jc w:val="both"/>
        <w:outlineLvl w:val="0"/>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5</w:t>
      </w:r>
      <w:r>
        <w:rPr>
          <w:rFonts w:hint="eastAsia" w:ascii="宋体" w:hAnsi="宋体" w:cs="宋体"/>
          <w:kern w:val="0"/>
          <w:sz w:val="24"/>
          <w:szCs w:val="24"/>
          <w:lang w:val="zh-CN" w:eastAsia="zh-CN" w:bidi="ar-SA"/>
        </w:rPr>
        <w:t>、</w:t>
      </w:r>
      <w:r>
        <w:rPr>
          <w:rFonts w:hint="eastAsia" w:ascii="宋体" w:hAnsi="宋体" w:eastAsia="宋体" w:cs="宋体"/>
          <w:kern w:val="0"/>
          <w:sz w:val="24"/>
          <w:szCs w:val="24"/>
          <w:lang w:val="zh-CN" w:eastAsia="zh-CN" w:bidi="ar-SA"/>
        </w:rPr>
        <w:t>如中标单位在过渡期内未完成采购需求的内容，例如人员配置、码号汇聚、设备部署等工作，甲方有权</w:t>
      </w:r>
      <w:r>
        <w:rPr>
          <w:rFonts w:hint="eastAsia" w:ascii="宋体" w:hAnsi="宋体" w:eastAsia="宋体" w:cs="宋体"/>
          <w:kern w:val="0"/>
          <w:sz w:val="24"/>
          <w:szCs w:val="24"/>
          <w:lang w:val="en-US" w:eastAsia="zh-CN" w:bidi="ar-SA"/>
        </w:rPr>
        <w:t>重新组织招标</w:t>
      </w:r>
      <w:r>
        <w:rPr>
          <w:rFonts w:hint="eastAsia" w:ascii="宋体" w:hAnsi="宋体" w:eastAsia="宋体" w:cs="宋体"/>
          <w:kern w:val="0"/>
          <w:sz w:val="24"/>
          <w:szCs w:val="24"/>
          <w:lang w:val="zh-CN" w:eastAsia="zh-CN" w:bidi="ar-SA"/>
        </w:rPr>
        <w:t>，并保留追究法律责任的权利。</w:t>
      </w:r>
    </w:p>
    <w:p w14:paraId="0BB17155">
      <w:pPr>
        <w:adjustRightInd/>
        <w:spacing w:line="360" w:lineRule="auto"/>
        <w:ind w:firstLine="480" w:firstLineChars="200"/>
        <w:jc w:val="both"/>
        <w:outlineLvl w:val="0"/>
        <w:rPr>
          <w:rFonts w:hint="default" w:ascii="宋体" w:hAnsi="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w:t>
      </w:r>
      <w:r>
        <w:rPr>
          <w:rFonts w:hint="eastAsia" w:ascii="宋体" w:hAnsi="宋体" w:eastAsia="宋体" w:cs="宋体"/>
          <w:kern w:val="0"/>
          <w:sz w:val="24"/>
          <w:szCs w:val="24"/>
          <w:lang w:val="zh-CN" w:eastAsia="zh-CN" w:bidi="ar-SA"/>
        </w:rPr>
        <w:t>▲</w:t>
      </w:r>
      <w:r>
        <w:rPr>
          <w:rFonts w:hint="eastAsia" w:ascii="宋体" w:hAnsi="宋体" w:eastAsia="宋体" w:cs="宋体"/>
          <w:kern w:val="0"/>
          <w:sz w:val="24"/>
          <w:szCs w:val="24"/>
          <w:lang w:val="en-US" w:eastAsia="zh-CN" w:bidi="ar-SA"/>
        </w:rPr>
        <w:t>投标方需提供承诺函对满足上述要求作出承诺。</w:t>
      </w:r>
    </w:p>
    <w:p w14:paraId="6B9E82C7">
      <w:pPr>
        <w:autoSpaceDE w:val="0"/>
        <w:autoSpaceDN w:val="0"/>
        <w:spacing w:line="360" w:lineRule="auto"/>
        <w:ind w:firstLine="482" w:firstLineChars="200"/>
        <w:outlineLvl w:val="0"/>
        <w:rPr>
          <w:rFonts w:hint="eastAsia" w:ascii="宋体" w:hAnsi="宋体" w:eastAsia="宋体" w:cs="宋体"/>
          <w:b/>
          <w:sz w:val="24"/>
          <w:szCs w:val="24"/>
        </w:rPr>
      </w:pPr>
      <w:r>
        <w:rPr>
          <w:rFonts w:hint="eastAsia" w:ascii="宋体" w:hAnsi="宋体" w:cs="宋体"/>
          <w:b/>
          <w:sz w:val="24"/>
          <w:szCs w:val="24"/>
          <w:lang w:val="en-US" w:eastAsia="zh-CN"/>
        </w:rPr>
        <w:t>九</w:t>
      </w:r>
      <w:r>
        <w:rPr>
          <w:rFonts w:hint="eastAsia" w:ascii="宋体" w:hAnsi="宋体" w:eastAsia="宋体" w:cs="宋体"/>
          <w:b/>
          <w:sz w:val="24"/>
          <w:szCs w:val="24"/>
        </w:rPr>
        <w:t>、保密条款：</w:t>
      </w:r>
    </w:p>
    <w:p w14:paraId="5F8872A5">
      <w:pPr>
        <w:autoSpaceDE w:val="0"/>
        <w:autoSpaceDN w:val="0"/>
        <w:spacing w:line="360" w:lineRule="auto"/>
        <w:ind w:firstLine="480" w:firstLineChars="200"/>
        <w:outlineLvl w:val="0"/>
        <w:rPr>
          <w:rFonts w:hint="eastAsia" w:ascii="宋体" w:hAnsi="宋体" w:eastAsia="宋体" w:cs="宋体"/>
          <w:sz w:val="24"/>
          <w:szCs w:val="24"/>
        </w:rPr>
      </w:pPr>
      <w:r>
        <w:rPr>
          <w:rFonts w:hint="eastAsia" w:ascii="宋体" w:hAnsi="宋体" w:eastAsia="宋体" w:cs="宋体"/>
          <w:kern w:val="0"/>
          <w:sz w:val="24"/>
          <w:szCs w:val="24"/>
          <w:lang w:val="en-GB" w:eastAsia="zh-CN" w:bidi="ar-SA"/>
        </w:rPr>
        <w:t>双方及双方员工均对本协议及本协议的补充协议、附件等所有内容均承担无限期保密义务，直至上述内容被双方共同宣布解密或者秘密信息实际上已经公开。</w:t>
      </w:r>
    </w:p>
    <w:p w14:paraId="46CA9479">
      <w:pPr>
        <w:spacing w:line="360" w:lineRule="auto"/>
        <w:ind w:firstLine="181" w:firstLineChars="50"/>
        <w:rPr>
          <w:rFonts w:ascii="宋体" w:hAnsi="宋体" w:cs="宋体"/>
          <w:b/>
          <w:color w:val="auto"/>
          <w:sz w:val="36"/>
          <w:szCs w:val="36"/>
          <w:highlight w:val="none"/>
        </w:rPr>
      </w:pPr>
    </w:p>
    <w:p w14:paraId="56328EDC">
      <w:pPr>
        <w:spacing w:line="360" w:lineRule="auto"/>
        <w:rPr>
          <w:rFonts w:ascii="宋体" w:hAnsi="宋体" w:cs="宋体"/>
          <w:color w:val="auto"/>
          <w:sz w:val="24"/>
          <w:highlight w:val="none"/>
        </w:rPr>
      </w:pPr>
    </w:p>
    <w:p w14:paraId="3E516CE4">
      <w:pPr>
        <w:widowControl/>
        <w:ind w:firstLine="720" w:firstLineChars="300"/>
        <w:jc w:val="left"/>
        <w:rPr>
          <w:rFonts w:ascii="宋体" w:hAnsi="宋体" w:cs="宋体"/>
          <w:bCs/>
          <w:color w:val="auto"/>
          <w:sz w:val="24"/>
          <w:highlight w:val="none"/>
        </w:rPr>
      </w:pPr>
    </w:p>
    <w:p w14:paraId="0D469058">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3" w:name="_Toc184313251"/>
      <w:bookmarkEnd w:id="33"/>
      <w:bookmarkStart w:id="34" w:name="_Toc184314415"/>
      <w:bookmarkEnd w:id="34"/>
      <w:bookmarkStart w:id="35" w:name="_Toc184314480"/>
      <w:bookmarkEnd w:id="35"/>
      <w:bookmarkStart w:id="36" w:name="_Toc184312108"/>
      <w:bookmarkEnd w:id="36"/>
      <w:bookmarkStart w:id="37" w:name="_Toc184313295"/>
      <w:bookmarkEnd w:id="37"/>
      <w:bookmarkStart w:id="38" w:name="_Toc184308087"/>
      <w:bookmarkEnd w:id="38"/>
      <w:bookmarkStart w:id="39" w:name="_Toc184313247"/>
      <w:bookmarkEnd w:id="39"/>
      <w:bookmarkStart w:id="40" w:name="_Toc184312087"/>
      <w:bookmarkEnd w:id="40"/>
      <w:bookmarkStart w:id="41" w:name="_Toc184314456"/>
      <w:bookmarkEnd w:id="41"/>
      <w:bookmarkStart w:id="42" w:name="_Toc184308077"/>
      <w:bookmarkEnd w:id="42"/>
      <w:bookmarkStart w:id="43" w:name="_Toc184312137"/>
      <w:bookmarkEnd w:id="43"/>
      <w:bookmarkStart w:id="44" w:name="_Toc184310306"/>
      <w:bookmarkEnd w:id="44"/>
      <w:bookmarkStart w:id="45" w:name="_Toc184310324"/>
      <w:bookmarkEnd w:id="45"/>
      <w:bookmarkStart w:id="46" w:name="_Toc184313294"/>
      <w:bookmarkEnd w:id="46"/>
      <w:bookmarkStart w:id="47" w:name="_Toc184308058"/>
      <w:bookmarkEnd w:id="47"/>
      <w:bookmarkStart w:id="48" w:name="_Toc184312078"/>
      <w:bookmarkEnd w:id="48"/>
      <w:bookmarkStart w:id="49" w:name="_Toc184310317"/>
      <w:bookmarkEnd w:id="49"/>
      <w:bookmarkStart w:id="50" w:name="_Toc184308069"/>
      <w:bookmarkEnd w:id="50"/>
      <w:bookmarkStart w:id="51" w:name="_Toc184310340"/>
      <w:bookmarkEnd w:id="51"/>
      <w:bookmarkStart w:id="52" w:name="_Toc184310278"/>
      <w:bookmarkEnd w:id="52"/>
      <w:bookmarkStart w:id="53" w:name="_Toc184308094"/>
      <w:bookmarkEnd w:id="53"/>
      <w:bookmarkStart w:id="54" w:name="_Toc184310341"/>
      <w:bookmarkEnd w:id="54"/>
      <w:bookmarkStart w:id="55" w:name="_Toc184313260"/>
      <w:bookmarkEnd w:id="55"/>
      <w:bookmarkStart w:id="56" w:name="_Toc184308042"/>
      <w:bookmarkEnd w:id="56"/>
      <w:bookmarkStart w:id="57" w:name="_Toc184312120"/>
      <w:bookmarkEnd w:id="57"/>
      <w:bookmarkStart w:id="58" w:name="_Toc184313297"/>
      <w:bookmarkEnd w:id="58"/>
      <w:bookmarkStart w:id="59" w:name="_Toc184313244"/>
      <w:bookmarkEnd w:id="59"/>
      <w:bookmarkStart w:id="60" w:name="_Toc184314439"/>
      <w:bookmarkEnd w:id="60"/>
      <w:bookmarkStart w:id="61" w:name="_Toc184308057"/>
      <w:bookmarkEnd w:id="61"/>
      <w:bookmarkStart w:id="62" w:name="_Toc184314410"/>
      <w:bookmarkEnd w:id="62"/>
      <w:bookmarkStart w:id="63" w:name="_Toc184310314"/>
      <w:bookmarkEnd w:id="63"/>
      <w:bookmarkStart w:id="64" w:name="_Toc184312117"/>
      <w:bookmarkEnd w:id="64"/>
      <w:bookmarkStart w:id="65" w:name="_Toc184312102"/>
      <w:bookmarkEnd w:id="65"/>
      <w:bookmarkStart w:id="66" w:name="_Toc184310326"/>
      <w:bookmarkEnd w:id="66"/>
      <w:bookmarkStart w:id="67" w:name="_Toc184313306"/>
      <w:bookmarkEnd w:id="67"/>
      <w:bookmarkStart w:id="68" w:name="_Toc184310312"/>
      <w:bookmarkEnd w:id="68"/>
      <w:bookmarkStart w:id="69" w:name="_Toc184314426"/>
      <w:bookmarkEnd w:id="69"/>
      <w:bookmarkStart w:id="70" w:name="_Toc184313271"/>
      <w:bookmarkEnd w:id="70"/>
      <w:bookmarkStart w:id="71" w:name="_Toc184308074"/>
      <w:bookmarkEnd w:id="71"/>
      <w:bookmarkStart w:id="72" w:name="_Toc184308083"/>
      <w:bookmarkEnd w:id="72"/>
      <w:bookmarkStart w:id="73" w:name="_Toc184314431"/>
      <w:bookmarkEnd w:id="73"/>
      <w:bookmarkStart w:id="74" w:name="_Toc184313239"/>
      <w:bookmarkEnd w:id="74"/>
      <w:bookmarkStart w:id="75" w:name="_Toc184310338"/>
      <w:bookmarkEnd w:id="75"/>
      <w:bookmarkStart w:id="76" w:name="_Toc184312092"/>
      <w:bookmarkEnd w:id="76"/>
      <w:bookmarkStart w:id="77" w:name="_Toc184313240"/>
      <w:bookmarkEnd w:id="77"/>
      <w:bookmarkStart w:id="78" w:name="_Toc184314428"/>
      <w:bookmarkEnd w:id="78"/>
      <w:bookmarkStart w:id="79" w:name="_Toc184310309"/>
      <w:bookmarkEnd w:id="79"/>
      <w:bookmarkStart w:id="80" w:name="_Toc184313265"/>
      <w:bookmarkEnd w:id="80"/>
      <w:bookmarkStart w:id="81" w:name="_Toc184310316"/>
      <w:bookmarkEnd w:id="81"/>
      <w:bookmarkStart w:id="82" w:name="_Toc184313307"/>
      <w:bookmarkEnd w:id="82"/>
      <w:bookmarkStart w:id="83" w:name="_Toc184314450"/>
      <w:bookmarkEnd w:id="83"/>
      <w:bookmarkStart w:id="84" w:name="_Toc184313289"/>
      <w:bookmarkEnd w:id="84"/>
      <w:bookmarkStart w:id="85" w:name="_Toc184314435"/>
      <w:bookmarkEnd w:id="85"/>
      <w:bookmarkStart w:id="86" w:name="_Toc184308104"/>
      <w:bookmarkEnd w:id="86"/>
      <w:bookmarkStart w:id="87" w:name="_Toc184308096"/>
      <w:bookmarkEnd w:id="87"/>
      <w:bookmarkStart w:id="88" w:name="_Toc184313300"/>
      <w:bookmarkEnd w:id="88"/>
      <w:bookmarkStart w:id="89" w:name="_Toc184314438"/>
      <w:bookmarkEnd w:id="89"/>
      <w:bookmarkStart w:id="90" w:name="_Toc184308056"/>
      <w:bookmarkEnd w:id="90"/>
      <w:bookmarkStart w:id="91" w:name="_Toc184310291"/>
      <w:bookmarkEnd w:id="91"/>
      <w:bookmarkStart w:id="92" w:name="_Toc184312113"/>
      <w:bookmarkEnd w:id="92"/>
      <w:bookmarkStart w:id="93" w:name="_Toc184314471"/>
      <w:bookmarkEnd w:id="93"/>
      <w:bookmarkStart w:id="94" w:name="_Toc184312101"/>
      <w:bookmarkEnd w:id="94"/>
      <w:bookmarkStart w:id="95" w:name="_Toc184308047"/>
      <w:bookmarkEnd w:id="95"/>
      <w:bookmarkStart w:id="96" w:name="_Toc184313256"/>
      <w:bookmarkEnd w:id="96"/>
      <w:bookmarkStart w:id="97" w:name="_Toc184312074"/>
      <w:bookmarkEnd w:id="97"/>
      <w:bookmarkStart w:id="98" w:name="_Toc184313281"/>
      <w:bookmarkEnd w:id="98"/>
      <w:bookmarkStart w:id="99" w:name="_Toc184308041"/>
      <w:bookmarkEnd w:id="99"/>
      <w:bookmarkStart w:id="100" w:name="_Toc184310290"/>
      <w:bookmarkEnd w:id="100"/>
      <w:bookmarkStart w:id="101" w:name="_Toc184310294"/>
      <w:bookmarkEnd w:id="101"/>
      <w:bookmarkStart w:id="102" w:name="_Toc184312129"/>
      <w:bookmarkEnd w:id="102"/>
      <w:bookmarkStart w:id="103" w:name="_Toc184314425"/>
      <w:bookmarkEnd w:id="103"/>
      <w:bookmarkStart w:id="104" w:name="_Toc184308038"/>
      <w:bookmarkEnd w:id="104"/>
      <w:bookmarkStart w:id="105" w:name="_Toc184314477"/>
      <w:bookmarkEnd w:id="105"/>
      <w:bookmarkStart w:id="106" w:name="_Toc184313245"/>
      <w:bookmarkEnd w:id="106"/>
      <w:bookmarkStart w:id="107" w:name="_Toc184314470"/>
      <w:bookmarkEnd w:id="107"/>
      <w:bookmarkStart w:id="108" w:name="_Toc184310320"/>
      <w:bookmarkEnd w:id="108"/>
      <w:bookmarkStart w:id="109" w:name="_Toc184308081"/>
      <w:bookmarkEnd w:id="109"/>
      <w:bookmarkStart w:id="110" w:name="_Toc184313301"/>
      <w:bookmarkEnd w:id="110"/>
      <w:bookmarkStart w:id="111" w:name="_Toc184314420"/>
      <w:bookmarkEnd w:id="111"/>
      <w:bookmarkStart w:id="112" w:name="_Toc184310330"/>
      <w:bookmarkEnd w:id="112"/>
      <w:bookmarkStart w:id="113" w:name="_Toc184314444"/>
      <w:bookmarkEnd w:id="113"/>
      <w:bookmarkStart w:id="114" w:name="_Toc184310288"/>
      <w:bookmarkEnd w:id="114"/>
      <w:bookmarkStart w:id="115" w:name="_Toc184308084"/>
      <w:bookmarkEnd w:id="115"/>
      <w:bookmarkStart w:id="116" w:name="_Toc184313282"/>
      <w:bookmarkEnd w:id="116"/>
      <w:bookmarkStart w:id="117" w:name="_Toc184313272"/>
      <w:bookmarkEnd w:id="117"/>
      <w:bookmarkStart w:id="118" w:name="_Toc184308060"/>
      <w:bookmarkEnd w:id="118"/>
      <w:bookmarkStart w:id="119" w:name="_Toc184313259"/>
      <w:bookmarkEnd w:id="119"/>
      <w:bookmarkStart w:id="120" w:name="_Toc184313276"/>
      <w:bookmarkEnd w:id="120"/>
      <w:bookmarkStart w:id="121" w:name="_Toc184313286"/>
      <w:bookmarkEnd w:id="121"/>
      <w:bookmarkStart w:id="122" w:name="_Toc184310328"/>
      <w:bookmarkEnd w:id="122"/>
      <w:bookmarkStart w:id="123" w:name="_Toc184313298"/>
      <w:bookmarkEnd w:id="123"/>
      <w:bookmarkStart w:id="124" w:name="_Toc184308064"/>
      <w:bookmarkEnd w:id="124"/>
      <w:bookmarkStart w:id="125" w:name="_Toc184308043"/>
      <w:bookmarkEnd w:id="125"/>
      <w:bookmarkStart w:id="126" w:name="_Toc184314473"/>
      <w:bookmarkEnd w:id="126"/>
      <w:bookmarkStart w:id="127" w:name="_Toc184314427"/>
      <w:bookmarkEnd w:id="127"/>
      <w:bookmarkStart w:id="128" w:name="_Toc184310335"/>
      <w:bookmarkEnd w:id="128"/>
      <w:bookmarkStart w:id="129" w:name="_Toc184312085"/>
      <w:bookmarkEnd w:id="129"/>
      <w:bookmarkStart w:id="130" w:name="_Toc184312072"/>
      <w:bookmarkEnd w:id="130"/>
      <w:bookmarkStart w:id="131" w:name="_Toc184308078"/>
      <w:bookmarkEnd w:id="131"/>
      <w:bookmarkStart w:id="132" w:name="_Toc184308107"/>
      <w:bookmarkEnd w:id="132"/>
      <w:bookmarkStart w:id="133" w:name="_Toc184310308"/>
      <w:bookmarkEnd w:id="133"/>
      <w:bookmarkStart w:id="134" w:name="_Toc184312123"/>
      <w:bookmarkEnd w:id="134"/>
      <w:bookmarkStart w:id="135" w:name="_Toc184313264"/>
      <w:bookmarkEnd w:id="135"/>
      <w:bookmarkStart w:id="136" w:name="_Toc184313303"/>
      <w:bookmarkEnd w:id="136"/>
      <w:bookmarkStart w:id="137" w:name="_Toc184312133"/>
      <w:bookmarkEnd w:id="137"/>
      <w:bookmarkStart w:id="138" w:name="_Toc184312093"/>
      <w:bookmarkEnd w:id="138"/>
      <w:bookmarkStart w:id="139" w:name="_Toc184312130"/>
      <w:bookmarkEnd w:id="139"/>
      <w:bookmarkStart w:id="140" w:name="_Toc184313277"/>
      <w:bookmarkEnd w:id="140"/>
      <w:bookmarkStart w:id="141" w:name="_Toc184312128"/>
      <w:bookmarkEnd w:id="141"/>
      <w:bookmarkStart w:id="142" w:name="_Toc184312110"/>
      <w:bookmarkEnd w:id="142"/>
      <w:bookmarkStart w:id="143" w:name="_Toc184314448"/>
      <w:bookmarkEnd w:id="143"/>
      <w:bookmarkStart w:id="144" w:name="_Toc184312069"/>
      <w:bookmarkEnd w:id="144"/>
      <w:bookmarkStart w:id="145" w:name="_Toc184310343"/>
      <w:bookmarkEnd w:id="145"/>
      <w:bookmarkStart w:id="146" w:name="_Toc184308067"/>
      <w:bookmarkEnd w:id="146"/>
      <w:bookmarkStart w:id="147" w:name="_Toc184312079"/>
      <w:bookmarkEnd w:id="147"/>
      <w:bookmarkStart w:id="148" w:name="_Toc184314446"/>
      <w:bookmarkEnd w:id="148"/>
      <w:bookmarkStart w:id="149" w:name="_Toc184314482"/>
      <w:bookmarkEnd w:id="149"/>
      <w:bookmarkStart w:id="150" w:name="_Toc184314460"/>
      <w:bookmarkEnd w:id="150"/>
      <w:bookmarkStart w:id="151" w:name="_Toc184310334"/>
      <w:bookmarkEnd w:id="151"/>
      <w:bookmarkStart w:id="152" w:name="_Toc184312073"/>
      <w:bookmarkEnd w:id="152"/>
      <w:bookmarkStart w:id="153" w:name="_Toc184308097"/>
      <w:bookmarkEnd w:id="153"/>
      <w:bookmarkStart w:id="154" w:name="_Toc184308080"/>
      <w:bookmarkEnd w:id="154"/>
      <w:bookmarkStart w:id="155" w:name="_Toc184313280"/>
      <w:bookmarkEnd w:id="155"/>
      <w:bookmarkStart w:id="156" w:name="_Toc184313268"/>
      <w:bookmarkEnd w:id="156"/>
      <w:bookmarkStart w:id="157" w:name="_Toc184314443"/>
      <w:bookmarkEnd w:id="157"/>
      <w:bookmarkStart w:id="158" w:name="_Toc184313269"/>
      <w:bookmarkEnd w:id="158"/>
      <w:bookmarkStart w:id="159" w:name="_Toc184313273"/>
      <w:bookmarkEnd w:id="159"/>
      <w:bookmarkStart w:id="160" w:name="_Toc184310274"/>
      <w:bookmarkEnd w:id="160"/>
      <w:bookmarkStart w:id="161" w:name="_Toc184310319"/>
      <w:bookmarkEnd w:id="161"/>
      <w:bookmarkStart w:id="162" w:name="_Toc184312122"/>
      <w:bookmarkEnd w:id="162"/>
      <w:bookmarkStart w:id="163" w:name="_Toc184314453"/>
      <w:bookmarkEnd w:id="163"/>
      <w:bookmarkStart w:id="164" w:name="_Toc184312118"/>
      <w:bookmarkEnd w:id="164"/>
      <w:bookmarkStart w:id="165" w:name="_Toc184310300"/>
      <w:bookmarkEnd w:id="165"/>
      <w:bookmarkStart w:id="166" w:name="_Toc184313292"/>
      <w:bookmarkEnd w:id="166"/>
      <w:bookmarkStart w:id="167" w:name="_Toc184314442"/>
      <w:bookmarkEnd w:id="167"/>
      <w:bookmarkStart w:id="168" w:name="_Toc184308086"/>
      <w:bookmarkEnd w:id="168"/>
      <w:bookmarkStart w:id="169" w:name="_Toc184312119"/>
      <w:bookmarkEnd w:id="169"/>
      <w:bookmarkStart w:id="170" w:name="_Toc184314474"/>
      <w:bookmarkEnd w:id="170"/>
      <w:bookmarkStart w:id="171" w:name="_Toc184312126"/>
      <w:bookmarkEnd w:id="171"/>
      <w:bookmarkStart w:id="172" w:name="_Toc184314430"/>
      <w:bookmarkEnd w:id="172"/>
      <w:bookmarkStart w:id="173" w:name="_Toc184310273"/>
      <w:bookmarkEnd w:id="173"/>
      <w:bookmarkStart w:id="174" w:name="_Toc184313275"/>
      <w:bookmarkEnd w:id="174"/>
      <w:bookmarkStart w:id="175" w:name="_Toc184312081"/>
      <w:bookmarkEnd w:id="175"/>
      <w:bookmarkStart w:id="176" w:name="_Toc184310295"/>
      <w:bookmarkEnd w:id="176"/>
      <w:bookmarkStart w:id="177" w:name="_Toc184308099"/>
      <w:bookmarkEnd w:id="177"/>
      <w:bookmarkStart w:id="178" w:name="_Toc184310282"/>
      <w:bookmarkEnd w:id="178"/>
      <w:bookmarkStart w:id="179" w:name="_Toc184312098"/>
      <w:bookmarkEnd w:id="179"/>
      <w:bookmarkStart w:id="180" w:name="_Toc184313305"/>
      <w:bookmarkEnd w:id="180"/>
      <w:bookmarkStart w:id="181" w:name="_Toc184308061"/>
      <w:bookmarkEnd w:id="181"/>
      <w:bookmarkStart w:id="182" w:name="_Toc184313254"/>
      <w:bookmarkEnd w:id="182"/>
      <w:bookmarkStart w:id="183" w:name="_Toc184314463"/>
      <w:bookmarkEnd w:id="183"/>
      <w:bookmarkStart w:id="184" w:name="_Toc184312088"/>
      <w:bookmarkEnd w:id="184"/>
      <w:bookmarkStart w:id="185" w:name="_Toc184308102"/>
      <w:bookmarkEnd w:id="185"/>
      <w:bookmarkStart w:id="186" w:name="_Toc184313284"/>
      <w:bookmarkEnd w:id="186"/>
      <w:bookmarkStart w:id="187" w:name="_Toc184314440"/>
      <w:bookmarkEnd w:id="187"/>
      <w:bookmarkStart w:id="188" w:name="_Toc184310313"/>
      <w:bookmarkEnd w:id="188"/>
      <w:bookmarkStart w:id="189" w:name="_Toc184310304"/>
      <w:bookmarkEnd w:id="189"/>
      <w:bookmarkStart w:id="190" w:name="_Toc184308105"/>
      <w:bookmarkEnd w:id="190"/>
      <w:bookmarkStart w:id="191" w:name="_Toc184314451"/>
      <w:bookmarkEnd w:id="191"/>
      <w:bookmarkStart w:id="192" w:name="_Toc184313263"/>
      <w:bookmarkEnd w:id="192"/>
      <w:bookmarkStart w:id="193" w:name="_Toc184314457"/>
      <w:bookmarkEnd w:id="193"/>
      <w:bookmarkStart w:id="194" w:name="_Toc184312121"/>
      <w:bookmarkEnd w:id="194"/>
      <w:bookmarkStart w:id="195" w:name="_Toc184313290"/>
      <w:bookmarkEnd w:id="195"/>
      <w:bookmarkStart w:id="196" w:name="_Toc184314445"/>
      <w:bookmarkEnd w:id="196"/>
      <w:bookmarkStart w:id="197" w:name="_Toc184312103"/>
      <w:bookmarkEnd w:id="197"/>
      <w:bookmarkStart w:id="198" w:name="_Toc184308075"/>
      <w:bookmarkEnd w:id="198"/>
      <w:bookmarkStart w:id="199" w:name="_Toc184313296"/>
      <w:bookmarkEnd w:id="199"/>
      <w:bookmarkStart w:id="200" w:name="_Toc184313274"/>
      <w:bookmarkEnd w:id="200"/>
      <w:bookmarkStart w:id="201" w:name="_Toc184312131"/>
      <w:bookmarkEnd w:id="201"/>
      <w:bookmarkStart w:id="202" w:name="_Toc184313267"/>
      <w:bookmarkEnd w:id="202"/>
      <w:bookmarkStart w:id="203" w:name="_Toc184310281"/>
      <w:bookmarkEnd w:id="203"/>
      <w:bookmarkStart w:id="204" w:name="_Toc184310285"/>
      <w:bookmarkEnd w:id="204"/>
      <w:bookmarkStart w:id="205" w:name="_Toc184312076"/>
      <w:bookmarkEnd w:id="205"/>
      <w:bookmarkStart w:id="206" w:name="_Toc184314481"/>
      <w:bookmarkEnd w:id="206"/>
      <w:bookmarkStart w:id="207" w:name="_Toc184313257"/>
      <w:bookmarkEnd w:id="207"/>
      <w:bookmarkStart w:id="208" w:name="_Toc184312084"/>
      <w:bookmarkEnd w:id="208"/>
      <w:bookmarkStart w:id="209" w:name="_Toc184313242"/>
      <w:bookmarkEnd w:id="209"/>
      <w:bookmarkStart w:id="210" w:name="_Toc184314468"/>
      <w:bookmarkEnd w:id="210"/>
      <w:bookmarkStart w:id="211" w:name="_Toc184312067"/>
      <w:bookmarkEnd w:id="211"/>
      <w:bookmarkStart w:id="212" w:name="_Toc184314458"/>
      <w:bookmarkEnd w:id="212"/>
      <w:bookmarkStart w:id="213" w:name="_Toc184312080"/>
      <w:bookmarkEnd w:id="213"/>
      <w:bookmarkStart w:id="214" w:name="_Toc184308085"/>
      <w:bookmarkEnd w:id="214"/>
      <w:bookmarkStart w:id="215" w:name="_Toc184314423"/>
      <w:bookmarkEnd w:id="215"/>
      <w:bookmarkStart w:id="216" w:name="_Toc184313249"/>
      <w:bookmarkEnd w:id="216"/>
      <w:bookmarkStart w:id="217" w:name="_Toc184308103"/>
      <w:bookmarkEnd w:id="217"/>
      <w:bookmarkStart w:id="218" w:name="_Toc184314467"/>
      <w:bookmarkEnd w:id="218"/>
      <w:bookmarkStart w:id="219" w:name="_Toc184312127"/>
      <w:bookmarkEnd w:id="219"/>
      <w:bookmarkStart w:id="220" w:name="_Toc184312112"/>
      <w:bookmarkEnd w:id="220"/>
      <w:bookmarkStart w:id="221" w:name="_Toc184308044"/>
      <w:bookmarkEnd w:id="221"/>
      <w:bookmarkStart w:id="222" w:name="_Toc184313255"/>
      <w:bookmarkEnd w:id="222"/>
      <w:bookmarkStart w:id="223" w:name="_Toc184314421"/>
      <w:bookmarkEnd w:id="223"/>
      <w:bookmarkStart w:id="224" w:name="_Toc184308036"/>
      <w:bookmarkEnd w:id="224"/>
      <w:bookmarkStart w:id="225" w:name="_Toc184310299"/>
      <w:bookmarkEnd w:id="225"/>
      <w:bookmarkStart w:id="226" w:name="_Toc184312097"/>
      <w:bookmarkEnd w:id="226"/>
      <w:bookmarkStart w:id="227" w:name="_Toc184313261"/>
      <w:bookmarkEnd w:id="227"/>
      <w:bookmarkStart w:id="228" w:name="_Toc184314466"/>
      <w:bookmarkEnd w:id="228"/>
      <w:bookmarkStart w:id="229" w:name="_Toc184314459"/>
      <w:bookmarkEnd w:id="229"/>
      <w:bookmarkStart w:id="230" w:name="_Toc184312107"/>
      <w:bookmarkEnd w:id="230"/>
      <w:bookmarkStart w:id="231" w:name="_Toc184312114"/>
      <w:bookmarkEnd w:id="231"/>
      <w:bookmarkStart w:id="232" w:name="_Toc184313309"/>
      <w:bookmarkEnd w:id="232"/>
      <w:bookmarkStart w:id="233" w:name="_Toc184312105"/>
      <w:bookmarkEnd w:id="233"/>
      <w:bookmarkStart w:id="234" w:name="_Toc184310277"/>
      <w:bookmarkEnd w:id="234"/>
      <w:bookmarkStart w:id="235" w:name="_Toc184308059"/>
      <w:bookmarkEnd w:id="235"/>
      <w:bookmarkStart w:id="236" w:name="_Toc184313291"/>
      <w:bookmarkEnd w:id="236"/>
      <w:bookmarkStart w:id="237" w:name="_Toc184310276"/>
      <w:bookmarkEnd w:id="237"/>
      <w:bookmarkStart w:id="238" w:name="_Toc184312139"/>
      <w:bookmarkEnd w:id="238"/>
      <w:bookmarkStart w:id="239" w:name="_Toc184312094"/>
      <w:bookmarkEnd w:id="239"/>
      <w:bookmarkStart w:id="240" w:name="_Toc184308068"/>
      <w:bookmarkEnd w:id="240"/>
      <w:bookmarkStart w:id="241" w:name="_Toc184313310"/>
      <w:bookmarkEnd w:id="241"/>
      <w:bookmarkStart w:id="242" w:name="_Toc184308040"/>
      <w:bookmarkEnd w:id="242"/>
      <w:bookmarkStart w:id="243" w:name="_Toc184314475"/>
      <w:bookmarkEnd w:id="243"/>
      <w:bookmarkStart w:id="244" w:name="_Toc184312082"/>
      <w:bookmarkEnd w:id="244"/>
      <w:bookmarkStart w:id="245" w:name="_Toc184310342"/>
      <w:bookmarkEnd w:id="245"/>
      <w:bookmarkStart w:id="246" w:name="_Toc184312068"/>
      <w:bookmarkEnd w:id="246"/>
      <w:bookmarkStart w:id="247" w:name="_Toc184312104"/>
      <w:bookmarkEnd w:id="247"/>
      <w:bookmarkStart w:id="248" w:name="_Toc184308046"/>
      <w:bookmarkEnd w:id="248"/>
      <w:bookmarkStart w:id="249" w:name="_Toc184313288"/>
      <w:bookmarkEnd w:id="249"/>
      <w:bookmarkStart w:id="250" w:name="_Toc184310301"/>
      <w:bookmarkEnd w:id="250"/>
      <w:bookmarkStart w:id="251" w:name="_Toc184313248"/>
      <w:bookmarkEnd w:id="251"/>
      <w:bookmarkStart w:id="252" w:name="_Toc184308039"/>
      <w:bookmarkEnd w:id="252"/>
      <w:bookmarkStart w:id="253" w:name="_Toc184312086"/>
      <w:bookmarkEnd w:id="253"/>
      <w:bookmarkStart w:id="254" w:name="_Toc184312136"/>
      <w:bookmarkEnd w:id="254"/>
      <w:bookmarkStart w:id="255" w:name="_Toc184312134"/>
      <w:bookmarkEnd w:id="255"/>
      <w:bookmarkStart w:id="256" w:name="_Toc184314461"/>
      <w:bookmarkEnd w:id="256"/>
      <w:bookmarkStart w:id="257" w:name="_Toc184310283"/>
      <w:bookmarkEnd w:id="257"/>
      <w:bookmarkStart w:id="258" w:name="_Toc184313250"/>
      <w:bookmarkEnd w:id="258"/>
      <w:bookmarkStart w:id="259" w:name="_Toc184310337"/>
      <w:bookmarkEnd w:id="259"/>
      <w:bookmarkStart w:id="260" w:name="_Toc184308049"/>
      <w:bookmarkEnd w:id="260"/>
      <w:bookmarkStart w:id="261" w:name="_Toc184308065"/>
      <w:bookmarkEnd w:id="261"/>
      <w:bookmarkStart w:id="262" w:name="_Toc184308055"/>
      <w:bookmarkEnd w:id="262"/>
      <w:bookmarkStart w:id="263" w:name="_Toc184313287"/>
      <w:bookmarkEnd w:id="263"/>
      <w:bookmarkStart w:id="264" w:name="_Toc184312111"/>
      <w:bookmarkEnd w:id="264"/>
      <w:bookmarkStart w:id="265" w:name="_Toc184313270"/>
      <w:bookmarkEnd w:id="265"/>
      <w:bookmarkStart w:id="266" w:name="_Toc184308106"/>
      <w:bookmarkEnd w:id="266"/>
      <w:bookmarkStart w:id="267" w:name="_Toc184312106"/>
      <w:bookmarkEnd w:id="267"/>
      <w:bookmarkStart w:id="268" w:name="_Toc184313278"/>
      <w:bookmarkEnd w:id="268"/>
      <w:bookmarkStart w:id="269" w:name="_Toc184314478"/>
      <w:bookmarkEnd w:id="269"/>
      <w:bookmarkStart w:id="270" w:name="_Toc184313238"/>
      <w:bookmarkEnd w:id="270"/>
      <w:bookmarkStart w:id="271" w:name="_Toc184314476"/>
      <w:bookmarkEnd w:id="271"/>
      <w:bookmarkStart w:id="272" w:name="_Toc184314464"/>
      <w:bookmarkEnd w:id="272"/>
      <w:bookmarkStart w:id="273" w:name="_Toc184310311"/>
      <w:bookmarkEnd w:id="273"/>
      <w:bookmarkStart w:id="274" w:name="_Toc184314412"/>
      <w:bookmarkEnd w:id="274"/>
      <w:bookmarkStart w:id="275" w:name="_Toc184312090"/>
      <w:bookmarkEnd w:id="275"/>
      <w:bookmarkStart w:id="276" w:name="_Toc184314411"/>
      <w:bookmarkEnd w:id="276"/>
      <w:bookmarkStart w:id="277" w:name="_Toc184310303"/>
      <w:bookmarkEnd w:id="277"/>
      <w:bookmarkStart w:id="278" w:name="_Toc184308101"/>
      <w:bookmarkEnd w:id="278"/>
      <w:bookmarkStart w:id="279" w:name="_Toc184314469"/>
      <w:bookmarkEnd w:id="279"/>
      <w:bookmarkStart w:id="280" w:name="_Toc184310307"/>
      <w:bookmarkEnd w:id="280"/>
      <w:bookmarkStart w:id="281" w:name="_Toc184312124"/>
      <w:bookmarkEnd w:id="281"/>
      <w:bookmarkStart w:id="282" w:name="_Toc184314452"/>
      <w:bookmarkEnd w:id="282"/>
      <w:bookmarkStart w:id="283" w:name="_Toc184308091"/>
      <w:bookmarkEnd w:id="283"/>
      <w:bookmarkStart w:id="284" w:name="_Toc184310296"/>
      <w:bookmarkEnd w:id="284"/>
      <w:bookmarkStart w:id="285" w:name="_Toc184310289"/>
      <w:bookmarkEnd w:id="285"/>
      <w:bookmarkStart w:id="286" w:name="_Toc184308108"/>
      <w:bookmarkEnd w:id="286"/>
      <w:bookmarkStart w:id="287" w:name="_Toc184308072"/>
      <w:bookmarkEnd w:id="287"/>
      <w:bookmarkStart w:id="288" w:name="_Toc184313262"/>
      <w:bookmarkEnd w:id="288"/>
      <w:bookmarkStart w:id="289" w:name="_Toc184314429"/>
      <w:bookmarkEnd w:id="289"/>
      <w:bookmarkStart w:id="290" w:name="_Toc184314424"/>
      <w:bookmarkEnd w:id="290"/>
      <w:bookmarkStart w:id="291" w:name="_Toc184314447"/>
      <w:bookmarkEnd w:id="291"/>
      <w:bookmarkStart w:id="292" w:name="_Toc184314432"/>
      <w:bookmarkEnd w:id="292"/>
      <w:bookmarkStart w:id="293" w:name="_Toc184312095"/>
      <w:bookmarkEnd w:id="293"/>
      <w:bookmarkStart w:id="294" w:name="_Toc184312100"/>
      <w:bookmarkEnd w:id="294"/>
      <w:bookmarkStart w:id="295" w:name="_Toc184308071"/>
      <w:bookmarkEnd w:id="295"/>
      <w:bookmarkStart w:id="296" w:name="_Toc184313299"/>
      <w:bookmarkEnd w:id="296"/>
      <w:bookmarkStart w:id="297" w:name="_Toc184308098"/>
      <w:bookmarkEnd w:id="297"/>
      <w:bookmarkStart w:id="298" w:name="_Toc184310286"/>
      <w:bookmarkEnd w:id="298"/>
      <w:bookmarkStart w:id="299" w:name="_Toc184314454"/>
      <w:bookmarkEnd w:id="299"/>
      <w:bookmarkStart w:id="300" w:name="_Toc184310327"/>
      <w:bookmarkEnd w:id="300"/>
      <w:bookmarkStart w:id="301" w:name="_Toc184310323"/>
      <w:bookmarkEnd w:id="301"/>
      <w:bookmarkStart w:id="302" w:name="_Toc184310332"/>
      <w:bookmarkEnd w:id="302"/>
      <w:bookmarkStart w:id="303" w:name="_Toc184312083"/>
      <w:bookmarkEnd w:id="303"/>
      <w:bookmarkStart w:id="304" w:name="_Toc184314433"/>
      <w:bookmarkEnd w:id="304"/>
      <w:bookmarkStart w:id="305" w:name="_Toc184312096"/>
      <w:bookmarkEnd w:id="305"/>
      <w:bookmarkStart w:id="306" w:name="_Toc184308070"/>
      <w:bookmarkEnd w:id="306"/>
      <w:bookmarkStart w:id="307" w:name="_Toc184313302"/>
      <w:bookmarkEnd w:id="307"/>
      <w:bookmarkStart w:id="308" w:name="_Toc184312138"/>
      <w:bookmarkEnd w:id="308"/>
      <w:bookmarkStart w:id="309" w:name="_Toc184308082"/>
      <w:bookmarkEnd w:id="309"/>
      <w:bookmarkStart w:id="310" w:name="_Toc184310287"/>
      <w:bookmarkEnd w:id="310"/>
      <w:bookmarkStart w:id="311" w:name="_Toc184308095"/>
      <w:bookmarkEnd w:id="311"/>
      <w:bookmarkStart w:id="312" w:name="_Toc184308092"/>
      <w:bookmarkEnd w:id="312"/>
      <w:bookmarkStart w:id="313" w:name="_Toc184314434"/>
      <w:bookmarkEnd w:id="313"/>
      <w:bookmarkStart w:id="314" w:name="_Toc184313266"/>
      <w:bookmarkEnd w:id="314"/>
      <w:bookmarkStart w:id="315" w:name="_Toc184313293"/>
      <w:bookmarkEnd w:id="315"/>
      <w:bookmarkStart w:id="316" w:name="_Toc184308054"/>
      <w:bookmarkEnd w:id="316"/>
      <w:bookmarkStart w:id="317" w:name="_Toc184310322"/>
      <w:bookmarkEnd w:id="317"/>
      <w:bookmarkStart w:id="318" w:name="_Toc184314419"/>
      <w:bookmarkEnd w:id="318"/>
      <w:bookmarkStart w:id="319" w:name="_Toc184312070"/>
      <w:bookmarkEnd w:id="319"/>
      <w:bookmarkStart w:id="320" w:name="_Toc184312125"/>
      <w:bookmarkEnd w:id="320"/>
      <w:bookmarkStart w:id="321" w:name="_Toc184310302"/>
      <w:bookmarkEnd w:id="321"/>
      <w:bookmarkStart w:id="322" w:name="_Toc184308052"/>
      <w:bookmarkEnd w:id="322"/>
      <w:bookmarkStart w:id="323" w:name="_Toc184312109"/>
      <w:bookmarkEnd w:id="323"/>
      <w:bookmarkStart w:id="324" w:name="_Toc184310292"/>
      <w:bookmarkEnd w:id="324"/>
      <w:bookmarkStart w:id="325" w:name="_Toc184310279"/>
      <w:bookmarkEnd w:id="325"/>
      <w:bookmarkStart w:id="326" w:name="_Toc184313279"/>
      <w:bookmarkEnd w:id="326"/>
      <w:bookmarkStart w:id="327" w:name="_Toc184314472"/>
      <w:bookmarkEnd w:id="327"/>
      <w:bookmarkStart w:id="328" w:name="_Toc184310297"/>
      <w:bookmarkEnd w:id="328"/>
      <w:bookmarkStart w:id="329" w:name="_Toc184314479"/>
      <w:bookmarkEnd w:id="329"/>
      <w:bookmarkStart w:id="330" w:name="_Toc184314437"/>
      <w:bookmarkEnd w:id="330"/>
      <w:bookmarkStart w:id="331" w:name="_Toc184312099"/>
      <w:bookmarkEnd w:id="331"/>
      <w:bookmarkStart w:id="332" w:name="_Toc184313285"/>
      <w:bookmarkEnd w:id="332"/>
      <w:bookmarkStart w:id="333" w:name="_Toc184310331"/>
      <w:bookmarkEnd w:id="333"/>
      <w:bookmarkStart w:id="334" w:name="_Toc184310315"/>
      <w:bookmarkEnd w:id="334"/>
      <w:bookmarkStart w:id="335" w:name="_Toc184310318"/>
      <w:bookmarkEnd w:id="335"/>
      <w:bookmarkStart w:id="336" w:name="_Toc184314449"/>
      <w:bookmarkEnd w:id="336"/>
      <w:bookmarkStart w:id="337" w:name="_Toc184308062"/>
      <w:bookmarkEnd w:id="337"/>
      <w:bookmarkStart w:id="338" w:name="_Toc184310339"/>
      <w:bookmarkEnd w:id="338"/>
      <w:bookmarkStart w:id="339" w:name="_Toc184310293"/>
      <w:bookmarkEnd w:id="339"/>
      <w:bookmarkStart w:id="340" w:name="_Toc184308100"/>
      <w:bookmarkEnd w:id="340"/>
      <w:bookmarkStart w:id="341" w:name="_Toc184310298"/>
      <w:bookmarkEnd w:id="341"/>
      <w:bookmarkStart w:id="342" w:name="_Toc184312071"/>
      <w:bookmarkEnd w:id="342"/>
      <w:bookmarkStart w:id="343" w:name="_Toc184314436"/>
      <w:bookmarkEnd w:id="343"/>
      <w:bookmarkStart w:id="344" w:name="_Toc184308037"/>
      <w:bookmarkEnd w:id="344"/>
      <w:bookmarkStart w:id="345" w:name="_Toc184310336"/>
      <w:bookmarkEnd w:id="345"/>
      <w:bookmarkStart w:id="346" w:name="_Toc184314455"/>
      <w:bookmarkEnd w:id="346"/>
      <w:bookmarkStart w:id="347" w:name="_Toc184314465"/>
      <w:bookmarkEnd w:id="347"/>
      <w:bookmarkStart w:id="348" w:name="_Toc184308048"/>
      <w:bookmarkEnd w:id="348"/>
      <w:bookmarkStart w:id="349" w:name="_Toc184310321"/>
      <w:bookmarkEnd w:id="349"/>
      <w:bookmarkStart w:id="350" w:name="_Toc184308089"/>
      <w:bookmarkEnd w:id="350"/>
      <w:bookmarkStart w:id="351" w:name="_Toc184312089"/>
      <w:bookmarkEnd w:id="351"/>
      <w:bookmarkStart w:id="352" w:name="_Toc184308063"/>
      <w:bookmarkEnd w:id="352"/>
      <w:bookmarkStart w:id="353" w:name="_Toc184314414"/>
      <w:bookmarkEnd w:id="353"/>
      <w:bookmarkStart w:id="354" w:name="_Toc184313283"/>
      <w:bookmarkEnd w:id="354"/>
      <w:bookmarkStart w:id="355" w:name="_Toc184308066"/>
      <w:bookmarkEnd w:id="355"/>
      <w:bookmarkStart w:id="356" w:name="_Toc184308045"/>
      <w:bookmarkEnd w:id="356"/>
      <w:bookmarkStart w:id="357" w:name="_Toc184308053"/>
      <w:bookmarkEnd w:id="357"/>
      <w:bookmarkStart w:id="358" w:name="_Toc184312132"/>
      <w:bookmarkEnd w:id="358"/>
      <w:bookmarkStart w:id="359" w:name="_Toc184313243"/>
      <w:bookmarkEnd w:id="359"/>
      <w:bookmarkStart w:id="360" w:name="_Toc184310275"/>
      <w:bookmarkEnd w:id="360"/>
      <w:bookmarkStart w:id="361" w:name="_Toc184312135"/>
      <w:bookmarkEnd w:id="361"/>
      <w:bookmarkStart w:id="362" w:name="_Toc184310329"/>
      <w:bookmarkEnd w:id="362"/>
      <w:bookmarkStart w:id="363" w:name="_Toc184308076"/>
      <w:bookmarkEnd w:id="363"/>
      <w:bookmarkStart w:id="364" w:name="_Toc184310333"/>
      <w:bookmarkEnd w:id="364"/>
      <w:bookmarkStart w:id="365" w:name="_Toc184314416"/>
      <w:bookmarkEnd w:id="365"/>
      <w:bookmarkStart w:id="366" w:name="_Toc184312116"/>
      <w:bookmarkEnd w:id="366"/>
      <w:bookmarkStart w:id="367" w:name="_Toc184313304"/>
      <w:bookmarkEnd w:id="367"/>
      <w:bookmarkStart w:id="368" w:name="_Toc184314422"/>
      <w:bookmarkEnd w:id="368"/>
      <w:bookmarkStart w:id="369" w:name="_Toc184308088"/>
      <w:bookmarkEnd w:id="369"/>
      <w:bookmarkStart w:id="370" w:name="_Toc184310272"/>
      <w:bookmarkEnd w:id="370"/>
      <w:bookmarkStart w:id="371" w:name="_Toc184312075"/>
      <w:bookmarkEnd w:id="371"/>
      <w:bookmarkStart w:id="372" w:name="_Toc184314417"/>
      <w:bookmarkEnd w:id="372"/>
      <w:bookmarkStart w:id="373" w:name="_Toc184310344"/>
      <w:bookmarkEnd w:id="373"/>
      <w:bookmarkStart w:id="374" w:name="_Toc184308051"/>
      <w:bookmarkEnd w:id="374"/>
      <w:bookmarkStart w:id="375" w:name="_Toc184314418"/>
      <w:bookmarkEnd w:id="375"/>
      <w:bookmarkStart w:id="376" w:name="_Toc184310280"/>
      <w:bookmarkEnd w:id="376"/>
      <w:bookmarkStart w:id="377" w:name="_Toc184313241"/>
      <w:bookmarkEnd w:id="377"/>
      <w:bookmarkStart w:id="378" w:name="_Toc184313252"/>
      <w:bookmarkEnd w:id="378"/>
      <w:bookmarkStart w:id="379" w:name="_Toc184313246"/>
      <w:bookmarkEnd w:id="379"/>
      <w:bookmarkStart w:id="380" w:name="_Toc184308073"/>
      <w:bookmarkEnd w:id="380"/>
      <w:bookmarkStart w:id="381" w:name="_Toc184308050"/>
      <w:bookmarkEnd w:id="381"/>
      <w:bookmarkStart w:id="382" w:name="_Toc184308090"/>
      <w:bookmarkEnd w:id="382"/>
      <w:bookmarkStart w:id="383" w:name="_Toc184313308"/>
      <w:bookmarkEnd w:id="383"/>
      <w:bookmarkStart w:id="384" w:name="_Toc184308079"/>
      <w:bookmarkEnd w:id="384"/>
      <w:bookmarkStart w:id="385" w:name="_Toc184310305"/>
      <w:bookmarkEnd w:id="385"/>
      <w:bookmarkStart w:id="386" w:name="_Toc184314462"/>
      <w:bookmarkEnd w:id="386"/>
      <w:bookmarkStart w:id="387" w:name="_Toc184312115"/>
      <w:bookmarkEnd w:id="387"/>
      <w:bookmarkStart w:id="388" w:name="_Toc184313253"/>
      <w:bookmarkEnd w:id="388"/>
      <w:bookmarkStart w:id="389" w:name="_Toc184312091"/>
      <w:bookmarkEnd w:id="389"/>
      <w:bookmarkStart w:id="390" w:name="_Toc184310284"/>
      <w:bookmarkEnd w:id="390"/>
      <w:bookmarkStart w:id="391" w:name="_Toc184310325"/>
      <w:bookmarkEnd w:id="391"/>
      <w:bookmarkStart w:id="392" w:name="_Toc184314413"/>
      <w:bookmarkEnd w:id="392"/>
      <w:bookmarkStart w:id="393" w:name="_Toc184308093"/>
      <w:bookmarkEnd w:id="393"/>
      <w:bookmarkStart w:id="394" w:name="_Toc184313258"/>
      <w:bookmarkEnd w:id="394"/>
      <w:bookmarkStart w:id="395" w:name="_Toc184310310"/>
      <w:bookmarkEnd w:id="395"/>
      <w:bookmarkStart w:id="396" w:name="_Toc184312077"/>
      <w:bookmarkEnd w:id="396"/>
      <w:bookmarkStart w:id="397" w:name="_Toc184314441"/>
      <w:bookmarkEnd w:id="397"/>
      <w:r>
        <w:rPr>
          <w:rFonts w:hint="eastAsia" w:ascii="宋体" w:hAnsi="宋体" w:cs="宋体"/>
          <w:b/>
          <w:color w:val="auto"/>
          <w:sz w:val="36"/>
          <w:szCs w:val="36"/>
          <w:highlight w:val="none"/>
        </w:rPr>
        <w:t>评标办法</w:t>
      </w:r>
    </w:p>
    <w:p w14:paraId="761CFF22">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37"/>
        <w:gridCol w:w="4599"/>
        <w:gridCol w:w="639"/>
        <w:gridCol w:w="897"/>
        <w:gridCol w:w="920"/>
      </w:tblGrid>
      <w:tr w14:paraId="7ECD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3" w:type="pct"/>
            <w:noWrap w:val="0"/>
            <w:vAlign w:val="center"/>
          </w:tcPr>
          <w:p w14:paraId="34DE3E5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序号</w:t>
            </w:r>
          </w:p>
        </w:tc>
        <w:tc>
          <w:tcPr>
            <w:tcW w:w="549" w:type="pct"/>
            <w:noWrap w:val="0"/>
            <w:vAlign w:val="center"/>
          </w:tcPr>
          <w:p w14:paraId="2B42AA7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评分项</w:t>
            </w:r>
          </w:p>
        </w:tc>
        <w:tc>
          <w:tcPr>
            <w:tcW w:w="2696" w:type="pct"/>
            <w:noWrap w:val="0"/>
            <w:vAlign w:val="center"/>
          </w:tcPr>
          <w:p w14:paraId="0B6AAD4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评标标准</w:t>
            </w:r>
          </w:p>
        </w:tc>
        <w:tc>
          <w:tcPr>
            <w:tcW w:w="374" w:type="pct"/>
            <w:noWrap w:val="0"/>
            <w:vAlign w:val="center"/>
          </w:tcPr>
          <w:p w14:paraId="338BD83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权重</w:t>
            </w:r>
          </w:p>
        </w:tc>
        <w:tc>
          <w:tcPr>
            <w:tcW w:w="526" w:type="pct"/>
            <w:noWrap w:val="0"/>
            <w:vAlign w:val="center"/>
          </w:tcPr>
          <w:p w14:paraId="16486BC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主观分/客观分属性</w:t>
            </w:r>
          </w:p>
        </w:tc>
        <w:tc>
          <w:tcPr>
            <w:tcW w:w="539" w:type="pct"/>
            <w:noWrap w:val="0"/>
            <w:vAlign w:val="center"/>
          </w:tcPr>
          <w:p w14:paraId="35D3447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投标文件中评标标准相应的商务技术资料目录</w:t>
            </w:r>
            <w:r>
              <w:rPr>
                <w:rFonts w:hint="eastAsia" w:ascii="宋体" w:hAnsi="宋体" w:eastAsia="宋体" w:cs="宋体"/>
                <w:b/>
                <w:bCs w:val="0"/>
                <w:color w:val="auto"/>
                <w:sz w:val="21"/>
                <w:szCs w:val="21"/>
                <w:highlight w:val="none"/>
                <w:shd w:val="clear" w:color="auto" w:fill="FFFFFF"/>
              </w:rPr>
              <w:t>*</w:t>
            </w:r>
          </w:p>
        </w:tc>
      </w:tr>
      <w:tr w14:paraId="4254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3" w:type="pct"/>
            <w:noWrap w:val="0"/>
            <w:vAlign w:val="center"/>
          </w:tcPr>
          <w:p w14:paraId="29780E8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549" w:type="pct"/>
            <w:noWrap w:val="0"/>
            <w:vAlign w:val="center"/>
          </w:tcPr>
          <w:p w14:paraId="53B0ADEF">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投标业绩（1分）</w:t>
            </w:r>
          </w:p>
        </w:tc>
        <w:tc>
          <w:tcPr>
            <w:tcW w:w="2696" w:type="pct"/>
            <w:noWrap w:val="0"/>
            <w:vAlign w:val="center"/>
          </w:tcPr>
          <w:p w14:paraId="7A5C4ED5">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投标人具有自202</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月1日以来（合同签订时间）呼叫中心服务业绩，每个业绩得0.5分，最高得1分。</w:t>
            </w:r>
          </w:p>
          <w:p w14:paraId="1C9011A5">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说明：根据投标文件中提供的业绩合同进行评分，未提供或不符合以上条件不得分。</w:t>
            </w:r>
          </w:p>
        </w:tc>
        <w:tc>
          <w:tcPr>
            <w:tcW w:w="374" w:type="pct"/>
            <w:noWrap w:val="0"/>
            <w:vAlign w:val="center"/>
          </w:tcPr>
          <w:p w14:paraId="19BAB01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526" w:type="pct"/>
            <w:noWrap w:val="0"/>
            <w:vAlign w:val="center"/>
          </w:tcPr>
          <w:p w14:paraId="6CC8C75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w:t>
            </w:r>
          </w:p>
        </w:tc>
        <w:tc>
          <w:tcPr>
            <w:tcW w:w="539" w:type="pct"/>
            <w:noWrap w:val="0"/>
            <w:vAlign w:val="center"/>
          </w:tcPr>
          <w:p w14:paraId="3D71AB61">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p>
        </w:tc>
      </w:tr>
      <w:tr w14:paraId="6CE22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3" w:type="pct"/>
            <w:noWrap w:val="0"/>
            <w:vAlign w:val="center"/>
          </w:tcPr>
          <w:p w14:paraId="36B9189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549" w:type="pct"/>
            <w:noWrap w:val="0"/>
            <w:vAlign w:val="center"/>
          </w:tcPr>
          <w:p w14:paraId="7A90E85E">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体系认证</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3分</w:t>
            </w:r>
            <w:r>
              <w:rPr>
                <w:rFonts w:hint="eastAsia" w:ascii="宋体" w:hAnsi="宋体" w:cs="宋体"/>
                <w:bCs/>
                <w:color w:val="auto"/>
                <w:sz w:val="21"/>
                <w:szCs w:val="21"/>
                <w:highlight w:val="none"/>
                <w:lang w:eastAsia="zh-CN"/>
              </w:rPr>
              <w:t>）</w:t>
            </w:r>
          </w:p>
          <w:p w14:paraId="0E2CA32B">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color w:val="auto"/>
                <w:sz w:val="21"/>
                <w:szCs w:val="21"/>
                <w:highlight w:val="none"/>
              </w:rPr>
            </w:pPr>
          </w:p>
        </w:tc>
        <w:tc>
          <w:tcPr>
            <w:tcW w:w="2696" w:type="pct"/>
            <w:noWrap w:val="0"/>
            <w:vAlign w:val="center"/>
          </w:tcPr>
          <w:p w14:paraId="1C7B3F7D">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投标人具有有效的质量管理体系认证证书、有效的环境管理体系认证证书、有效的职业健康管理体系认证证书的，每具有一项认证得1分，最高得3分，投标文件中提供证书复印件。</w:t>
            </w:r>
          </w:p>
          <w:p w14:paraId="6121FF3E">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说明：评审时，采购代理机构查询全国认证认可信息公共服务平台（http://cx.cnca.cn/），评标委员会根据查询结果进行评分，不符合以上条件不得分。联合体投标的，联合体主办单位具备才可得分。</w:t>
            </w:r>
          </w:p>
        </w:tc>
        <w:tc>
          <w:tcPr>
            <w:tcW w:w="374" w:type="pct"/>
            <w:noWrap w:val="0"/>
            <w:vAlign w:val="center"/>
          </w:tcPr>
          <w:p w14:paraId="14F716B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526" w:type="pct"/>
            <w:noWrap w:val="0"/>
            <w:vAlign w:val="center"/>
          </w:tcPr>
          <w:p w14:paraId="2FABCBF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w:t>
            </w:r>
          </w:p>
        </w:tc>
        <w:tc>
          <w:tcPr>
            <w:tcW w:w="539" w:type="pct"/>
            <w:noWrap w:val="0"/>
            <w:vAlign w:val="center"/>
          </w:tcPr>
          <w:p w14:paraId="2E8A9175">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p>
        </w:tc>
      </w:tr>
      <w:tr w14:paraId="7041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313" w:type="pct"/>
            <w:vMerge w:val="restart"/>
            <w:noWrap w:val="0"/>
            <w:vAlign w:val="center"/>
          </w:tcPr>
          <w:p w14:paraId="4C912F8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549" w:type="pct"/>
            <w:vMerge w:val="restart"/>
            <w:noWrap w:val="0"/>
            <w:vAlign w:val="center"/>
          </w:tcPr>
          <w:p w14:paraId="14D365F5">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需求分析</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4分</w:t>
            </w:r>
            <w:r>
              <w:rPr>
                <w:rFonts w:hint="eastAsia" w:ascii="宋体" w:hAnsi="宋体" w:cs="宋体"/>
                <w:bCs/>
                <w:color w:val="auto"/>
                <w:sz w:val="21"/>
                <w:szCs w:val="21"/>
                <w:highlight w:val="none"/>
                <w:lang w:eastAsia="zh-CN"/>
              </w:rPr>
              <w:t>）</w:t>
            </w:r>
          </w:p>
        </w:tc>
        <w:tc>
          <w:tcPr>
            <w:tcW w:w="2696" w:type="pct"/>
            <w:noWrap w:val="0"/>
            <w:vAlign w:val="center"/>
          </w:tcPr>
          <w:p w14:paraId="07391EFE">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通过对采购需求分析，投标人对同类项目的了解程度。符合项目实际情况的得2分，基本符合的得1分，有多处不足之处的得0.5分，与实际情况不符的不得分。（2分）</w:t>
            </w:r>
          </w:p>
        </w:tc>
        <w:tc>
          <w:tcPr>
            <w:tcW w:w="374" w:type="pct"/>
            <w:noWrap w:val="0"/>
            <w:vAlign w:val="center"/>
          </w:tcPr>
          <w:p w14:paraId="28F5ED2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2</w:t>
            </w:r>
          </w:p>
        </w:tc>
        <w:tc>
          <w:tcPr>
            <w:tcW w:w="526" w:type="pct"/>
            <w:vMerge w:val="restart"/>
            <w:noWrap w:val="0"/>
            <w:vAlign w:val="center"/>
          </w:tcPr>
          <w:p w14:paraId="1390591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539" w:type="pct"/>
            <w:vMerge w:val="restart"/>
            <w:noWrap w:val="0"/>
            <w:vAlign w:val="center"/>
          </w:tcPr>
          <w:p w14:paraId="35719CBD">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p>
        </w:tc>
      </w:tr>
      <w:tr w14:paraId="5967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313" w:type="pct"/>
            <w:vMerge w:val="continue"/>
            <w:noWrap w:val="0"/>
            <w:vAlign w:val="center"/>
          </w:tcPr>
          <w:p w14:paraId="03577FB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color w:val="auto"/>
                <w:sz w:val="21"/>
                <w:szCs w:val="24"/>
                <w:highlight w:val="none"/>
              </w:rPr>
            </w:pPr>
          </w:p>
        </w:tc>
        <w:tc>
          <w:tcPr>
            <w:tcW w:w="549" w:type="pct"/>
            <w:vMerge w:val="continue"/>
            <w:noWrap w:val="0"/>
            <w:vAlign w:val="center"/>
          </w:tcPr>
          <w:p w14:paraId="5807990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Cs/>
                <w:color w:val="auto"/>
                <w:sz w:val="21"/>
                <w:szCs w:val="21"/>
                <w:highlight w:val="none"/>
              </w:rPr>
            </w:pPr>
          </w:p>
        </w:tc>
        <w:tc>
          <w:tcPr>
            <w:tcW w:w="2696" w:type="pct"/>
            <w:noWrap w:val="0"/>
            <w:vAlign w:val="center"/>
          </w:tcPr>
          <w:p w14:paraId="02071CA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对本项目重要节点、实施难点进行合理分析且分析结论符合项目实际情况的得2分，基本符合的</w:t>
            </w:r>
          </w:p>
          <w:p w14:paraId="31585EEF">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color w:val="auto"/>
                <w:sz w:val="21"/>
                <w:szCs w:val="24"/>
                <w:highlight w:val="none"/>
              </w:rPr>
            </w:pPr>
            <w:r>
              <w:rPr>
                <w:rFonts w:hint="eastAsia" w:ascii="宋体" w:hAnsi="宋体" w:eastAsia="宋体" w:cs="宋体"/>
                <w:bCs/>
                <w:color w:val="auto"/>
                <w:sz w:val="21"/>
                <w:szCs w:val="21"/>
                <w:highlight w:val="none"/>
              </w:rPr>
              <w:t>得1分，有多处不足之处的得0.5分，与实际情况不符的不得分。（2分）</w:t>
            </w:r>
          </w:p>
        </w:tc>
        <w:tc>
          <w:tcPr>
            <w:tcW w:w="374" w:type="pct"/>
            <w:noWrap w:val="0"/>
            <w:vAlign w:val="center"/>
          </w:tcPr>
          <w:p w14:paraId="244C64F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w:t>
            </w:r>
          </w:p>
        </w:tc>
        <w:tc>
          <w:tcPr>
            <w:tcW w:w="526" w:type="pct"/>
            <w:vMerge w:val="continue"/>
            <w:noWrap w:val="0"/>
            <w:vAlign w:val="center"/>
          </w:tcPr>
          <w:p w14:paraId="33CA243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Cs/>
                <w:color w:val="auto"/>
                <w:sz w:val="21"/>
                <w:szCs w:val="21"/>
                <w:highlight w:val="none"/>
              </w:rPr>
            </w:pPr>
          </w:p>
        </w:tc>
        <w:tc>
          <w:tcPr>
            <w:tcW w:w="539" w:type="pct"/>
            <w:vMerge w:val="continue"/>
            <w:noWrap w:val="0"/>
            <w:vAlign w:val="center"/>
          </w:tcPr>
          <w:p w14:paraId="386BE92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Cs/>
                <w:color w:val="auto"/>
                <w:sz w:val="21"/>
                <w:szCs w:val="21"/>
                <w:highlight w:val="none"/>
              </w:rPr>
            </w:pPr>
          </w:p>
        </w:tc>
      </w:tr>
      <w:tr w14:paraId="7008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13" w:type="pct"/>
            <w:vMerge w:val="restart"/>
            <w:noWrap w:val="0"/>
            <w:vAlign w:val="center"/>
          </w:tcPr>
          <w:p w14:paraId="45EDC6F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549" w:type="pct"/>
            <w:vMerge w:val="restart"/>
            <w:noWrap w:val="0"/>
            <w:vAlign w:val="center"/>
          </w:tcPr>
          <w:p w14:paraId="480A20BD">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管理方案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12分</w:t>
            </w:r>
            <w:r>
              <w:rPr>
                <w:rFonts w:hint="eastAsia" w:ascii="宋体" w:hAnsi="宋体" w:cs="宋体"/>
                <w:color w:val="auto"/>
                <w:sz w:val="21"/>
                <w:szCs w:val="21"/>
                <w:highlight w:val="none"/>
                <w:lang w:eastAsia="zh-CN"/>
              </w:rPr>
              <w:t>）</w:t>
            </w:r>
          </w:p>
          <w:p w14:paraId="177E602D">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p>
        </w:tc>
        <w:tc>
          <w:tcPr>
            <w:tcW w:w="2696" w:type="pct"/>
            <w:noWrap w:val="0"/>
            <w:vAlign w:val="center"/>
          </w:tcPr>
          <w:p w14:paraId="19452AAA">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投标人提供的坐席及班次划分合理、重点风险管控措施可行的得3分；基本可行的得2分；有重大缺陷的得1分；不符合或不提供的不得分。（3分）</w:t>
            </w:r>
          </w:p>
        </w:tc>
        <w:tc>
          <w:tcPr>
            <w:tcW w:w="374" w:type="pct"/>
            <w:noWrap w:val="0"/>
            <w:vAlign w:val="center"/>
          </w:tcPr>
          <w:p w14:paraId="493A582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26" w:type="pct"/>
            <w:vMerge w:val="restart"/>
            <w:noWrap w:val="0"/>
            <w:vAlign w:val="center"/>
          </w:tcPr>
          <w:p w14:paraId="206C907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539" w:type="pct"/>
            <w:vMerge w:val="restart"/>
            <w:noWrap w:val="0"/>
            <w:vAlign w:val="center"/>
          </w:tcPr>
          <w:p w14:paraId="377881C7">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p>
        </w:tc>
      </w:tr>
      <w:tr w14:paraId="006F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13" w:type="pct"/>
            <w:vMerge w:val="continue"/>
            <w:noWrap w:val="0"/>
            <w:vAlign w:val="center"/>
          </w:tcPr>
          <w:p w14:paraId="0A30505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color w:val="auto"/>
                <w:sz w:val="21"/>
                <w:szCs w:val="24"/>
                <w:highlight w:val="none"/>
              </w:rPr>
            </w:pPr>
          </w:p>
        </w:tc>
        <w:tc>
          <w:tcPr>
            <w:tcW w:w="549" w:type="pct"/>
            <w:vMerge w:val="continue"/>
            <w:noWrap w:val="0"/>
            <w:vAlign w:val="center"/>
          </w:tcPr>
          <w:p w14:paraId="1946102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color w:val="auto"/>
                <w:sz w:val="21"/>
                <w:szCs w:val="24"/>
                <w:highlight w:val="none"/>
              </w:rPr>
            </w:pPr>
          </w:p>
        </w:tc>
        <w:tc>
          <w:tcPr>
            <w:tcW w:w="2696" w:type="pct"/>
            <w:noWrap w:val="0"/>
            <w:vAlign w:val="center"/>
          </w:tcPr>
          <w:p w14:paraId="610E12A4">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color w:val="auto"/>
                <w:sz w:val="21"/>
                <w:szCs w:val="24"/>
                <w:highlight w:val="none"/>
              </w:rPr>
            </w:pPr>
            <w:r>
              <w:rPr>
                <w:rFonts w:hint="eastAsia" w:ascii="宋体" w:hAnsi="宋体" w:eastAsia="宋体" w:cs="宋体"/>
                <w:color w:val="auto"/>
                <w:sz w:val="21"/>
                <w:szCs w:val="21"/>
                <w:highlight w:val="none"/>
              </w:rPr>
              <w:t>投标人提供的人员招聘方案可行、岗位设置合理、组织管理措施得当的得3分；基本可行的得2分；有重大缺陷的得1分；不符合或不提供的不得分。（3分）</w:t>
            </w:r>
          </w:p>
        </w:tc>
        <w:tc>
          <w:tcPr>
            <w:tcW w:w="374" w:type="pct"/>
            <w:noWrap w:val="0"/>
            <w:vAlign w:val="center"/>
          </w:tcPr>
          <w:p w14:paraId="1DF8448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26" w:type="pct"/>
            <w:vMerge w:val="continue"/>
            <w:noWrap w:val="0"/>
            <w:vAlign w:val="center"/>
          </w:tcPr>
          <w:p w14:paraId="129C7AB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7F65907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54A8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13" w:type="pct"/>
            <w:vMerge w:val="continue"/>
            <w:noWrap w:val="0"/>
            <w:vAlign w:val="center"/>
          </w:tcPr>
          <w:p w14:paraId="0790361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3172340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3B1186F5">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投标人提供的人员培训计划可行、培训内容全面的得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5BF6EE1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FF0000"/>
                <w:sz w:val="21"/>
                <w:szCs w:val="21"/>
                <w:highlight w:val="none"/>
                <w:lang w:val="en-US" w:eastAsia="zh-CN"/>
              </w:rPr>
            </w:pPr>
            <w:r>
              <w:rPr>
                <w:rFonts w:hint="eastAsia" w:ascii="宋体" w:hAnsi="宋体" w:cs="宋体"/>
                <w:color w:val="FF0000"/>
                <w:sz w:val="21"/>
                <w:szCs w:val="21"/>
                <w:highlight w:val="none"/>
                <w:lang w:val="en-US" w:eastAsia="zh-CN"/>
              </w:rPr>
              <w:t>2</w:t>
            </w:r>
          </w:p>
        </w:tc>
        <w:tc>
          <w:tcPr>
            <w:tcW w:w="526" w:type="pct"/>
            <w:vMerge w:val="continue"/>
            <w:noWrap w:val="0"/>
            <w:vAlign w:val="center"/>
          </w:tcPr>
          <w:p w14:paraId="590EE50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49F4F03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0AED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13" w:type="pct"/>
            <w:vMerge w:val="continue"/>
            <w:noWrap w:val="0"/>
            <w:vAlign w:val="center"/>
          </w:tcPr>
          <w:p w14:paraId="00AA57A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75FD272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2E60F61E">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投标人提供的管理制度(含网络、数据安全和保密)合理、绩效考核方案可行的得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0AE33AE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FF0000"/>
                <w:sz w:val="21"/>
                <w:szCs w:val="21"/>
                <w:highlight w:val="none"/>
                <w:lang w:val="en-US" w:eastAsia="zh-CN"/>
              </w:rPr>
            </w:pPr>
            <w:r>
              <w:rPr>
                <w:rFonts w:hint="eastAsia" w:ascii="宋体" w:hAnsi="宋体" w:cs="宋体"/>
                <w:color w:val="FF0000"/>
                <w:sz w:val="21"/>
                <w:szCs w:val="21"/>
                <w:highlight w:val="none"/>
                <w:lang w:val="en-US" w:eastAsia="zh-CN"/>
              </w:rPr>
              <w:t>2</w:t>
            </w:r>
          </w:p>
        </w:tc>
        <w:tc>
          <w:tcPr>
            <w:tcW w:w="526" w:type="pct"/>
            <w:vMerge w:val="continue"/>
            <w:noWrap w:val="0"/>
            <w:vAlign w:val="center"/>
          </w:tcPr>
          <w:p w14:paraId="238BA15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22A671B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5BB6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13" w:type="pct"/>
            <w:vMerge w:val="continue"/>
            <w:noWrap w:val="0"/>
            <w:vAlign w:val="center"/>
          </w:tcPr>
          <w:p w14:paraId="7296B32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484C806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2F0F838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投标人提供的党团组织建设方案与心理健康辅导方案完善、可行的得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0F85F99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FF0000"/>
                <w:sz w:val="21"/>
                <w:szCs w:val="21"/>
                <w:highlight w:val="none"/>
                <w:lang w:val="en-US" w:eastAsia="zh-CN"/>
              </w:rPr>
            </w:pPr>
            <w:r>
              <w:rPr>
                <w:rFonts w:hint="eastAsia" w:ascii="宋体" w:hAnsi="宋体" w:cs="宋体"/>
                <w:color w:val="FF0000"/>
                <w:sz w:val="21"/>
                <w:szCs w:val="21"/>
                <w:highlight w:val="none"/>
                <w:lang w:val="en-US" w:eastAsia="zh-CN"/>
              </w:rPr>
              <w:t>2</w:t>
            </w:r>
          </w:p>
        </w:tc>
        <w:tc>
          <w:tcPr>
            <w:tcW w:w="526" w:type="pct"/>
            <w:vMerge w:val="continue"/>
            <w:noWrap w:val="0"/>
            <w:vAlign w:val="center"/>
          </w:tcPr>
          <w:p w14:paraId="3ECFD2C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0D43BE9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7716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13" w:type="pct"/>
            <w:vMerge w:val="restart"/>
            <w:noWrap w:val="0"/>
            <w:vAlign w:val="center"/>
          </w:tcPr>
          <w:p w14:paraId="175CFCF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549" w:type="pct"/>
            <w:vMerge w:val="restart"/>
            <w:noWrap w:val="0"/>
            <w:vAlign w:val="center"/>
          </w:tcPr>
          <w:p w14:paraId="03739008">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业务流程措施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16分</w:t>
            </w:r>
            <w:r>
              <w:rPr>
                <w:rFonts w:hint="eastAsia" w:ascii="宋体" w:hAnsi="宋体" w:cs="宋体"/>
                <w:color w:val="auto"/>
                <w:sz w:val="21"/>
                <w:szCs w:val="21"/>
                <w:highlight w:val="none"/>
                <w:lang w:eastAsia="zh-CN"/>
              </w:rPr>
              <w:t>）</w:t>
            </w:r>
          </w:p>
          <w:p w14:paraId="002A4CC2">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p>
        </w:tc>
        <w:tc>
          <w:tcPr>
            <w:tcW w:w="2696" w:type="pct"/>
            <w:noWrap w:val="0"/>
            <w:vAlign w:val="center"/>
          </w:tcPr>
          <w:p w14:paraId="7D9F66B8">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投标人提供的</w:t>
            </w:r>
            <w:r>
              <w:rPr>
                <w:rFonts w:hint="eastAsia" w:ascii="宋体" w:hAnsi="宋体" w:cs="宋体"/>
                <w:color w:val="auto"/>
                <w:sz w:val="21"/>
                <w:szCs w:val="21"/>
                <w:highlight w:val="none"/>
                <w:lang w:eastAsia="zh-CN"/>
              </w:rPr>
              <w:t>桐庐县统一政务平台热线</w:t>
            </w:r>
            <w:r>
              <w:rPr>
                <w:rFonts w:hint="eastAsia" w:ascii="宋体" w:hAnsi="宋体" w:eastAsia="宋体" w:cs="宋体"/>
                <w:color w:val="auto"/>
                <w:sz w:val="21"/>
                <w:szCs w:val="21"/>
                <w:highlight w:val="none"/>
              </w:rPr>
              <w:t>电话的接听等措施合理可行的得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25050A1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26" w:type="pct"/>
            <w:vMerge w:val="restart"/>
            <w:noWrap w:val="0"/>
            <w:vAlign w:val="center"/>
          </w:tcPr>
          <w:p w14:paraId="05B7A56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tc>
        <w:tc>
          <w:tcPr>
            <w:tcW w:w="539" w:type="pct"/>
            <w:vMerge w:val="restart"/>
            <w:noWrap w:val="0"/>
            <w:vAlign w:val="center"/>
          </w:tcPr>
          <w:p w14:paraId="306C39E7">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p>
        </w:tc>
      </w:tr>
      <w:tr w14:paraId="4D28B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313" w:type="pct"/>
            <w:vMerge w:val="continue"/>
            <w:noWrap w:val="0"/>
            <w:vAlign w:val="center"/>
          </w:tcPr>
          <w:p w14:paraId="074943A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color w:val="auto"/>
                <w:sz w:val="21"/>
                <w:szCs w:val="24"/>
                <w:highlight w:val="none"/>
              </w:rPr>
            </w:pPr>
          </w:p>
        </w:tc>
        <w:tc>
          <w:tcPr>
            <w:tcW w:w="549" w:type="pct"/>
            <w:vMerge w:val="continue"/>
            <w:noWrap w:val="0"/>
            <w:vAlign w:val="center"/>
          </w:tcPr>
          <w:p w14:paraId="59D8EF6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color w:val="auto"/>
                <w:sz w:val="21"/>
                <w:szCs w:val="24"/>
                <w:highlight w:val="none"/>
              </w:rPr>
            </w:pPr>
          </w:p>
        </w:tc>
        <w:tc>
          <w:tcPr>
            <w:tcW w:w="2696" w:type="pct"/>
            <w:noWrap w:val="0"/>
            <w:vAlign w:val="center"/>
          </w:tcPr>
          <w:p w14:paraId="2DFEF93B">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color w:val="auto"/>
                <w:sz w:val="21"/>
                <w:szCs w:val="24"/>
                <w:highlight w:val="none"/>
              </w:rPr>
            </w:pPr>
            <w:r>
              <w:rPr>
                <w:rFonts w:hint="eastAsia" w:ascii="宋体" w:hAnsi="宋体" w:eastAsia="宋体" w:cs="宋体"/>
                <w:color w:val="auto"/>
                <w:sz w:val="21"/>
                <w:szCs w:val="21"/>
                <w:highlight w:val="none"/>
              </w:rPr>
              <w:t>投标人提供的网络、微信、APP、短信等渠道的群众各类诉求的受理等措施合理可行的得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315F8D4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26" w:type="pct"/>
            <w:vMerge w:val="continue"/>
            <w:noWrap w:val="0"/>
            <w:vAlign w:val="center"/>
          </w:tcPr>
          <w:p w14:paraId="4EA712B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54C73A4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527FF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313" w:type="pct"/>
            <w:vMerge w:val="continue"/>
            <w:noWrap w:val="0"/>
            <w:vAlign w:val="center"/>
          </w:tcPr>
          <w:p w14:paraId="422480E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6AD907C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29DDBCD0">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投标人提供的重大紧急突发信息预处理措施合理可行的得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分；不符合或不提供的不得分。</w:t>
            </w:r>
            <w:r>
              <w:rPr>
                <w:rFonts w:hint="eastAsia" w:ascii="宋体" w:hAnsi="宋体" w:eastAsia="宋体" w:cs="宋体"/>
                <w:color w:val="auto"/>
                <w:sz w:val="21"/>
                <w:szCs w:val="21"/>
                <w:highlight w:val="none"/>
                <w:shd w:val="clear" w:color="auto" w:fill="auto"/>
              </w:rPr>
              <w:t>（</w:t>
            </w:r>
            <w:r>
              <w:rPr>
                <w:rFonts w:hint="eastAsia" w:ascii="宋体" w:hAnsi="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分）</w:t>
            </w:r>
          </w:p>
        </w:tc>
        <w:tc>
          <w:tcPr>
            <w:tcW w:w="374" w:type="pct"/>
            <w:noWrap w:val="0"/>
            <w:vAlign w:val="center"/>
          </w:tcPr>
          <w:p w14:paraId="60E514D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26" w:type="pct"/>
            <w:vMerge w:val="continue"/>
            <w:noWrap w:val="0"/>
            <w:vAlign w:val="center"/>
          </w:tcPr>
          <w:p w14:paraId="5DB10D0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4DA1C1D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5AF9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313" w:type="pct"/>
            <w:vMerge w:val="continue"/>
            <w:noWrap w:val="0"/>
            <w:vAlign w:val="center"/>
          </w:tcPr>
          <w:p w14:paraId="4B1BD39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32DD110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2BBE76AD">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投标人提供的预测预警、分析研判、受理情况措施合理可行的得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分；不符合或不提供的不得分。</w:t>
            </w:r>
            <w:r>
              <w:rPr>
                <w:rFonts w:hint="eastAsia" w:ascii="宋体" w:hAnsi="宋体" w:eastAsia="宋体" w:cs="宋体"/>
                <w:color w:val="auto"/>
                <w:sz w:val="21"/>
                <w:szCs w:val="21"/>
                <w:highlight w:val="none"/>
                <w:shd w:val="clear" w:color="auto" w:fill="auto"/>
              </w:rPr>
              <w:t>（</w:t>
            </w:r>
            <w:r>
              <w:rPr>
                <w:rFonts w:hint="eastAsia" w:ascii="宋体" w:hAnsi="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分）</w:t>
            </w:r>
          </w:p>
        </w:tc>
        <w:tc>
          <w:tcPr>
            <w:tcW w:w="374" w:type="pct"/>
            <w:noWrap w:val="0"/>
            <w:vAlign w:val="center"/>
          </w:tcPr>
          <w:p w14:paraId="2482216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26" w:type="pct"/>
            <w:vMerge w:val="continue"/>
            <w:noWrap w:val="0"/>
            <w:vAlign w:val="center"/>
          </w:tcPr>
          <w:p w14:paraId="3D63944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1B1A318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40F7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313" w:type="pct"/>
            <w:vMerge w:val="continue"/>
            <w:noWrap w:val="0"/>
            <w:vAlign w:val="center"/>
          </w:tcPr>
          <w:p w14:paraId="566E724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59ACC81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798FBFA8">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投标人提供的知识库维护更新措施合理可行的得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246DFC8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26" w:type="pct"/>
            <w:vMerge w:val="continue"/>
            <w:noWrap w:val="0"/>
            <w:vAlign w:val="center"/>
          </w:tcPr>
          <w:p w14:paraId="2B54950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6FBAE7D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5E98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313" w:type="pct"/>
            <w:vMerge w:val="continue"/>
            <w:noWrap w:val="0"/>
            <w:vAlign w:val="center"/>
          </w:tcPr>
          <w:p w14:paraId="27073CA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07041F5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1C07CC4E">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投标人提供的信息宣传报道和质量评估措施合理可行的得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5B3C87C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26" w:type="pct"/>
            <w:vMerge w:val="continue"/>
            <w:noWrap w:val="0"/>
            <w:vAlign w:val="center"/>
          </w:tcPr>
          <w:p w14:paraId="006FB31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484ACDD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5B02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313" w:type="pct"/>
            <w:vMerge w:val="continue"/>
            <w:noWrap w:val="0"/>
            <w:vAlign w:val="center"/>
          </w:tcPr>
          <w:p w14:paraId="7796685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121A1A6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5D5F745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投标人提供的智能辅助开发工作措施合理可行的得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4236234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26" w:type="pct"/>
            <w:vMerge w:val="continue"/>
            <w:noWrap w:val="0"/>
            <w:vAlign w:val="center"/>
          </w:tcPr>
          <w:p w14:paraId="03863CE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08E823B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21F8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313" w:type="pct"/>
            <w:vMerge w:val="restart"/>
            <w:noWrap w:val="0"/>
            <w:vAlign w:val="center"/>
          </w:tcPr>
          <w:p w14:paraId="4B59CE1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549" w:type="pct"/>
            <w:vMerge w:val="restart"/>
            <w:noWrap w:val="0"/>
            <w:vAlign w:val="center"/>
          </w:tcPr>
          <w:p w14:paraId="2BAE6AD0">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业务指标达成措施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31分</w:t>
            </w:r>
            <w:r>
              <w:rPr>
                <w:rFonts w:hint="eastAsia" w:ascii="宋体" w:hAnsi="宋体" w:cs="宋体"/>
                <w:color w:val="auto"/>
                <w:sz w:val="21"/>
                <w:szCs w:val="21"/>
                <w:highlight w:val="none"/>
                <w:lang w:eastAsia="zh-CN"/>
              </w:rPr>
              <w:t>）</w:t>
            </w:r>
          </w:p>
          <w:p w14:paraId="0710D9FC">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p>
        </w:tc>
        <w:tc>
          <w:tcPr>
            <w:tcW w:w="2696" w:type="pct"/>
            <w:noWrap w:val="0"/>
            <w:vAlign w:val="center"/>
          </w:tcPr>
          <w:p w14:paraId="22336357">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有效接通率</w:t>
            </w:r>
            <w:r>
              <w:rPr>
                <w:rFonts w:hint="eastAsia" w:ascii="宋体" w:hAnsi="宋体" w:eastAsia="宋体" w:cs="宋体"/>
                <w:color w:val="auto"/>
                <w:sz w:val="21"/>
                <w:szCs w:val="21"/>
                <w:highlight w:val="none"/>
                <w:shd w:val="clear" w:color="auto" w:fill="auto"/>
              </w:rPr>
              <w:t>≥9</w:t>
            </w:r>
            <w:r>
              <w:rPr>
                <w:rFonts w:hint="eastAsia" w:ascii="宋体" w:hAnsi="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rPr>
              <w:t>的解决措施合理可行的得3分；基本可行的得2分；有重大缺陷的得1分；不符合或不提供的不得分。（3分）</w:t>
            </w:r>
          </w:p>
        </w:tc>
        <w:tc>
          <w:tcPr>
            <w:tcW w:w="374" w:type="pct"/>
            <w:noWrap w:val="0"/>
            <w:vAlign w:val="center"/>
          </w:tcPr>
          <w:p w14:paraId="1E9274B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26" w:type="pct"/>
            <w:vMerge w:val="restart"/>
            <w:noWrap w:val="0"/>
            <w:vAlign w:val="center"/>
          </w:tcPr>
          <w:p w14:paraId="395EA2F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539" w:type="pct"/>
            <w:vMerge w:val="restart"/>
            <w:noWrap w:val="0"/>
            <w:vAlign w:val="center"/>
          </w:tcPr>
          <w:p w14:paraId="456D0CFF">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p>
        </w:tc>
      </w:tr>
      <w:tr w14:paraId="3528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313" w:type="pct"/>
            <w:vMerge w:val="continue"/>
            <w:noWrap w:val="0"/>
            <w:vAlign w:val="center"/>
          </w:tcPr>
          <w:p w14:paraId="697EFE9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color w:val="auto"/>
                <w:sz w:val="21"/>
                <w:szCs w:val="24"/>
                <w:highlight w:val="none"/>
              </w:rPr>
            </w:pPr>
          </w:p>
        </w:tc>
        <w:tc>
          <w:tcPr>
            <w:tcW w:w="549" w:type="pct"/>
            <w:vMerge w:val="continue"/>
            <w:noWrap w:val="0"/>
            <w:vAlign w:val="center"/>
          </w:tcPr>
          <w:p w14:paraId="088CD9A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color w:val="auto"/>
                <w:sz w:val="21"/>
                <w:szCs w:val="24"/>
                <w:highlight w:val="none"/>
              </w:rPr>
            </w:pPr>
          </w:p>
        </w:tc>
        <w:tc>
          <w:tcPr>
            <w:tcW w:w="2696" w:type="pct"/>
            <w:noWrap w:val="0"/>
            <w:vAlign w:val="center"/>
          </w:tcPr>
          <w:p w14:paraId="53D2955E">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color w:val="auto"/>
                <w:sz w:val="21"/>
                <w:szCs w:val="24"/>
                <w:highlight w:val="none"/>
              </w:rPr>
            </w:pPr>
            <w:r>
              <w:rPr>
                <w:rFonts w:hint="eastAsia" w:ascii="宋体" w:hAnsi="宋体" w:eastAsia="宋体" w:cs="宋体"/>
                <w:color w:val="auto"/>
                <w:sz w:val="21"/>
                <w:szCs w:val="21"/>
                <w:highlight w:val="none"/>
              </w:rPr>
              <w:t>上导准确率≥95％的解决措施合理可行的得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4437A65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26" w:type="pct"/>
            <w:vMerge w:val="continue"/>
            <w:noWrap w:val="0"/>
            <w:vAlign w:val="center"/>
          </w:tcPr>
          <w:p w14:paraId="730CC1F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15BC482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5276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13" w:type="pct"/>
            <w:vMerge w:val="continue"/>
            <w:noWrap w:val="0"/>
            <w:vAlign w:val="center"/>
          </w:tcPr>
          <w:p w14:paraId="0AACD59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14AD78D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0A03F841">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受理质量满意率</w:t>
            </w:r>
            <w:r>
              <w:rPr>
                <w:rFonts w:hint="eastAsia" w:ascii="宋体" w:hAnsi="宋体" w:eastAsia="宋体" w:cs="宋体"/>
                <w:color w:val="auto"/>
                <w:sz w:val="21"/>
                <w:szCs w:val="21"/>
                <w:highlight w:val="none"/>
                <w:shd w:val="clear" w:color="auto" w:fill="auto"/>
              </w:rPr>
              <w:t>≥</w:t>
            </w:r>
            <w:r>
              <w:rPr>
                <w:rFonts w:hint="eastAsia" w:ascii="宋体" w:hAnsi="宋体" w:cs="宋体"/>
                <w:color w:val="auto"/>
                <w:sz w:val="21"/>
                <w:szCs w:val="21"/>
                <w:highlight w:val="none"/>
                <w:shd w:val="clear" w:color="auto" w:fill="auto"/>
                <w:lang w:val="en-US" w:eastAsia="zh-CN"/>
              </w:rPr>
              <w:t>99</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rPr>
              <w:t>的解决措施合理可行的得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1D127C5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26" w:type="pct"/>
            <w:vMerge w:val="continue"/>
            <w:noWrap w:val="0"/>
            <w:vAlign w:val="center"/>
          </w:tcPr>
          <w:p w14:paraId="37600A5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62D6CEC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6B88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313" w:type="pct"/>
            <w:vMerge w:val="continue"/>
            <w:noWrap w:val="0"/>
            <w:vAlign w:val="center"/>
          </w:tcPr>
          <w:p w14:paraId="37EF415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3DC3A53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27D5DE7E">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重复交办准确率≥95％的解决措施合理可行的得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2E17DF8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26" w:type="pct"/>
            <w:vMerge w:val="continue"/>
            <w:noWrap w:val="0"/>
            <w:vAlign w:val="center"/>
          </w:tcPr>
          <w:p w14:paraId="63352FA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5632982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62A3E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313" w:type="pct"/>
            <w:vMerge w:val="continue"/>
            <w:noWrap w:val="0"/>
            <w:vAlign w:val="center"/>
          </w:tcPr>
          <w:p w14:paraId="0B25CB7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7C51018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3488671B">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咨询事项直接答复率≥95％的解决措施合理可行的得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168DB8D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26" w:type="pct"/>
            <w:vMerge w:val="continue"/>
            <w:noWrap w:val="0"/>
            <w:vAlign w:val="center"/>
          </w:tcPr>
          <w:p w14:paraId="2A89A4B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4E93FCF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1BD2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13" w:type="pct"/>
            <w:vMerge w:val="continue"/>
            <w:noWrap w:val="0"/>
            <w:vAlign w:val="center"/>
          </w:tcPr>
          <w:p w14:paraId="70BDA39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2F7A2C7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05D15C14">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GB" w:eastAsia="zh-CN"/>
              </w:rPr>
              <w:t>质量问题件</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解决措施合理可行的得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分；不符合或不提供的不得分。（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374" w:type="pct"/>
            <w:noWrap w:val="0"/>
            <w:vAlign w:val="center"/>
          </w:tcPr>
          <w:p w14:paraId="520EF92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526" w:type="pct"/>
            <w:vMerge w:val="continue"/>
            <w:noWrap w:val="0"/>
            <w:vAlign w:val="center"/>
          </w:tcPr>
          <w:p w14:paraId="533F35A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36A21A5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7839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3" w:type="pct"/>
            <w:vMerge w:val="continue"/>
            <w:noWrap w:val="0"/>
            <w:vAlign w:val="center"/>
          </w:tcPr>
          <w:p w14:paraId="21EC4F4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3EA79B6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33ED386A">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GB" w:eastAsia="zh-CN"/>
              </w:rPr>
              <w:t>责任投诉</w:t>
            </w:r>
            <w:r>
              <w:rPr>
                <w:rFonts w:hint="eastAsia" w:ascii="宋体" w:hAnsi="宋体" w:eastAsia="宋体" w:cs="宋体"/>
                <w:color w:val="auto"/>
                <w:sz w:val="21"/>
                <w:szCs w:val="21"/>
                <w:highlight w:val="none"/>
                <w:lang w:val="en-US" w:eastAsia="zh-CN"/>
              </w:rPr>
              <w:t>的解决措施</w:t>
            </w:r>
            <w:r>
              <w:rPr>
                <w:rFonts w:hint="eastAsia" w:ascii="宋体" w:hAnsi="宋体" w:eastAsia="宋体" w:cs="宋体"/>
                <w:color w:val="auto"/>
                <w:sz w:val="21"/>
                <w:szCs w:val="21"/>
                <w:highlight w:val="none"/>
              </w:rPr>
              <w:t>解决措施合理可行的得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分；不符合或不提供的不得分。（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374" w:type="pct"/>
            <w:noWrap w:val="0"/>
            <w:vAlign w:val="center"/>
          </w:tcPr>
          <w:p w14:paraId="556163F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526" w:type="pct"/>
            <w:vMerge w:val="continue"/>
            <w:noWrap w:val="0"/>
            <w:vAlign w:val="center"/>
          </w:tcPr>
          <w:p w14:paraId="24654C7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2AB909E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6629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313" w:type="pct"/>
            <w:vMerge w:val="continue"/>
            <w:noWrap w:val="0"/>
            <w:vAlign w:val="center"/>
          </w:tcPr>
          <w:p w14:paraId="1485A05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6E97F00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25178D0F">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GB" w:eastAsia="zh-CN"/>
              </w:rPr>
              <w:t>交办单退回率≤2</w:t>
            </w:r>
            <w:r>
              <w:rPr>
                <w:rFonts w:hint="eastAsia" w:ascii="宋体" w:hAnsi="宋体" w:eastAsia="宋体" w:cs="宋体"/>
                <w:color w:val="auto"/>
                <w:sz w:val="21"/>
                <w:szCs w:val="21"/>
                <w:highlight w:val="none"/>
              </w:rPr>
              <w:t>的解决措施合理可行的得3分；基本可行的得2分；有重大缺陷的得1分；不符合或不提供的不得分。（3分）</w:t>
            </w:r>
          </w:p>
        </w:tc>
        <w:tc>
          <w:tcPr>
            <w:tcW w:w="374" w:type="pct"/>
            <w:noWrap w:val="0"/>
            <w:vAlign w:val="center"/>
          </w:tcPr>
          <w:p w14:paraId="2604D56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26" w:type="pct"/>
            <w:vMerge w:val="continue"/>
            <w:noWrap w:val="0"/>
            <w:vAlign w:val="center"/>
          </w:tcPr>
          <w:p w14:paraId="5739427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1986AEA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2FC2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313" w:type="pct"/>
            <w:vMerge w:val="continue"/>
            <w:noWrap w:val="0"/>
            <w:vAlign w:val="center"/>
          </w:tcPr>
          <w:p w14:paraId="02B6E53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61C54CA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7E545B7E">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人员流失率≤</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0%的解决措施合理可行的得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分；基本可行的得1分；有重大缺陷的得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分；不符合或不提供的不得分。（</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374" w:type="pct"/>
            <w:noWrap w:val="0"/>
            <w:vAlign w:val="center"/>
          </w:tcPr>
          <w:p w14:paraId="283D4F9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26" w:type="pct"/>
            <w:vMerge w:val="continue"/>
            <w:noWrap w:val="0"/>
            <w:vAlign w:val="center"/>
          </w:tcPr>
          <w:p w14:paraId="1856484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43238E3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616CE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313" w:type="pct"/>
            <w:vMerge w:val="continue"/>
            <w:noWrap w:val="0"/>
            <w:vAlign w:val="center"/>
          </w:tcPr>
          <w:p w14:paraId="7822B80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60F73A3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65A73E7A">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GB" w:eastAsia="zh-CN"/>
              </w:rPr>
              <w:t>人员稳定率≥8</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GB" w:eastAsia="zh-CN"/>
              </w:rPr>
              <w:t>%</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解决措施合理可行的得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分；基本可行的得1分；有重大缺陷的得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1C8C5D5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26" w:type="pct"/>
            <w:vMerge w:val="continue"/>
            <w:noWrap w:val="0"/>
            <w:vAlign w:val="center"/>
          </w:tcPr>
          <w:p w14:paraId="06055E6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5FBADC1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75E8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313" w:type="pct"/>
            <w:vMerge w:val="continue"/>
            <w:noWrap w:val="0"/>
            <w:vAlign w:val="center"/>
          </w:tcPr>
          <w:p w14:paraId="7FBAF2C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377839E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14F177BA">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紧急类工单转送解决措施合理可行的得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不可行</w:t>
            </w:r>
            <w:r>
              <w:rPr>
                <w:rFonts w:hint="eastAsia" w:ascii="宋体" w:hAnsi="宋体" w:eastAsia="宋体" w:cs="宋体"/>
                <w:color w:val="auto"/>
                <w:sz w:val="21"/>
                <w:szCs w:val="21"/>
                <w:highlight w:val="none"/>
              </w:rPr>
              <w:t>或不提供的不得分。（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374" w:type="pct"/>
            <w:noWrap w:val="0"/>
            <w:vAlign w:val="center"/>
          </w:tcPr>
          <w:p w14:paraId="2EF58FE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526" w:type="pct"/>
            <w:vMerge w:val="continue"/>
            <w:noWrap w:val="0"/>
            <w:vAlign w:val="center"/>
          </w:tcPr>
          <w:p w14:paraId="2DA26BF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16AE5D3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2FF0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313" w:type="pct"/>
            <w:vMerge w:val="continue"/>
            <w:noWrap w:val="0"/>
            <w:vAlign w:val="center"/>
          </w:tcPr>
          <w:p w14:paraId="72B7B81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63F53FE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44059179">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GB" w:eastAsia="zh-CN"/>
              </w:rPr>
              <w:t>人工接听通话时长≥8</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en-GB" w:eastAsia="zh-CN"/>
              </w:rPr>
              <w:t>%</w:t>
            </w:r>
            <w:r>
              <w:rPr>
                <w:rFonts w:hint="eastAsia" w:ascii="宋体" w:hAnsi="宋体" w:eastAsia="宋体" w:cs="宋体"/>
                <w:color w:val="auto"/>
                <w:sz w:val="21"/>
                <w:szCs w:val="21"/>
                <w:highlight w:val="none"/>
                <w:lang w:val="en-US" w:eastAsia="zh-CN"/>
              </w:rPr>
              <w:t>解决措施</w:t>
            </w:r>
            <w:r>
              <w:rPr>
                <w:rFonts w:hint="eastAsia" w:ascii="宋体" w:hAnsi="宋体" w:eastAsia="宋体" w:cs="宋体"/>
                <w:color w:val="auto"/>
                <w:sz w:val="21"/>
                <w:szCs w:val="21"/>
                <w:highlight w:val="none"/>
              </w:rPr>
              <w:t>合理可行的得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分；有重大缺陷的得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26CB83F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26" w:type="pct"/>
            <w:vMerge w:val="continue"/>
            <w:noWrap w:val="0"/>
            <w:vAlign w:val="center"/>
          </w:tcPr>
          <w:p w14:paraId="289B922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7A1D97C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0099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13" w:type="pct"/>
            <w:vMerge w:val="continue"/>
            <w:noWrap w:val="0"/>
            <w:vAlign w:val="center"/>
          </w:tcPr>
          <w:p w14:paraId="23B1183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3A815C8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6AA528C9">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工作纪律解决解决措施合理可行的得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不可行</w:t>
            </w:r>
            <w:r>
              <w:rPr>
                <w:rFonts w:hint="eastAsia" w:ascii="宋体" w:hAnsi="宋体" w:eastAsia="宋体" w:cs="宋体"/>
                <w:color w:val="auto"/>
                <w:sz w:val="21"/>
                <w:szCs w:val="21"/>
                <w:highlight w:val="none"/>
              </w:rPr>
              <w:t>或不提供的不得分。（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374" w:type="pct"/>
            <w:noWrap w:val="0"/>
            <w:vAlign w:val="center"/>
          </w:tcPr>
          <w:p w14:paraId="4829FC1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526" w:type="pct"/>
            <w:vMerge w:val="continue"/>
            <w:noWrap w:val="0"/>
            <w:vAlign w:val="center"/>
          </w:tcPr>
          <w:p w14:paraId="52D86D0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62C3667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1CE0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13" w:type="pct"/>
            <w:vMerge w:val="continue"/>
            <w:noWrap w:val="0"/>
            <w:vAlign w:val="center"/>
          </w:tcPr>
          <w:p w14:paraId="51439D3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74AC6E2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18DCFA44">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针对相关业务的保密方案，措施合理可行的得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742F192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26" w:type="pct"/>
            <w:vMerge w:val="continue"/>
            <w:noWrap w:val="0"/>
            <w:vAlign w:val="center"/>
          </w:tcPr>
          <w:p w14:paraId="1B98565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462ADBF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7C11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313" w:type="pct"/>
            <w:vMerge w:val="continue"/>
            <w:noWrap w:val="0"/>
            <w:vAlign w:val="center"/>
          </w:tcPr>
          <w:p w14:paraId="16AD378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2EC3DE0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2480B76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保证故障修复相应故障级别响应时间及服务要求的方案、措施。措施合理可行的得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79F827A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w:t>
            </w:r>
          </w:p>
        </w:tc>
        <w:tc>
          <w:tcPr>
            <w:tcW w:w="526" w:type="pct"/>
            <w:vMerge w:val="continue"/>
            <w:noWrap w:val="0"/>
            <w:vAlign w:val="center"/>
          </w:tcPr>
          <w:p w14:paraId="0E6BE6A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2654349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545E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313" w:type="pct"/>
            <w:vMerge w:val="continue"/>
            <w:noWrap w:val="0"/>
            <w:vAlign w:val="center"/>
          </w:tcPr>
          <w:p w14:paraId="15D9C83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28F52F3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7F32BD8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确保</w:t>
            </w:r>
            <w:r>
              <w:rPr>
                <w:rFonts w:hint="eastAsia" w:ascii="宋体" w:hAnsi="宋体" w:eastAsia="宋体" w:cs="宋体"/>
                <w:color w:val="auto"/>
                <w:sz w:val="21"/>
                <w:szCs w:val="21"/>
                <w:highlight w:val="none"/>
                <w:lang w:val="en-GB" w:eastAsia="zh-CN"/>
              </w:rPr>
              <w:t>工作量要求</w:t>
            </w:r>
            <w:r>
              <w:rPr>
                <w:rFonts w:hint="eastAsia" w:ascii="宋体" w:hAnsi="宋体" w:eastAsia="宋体" w:cs="宋体"/>
                <w:color w:val="auto"/>
                <w:sz w:val="21"/>
                <w:szCs w:val="21"/>
                <w:highlight w:val="none"/>
                <w:lang w:val="en-US" w:eastAsia="zh-CN"/>
              </w:rPr>
              <w:t>达到采购标准的解决措施</w:t>
            </w:r>
            <w:r>
              <w:rPr>
                <w:rFonts w:hint="eastAsia" w:ascii="宋体" w:hAnsi="宋体" w:eastAsia="宋体" w:cs="宋体"/>
                <w:color w:val="auto"/>
                <w:sz w:val="21"/>
                <w:szCs w:val="21"/>
                <w:highlight w:val="none"/>
              </w:rPr>
              <w:t>解决措施合理可行的得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分；有重大缺陷的得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3AEF285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26" w:type="pct"/>
            <w:vMerge w:val="continue"/>
            <w:noWrap w:val="0"/>
            <w:vAlign w:val="center"/>
          </w:tcPr>
          <w:p w14:paraId="7444DB6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513B595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171B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313" w:type="pct"/>
            <w:vMerge w:val="restart"/>
            <w:noWrap w:val="0"/>
            <w:vAlign w:val="center"/>
          </w:tcPr>
          <w:p w14:paraId="7A96717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549" w:type="pct"/>
            <w:vMerge w:val="restart"/>
            <w:noWrap w:val="0"/>
            <w:vAlign w:val="center"/>
          </w:tcPr>
          <w:p w14:paraId="5678D612">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服务保障措施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15分</w:t>
            </w:r>
            <w:r>
              <w:rPr>
                <w:rFonts w:hint="eastAsia" w:ascii="宋体" w:hAnsi="宋体" w:cs="宋体"/>
                <w:color w:val="auto"/>
                <w:sz w:val="21"/>
                <w:szCs w:val="21"/>
                <w:highlight w:val="none"/>
                <w:lang w:eastAsia="zh-CN"/>
              </w:rPr>
              <w:t>）</w:t>
            </w:r>
          </w:p>
          <w:p w14:paraId="71CB6205">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p>
        </w:tc>
        <w:tc>
          <w:tcPr>
            <w:tcW w:w="2696" w:type="pct"/>
            <w:noWrap w:val="0"/>
            <w:vAlign w:val="center"/>
          </w:tcPr>
          <w:p w14:paraId="3BDD835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合同签订之日起</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0天内</w:t>
            </w:r>
            <w:r>
              <w:rPr>
                <w:rFonts w:hint="eastAsia" w:ascii="宋体" w:hAnsi="宋体" w:eastAsia="宋体" w:cs="宋体"/>
                <w:color w:val="auto"/>
                <w:sz w:val="21"/>
                <w:szCs w:val="21"/>
                <w:highlight w:val="none"/>
              </w:rPr>
              <w:t>，投标人确保服务人员实际到岗率≥80%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措施</w:t>
            </w:r>
            <w:r>
              <w:rPr>
                <w:rFonts w:hint="eastAsia" w:ascii="宋体" w:hAnsi="宋体" w:eastAsia="宋体" w:cs="宋体"/>
                <w:color w:val="auto"/>
                <w:sz w:val="21"/>
                <w:szCs w:val="21"/>
                <w:highlight w:val="none"/>
              </w:rPr>
              <w:t>合理可行的得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分；基本可行的得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分；有重大缺陷的得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分；不符合或不提供的不得分。（</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374" w:type="pct"/>
            <w:noWrap w:val="0"/>
            <w:vAlign w:val="center"/>
          </w:tcPr>
          <w:p w14:paraId="46F2604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10" w:firstLineChars="1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26" w:type="pct"/>
            <w:vMerge w:val="restart"/>
            <w:noWrap w:val="0"/>
            <w:vAlign w:val="center"/>
          </w:tcPr>
          <w:p w14:paraId="64242DB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539" w:type="pct"/>
            <w:vMerge w:val="restart"/>
            <w:noWrap w:val="0"/>
            <w:vAlign w:val="center"/>
          </w:tcPr>
          <w:p w14:paraId="53551963">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lang w:eastAsia="zh-CN"/>
              </w:rPr>
            </w:pPr>
          </w:p>
        </w:tc>
      </w:tr>
      <w:tr w14:paraId="66DE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313" w:type="pct"/>
            <w:vMerge w:val="continue"/>
            <w:noWrap w:val="0"/>
            <w:vAlign w:val="center"/>
          </w:tcPr>
          <w:p w14:paraId="5AC1FB2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color w:val="auto"/>
                <w:sz w:val="21"/>
                <w:szCs w:val="24"/>
                <w:highlight w:val="none"/>
              </w:rPr>
            </w:pPr>
          </w:p>
        </w:tc>
        <w:tc>
          <w:tcPr>
            <w:tcW w:w="549" w:type="pct"/>
            <w:vMerge w:val="continue"/>
            <w:noWrap w:val="0"/>
            <w:vAlign w:val="center"/>
          </w:tcPr>
          <w:p w14:paraId="08328ED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color w:val="auto"/>
                <w:sz w:val="21"/>
                <w:szCs w:val="24"/>
                <w:highlight w:val="none"/>
              </w:rPr>
            </w:pPr>
          </w:p>
        </w:tc>
        <w:tc>
          <w:tcPr>
            <w:tcW w:w="2696" w:type="pct"/>
            <w:noWrap w:val="0"/>
            <w:vAlign w:val="center"/>
          </w:tcPr>
          <w:p w14:paraId="7EF3197F">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color w:val="auto"/>
                <w:sz w:val="21"/>
                <w:szCs w:val="24"/>
                <w:highlight w:val="none"/>
              </w:rPr>
            </w:pPr>
            <w:r>
              <w:rPr>
                <w:rFonts w:hint="eastAsia"/>
                <w:color w:val="auto"/>
                <w:sz w:val="21"/>
                <w:szCs w:val="24"/>
                <w:highlight w:val="none"/>
              </w:rPr>
              <w:t>呼叫中心应急响应方案，提供的平台应满足突发性、跨区域大话务量的有效接入技术保障功能，投标文件中应详细描述全省一体化应急响应方案，大话务量分散部署、居家办公、第二职场的部署方案。</w:t>
            </w:r>
            <w:r>
              <w:rPr>
                <w:rFonts w:hint="eastAsia" w:ascii="宋体" w:hAnsi="宋体" w:eastAsia="宋体" w:cs="宋体"/>
                <w:color w:val="auto"/>
                <w:sz w:val="21"/>
                <w:szCs w:val="21"/>
                <w:highlight w:val="none"/>
              </w:rPr>
              <w:t>合理可行的得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分；不符合或不提供的不得分。</w:t>
            </w:r>
            <w:r>
              <w:rPr>
                <w:rFonts w:hint="eastAsia"/>
                <w:color w:val="auto"/>
                <w:sz w:val="21"/>
                <w:szCs w:val="24"/>
                <w:highlight w:val="none"/>
              </w:rPr>
              <w:t>（</w:t>
            </w:r>
            <w:r>
              <w:rPr>
                <w:rFonts w:hint="eastAsia"/>
                <w:color w:val="auto"/>
                <w:sz w:val="21"/>
                <w:szCs w:val="24"/>
                <w:highlight w:val="none"/>
                <w:lang w:val="en-US" w:eastAsia="zh-CN"/>
              </w:rPr>
              <w:t>3</w:t>
            </w:r>
            <w:r>
              <w:rPr>
                <w:rFonts w:hint="eastAsia"/>
                <w:color w:val="auto"/>
                <w:sz w:val="21"/>
                <w:szCs w:val="24"/>
                <w:highlight w:val="none"/>
              </w:rPr>
              <w:t>分）</w:t>
            </w:r>
          </w:p>
        </w:tc>
        <w:tc>
          <w:tcPr>
            <w:tcW w:w="374" w:type="pct"/>
            <w:noWrap w:val="0"/>
            <w:vAlign w:val="center"/>
          </w:tcPr>
          <w:p w14:paraId="78F23A2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26" w:type="pct"/>
            <w:vMerge w:val="continue"/>
            <w:noWrap w:val="0"/>
            <w:vAlign w:val="center"/>
          </w:tcPr>
          <w:p w14:paraId="3A5E897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4E9D2E1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7A34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313" w:type="pct"/>
            <w:vMerge w:val="continue"/>
            <w:noWrap w:val="0"/>
            <w:vAlign w:val="center"/>
          </w:tcPr>
          <w:p w14:paraId="3C92BD8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2C9A5B9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1A8B20F4">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系统数字化建设及热线接入保障措施(包括监控网管系统及技术方案)合理可行的得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分；不符合或不提供的不得分。（</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374" w:type="pct"/>
            <w:noWrap w:val="0"/>
            <w:vAlign w:val="center"/>
          </w:tcPr>
          <w:p w14:paraId="1CAA08E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26" w:type="pct"/>
            <w:vMerge w:val="continue"/>
            <w:noWrap w:val="0"/>
            <w:vAlign w:val="center"/>
          </w:tcPr>
          <w:p w14:paraId="6295565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7F24DA8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4249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13" w:type="pct"/>
            <w:vMerge w:val="continue"/>
            <w:noWrap w:val="0"/>
            <w:vAlign w:val="center"/>
          </w:tcPr>
          <w:p w14:paraId="684F209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7C965BC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0A815B0A">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通信灾备措施(包括技术方案及平台应急维护方案)合理可行的得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分；不符合或不提供的不得分。（</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374" w:type="pct"/>
            <w:noWrap w:val="0"/>
            <w:vAlign w:val="center"/>
          </w:tcPr>
          <w:p w14:paraId="58EA695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26" w:type="pct"/>
            <w:vMerge w:val="continue"/>
            <w:noWrap w:val="0"/>
            <w:vAlign w:val="center"/>
          </w:tcPr>
          <w:p w14:paraId="548EE6E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49B064D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66EA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13" w:type="pct"/>
            <w:vMerge w:val="continue"/>
            <w:noWrap w:val="0"/>
            <w:vAlign w:val="center"/>
          </w:tcPr>
          <w:p w14:paraId="4ACF9EC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274ADED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2E968C6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color w:val="auto"/>
                <w:sz w:val="21"/>
                <w:szCs w:val="24"/>
                <w:highlight w:val="none"/>
                <w:lang w:val="en-US" w:eastAsia="zh-CN"/>
              </w:rPr>
              <w:t>投标人根据项目需求及特点制定交付方案（内容包括但不仅限于人员到岗时间安排等），以保证服务人员能够有效到岗和保障通话质量，方案</w:t>
            </w:r>
            <w:r>
              <w:rPr>
                <w:rFonts w:hint="eastAsia" w:ascii="宋体" w:hAnsi="宋体" w:eastAsia="宋体" w:cs="宋体"/>
                <w:color w:val="auto"/>
                <w:sz w:val="21"/>
                <w:szCs w:val="21"/>
                <w:highlight w:val="none"/>
              </w:rPr>
              <w:t>合理可行的得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分；不符合或不提供的不得分</w:t>
            </w:r>
            <w:r>
              <w:rPr>
                <w:rFonts w:hint="eastAsia"/>
                <w:color w:val="auto"/>
                <w:sz w:val="21"/>
                <w:szCs w:val="24"/>
                <w:highlight w:val="none"/>
                <w:lang w:val="en-US" w:eastAsia="zh-CN"/>
              </w:rPr>
              <w:t>。（3分）</w:t>
            </w:r>
          </w:p>
        </w:tc>
        <w:tc>
          <w:tcPr>
            <w:tcW w:w="374" w:type="pct"/>
            <w:noWrap w:val="0"/>
            <w:vAlign w:val="center"/>
          </w:tcPr>
          <w:p w14:paraId="6DD7B7A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26" w:type="pct"/>
            <w:vMerge w:val="continue"/>
            <w:noWrap w:val="0"/>
            <w:vAlign w:val="center"/>
          </w:tcPr>
          <w:p w14:paraId="619CF77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6CA973A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0EE1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3" w:type="pct"/>
            <w:noWrap w:val="0"/>
            <w:vAlign w:val="center"/>
          </w:tcPr>
          <w:p w14:paraId="68357F5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549" w:type="pct"/>
            <w:noWrap w:val="0"/>
            <w:vAlign w:val="center"/>
          </w:tcPr>
          <w:p w14:paraId="7D41466D">
            <w:pPr>
              <w:keepNext w:val="0"/>
              <w:keepLines w:val="0"/>
              <w:pageBreakBefore w:val="0"/>
              <w:widowControl w:val="0"/>
              <w:shd w:val="clear" w:color="auto" w:fill="auto"/>
              <w:kinsoku/>
              <w:wordWrap/>
              <w:overflowPunct/>
              <w:topLinePunct w:val="0"/>
              <w:autoSpaceDE/>
              <w:autoSpaceDN/>
              <w:bidi w:val="0"/>
              <w:adjustRightInd w:val="0"/>
              <w:snapToGrid/>
              <w:spacing w:line="360" w:lineRule="auto"/>
              <w:jc w:val="left"/>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项目班子配备（8分）</w:t>
            </w:r>
          </w:p>
        </w:tc>
        <w:tc>
          <w:tcPr>
            <w:tcW w:w="2696" w:type="pct"/>
            <w:noWrap w:val="0"/>
            <w:vAlign w:val="center"/>
          </w:tcPr>
          <w:p w14:paraId="0492B342">
            <w:pPr>
              <w:keepNext w:val="0"/>
              <w:keepLines w:val="0"/>
              <w:pageBreakBefore w:val="0"/>
              <w:widowControl w:val="0"/>
              <w:shd w:val="clear" w:color="auto" w:fill="auto"/>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提供驻场管理人员1名，要求</w:t>
            </w:r>
            <w:r>
              <w:rPr>
                <w:rFonts w:hint="eastAsia" w:ascii="宋体" w:hAnsi="宋体" w:eastAsia="宋体" w:cs="宋体"/>
                <w:bCs/>
                <w:color w:val="auto"/>
                <w:sz w:val="21"/>
                <w:szCs w:val="21"/>
                <w:highlight w:val="none"/>
              </w:rPr>
              <w:t>达到本科及以上学历，且</w:t>
            </w:r>
            <w:r>
              <w:rPr>
                <w:rFonts w:hint="eastAsia" w:ascii="宋体" w:hAnsi="宋体" w:cs="宋体"/>
                <w:bCs/>
                <w:color w:val="auto"/>
                <w:sz w:val="21"/>
                <w:szCs w:val="21"/>
                <w:highlight w:val="none"/>
                <w:lang w:val="en-US" w:eastAsia="zh-CN"/>
              </w:rPr>
              <w:t>具</w:t>
            </w:r>
            <w:r>
              <w:rPr>
                <w:rFonts w:hint="eastAsia" w:ascii="宋体" w:hAnsi="宋体" w:eastAsia="宋体" w:cs="宋体"/>
                <w:bCs/>
                <w:color w:val="auto"/>
                <w:sz w:val="21"/>
                <w:szCs w:val="21"/>
                <w:highlight w:val="none"/>
              </w:rPr>
              <w:t>有2年以上呼叫中心管理经验者得2分；否则不得分。</w:t>
            </w:r>
            <w:r>
              <w:rPr>
                <w:rFonts w:hint="eastAsia" w:ascii="宋体" w:hAnsi="宋体" w:eastAsia="宋体" w:cs="宋体"/>
                <w:color w:val="auto"/>
                <w:sz w:val="21"/>
                <w:szCs w:val="21"/>
                <w:highlight w:val="none"/>
              </w:rPr>
              <w:t>（2分）</w:t>
            </w:r>
          </w:p>
          <w:p w14:paraId="67578DC2">
            <w:pPr>
              <w:keepNext w:val="0"/>
              <w:keepLines w:val="0"/>
              <w:pageBreakBefore w:val="0"/>
              <w:widowControl w:val="0"/>
              <w:shd w:val="clear" w:color="auto" w:fill="auto"/>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提供</w:t>
            </w:r>
            <w:r>
              <w:rPr>
                <w:rFonts w:hint="eastAsia" w:ascii="宋体" w:hAnsi="宋体" w:eastAsia="宋体" w:cs="宋体"/>
                <w:bCs/>
                <w:color w:val="auto"/>
                <w:sz w:val="21"/>
                <w:szCs w:val="21"/>
                <w:highlight w:val="none"/>
              </w:rPr>
              <w:t>本项目</w:t>
            </w:r>
            <w:r>
              <w:rPr>
                <w:rFonts w:hint="eastAsia" w:ascii="宋体" w:hAnsi="宋体" w:cs="宋体"/>
                <w:bCs/>
                <w:color w:val="auto"/>
                <w:sz w:val="21"/>
                <w:szCs w:val="21"/>
                <w:highlight w:val="none"/>
                <w:lang w:val="en-US" w:eastAsia="zh-CN"/>
              </w:rPr>
              <w:t>管理团队，要求具有以下</w:t>
            </w:r>
            <w:r>
              <w:rPr>
                <w:rFonts w:hint="eastAsia" w:ascii="宋体" w:hAnsi="宋体" w:eastAsia="宋体" w:cs="宋体"/>
                <w:bCs/>
                <w:color w:val="auto"/>
                <w:sz w:val="21"/>
                <w:szCs w:val="21"/>
                <w:highlight w:val="none"/>
              </w:rPr>
              <w:t>相关专业资质证书</w:t>
            </w:r>
            <w:r>
              <w:rPr>
                <w:rFonts w:hint="eastAsia" w:ascii="宋体" w:hAnsi="宋体" w:cs="宋体"/>
                <w:bCs/>
                <w:color w:val="auto"/>
                <w:sz w:val="21"/>
                <w:szCs w:val="21"/>
                <w:highlight w:val="none"/>
                <w:lang w:eastAsia="zh-CN"/>
              </w:rPr>
              <w:t>：</w:t>
            </w:r>
          </w:p>
          <w:p w14:paraId="49793C11">
            <w:pPr>
              <w:keepNext w:val="0"/>
              <w:keepLines w:val="0"/>
              <w:pageBreakBefore w:val="0"/>
              <w:widowControl w:val="0"/>
              <w:shd w:val="clear" w:color="auto" w:fill="auto"/>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①拟派项目经理具有高级工程师（信息技术方向）职称证书、高级信息系统项目管理师证书、通信中级职称证书（互联网技术）、注册信息安全专业人员证书的，</w:t>
            </w:r>
            <w:r>
              <w:rPr>
                <w:rFonts w:hint="eastAsia" w:ascii="宋体" w:hAnsi="宋体" w:cs="宋体"/>
                <w:color w:val="auto"/>
                <w:sz w:val="21"/>
                <w:szCs w:val="21"/>
                <w:highlight w:val="none"/>
                <w:lang w:val="en-US" w:eastAsia="zh-CN"/>
              </w:rPr>
              <w:t>提供两本及</w:t>
            </w:r>
            <w:r>
              <w:rPr>
                <w:rFonts w:hint="eastAsia" w:ascii="宋体" w:hAnsi="宋体" w:cs="宋体"/>
                <w:color w:val="FF0000"/>
                <w:sz w:val="21"/>
                <w:szCs w:val="21"/>
                <w:highlight w:val="none"/>
                <w:lang w:val="en-US" w:eastAsia="zh-CN"/>
              </w:rPr>
              <w:t>以上的得2分</w:t>
            </w:r>
            <w:r>
              <w:rPr>
                <w:rFonts w:hint="eastAsia" w:ascii="宋体" w:hAnsi="宋体" w:eastAsia="宋体" w:cs="宋体"/>
                <w:color w:val="FF0000"/>
                <w:sz w:val="21"/>
                <w:szCs w:val="21"/>
                <w:highlight w:val="none"/>
              </w:rPr>
              <w:t>，</w:t>
            </w:r>
            <w:r>
              <w:rPr>
                <w:rFonts w:hint="eastAsia" w:ascii="宋体" w:hAnsi="宋体" w:cs="宋体"/>
                <w:color w:val="FF0000"/>
                <w:sz w:val="21"/>
                <w:szCs w:val="21"/>
                <w:highlight w:val="none"/>
                <w:lang w:val="en-US" w:eastAsia="zh-CN"/>
              </w:rPr>
              <w:t>少提供或不提供不得分，</w:t>
            </w:r>
            <w:r>
              <w:rPr>
                <w:rFonts w:hint="eastAsia" w:ascii="宋体" w:hAnsi="宋体" w:eastAsia="宋体" w:cs="宋体"/>
                <w:color w:val="FF0000"/>
                <w:sz w:val="21"/>
                <w:szCs w:val="21"/>
                <w:highlight w:val="none"/>
              </w:rPr>
              <w:t>最多得</w:t>
            </w:r>
            <w:r>
              <w:rPr>
                <w:rFonts w:hint="eastAsia" w:ascii="宋体" w:hAnsi="宋体" w:cs="宋体"/>
                <w:color w:val="FF0000"/>
                <w:sz w:val="21"/>
                <w:szCs w:val="21"/>
                <w:highlight w:val="none"/>
                <w:lang w:val="en-US" w:eastAsia="zh-CN"/>
              </w:rPr>
              <w:t>2</w:t>
            </w:r>
            <w:r>
              <w:rPr>
                <w:rFonts w:hint="eastAsia" w:ascii="宋体" w:hAnsi="宋体" w:eastAsia="宋体" w:cs="宋体"/>
                <w:color w:val="FF0000"/>
                <w:sz w:val="21"/>
                <w:szCs w:val="21"/>
                <w:highlight w:val="none"/>
              </w:rPr>
              <w:t>分</w:t>
            </w:r>
            <w:r>
              <w:rPr>
                <w:rFonts w:hint="eastAsia" w:ascii="宋体" w:hAnsi="宋体" w:cs="宋体"/>
                <w:color w:val="auto"/>
                <w:sz w:val="21"/>
                <w:szCs w:val="21"/>
                <w:highlight w:val="none"/>
                <w:lang w:eastAsia="zh-CN"/>
              </w:rPr>
              <w:t>。</w:t>
            </w:r>
          </w:p>
          <w:p w14:paraId="624A2514">
            <w:pPr>
              <w:keepNext w:val="0"/>
              <w:keepLines w:val="0"/>
              <w:pageBreakBefore w:val="0"/>
              <w:widowControl w:val="0"/>
              <w:shd w:val="clear" w:color="auto" w:fill="auto"/>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FF0000"/>
                <w:sz w:val="21"/>
                <w:szCs w:val="21"/>
                <w:highlight w:val="none"/>
                <w:lang w:eastAsia="zh-CN"/>
              </w:rPr>
            </w:pPr>
            <w:r>
              <w:rPr>
                <w:rFonts w:hint="eastAsia" w:ascii="宋体" w:hAnsi="宋体" w:eastAsia="宋体" w:cs="宋体"/>
                <w:color w:val="auto"/>
                <w:sz w:val="21"/>
                <w:szCs w:val="21"/>
                <w:highlight w:val="none"/>
              </w:rPr>
              <w:t>②拟派项目技术经理具有高级信息系统项目管理师证书、高级系统分析师证书、高级网络规划设计师、通信中级职称证书（互联网技术）的，</w:t>
            </w:r>
            <w:r>
              <w:rPr>
                <w:rFonts w:hint="eastAsia" w:ascii="宋体" w:hAnsi="宋体" w:cs="宋体"/>
                <w:color w:val="auto"/>
                <w:sz w:val="21"/>
                <w:szCs w:val="21"/>
                <w:highlight w:val="none"/>
                <w:lang w:val="en-US" w:eastAsia="zh-CN"/>
              </w:rPr>
              <w:t>提供两本及以上的</w:t>
            </w:r>
            <w:r>
              <w:rPr>
                <w:rFonts w:hint="eastAsia" w:ascii="宋体" w:hAnsi="宋体" w:cs="宋体"/>
                <w:color w:val="FF0000"/>
                <w:sz w:val="21"/>
                <w:szCs w:val="21"/>
                <w:highlight w:val="none"/>
                <w:lang w:val="en-US" w:eastAsia="zh-CN"/>
              </w:rPr>
              <w:t>得2分</w:t>
            </w:r>
            <w:r>
              <w:rPr>
                <w:rFonts w:hint="eastAsia" w:ascii="宋体" w:hAnsi="宋体" w:eastAsia="宋体" w:cs="宋体"/>
                <w:color w:val="FF0000"/>
                <w:sz w:val="21"/>
                <w:szCs w:val="21"/>
                <w:highlight w:val="none"/>
              </w:rPr>
              <w:t>，</w:t>
            </w:r>
            <w:r>
              <w:rPr>
                <w:rFonts w:hint="eastAsia" w:ascii="宋体" w:hAnsi="宋体" w:cs="宋体"/>
                <w:color w:val="FF0000"/>
                <w:sz w:val="21"/>
                <w:szCs w:val="21"/>
                <w:highlight w:val="none"/>
                <w:lang w:val="en-US" w:eastAsia="zh-CN"/>
              </w:rPr>
              <w:t>少提供或不提供不得分，</w:t>
            </w:r>
            <w:r>
              <w:rPr>
                <w:rFonts w:hint="eastAsia" w:ascii="宋体" w:hAnsi="宋体" w:eastAsia="宋体" w:cs="宋体"/>
                <w:color w:val="FF0000"/>
                <w:sz w:val="21"/>
                <w:szCs w:val="21"/>
                <w:highlight w:val="none"/>
              </w:rPr>
              <w:t>最多得</w:t>
            </w:r>
            <w:r>
              <w:rPr>
                <w:rFonts w:hint="eastAsia" w:ascii="宋体" w:hAnsi="宋体" w:cs="宋体"/>
                <w:color w:val="FF0000"/>
                <w:sz w:val="21"/>
                <w:szCs w:val="21"/>
                <w:highlight w:val="none"/>
                <w:lang w:val="en-US" w:eastAsia="zh-CN"/>
              </w:rPr>
              <w:t>2</w:t>
            </w:r>
            <w:r>
              <w:rPr>
                <w:rFonts w:hint="eastAsia" w:ascii="宋体" w:hAnsi="宋体" w:eastAsia="宋体" w:cs="宋体"/>
                <w:color w:val="FF0000"/>
                <w:sz w:val="21"/>
                <w:szCs w:val="21"/>
                <w:highlight w:val="none"/>
              </w:rPr>
              <w:t>分</w:t>
            </w:r>
            <w:r>
              <w:rPr>
                <w:rFonts w:hint="eastAsia" w:ascii="宋体" w:hAnsi="宋体" w:cs="宋体"/>
                <w:color w:val="FF0000"/>
                <w:sz w:val="21"/>
                <w:szCs w:val="21"/>
                <w:highlight w:val="none"/>
                <w:lang w:eastAsia="zh-CN"/>
              </w:rPr>
              <w:t>。</w:t>
            </w:r>
          </w:p>
          <w:p w14:paraId="6CDC846A">
            <w:pPr>
              <w:keepNext w:val="0"/>
              <w:keepLines w:val="0"/>
              <w:pageBreakBefore w:val="0"/>
              <w:widowControl w:val="0"/>
              <w:shd w:val="clear" w:color="auto" w:fill="auto"/>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③拟派项目运营经理具有工信部数字化政务服务证书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具有</w:t>
            </w:r>
            <w:r>
              <w:rPr>
                <w:rFonts w:hint="eastAsia" w:ascii="宋体" w:hAnsi="宋体" w:eastAsia="宋体" w:cs="宋体"/>
                <w:color w:val="auto"/>
                <w:sz w:val="21"/>
                <w:szCs w:val="21"/>
                <w:highlight w:val="none"/>
              </w:rPr>
              <w:t>工信部人工智能开发工程师证书、客户中心管理师中级以上（含中级）岗位技能等级证书的，</w:t>
            </w:r>
            <w:r>
              <w:rPr>
                <w:rFonts w:hint="eastAsia" w:ascii="宋体" w:hAnsi="宋体" w:cs="宋体"/>
                <w:color w:val="auto"/>
                <w:sz w:val="21"/>
                <w:szCs w:val="21"/>
                <w:highlight w:val="none"/>
                <w:lang w:val="en-US" w:eastAsia="zh-CN"/>
              </w:rPr>
              <w:t>提供两本及</w:t>
            </w:r>
            <w:r>
              <w:rPr>
                <w:rFonts w:hint="eastAsia" w:ascii="宋体" w:hAnsi="宋体" w:cs="宋体"/>
                <w:color w:val="FF0000"/>
                <w:sz w:val="21"/>
                <w:szCs w:val="21"/>
                <w:highlight w:val="none"/>
                <w:lang w:val="en-US" w:eastAsia="zh-CN"/>
              </w:rPr>
              <w:t>以上的得2分</w:t>
            </w:r>
            <w:r>
              <w:rPr>
                <w:rFonts w:hint="eastAsia" w:ascii="宋体" w:hAnsi="宋体" w:eastAsia="宋体" w:cs="宋体"/>
                <w:color w:val="FF0000"/>
                <w:sz w:val="21"/>
                <w:szCs w:val="21"/>
                <w:highlight w:val="none"/>
              </w:rPr>
              <w:t>，</w:t>
            </w:r>
            <w:r>
              <w:rPr>
                <w:rFonts w:hint="eastAsia" w:ascii="宋体" w:hAnsi="宋体" w:cs="宋体"/>
                <w:color w:val="FF0000"/>
                <w:sz w:val="21"/>
                <w:szCs w:val="21"/>
                <w:highlight w:val="none"/>
                <w:lang w:val="en-US" w:eastAsia="zh-CN"/>
              </w:rPr>
              <w:t>少提供或不提供不得分，</w:t>
            </w:r>
            <w:r>
              <w:rPr>
                <w:rFonts w:hint="eastAsia" w:ascii="宋体" w:hAnsi="宋体" w:eastAsia="宋体" w:cs="宋体"/>
                <w:color w:val="FF0000"/>
                <w:sz w:val="21"/>
                <w:szCs w:val="21"/>
                <w:highlight w:val="none"/>
              </w:rPr>
              <w:t>最多得</w:t>
            </w:r>
            <w:r>
              <w:rPr>
                <w:rFonts w:hint="eastAsia" w:ascii="宋体" w:hAnsi="宋体" w:cs="宋体"/>
                <w:color w:val="FF0000"/>
                <w:sz w:val="21"/>
                <w:szCs w:val="21"/>
                <w:highlight w:val="none"/>
                <w:lang w:val="en-US" w:eastAsia="zh-CN"/>
              </w:rPr>
              <w:t>2</w:t>
            </w:r>
            <w:r>
              <w:rPr>
                <w:rFonts w:hint="eastAsia" w:ascii="宋体" w:hAnsi="宋体" w:eastAsia="宋体" w:cs="宋体"/>
                <w:color w:val="FF0000"/>
                <w:sz w:val="21"/>
                <w:szCs w:val="21"/>
                <w:highlight w:val="none"/>
              </w:rPr>
              <w:t>分</w:t>
            </w:r>
            <w:r>
              <w:rPr>
                <w:rFonts w:hint="eastAsia" w:ascii="宋体" w:hAnsi="宋体" w:cs="宋体"/>
                <w:color w:val="FF0000"/>
                <w:sz w:val="21"/>
                <w:szCs w:val="21"/>
                <w:highlight w:val="none"/>
                <w:lang w:eastAsia="zh-CN"/>
              </w:rPr>
              <w:t>。</w:t>
            </w:r>
          </w:p>
          <w:p w14:paraId="13E28354">
            <w:pPr>
              <w:keepNext w:val="0"/>
              <w:keepLines w:val="0"/>
              <w:pageBreakBefore w:val="0"/>
              <w:widowControl w:val="0"/>
              <w:shd w:val="clear" w:color="auto" w:fill="auto"/>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FF0000"/>
                <w:sz w:val="21"/>
                <w:szCs w:val="21"/>
                <w:highlight w:val="none"/>
              </w:rPr>
              <w:t>说明：</w:t>
            </w:r>
            <w:r>
              <w:rPr>
                <w:rFonts w:hint="eastAsia" w:ascii="宋体" w:hAnsi="宋体" w:cs="宋体"/>
                <w:bCs/>
                <w:color w:val="FF0000"/>
                <w:sz w:val="21"/>
                <w:szCs w:val="21"/>
                <w:highlight w:val="none"/>
                <w:lang w:val="en-US" w:eastAsia="zh-CN"/>
              </w:rPr>
              <w:t>项目经理、项目技术经理、项目运营经理不包含在35名人员中，</w:t>
            </w:r>
            <w:r>
              <w:rPr>
                <w:rFonts w:hint="eastAsia" w:ascii="宋体" w:hAnsi="宋体" w:eastAsia="宋体" w:cs="宋体"/>
                <w:bCs/>
                <w:color w:val="auto"/>
                <w:sz w:val="21"/>
                <w:szCs w:val="21"/>
                <w:highlight w:val="none"/>
              </w:rPr>
              <w:t>投标文件中提供人员身份证复印件、社保缴纳证明、证</w:t>
            </w:r>
            <w:bookmarkStart w:id="524" w:name="_GoBack"/>
            <w:bookmarkEnd w:id="524"/>
            <w:r>
              <w:rPr>
                <w:rFonts w:hint="eastAsia" w:ascii="宋体" w:hAnsi="宋体" w:eastAsia="宋体" w:cs="宋体"/>
                <w:bCs/>
                <w:color w:val="auto"/>
                <w:sz w:val="21"/>
                <w:szCs w:val="21"/>
                <w:highlight w:val="none"/>
              </w:rPr>
              <w:t>书复印件等相关证明材料。</w:t>
            </w:r>
          </w:p>
        </w:tc>
        <w:tc>
          <w:tcPr>
            <w:tcW w:w="374" w:type="pct"/>
            <w:noWrap w:val="0"/>
            <w:vAlign w:val="center"/>
          </w:tcPr>
          <w:p w14:paraId="5B83922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526" w:type="pct"/>
            <w:noWrap w:val="0"/>
            <w:vAlign w:val="center"/>
          </w:tcPr>
          <w:p w14:paraId="0531780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w:t>
            </w:r>
          </w:p>
        </w:tc>
        <w:tc>
          <w:tcPr>
            <w:tcW w:w="539" w:type="pct"/>
            <w:noWrap w:val="0"/>
            <w:vAlign w:val="center"/>
          </w:tcPr>
          <w:p w14:paraId="05DC6690">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p>
        </w:tc>
      </w:tr>
      <w:tr w14:paraId="2CFD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3" w:type="pct"/>
            <w:noWrap w:val="0"/>
            <w:vAlign w:val="center"/>
          </w:tcPr>
          <w:p w14:paraId="40895A6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549" w:type="pct"/>
            <w:noWrap w:val="0"/>
            <w:vAlign w:val="center"/>
          </w:tcPr>
          <w:p w14:paraId="54D8D7B1">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投标报价</w:t>
            </w:r>
          </w:p>
        </w:tc>
        <w:tc>
          <w:tcPr>
            <w:tcW w:w="2696" w:type="pct"/>
            <w:noWrap w:val="0"/>
            <w:vAlign w:val="center"/>
          </w:tcPr>
          <w:p w14:paraId="1A1D4D16">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有效投标报价的最低价作为评标基准价，其最低报价为满分；按［投标报价得分=（评标基准价/投标报价）*10］的计算公式计算。</w:t>
            </w:r>
          </w:p>
          <w:p w14:paraId="06E580FB">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评标过程中，不得去掉报价中的最高报价和最低报价。</w:t>
            </w:r>
          </w:p>
          <w:p w14:paraId="3D46E09F">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%的扣除，用扣除后的价格参加评审。</w:t>
            </w:r>
          </w:p>
        </w:tc>
        <w:tc>
          <w:tcPr>
            <w:tcW w:w="374" w:type="pct"/>
            <w:noWrap w:val="0"/>
            <w:vAlign w:val="center"/>
          </w:tcPr>
          <w:p w14:paraId="3284F52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526" w:type="pct"/>
            <w:noWrap w:val="0"/>
            <w:vAlign w:val="center"/>
          </w:tcPr>
          <w:p w14:paraId="22C02E9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客观分</w:t>
            </w:r>
          </w:p>
        </w:tc>
        <w:tc>
          <w:tcPr>
            <w:tcW w:w="539" w:type="pct"/>
            <w:noWrap w:val="0"/>
            <w:vAlign w:val="center"/>
          </w:tcPr>
          <w:p w14:paraId="0FA3B2BF">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p>
        </w:tc>
      </w:tr>
      <w:tr w14:paraId="3297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313" w:type="pct"/>
            <w:noWrap w:val="0"/>
            <w:vAlign w:val="center"/>
          </w:tcPr>
          <w:p w14:paraId="139D3E5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549" w:type="pct"/>
            <w:noWrap w:val="0"/>
            <w:vAlign w:val="center"/>
          </w:tcPr>
          <w:p w14:paraId="59D771E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1"/>
                <w:szCs w:val="21"/>
                <w:highlight w:val="none"/>
              </w:rPr>
            </w:pPr>
          </w:p>
        </w:tc>
        <w:tc>
          <w:tcPr>
            <w:tcW w:w="2696" w:type="pct"/>
            <w:noWrap w:val="0"/>
            <w:vAlign w:val="center"/>
          </w:tcPr>
          <w:p w14:paraId="65219ED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w:t>
            </w:r>
          </w:p>
        </w:tc>
        <w:tc>
          <w:tcPr>
            <w:tcW w:w="374" w:type="pct"/>
            <w:noWrap w:val="0"/>
            <w:vAlign w:val="center"/>
          </w:tcPr>
          <w:p w14:paraId="2F9E272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sum(C2:C41)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rPr>
              <w:fldChar w:fldCharType="end"/>
            </w:r>
          </w:p>
        </w:tc>
        <w:tc>
          <w:tcPr>
            <w:tcW w:w="526" w:type="pct"/>
            <w:noWrap w:val="0"/>
            <w:vAlign w:val="center"/>
          </w:tcPr>
          <w:p w14:paraId="53D45DA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1"/>
                <w:szCs w:val="21"/>
                <w:highlight w:val="none"/>
              </w:rPr>
            </w:pPr>
          </w:p>
        </w:tc>
        <w:tc>
          <w:tcPr>
            <w:tcW w:w="539" w:type="pct"/>
            <w:noWrap w:val="0"/>
            <w:vAlign w:val="center"/>
          </w:tcPr>
          <w:p w14:paraId="32A06F6B">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p>
        </w:tc>
      </w:tr>
    </w:tbl>
    <w:p w14:paraId="259FE43E">
      <w:pPr>
        <w:rPr>
          <w:color w:val="auto"/>
          <w:highlight w:val="none"/>
        </w:rPr>
      </w:pPr>
    </w:p>
    <w:p w14:paraId="03E80C69">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14513D2">
      <w:pPr>
        <w:pStyle w:val="24"/>
        <w:snapToGrid w:val="0"/>
        <w:spacing w:line="360" w:lineRule="auto"/>
        <w:rPr>
          <w:rFonts w:ascii="宋体" w:hAnsi="宋体"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8" w:name="第五部分"/>
      <w:bookmarkStart w:id="399"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1100B8C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2"/>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599"/>
        <w:spacing w:before="120" w:line="22" w:lineRule="atLeast"/>
        <w:rPr>
          <w:rFonts w:ascii="宋体" w:hAnsi="宋体" w:eastAsia="宋体" w:cs="宋体"/>
          <w:color w:val="auto"/>
          <w:szCs w:val="24"/>
          <w:highlight w:val="none"/>
        </w:rPr>
      </w:pPr>
    </w:p>
    <w:p w14:paraId="5912128F">
      <w:pPr>
        <w:pStyle w:val="599"/>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400" w:name="_Toc19273"/>
      <w:bookmarkStart w:id="401" w:name="_Toc15367"/>
      <w:bookmarkStart w:id="402" w:name="_Toc22967"/>
      <w:bookmarkStart w:id="403" w:name="_Toc20421"/>
      <w:bookmarkStart w:id="404"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0"/>
      <w:bookmarkEnd w:id="401"/>
      <w:bookmarkEnd w:id="402"/>
      <w:bookmarkEnd w:id="403"/>
      <w:bookmarkEnd w:id="404"/>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5" w:name="_Toc6773"/>
      <w:bookmarkStart w:id="406" w:name="_Toc2918"/>
      <w:bookmarkStart w:id="407" w:name="_Toc6311"/>
      <w:bookmarkStart w:id="408" w:name="_Toc18585"/>
      <w:bookmarkStart w:id="409"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05"/>
      <w:bookmarkEnd w:id="406"/>
      <w:bookmarkEnd w:id="407"/>
      <w:bookmarkEnd w:id="408"/>
      <w:bookmarkEnd w:id="409"/>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10" w:name="_Toc13918"/>
      <w:bookmarkStart w:id="411" w:name="_Toc1386"/>
      <w:bookmarkStart w:id="412" w:name="_Toc21124"/>
      <w:bookmarkStart w:id="413" w:name="_Toc4929"/>
      <w:bookmarkStart w:id="414"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10"/>
      <w:bookmarkEnd w:id="411"/>
      <w:bookmarkEnd w:id="412"/>
      <w:bookmarkEnd w:id="413"/>
      <w:bookmarkEnd w:id="414"/>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Ansi="宋体"/>
                <w:color w:val="auto"/>
                <w:sz w:val="24"/>
                <w:szCs w:val="24"/>
                <w:highlight w:val="none"/>
              </w:rPr>
            </w:pPr>
          </w:p>
        </w:tc>
        <w:tc>
          <w:tcPr>
            <w:tcW w:w="3402" w:type="dxa"/>
            <w:vAlign w:val="center"/>
          </w:tcPr>
          <w:p w14:paraId="66BDB431">
            <w:pPr>
              <w:pStyle w:val="320"/>
              <w:spacing w:line="560" w:lineRule="exact"/>
              <w:ind w:firstLine="200"/>
              <w:jc w:val="center"/>
              <w:rPr>
                <w:rFonts w:hAnsi="宋体"/>
                <w:color w:val="auto"/>
                <w:sz w:val="24"/>
                <w:szCs w:val="24"/>
                <w:highlight w:val="none"/>
              </w:rPr>
            </w:pPr>
          </w:p>
        </w:tc>
        <w:tc>
          <w:tcPr>
            <w:tcW w:w="2552" w:type="dxa"/>
            <w:vAlign w:val="center"/>
          </w:tcPr>
          <w:p w14:paraId="0EC443E3">
            <w:pPr>
              <w:pStyle w:val="320"/>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Ansi="宋体"/>
                <w:color w:val="auto"/>
                <w:sz w:val="24"/>
                <w:szCs w:val="24"/>
                <w:highlight w:val="none"/>
              </w:rPr>
            </w:pPr>
          </w:p>
        </w:tc>
        <w:tc>
          <w:tcPr>
            <w:tcW w:w="3402" w:type="dxa"/>
            <w:vAlign w:val="center"/>
          </w:tcPr>
          <w:p w14:paraId="26CA5BD6">
            <w:pPr>
              <w:pStyle w:val="320"/>
              <w:spacing w:line="560" w:lineRule="exact"/>
              <w:ind w:firstLine="200"/>
              <w:jc w:val="center"/>
              <w:rPr>
                <w:rFonts w:hAnsi="宋体"/>
                <w:color w:val="auto"/>
                <w:sz w:val="24"/>
                <w:szCs w:val="24"/>
                <w:highlight w:val="none"/>
              </w:rPr>
            </w:pPr>
          </w:p>
        </w:tc>
        <w:tc>
          <w:tcPr>
            <w:tcW w:w="2552" w:type="dxa"/>
            <w:vAlign w:val="center"/>
          </w:tcPr>
          <w:p w14:paraId="0258EB1E">
            <w:pPr>
              <w:pStyle w:val="320"/>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Ansi="宋体"/>
                <w:color w:val="auto"/>
                <w:sz w:val="24"/>
                <w:szCs w:val="24"/>
                <w:highlight w:val="none"/>
              </w:rPr>
            </w:pPr>
          </w:p>
        </w:tc>
        <w:tc>
          <w:tcPr>
            <w:tcW w:w="3402" w:type="dxa"/>
            <w:vAlign w:val="center"/>
          </w:tcPr>
          <w:p w14:paraId="637D5711">
            <w:pPr>
              <w:pStyle w:val="320"/>
              <w:spacing w:line="560" w:lineRule="exact"/>
              <w:ind w:firstLine="200"/>
              <w:jc w:val="center"/>
              <w:rPr>
                <w:rFonts w:hAnsi="宋体"/>
                <w:color w:val="auto"/>
                <w:sz w:val="24"/>
                <w:szCs w:val="24"/>
                <w:highlight w:val="none"/>
              </w:rPr>
            </w:pPr>
          </w:p>
        </w:tc>
        <w:tc>
          <w:tcPr>
            <w:tcW w:w="2552" w:type="dxa"/>
            <w:vAlign w:val="center"/>
          </w:tcPr>
          <w:p w14:paraId="42D0E712">
            <w:pPr>
              <w:pStyle w:val="320"/>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Ansi="宋体"/>
                <w:color w:val="auto"/>
                <w:sz w:val="24"/>
                <w:szCs w:val="24"/>
                <w:highlight w:val="none"/>
              </w:rPr>
            </w:pPr>
          </w:p>
        </w:tc>
        <w:tc>
          <w:tcPr>
            <w:tcW w:w="3402" w:type="dxa"/>
            <w:vAlign w:val="center"/>
          </w:tcPr>
          <w:p w14:paraId="14D192BB">
            <w:pPr>
              <w:pStyle w:val="320"/>
              <w:spacing w:line="560" w:lineRule="exact"/>
              <w:ind w:firstLine="200"/>
              <w:jc w:val="center"/>
              <w:rPr>
                <w:rFonts w:hAnsi="宋体"/>
                <w:color w:val="auto"/>
                <w:sz w:val="24"/>
                <w:szCs w:val="24"/>
                <w:highlight w:val="none"/>
              </w:rPr>
            </w:pPr>
          </w:p>
        </w:tc>
        <w:tc>
          <w:tcPr>
            <w:tcW w:w="2552" w:type="dxa"/>
            <w:vAlign w:val="center"/>
          </w:tcPr>
          <w:p w14:paraId="0E5769EB">
            <w:pPr>
              <w:pStyle w:val="320"/>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0"/>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5" w:name="_Toc14993"/>
      <w:bookmarkStart w:id="416" w:name="_Toc30158"/>
      <w:bookmarkStart w:id="417" w:name="_Toc26916"/>
      <w:bookmarkStart w:id="418" w:name="_Toc30506"/>
      <w:bookmarkStart w:id="419"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5"/>
    <w:bookmarkEnd w:id="416"/>
    <w:bookmarkEnd w:id="417"/>
    <w:bookmarkEnd w:id="418"/>
    <w:bookmarkEnd w:id="419"/>
    <w:p w14:paraId="2F5CCC91">
      <w:pPr>
        <w:pStyle w:val="961"/>
        <w:spacing w:before="0" w:beforeAutospacing="0" w:after="0" w:afterAutospacing="0" w:line="360" w:lineRule="auto"/>
        <w:ind w:firstLine="480"/>
        <w:rPr>
          <w:b/>
          <w:color w:val="auto"/>
          <w:highlight w:val="none"/>
        </w:rPr>
      </w:pPr>
      <w:bookmarkStart w:id="420" w:name="_Toc10340"/>
      <w:bookmarkStart w:id="421" w:name="_Toc1814"/>
      <w:bookmarkStart w:id="422" w:name="_Toc22618"/>
      <w:bookmarkStart w:id="423" w:name="_Toc8772"/>
      <w:bookmarkStart w:id="424" w:name="_Toc3625"/>
      <w:bookmarkStart w:id="425" w:name="_Toc4760"/>
      <w:bookmarkStart w:id="426" w:name="_Toc11108"/>
      <w:bookmarkStart w:id="427" w:name="_Toc31421"/>
      <w:r>
        <w:rPr>
          <w:rFonts w:hint="eastAsia"/>
          <w:b/>
          <w:color w:val="auto"/>
          <w:highlight w:val="none"/>
        </w:rPr>
        <w:t>1.4履约保证金</w:t>
      </w:r>
    </w:p>
    <w:p w14:paraId="74D47AFB">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20"/>
      <w:bookmarkEnd w:id="421"/>
      <w:bookmarkEnd w:id="422"/>
      <w:r>
        <w:rPr>
          <w:rFonts w:hint="eastAsia" w:ascii="宋体" w:hAnsi="宋体" w:cs="宋体"/>
          <w:b/>
          <w:color w:val="auto"/>
          <w:sz w:val="24"/>
          <w:highlight w:val="none"/>
        </w:rPr>
        <w:t>预付款</w:t>
      </w:r>
    </w:p>
    <w:p w14:paraId="7C829B0B">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3"/>
      <w:bookmarkEnd w:id="424"/>
      <w:bookmarkEnd w:id="425"/>
      <w:bookmarkEnd w:id="426"/>
      <w:bookmarkEnd w:id="427"/>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8" w:name="_Toc8586"/>
      <w:bookmarkStart w:id="429" w:name="_Toc3079"/>
      <w:bookmarkStart w:id="430" w:name="_Toc5698"/>
      <w:bookmarkStart w:id="431" w:name="_Toc2375"/>
      <w:bookmarkStart w:id="432" w:name="_Toc24662"/>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8"/>
      <w:bookmarkEnd w:id="429"/>
      <w:bookmarkEnd w:id="430"/>
      <w:bookmarkEnd w:id="431"/>
      <w:bookmarkEnd w:id="432"/>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33" w:name="_Toc18683"/>
      <w:bookmarkStart w:id="434" w:name="_Toc26807"/>
      <w:bookmarkStart w:id="435" w:name="_Toc9497"/>
      <w:bookmarkStart w:id="436" w:name="_Toc32454"/>
      <w:bookmarkStart w:id="437"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3"/>
    <w:bookmarkEnd w:id="434"/>
    <w:bookmarkEnd w:id="435"/>
    <w:bookmarkEnd w:id="436"/>
    <w:bookmarkEnd w:id="437"/>
    <w:p w14:paraId="1A3040A7">
      <w:pPr>
        <w:spacing w:line="560" w:lineRule="exact"/>
        <w:ind w:firstLine="482" w:firstLineChars="200"/>
        <w:outlineLvl w:val="0"/>
        <w:rPr>
          <w:rFonts w:ascii="宋体" w:hAnsi="宋体" w:cs="宋体"/>
          <w:b/>
          <w:color w:val="auto"/>
          <w:sz w:val="24"/>
          <w:highlight w:val="none"/>
        </w:rPr>
      </w:pPr>
      <w:bookmarkStart w:id="438" w:name="_Toc28375"/>
      <w:bookmarkStart w:id="439" w:name="_Toc16021"/>
      <w:bookmarkStart w:id="440" w:name="_Toc15583"/>
      <w:r>
        <w:rPr>
          <w:rFonts w:hint="eastAsia" w:ascii="宋体" w:hAnsi="宋体" w:cs="宋体"/>
          <w:b/>
          <w:color w:val="auto"/>
          <w:sz w:val="24"/>
          <w:highlight w:val="none"/>
        </w:rPr>
        <w:t>1.9合同争议的解决</w:t>
      </w:r>
      <w:bookmarkEnd w:id="438"/>
      <w:bookmarkEnd w:id="439"/>
      <w:bookmarkEnd w:id="440"/>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41" w:name="_Toc11173"/>
      <w:bookmarkStart w:id="442" w:name="_Toc7245"/>
      <w:bookmarkStart w:id="443" w:name="_Toc15322"/>
      <w:r>
        <w:rPr>
          <w:rFonts w:hint="eastAsia" w:ascii="宋体" w:hAnsi="宋体" w:cs="宋体"/>
          <w:b/>
          <w:color w:val="auto"/>
          <w:sz w:val="24"/>
          <w:highlight w:val="none"/>
        </w:rPr>
        <w:t>2.0 合同生效</w:t>
      </w:r>
      <w:bookmarkEnd w:id="441"/>
      <w:bookmarkEnd w:id="442"/>
      <w:bookmarkEnd w:id="443"/>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44" w:name="_Toc5228"/>
      <w:bookmarkStart w:id="445" w:name="_Toc14021"/>
      <w:bookmarkStart w:id="446" w:name="_Toc25079"/>
      <w:bookmarkStart w:id="447" w:name="_Toc31297"/>
      <w:bookmarkStart w:id="448" w:name="_Toc19680"/>
      <w:r>
        <w:rPr>
          <w:rFonts w:ascii="宋体" w:hAnsi="宋体"/>
          <w:b/>
          <w:color w:val="auto"/>
          <w:sz w:val="24"/>
          <w:highlight w:val="none"/>
        </w:rPr>
        <w:t>2.1 定义</w:t>
      </w:r>
      <w:bookmarkEnd w:id="444"/>
      <w:bookmarkEnd w:id="445"/>
      <w:bookmarkEnd w:id="446"/>
      <w:bookmarkEnd w:id="447"/>
      <w:bookmarkEnd w:id="448"/>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9" w:name="_Toc3769"/>
      <w:bookmarkStart w:id="450" w:name="_Toc16752"/>
      <w:bookmarkStart w:id="451" w:name="_Toc19539"/>
      <w:bookmarkStart w:id="452" w:name="_Toc31402"/>
      <w:bookmarkStart w:id="453" w:name="_Toc23289"/>
      <w:r>
        <w:rPr>
          <w:rFonts w:ascii="宋体" w:hAnsi="宋体"/>
          <w:b/>
          <w:color w:val="auto"/>
          <w:sz w:val="24"/>
          <w:highlight w:val="none"/>
        </w:rPr>
        <w:t>2.2 技术规范</w:t>
      </w:r>
      <w:bookmarkEnd w:id="449"/>
      <w:bookmarkEnd w:id="450"/>
      <w:bookmarkEnd w:id="451"/>
      <w:bookmarkEnd w:id="452"/>
      <w:bookmarkEnd w:id="453"/>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54" w:name="_Toc27945"/>
      <w:bookmarkStart w:id="455" w:name="_Toc9161"/>
      <w:bookmarkStart w:id="456" w:name="_Toc4133"/>
      <w:bookmarkStart w:id="457" w:name="_Toc12412"/>
      <w:bookmarkStart w:id="458" w:name="_Toc13673"/>
      <w:r>
        <w:rPr>
          <w:rFonts w:ascii="宋体" w:hAnsi="宋体"/>
          <w:b/>
          <w:color w:val="auto"/>
          <w:sz w:val="24"/>
          <w:highlight w:val="none"/>
        </w:rPr>
        <w:t>2.3 知识产权</w:t>
      </w:r>
      <w:bookmarkEnd w:id="454"/>
      <w:bookmarkEnd w:id="455"/>
      <w:bookmarkEnd w:id="456"/>
      <w:bookmarkEnd w:id="457"/>
      <w:bookmarkEnd w:id="458"/>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9" w:name="_Toc22011"/>
      <w:bookmarkStart w:id="460" w:name="_Toc26555"/>
      <w:bookmarkStart w:id="461" w:name="_Toc15447"/>
      <w:bookmarkStart w:id="462" w:name="_Toc31233"/>
      <w:bookmarkStart w:id="463" w:name="_Toc32670"/>
      <w:r>
        <w:rPr>
          <w:rFonts w:ascii="宋体" w:hAnsi="宋体"/>
          <w:b/>
          <w:color w:val="auto"/>
          <w:sz w:val="24"/>
          <w:highlight w:val="none"/>
        </w:rPr>
        <w:t>2.5 结算方式和付款条件</w:t>
      </w:r>
      <w:bookmarkEnd w:id="459"/>
      <w:bookmarkEnd w:id="460"/>
      <w:bookmarkEnd w:id="461"/>
      <w:bookmarkEnd w:id="462"/>
      <w:bookmarkEnd w:id="463"/>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64" w:name="_Toc13154"/>
      <w:bookmarkStart w:id="465" w:name="_Toc30507"/>
      <w:bookmarkStart w:id="466" w:name="_Toc16163"/>
      <w:bookmarkStart w:id="467" w:name="_Toc13467"/>
      <w:bookmarkStart w:id="468" w:name="_Toc18990"/>
      <w:r>
        <w:rPr>
          <w:rFonts w:ascii="宋体" w:hAnsi="宋体"/>
          <w:b/>
          <w:color w:val="auto"/>
          <w:sz w:val="24"/>
          <w:highlight w:val="none"/>
        </w:rPr>
        <w:t>2.6 技术资料和保密义务</w:t>
      </w:r>
      <w:bookmarkEnd w:id="464"/>
      <w:bookmarkEnd w:id="465"/>
      <w:bookmarkEnd w:id="466"/>
      <w:bookmarkEnd w:id="467"/>
      <w:bookmarkEnd w:id="468"/>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9"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9"/>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70"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0"/>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71"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1"/>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72" w:name="_Toc42"/>
      <w:bookmarkStart w:id="473" w:name="_Toc26689"/>
      <w:bookmarkStart w:id="474" w:name="_Toc21830"/>
      <w:bookmarkStart w:id="475" w:name="_Toc23368"/>
      <w:bookmarkStart w:id="476" w:name="_Toc10663"/>
      <w:r>
        <w:rPr>
          <w:rFonts w:ascii="宋体" w:hAnsi="宋体"/>
          <w:b/>
          <w:color w:val="auto"/>
          <w:sz w:val="24"/>
          <w:highlight w:val="none"/>
        </w:rPr>
        <w:t>2.10 合同转让和分包</w:t>
      </w:r>
      <w:bookmarkEnd w:id="472"/>
      <w:bookmarkEnd w:id="473"/>
      <w:bookmarkEnd w:id="474"/>
      <w:bookmarkEnd w:id="475"/>
      <w:bookmarkEnd w:id="476"/>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7" w:name="_Toc25571"/>
      <w:bookmarkStart w:id="478" w:name="_Toc4720"/>
      <w:bookmarkStart w:id="479" w:name="_Toc26633"/>
      <w:bookmarkStart w:id="480" w:name="_Toc14371"/>
      <w:bookmarkStart w:id="481" w:name="_Toc32494"/>
      <w:r>
        <w:rPr>
          <w:rFonts w:ascii="宋体" w:hAnsi="宋体"/>
          <w:b/>
          <w:color w:val="auto"/>
          <w:sz w:val="24"/>
          <w:highlight w:val="none"/>
        </w:rPr>
        <w:t>2.11 不可抗力</w:t>
      </w:r>
      <w:bookmarkEnd w:id="477"/>
      <w:bookmarkEnd w:id="478"/>
      <w:bookmarkEnd w:id="479"/>
      <w:bookmarkEnd w:id="480"/>
      <w:bookmarkEnd w:id="481"/>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82" w:name="_Toc25783"/>
      <w:bookmarkStart w:id="483" w:name="_Toc23854"/>
      <w:bookmarkStart w:id="484" w:name="_Toc3638"/>
      <w:bookmarkStart w:id="485" w:name="_Toc14115"/>
      <w:bookmarkStart w:id="486" w:name="_Toc24465"/>
      <w:r>
        <w:rPr>
          <w:rFonts w:ascii="宋体" w:hAnsi="宋体"/>
          <w:b/>
          <w:color w:val="auto"/>
          <w:sz w:val="24"/>
          <w:highlight w:val="none"/>
        </w:rPr>
        <w:t>2.12 税费</w:t>
      </w:r>
      <w:bookmarkEnd w:id="482"/>
      <w:bookmarkEnd w:id="483"/>
      <w:bookmarkEnd w:id="484"/>
      <w:bookmarkEnd w:id="485"/>
      <w:bookmarkEnd w:id="486"/>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7" w:name="_Toc30105"/>
      <w:bookmarkStart w:id="488" w:name="_Toc26883"/>
      <w:bookmarkStart w:id="489" w:name="_Toc25525"/>
      <w:bookmarkStart w:id="490" w:name="_Toc14814"/>
      <w:bookmarkStart w:id="491" w:name="_Toc7315"/>
      <w:r>
        <w:rPr>
          <w:rFonts w:ascii="宋体" w:hAnsi="宋体"/>
          <w:b/>
          <w:color w:val="auto"/>
          <w:sz w:val="24"/>
          <w:highlight w:val="none"/>
        </w:rPr>
        <w:t>2.13 乙方破产</w:t>
      </w:r>
      <w:bookmarkEnd w:id="487"/>
      <w:bookmarkEnd w:id="488"/>
      <w:bookmarkEnd w:id="489"/>
      <w:bookmarkEnd w:id="490"/>
      <w:bookmarkEnd w:id="491"/>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92" w:name="_Toc2016"/>
      <w:bookmarkStart w:id="493" w:name="_Toc1123"/>
      <w:bookmarkStart w:id="494" w:name="_Toc23323"/>
      <w:r>
        <w:rPr>
          <w:rFonts w:ascii="宋体" w:hAnsi="宋体"/>
          <w:b/>
          <w:color w:val="auto"/>
          <w:sz w:val="24"/>
          <w:highlight w:val="none"/>
        </w:rPr>
        <w:t>2.14 合同中止、终止</w:t>
      </w:r>
      <w:bookmarkEnd w:id="492"/>
      <w:bookmarkEnd w:id="493"/>
      <w:bookmarkEnd w:id="494"/>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5" w:name="_Toc17363"/>
      <w:bookmarkStart w:id="496" w:name="_Toc14525"/>
      <w:bookmarkStart w:id="497" w:name="_Toc1969"/>
      <w:r>
        <w:rPr>
          <w:rFonts w:ascii="宋体" w:hAnsi="宋体"/>
          <w:b/>
          <w:color w:val="auto"/>
          <w:sz w:val="24"/>
          <w:highlight w:val="none"/>
        </w:rPr>
        <w:t>2.15 检验和验收</w:t>
      </w:r>
      <w:bookmarkEnd w:id="495"/>
      <w:bookmarkEnd w:id="496"/>
      <w:bookmarkEnd w:id="497"/>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8" w:name="_Toc25198"/>
      <w:bookmarkStart w:id="499" w:name="_Toc31892"/>
      <w:bookmarkStart w:id="500" w:name="_Toc9808"/>
      <w:bookmarkStart w:id="501" w:name="_Toc2308"/>
      <w:bookmarkStart w:id="502" w:name="_Toc12666"/>
      <w:r>
        <w:rPr>
          <w:rFonts w:ascii="宋体" w:hAnsi="宋体"/>
          <w:b/>
          <w:color w:val="auto"/>
          <w:sz w:val="24"/>
          <w:highlight w:val="none"/>
        </w:rPr>
        <w:t>2.16 通知和送达</w:t>
      </w:r>
      <w:bookmarkEnd w:id="498"/>
      <w:bookmarkEnd w:id="499"/>
      <w:bookmarkEnd w:id="500"/>
      <w:bookmarkEnd w:id="501"/>
      <w:bookmarkEnd w:id="502"/>
    </w:p>
    <w:p w14:paraId="2D57AD58">
      <w:pPr>
        <w:spacing w:line="560" w:lineRule="exact"/>
        <w:ind w:firstLine="480" w:firstLineChars="200"/>
        <w:rPr>
          <w:rFonts w:ascii="宋体" w:hAnsi="宋体"/>
          <w:color w:val="auto"/>
          <w:sz w:val="24"/>
          <w:highlight w:val="none"/>
        </w:rPr>
      </w:pPr>
      <w:bookmarkStart w:id="503" w:name="_Toc18401"/>
      <w:bookmarkStart w:id="504"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3"/>
      <w:bookmarkEnd w:id="504"/>
    </w:p>
    <w:p w14:paraId="79494EF1">
      <w:pPr>
        <w:spacing w:line="560" w:lineRule="exact"/>
        <w:ind w:firstLine="482" w:firstLineChars="200"/>
        <w:outlineLvl w:val="0"/>
        <w:rPr>
          <w:rFonts w:ascii="宋体" w:hAnsi="宋体"/>
          <w:b/>
          <w:color w:val="auto"/>
          <w:sz w:val="24"/>
          <w:highlight w:val="none"/>
        </w:rPr>
      </w:pPr>
      <w:bookmarkStart w:id="505" w:name="_Toc20808"/>
      <w:bookmarkStart w:id="506" w:name="_Toc27644"/>
      <w:bookmarkStart w:id="507" w:name="_Toc12254"/>
      <w:bookmarkStart w:id="508" w:name="_Toc28906"/>
      <w:bookmarkStart w:id="509"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5"/>
      <w:bookmarkEnd w:id="506"/>
      <w:bookmarkEnd w:id="507"/>
      <w:bookmarkEnd w:id="508"/>
      <w:bookmarkEnd w:id="509"/>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10" w:name="_Toc18540"/>
      <w:bookmarkStart w:id="511" w:name="_Toc30599"/>
      <w:bookmarkStart w:id="512" w:name="_Toc4355"/>
      <w:r>
        <w:rPr>
          <w:rFonts w:hint="eastAsia" w:ascii="宋体" w:hAnsi="宋体" w:cs="宋体"/>
          <w:b/>
          <w:color w:val="auto"/>
          <w:sz w:val="24"/>
          <w:highlight w:val="none"/>
        </w:rPr>
        <w:t>2.18 计量单位</w:t>
      </w:r>
      <w:bookmarkEnd w:id="510"/>
      <w:bookmarkEnd w:id="511"/>
      <w:bookmarkEnd w:id="512"/>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3" w:name="_Toc331685784"/>
      <w:r>
        <w:rPr>
          <w:rFonts w:hint="eastAsia" w:ascii="宋体" w:hAnsi="宋体" w:cs="宋体"/>
          <w:b/>
          <w:color w:val="auto"/>
          <w:sz w:val="24"/>
          <w:highlight w:val="none"/>
        </w:rPr>
        <w:t xml:space="preserve"> </w:t>
      </w:r>
      <w:bookmarkEnd w:id="513"/>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1C9D774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4" w:name="_Hlk101257010"/>
      <w:r>
        <w:rPr>
          <w:rFonts w:hint="eastAsia" w:ascii="宋体" w:hAnsi="宋体" w:cs="宋体"/>
          <w:color w:val="auto"/>
          <w:sz w:val="24"/>
          <w:highlight w:val="none"/>
        </w:rPr>
        <w:t>（如果有)</w:t>
      </w:r>
      <w:bookmarkEnd w:id="514"/>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7A2C190">
      <w:pPr>
        <w:pStyle w:val="60"/>
        <w:rPr>
          <w:rFonts w:ascii="宋体" w:hAnsi="宋体" w:cs="宋体"/>
          <w:b/>
          <w:color w:val="auto"/>
          <w:kern w:val="0"/>
          <w:sz w:val="32"/>
          <w:szCs w:val="32"/>
          <w:highlight w:val="none"/>
        </w:rPr>
      </w:pPr>
    </w:p>
    <w:p w14:paraId="12764882">
      <w:pPr>
        <w:pStyle w:val="60"/>
        <w:rPr>
          <w:rFonts w:ascii="宋体" w:hAnsi="宋体" w:cs="宋体"/>
          <w:b/>
          <w:color w:val="auto"/>
          <w:kern w:val="0"/>
          <w:sz w:val="32"/>
          <w:szCs w:val="32"/>
          <w:highlight w:val="none"/>
        </w:rPr>
      </w:pPr>
    </w:p>
    <w:p w14:paraId="576613F4">
      <w:pPr>
        <w:pStyle w:val="60"/>
        <w:rPr>
          <w:rFonts w:ascii="宋体" w:hAnsi="宋体" w:cs="宋体"/>
          <w:b/>
          <w:color w:val="auto"/>
          <w:kern w:val="0"/>
          <w:sz w:val="32"/>
          <w:szCs w:val="32"/>
          <w:highlight w:val="none"/>
        </w:rPr>
      </w:pPr>
    </w:p>
    <w:p w14:paraId="026472D6">
      <w:pPr>
        <w:pStyle w:val="60"/>
        <w:rPr>
          <w:rFonts w:ascii="宋体" w:hAnsi="宋体" w:cs="宋体"/>
          <w:b/>
          <w:color w:val="auto"/>
          <w:kern w:val="0"/>
          <w:sz w:val="32"/>
          <w:szCs w:val="32"/>
          <w:highlight w:val="none"/>
        </w:rPr>
      </w:pPr>
    </w:p>
    <w:p w14:paraId="4CF59CB1">
      <w:pPr>
        <w:pStyle w:val="60"/>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6B20E92C">
      <w:pPr>
        <w:pStyle w:val="60"/>
        <w:rPr>
          <w:rFonts w:ascii="宋体" w:hAnsi="宋体" w:cs="宋体"/>
          <w:b/>
          <w:color w:val="auto"/>
          <w:kern w:val="0"/>
          <w:sz w:val="32"/>
          <w:szCs w:val="32"/>
          <w:highlight w:val="none"/>
          <w:lang w:val="zh-CN"/>
        </w:rPr>
      </w:pPr>
    </w:p>
    <w:p w14:paraId="62508040">
      <w:pPr>
        <w:pStyle w:val="60"/>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213" w:firstLineChars="10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22E8282D">
      <w:pPr>
        <w:pStyle w:val="60"/>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0"/>
        <w:rPr>
          <w:rFonts w:hint="eastAsia" w:ascii="宋体" w:hAnsi="宋体" w:cs="宋体"/>
          <w:b/>
          <w:color w:val="auto"/>
          <w:sz w:val="24"/>
          <w:highlight w:val="none"/>
        </w:rPr>
      </w:pPr>
    </w:p>
    <w:p w14:paraId="1AA2EA6C">
      <w:pPr>
        <w:pStyle w:val="80"/>
        <w:rPr>
          <w:rFonts w:hint="eastAsia"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5" w:name="OLE_LINK14"/>
      <w:bookmarkStart w:id="516" w:name="OLE_LINK13"/>
      <w:r>
        <w:rPr>
          <w:rFonts w:hint="eastAsia" w:ascii="宋体" w:hAnsi="宋体" w:cs="宋体"/>
          <w:b/>
          <w:color w:val="auto"/>
          <w:spacing w:val="6"/>
          <w:sz w:val="32"/>
          <w:szCs w:val="32"/>
          <w:highlight w:val="none"/>
        </w:rPr>
        <w:t>残疾人福利性单位声明函</w:t>
      </w:r>
    </w:p>
    <w:bookmarkEnd w:id="515"/>
    <w:bookmarkEnd w:id="516"/>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56D9C2FE">
      <w:pPr>
        <w:pStyle w:val="60"/>
        <w:rPr>
          <w:rFonts w:ascii="宋体" w:hAnsi="宋体" w:cs="宋体"/>
          <w:b/>
          <w:color w:val="auto"/>
          <w:sz w:val="24"/>
          <w:highlight w:val="none"/>
        </w:rPr>
      </w:pPr>
    </w:p>
    <w:p w14:paraId="3FAFE1A5">
      <w:pPr>
        <w:pStyle w:val="60"/>
        <w:rPr>
          <w:rFonts w:ascii="宋体" w:hAnsi="宋体" w:cs="宋体"/>
          <w:b/>
          <w:color w:val="auto"/>
          <w:sz w:val="24"/>
          <w:highlight w:val="none"/>
        </w:rPr>
      </w:pPr>
    </w:p>
    <w:p w14:paraId="1F264AAD">
      <w:pPr>
        <w:pStyle w:val="60"/>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748ECA8E">
      <w:pPr>
        <w:pStyle w:val="60"/>
        <w:rPr>
          <w:rFonts w:hint="eastAsia" w:ascii="宋体" w:hAnsi="宋体" w:cs="宋体"/>
          <w:b/>
          <w:color w:val="auto"/>
          <w:spacing w:val="6"/>
          <w:sz w:val="32"/>
          <w:szCs w:val="32"/>
          <w:highlight w:val="none"/>
        </w:rPr>
      </w:pPr>
    </w:p>
    <w:p w14:paraId="546C46E5">
      <w:pPr>
        <w:pStyle w:val="60"/>
        <w:rPr>
          <w:rFonts w:hint="eastAsia" w:ascii="宋体" w:hAnsi="宋体" w:cs="宋体"/>
          <w:b/>
          <w:color w:val="auto"/>
          <w:spacing w:val="6"/>
          <w:sz w:val="32"/>
          <w:szCs w:val="32"/>
          <w:highlight w:val="none"/>
        </w:rPr>
      </w:pPr>
    </w:p>
    <w:p w14:paraId="2422AA07">
      <w:pPr>
        <w:pStyle w:val="60"/>
        <w:rPr>
          <w:rFonts w:hint="eastAsia" w:ascii="宋体" w:hAnsi="宋体" w:cs="宋体"/>
          <w:b/>
          <w:color w:val="auto"/>
          <w:spacing w:val="6"/>
          <w:sz w:val="32"/>
          <w:szCs w:val="32"/>
          <w:highlight w:val="none"/>
        </w:rPr>
      </w:pPr>
    </w:p>
    <w:p w14:paraId="51A3167B">
      <w:pPr>
        <w:pStyle w:val="60"/>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1BD13B85">
      <w:pPr>
        <w:autoSpaceDE w:val="0"/>
        <w:autoSpaceDN w:val="0"/>
        <w:jc w:val="center"/>
        <w:rPr>
          <w:rFonts w:hint="eastAsia" w:ascii="宋体" w:hAnsi="宋体" w:cs="宋体"/>
          <w:b/>
          <w:color w:val="auto"/>
          <w:spacing w:val="6"/>
          <w:sz w:val="32"/>
          <w:szCs w:val="32"/>
          <w:highlight w:val="none"/>
        </w:rPr>
      </w:pPr>
    </w:p>
    <w:p w14:paraId="0C6C83F8">
      <w:pPr>
        <w:autoSpaceDE w:val="0"/>
        <w:autoSpaceDN w:val="0"/>
        <w:jc w:val="center"/>
        <w:rPr>
          <w:rFonts w:hint="eastAsia" w:ascii="宋体" w:hAnsi="宋体" w:cs="宋体"/>
          <w:b/>
          <w:color w:val="auto"/>
          <w:spacing w:val="6"/>
          <w:sz w:val="32"/>
          <w:szCs w:val="32"/>
          <w:highlight w:val="none"/>
        </w:rPr>
      </w:pPr>
    </w:p>
    <w:p w14:paraId="0AA43B60">
      <w:pPr>
        <w:autoSpaceDE w:val="0"/>
        <w:autoSpaceDN w:val="0"/>
        <w:jc w:val="center"/>
        <w:rPr>
          <w:rFonts w:hint="eastAsia" w:ascii="宋体" w:hAnsi="宋体" w:cs="宋体"/>
          <w:b/>
          <w:color w:val="auto"/>
          <w:spacing w:val="6"/>
          <w:sz w:val="32"/>
          <w:szCs w:val="32"/>
          <w:highlight w:val="none"/>
        </w:rPr>
      </w:pPr>
    </w:p>
    <w:p w14:paraId="12DF1596">
      <w:pPr>
        <w:autoSpaceDE w:val="0"/>
        <w:autoSpaceDN w:val="0"/>
        <w:jc w:val="center"/>
        <w:rPr>
          <w:rFonts w:hint="eastAsia" w:ascii="宋体" w:hAnsi="宋体" w:cs="宋体"/>
          <w:b/>
          <w:color w:val="auto"/>
          <w:spacing w:val="6"/>
          <w:sz w:val="32"/>
          <w:szCs w:val="32"/>
          <w:highlight w:val="none"/>
        </w:rPr>
      </w:pPr>
    </w:p>
    <w:p w14:paraId="13D5CA14">
      <w:pPr>
        <w:autoSpaceDE w:val="0"/>
        <w:autoSpaceDN w:val="0"/>
        <w:jc w:val="center"/>
        <w:rPr>
          <w:rFonts w:hint="eastAsia" w:ascii="宋体" w:hAnsi="宋体" w:cs="宋体"/>
          <w:b/>
          <w:color w:val="auto"/>
          <w:spacing w:val="6"/>
          <w:sz w:val="32"/>
          <w:szCs w:val="32"/>
          <w:highlight w:val="none"/>
        </w:rPr>
      </w:pPr>
    </w:p>
    <w:p w14:paraId="508369D2">
      <w:pPr>
        <w:autoSpaceDE w:val="0"/>
        <w:autoSpaceDN w:val="0"/>
        <w:jc w:val="center"/>
        <w:rPr>
          <w:rFonts w:hint="eastAsia" w:ascii="宋体" w:hAnsi="宋体" w:cs="宋体"/>
          <w:b/>
          <w:color w:val="auto"/>
          <w:spacing w:val="6"/>
          <w:sz w:val="32"/>
          <w:szCs w:val="32"/>
          <w:highlight w:val="none"/>
        </w:rPr>
      </w:pPr>
    </w:p>
    <w:p w14:paraId="47015924">
      <w:pPr>
        <w:autoSpaceDE w:val="0"/>
        <w:autoSpaceDN w:val="0"/>
        <w:jc w:val="center"/>
        <w:rPr>
          <w:rFonts w:hint="eastAsia" w:ascii="宋体" w:hAnsi="宋体" w:cs="宋体"/>
          <w:b/>
          <w:color w:val="auto"/>
          <w:spacing w:val="6"/>
          <w:sz w:val="32"/>
          <w:szCs w:val="32"/>
          <w:highlight w:val="none"/>
        </w:rPr>
      </w:pPr>
    </w:p>
    <w:p w14:paraId="0B9BE2C5">
      <w:pPr>
        <w:autoSpaceDE w:val="0"/>
        <w:autoSpaceDN w:val="0"/>
        <w:jc w:val="center"/>
        <w:rPr>
          <w:rFonts w:hint="eastAsia" w:ascii="宋体" w:hAnsi="宋体" w:cs="宋体"/>
          <w:b/>
          <w:color w:val="auto"/>
          <w:spacing w:val="6"/>
          <w:sz w:val="32"/>
          <w:szCs w:val="32"/>
          <w:highlight w:val="none"/>
        </w:rPr>
      </w:pPr>
    </w:p>
    <w:p w14:paraId="68B78208">
      <w:pPr>
        <w:autoSpaceDE w:val="0"/>
        <w:autoSpaceDN w:val="0"/>
        <w:jc w:val="center"/>
        <w:rPr>
          <w:rFonts w:hint="eastAsia" w:ascii="宋体" w:hAnsi="宋体" w:cs="宋体"/>
          <w:b/>
          <w:color w:val="auto"/>
          <w:spacing w:val="6"/>
          <w:sz w:val="32"/>
          <w:szCs w:val="32"/>
          <w:highlight w:val="none"/>
        </w:rPr>
      </w:pPr>
    </w:p>
    <w:p w14:paraId="40379B0D">
      <w:pPr>
        <w:autoSpaceDE w:val="0"/>
        <w:autoSpaceDN w:val="0"/>
        <w:jc w:val="center"/>
        <w:rPr>
          <w:rFonts w:hint="eastAsia" w:ascii="宋体" w:hAnsi="宋体" w:cs="宋体"/>
          <w:b/>
          <w:color w:val="auto"/>
          <w:spacing w:val="6"/>
          <w:sz w:val="32"/>
          <w:szCs w:val="32"/>
          <w:highlight w:val="none"/>
        </w:rPr>
      </w:pPr>
    </w:p>
    <w:p w14:paraId="487E6932">
      <w:pPr>
        <w:autoSpaceDE w:val="0"/>
        <w:autoSpaceDN w:val="0"/>
        <w:jc w:val="center"/>
        <w:rPr>
          <w:rFonts w:hint="eastAsia" w:ascii="宋体" w:hAnsi="宋体" w:cs="宋体"/>
          <w:b/>
          <w:color w:val="auto"/>
          <w:spacing w:val="6"/>
          <w:sz w:val="32"/>
          <w:szCs w:val="32"/>
          <w:highlight w:val="none"/>
        </w:rPr>
      </w:pPr>
    </w:p>
    <w:p w14:paraId="7D536980">
      <w:pPr>
        <w:autoSpaceDE w:val="0"/>
        <w:autoSpaceDN w:val="0"/>
        <w:jc w:val="center"/>
        <w:rPr>
          <w:rFonts w:hint="eastAsia" w:ascii="宋体" w:hAnsi="宋体" w:cs="宋体"/>
          <w:b/>
          <w:color w:val="auto"/>
          <w:spacing w:val="6"/>
          <w:sz w:val="32"/>
          <w:szCs w:val="32"/>
          <w:highlight w:val="none"/>
        </w:rPr>
      </w:pPr>
    </w:p>
    <w:p w14:paraId="24B498A0">
      <w:pPr>
        <w:autoSpaceDE w:val="0"/>
        <w:autoSpaceDN w:val="0"/>
        <w:jc w:val="center"/>
        <w:rPr>
          <w:rFonts w:hint="eastAsia"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8"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8"/>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9"/>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CC9C95C">
      <w:pPr>
        <w:pStyle w:val="60"/>
        <w:rPr>
          <w:rFonts w:ascii="宋体" w:hAnsi="宋体" w:cs="宋体"/>
          <w:b/>
          <w:color w:val="auto"/>
          <w:spacing w:val="6"/>
          <w:sz w:val="32"/>
          <w:szCs w:val="32"/>
          <w:highlight w:val="none"/>
        </w:rPr>
      </w:pPr>
    </w:p>
    <w:p w14:paraId="1312F115">
      <w:pPr>
        <w:pStyle w:val="60"/>
        <w:rPr>
          <w:rFonts w:ascii="宋体" w:hAnsi="宋体" w:cs="宋体"/>
          <w:b/>
          <w:color w:val="auto"/>
          <w:spacing w:val="6"/>
          <w:sz w:val="32"/>
          <w:szCs w:val="32"/>
          <w:highlight w:val="none"/>
        </w:rPr>
      </w:pPr>
    </w:p>
    <w:p w14:paraId="5FA0C56C">
      <w:pPr>
        <w:pStyle w:val="60"/>
        <w:rPr>
          <w:rFonts w:ascii="宋体" w:hAnsi="宋体" w:cs="宋体"/>
          <w:b/>
          <w:color w:val="auto"/>
          <w:spacing w:val="6"/>
          <w:sz w:val="32"/>
          <w:szCs w:val="32"/>
          <w:highlight w:val="none"/>
        </w:rPr>
      </w:pPr>
    </w:p>
    <w:p w14:paraId="482C2277">
      <w:pPr>
        <w:pStyle w:val="60"/>
        <w:rPr>
          <w:rFonts w:ascii="宋体" w:hAnsi="宋体" w:cs="宋体"/>
          <w:b/>
          <w:color w:val="auto"/>
          <w:spacing w:val="6"/>
          <w:sz w:val="32"/>
          <w:szCs w:val="32"/>
          <w:highlight w:val="none"/>
        </w:rPr>
      </w:pPr>
    </w:p>
    <w:p w14:paraId="65EDD294">
      <w:pPr>
        <w:pStyle w:val="60"/>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444A8768">
      <w:pPr>
        <w:pStyle w:val="60"/>
        <w:rPr>
          <w:rFonts w:ascii="宋体" w:hAnsi="宋体" w:cs="宋体"/>
          <w:b/>
          <w:color w:val="auto"/>
          <w:spacing w:val="6"/>
          <w:sz w:val="32"/>
          <w:szCs w:val="32"/>
          <w:highlight w:val="none"/>
        </w:rPr>
      </w:pPr>
    </w:p>
    <w:p w14:paraId="77FD4AED">
      <w:pPr>
        <w:pStyle w:val="60"/>
        <w:rPr>
          <w:rFonts w:ascii="宋体" w:hAnsi="宋体" w:cs="宋体"/>
          <w:b/>
          <w:color w:val="auto"/>
          <w:spacing w:val="6"/>
          <w:sz w:val="32"/>
          <w:szCs w:val="32"/>
          <w:highlight w:val="none"/>
        </w:rPr>
      </w:pPr>
    </w:p>
    <w:p w14:paraId="713C1F2A">
      <w:pPr>
        <w:pStyle w:val="60"/>
        <w:rPr>
          <w:rFonts w:ascii="宋体" w:hAnsi="宋体" w:cs="宋体"/>
          <w:b/>
          <w:color w:val="auto"/>
          <w:spacing w:val="6"/>
          <w:sz w:val="32"/>
          <w:szCs w:val="32"/>
          <w:highlight w:val="none"/>
        </w:rPr>
      </w:pPr>
    </w:p>
    <w:p w14:paraId="460C3396">
      <w:pPr>
        <w:pStyle w:val="60"/>
        <w:rPr>
          <w:rFonts w:ascii="宋体" w:hAnsi="宋体" w:cs="宋体"/>
          <w:b/>
          <w:color w:val="auto"/>
          <w:spacing w:val="6"/>
          <w:sz w:val="32"/>
          <w:szCs w:val="32"/>
          <w:highlight w:val="none"/>
        </w:rPr>
      </w:pPr>
    </w:p>
    <w:p w14:paraId="479097C4">
      <w:pPr>
        <w:pStyle w:val="60"/>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XcGJSymbol"/>
    <w:panose1 w:val="020B0500000000000000"/>
    <w:charset w:val="00"/>
    <w:family w:val="swiss"/>
    <w:pitch w:val="default"/>
    <w:sig w:usb0="00000000" w:usb1="00000000" w:usb2="00000000" w:usb3="00000000" w:csb0="00000001" w:csb1="00000000"/>
  </w:font>
  <w:font w:name="XcGJSymbol">
    <w:panose1 w:val="020005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hakuyoxingshu7000"/>
    <w:panose1 w:val="00000000000000000000"/>
    <w:charset w:val="00"/>
    <w:family w:val="roman"/>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hakuyoxingshu7000"/>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hakuyoxingshu7000"/>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39"/>
      <w:framePr w:wrap="around" w:vAnchor="text" w:hAnchor="margin" w:xAlign="right" w:y="1"/>
      <w:rPr>
        <w:rStyle w:val="72"/>
      </w:rPr>
    </w:pPr>
    <w:r>
      <w:fldChar w:fldCharType="begin"/>
    </w:r>
    <w:r>
      <w:rPr>
        <w:rStyle w:val="72"/>
      </w:rPr>
      <w:instrText xml:space="preserve">PAGE  </w:instrText>
    </w:r>
    <w:r>
      <w:fldChar w:fldCharType="end"/>
    </w:r>
  </w:p>
  <w:p w14:paraId="65FC6C0A">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0" w:name="_Toc131845147"/>
    <w:bookmarkStart w:id="521" w:name="_Toc36110187"/>
    <w:bookmarkStart w:id="522" w:name="_Toc91899912"/>
    <w:bookmarkStart w:id="523" w:name="_Toc164085800"/>
    <w:r>
      <w:rPr>
        <w:rFonts w:hint="eastAsia" w:ascii="仿宋_GB2312" w:eastAsia="仿宋_GB2312"/>
        <w:kern w:val="0"/>
        <w:szCs w:val="21"/>
      </w:rPr>
      <w:t xml:space="preserve"> 页</w:t>
    </w:r>
    <w:bookmarkEnd w:id="520"/>
    <w:bookmarkEnd w:id="521"/>
    <w:bookmarkEnd w:id="522"/>
    <w:bookmarkEnd w:id="5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39"/>
      <w:framePr w:wrap="around" w:vAnchor="text" w:hAnchor="margin" w:xAlign="right" w:y="1"/>
      <w:rPr>
        <w:rStyle w:val="72"/>
      </w:rPr>
    </w:pPr>
    <w:r>
      <w:fldChar w:fldCharType="begin"/>
    </w:r>
    <w:r>
      <w:rPr>
        <w:rStyle w:val="72"/>
      </w:rPr>
      <w:instrText xml:space="preserve">PAGE  </w:instrText>
    </w:r>
    <w:r>
      <w:fldChar w:fldCharType="end"/>
    </w:r>
  </w:p>
  <w:p w14:paraId="5E0900A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0"/>
      <w:pBdr>
        <w:bottom w:val="single" w:color="auto" w:sz="6" w:space="4"/>
      </w:pBdr>
      <w:jc w:val="right"/>
    </w:pPr>
    <w:r>
      <w:t></w:t>
    </w:r>
    <w:r>
      <w:rPr>
        <w:rFonts w:hint="eastAsia"/>
      </w:rPr>
      <w:t xml:space="preserve">             </w:t>
    </w:r>
    <w:r>
      <w:t>杭州市政府采购公开招标文件</w:t>
    </w:r>
  </w:p>
  <w:p w14:paraId="5E97806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0"/>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0"/>
    </w:pPr>
    <w:r>
      <w:t></w:t>
    </w:r>
    <w:r>
      <w:rPr>
        <w:rFonts w:hint="eastAsia"/>
      </w:rPr>
      <w:t xml:space="preserve">         </w:t>
    </w:r>
  </w:p>
  <w:p w14:paraId="6F97612A">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0"/>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0"/>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4F6052"/>
    <w:multiLevelType w:val="singleLevel"/>
    <w:tmpl w:val="174F6052"/>
    <w:lvl w:ilvl="0" w:tentative="0">
      <w:start w:val="8"/>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C44BE"/>
    <w:rsid w:val="011F6449"/>
    <w:rsid w:val="01236AFB"/>
    <w:rsid w:val="019F7441"/>
    <w:rsid w:val="01B37585"/>
    <w:rsid w:val="01D55165"/>
    <w:rsid w:val="01DF6BF8"/>
    <w:rsid w:val="01EC2C57"/>
    <w:rsid w:val="025F0711"/>
    <w:rsid w:val="026B2E25"/>
    <w:rsid w:val="02824D4D"/>
    <w:rsid w:val="02881E0B"/>
    <w:rsid w:val="02DC4B10"/>
    <w:rsid w:val="02DD76CE"/>
    <w:rsid w:val="02F36323"/>
    <w:rsid w:val="02F5619C"/>
    <w:rsid w:val="0326446A"/>
    <w:rsid w:val="032D5555"/>
    <w:rsid w:val="036634D2"/>
    <w:rsid w:val="03DD35E4"/>
    <w:rsid w:val="04076900"/>
    <w:rsid w:val="041A5A3B"/>
    <w:rsid w:val="042311BA"/>
    <w:rsid w:val="04285B2C"/>
    <w:rsid w:val="04297108"/>
    <w:rsid w:val="042B157A"/>
    <w:rsid w:val="048F763B"/>
    <w:rsid w:val="049F330E"/>
    <w:rsid w:val="04AA775C"/>
    <w:rsid w:val="04AF1889"/>
    <w:rsid w:val="04F66F48"/>
    <w:rsid w:val="05251E14"/>
    <w:rsid w:val="05885F2A"/>
    <w:rsid w:val="05A16594"/>
    <w:rsid w:val="05A7762D"/>
    <w:rsid w:val="060E5941"/>
    <w:rsid w:val="06110FAF"/>
    <w:rsid w:val="06493CA7"/>
    <w:rsid w:val="065A6178"/>
    <w:rsid w:val="066F1CF3"/>
    <w:rsid w:val="06930BB8"/>
    <w:rsid w:val="06C9278E"/>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5C04A2"/>
    <w:rsid w:val="0AA374A5"/>
    <w:rsid w:val="0AAB7649"/>
    <w:rsid w:val="0ABC5606"/>
    <w:rsid w:val="0AC17398"/>
    <w:rsid w:val="0AFC4B01"/>
    <w:rsid w:val="0B30404E"/>
    <w:rsid w:val="0B3F14D4"/>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A3F4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21708"/>
    <w:rsid w:val="0FBF3FD2"/>
    <w:rsid w:val="0FBF7FF3"/>
    <w:rsid w:val="10646583"/>
    <w:rsid w:val="107D4B15"/>
    <w:rsid w:val="108A3C80"/>
    <w:rsid w:val="10C26171"/>
    <w:rsid w:val="10F33360"/>
    <w:rsid w:val="10FC16EA"/>
    <w:rsid w:val="110F1D40"/>
    <w:rsid w:val="11266F33"/>
    <w:rsid w:val="11884460"/>
    <w:rsid w:val="118963A1"/>
    <w:rsid w:val="1198193E"/>
    <w:rsid w:val="11A007F3"/>
    <w:rsid w:val="11A77DD3"/>
    <w:rsid w:val="11C6522A"/>
    <w:rsid w:val="11E104CC"/>
    <w:rsid w:val="11E20309"/>
    <w:rsid w:val="12255233"/>
    <w:rsid w:val="12530213"/>
    <w:rsid w:val="127723A9"/>
    <w:rsid w:val="12862074"/>
    <w:rsid w:val="12883966"/>
    <w:rsid w:val="129E45B4"/>
    <w:rsid w:val="12D81596"/>
    <w:rsid w:val="13072A44"/>
    <w:rsid w:val="13426006"/>
    <w:rsid w:val="135F4BE2"/>
    <w:rsid w:val="139B1A0A"/>
    <w:rsid w:val="139D25C7"/>
    <w:rsid w:val="13BF3CE4"/>
    <w:rsid w:val="13CE750E"/>
    <w:rsid w:val="141008D8"/>
    <w:rsid w:val="14125FE6"/>
    <w:rsid w:val="146D271E"/>
    <w:rsid w:val="147F1FE2"/>
    <w:rsid w:val="14982588"/>
    <w:rsid w:val="149A5AD9"/>
    <w:rsid w:val="14A10B0A"/>
    <w:rsid w:val="14A7619D"/>
    <w:rsid w:val="150536C3"/>
    <w:rsid w:val="150C1963"/>
    <w:rsid w:val="151447A0"/>
    <w:rsid w:val="154A6454"/>
    <w:rsid w:val="15762120"/>
    <w:rsid w:val="167118F0"/>
    <w:rsid w:val="169321A9"/>
    <w:rsid w:val="16A8729C"/>
    <w:rsid w:val="16B066F8"/>
    <w:rsid w:val="16B33777"/>
    <w:rsid w:val="16BC70A7"/>
    <w:rsid w:val="16C6339E"/>
    <w:rsid w:val="16CE0C41"/>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C269A9"/>
    <w:rsid w:val="1BD75AB8"/>
    <w:rsid w:val="1C0459C2"/>
    <w:rsid w:val="1C1B3B4A"/>
    <w:rsid w:val="1C88086E"/>
    <w:rsid w:val="1CCB5BCC"/>
    <w:rsid w:val="1D266CE1"/>
    <w:rsid w:val="1D3963AF"/>
    <w:rsid w:val="1D6A673C"/>
    <w:rsid w:val="1D9247AE"/>
    <w:rsid w:val="1DB567EC"/>
    <w:rsid w:val="1DC955C6"/>
    <w:rsid w:val="1DF51A98"/>
    <w:rsid w:val="1E0745D4"/>
    <w:rsid w:val="1E18008F"/>
    <w:rsid w:val="1E3D060F"/>
    <w:rsid w:val="1E3F7D2E"/>
    <w:rsid w:val="1E4134E4"/>
    <w:rsid w:val="1E477E9B"/>
    <w:rsid w:val="1E5062B3"/>
    <w:rsid w:val="1E523514"/>
    <w:rsid w:val="1E714A66"/>
    <w:rsid w:val="1E802593"/>
    <w:rsid w:val="1E8B6156"/>
    <w:rsid w:val="1EA703CC"/>
    <w:rsid w:val="1EB7330C"/>
    <w:rsid w:val="1ECA77E5"/>
    <w:rsid w:val="1EEF3B02"/>
    <w:rsid w:val="1F0A0FF3"/>
    <w:rsid w:val="1F5771FF"/>
    <w:rsid w:val="1FCA0CB9"/>
    <w:rsid w:val="1FD52DD5"/>
    <w:rsid w:val="1FD55B0C"/>
    <w:rsid w:val="1FE868A9"/>
    <w:rsid w:val="20034907"/>
    <w:rsid w:val="20151B9D"/>
    <w:rsid w:val="20173E4B"/>
    <w:rsid w:val="204B23F0"/>
    <w:rsid w:val="204E48BC"/>
    <w:rsid w:val="20807FB2"/>
    <w:rsid w:val="208921B3"/>
    <w:rsid w:val="20973DEB"/>
    <w:rsid w:val="20B26522"/>
    <w:rsid w:val="20B44310"/>
    <w:rsid w:val="211116EB"/>
    <w:rsid w:val="216133FC"/>
    <w:rsid w:val="21C81DCC"/>
    <w:rsid w:val="21D56769"/>
    <w:rsid w:val="21E52EF3"/>
    <w:rsid w:val="21FB5D7B"/>
    <w:rsid w:val="22015E94"/>
    <w:rsid w:val="220B1C3D"/>
    <w:rsid w:val="221D1D20"/>
    <w:rsid w:val="22334A87"/>
    <w:rsid w:val="226D06CE"/>
    <w:rsid w:val="22BE6801"/>
    <w:rsid w:val="23335C2F"/>
    <w:rsid w:val="233500BF"/>
    <w:rsid w:val="2335292A"/>
    <w:rsid w:val="23377FF7"/>
    <w:rsid w:val="236B425F"/>
    <w:rsid w:val="23836192"/>
    <w:rsid w:val="23901F29"/>
    <w:rsid w:val="239C0061"/>
    <w:rsid w:val="23B908A4"/>
    <w:rsid w:val="23E31B7D"/>
    <w:rsid w:val="23E95BEF"/>
    <w:rsid w:val="23F15BAD"/>
    <w:rsid w:val="23FD0064"/>
    <w:rsid w:val="245375B0"/>
    <w:rsid w:val="24642C0A"/>
    <w:rsid w:val="24757F94"/>
    <w:rsid w:val="24B22173"/>
    <w:rsid w:val="24B95AD9"/>
    <w:rsid w:val="24BE24DA"/>
    <w:rsid w:val="24CF5825"/>
    <w:rsid w:val="24D663E6"/>
    <w:rsid w:val="24D77F2B"/>
    <w:rsid w:val="25063E2D"/>
    <w:rsid w:val="254F0783"/>
    <w:rsid w:val="258B00E2"/>
    <w:rsid w:val="25A917A6"/>
    <w:rsid w:val="25BE27CC"/>
    <w:rsid w:val="25F74A5C"/>
    <w:rsid w:val="2628662C"/>
    <w:rsid w:val="262D45DE"/>
    <w:rsid w:val="265E419A"/>
    <w:rsid w:val="26871DC8"/>
    <w:rsid w:val="26A53EF9"/>
    <w:rsid w:val="26A94201"/>
    <w:rsid w:val="26AC274F"/>
    <w:rsid w:val="27044A29"/>
    <w:rsid w:val="271D34C8"/>
    <w:rsid w:val="274D56E4"/>
    <w:rsid w:val="276142BF"/>
    <w:rsid w:val="27783712"/>
    <w:rsid w:val="27907362"/>
    <w:rsid w:val="28333E1D"/>
    <w:rsid w:val="28454BD6"/>
    <w:rsid w:val="28455253"/>
    <w:rsid w:val="28551971"/>
    <w:rsid w:val="285B1C53"/>
    <w:rsid w:val="288760F2"/>
    <w:rsid w:val="289D6456"/>
    <w:rsid w:val="289F7086"/>
    <w:rsid w:val="28C32028"/>
    <w:rsid w:val="28CC490F"/>
    <w:rsid w:val="28DE40AA"/>
    <w:rsid w:val="29345E77"/>
    <w:rsid w:val="294C65AD"/>
    <w:rsid w:val="295F21AE"/>
    <w:rsid w:val="29763EBB"/>
    <w:rsid w:val="29806583"/>
    <w:rsid w:val="298B3C4C"/>
    <w:rsid w:val="29F26D24"/>
    <w:rsid w:val="2A15033F"/>
    <w:rsid w:val="2A1662C1"/>
    <w:rsid w:val="2A1C7367"/>
    <w:rsid w:val="2A2815FA"/>
    <w:rsid w:val="2A652A8F"/>
    <w:rsid w:val="2A6D6092"/>
    <w:rsid w:val="2A7D76B4"/>
    <w:rsid w:val="2B0B23C4"/>
    <w:rsid w:val="2B437463"/>
    <w:rsid w:val="2B7807EE"/>
    <w:rsid w:val="2BA50BF7"/>
    <w:rsid w:val="2BBF00EC"/>
    <w:rsid w:val="2BC37CFD"/>
    <w:rsid w:val="2BD5237F"/>
    <w:rsid w:val="2BDE6D1E"/>
    <w:rsid w:val="2BE536CE"/>
    <w:rsid w:val="2BE758D9"/>
    <w:rsid w:val="2C09049E"/>
    <w:rsid w:val="2C0A653C"/>
    <w:rsid w:val="2C191F85"/>
    <w:rsid w:val="2CBC081D"/>
    <w:rsid w:val="2CE82D6F"/>
    <w:rsid w:val="2D343236"/>
    <w:rsid w:val="2DD15014"/>
    <w:rsid w:val="2DF72DE4"/>
    <w:rsid w:val="2E0220AF"/>
    <w:rsid w:val="2E4B082A"/>
    <w:rsid w:val="2E5D4E86"/>
    <w:rsid w:val="2E5D790B"/>
    <w:rsid w:val="2E9238C0"/>
    <w:rsid w:val="2E9A3C18"/>
    <w:rsid w:val="2EBB0FEE"/>
    <w:rsid w:val="2EC63002"/>
    <w:rsid w:val="2EEA1F07"/>
    <w:rsid w:val="2F0A6B38"/>
    <w:rsid w:val="2F946CCB"/>
    <w:rsid w:val="2F9A19C3"/>
    <w:rsid w:val="2FD25781"/>
    <w:rsid w:val="2FDC745C"/>
    <w:rsid w:val="2FFD7934"/>
    <w:rsid w:val="30733ACD"/>
    <w:rsid w:val="308C3862"/>
    <w:rsid w:val="309379D8"/>
    <w:rsid w:val="30A270F7"/>
    <w:rsid w:val="30DF1478"/>
    <w:rsid w:val="30EC586F"/>
    <w:rsid w:val="31025B09"/>
    <w:rsid w:val="310402C4"/>
    <w:rsid w:val="314550B7"/>
    <w:rsid w:val="319C6071"/>
    <w:rsid w:val="31AC537E"/>
    <w:rsid w:val="31E3679B"/>
    <w:rsid w:val="31E732FD"/>
    <w:rsid w:val="32517576"/>
    <w:rsid w:val="32BE5C2C"/>
    <w:rsid w:val="32FB6478"/>
    <w:rsid w:val="33263B3F"/>
    <w:rsid w:val="336963EB"/>
    <w:rsid w:val="33816EEB"/>
    <w:rsid w:val="33B77F13"/>
    <w:rsid w:val="33EB55CD"/>
    <w:rsid w:val="33EC4C02"/>
    <w:rsid w:val="340D2360"/>
    <w:rsid w:val="3410665D"/>
    <w:rsid w:val="34211214"/>
    <w:rsid w:val="342E63AB"/>
    <w:rsid w:val="34950E68"/>
    <w:rsid w:val="34986E94"/>
    <w:rsid w:val="34AF62C9"/>
    <w:rsid w:val="34CB4388"/>
    <w:rsid w:val="34DC2522"/>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5104A1"/>
    <w:rsid w:val="39636459"/>
    <w:rsid w:val="396B7F6C"/>
    <w:rsid w:val="39A46823"/>
    <w:rsid w:val="39B417A9"/>
    <w:rsid w:val="39FC5695"/>
    <w:rsid w:val="3A006D8E"/>
    <w:rsid w:val="3A3651E5"/>
    <w:rsid w:val="3A744481"/>
    <w:rsid w:val="3A83739D"/>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CE2B34"/>
    <w:rsid w:val="3CD17D17"/>
    <w:rsid w:val="3CFE449C"/>
    <w:rsid w:val="3D014D7F"/>
    <w:rsid w:val="3D3C7F39"/>
    <w:rsid w:val="3D440F09"/>
    <w:rsid w:val="3D4504A0"/>
    <w:rsid w:val="3D45630A"/>
    <w:rsid w:val="3D8734BB"/>
    <w:rsid w:val="3D9A11D4"/>
    <w:rsid w:val="3DA16D89"/>
    <w:rsid w:val="3DA364BE"/>
    <w:rsid w:val="3DE041CB"/>
    <w:rsid w:val="3E0D48F6"/>
    <w:rsid w:val="3E1868B4"/>
    <w:rsid w:val="3E377251"/>
    <w:rsid w:val="3E42664B"/>
    <w:rsid w:val="3E5A7334"/>
    <w:rsid w:val="3E7802D0"/>
    <w:rsid w:val="3E7B5D6B"/>
    <w:rsid w:val="3E843E66"/>
    <w:rsid w:val="3E8F51FE"/>
    <w:rsid w:val="3E926F87"/>
    <w:rsid w:val="3E9A59DE"/>
    <w:rsid w:val="3EA5765F"/>
    <w:rsid w:val="3EAF4836"/>
    <w:rsid w:val="3EC33DFA"/>
    <w:rsid w:val="3F060E16"/>
    <w:rsid w:val="3F1D1096"/>
    <w:rsid w:val="3F2F0234"/>
    <w:rsid w:val="3F6363FE"/>
    <w:rsid w:val="3F756B8F"/>
    <w:rsid w:val="3F7C61AC"/>
    <w:rsid w:val="3F95482B"/>
    <w:rsid w:val="4019356B"/>
    <w:rsid w:val="40535028"/>
    <w:rsid w:val="40592157"/>
    <w:rsid w:val="406E1CAE"/>
    <w:rsid w:val="40A0133A"/>
    <w:rsid w:val="40C31A53"/>
    <w:rsid w:val="40FF545D"/>
    <w:rsid w:val="410067C8"/>
    <w:rsid w:val="416D5DBF"/>
    <w:rsid w:val="418F0D2A"/>
    <w:rsid w:val="41D01505"/>
    <w:rsid w:val="420F1D62"/>
    <w:rsid w:val="422B7AE1"/>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255EB"/>
    <w:rsid w:val="4659254A"/>
    <w:rsid w:val="465B0637"/>
    <w:rsid w:val="465C23DA"/>
    <w:rsid w:val="465E3F0D"/>
    <w:rsid w:val="466A16E6"/>
    <w:rsid w:val="46893F2B"/>
    <w:rsid w:val="469F4F9C"/>
    <w:rsid w:val="46C4686E"/>
    <w:rsid w:val="475966E1"/>
    <w:rsid w:val="475A7F51"/>
    <w:rsid w:val="477B778F"/>
    <w:rsid w:val="478203EC"/>
    <w:rsid w:val="47B025FA"/>
    <w:rsid w:val="4809698F"/>
    <w:rsid w:val="4811697D"/>
    <w:rsid w:val="487A3E25"/>
    <w:rsid w:val="488B5503"/>
    <w:rsid w:val="48937E21"/>
    <w:rsid w:val="489A0361"/>
    <w:rsid w:val="489C555B"/>
    <w:rsid w:val="48B94FF3"/>
    <w:rsid w:val="48E37AAB"/>
    <w:rsid w:val="48FD4B4C"/>
    <w:rsid w:val="490A68E0"/>
    <w:rsid w:val="491055FE"/>
    <w:rsid w:val="495F5B3E"/>
    <w:rsid w:val="496F77D7"/>
    <w:rsid w:val="497654FD"/>
    <w:rsid w:val="4977185E"/>
    <w:rsid w:val="49B64211"/>
    <w:rsid w:val="49E56AF9"/>
    <w:rsid w:val="49F6167F"/>
    <w:rsid w:val="4A064FA0"/>
    <w:rsid w:val="4A137078"/>
    <w:rsid w:val="4A16615C"/>
    <w:rsid w:val="4A1D05F0"/>
    <w:rsid w:val="4A26732F"/>
    <w:rsid w:val="4A3F4FB3"/>
    <w:rsid w:val="4A4424D7"/>
    <w:rsid w:val="4AB82D0F"/>
    <w:rsid w:val="4AEB7664"/>
    <w:rsid w:val="4AFD7C19"/>
    <w:rsid w:val="4B0567D1"/>
    <w:rsid w:val="4B236AAE"/>
    <w:rsid w:val="4B65492A"/>
    <w:rsid w:val="4B707271"/>
    <w:rsid w:val="4B9739F7"/>
    <w:rsid w:val="4BEE2503"/>
    <w:rsid w:val="4C245A30"/>
    <w:rsid w:val="4C6E013B"/>
    <w:rsid w:val="4CB6685F"/>
    <w:rsid w:val="4CC367FE"/>
    <w:rsid w:val="4D077F3C"/>
    <w:rsid w:val="4D123355"/>
    <w:rsid w:val="4D2A3B31"/>
    <w:rsid w:val="4D312C52"/>
    <w:rsid w:val="4D7C67E2"/>
    <w:rsid w:val="4D905305"/>
    <w:rsid w:val="4D964A72"/>
    <w:rsid w:val="4D9C1254"/>
    <w:rsid w:val="4E793892"/>
    <w:rsid w:val="4E800872"/>
    <w:rsid w:val="4EC569ED"/>
    <w:rsid w:val="4ED50EA1"/>
    <w:rsid w:val="4EEC050C"/>
    <w:rsid w:val="4F104EC3"/>
    <w:rsid w:val="4F47354A"/>
    <w:rsid w:val="4F6D4A83"/>
    <w:rsid w:val="4F872323"/>
    <w:rsid w:val="4F911C54"/>
    <w:rsid w:val="4FBB50B7"/>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DD474A"/>
    <w:rsid w:val="52EA3A62"/>
    <w:rsid w:val="52F50BB8"/>
    <w:rsid w:val="52F91536"/>
    <w:rsid w:val="53097272"/>
    <w:rsid w:val="53544462"/>
    <w:rsid w:val="5397158E"/>
    <w:rsid w:val="54013861"/>
    <w:rsid w:val="54487265"/>
    <w:rsid w:val="544D6070"/>
    <w:rsid w:val="54605E1E"/>
    <w:rsid w:val="54B3506A"/>
    <w:rsid w:val="54CA0D16"/>
    <w:rsid w:val="54DD4057"/>
    <w:rsid w:val="54E7490F"/>
    <w:rsid w:val="550764A4"/>
    <w:rsid w:val="550B2BF6"/>
    <w:rsid w:val="55155C9B"/>
    <w:rsid w:val="55214EB5"/>
    <w:rsid w:val="55364EFD"/>
    <w:rsid w:val="555D4828"/>
    <w:rsid w:val="557A4C8B"/>
    <w:rsid w:val="558931E1"/>
    <w:rsid w:val="55923347"/>
    <w:rsid w:val="55925180"/>
    <w:rsid w:val="55983B1B"/>
    <w:rsid w:val="55A8376B"/>
    <w:rsid w:val="55DC29B6"/>
    <w:rsid w:val="55DD4241"/>
    <w:rsid w:val="56412E3C"/>
    <w:rsid w:val="566B6D1E"/>
    <w:rsid w:val="57032A2C"/>
    <w:rsid w:val="570F5219"/>
    <w:rsid w:val="5745565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464082"/>
    <w:rsid w:val="595E1678"/>
    <w:rsid w:val="596D5BD4"/>
    <w:rsid w:val="597B52F1"/>
    <w:rsid w:val="597E3DD8"/>
    <w:rsid w:val="59A23A21"/>
    <w:rsid w:val="59BC49D0"/>
    <w:rsid w:val="59F80043"/>
    <w:rsid w:val="5A09252F"/>
    <w:rsid w:val="5A0B2778"/>
    <w:rsid w:val="5A2A7C7B"/>
    <w:rsid w:val="5A3E2560"/>
    <w:rsid w:val="5A5D3B6E"/>
    <w:rsid w:val="5A637A76"/>
    <w:rsid w:val="5A6D33BA"/>
    <w:rsid w:val="5A792B1F"/>
    <w:rsid w:val="5A874767"/>
    <w:rsid w:val="5AA85BE2"/>
    <w:rsid w:val="5AAD6F28"/>
    <w:rsid w:val="5AD34E9F"/>
    <w:rsid w:val="5AD63A24"/>
    <w:rsid w:val="5B2E1A1D"/>
    <w:rsid w:val="5B843A1C"/>
    <w:rsid w:val="5B873E3F"/>
    <w:rsid w:val="5BB251D5"/>
    <w:rsid w:val="5C02690E"/>
    <w:rsid w:val="5C196DA7"/>
    <w:rsid w:val="5C2A048C"/>
    <w:rsid w:val="5C2F5FC8"/>
    <w:rsid w:val="5C80234E"/>
    <w:rsid w:val="5C8A680C"/>
    <w:rsid w:val="5CCE0307"/>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56657B"/>
    <w:rsid w:val="607330CE"/>
    <w:rsid w:val="60825176"/>
    <w:rsid w:val="609F2AC4"/>
    <w:rsid w:val="60B66842"/>
    <w:rsid w:val="60FA2EE8"/>
    <w:rsid w:val="60FC0DF8"/>
    <w:rsid w:val="61054A27"/>
    <w:rsid w:val="610A52BC"/>
    <w:rsid w:val="611D2366"/>
    <w:rsid w:val="61421856"/>
    <w:rsid w:val="6146003C"/>
    <w:rsid w:val="615227C4"/>
    <w:rsid w:val="61654E3F"/>
    <w:rsid w:val="6182292A"/>
    <w:rsid w:val="619F7F92"/>
    <w:rsid w:val="61F94C26"/>
    <w:rsid w:val="62000E56"/>
    <w:rsid w:val="62273BB5"/>
    <w:rsid w:val="624C05D4"/>
    <w:rsid w:val="624F3E49"/>
    <w:rsid w:val="62632286"/>
    <w:rsid w:val="62885958"/>
    <w:rsid w:val="62F40B65"/>
    <w:rsid w:val="62FC2CFE"/>
    <w:rsid w:val="63024505"/>
    <w:rsid w:val="635600A5"/>
    <w:rsid w:val="635B1DB5"/>
    <w:rsid w:val="63711FED"/>
    <w:rsid w:val="63880DDC"/>
    <w:rsid w:val="638D750D"/>
    <w:rsid w:val="63AC6CC0"/>
    <w:rsid w:val="63D01E3F"/>
    <w:rsid w:val="64055776"/>
    <w:rsid w:val="64240056"/>
    <w:rsid w:val="643E143A"/>
    <w:rsid w:val="64491666"/>
    <w:rsid w:val="64825305"/>
    <w:rsid w:val="648B6EEF"/>
    <w:rsid w:val="64C158BF"/>
    <w:rsid w:val="64CE2EAA"/>
    <w:rsid w:val="653C3090"/>
    <w:rsid w:val="65854376"/>
    <w:rsid w:val="658767BE"/>
    <w:rsid w:val="65892531"/>
    <w:rsid w:val="66195831"/>
    <w:rsid w:val="662E75B1"/>
    <w:rsid w:val="66342C2E"/>
    <w:rsid w:val="663E784C"/>
    <w:rsid w:val="668B6A45"/>
    <w:rsid w:val="66947ADA"/>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CC68E5"/>
    <w:rsid w:val="69FD55B8"/>
    <w:rsid w:val="6A0B1C62"/>
    <w:rsid w:val="6A2406C8"/>
    <w:rsid w:val="6ADE0BD1"/>
    <w:rsid w:val="6AE96859"/>
    <w:rsid w:val="6B147746"/>
    <w:rsid w:val="6B24787C"/>
    <w:rsid w:val="6B413A4D"/>
    <w:rsid w:val="6B573233"/>
    <w:rsid w:val="6B5B6274"/>
    <w:rsid w:val="6B7A2DC0"/>
    <w:rsid w:val="6B935D53"/>
    <w:rsid w:val="6BB82C57"/>
    <w:rsid w:val="6BCE4EB6"/>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D96113"/>
    <w:rsid w:val="6F061C4A"/>
    <w:rsid w:val="6F2A7D94"/>
    <w:rsid w:val="6F3468C5"/>
    <w:rsid w:val="6F8331F1"/>
    <w:rsid w:val="6F8D1DB6"/>
    <w:rsid w:val="6FAE1A09"/>
    <w:rsid w:val="6FD75BF8"/>
    <w:rsid w:val="70176BEA"/>
    <w:rsid w:val="70390D6C"/>
    <w:rsid w:val="704133CD"/>
    <w:rsid w:val="704B4683"/>
    <w:rsid w:val="707723D0"/>
    <w:rsid w:val="708A09D7"/>
    <w:rsid w:val="70F5661B"/>
    <w:rsid w:val="71360107"/>
    <w:rsid w:val="713B688E"/>
    <w:rsid w:val="71D43752"/>
    <w:rsid w:val="71F1796A"/>
    <w:rsid w:val="72154626"/>
    <w:rsid w:val="72262B5D"/>
    <w:rsid w:val="72283FF7"/>
    <w:rsid w:val="722E7212"/>
    <w:rsid w:val="723A0474"/>
    <w:rsid w:val="725923E4"/>
    <w:rsid w:val="72864BF7"/>
    <w:rsid w:val="729023FC"/>
    <w:rsid w:val="729D7340"/>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BB12BF"/>
    <w:rsid w:val="76C87133"/>
    <w:rsid w:val="76CD08D5"/>
    <w:rsid w:val="76DB4B92"/>
    <w:rsid w:val="76FD013A"/>
    <w:rsid w:val="77052AA4"/>
    <w:rsid w:val="77136511"/>
    <w:rsid w:val="77340A39"/>
    <w:rsid w:val="77351FD0"/>
    <w:rsid w:val="77472422"/>
    <w:rsid w:val="777F31F2"/>
    <w:rsid w:val="77D1700D"/>
    <w:rsid w:val="77EC04CC"/>
    <w:rsid w:val="7871279C"/>
    <w:rsid w:val="78775729"/>
    <w:rsid w:val="78A42DB0"/>
    <w:rsid w:val="78A656AB"/>
    <w:rsid w:val="78B2245C"/>
    <w:rsid w:val="78E172CC"/>
    <w:rsid w:val="78EA1D1F"/>
    <w:rsid w:val="7904172F"/>
    <w:rsid w:val="790F7E27"/>
    <w:rsid w:val="792676D9"/>
    <w:rsid w:val="792A231A"/>
    <w:rsid w:val="79316829"/>
    <w:rsid w:val="79774D7D"/>
    <w:rsid w:val="797E66A9"/>
    <w:rsid w:val="798518A4"/>
    <w:rsid w:val="79A97383"/>
    <w:rsid w:val="79E27E8B"/>
    <w:rsid w:val="79E40BCF"/>
    <w:rsid w:val="79F850CE"/>
    <w:rsid w:val="79FD443C"/>
    <w:rsid w:val="7A1D1975"/>
    <w:rsid w:val="7A3E5150"/>
    <w:rsid w:val="7A4670D6"/>
    <w:rsid w:val="7A534B63"/>
    <w:rsid w:val="7A615382"/>
    <w:rsid w:val="7A637111"/>
    <w:rsid w:val="7A67303B"/>
    <w:rsid w:val="7AA31C03"/>
    <w:rsid w:val="7AAB1D04"/>
    <w:rsid w:val="7ABA4368"/>
    <w:rsid w:val="7AC8081A"/>
    <w:rsid w:val="7ACE689A"/>
    <w:rsid w:val="7AD05746"/>
    <w:rsid w:val="7AD16558"/>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952679"/>
    <w:rsid w:val="7CCA3B4D"/>
    <w:rsid w:val="7CE27788"/>
    <w:rsid w:val="7D0C32F1"/>
    <w:rsid w:val="7D0F408D"/>
    <w:rsid w:val="7D491C6C"/>
    <w:rsid w:val="7D5429C0"/>
    <w:rsid w:val="7D641CD6"/>
    <w:rsid w:val="7D6E6D43"/>
    <w:rsid w:val="7D733B0F"/>
    <w:rsid w:val="7DB57A34"/>
    <w:rsid w:val="7DE60973"/>
    <w:rsid w:val="7DEF0916"/>
    <w:rsid w:val="7E1E5218"/>
    <w:rsid w:val="7E560CD3"/>
    <w:rsid w:val="7E9A4E1F"/>
    <w:rsid w:val="7EA7723A"/>
    <w:rsid w:val="7EC95477"/>
    <w:rsid w:val="7EF56FBB"/>
    <w:rsid w:val="7F0768EB"/>
    <w:rsid w:val="7F143BEC"/>
    <w:rsid w:val="7F5E0FB0"/>
    <w:rsid w:val="7F715AF2"/>
    <w:rsid w:val="7F886E69"/>
    <w:rsid w:val="7FB20BCE"/>
    <w:rsid w:val="7FD83CE4"/>
    <w:rsid w:val="7FEB2083"/>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3"/>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4"/>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next w:val="841"/>
    <w:qFormat/>
    <w:uiPriority w:val="0"/>
    <w:pPr>
      <w:ind w:left="0" w:leftChars="0" w:firstLine="480" w:firstLineChars="200"/>
    </w:pPr>
    <w:rPr>
      <w:rFonts w:ascii="仿宋_GB2312" w:hAnsi="Courier New" w:eastAsia="仿宋_GB2312"/>
      <w:kern w:val="28"/>
      <w:sz w:val="24"/>
    </w:rPr>
  </w:style>
  <w:style w:type="paragraph" w:customStyle="1" w:styleId="841">
    <w:name w:val="自动更正"/>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2"/>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8"/>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29"/>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3"/>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2"/>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7"/>
    <w:qFormat/>
    <w:uiPriority w:val="0"/>
    <w:rPr>
      <w:kern w:val="2"/>
      <w:sz w:val="21"/>
      <w:szCs w:val="24"/>
      <w:lang w:val="zh-CN"/>
    </w:rPr>
  </w:style>
  <w:style w:type="character" w:customStyle="1" w:styleId="934">
    <w:name w:val="无间隔 Char"/>
    <w:link w:val="483"/>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8"/>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20078</Words>
  <Characters>21329</Characters>
  <Lines>281</Lines>
  <Paragraphs>79</Paragraphs>
  <TotalTime>66</TotalTime>
  <ScaleCrop>false</ScaleCrop>
  <LinksUpToDate>false</LinksUpToDate>
  <CharactersWithSpaces>21840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小诚想喝水</cp:lastModifiedBy>
  <cp:lastPrinted>2021-12-28T03:06:00Z</cp:lastPrinted>
  <dcterms:modified xsi:type="dcterms:W3CDTF">2025-06-10T10:39:02Z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0211024A29DE45CF86F119D0605D57ED_13</vt:lpwstr>
  </property>
  <property fmtid="{D5CDD505-2E9C-101B-9397-08002B2CF9AE}" pid="5" name="KSOTemplateDocerSaveRecord">
    <vt:lpwstr>eyJoZGlkIjoiNjNhNjBmYjkyNGEwNDMzN2E2YWY5YWVmOTYwYTc3ZTYiLCJ1c2VySWQiOiIxMTIzMjMwMjc5In0=</vt:lpwstr>
  </property>
</Properties>
</file>