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rPr>
      </w:pPr>
      <w:r>
        <w:rPr>
          <w:rFonts w:hint="eastAsia" w:ascii="仿宋_GB2312" w:hAnsi="仿宋_GB2312" w:eastAsia="仿宋_GB2312" w:cs="仿宋_GB2312"/>
          <w:lang w:val="en-US" w:eastAsia="zh-CN"/>
        </w:rPr>
        <w:t>一、</w:t>
      </w:r>
      <w:r>
        <w:rPr>
          <w:rFonts w:hint="eastAsia" w:ascii="仿宋_GB2312" w:hAnsi="仿宋_GB2312" w:eastAsia="仿宋_GB2312" w:cs="仿宋_GB2312"/>
        </w:rPr>
        <w:t>评标办法及评分标准</w:t>
      </w:r>
    </w:p>
    <w:p>
      <w:p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根据《中华人民共和国政府采购法》等有关法律法规，遵循“公开、公平、公正”的原则，结合本项目的实际需求，制定本办法。</w:t>
      </w:r>
    </w:p>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一、总则</w:t>
      </w:r>
    </w:p>
    <w:p>
      <w:pPr>
        <w:numPr>
          <w:ilvl w:val="0"/>
          <w:numId w:val="1"/>
        </w:num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本次评标采用综合评分法，总分为100分。综合评分法，是指投标文件满足招标文件全部实质性要求，且按照评审因素的量化指标评审得分最高的投标人为中标候选人的评标方法。</w:t>
      </w:r>
    </w:p>
    <w:p>
      <w:pPr>
        <w:numPr>
          <w:ilvl w:val="0"/>
          <w:numId w:val="1"/>
        </w:numPr>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szCs w:val="24"/>
        </w:rPr>
        <w:t>各合</w:t>
      </w:r>
      <w:r>
        <w:rPr>
          <w:rFonts w:hint="eastAsia" w:ascii="仿宋_GB2312" w:hAnsi="仿宋_GB2312" w:eastAsia="仿宋_GB2312" w:cs="仿宋_GB2312"/>
          <w:color w:val="auto"/>
          <w:szCs w:val="24"/>
          <w:highlight w:val="none"/>
        </w:rPr>
        <w:t>格投标人综合得分的计算公式为：</w:t>
      </w:r>
    </w:p>
    <w:p>
      <w:pPr>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投标人评标综合得分=资信及技术得分＋商务价格得分。</w:t>
      </w:r>
    </w:p>
    <w:p>
      <w:pPr>
        <w:numPr>
          <w:ilvl w:val="0"/>
          <w:numId w:val="1"/>
        </w:numPr>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合格投标人的评标得分为各项目汇总得分，中标候选资格按评标得分由高到低顺序排列，得分相同的，按投标报价由低到高顺序排列；得分且投标报价相同的并列，并形成评标意见。</w:t>
      </w:r>
    </w:p>
    <w:p>
      <w:pPr>
        <w:numPr>
          <w:ilvl w:val="0"/>
          <w:numId w:val="1"/>
        </w:numPr>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投标文件满足招标文件全部实质性要求，且按照评审因素的量化指标评审得分最高的投标人为排名第一的中标候选人。本项目推荐的中标候选人数量：</w:t>
      </w:r>
      <w:r>
        <w:rPr>
          <w:rFonts w:hint="eastAsia" w:ascii="仿宋_GB2312" w:hAnsi="仿宋_GB2312" w:eastAsia="仿宋_GB2312" w:cs="仿宋_GB2312"/>
          <w:color w:val="auto"/>
          <w:szCs w:val="24"/>
          <w:highlight w:val="none"/>
          <w:u w:val="single"/>
          <w:lang w:val="en-US" w:eastAsia="zh-CN"/>
        </w:rPr>
        <w:t xml:space="preserve"> 1 </w:t>
      </w:r>
      <w:r>
        <w:rPr>
          <w:rFonts w:hint="eastAsia" w:ascii="仿宋_GB2312" w:hAnsi="仿宋_GB2312" w:eastAsia="仿宋_GB2312" w:cs="仿宋_GB2312"/>
          <w:color w:val="auto"/>
          <w:szCs w:val="24"/>
          <w:highlight w:val="none"/>
        </w:rPr>
        <w:t>。</w:t>
      </w:r>
    </w:p>
    <w:p>
      <w:pPr>
        <w:numPr>
          <w:ilvl w:val="0"/>
          <w:numId w:val="1"/>
        </w:num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评分过程中采用四舍五入法，并保留小数2位。</w:t>
      </w:r>
    </w:p>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二、评分内容及标准</w:t>
      </w:r>
    </w:p>
    <w:p>
      <w:pPr>
        <w:pStyle w:val="4"/>
        <w:ind w:firstLine="482"/>
        <w:rPr>
          <w:rFonts w:hint="eastAsia" w:ascii="仿宋_GB2312" w:hAnsi="仿宋_GB2312" w:eastAsia="仿宋_GB2312" w:cs="仿宋_GB2312"/>
          <w:color w:val="FF0000"/>
          <w:szCs w:val="24"/>
        </w:rPr>
      </w:pPr>
      <w:r>
        <w:rPr>
          <w:rFonts w:hint="eastAsia" w:ascii="仿宋_GB2312" w:hAnsi="仿宋_GB2312" w:eastAsia="仿宋_GB2312" w:cs="仿宋_GB2312"/>
          <w:szCs w:val="24"/>
        </w:rPr>
        <w:t>（一）商务价格评分</w:t>
      </w:r>
      <w:r>
        <w:rPr>
          <w:rFonts w:hint="eastAsia" w:ascii="仿宋_GB2312" w:hAnsi="仿宋_GB2312" w:eastAsia="仿宋_GB2312" w:cs="仿宋_GB2312"/>
          <w:color w:val="auto"/>
          <w:szCs w:val="24"/>
          <w:highlight w:val="none"/>
        </w:rPr>
        <w:t>（30分）</w:t>
      </w:r>
    </w:p>
    <w:p>
      <w:pPr>
        <w:numPr>
          <w:ilvl w:val="0"/>
          <w:numId w:val="2"/>
        </w:numPr>
        <w:ind w:firstLine="482"/>
        <w:rPr>
          <w:rFonts w:hint="eastAsia" w:ascii="仿宋_GB2312" w:hAnsi="仿宋_GB2312" w:eastAsia="仿宋_GB2312" w:cs="仿宋_GB2312"/>
          <w:szCs w:val="24"/>
        </w:rPr>
      </w:pPr>
      <w:r>
        <w:rPr>
          <w:rFonts w:hint="eastAsia" w:ascii="仿宋_GB2312" w:hAnsi="仿宋_GB2312" w:eastAsia="仿宋_GB2312" w:cs="仿宋_GB2312"/>
          <w:b/>
          <w:bCs/>
          <w:szCs w:val="24"/>
        </w:rPr>
        <w:t>报价的合理性：</w:t>
      </w:r>
      <w:r>
        <w:rPr>
          <w:rFonts w:hint="eastAsia" w:ascii="仿宋_GB2312" w:hAnsi="仿宋_GB2312" w:eastAsia="仿宋_GB2312" w:cs="仿宋_GB2312"/>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numPr>
          <w:ilvl w:val="0"/>
          <w:numId w:val="2"/>
        </w:numPr>
        <w:ind w:firstLine="482"/>
        <w:rPr>
          <w:rFonts w:hint="eastAsia" w:ascii="仿宋_GB2312" w:hAnsi="仿宋_GB2312" w:eastAsia="仿宋_GB2312" w:cs="仿宋_GB2312"/>
          <w:color w:val="7030A0"/>
          <w:szCs w:val="24"/>
        </w:rPr>
      </w:pPr>
      <w:r>
        <w:rPr>
          <w:rFonts w:hint="eastAsia" w:ascii="仿宋_GB2312" w:hAnsi="仿宋_GB2312" w:eastAsia="仿宋_GB2312" w:cs="仿宋_GB2312"/>
          <w:b/>
          <w:bCs/>
          <w:szCs w:val="24"/>
        </w:rPr>
        <w:t>商务</w:t>
      </w:r>
      <w:r>
        <w:rPr>
          <w:rFonts w:hint="eastAsia" w:ascii="仿宋_GB2312" w:hAnsi="仿宋_GB2312" w:eastAsia="仿宋_GB2312" w:cs="仿宋_GB2312"/>
          <w:b/>
          <w:bCs/>
          <w:szCs w:val="24"/>
          <w:lang w:val="zh-CN"/>
        </w:rPr>
        <w:t>价格分的计算：</w:t>
      </w:r>
      <w:r>
        <w:rPr>
          <w:rFonts w:hint="eastAsia" w:ascii="仿宋_GB2312" w:hAnsi="仿宋_GB2312" w:eastAsia="仿宋_GB2312" w:cs="仿宋_GB2312"/>
          <w:szCs w:val="24"/>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_GB2312" w:hAnsi="仿宋_GB2312" w:eastAsia="仿宋_GB2312" w:cs="仿宋_GB2312"/>
          <w:color w:val="auto"/>
          <w:szCs w:val="24"/>
          <w:highlight w:val="none"/>
        </w:rPr>
        <w:t>30%</w:t>
      </w:r>
      <w:r>
        <w:rPr>
          <w:rFonts w:hint="eastAsia" w:ascii="仿宋_GB2312" w:hAnsi="仿宋_GB2312" w:eastAsia="仿宋_GB2312" w:cs="仿宋_GB2312"/>
          <w:szCs w:val="24"/>
        </w:rPr>
        <w:t>×100；</w:t>
      </w:r>
      <w:r>
        <w:rPr>
          <w:rFonts w:hint="eastAsia" w:ascii="仿宋_GB2312" w:hAnsi="仿宋_GB2312" w:eastAsia="仿宋_GB2312" w:cs="仿宋_GB2312"/>
          <w:color w:val="000000"/>
          <w:szCs w:val="24"/>
          <w:highlight w:val="none"/>
        </w:rPr>
        <w:t>评标过程中，不得去掉报价中的最高报价和最低报价。</w:t>
      </w:r>
    </w:p>
    <w:p>
      <w:pPr>
        <w:pStyle w:val="4"/>
        <w:ind w:firstLine="482"/>
        <w:rPr>
          <w:rFonts w:hint="eastAsia" w:ascii="仿宋_GB2312" w:hAnsi="仿宋_GB2312" w:eastAsia="仿宋_GB2312" w:cs="仿宋_GB2312"/>
          <w:color w:val="FF0000"/>
          <w:szCs w:val="24"/>
        </w:rPr>
      </w:pPr>
      <w:r>
        <w:rPr>
          <w:rFonts w:hint="eastAsia" w:ascii="仿宋_GB2312" w:hAnsi="仿宋_GB2312" w:eastAsia="仿宋_GB2312" w:cs="仿宋_GB2312"/>
          <w:szCs w:val="24"/>
        </w:rPr>
        <w:t>（二）资信及技术评分</w:t>
      </w:r>
      <w:r>
        <w:rPr>
          <w:rFonts w:hint="eastAsia" w:ascii="仿宋_GB2312" w:hAnsi="仿宋_GB2312" w:eastAsia="仿宋_GB2312" w:cs="仿宋_GB2312"/>
          <w:color w:val="auto"/>
          <w:szCs w:val="24"/>
          <w:highlight w:val="none"/>
        </w:rPr>
        <w:t>（70分）</w:t>
      </w:r>
    </w:p>
    <w:p>
      <w:pPr>
        <w:numPr>
          <w:ilvl w:val="0"/>
          <w:numId w:val="3"/>
        </w:numPr>
        <w:ind w:firstLine="482"/>
        <w:rPr>
          <w:rFonts w:hint="eastAsia" w:ascii="仿宋_GB2312" w:hAnsi="仿宋_GB2312" w:eastAsia="仿宋_GB2312" w:cs="仿宋_GB2312"/>
          <w:b/>
          <w:bCs/>
          <w:szCs w:val="24"/>
        </w:rPr>
      </w:pPr>
      <w:r>
        <w:rPr>
          <w:rFonts w:hint="eastAsia" w:ascii="仿宋_GB2312" w:hAnsi="仿宋_GB2312" w:eastAsia="仿宋_GB2312" w:cs="仿宋_GB2312"/>
          <w:b/>
          <w:bCs/>
          <w:szCs w:val="24"/>
        </w:rPr>
        <w:t>资信及技术分的计算</w:t>
      </w:r>
    </w:p>
    <w:p>
      <w:pPr>
        <w:spacing w:before="109" w:beforeLines="35"/>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资信及技术评分按照评标委员会成员的独立评分结果汇总后的算术平均分计算，计算公式为：资信及技术评分＝评标委员会所有成员评分合计数/评标委员会组成人员数。</w:t>
      </w:r>
    </w:p>
    <w:p>
      <w:pPr>
        <w:keepNext w:val="0"/>
        <w:keepLines w:val="0"/>
        <w:pageBreakBefore w:val="0"/>
        <w:widowControl w:val="0"/>
        <w:numPr>
          <w:ilvl w:val="0"/>
          <w:numId w:val="3"/>
        </w:numPr>
        <w:kinsoku/>
        <w:wordWrap/>
        <w:overflowPunct/>
        <w:topLinePunct w:val="0"/>
        <w:autoSpaceDE/>
        <w:autoSpaceDN/>
        <w:bidi w:val="0"/>
        <w:adjustRightInd/>
        <w:snapToGrid/>
        <w:ind w:firstLine="482"/>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评分细则</w:t>
      </w:r>
    </w:p>
    <w:tbl>
      <w:tblPr>
        <w:tblStyle w:val="11"/>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95"/>
        <w:gridCol w:w="6802"/>
        <w:gridCol w:w="75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14" w:type="dxa"/>
            <w:noWrap w:val="0"/>
            <w:vAlign w:val="center"/>
          </w:tcPr>
          <w:p>
            <w:pPr>
              <w:widowControl/>
              <w:ind w:firstLine="0" w:firstLineChars="0"/>
              <w:jc w:val="center"/>
              <w:rPr>
                <w:rFonts w:hint="eastAsia" w:ascii="仿宋_GB2312" w:hAnsi="仿宋_GB2312" w:eastAsia="仿宋_GB2312" w:cs="仿宋_GB2312"/>
                <w:b/>
                <w:bCs/>
                <w:kern w:val="0"/>
                <w:sz w:val="24"/>
                <w:szCs w:val="24"/>
              </w:rPr>
            </w:pPr>
            <w:bookmarkStart w:id="5" w:name="_GoBack"/>
            <w:bookmarkEnd w:id="5"/>
            <w:r>
              <w:rPr>
                <w:rFonts w:hint="eastAsia" w:ascii="仿宋_GB2312" w:hAnsi="仿宋_GB2312" w:eastAsia="仿宋_GB2312" w:cs="仿宋_GB2312"/>
                <w:b/>
                <w:bCs/>
                <w:kern w:val="0"/>
                <w:sz w:val="24"/>
                <w:szCs w:val="24"/>
              </w:rPr>
              <w:t>序号</w:t>
            </w:r>
          </w:p>
        </w:tc>
        <w:tc>
          <w:tcPr>
            <w:tcW w:w="1395" w:type="dxa"/>
            <w:noWrap w:val="0"/>
            <w:vAlign w:val="center"/>
          </w:tcPr>
          <w:p>
            <w:pPr>
              <w:widowControl/>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评分项目</w:t>
            </w:r>
          </w:p>
        </w:tc>
        <w:tc>
          <w:tcPr>
            <w:tcW w:w="6802" w:type="dxa"/>
            <w:noWrap w:val="0"/>
            <w:vAlign w:val="center"/>
          </w:tcPr>
          <w:p>
            <w:pPr>
              <w:widowControl/>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评分内容</w:t>
            </w:r>
          </w:p>
        </w:tc>
        <w:tc>
          <w:tcPr>
            <w:tcW w:w="754" w:type="dxa"/>
            <w:noWrap w:val="0"/>
            <w:vAlign w:val="center"/>
          </w:tcPr>
          <w:p>
            <w:pPr>
              <w:widowControl/>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分值</w:t>
            </w:r>
          </w:p>
        </w:tc>
        <w:tc>
          <w:tcPr>
            <w:tcW w:w="774" w:type="dxa"/>
            <w:noWrap w:val="0"/>
            <w:vAlign w:val="center"/>
          </w:tcPr>
          <w:p>
            <w:pPr>
              <w:widowControl/>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highlight w:val="none"/>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714"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95" w:type="dxa"/>
            <w:vMerge w:val="restart"/>
            <w:noWrap w:val="0"/>
            <w:vAlign w:val="center"/>
          </w:tcPr>
          <w:p>
            <w:pPr>
              <w:widowControl/>
              <w:ind w:firstLine="0" w:firstLineChars="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技术方案完整性</w:t>
            </w:r>
          </w:p>
        </w:tc>
        <w:tc>
          <w:tcPr>
            <w:tcW w:w="6802" w:type="dxa"/>
            <w:noWrap w:val="0"/>
            <w:vAlign w:val="center"/>
          </w:tcPr>
          <w:p>
            <w:pPr>
              <w:widowControl/>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highlight w:val="none"/>
              </w:rPr>
              <w:t>投标人组织实施方案</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组织实施方案的科学性、合理性、规范性和可操作性，是否充分考虑实际使用需求,对</w:t>
            </w:r>
            <w:r>
              <w:rPr>
                <w:rFonts w:hint="eastAsia" w:ascii="仿宋_GB2312" w:hAnsi="仿宋_GB2312" w:eastAsia="仿宋_GB2312" w:cs="仿宋_GB2312"/>
                <w:color w:val="000000"/>
                <w:sz w:val="24"/>
                <w:szCs w:val="24"/>
                <w:highlight w:val="none"/>
                <w:lang w:val="en-US" w:eastAsia="zh-CN"/>
              </w:rPr>
              <w:t>本</w:t>
            </w:r>
            <w:r>
              <w:rPr>
                <w:rFonts w:hint="eastAsia" w:ascii="仿宋_GB2312" w:hAnsi="仿宋_GB2312" w:eastAsia="仿宋_GB2312" w:cs="仿宋_GB2312"/>
                <w:color w:val="000000"/>
                <w:sz w:val="24"/>
                <w:szCs w:val="24"/>
                <w:highlight w:val="none"/>
              </w:rPr>
              <w:t>项目需求理解全面，方案完整、针对性强的得</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分；方案较完整、针对性较好的得2分；方案欠完整、针对性一般的得1分；不提供方案或不满足采购需求的不得分。（</w:t>
            </w:r>
            <w:r>
              <w:rPr>
                <w:rFonts w:hint="eastAsia" w:ascii="仿宋_GB2312" w:hAnsi="仿宋_GB2312" w:eastAsia="仿宋_GB2312" w:cs="仿宋_GB2312"/>
                <w:color w:val="000000"/>
                <w:sz w:val="24"/>
                <w:szCs w:val="24"/>
                <w:highlight w:val="none"/>
                <w:lang w:val="en-US" w:eastAsia="zh-CN"/>
              </w:rPr>
              <w:t>0-4</w:t>
            </w:r>
            <w:r>
              <w:rPr>
                <w:rFonts w:hint="eastAsia" w:ascii="仿宋_GB2312" w:hAnsi="仿宋_GB2312" w:eastAsia="仿宋_GB2312" w:cs="仿宋_GB2312"/>
                <w:color w:val="000000"/>
                <w:sz w:val="24"/>
                <w:szCs w:val="24"/>
                <w:highlight w:val="none"/>
              </w:rPr>
              <w:t>分）</w:t>
            </w:r>
          </w:p>
        </w:tc>
        <w:tc>
          <w:tcPr>
            <w:tcW w:w="754" w:type="dxa"/>
            <w:noWrap w:val="0"/>
            <w:vAlign w:val="center"/>
          </w:tcPr>
          <w:p>
            <w:pPr>
              <w:widowControl/>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eastAsia="zh-CN"/>
              </w:rPr>
              <w:t>分</w:t>
            </w:r>
          </w:p>
        </w:tc>
        <w:tc>
          <w:tcPr>
            <w:tcW w:w="774" w:type="dxa"/>
            <w:noWrap w:val="0"/>
            <w:vAlign w:val="center"/>
          </w:tcPr>
          <w:p>
            <w:pPr>
              <w:widowControl/>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1395" w:type="dxa"/>
            <w:vMerge w:val="continue"/>
            <w:noWrap w:val="0"/>
            <w:vAlign w:val="center"/>
          </w:tcPr>
          <w:p>
            <w:pPr>
              <w:adjustRightInd w:val="0"/>
              <w:snapToGrid w:val="0"/>
              <w:ind w:firstLine="0" w:firstLineChars="0"/>
              <w:jc w:val="center"/>
              <w:rPr>
                <w:rFonts w:hint="eastAsia" w:ascii="仿宋_GB2312" w:hAnsi="仿宋_GB2312" w:eastAsia="仿宋_GB2312" w:cs="仿宋_GB2312"/>
                <w:sz w:val="24"/>
                <w:szCs w:val="24"/>
              </w:rPr>
            </w:pPr>
          </w:p>
        </w:tc>
        <w:tc>
          <w:tcPr>
            <w:tcW w:w="6802" w:type="dxa"/>
            <w:noWrap w:val="0"/>
            <w:vAlign w:val="center"/>
          </w:tcPr>
          <w:p>
            <w:pPr>
              <w:adjustRightInd w:val="0"/>
              <w:snapToGrid w:val="0"/>
              <w:ind w:firstLine="0" w:firstLineChars="0"/>
              <w:jc w:val="left"/>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color w:val="000000"/>
                <w:sz w:val="24"/>
                <w:szCs w:val="24"/>
                <w:highlight w:val="none"/>
              </w:rPr>
              <w:t>系统适配服务方案。本项目要求投标人在投标时根据采购需求，结合自身行业经验，提供软件适配服务方案，包括人员配置、运行体系和保障机制等。</w:t>
            </w:r>
            <w:r>
              <w:rPr>
                <w:rFonts w:hint="eastAsia" w:ascii="仿宋_GB2312" w:hAnsi="仿宋_GB2312" w:eastAsia="仿宋_GB2312" w:cs="仿宋_GB2312"/>
                <w:color w:val="000000"/>
                <w:sz w:val="24"/>
                <w:szCs w:val="24"/>
                <w:highlight w:val="none"/>
                <w:lang w:eastAsia="zh-CN"/>
              </w:rPr>
              <w:t>根据</w:t>
            </w:r>
            <w:r>
              <w:rPr>
                <w:rFonts w:hint="eastAsia" w:ascii="仿宋_GB2312" w:hAnsi="仿宋_GB2312" w:eastAsia="仿宋_GB2312" w:cs="仿宋_GB2312"/>
                <w:color w:val="000000"/>
                <w:sz w:val="24"/>
                <w:szCs w:val="24"/>
                <w:highlight w:val="none"/>
              </w:rPr>
              <w:t>方案完整、针对性强的得</w:t>
            </w: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分；方案较完整、针对性较好的得2分；方案欠完整、针对性一般的得1分；不提供方案或不满足采购需求的不得分。（</w:t>
            </w:r>
            <w:r>
              <w:rPr>
                <w:rFonts w:hint="eastAsia" w:ascii="仿宋_GB2312" w:hAnsi="仿宋_GB2312" w:eastAsia="仿宋_GB2312" w:cs="仿宋_GB2312"/>
                <w:color w:val="000000"/>
                <w:sz w:val="24"/>
                <w:szCs w:val="24"/>
                <w:highlight w:val="none"/>
                <w:lang w:val="en-US" w:eastAsia="zh-CN"/>
              </w:rPr>
              <w:t>0-4</w:t>
            </w:r>
            <w:r>
              <w:rPr>
                <w:rFonts w:hint="eastAsia" w:ascii="仿宋_GB2312" w:hAnsi="仿宋_GB2312" w:eastAsia="仿宋_GB2312" w:cs="仿宋_GB2312"/>
                <w:color w:val="000000"/>
                <w:sz w:val="24"/>
                <w:szCs w:val="24"/>
                <w:highlight w:val="none"/>
              </w:rPr>
              <w:t>分）</w:t>
            </w:r>
          </w:p>
        </w:tc>
        <w:tc>
          <w:tcPr>
            <w:tcW w:w="754" w:type="dxa"/>
            <w:noWrap w:val="0"/>
            <w:vAlign w:val="center"/>
          </w:tcPr>
          <w:p>
            <w:pPr>
              <w:widowControl/>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kern w:val="2"/>
                <w:sz w:val="24"/>
                <w:szCs w:val="24"/>
                <w:lang w:val="en-US" w:eastAsia="zh-CN" w:bidi="ar-SA"/>
              </w:rPr>
              <w:t>分</w:t>
            </w:r>
          </w:p>
        </w:tc>
        <w:tc>
          <w:tcPr>
            <w:tcW w:w="774" w:type="dxa"/>
            <w:noWrap w:val="0"/>
            <w:vAlign w:val="center"/>
          </w:tcPr>
          <w:p>
            <w:pPr>
              <w:widowControl/>
              <w:ind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noWrap w:val="0"/>
            <w:vAlign w:val="center"/>
          </w:tcPr>
          <w:p>
            <w:pPr>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395" w:type="dxa"/>
            <w:noWrap w:val="0"/>
            <w:vAlign w:val="center"/>
          </w:tcPr>
          <w:p>
            <w:pPr>
              <w:adjustRightInd w:val="0"/>
              <w:snapToGrid w:val="0"/>
              <w:ind w:firstLine="0" w:firstLineChars="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highlight w:val="none"/>
              </w:rPr>
              <w:t>投标</w:t>
            </w:r>
            <w:r>
              <w:rPr>
                <w:rFonts w:hint="eastAsia" w:ascii="仿宋_GB2312" w:hAnsi="仿宋_GB2312" w:eastAsia="仿宋_GB2312" w:cs="仿宋_GB2312"/>
                <w:sz w:val="24"/>
                <w:szCs w:val="24"/>
                <w:highlight w:val="none"/>
                <w:lang w:val="en-US" w:eastAsia="zh-CN"/>
              </w:rPr>
              <w:t>产品</w:t>
            </w:r>
            <w:r>
              <w:rPr>
                <w:rFonts w:hint="eastAsia" w:ascii="仿宋_GB2312" w:hAnsi="仿宋_GB2312" w:eastAsia="仿宋_GB2312" w:cs="仿宋_GB2312"/>
                <w:sz w:val="24"/>
                <w:szCs w:val="24"/>
                <w:highlight w:val="none"/>
              </w:rPr>
              <w:t>技术</w:t>
            </w:r>
            <w:r>
              <w:rPr>
                <w:rFonts w:hint="eastAsia" w:ascii="仿宋_GB2312" w:hAnsi="仿宋_GB2312" w:eastAsia="仿宋_GB2312" w:cs="仿宋_GB2312"/>
                <w:sz w:val="24"/>
                <w:szCs w:val="24"/>
                <w:highlight w:val="none"/>
                <w:lang w:val="en-US" w:eastAsia="zh-CN"/>
              </w:rPr>
              <w:t>参数</w:t>
            </w:r>
          </w:p>
        </w:tc>
        <w:tc>
          <w:tcPr>
            <w:tcW w:w="6802" w:type="dxa"/>
            <w:noWrap w:val="0"/>
            <w:vAlign w:val="center"/>
          </w:tcPr>
          <w:p>
            <w:pPr>
              <w:adjustRightInd w:val="0"/>
              <w:snapToGrid w:val="0"/>
              <w:ind w:firstLine="0" w:firstLineChars="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投标产品的功能、技术指标与采购需求的吻合程度和偏差情况（包括所投标产品的规格型号、详细配置、主要技术参数等），根据技术参数、产品配置与采购需求的偏离程度等综合评定对比打分，</w:t>
            </w:r>
            <w:r>
              <w:rPr>
                <w:rFonts w:hint="eastAsia" w:ascii="仿宋_GB2312" w:hAnsi="仿宋_GB2312" w:eastAsia="仿宋_GB2312" w:cs="仿宋_GB2312"/>
                <w:color w:val="auto"/>
                <w:kern w:val="2"/>
                <w:sz w:val="24"/>
                <w:szCs w:val="24"/>
                <w:highlight w:val="none"/>
                <w:lang w:val="en-US" w:eastAsia="zh-CN" w:bidi="ar"/>
              </w:rPr>
              <w:t>投标产品完全满足招标文件参数、系统功能的得</w:t>
            </w:r>
            <w:r>
              <w:rPr>
                <w:rFonts w:hint="eastAsia" w:ascii="仿宋_GB2312" w:hAnsi="仿宋_GB2312" w:eastAsia="仿宋_GB2312" w:cs="仿宋_GB2312"/>
                <w:color w:val="auto"/>
                <w:kern w:val="2"/>
                <w:sz w:val="24"/>
                <w:szCs w:val="24"/>
                <w:highlight w:val="none"/>
                <w:lang w:val="en-US" w:eastAsia="zh-CN" w:bidi="ar"/>
              </w:rPr>
              <w:t>满</w:t>
            </w:r>
            <w:r>
              <w:rPr>
                <w:rFonts w:hint="eastAsia" w:ascii="仿宋_GB2312" w:hAnsi="仿宋_GB2312" w:eastAsia="仿宋_GB2312" w:cs="仿宋_GB2312"/>
                <w:color w:val="auto"/>
                <w:kern w:val="2"/>
                <w:sz w:val="24"/>
                <w:szCs w:val="24"/>
                <w:highlight w:val="none"/>
                <w:lang w:val="en-US" w:eastAsia="zh-CN" w:bidi="ar"/>
              </w:rPr>
              <w:t>分</w:t>
            </w:r>
            <w:r>
              <w:rPr>
                <w:rFonts w:hint="eastAsia" w:ascii="仿宋_GB2312" w:hAnsi="仿宋_GB2312" w:eastAsia="仿宋_GB2312" w:cs="仿宋_GB2312"/>
                <w:color w:val="auto"/>
                <w:kern w:val="2"/>
                <w:sz w:val="24"/>
                <w:szCs w:val="24"/>
                <w:highlight w:val="none"/>
                <w:lang w:val="en-US" w:eastAsia="zh-CN" w:bidi="ar"/>
              </w:rPr>
              <w:t>，</w:t>
            </w:r>
            <w:r>
              <w:rPr>
                <w:rFonts w:hint="eastAsia" w:ascii="仿宋_GB2312" w:hAnsi="仿宋_GB2312" w:eastAsia="仿宋_GB2312" w:cs="仿宋_GB2312"/>
                <w:color w:val="auto"/>
                <w:szCs w:val="21"/>
                <w:highlight w:val="none"/>
              </w:rPr>
              <w:t>技术指标负偏离每一项扣</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分，</w:t>
            </w:r>
            <w:r>
              <w:rPr>
                <w:rFonts w:hint="eastAsia" w:ascii="仿宋_GB2312" w:hAnsi="仿宋_GB2312" w:eastAsia="仿宋_GB2312" w:cs="仿宋_GB2312"/>
                <w:color w:val="auto"/>
                <w:szCs w:val="24"/>
                <w:highlight w:val="none"/>
              </w:rPr>
              <w:t>标★参数负偏离的每项扣</w:t>
            </w:r>
            <w:r>
              <w:rPr>
                <w:rFonts w:hint="eastAsia" w:ascii="仿宋_GB2312" w:hAnsi="仿宋_GB2312" w:eastAsia="仿宋_GB2312" w:cs="仿宋_GB2312"/>
                <w:color w:val="auto"/>
                <w:szCs w:val="24"/>
                <w:highlight w:val="none"/>
                <w:lang w:val="en-US" w:eastAsia="zh-CN"/>
              </w:rPr>
              <w:t>3</w:t>
            </w:r>
            <w:r>
              <w:rPr>
                <w:rFonts w:hint="eastAsia" w:ascii="仿宋_GB2312" w:hAnsi="仿宋_GB2312" w:eastAsia="仿宋_GB2312" w:cs="仿宋_GB2312"/>
                <w:color w:val="auto"/>
                <w:szCs w:val="24"/>
                <w:highlight w:val="none"/>
              </w:rPr>
              <w:t>分</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1"/>
                <w:highlight w:val="none"/>
              </w:rPr>
              <w:t>扣完为止。</w:t>
            </w:r>
            <w:r>
              <w:rPr>
                <w:rFonts w:hint="eastAsia" w:ascii="仿宋_GB2312" w:hAnsi="仿宋_GB2312" w:eastAsia="仿宋_GB2312" w:cs="仿宋_GB2312"/>
                <w:b/>
                <w:bCs/>
                <w:color w:val="auto"/>
                <w:szCs w:val="21"/>
                <w:highlight w:val="none"/>
              </w:rPr>
              <w:t>（0</w:t>
            </w:r>
            <w:r>
              <w:rPr>
                <w:rFonts w:hint="eastAsia" w:ascii="仿宋_GB2312" w:hAnsi="仿宋_GB2312" w:eastAsia="仿宋_GB2312" w:cs="仿宋_GB2312"/>
                <w:b/>
                <w:bCs/>
                <w:color w:val="auto"/>
                <w:szCs w:val="21"/>
                <w:highlight w:val="none"/>
                <w:lang w:val="en-US" w:eastAsia="zh-CN"/>
              </w:rPr>
              <w:t>-33</w:t>
            </w:r>
            <w:r>
              <w:rPr>
                <w:rFonts w:hint="eastAsia" w:ascii="仿宋_GB2312" w:hAnsi="仿宋_GB2312" w:eastAsia="仿宋_GB2312" w:cs="仿宋_GB2312"/>
                <w:b/>
                <w:bCs/>
                <w:color w:val="auto"/>
                <w:szCs w:val="21"/>
                <w:highlight w:val="none"/>
              </w:rPr>
              <w:t>分）</w:t>
            </w:r>
          </w:p>
          <w:p>
            <w:pPr>
              <w:adjustRightInd w:val="0"/>
              <w:snapToGrid w:val="0"/>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Cs w:val="24"/>
                <w:highlight w:val="none"/>
              </w:rPr>
              <w:t>注：以上须提供</w:t>
            </w:r>
            <w:r>
              <w:rPr>
                <w:rFonts w:hint="eastAsia" w:ascii="仿宋_GB2312" w:hAnsi="仿宋_GB2312" w:eastAsia="仿宋_GB2312" w:cs="仿宋_GB2312"/>
                <w:b/>
                <w:bCs/>
                <w:color w:val="auto"/>
                <w:szCs w:val="24"/>
                <w:highlight w:val="none"/>
                <w:lang w:val="en-US" w:eastAsia="zh-CN"/>
              </w:rPr>
              <w:t>加盖投标人公章的第三方权威机构出具的检测报告或</w:t>
            </w:r>
            <w:r>
              <w:rPr>
                <w:rFonts w:hint="eastAsia" w:ascii="仿宋_GB2312" w:hAnsi="仿宋_GB2312" w:eastAsia="仿宋_GB2312" w:cs="仿宋_GB2312"/>
                <w:b/>
                <w:bCs/>
                <w:color w:val="auto"/>
                <w:szCs w:val="24"/>
                <w:highlight w:val="none"/>
              </w:rPr>
              <w:t>官方彩页或官网产品详细介绍等证明材料，不提供证明材料不得分。</w:t>
            </w:r>
          </w:p>
        </w:tc>
        <w:tc>
          <w:tcPr>
            <w:tcW w:w="754" w:type="dxa"/>
            <w:noWrap w:val="0"/>
            <w:vAlign w:val="center"/>
          </w:tcPr>
          <w:p>
            <w:pPr>
              <w:widowControl/>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lang w:val="en-US" w:eastAsia="zh-CN"/>
              </w:rPr>
              <w:t>分</w:t>
            </w:r>
          </w:p>
        </w:tc>
        <w:tc>
          <w:tcPr>
            <w:tcW w:w="774" w:type="dxa"/>
            <w:noWrap w:val="0"/>
            <w:vAlign w:val="center"/>
          </w:tcPr>
          <w:p>
            <w:pPr>
              <w:widowControl/>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客</w:t>
            </w:r>
            <w:r>
              <w:rPr>
                <w:rFonts w:hint="eastAsia" w:ascii="仿宋_GB2312" w:hAnsi="仿宋_GB2312" w:eastAsia="仿宋_GB2312" w:cs="仿宋_GB2312"/>
                <w:sz w:val="24"/>
                <w:szCs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restart"/>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95" w:type="dxa"/>
            <w:vMerge w:val="restart"/>
            <w:noWrap w:val="0"/>
            <w:vAlign w:val="center"/>
          </w:tcPr>
          <w:p>
            <w:pPr>
              <w:adjustRightInd w:val="0"/>
              <w:snapToGrid w:val="0"/>
              <w:ind w:firstLine="0" w:firstLineChars="0"/>
              <w:jc w:val="center"/>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安全与功耗</w:t>
            </w:r>
          </w:p>
        </w:tc>
        <w:tc>
          <w:tcPr>
            <w:tcW w:w="6802" w:type="dxa"/>
            <w:noWrap w:val="0"/>
            <w:vAlign w:val="center"/>
          </w:tcPr>
          <w:p>
            <w:pPr>
              <w:numPr>
                <w:ilvl w:val="0"/>
                <w:numId w:val="0"/>
              </w:numPr>
              <w:spacing w:line="300" w:lineRule="exact"/>
              <w:ind w:lef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操作系统符合中国信息安全测评中心和国家保密科技测评中心的安全可靠测评结果要求的得1分。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分</w:t>
            </w:r>
            <w:r>
              <w:rPr>
                <w:rFonts w:hint="eastAsia" w:ascii="仿宋_GB2312" w:hAnsi="仿宋_GB2312" w:eastAsia="仿宋_GB2312" w:cs="仿宋_GB2312"/>
                <w:color w:val="auto"/>
                <w:sz w:val="24"/>
                <w:szCs w:val="24"/>
                <w:highlight w:val="none"/>
                <w:lang w:eastAsia="zh-CN"/>
              </w:rPr>
              <w:t>）</w:t>
            </w:r>
          </w:p>
          <w:p>
            <w:pPr>
              <w:numPr>
                <w:ilvl w:val="0"/>
                <w:numId w:val="0"/>
              </w:numPr>
              <w:spacing w:line="300" w:lineRule="exact"/>
              <w:ind w:leftChars="0"/>
              <w:rPr>
                <w:rFonts w:hint="eastAsia" w:ascii="仿宋_GB2312" w:hAnsi="仿宋_GB2312" w:eastAsia="仿宋_GB2312" w:cs="仿宋_GB2312"/>
                <w:bCs/>
                <w:color w:val="auto"/>
                <w:kern w:val="0"/>
                <w:sz w:val="24"/>
                <w:szCs w:val="24"/>
                <w:highlight w:val="none"/>
                <w:lang w:val="zh-CN"/>
              </w:rPr>
            </w:pPr>
            <w:r>
              <w:rPr>
                <w:rFonts w:hint="eastAsia" w:ascii="仿宋_GB2312" w:hAnsi="仿宋_GB2312" w:eastAsia="仿宋_GB2312" w:cs="仿宋_GB2312"/>
                <w:b/>
                <w:bCs/>
                <w:color w:val="auto"/>
                <w:kern w:val="2"/>
                <w:sz w:val="24"/>
                <w:szCs w:val="20"/>
                <w:highlight w:val="none"/>
                <w:lang w:val="en-US" w:eastAsia="zh-CN" w:bidi="ar"/>
              </w:rPr>
              <w:t>注：须提供</w:t>
            </w:r>
            <w:r>
              <w:rPr>
                <w:rFonts w:hint="eastAsia" w:ascii="仿宋_GB2312" w:hAnsi="仿宋_GB2312" w:eastAsia="仿宋_GB2312" w:cs="仿宋_GB2312"/>
                <w:b/>
                <w:bCs/>
                <w:color w:val="auto"/>
                <w:kern w:val="2"/>
                <w:sz w:val="24"/>
                <w:szCs w:val="20"/>
                <w:highlight w:val="none"/>
                <w:lang w:val="en-US" w:eastAsia="zh-CN" w:bidi="ar"/>
              </w:rPr>
              <w:t>证明文件</w:t>
            </w:r>
            <w:r>
              <w:rPr>
                <w:rFonts w:hint="eastAsia" w:ascii="仿宋_GB2312" w:hAnsi="仿宋_GB2312" w:eastAsia="仿宋_GB2312" w:cs="仿宋_GB2312"/>
                <w:b/>
                <w:bCs/>
                <w:color w:val="auto"/>
                <w:kern w:val="2"/>
                <w:sz w:val="24"/>
                <w:szCs w:val="20"/>
                <w:highlight w:val="none"/>
                <w:lang w:val="en-US" w:eastAsia="zh-CN" w:bidi="ar"/>
              </w:rPr>
              <w:t>并加盖投标人公章，否则不得分。</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分</w:t>
            </w:r>
          </w:p>
        </w:tc>
        <w:tc>
          <w:tcPr>
            <w:tcW w:w="77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lang w:val="en-US" w:eastAsia="zh-CN"/>
              </w:rPr>
            </w:pPr>
          </w:p>
        </w:tc>
        <w:tc>
          <w:tcPr>
            <w:tcW w:w="1395" w:type="dxa"/>
            <w:vMerge w:val="continue"/>
            <w:noWrap w:val="0"/>
            <w:vAlign w:val="center"/>
          </w:tcPr>
          <w:p>
            <w:pPr>
              <w:adjustRightInd w:val="0"/>
              <w:snapToGrid w:val="0"/>
              <w:ind w:firstLine="0" w:firstLineChars="0"/>
              <w:jc w:val="center"/>
              <w:rPr>
                <w:rFonts w:hint="eastAsia" w:ascii="仿宋_GB2312" w:hAnsi="仿宋_GB2312" w:eastAsia="仿宋_GB2312" w:cs="仿宋_GB2312"/>
                <w:sz w:val="24"/>
                <w:szCs w:val="24"/>
              </w:rPr>
            </w:pPr>
          </w:p>
        </w:tc>
        <w:tc>
          <w:tcPr>
            <w:tcW w:w="6802" w:type="dxa"/>
            <w:noWrap w:val="0"/>
            <w:vAlign w:val="center"/>
          </w:tcPr>
          <w:p>
            <w:pPr>
              <w:spacing w:line="300" w:lineRule="exact"/>
              <w:ind w:left="0" w:leftChars="0"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所投台式机产品整机具备防尘设计，防尘等级满足IP5X并提供证明材料，符合得1分，</w:t>
            </w:r>
            <w:r>
              <w:rPr>
                <w:rFonts w:hint="eastAsia" w:ascii="仿宋_GB2312" w:hAnsi="仿宋_GB2312" w:eastAsia="仿宋_GB2312" w:cs="仿宋_GB2312"/>
                <w:color w:val="auto"/>
                <w:sz w:val="24"/>
                <w:szCs w:val="24"/>
                <w:highlight w:val="none"/>
                <w:lang w:val="en-US" w:eastAsia="zh-CN"/>
              </w:rPr>
              <w:t>不符合或不提供不得分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分</w:t>
            </w:r>
            <w:r>
              <w:rPr>
                <w:rFonts w:hint="eastAsia" w:ascii="仿宋_GB2312" w:hAnsi="仿宋_GB2312" w:eastAsia="仿宋_GB2312" w:cs="仿宋_GB2312"/>
                <w:color w:val="auto"/>
                <w:sz w:val="24"/>
                <w:szCs w:val="24"/>
                <w:highlight w:val="none"/>
                <w:lang w:eastAsia="zh-CN"/>
              </w:rPr>
              <w:t>）</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分</w:t>
            </w:r>
          </w:p>
        </w:tc>
        <w:tc>
          <w:tcPr>
            <w:tcW w:w="77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lang w:val="en-US" w:eastAsia="zh-CN"/>
              </w:rPr>
            </w:pPr>
          </w:p>
        </w:tc>
        <w:tc>
          <w:tcPr>
            <w:tcW w:w="1395" w:type="dxa"/>
            <w:vMerge w:val="continue"/>
            <w:noWrap w:val="0"/>
            <w:vAlign w:val="center"/>
          </w:tcPr>
          <w:p>
            <w:pPr>
              <w:adjustRightInd w:val="0"/>
              <w:snapToGrid w:val="0"/>
              <w:ind w:firstLine="0" w:firstLineChars="0"/>
              <w:jc w:val="center"/>
              <w:rPr>
                <w:rFonts w:hint="eastAsia" w:ascii="仿宋_GB2312" w:hAnsi="仿宋_GB2312" w:eastAsia="仿宋_GB2312" w:cs="仿宋_GB2312"/>
                <w:sz w:val="24"/>
                <w:szCs w:val="24"/>
              </w:rPr>
            </w:pPr>
          </w:p>
        </w:tc>
        <w:tc>
          <w:tcPr>
            <w:tcW w:w="6802" w:type="dxa"/>
            <w:noWrap w:val="0"/>
            <w:vAlign w:val="center"/>
          </w:tcPr>
          <w:p>
            <w:pPr>
              <w:spacing w:line="300" w:lineRule="exact"/>
              <w:ind w:left="0" w:leftChars="0"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bCs/>
                <w:color w:val="auto"/>
                <w:sz w:val="24"/>
                <w:szCs w:val="24"/>
                <w:highlight w:val="none"/>
              </w:rPr>
              <w:t>所投台式机CPU热设计功耗≤15W得2分，15W&lt;CPU热设计功耗&lt;40W得1分，</w:t>
            </w:r>
            <w:r>
              <w:rPr>
                <w:rFonts w:hint="eastAsia" w:ascii="仿宋_GB2312" w:hAnsi="仿宋_GB2312" w:eastAsia="仿宋_GB2312" w:cs="仿宋_GB2312"/>
                <w:color w:val="auto"/>
                <w:sz w:val="24"/>
                <w:szCs w:val="24"/>
                <w:highlight w:val="none"/>
                <w:lang w:val="en-US" w:eastAsia="zh-CN"/>
              </w:rPr>
              <w:t>不符合或不提供不得分</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en-US" w:eastAsia="zh-CN"/>
              </w:rPr>
              <w:t>分</w:t>
            </w:r>
            <w:r>
              <w:rPr>
                <w:rFonts w:hint="eastAsia" w:ascii="仿宋_GB2312" w:hAnsi="仿宋_GB2312" w:eastAsia="仿宋_GB2312" w:cs="仿宋_GB2312"/>
                <w:color w:val="auto"/>
                <w:sz w:val="24"/>
                <w:szCs w:val="24"/>
                <w:highlight w:val="none"/>
                <w:lang w:eastAsia="zh-CN"/>
              </w:rPr>
              <w:t>）</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CN"/>
              </w:rPr>
              <w:t>分</w:t>
            </w:r>
          </w:p>
        </w:tc>
        <w:tc>
          <w:tcPr>
            <w:tcW w:w="77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14"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p>
            <w:pPr>
              <w:ind w:firstLine="0" w:firstLineChars="0"/>
              <w:jc w:val="center"/>
              <w:rPr>
                <w:rFonts w:hint="eastAsia" w:ascii="仿宋_GB2312" w:hAnsi="仿宋_GB2312" w:eastAsia="仿宋_GB2312" w:cs="仿宋_GB2312"/>
                <w:sz w:val="24"/>
                <w:szCs w:val="24"/>
              </w:rPr>
            </w:pPr>
          </w:p>
        </w:tc>
        <w:tc>
          <w:tcPr>
            <w:tcW w:w="1395" w:type="dxa"/>
            <w:vMerge w:val="restart"/>
            <w:noWrap w:val="0"/>
            <w:vAlign w:val="center"/>
          </w:tcPr>
          <w:p>
            <w:pPr>
              <w:widowControl/>
              <w:ind w:firstLine="0" w:firstLineChars="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组织实施</w:t>
            </w:r>
          </w:p>
        </w:tc>
        <w:tc>
          <w:tcPr>
            <w:tcW w:w="6802" w:type="dxa"/>
            <w:noWrap w:val="0"/>
            <w:vAlign w:val="center"/>
          </w:tcPr>
          <w:p>
            <w:pPr>
              <w:adjustRightInd w:val="0"/>
              <w:snapToGrid w:val="0"/>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1.实施计划：项目管理分工明确，项目人员组织结构科学合理，有详细的</w:t>
            </w:r>
            <w:r>
              <w:rPr>
                <w:rFonts w:hint="eastAsia" w:ascii="仿宋_GB2312" w:hAnsi="仿宋_GB2312" w:eastAsia="仿宋_GB2312" w:cs="仿宋_GB2312"/>
                <w:sz w:val="24"/>
                <w:szCs w:val="24"/>
                <w:lang w:val="en-US" w:eastAsia="zh-CN"/>
              </w:rPr>
              <w:t>项目实施</w:t>
            </w:r>
            <w:r>
              <w:rPr>
                <w:rFonts w:hint="eastAsia" w:ascii="仿宋_GB2312" w:hAnsi="仿宋_GB2312" w:eastAsia="仿宋_GB2312" w:cs="仿宋_GB2312"/>
                <w:sz w:val="24"/>
                <w:szCs w:val="24"/>
              </w:rPr>
              <w:t>进度计划安排，根据项目进度实施计划的科学性与合理性给分，</w:t>
            </w:r>
            <w:r>
              <w:rPr>
                <w:rFonts w:hint="eastAsia" w:ascii="仿宋_GB2312" w:hAnsi="仿宋_GB2312" w:eastAsia="仿宋_GB2312" w:cs="仿宋_GB2312"/>
                <w:sz w:val="24"/>
                <w:szCs w:val="24"/>
                <w:lang w:eastAsia="zh-CN"/>
              </w:rPr>
              <w:t>方案内容完整、规范、合理且可行，针对性强的得3分，方案内容较完整，合理性、可行性、针对性一般的得2分，方案内容完整度一般，存在瑕疵或不足，与本项目实际有偏差的得1分，未提供相关内容的得0分。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3分</w:t>
            </w:r>
            <w:r>
              <w:rPr>
                <w:rFonts w:hint="eastAsia" w:ascii="仿宋_GB2312" w:hAnsi="仿宋_GB2312" w:eastAsia="仿宋_GB2312" w:cs="仿宋_GB2312"/>
                <w:color w:val="auto"/>
                <w:sz w:val="24"/>
                <w:szCs w:val="24"/>
                <w:lang w:eastAsia="zh-CN"/>
              </w:rPr>
              <w:t>）</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3分</w:t>
            </w:r>
          </w:p>
        </w:tc>
        <w:tc>
          <w:tcPr>
            <w:tcW w:w="77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1395" w:type="dxa"/>
            <w:vMerge w:val="continue"/>
            <w:noWrap w:val="0"/>
            <w:vAlign w:val="center"/>
          </w:tcPr>
          <w:p>
            <w:pPr>
              <w:widowControl/>
              <w:ind w:firstLine="0" w:firstLineChars="0"/>
              <w:jc w:val="center"/>
              <w:textAlignment w:val="center"/>
              <w:rPr>
                <w:rFonts w:hint="eastAsia" w:ascii="仿宋_GB2312" w:hAnsi="仿宋_GB2312" w:eastAsia="仿宋_GB2312" w:cs="仿宋_GB2312"/>
                <w:kern w:val="0"/>
                <w:sz w:val="24"/>
                <w:szCs w:val="24"/>
                <w:lang w:bidi="ar"/>
              </w:rPr>
            </w:pPr>
          </w:p>
        </w:tc>
        <w:tc>
          <w:tcPr>
            <w:tcW w:w="6802" w:type="dxa"/>
            <w:noWrap w:val="0"/>
            <w:vAlign w:val="center"/>
          </w:tcPr>
          <w:p>
            <w:pPr>
              <w:adjustRightInd w:val="0"/>
              <w:snapToGrid w:val="0"/>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驻点服务：为保证本项目按期完工，投标人承诺成立专门针对本项目施工的项目组，项目组成员不得兼任其他项目，直到本项目完成初验；（0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2分）</w:t>
            </w:r>
          </w:p>
          <w:p>
            <w:pPr>
              <w:adjustRightInd w:val="0"/>
              <w:snapToGrid w:val="0"/>
              <w:ind w:firstLine="0" w:firstLineChars="0"/>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b/>
                <w:bCs/>
                <w:sz w:val="24"/>
                <w:szCs w:val="24"/>
                <w:lang w:eastAsia="zh-CN"/>
              </w:rPr>
              <w:t>注：须提供服务承诺函并加盖公章，否则不得分。</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2分</w:t>
            </w:r>
          </w:p>
        </w:tc>
        <w:tc>
          <w:tcPr>
            <w:tcW w:w="77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4"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95"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人员配置</w:t>
            </w:r>
          </w:p>
        </w:tc>
        <w:tc>
          <w:tcPr>
            <w:tcW w:w="6802" w:type="dxa"/>
            <w:noWrap w:val="0"/>
            <w:vAlign w:val="center"/>
          </w:tcPr>
          <w:p>
            <w:pPr>
              <w:widowControl/>
              <w:spacing w:beforeLines="0"/>
              <w:ind w:left="0" w:leftChars="0" w:firstLine="0" w:firstLineChars="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auto"/>
                <w:kern w:val="0"/>
                <w:sz w:val="24"/>
                <w:szCs w:val="24"/>
                <w:highlight w:val="none"/>
              </w:rPr>
              <w:t>项目</w:t>
            </w:r>
            <w:r>
              <w:rPr>
                <w:rFonts w:hint="eastAsia" w:ascii="仿宋_GB2312" w:hAnsi="仿宋_GB2312" w:eastAsia="仿宋_GB2312" w:cs="仿宋_GB2312"/>
                <w:color w:val="auto"/>
                <w:kern w:val="0"/>
                <w:sz w:val="24"/>
                <w:szCs w:val="24"/>
                <w:highlight w:val="none"/>
                <w:lang w:val="en-US" w:eastAsia="zh-CN"/>
              </w:rPr>
              <w:t>负责人，</w:t>
            </w:r>
            <w:r>
              <w:rPr>
                <w:rFonts w:hint="eastAsia" w:ascii="仿宋_GB2312" w:hAnsi="仿宋_GB2312" w:eastAsia="仿宋_GB2312" w:cs="仿宋_GB2312"/>
                <w:color w:val="auto"/>
                <w:kern w:val="0"/>
                <w:sz w:val="24"/>
                <w:szCs w:val="24"/>
                <w:highlight w:val="none"/>
              </w:rPr>
              <w:t>具备</w:t>
            </w:r>
            <w:r>
              <w:rPr>
                <w:rFonts w:hint="eastAsia" w:ascii="仿宋_GB2312" w:hAnsi="仿宋_GB2312" w:eastAsia="仿宋_GB2312" w:cs="仿宋_GB2312"/>
                <w:color w:val="auto"/>
                <w:kern w:val="0"/>
                <w:sz w:val="24"/>
                <w:szCs w:val="24"/>
                <w:highlight w:val="none"/>
                <w:lang w:val="en-US" w:eastAsia="zh-CN"/>
              </w:rPr>
              <w:t>信息行业高级职称</w:t>
            </w:r>
            <w:r>
              <w:rPr>
                <w:rFonts w:hint="eastAsia" w:ascii="仿宋_GB2312" w:hAnsi="仿宋_GB2312" w:eastAsia="仿宋_GB2312" w:cs="仿宋_GB2312"/>
                <w:color w:val="auto"/>
                <w:kern w:val="0"/>
                <w:sz w:val="24"/>
                <w:szCs w:val="24"/>
                <w:highlight w:val="none"/>
              </w:rPr>
              <w:t>得</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中级职称得0.5分，单人不重复给分，不具备不得分</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0-1分）</w:t>
            </w:r>
          </w:p>
          <w:p>
            <w:pPr>
              <w:numPr>
                <w:ilvl w:val="0"/>
                <w:numId w:val="0"/>
              </w:numPr>
              <w:spacing w:line="300" w:lineRule="exact"/>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b/>
                <w:bCs/>
                <w:snapToGrid/>
                <w:color w:val="auto"/>
                <w:kern w:val="0"/>
                <w:sz w:val="24"/>
                <w:szCs w:val="24"/>
                <w:highlight w:val="none"/>
                <w:lang w:val="en-US" w:eastAsia="zh-CN" w:bidi="ar"/>
              </w:rPr>
              <w:t>注：</w:t>
            </w:r>
            <w:r>
              <w:rPr>
                <w:rFonts w:hint="eastAsia" w:ascii="仿宋_GB2312" w:hAnsi="仿宋_GB2312" w:eastAsia="仿宋_GB2312" w:cs="仿宋_GB2312"/>
                <w:b/>
                <w:bCs/>
                <w:i w:val="0"/>
                <w:iCs w:val="0"/>
                <w:snapToGrid/>
                <w:color w:val="auto"/>
                <w:kern w:val="0"/>
                <w:sz w:val="24"/>
                <w:szCs w:val="24"/>
                <w:highlight w:val="none"/>
                <w:lang w:val="en-US" w:eastAsia="zh-CN" w:bidi="ar"/>
              </w:rPr>
              <w:t>要求提供</w:t>
            </w:r>
            <w:r>
              <w:rPr>
                <w:rFonts w:hint="eastAsia" w:ascii="仿宋_GB2312" w:hAnsi="仿宋_GB2312" w:eastAsia="仿宋_GB2312" w:cs="仿宋_GB2312"/>
                <w:b/>
                <w:bCs/>
                <w:snapToGrid/>
                <w:color w:val="auto"/>
                <w:kern w:val="0"/>
                <w:sz w:val="24"/>
                <w:szCs w:val="24"/>
                <w:highlight w:val="none"/>
                <w:lang w:val="en-US" w:eastAsia="zh-CN" w:bidi="ar"/>
              </w:rPr>
              <w:t>人社部门</w:t>
            </w:r>
            <w:r>
              <w:rPr>
                <w:rFonts w:hint="eastAsia" w:ascii="仿宋_GB2312" w:hAnsi="仿宋_GB2312" w:eastAsia="仿宋_GB2312" w:cs="仿宋_GB2312"/>
                <w:b/>
                <w:bCs/>
                <w:snapToGrid/>
                <w:color w:val="auto"/>
                <w:kern w:val="0"/>
                <w:sz w:val="24"/>
                <w:szCs w:val="24"/>
                <w:highlight w:val="none"/>
                <w:lang w:val="en-US" w:eastAsia="zh-CN" w:bidi="ar"/>
              </w:rPr>
              <w:t>或其他行政主管部门</w:t>
            </w:r>
            <w:r>
              <w:rPr>
                <w:rFonts w:hint="eastAsia" w:ascii="仿宋_GB2312" w:hAnsi="仿宋_GB2312" w:eastAsia="仿宋_GB2312" w:cs="仿宋_GB2312"/>
                <w:b/>
                <w:bCs/>
                <w:snapToGrid/>
                <w:color w:val="auto"/>
                <w:kern w:val="0"/>
                <w:sz w:val="24"/>
                <w:szCs w:val="24"/>
                <w:highlight w:val="none"/>
                <w:lang w:val="en-US" w:eastAsia="zh-CN" w:bidi="ar"/>
              </w:rPr>
              <w:t>颁发的证书复印件、身份证复印件和本单位社保参保证明</w:t>
            </w:r>
            <w:r>
              <w:rPr>
                <w:rFonts w:hint="eastAsia" w:ascii="仿宋_GB2312" w:hAnsi="仿宋_GB2312" w:eastAsia="仿宋_GB2312" w:cs="仿宋_GB2312"/>
                <w:b/>
                <w:bCs/>
                <w:snapToGrid/>
                <w:color w:val="auto"/>
                <w:kern w:val="0"/>
                <w:sz w:val="24"/>
                <w:szCs w:val="24"/>
                <w:highlight w:val="none"/>
                <w:lang w:val="en-US" w:eastAsia="zh-CN" w:bidi="ar"/>
              </w:rPr>
              <w:t>（近3个月任意1个月），不提供或提供不全、缺项漏项不得分。</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774" w:type="dxa"/>
            <w:noWrap w:val="0"/>
            <w:vAlign w:val="center"/>
          </w:tcPr>
          <w:p>
            <w:pPr>
              <w:widowControl/>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1395"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6802" w:type="dxa"/>
            <w:noWrap w:val="0"/>
            <w:vAlign w:val="center"/>
          </w:tcPr>
          <w:p>
            <w:pPr>
              <w:numPr>
                <w:ilvl w:val="0"/>
                <w:numId w:val="0"/>
              </w:numPr>
              <w:spacing w:line="300" w:lineRule="exac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lang w:val="en-US" w:eastAsia="zh-CN"/>
              </w:rPr>
              <w:t>项目技术负责人</w:t>
            </w:r>
            <w:r>
              <w:rPr>
                <w:rFonts w:hint="eastAsia" w:ascii="仿宋_GB2312" w:hAnsi="仿宋_GB2312" w:eastAsia="仿宋_GB2312" w:cs="仿宋_GB2312"/>
                <w:color w:val="000000"/>
                <w:sz w:val="24"/>
                <w:szCs w:val="24"/>
                <w:highlight w:val="none"/>
                <w:lang w:val="en-US" w:eastAsia="zh-CN"/>
              </w:rPr>
              <w:t>，</w:t>
            </w:r>
            <w:r>
              <w:rPr>
                <w:rFonts w:hint="eastAsia" w:ascii="仿宋_GB2312" w:hAnsi="仿宋_GB2312" w:eastAsia="仿宋_GB2312" w:cs="仿宋_GB2312"/>
                <w:color w:val="auto"/>
                <w:kern w:val="0"/>
                <w:sz w:val="24"/>
                <w:szCs w:val="24"/>
                <w:highlight w:val="none"/>
              </w:rPr>
              <w:t>具备</w:t>
            </w:r>
            <w:r>
              <w:rPr>
                <w:rFonts w:hint="eastAsia" w:ascii="仿宋_GB2312" w:hAnsi="仿宋_GB2312" w:eastAsia="仿宋_GB2312" w:cs="仿宋_GB2312"/>
                <w:color w:val="auto"/>
                <w:kern w:val="0"/>
                <w:sz w:val="24"/>
                <w:szCs w:val="24"/>
                <w:highlight w:val="none"/>
                <w:lang w:val="en-US" w:eastAsia="zh-CN"/>
              </w:rPr>
              <w:t>信息行业高级职称</w:t>
            </w:r>
            <w:r>
              <w:rPr>
                <w:rFonts w:hint="eastAsia" w:ascii="仿宋_GB2312" w:hAnsi="仿宋_GB2312" w:eastAsia="仿宋_GB2312" w:cs="仿宋_GB2312"/>
                <w:color w:val="auto"/>
                <w:kern w:val="0"/>
                <w:sz w:val="24"/>
                <w:szCs w:val="24"/>
                <w:highlight w:val="none"/>
              </w:rPr>
              <w:t>得</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中级职称得0.5分，单人不重复给分，不具备不得分</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0-1分）</w:t>
            </w:r>
          </w:p>
          <w:p>
            <w:pPr>
              <w:numPr>
                <w:ilvl w:val="0"/>
                <w:numId w:val="0"/>
              </w:numPr>
              <w:spacing w:line="300" w:lineRule="exac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bCs/>
                <w:snapToGrid/>
                <w:color w:val="auto"/>
                <w:kern w:val="0"/>
                <w:sz w:val="24"/>
                <w:szCs w:val="24"/>
                <w:highlight w:val="none"/>
                <w:lang w:val="en-US" w:eastAsia="zh-CN" w:bidi="ar"/>
              </w:rPr>
              <w:t>注：</w:t>
            </w:r>
            <w:r>
              <w:rPr>
                <w:rFonts w:hint="eastAsia" w:ascii="仿宋_GB2312" w:hAnsi="仿宋_GB2312" w:eastAsia="仿宋_GB2312" w:cs="仿宋_GB2312"/>
                <w:b/>
                <w:bCs/>
                <w:i w:val="0"/>
                <w:iCs w:val="0"/>
                <w:snapToGrid/>
                <w:color w:val="auto"/>
                <w:kern w:val="0"/>
                <w:sz w:val="24"/>
                <w:szCs w:val="24"/>
                <w:highlight w:val="none"/>
                <w:lang w:val="en-US" w:eastAsia="zh-CN" w:bidi="ar"/>
              </w:rPr>
              <w:t>要求提供</w:t>
            </w:r>
            <w:r>
              <w:rPr>
                <w:rFonts w:hint="eastAsia" w:ascii="仿宋_GB2312" w:hAnsi="仿宋_GB2312" w:eastAsia="仿宋_GB2312" w:cs="仿宋_GB2312"/>
                <w:b/>
                <w:bCs/>
                <w:snapToGrid/>
                <w:color w:val="auto"/>
                <w:kern w:val="0"/>
                <w:sz w:val="24"/>
                <w:szCs w:val="24"/>
                <w:highlight w:val="none"/>
                <w:lang w:val="en-US" w:eastAsia="zh-CN" w:bidi="ar"/>
              </w:rPr>
              <w:t>人社部门</w:t>
            </w:r>
            <w:r>
              <w:rPr>
                <w:rFonts w:hint="eastAsia" w:ascii="仿宋_GB2312" w:hAnsi="仿宋_GB2312" w:eastAsia="仿宋_GB2312" w:cs="仿宋_GB2312"/>
                <w:b/>
                <w:bCs/>
                <w:snapToGrid/>
                <w:color w:val="auto"/>
                <w:kern w:val="0"/>
                <w:sz w:val="24"/>
                <w:szCs w:val="24"/>
                <w:highlight w:val="none"/>
                <w:lang w:val="en-US" w:eastAsia="zh-CN" w:bidi="ar"/>
              </w:rPr>
              <w:t>或其他行政主管部门</w:t>
            </w:r>
            <w:r>
              <w:rPr>
                <w:rFonts w:hint="eastAsia" w:ascii="仿宋_GB2312" w:hAnsi="仿宋_GB2312" w:eastAsia="仿宋_GB2312" w:cs="仿宋_GB2312"/>
                <w:b/>
                <w:bCs/>
                <w:snapToGrid/>
                <w:color w:val="auto"/>
                <w:kern w:val="0"/>
                <w:sz w:val="24"/>
                <w:szCs w:val="24"/>
                <w:highlight w:val="none"/>
                <w:lang w:val="en-US" w:eastAsia="zh-CN" w:bidi="ar"/>
              </w:rPr>
              <w:t>颁发的证书复印件、身份证复印件和本单位社保参保证明</w:t>
            </w:r>
            <w:r>
              <w:rPr>
                <w:rFonts w:hint="eastAsia" w:ascii="仿宋_GB2312" w:hAnsi="仿宋_GB2312" w:eastAsia="仿宋_GB2312" w:cs="仿宋_GB2312"/>
                <w:b/>
                <w:bCs/>
                <w:snapToGrid/>
                <w:color w:val="auto"/>
                <w:kern w:val="0"/>
                <w:sz w:val="24"/>
                <w:szCs w:val="24"/>
                <w:highlight w:val="none"/>
                <w:lang w:val="en-US" w:eastAsia="zh-CN" w:bidi="ar"/>
              </w:rPr>
              <w:t>（近3个月任意1个月），不提供或提供不全、缺项漏项不得分。</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1分</w:t>
            </w:r>
          </w:p>
        </w:tc>
        <w:tc>
          <w:tcPr>
            <w:tcW w:w="774" w:type="dxa"/>
            <w:noWrap w:val="0"/>
            <w:vAlign w:val="center"/>
          </w:tcPr>
          <w:p>
            <w:pPr>
              <w:widowControl/>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1395"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6802" w:type="dxa"/>
            <w:noWrap w:val="0"/>
            <w:vAlign w:val="center"/>
          </w:tcPr>
          <w:p>
            <w:pPr>
              <w:numPr>
                <w:ilvl w:val="0"/>
                <w:numId w:val="0"/>
              </w:numPr>
              <w:spacing w:line="300" w:lineRule="exact"/>
              <w:rPr>
                <w:rFonts w:hint="eastAsia" w:ascii="仿宋_GB2312" w:hAnsi="仿宋_GB2312" w:eastAsia="仿宋_GB2312" w:cs="仿宋_GB2312"/>
                <w:strike w:val="0"/>
                <w:dstrike w:val="0"/>
                <w:color w:val="000000"/>
                <w:sz w:val="24"/>
                <w:szCs w:val="24"/>
                <w:highlight w:val="none"/>
                <w:lang w:val="en-US" w:eastAsia="zh-CN"/>
              </w:rPr>
            </w:pPr>
            <w:r>
              <w:rPr>
                <w:rFonts w:hint="eastAsia" w:ascii="仿宋_GB2312" w:hAnsi="仿宋_GB2312" w:eastAsia="仿宋_GB2312" w:cs="仿宋_GB2312"/>
                <w:strike w:val="0"/>
                <w:dstrike w:val="0"/>
                <w:color w:val="000000"/>
                <w:sz w:val="24"/>
                <w:szCs w:val="24"/>
                <w:highlight w:val="none"/>
                <w:lang w:val="en-US" w:eastAsia="zh-CN"/>
              </w:rPr>
              <w:t>3.</w:t>
            </w:r>
            <w:r>
              <w:rPr>
                <w:rFonts w:hint="eastAsia" w:ascii="仿宋_GB2312" w:hAnsi="仿宋_GB2312" w:eastAsia="仿宋_GB2312" w:cs="仿宋_GB2312"/>
                <w:strike w:val="0"/>
                <w:dstrike w:val="0"/>
                <w:color w:val="000000"/>
                <w:sz w:val="24"/>
                <w:szCs w:val="24"/>
                <w:highlight w:val="none"/>
              </w:rPr>
              <w:t>专业技术人员</w:t>
            </w:r>
            <w:r>
              <w:rPr>
                <w:rFonts w:hint="eastAsia" w:ascii="仿宋_GB2312" w:hAnsi="仿宋_GB2312" w:eastAsia="仿宋_GB2312" w:cs="仿宋_GB2312"/>
                <w:strike w:val="0"/>
                <w:dstrike w:val="0"/>
                <w:color w:val="000000"/>
                <w:sz w:val="24"/>
                <w:szCs w:val="24"/>
                <w:highlight w:val="none"/>
                <w:lang w:val="en-US" w:eastAsia="zh-CN"/>
              </w:rPr>
              <w:t>6</w:t>
            </w:r>
            <w:r>
              <w:rPr>
                <w:rFonts w:hint="eastAsia" w:ascii="仿宋_GB2312" w:hAnsi="仿宋_GB2312" w:eastAsia="仿宋_GB2312" w:cs="仿宋_GB2312"/>
                <w:strike w:val="0"/>
                <w:dstrike w:val="0"/>
                <w:color w:val="000000"/>
                <w:sz w:val="24"/>
                <w:szCs w:val="24"/>
                <w:highlight w:val="none"/>
              </w:rPr>
              <w:t>名</w:t>
            </w:r>
            <w:r>
              <w:rPr>
                <w:rFonts w:hint="eastAsia" w:ascii="仿宋_GB2312" w:hAnsi="仿宋_GB2312" w:eastAsia="仿宋_GB2312" w:cs="仿宋_GB2312"/>
                <w:strike w:val="0"/>
                <w:dstrike w:val="0"/>
                <w:color w:val="000000"/>
                <w:sz w:val="24"/>
                <w:szCs w:val="24"/>
                <w:highlight w:val="none"/>
                <w:lang w:eastAsia="zh-CN"/>
              </w:rPr>
              <w:t>，</w:t>
            </w:r>
            <w:r>
              <w:rPr>
                <w:rFonts w:hint="eastAsia" w:ascii="仿宋_GB2312" w:hAnsi="仿宋_GB2312" w:eastAsia="仿宋_GB2312" w:cs="仿宋_GB2312"/>
                <w:strike w:val="0"/>
                <w:dstrike w:val="0"/>
                <w:color w:val="000000"/>
                <w:sz w:val="24"/>
                <w:szCs w:val="24"/>
                <w:highlight w:val="none"/>
                <w:lang w:val="en-US" w:eastAsia="zh-CN"/>
              </w:rPr>
              <w:t>要求从事</w:t>
            </w:r>
            <w:r>
              <w:rPr>
                <w:rFonts w:hint="eastAsia" w:ascii="仿宋_GB2312" w:hAnsi="仿宋_GB2312" w:eastAsia="仿宋_GB2312" w:cs="仿宋_GB2312"/>
                <w:color w:val="auto"/>
                <w:kern w:val="0"/>
                <w:sz w:val="24"/>
                <w:szCs w:val="24"/>
                <w:highlight w:val="none"/>
                <w:lang w:val="en-US" w:eastAsia="zh-CN"/>
              </w:rPr>
              <w:t>信息</w:t>
            </w:r>
            <w:r>
              <w:rPr>
                <w:rFonts w:hint="eastAsia" w:ascii="仿宋_GB2312" w:hAnsi="仿宋_GB2312" w:eastAsia="仿宋_GB2312" w:cs="仿宋_GB2312"/>
                <w:strike w:val="0"/>
                <w:dstrike w:val="0"/>
                <w:color w:val="000000"/>
                <w:sz w:val="24"/>
                <w:szCs w:val="24"/>
                <w:highlight w:val="none"/>
                <w:lang w:val="en-US" w:eastAsia="zh-CN"/>
              </w:rPr>
              <w:t>行业1年及以上工作经验，一人得0.5分，最多得3分；（0-3分）</w:t>
            </w:r>
          </w:p>
          <w:p>
            <w:pPr>
              <w:numPr>
                <w:ilvl w:val="0"/>
                <w:numId w:val="0"/>
              </w:numPr>
              <w:spacing w:line="300" w:lineRule="exact"/>
              <w:rPr>
                <w:rFonts w:hint="eastAsia" w:ascii="仿宋_GB2312" w:hAnsi="仿宋_GB2312" w:eastAsia="仿宋_GB2312" w:cs="仿宋_GB2312"/>
                <w:strike/>
                <w:dstrike w:val="0"/>
                <w:color w:val="000000"/>
                <w:sz w:val="24"/>
                <w:szCs w:val="24"/>
                <w:highlight w:val="yellow"/>
                <w:lang w:eastAsia="zh-CN"/>
              </w:rPr>
            </w:pPr>
            <w:r>
              <w:rPr>
                <w:rFonts w:hint="eastAsia" w:ascii="仿宋_GB2312" w:hAnsi="仿宋_GB2312" w:eastAsia="仿宋_GB2312" w:cs="仿宋_GB2312"/>
                <w:strike w:val="0"/>
                <w:dstrike w:val="0"/>
                <w:color w:val="000000"/>
                <w:sz w:val="24"/>
                <w:szCs w:val="24"/>
                <w:highlight w:val="none"/>
                <w:lang w:val="en-US" w:eastAsia="zh-CN"/>
              </w:rPr>
              <w:t>注：须提供加盖投标人公章的技术负责人身份证复印件及1年工作经历证明，否则不得分。</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3分</w:t>
            </w:r>
          </w:p>
        </w:tc>
        <w:tc>
          <w:tcPr>
            <w:tcW w:w="774" w:type="dxa"/>
            <w:noWrap w:val="0"/>
            <w:vAlign w:val="center"/>
          </w:tcPr>
          <w:p>
            <w:pPr>
              <w:widowControl/>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4"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95"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售后服务</w:t>
            </w:r>
          </w:p>
        </w:tc>
        <w:tc>
          <w:tcPr>
            <w:tcW w:w="6802" w:type="dxa"/>
            <w:noWrap w:val="0"/>
            <w:vAlign w:val="center"/>
          </w:tcPr>
          <w:p>
            <w:pPr>
              <w:pStyle w:val="16"/>
              <w:spacing w:before="0"/>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1.应急响应</w:t>
            </w:r>
            <w:r>
              <w:rPr>
                <w:rFonts w:hint="eastAsia" w:ascii="仿宋_GB2312" w:hAnsi="仿宋_GB2312" w:eastAsia="仿宋_GB2312" w:cs="仿宋_GB2312"/>
                <w:color w:val="000000"/>
                <w:sz w:val="24"/>
                <w:szCs w:val="24"/>
                <w:highlight w:val="none"/>
              </w:rPr>
              <w:t>方案</w:t>
            </w:r>
            <w:r>
              <w:rPr>
                <w:rFonts w:hint="eastAsia" w:ascii="仿宋_GB2312" w:hAnsi="仿宋_GB2312" w:eastAsia="仿宋_GB2312" w:cs="仿宋_GB2312"/>
                <w:sz w:val="24"/>
                <w:szCs w:val="24"/>
              </w:rPr>
              <w:t>：针对本项目可能出现严重安全隐患或故障情况，</w:t>
            </w:r>
            <w:r>
              <w:rPr>
                <w:rFonts w:hint="eastAsia" w:ascii="仿宋_GB2312" w:hAnsi="仿宋_GB2312" w:eastAsia="仿宋_GB2312" w:cs="仿宋_GB2312"/>
                <w:sz w:val="24"/>
                <w:szCs w:val="24"/>
                <w:lang w:eastAsia="zh-CN"/>
              </w:rPr>
              <w:t>合理安排具有服务经验的售后团队，</w:t>
            </w:r>
            <w:r>
              <w:rPr>
                <w:rFonts w:hint="eastAsia" w:ascii="仿宋_GB2312" w:hAnsi="仿宋_GB2312" w:eastAsia="仿宋_GB2312" w:cs="仿宋_GB2312"/>
                <w:sz w:val="24"/>
                <w:szCs w:val="24"/>
              </w:rPr>
              <w:t>提供完善的应急售后保障方案</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方案内容完整、规范、合理且可行，针对性强的得3分，方案内容较完整，合理性、可行性、针对性一般的得2分，方案内容完整度一般，存在瑕疵或不足，与本项目实际有偏差的得1分，未提供相关内容的得0分。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3分</w:t>
            </w:r>
            <w:r>
              <w:rPr>
                <w:rFonts w:hint="eastAsia" w:ascii="仿宋_GB2312" w:hAnsi="仿宋_GB2312" w:eastAsia="仿宋_GB2312" w:cs="仿宋_GB2312"/>
                <w:color w:val="auto"/>
                <w:sz w:val="24"/>
                <w:szCs w:val="24"/>
                <w:lang w:eastAsia="zh-CN"/>
              </w:rPr>
              <w:t>）</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3分</w:t>
            </w:r>
          </w:p>
        </w:tc>
        <w:tc>
          <w:tcPr>
            <w:tcW w:w="77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1395"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6802" w:type="dxa"/>
            <w:noWrap w:val="0"/>
            <w:vAlign w:val="center"/>
          </w:tcPr>
          <w:p>
            <w:pPr>
              <w:pStyle w:val="16"/>
              <w:numPr>
                <w:ilvl w:val="0"/>
                <w:numId w:val="0"/>
              </w:numPr>
              <w:tabs>
                <w:tab w:val="left" w:pos="0"/>
              </w:tabs>
              <w:spacing w:before="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应急服务能力：是否具有较强的应急服务能力，并配有较强的专业技术队伍，提供快速的售后服务响应。投标人是否承诺系统出现问题时2小时内给予问题的反馈，如需现场解决，在故障发生的4小时内，派技术人员到达现场，不承诺不得分；（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2分）</w:t>
            </w:r>
          </w:p>
          <w:p>
            <w:pPr>
              <w:pStyle w:val="16"/>
              <w:numPr>
                <w:ilvl w:val="0"/>
                <w:numId w:val="0"/>
              </w:numPr>
              <w:tabs>
                <w:tab w:val="left" w:pos="0"/>
              </w:tabs>
              <w:spacing w:before="0"/>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注：须提供应急服务承诺函并加盖公章，否则不得分。</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2分</w:t>
            </w:r>
          </w:p>
        </w:tc>
        <w:tc>
          <w:tcPr>
            <w:tcW w:w="77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1395"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6802" w:type="dxa"/>
            <w:noWrap w:val="0"/>
            <w:vAlign w:val="center"/>
          </w:tcPr>
          <w:p>
            <w:pPr>
              <w:pStyle w:val="16"/>
              <w:spacing w:before="0"/>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.质保时间：</w:t>
            </w:r>
            <w:r>
              <w:rPr>
                <w:rFonts w:hint="eastAsia" w:ascii="仿宋_GB2312" w:hAnsi="仿宋_GB2312" w:eastAsia="仿宋_GB2312" w:cs="仿宋_GB2312"/>
                <w:sz w:val="24"/>
                <w:szCs w:val="24"/>
                <w:lang w:val="en-US" w:eastAsia="zh-CN"/>
              </w:rPr>
              <w:t>整机质保时间</w:t>
            </w:r>
            <w:r>
              <w:rPr>
                <w:rFonts w:hint="eastAsia" w:ascii="仿宋_GB2312" w:hAnsi="仿宋_GB2312" w:eastAsia="仿宋_GB2312" w:cs="仿宋_GB2312"/>
                <w:sz w:val="24"/>
                <w:szCs w:val="24"/>
                <w:highlight w:val="none"/>
              </w:rPr>
              <w:t>满足招标文件要求原厂质保3年不得分，每延长1年质保服务</w:t>
            </w:r>
            <w:r>
              <w:rPr>
                <w:rFonts w:hint="eastAsia" w:ascii="仿宋_GB2312" w:hAnsi="仿宋_GB2312" w:eastAsia="仿宋_GB2312" w:cs="仿宋_GB2312"/>
                <w:sz w:val="24"/>
                <w:szCs w:val="24"/>
                <w:highlight w:val="none"/>
                <w:lang w:val="en-US" w:eastAsia="zh-CN"/>
              </w:rPr>
              <w:t>时间</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分，最高得</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3分</w:t>
            </w:r>
          </w:p>
        </w:tc>
        <w:tc>
          <w:tcPr>
            <w:tcW w:w="77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1395"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6802" w:type="dxa"/>
            <w:noWrap w:val="0"/>
            <w:vAlign w:val="center"/>
          </w:tcPr>
          <w:p>
            <w:pPr>
              <w:pStyle w:val="16"/>
              <w:spacing w:before="0"/>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.其他售后服务承诺、维护响应计划：如保修期内的维保服务内容、服务措施等，保修期外的后续技术支持和维护能力情况以及免费质保期期满后服务内容及备品备件的提供情况，对服务承诺的保障措施给分，</w:t>
            </w:r>
            <w:r>
              <w:rPr>
                <w:rFonts w:hint="eastAsia" w:ascii="仿宋_GB2312" w:hAnsi="仿宋_GB2312" w:eastAsia="仿宋_GB2312" w:cs="仿宋_GB2312"/>
                <w:sz w:val="24"/>
                <w:szCs w:val="24"/>
                <w:lang w:eastAsia="zh-CN"/>
              </w:rPr>
              <w:t>方案内容完整、规范、合理且可行</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highlight w:val="none"/>
              </w:rPr>
              <w:t>培训计划、地点、组织、人员配备、软硬件资料等内容是否完整、科学合理，费用计入总报价</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lang w:val="en-US" w:eastAsia="zh-CN"/>
              </w:rPr>
              <w:t>明确针对本项目</w:t>
            </w:r>
            <w:r>
              <w:rPr>
                <w:rFonts w:hint="eastAsia" w:ascii="仿宋_GB2312" w:hAnsi="仿宋_GB2312" w:eastAsia="仿宋_GB2312" w:cs="仿宋_GB2312"/>
                <w:sz w:val="24"/>
                <w:szCs w:val="24"/>
              </w:rPr>
              <w:t>备件备品的品种和数量等情况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整体方案</w:t>
            </w:r>
            <w:r>
              <w:rPr>
                <w:rFonts w:hint="eastAsia" w:ascii="仿宋_GB2312" w:hAnsi="仿宋_GB2312" w:eastAsia="仿宋_GB2312" w:cs="仿宋_GB2312"/>
                <w:sz w:val="24"/>
                <w:szCs w:val="24"/>
                <w:lang w:eastAsia="zh-CN"/>
              </w:rPr>
              <w:t>针对性强的得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分，方案内容较完整，合理性、可行性、针对性一般的得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分，方案内容完整度一般，存在瑕疵或不足，与本项目实际有偏差的得1分，未提供相关内容的得0分。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分</w:t>
            </w:r>
            <w:r>
              <w:rPr>
                <w:rFonts w:hint="eastAsia" w:ascii="仿宋_GB2312" w:hAnsi="仿宋_GB2312" w:eastAsia="仿宋_GB2312" w:cs="仿宋_GB2312"/>
                <w:color w:val="auto"/>
                <w:sz w:val="24"/>
                <w:szCs w:val="24"/>
                <w:lang w:eastAsia="zh-CN"/>
              </w:rPr>
              <w:t>）</w:t>
            </w:r>
          </w:p>
        </w:tc>
        <w:tc>
          <w:tcPr>
            <w:tcW w:w="754" w:type="dxa"/>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分</w:t>
            </w:r>
          </w:p>
        </w:tc>
        <w:tc>
          <w:tcPr>
            <w:tcW w:w="77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restart"/>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95" w:type="dxa"/>
            <w:vMerge w:val="restart"/>
            <w:noWrap w:val="0"/>
            <w:vAlign w:val="center"/>
          </w:tcPr>
          <w:p>
            <w:pPr>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节能环保证书</w:t>
            </w:r>
          </w:p>
        </w:tc>
        <w:tc>
          <w:tcPr>
            <w:tcW w:w="6802" w:type="dxa"/>
            <w:noWrap w:val="0"/>
            <w:vAlign w:val="center"/>
          </w:tcPr>
          <w:p>
            <w:pPr>
              <w:numPr>
                <w:ilvl w:val="0"/>
                <w:numId w:val="0"/>
              </w:numPr>
              <w:adjustRightInd w:val="0"/>
              <w:snapToGrid w:val="0"/>
              <w:ind w:leftChars="0"/>
              <w:jc w:val="left"/>
              <w:rPr>
                <w:rFonts w:hint="eastAsia" w:ascii="仿宋_GB2312" w:hAnsi="仿宋_GB2312" w:eastAsia="仿宋_GB2312" w:cs="仿宋_GB2312"/>
                <w:b w:val="0"/>
                <w:bCs w:val="0"/>
                <w:kern w:val="2"/>
                <w:sz w:val="24"/>
                <w:szCs w:val="24"/>
                <w:highlight w:val="none"/>
                <w:lang w:val="en-US" w:eastAsia="zh-CN" w:bidi="ar"/>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所投</w:t>
            </w:r>
            <w:r>
              <w:rPr>
                <w:rFonts w:hint="eastAsia" w:ascii="仿宋_GB2312" w:hAnsi="仿宋_GB2312" w:eastAsia="仿宋_GB2312" w:cs="仿宋_GB2312"/>
                <w:sz w:val="24"/>
                <w:szCs w:val="24"/>
                <w:highlight w:val="none"/>
                <w:lang w:val="en-US" w:eastAsia="zh-CN"/>
              </w:rPr>
              <w:t>投标</w:t>
            </w:r>
            <w:r>
              <w:rPr>
                <w:rFonts w:hint="eastAsia" w:ascii="仿宋_GB2312" w:hAnsi="仿宋_GB2312" w:eastAsia="仿宋_GB2312" w:cs="仿宋_GB2312"/>
                <w:sz w:val="24"/>
                <w:szCs w:val="24"/>
                <w:highlight w:val="none"/>
              </w:rPr>
              <w:t>产品</w:t>
            </w:r>
            <w:r>
              <w:rPr>
                <w:rFonts w:hint="eastAsia" w:ascii="仿宋_GB2312" w:hAnsi="仿宋_GB2312" w:eastAsia="仿宋_GB2312" w:cs="仿宋_GB2312"/>
                <w:b w:val="0"/>
                <w:bCs w:val="0"/>
                <w:kern w:val="2"/>
                <w:sz w:val="24"/>
                <w:szCs w:val="24"/>
                <w:highlight w:val="none"/>
                <w:lang w:val="en-US" w:eastAsia="zh-CN" w:bidi="ar"/>
              </w:rPr>
              <w:t>获得国家确定的认证机构出具的有效期之内的</w:t>
            </w:r>
            <w:r>
              <w:rPr>
                <w:rFonts w:hint="eastAsia" w:ascii="仿宋_GB2312" w:hAnsi="仿宋_GB2312" w:eastAsia="仿宋_GB2312" w:cs="仿宋_GB2312"/>
                <w:sz w:val="24"/>
                <w:szCs w:val="24"/>
                <w:highlight w:val="none"/>
              </w:rPr>
              <w:t>节能产品认证证书</w:t>
            </w:r>
            <w:r>
              <w:rPr>
                <w:rFonts w:hint="eastAsia" w:ascii="仿宋_GB2312" w:hAnsi="仿宋_GB2312" w:eastAsia="仿宋_GB2312" w:cs="仿宋_GB2312"/>
                <w:b/>
                <w:bCs/>
                <w:sz w:val="24"/>
                <w:szCs w:val="24"/>
                <w:highlight w:val="none"/>
                <w:lang w:eastAsia="zh-CN"/>
              </w:rPr>
              <w:t>（一级能效）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val="0"/>
                <w:bCs w:val="0"/>
                <w:kern w:val="2"/>
                <w:sz w:val="24"/>
                <w:szCs w:val="24"/>
                <w:highlight w:val="none"/>
                <w:lang w:val="en-US" w:eastAsia="zh-CN" w:bidi="ar"/>
              </w:rPr>
              <w:t>得1分，最高得1分。（0</w:t>
            </w:r>
            <w:r>
              <w:rPr>
                <w:rFonts w:hint="eastAsia" w:ascii="仿宋_GB2312" w:hAnsi="仿宋_GB2312" w:eastAsia="仿宋_GB2312" w:cs="仿宋_GB2312"/>
                <w:b w:val="0"/>
                <w:bCs w:val="0"/>
                <w:kern w:val="2"/>
                <w:sz w:val="24"/>
                <w:szCs w:val="24"/>
                <w:highlight w:val="none"/>
                <w:lang w:val="en-US" w:eastAsia="zh-CN" w:bidi="ar"/>
              </w:rPr>
              <w:t>-</w:t>
            </w:r>
            <w:r>
              <w:rPr>
                <w:rFonts w:hint="eastAsia" w:ascii="仿宋_GB2312" w:hAnsi="仿宋_GB2312" w:eastAsia="仿宋_GB2312" w:cs="仿宋_GB2312"/>
                <w:b w:val="0"/>
                <w:bCs w:val="0"/>
                <w:kern w:val="2"/>
                <w:sz w:val="24"/>
                <w:szCs w:val="24"/>
                <w:highlight w:val="none"/>
                <w:lang w:val="en-US" w:eastAsia="zh-CN" w:bidi="ar"/>
              </w:rPr>
              <w:t>1分）</w:t>
            </w:r>
          </w:p>
          <w:p>
            <w:pPr>
              <w:numPr>
                <w:ilvl w:val="0"/>
                <w:numId w:val="0"/>
              </w:numPr>
              <w:adjustRightInd w:val="0"/>
              <w:snapToGrid w:val="0"/>
              <w:ind w:leftChars="0"/>
              <w:jc w:val="left"/>
              <w:rPr>
                <w:rFonts w:hint="eastAsia" w:ascii="仿宋_GB2312" w:hAnsi="仿宋_GB2312" w:eastAsia="仿宋_GB2312" w:cs="仿宋_GB2312"/>
                <w:b w:val="0"/>
                <w:bCs w:val="0"/>
                <w:kern w:val="2"/>
                <w:sz w:val="24"/>
                <w:szCs w:val="24"/>
                <w:highlight w:val="none"/>
                <w:lang w:val="en-US" w:eastAsia="zh-CN" w:bidi="ar"/>
              </w:rPr>
            </w:pPr>
            <w:r>
              <w:rPr>
                <w:rFonts w:hint="eastAsia" w:ascii="仿宋_GB2312" w:hAnsi="仿宋_GB2312" w:eastAsia="仿宋_GB2312" w:cs="仿宋_GB2312"/>
                <w:b/>
                <w:bCs/>
                <w:kern w:val="2"/>
                <w:sz w:val="24"/>
                <w:szCs w:val="24"/>
                <w:highlight w:val="none"/>
                <w:lang w:val="en-US" w:eastAsia="zh-CN" w:bidi="ar"/>
              </w:rPr>
              <w:t>注：须提供证书扫描件并加盖投标人公章，否则不得分。</w:t>
            </w:r>
          </w:p>
        </w:tc>
        <w:tc>
          <w:tcPr>
            <w:tcW w:w="754" w:type="dxa"/>
            <w:noWrap w:val="0"/>
            <w:vAlign w:val="center"/>
          </w:tcPr>
          <w:p>
            <w:pPr>
              <w:ind w:firstLine="0" w:firstLineChars="0"/>
              <w:jc w:val="center"/>
              <w:rPr>
                <w:rFonts w:hint="eastAsia" w:ascii="仿宋_GB2312" w:hAnsi="仿宋_GB2312" w:eastAsia="仿宋_GB2312" w:cs="仿宋_GB2312"/>
                <w:sz w:val="24"/>
                <w:szCs w:val="24"/>
                <w:highlight w:val="none"/>
                <w:lang w:val="en-US" w:eastAsia="zh-CN"/>
              </w:rPr>
            </w:pPr>
          </w:p>
          <w:p>
            <w:pPr>
              <w:ind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val="en-US" w:eastAsia="zh-CN"/>
              </w:rPr>
              <w:t>分</w:t>
            </w:r>
          </w:p>
        </w:tc>
        <w:tc>
          <w:tcPr>
            <w:tcW w:w="774" w:type="dxa"/>
            <w:noWrap w:val="0"/>
            <w:vAlign w:val="center"/>
          </w:tcPr>
          <w:p>
            <w:pPr>
              <w:ind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vMerge w:val="continue"/>
            <w:noWrap w:val="0"/>
            <w:vAlign w:val="center"/>
          </w:tcPr>
          <w:p>
            <w:pPr>
              <w:ind w:firstLine="0" w:firstLineChars="0"/>
              <w:jc w:val="center"/>
              <w:rPr>
                <w:rFonts w:hint="eastAsia" w:ascii="仿宋_GB2312" w:hAnsi="仿宋_GB2312" w:eastAsia="仿宋_GB2312" w:cs="仿宋_GB2312"/>
                <w:sz w:val="24"/>
                <w:szCs w:val="24"/>
                <w:lang w:val="en-US" w:eastAsia="zh-CN"/>
              </w:rPr>
            </w:pPr>
          </w:p>
        </w:tc>
        <w:tc>
          <w:tcPr>
            <w:tcW w:w="1395" w:type="dxa"/>
            <w:vMerge w:val="continue"/>
            <w:noWrap w:val="0"/>
            <w:vAlign w:val="center"/>
          </w:tcPr>
          <w:p>
            <w:pPr>
              <w:ind w:firstLine="0" w:firstLineChars="0"/>
              <w:jc w:val="center"/>
              <w:rPr>
                <w:rFonts w:hint="eastAsia" w:ascii="仿宋_GB2312" w:hAnsi="仿宋_GB2312" w:eastAsia="仿宋_GB2312" w:cs="仿宋_GB2312"/>
                <w:sz w:val="24"/>
                <w:szCs w:val="24"/>
                <w:lang w:val="en-US" w:eastAsia="zh-CN"/>
              </w:rPr>
            </w:pPr>
          </w:p>
        </w:tc>
        <w:tc>
          <w:tcPr>
            <w:tcW w:w="6802" w:type="dxa"/>
            <w:noWrap w:val="0"/>
            <w:vAlign w:val="center"/>
          </w:tcPr>
          <w:p>
            <w:pPr>
              <w:adjustRightInd w:val="0"/>
              <w:snapToGrid w:val="0"/>
              <w:ind w:left="0" w:leftChars="0" w:firstLine="0" w:firstLineChars="0"/>
              <w:jc w:val="left"/>
              <w:rPr>
                <w:rFonts w:hint="eastAsia" w:ascii="仿宋_GB2312" w:hAnsi="仿宋_GB2312" w:eastAsia="仿宋_GB2312" w:cs="仿宋_GB2312"/>
                <w:b w:val="0"/>
                <w:bCs w:val="0"/>
                <w:kern w:val="2"/>
                <w:sz w:val="24"/>
                <w:szCs w:val="24"/>
                <w:highlight w:val="none"/>
                <w:lang w:val="en-US" w:eastAsia="zh-CN" w:bidi="ar"/>
              </w:rPr>
            </w:pP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所投</w:t>
            </w:r>
            <w:r>
              <w:rPr>
                <w:rFonts w:hint="eastAsia" w:ascii="仿宋_GB2312" w:hAnsi="仿宋_GB2312" w:eastAsia="仿宋_GB2312" w:cs="仿宋_GB2312"/>
                <w:b w:val="0"/>
                <w:bCs w:val="0"/>
                <w:kern w:val="2"/>
                <w:sz w:val="24"/>
                <w:szCs w:val="24"/>
                <w:highlight w:val="none"/>
                <w:lang w:val="en-US" w:eastAsia="zh-CN" w:bidi="ar"/>
              </w:rPr>
              <w:t>投标产品获得国家确定的认证机构出具的有效期之内的环境标志产品认证证书，得1分，最高得1分。（0</w:t>
            </w:r>
            <w:r>
              <w:rPr>
                <w:rFonts w:hint="eastAsia" w:ascii="仿宋_GB2312" w:hAnsi="仿宋_GB2312" w:eastAsia="仿宋_GB2312" w:cs="仿宋_GB2312"/>
                <w:b w:val="0"/>
                <w:bCs w:val="0"/>
                <w:kern w:val="2"/>
                <w:sz w:val="24"/>
                <w:szCs w:val="24"/>
                <w:highlight w:val="none"/>
                <w:lang w:val="en-US" w:eastAsia="zh-CN" w:bidi="ar"/>
              </w:rPr>
              <w:t>-</w:t>
            </w:r>
            <w:r>
              <w:rPr>
                <w:rFonts w:hint="eastAsia" w:ascii="仿宋_GB2312" w:hAnsi="仿宋_GB2312" w:eastAsia="仿宋_GB2312" w:cs="仿宋_GB2312"/>
                <w:b w:val="0"/>
                <w:bCs w:val="0"/>
                <w:kern w:val="2"/>
                <w:sz w:val="24"/>
                <w:szCs w:val="24"/>
                <w:highlight w:val="none"/>
                <w:lang w:val="en-US" w:eastAsia="zh-CN" w:bidi="ar"/>
              </w:rPr>
              <w:t>1分）</w:t>
            </w:r>
          </w:p>
          <w:p>
            <w:pPr>
              <w:numPr>
                <w:ilvl w:val="0"/>
                <w:numId w:val="0"/>
              </w:numPr>
              <w:adjustRightInd w:val="0"/>
              <w:snapToGrid w:val="0"/>
              <w:ind w:left="0" w:leftChars="0" w:firstLine="0" w:firstLineChars="0"/>
              <w:jc w:val="left"/>
              <w:rPr>
                <w:rFonts w:hint="eastAsia" w:ascii="仿宋_GB2312" w:hAnsi="仿宋_GB2312" w:eastAsia="仿宋_GB2312" w:cs="仿宋_GB2312"/>
                <w:b/>
                <w:bCs/>
                <w:kern w:val="2"/>
                <w:sz w:val="24"/>
                <w:szCs w:val="24"/>
                <w:highlight w:val="none"/>
                <w:lang w:val="en-US" w:eastAsia="zh-CN" w:bidi="ar"/>
              </w:rPr>
            </w:pPr>
            <w:r>
              <w:rPr>
                <w:rFonts w:hint="eastAsia" w:ascii="仿宋_GB2312" w:hAnsi="仿宋_GB2312" w:eastAsia="仿宋_GB2312" w:cs="仿宋_GB2312"/>
                <w:b/>
                <w:bCs/>
                <w:kern w:val="2"/>
                <w:sz w:val="24"/>
                <w:szCs w:val="24"/>
                <w:highlight w:val="none"/>
                <w:lang w:val="en-US" w:eastAsia="zh-CN" w:bidi="ar"/>
              </w:rPr>
              <w:t>注：须提供证书扫描件并加盖投标人公章，否则不得分。</w:t>
            </w:r>
          </w:p>
        </w:tc>
        <w:tc>
          <w:tcPr>
            <w:tcW w:w="754" w:type="dxa"/>
            <w:noWrap w:val="0"/>
            <w:vAlign w:val="center"/>
          </w:tcPr>
          <w:p>
            <w:pPr>
              <w:ind w:firstLine="0" w:firstLineChars="0"/>
              <w:jc w:val="center"/>
              <w:rPr>
                <w:rFonts w:hint="eastAsia" w:ascii="仿宋_GB2312" w:hAnsi="仿宋_GB2312" w:eastAsia="仿宋_GB2312" w:cs="仿宋_GB2312"/>
                <w:sz w:val="24"/>
                <w:szCs w:val="24"/>
                <w:highlight w:val="none"/>
                <w:lang w:val="en-US" w:eastAsia="zh-CN"/>
              </w:rPr>
            </w:pPr>
          </w:p>
          <w:p>
            <w:pPr>
              <w:ind w:firstLine="0" w:firstLineChars="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val="en-US" w:eastAsia="zh-CN"/>
              </w:rPr>
              <w:t>分</w:t>
            </w:r>
          </w:p>
        </w:tc>
        <w:tc>
          <w:tcPr>
            <w:tcW w:w="774" w:type="dxa"/>
            <w:noWrap w:val="0"/>
            <w:vAlign w:val="center"/>
          </w:tcPr>
          <w:p>
            <w:pPr>
              <w:ind w:firstLine="0" w:firstLineChars="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4"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395"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类似业绩</w:t>
            </w:r>
          </w:p>
        </w:tc>
        <w:tc>
          <w:tcPr>
            <w:tcW w:w="6802" w:type="dxa"/>
            <w:noWrap w:val="0"/>
            <w:vAlign w:val="center"/>
          </w:tcPr>
          <w:p>
            <w:pPr>
              <w:widowControl/>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投标人自</w:t>
            </w:r>
            <w:r>
              <w:rPr>
                <w:rFonts w:hint="eastAsia" w:ascii="仿宋_GB2312" w:hAnsi="仿宋_GB2312" w:eastAsia="仿宋_GB2312" w:cs="仿宋_GB2312"/>
                <w:strike w:val="0"/>
                <w:dstrike w:val="0"/>
                <w:color w:val="auto"/>
                <w:sz w:val="24"/>
                <w:szCs w:val="24"/>
                <w:highlight w:val="none"/>
                <w:lang w:val="en-US" w:eastAsia="zh-CN"/>
              </w:rPr>
              <w:t>2022</w:t>
            </w:r>
            <w:r>
              <w:rPr>
                <w:rFonts w:hint="eastAsia" w:ascii="仿宋_GB2312" w:hAnsi="仿宋_GB2312" w:eastAsia="仿宋_GB2312" w:cs="仿宋_GB2312"/>
                <w:sz w:val="24"/>
                <w:szCs w:val="24"/>
              </w:rPr>
              <w:t>年1月1日以来完成类似项目的成功案例，单个合同得0.5分，最高得2分。</w:t>
            </w:r>
            <w:r>
              <w:rPr>
                <w:rFonts w:hint="eastAsia" w:ascii="仿宋_GB2312" w:hAnsi="仿宋_GB2312" w:eastAsia="仿宋_GB2312" w:cs="仿宋_GB2312"/>
                <w:b w:val="0"/>
                <w:bCs w:val="0"/>
                <w:kern w:val="2"/>
                <w:sz w:val="24"/>
                <w:szCs w:val="24"/>
                <w:highlight w:val="none"/>
                <w:lang w:val="en-US" w:eastAsia="zh-CN" w:bidi="ar"/>
              </w:rPr>
              <w:t>（0</w:t>
            </w:r>
            <w:r>
              <w:rPr>
                <w:rFonts w:hint="eastAsia" w:ascii="仿宋_GB2312" w:hAnsi="仿宋_GB2312" w:eastAsia="仿宋_GB2312" w:cs="仿宋_GB2312"/>
                <w:b w:val="0"/>
                <w:bCs w:val="0"/>
                <w:kern w:val="2"/>
                <w:sz w:val="24"/>
                <w:szCs w:val="24"/>
                <w:highlight w:val="none"/>
                <w:lang w:val="en-US" w:eastAsia="zh-CN" w:bidi="ar"/>
              </w:rPr>
              <w:t>-2</w:t>
            </w:r>
            <w:r>
              <w:rPr>
                <w:rFonts w:hint="eastAsia" w:ascii="仿宋_GB2312" w:hAnsi="仿宋_GB2312" w:eastAsia="仿宋_GB2312" w:cs="仿宋_GB2312"/>
                <w:b w:val="0"/>
                <w:bCs w:val="0"/>
                <w:kern w:val="2"/>
                <w:sz w:val="24"/>
                <w:szCs w:val="24"/>
                <w:highlight w:val="none"/>
                <w:lang w:val="en-US" w:eastAsia="zh-CN" w:bidi="ar"/>
              </w:rPr>
              <w:t>分）</w:t>
            </w:r>
          </w:p>
          <w:p>
            <w:pPr>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注：要求提供</w:t>
            </w:r>
            <w:r>
              <w:rPr>
                <w:rFonts w:hint="eastAsia" w:ascii="仿宋_GB2312" w:hAnsi="仿宋_GB2312" w:eastAsia="仿宋_GB2312" w:cs="仿宋_GB2312"/>
                <w:b/>
                <w:bCs/>
                <w:sz w:val="24"/>
                <w:szCs w:val="24"/>
                <w:lang w:val="en-US" w:eastAsia="zh-CN"/>
              </w:rPr>
              <w:t>项目</w:t>
            </w:r>
            <w:r>
              <w:rPr>
                <w:rFonts w:hint="eastAsia" w:ascii="仿宋_GB2312" w:hAnsi="仿宋_GB2312" w:eastAsia="仿宋_GB2312" w:cs="仿宋_GB2312"/>
                <w:b/>
                <w:bCs/>
                <w:sz w:val="24"/>
                <w:szCs w:val="24"/>
              </w:rPr>
              <w:t>合同</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发票</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用户验收报告（或其他用户反馈证明材料）复印件并加盖投标人公章。（一个单位分年度多次签订的案例，计入1个案例；同一个项目，分两期或以上建设完成的，计入1个案例）</w:t>
            </w:r>
          </w:p>
        </w:tc>
        <w:tc>
          <w:tcPr>
            <w:tcW w:w="754" w:type="dxa"/>
            <w:noWrap w:val="0"/>
            <w:vAlign w:val="center"/>
          </w:tcPr>
          <w:p>
            <w:pPr>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kern w:val="0"/>
                <w:sz w:val="24"/>
                <w:szCs w:val="24"/>
                <w:lang w:val="en-US" w:eastAsia="zh-CN"/>
              </w:rPr>
              <w:t>2分</w:t>
            </w:r>
          </w:p>
        </w:tc>
        <w:tc>
          <w:tcPr>
            <w:tcW w:w="774" w:type="dxa"/>
            <w:noWrap w:val="0"/>
            <w:vAlign w:val="center"/>
          </w:tcPr>
          <w:p>
            <w:pPr>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客观分</w:t>
            </w:r>
          </w:p>
        </w:tc>
      </w:tr>
    </w:tbl>
    <w:p>
      <w:pPr>
        <w:spacing w:before="156"/>
        <w:ind w:firstLine="0" w:firstLineChars="0"/>
        <w:rPr>
          <w:rFonts w:hint="eastAsia" w:ascii="仿宋_GB2312" w:hAnsi="仿宋_GB2312" w:eastAsia="仿宋_GB2312" w:cs="仿宋_GB2312"/>
          <w:b/>
          <w:szCs w:val="24"/>
        </w:rPr>
      </w:pPr>
      <w:r>
        <w:rPr>
          <w:rFonts w:hint="eastAsia" w:ascii="仿宋_GB2312" w:hAnsi="仿宋_GB2312" w:eastAsia="仿宋_GB2312" w:cs="仿宋_GB2312"/>
          <w:b/>
          <w:szCs w:val="24"/>
        </w:rPr>
        <w:t>注：</w:t>
      </w:r>
      <w:r>
        <w:rPr>
          <w:rFonts w:hint="eastAsia" w:ascii="仿宋_GB2312" w:hAnsi="仿宋_GB2312" w:eastAsia="仿宋_GB2312" w:cs="仿宋_GB2312"/>
          <w:b/>
          <w:szCs w:val="24"/>
          <w:lang w:val="en-US" w:eastAsia="zh-CN"/>
        </w:rPr>
        <w:t>1.</w:t>
      </w:r>
      <w:r>
        <w:rPr>
          <w:rFonts w:hint="eastAsia" w:ascii="仿宋_GB2312" w:hAnsi="仿宋_GB2312" w:eastAsia="仿宋_GB2312" w:cs="仿宋_GB2312"/>
          <w:b/>
          <w:szCs w:val="24"/>
        </w:rPr>
        <w:t>投标人弄虚作假的，报政府采购监督部门查处。</w:t>
      </w:r>
    </w:p>
    <w:p>
      <w:pPr>
        <w:pStyle w:val="2"/>
        <w:keepNext/>
        <w:keepLines/>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rPr>
      </w:pPr>
    </w:p>
    <w:p>
      <w:pPr>
        <w:pStyle w:val="2"/>
        <w:keepNext/>
        <w:keepLines/>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二、</w:t>
      </w:r>
      <w:r>
        <w:rPr>
          <w:rFonts w:hint="eastAsia" w:ascii="仿宋_GB2312" w:hAnsi="仿宋_GB2312" w:eastAsia="仿宋_GB2312" w:cs="仿宋_GB2312"/>
        </w:rPr>
        <w:t>采购需求</w:t>
      </w:r>
    </w:p>
    <w:p>
      <w:pPr>
        <w:pStyle w:val="3"/>
        <w:numPr>
          <w:ilvl w:val="0"/>
          <w:numId w:val="4"/>
        </w:numPr>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项目概述</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仿宋_GB2312" w:hAnsi="仿宋_GB2312" w:eastAsia="仿宋_GB2312" w:cs="仿宋_GB2312"/>
          <w:color w:val="FF0000"/>
          <w:szCs w:val="24"/>
        </w:rPr>
      </w:pPr>
      <w:r>
        <w:rPr>
          <w:rFonts w:hint="eastAsia" w:ascii="仿宋_GB2312" w:hAnsi="仿宋_GB2312" w:eastAsia="仿宋_GB2312" w:cs="仿宋_GB2312"/>
          <w:sz w:val="24"/>
          <w:lang w:val="en-US" w:eastAsia="zh-CN"/>
        </w:rPr>
        <w:t>杭州市富阳区教育局中小学</w:t>
      </w:r>
      <w:r>
        <w:rPr>
          <w:rFonts w:hint="eastAsia" w:ascii="仿宋_GB2312" w:hAnsi="仿宋_GB2312" w:eastAsia="仿宋_GB2312" w:cs="仿宋_GB2312"/>
          <w:sz w:val="24"/>
        </w:rPr>
        <w:t>教师办公电脑采购项目主要内容：采购教师办公</w:t>
      </w:r>
      <w:r>
        <w:rPr>
          <w:rFonts w:hint="eastAsia" w:ascii="仿宋_GB2312" w:hAnsi="仿宋_GB2312" w:eastAsia="仿宋_GB2312" w:cs="仿宋_GB2312"/>
          <w:sz w:val="24"/>
          <w:lang w:val="en-US" w:eastAsia="zh-CN"/>
        </w:rPr>
        <w:t>用台式微型计算机542</w:t>
      </w:r>
      <w:r>
        <w:rPr>
          <w:rFonts w:hint="eastAsia" w:ascii="仿宋_GB2312" w:hAnsi="仿宋_GB2312" w:eastAsia="仿宋_GB2312" w:cs="仿宋_GB2312"/>
          <w:sz w:val="24"/>
        </w:rPr>
        <w:t>台</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包括全部台式微型计算机的</w:t>
      </w:r>
      <w:r>
        <w:rPr>
          <w:rFonts w:hint="eastAsia" w:ascii="仿宋_GB2312" w:hAnsi="仿宋_GB2312" w:eastAsia="仿宋_GB2312" w:cs="仿宋_GB2312"/>
          <w:sz w:val="24"/>
        </w:rPr>
        <w:t>供货、运输、安装、调试、</w:t>
      </w:r>
      <w:r>
        <w:rPr>
          <w:rFonts w:hint="eastAsia" w:ascii="仿宋_GB2312" w:hAnsi="仿宋_GB2312" w:eastAsia="仿宋_GB2312" w:cs="仿宋_GB2312"/>
          <w:sz w:val="24"/>
          <w:lang w:val="en-US" w:eastAsia="zh-CN"/>
        </w:rPr>
        <w:t>应用软件适配、</w:t>
      </w:r>
      <w:r>
        <w:rPr>
          <w:rFonts w:hint="eastAsia" w:ascii="仿宋_GB2312" w:hAnsi="仿宋_GB2312" w:eastAsia="仿宋_GB2312" w:cs="仿宋_GB2312"/>
          <w:sz w:val="24"/>
        </w:rPr>
        <w:t>验收、运维保障、技术培训、质保期内的维修保养以及其他伴随服务等。</w:t>
      </w:r>
    </w:p>
    <w:p>
      <w:pPr>
        <w:pStyle w:val="3"/>
        <w:numPr>
          <w:ilvl w:val="0"/>
          <w:numId w:val="4"/>
        </w:numPr>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项目技术标准</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（一）《计算机通用规范 第1部分：台式微型计算机》（GB/T 9813.1-2016）</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（二）《信息安全技术网络产品和服务安全通用要求》 （GB/T 39276-2020）</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"javascript:void(0)"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微型计算机能效限定值及能效等级</w:t>
      </w:r>
      <w:r>
        <w:rPr>
          <w:rFonts w:hint="eastAsia" w:ascii="仿宋_GB2312" w:hAnsi="仿宋_GB2312" w:eastAsia="仿宋_GB2312" w:cs="仿宋_GB2312"/>
          <w:sz w:val="24"/>
          <w:lang w:val="en-US" w:eastAsia="zh-CN"/>
        </w:rPr>
        <w:fldChar w:fldCharType="end"/>
      </w:r>
      <w:r>
        <w:rPr>
          <w:rFonts w:hint="eastAsia" w:ascii="仿宋_GB2312" w:hAnsi="仿宋_GB2312" w:eastAsia="仿宋_GB2312" w:cs="仿宋_GB2312"/>
          <w:sz w:val="24"/>
          <w:lang w:val="en-US" w:eastAsia="zh-CN"/>
        </w:rPr>
        <w:t>》         （GB 28380-2012）</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（四）《台式计算机政府采购需求标准（2023年版）》  财政部 工业和信息化部</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（五）《</w:t>
      </w:r>
      <w:r>
        <w:rPr>
          <w:rFonts w:hint="eastAsia" w:ascii="仿宋_GB2312" w:hAnsi="仿宋_GB2312" w:eastAsia="仿宋_GB2312" w:cs="仿宋_GB2312"/>
          <w:sz w:val="24"/>
          <w:lang w:val="en-US" w:eastAsia="zh-CN"/>
        </w:rPr>
        <w:t>计算机用液晶显示器通用规范</w:t>
      </w:r>
      <w:r>
        <w:rPr>
          <w:rFonts w:hint="eastAsia" w:ascii="仿宋_GB2312" w:hAnsi="仿宋_GB2312" w:eastAsia="仿宋_GB2312" w:cs="仿宋_GB2312"/>
          <w:sz w:val="24"/>
          <w:lang w:val="en-US" w:eastAsia="zh-CN"/>
        </w:rPr>
        <w:t>》             （</w:t>
      </w:r>
      <w:r>
        <w:rPr>
          <w:rFonts w:hint="eastAsia" w:ascii="仿宋_GB2312" w:hAnsi="仿宋_GB2312" w:eastAsia="仿宋_GB2312" w:cs="仿宋_GB2312"/>
          <w:sz w:val="24"/>
          <w:lang w:val="en-US" w:eastAsia="zh-CN"/>
        </w:rPr>
        <w:t>SJ/T 11292-2016</w:t>
      </w:r>
      <w:r>
        <w:rPr>
          <w:rFonts w:hint="eastAsia" w:ascii="仿宋_GB2312" w:hAnsi="仿宋_GB2312" w:eastAsia="仿宋_GB2312" w:cs="仿宋_GB2312"/>
          <w:sz w:val="24"/>
          <w:lang w:val="en-US" w:eastAsia="zh-CN"/>
        </w:rPr>
        <w:t>）</w:t>
      </w:r>
    </w:p>
    <w:p>
      <w:pPr>
        <w:ind w:firstLine="480"/>
        <w:rPr>
          <w:rFonts w:hint="eastAsia" w:ascii="仿宋_GB2312" w:hAnsi="仿宋_GB2312" w:eastAsia="仿宋_GB2312" w:cs="仿宋_GB2312"/>
          <w:color w:val="000000"/>
          <w:szCs w:val="24"/>
        </w:rPr>
      </w:pPr>
      <w:r>
        <w:rPr>
          <w:rFonts w:hint="eastAsia" w:ascii="仿宋_GB2312" w:hAnsi="仿宋_GB2312" w:eastAsia="仿宋_GB2312" w:cs="仿宋_GB2312"/>
          <w:szCs w:val="24"/>
        </w:rPr>
        <w:t>中标人</w:t>
      </w:r>
      <w:r>
        <w:rPr>
          <w:rFonts w:hint="eastAsia" w:ascii="仿宋_GB2312" w:hAnsi="仿宋_GB2312" w:eastAsia="仿宋_GB2312" w:cs="仿宋_GB2312"/>
          <w:szCs w:val="24"/>
          <w:lang w:val="en-US" w:eastAsia="zh-CN"/>
        </w:rPr>
        <w:t>提供的产品、</w:t>
      </w:r>
      <w:r>
        <w:rPr>
          <w:rFonts w:hint="eastAsia" w:ascii="仿宋_GB2312" w:hAnsi="仿宋_GB2312" w:eastAsia="仿宋_GB2312" w:cs="仿宋_GB2312"/>
          <w:szCs w:val="24"/>
        </w:rPr>
        <w:t>服务应符合采购人相关工作标准及涉及的相关技术标准要求，满足采购人质量、环境、职业健康安全、信息安全、社会责任管理体系要求。</w:t>
      </w:r>
    </w:p>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三、采购需求</w:t>
      </w:r>
      <w:r>
        <w:rPr>
          <w:rFonts w:hint="eastAsia" w:ascii="仿宋_GB2312" w:hAnsi="仿宋_GB2312" w:eastAsia="仿宋_GB2312" w:cs="仿宋_GB2312"/>
          <w:szCs w:val="24"/>
          <w:lang w:val="en-US" w:eastAsia="zh-CN"/>
        </w:rPr>
        <w:t>设备</w:t>
      </w:r>
      <w:r>
        <w:rPr>
          <w:rFonts w:hint="eastAsia" w:ascii="仿宋_GB2312" w:hAnsi="仿宋_GB2312" w:eastAsia="仿宋_GB2312" w:cs="仿宋_GB2312"/>
          <w:szCs w:val="24"/>
        </w:rPr>
        <w:t>清单</w:t>
      </w:r>
    </w:p>
    <w:tbl>
      <w:tblPr>
        <w:tblStyle w:val="11"/>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523"/>
        <w:gridCol w:w="492"/>
        <w:gridCol w:w="584"/>
        <w:gridCol w:w="1284"/>
        <w:gridCol w:w="1284"/>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dxa"/>
            <w:noWrap w:val="0"/>
            <w:vAlign w:val="center"/>
          </w:tcPr>
          <w:p>
            <w:pPr>
              <w:widowControl/>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2523" w:type="dxa"/>
            <w:noWrap w:val="0"/>
            <w:vAlign w:val="center"/>
          </w:tcPr>
          <w:p>
            <w:pPr>
              <w:widowControl/>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名  称</w:t>
            </w:r>
          </w:p>
        </w:tc>
        <w:tc>
          <w:tcPr>
            <w:tcW w:w="492" w:type="dxa"/>
            <w:noWrap w:val="0"/>
            <w:vAlign w:val="center"/>
          </w:tcPr>
          <w:p>
            <w:pPr>
              <w:widowControl/>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单位</w:t>
            </w:r>
          </w:p>
        </w:tc>
        <w:tc>
          <w:tcPr>
            <w:tcW w:w="584" w:type="dxa"/>
            <w:noWrap w:val="0"/>
            <w:vAlign w:val="center"/>
          </w:tcPr>
          <w:p>
            <w:pPr>
              <w:widowControl/>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数量</w:t>
            </w:r>
          </w:p>
        </w:tc>
        <w:tc>
          <w:tcPr>
            <w:tcW w:w="1284" w:type="dxa"/>
            <w:noWrap w:val="0"/>
            <w:vAlign w:val="center"/>
          </w:tcPr>
          <w:p>
            <w:pPr>
              <w:widowControl/>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质保要求</w:t>
            </w:r>
          </w:p>
        </w:tc>
        <w:tc>
          <w:tcPr>
            <w:tcW w:w="1284" w:type="dxa"/>
            <w:noWrap w:val="0"/>
            <w:vAlign w:val="center"/>
          </w:tcPr>
          <w:p>
            <w:pPr>
              <w:widowControl/>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中小企业划分标准所属行业</w:t>
            </w:r>
          </w:p>
        </w:tc>
        <w:tc>
          <w:tcPr>
            <w:tcW w:w="1562" w:type="dxa"/>
            <w:noWrap w:val="0"/>
            <w:vAlign w:val="center"/>
          </w:tcPr>
          <w:p>
            <w:pPr>
              <w:widowControl/>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color w:val="auto"/>
                <w:szCs w:val="24"/>
                <w:highlight w:val="none"/>
              </w:rPr>
              <w:t>办公</w:t>
            </w:r>
            <w:r>
              <w:rPr>
                <w:rFonts w:hint="eastAsia" w:ascii="仿宋_GB2312" w:hAnsi="仿宋_GB2312" w:eastAsia="仿宋_GB2312" w:cs="仿宋_GB2312"/>
                <w:b/>
                <w:color w:val="auto"/>
                <w:szCs w:val="24"/>
                <w:highlight w:val="none"/>
                <w:lang w:val="en-US" w:eastAsia="zh-CN"/>
              </w:rPr>
              <w:t>设备</w:t>
            </w:r>
            <w:r>
              <w:rPr>
                <w:rFonts w:hint="eastAsia" w:ascii="仿宋_GB2312" w:hAnsi="仿宋_GB2312" w:eastAsia="仿宋_GB2312" w:cs="仿宋_GB2312"/>
                <w:b/>
                <w:color w:val="auto"/>
                <w:szCs w:val="24"/>
                <w:highlight w:val="none"/>
              </w:rPr>
              <w:t>配置价格限价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dxa"/>
            <w:noWrap w:val="0"/>
            <w:vAlign w:val="center"/>
          </w:tcPr>
          <w:p>
            <w:pPr>
              <w:widowControl/>
              <w:spacing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2523" w:type="dxa"/>
            <w:noWrap w:val="0"/>
            <w:vAlign w:val="center"/>
          </w:tcPr>
          <w:p>
            <w:pPr>
              <w:spacing w:line="240" w:lineRule="auto"/>
              <w:ind w:firstLine="0" w:firstLineChars="0"/>
              <w:jc w:val="center"/>
              <w:rPr>
                <w:rFonts w:hint="eastAsia" w:ascii="仿宋_GB2312" w:hAnsi="仿宋_GB2312" w:eastAsia="仿宋_GB2312" w:cs="仿宋_GB2312"/>
                <w:b/>
                <w:bCs/>
                <w:szCs w:val="24"/>
                <w:lang w:val="en-US" w:eastAsia="zh-CN"/>
              </w:rPr>
            </w:pPr>
            <w:r>
              <w:rPr>
                <w:rFonts w:hint="eastAsia" w:ascii="仿宋_GB2312" w:hAnsi="仿宋_GB2312" w:eastAsia="仿宋_GB2312" w:cs="仿宋_GB2312"/>
                <w:sz w:val="24"/>
                <w:lang w:val="en-US" w:eastAsia="zh-CN"/>
              </w:rPr>
              <w:t>台式微型计算机</w:t>
            </w:r>
          </w:p>
        </w:tc>
        <w:tc>
          <w:tcPr>
            <w:tcW w:w="492" w:type="dxa"/>
            <w:noWrap w:val="0"/>
            <w:vAlign w:val="center"/>
          </w:tcPr>
          <w:p>
            <w:pPr>
              <w:widowControl/>
              <w:spacing w:line="240" w:lineRule="auto"/>
              <w:ind w:firstLine="0" w:firstLineChars="0"/>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台</w:t>
            </w:r>
          </w:p>
        </w:tc>
        <w:tc>
          <w:tcPr>
            <w:tcW w:w="584" w:type="dxa"/>
            <w:noWrap w:val="0"/>
            <w:vAlign w:val="center"/>
          </w:tcPr>
          <w:p>
            <w:pPr>
              <w:widowControl/>
              <w:spacing w:line="240" w:lineRule="auto"/>
              <w:ind w:firstLine="0" w:firstLineChars="0"/>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542</w:t>
            </w:r>
          </w:p>
        </w:tc>
        <w:tc>
          <w:tcPr>
            <w:tcW w:w="1284" w:type="dxa"/>
            <w:noWrap w:val="0"/>
            <w:vAlign w:val="center"/>
          </w:tcPr>
          <w:p>
            <w:pPr>
              <w:widowControl/>
              <w:spacing w:line="24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3</w:t>
            </w:r>
            <w:r>
              <w:rPr>
                <w:rFonts w:hint="eastAsia" w:ascii="仿宋_GB2312" w:hAnsi="仿宋_GB2312" w:eastAsia="仿宋_GB2312" w:cs="仿宋_GB2312"/>
                <w:szCs w:val="24"/>
              </w:rPr>
              <w:t>年</w:t>
            </w:r>
          </w:p>
        </w:tc>
        <w:tc>
          <w:tcPr>
            <w:tcW w:w="1284" w:type="dxa"/>
            <w:noWrap w:val="0"/>
            <w:vAlign w:val="center"/>
          </w:tcPr>
          <w:p>
            <w:pPr>
              <w:widowControl/>
              <w:spacing w:line="240" w:lineRule="auto"/>
              <w:ind w:firstLine="0" w:firstLineChars="0"/>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工业</w:t>
            </w:r>
          </w:p>
        </w:tc>
        <w:tc>
          <w:tcPr>
            <w:tcW w:w="1562" w:type="dxa"/>
            <w:noWrap w:val="0"/>
            <w:vAlign w:val="center"/>
          </w:tcPr>
          <w:p>
            <w:pPr>
              <w:widowControl/>
              <w:spacing w:line="240" w:lineRule="auto"/>
              <w:ind w:firstLine="0" w:firstLineChars="0"/>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4500元/台</w:t>
            </w:r>
          </w:p>
        </w:tc>
      </w:tr>
    </w:tbl>
    <w:p>
      <w:pPr>
        <w:ind w:firstLine="48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划分类目详见：《关于印发中小企业划型标准规定的通知（工信部联企业〔2011〕300号）》</w:t>
      </w:r>
    </w:p>
    <w:p>
      <w:pPr>
        <w:ind w:firstLine="482"/>
        <w:rPr>
          <w:rFonts w:hint="eastAsia" w:ascii="仿宋_GB2312" w:hAnsi="仿宋_GB2312" w:eastAsia="仿宋_GB2312" w:cs="仿宋_GB2312"/>
          <w:b/>
          <w:bCs/>
          <w:color w:val="auto"/>
          <w:szCs w:val="24"/>
          <w:u w:val="single"/>
        </w:rPr>
      </w:pPr>
      <w:r>
        <w:rPr>
          <w:rFonts w:hint="eastAsia" w:ascii="仿宋_GB2312" w:hAnsi="仿宋_GB2312" w:eastAsia="仿宋_GB2312" w:cs="仿宋_GB2312"/>
          <w:b/>
          <w:bCs/>
          <w:color w:val="auto"/>
          <w:szCs w:val="24"/>
        </w:rPr>
        <w:t>注：本项目核心产品为：</w:t>
      </w:r>
      <w:r>
        <w:rPr>
          <w:rFonts w:hint="eastAsia" w:ascii="仿宋_GB2312" w:hAnsi="仿宋_GB2312" w:eastAsia="仿宋_GB2312" w:cs="仿宋_GB2312"/>
          <w:b/>
          <w:bCs/>
          <w:color w:val="auto"/>
          <w:szCs w:val="24"/>
          <w:u w:val="single"/>
        </w:rPr>
        <w:t xml:space="preserve">  </w:t>
      </w:r>
      <w:r>
        <w:rPr>
          <w:rFonts w:hint="eastAsia" w:ascii="仿宋_GB2312" w:hAnsi="仿宋_GB2312" w:eastAsia="仿宋_GB2312" w:cs="仿宋_GB2312"/>
          <w:color w:val="auto"/>
          <w:sz w:val="24"/>
          <w:u w:val="single"/>
          <w:lang w:val="en-US" w:eastAsia="zh-CN"/>
        </w:rPr>
        <w:t>台式微型计算机</w:t>
      </w:r>
      <w:r>
        <w:rPr>
          <w:rFonts w:hint="eastAsia" w:ascii="仿宋_GB2312" w:hAnsi="仿宋_GB2312" w:eastAsia="仿宋_GB2312" w:cs="仿宋_GB2312"/>
          <w:b/>
          <w:bCs/>
          <w:color w:val="auto"/>
          <w:szCs w:val="24"/>
          <w:u w:val="single"/>
        </w:rPr>
        <w:t xml:space="preserve"> </w:t>
      </w:r>
    </w:p>
    <w:p>
      <w:pPr>
        <w:ind w:firstLine="482"/>
        <w:rPr>
          <w:rFonts w:hint="eastAsia" w:ascii="仿宋_GB2312" w:hAnsi="仿宋_GB2312" w:eastAsia="仿宋_GB2312" w:cs="仿宋_GB2312"/>
          <w:szCs w:val="24"/>
        </w:rPr>
      </w:pPr>
      <w:r>
        <w:rPr>
          <w:rFonts w:hint="eastAsia" w:ascii="仿宋_GB2312" w:hAnsi="仿宋_GB2312" w:eastAsia="仿宋_GB2312" w:cs="仿宋_GB2312"/>
          <w:b/>
          <w:bCs/>
          <w:kern w:val="2"/>
          <w:sz w:val="24"/>
          <w:szCs w:val="24"/>
          <w:lang w:val="en-US" w:eastAsia="zh-CN" w:bidi="ar-SA"/>
        </w:rPr>
        <w:t>四、详细技术参数</w:t>
      </w:r>
    </w:p>
    <w:tbl>
      <w:tblPr>
        <w:tblStyle w:val="11"/>
        <w:tblW w:w="9210" w:type="dxa"/>
        <w:jc w:val="center"/>
        <w:tblLayout w:type="autofit"/>
        <w:tblCellMar>
          <w:top w:w="0" w:type="dxa"/>
          <w:left w:w="108" w:type="dxa"/>
          <w:bottom w:w="0" w:type="dxa"/>
          <w:right w:w="108" w:type="dxa"/>
        </w:tblCellMar>
      </w:tblPr>
      <w:tblGrid>
        <w:gridCol w:w="704"/>
        <w:gridCol w:w="1011"/>
        <w:gridCol w:w="1276"/>
        <w:gridCol w:w="2281"/>
        <w:gridCol w:w="3938"/>
      </w:tblGrid>
      <w:tr>
        <w:tblPrEx>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序号</w:t>
            </w:r>
          </w:p>
        </w:tc>
        <w:tc>
          <w:tcPr>
            <w:tcW w:w="1011"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名称</w:t>
            </w:r>
          </w:p>
        </w:tc>
        <w:tc>
          <w:tcPr>
            <w:tcW w:w="1276"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指标分类</w:t>
            </w:r>
          </w:p>
        </w:tc>
        <w:tc>
          <w:tcPr>
            <w:tcW w:w="2281" w:type="dxa"/>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具体指标</w:t>
            </w:r>
          </w:p>
        </w:tc>
        <w:tc>
          <w:tcPr>
            <w:tcW w:w="3938" w:type="dxa"/>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rFonts w:hint="eastAsia" w:ascii="仿宋_GB2312" w:hAnsi="仿宋_GB2312" w:eastAsia="仿宋_GB2312" w:cs="仿宋_GB2312"/>
                <w:b/>
                <w:color w:val="000000"/>
                <w:kern w:val="0"/>
                <w:sz w:val="18"/>
                <w:szCs w:val="18"/>
              </w:rPr>
            </w:pPr>
            <w:r>
              <w:rPr>
                <w:rFonts w:hint="eastAsia" w:ascii="仿宋_GB2312" w:hAnsi="仿宋_GB2312" w:eastAsia="仿宋_GB2312" w:cs="仿宋_GB2312"/>
                <w:b/>
                <w:color w:val="000000"/>
                <w:kern w:val="0"/>
                <w:sz w:val="18"/>
                <w:szCs w:val="18"/>
              </w:rPr>
              <w:t>指标要求</w:t>
            </w:r>
          </w:p>
        </w:tc>
      </w:tr>
      <w:tr>
        <w:tblPrEx>
          <w:tblCellMar>
            <w:top w:w="0" w:type="dxa"/>
            <w:left w:w="108" w:type="dxa"/>
            <w:bottom w:w="0" w:type="dxa"/>
            <w:right w:w="108" w:type="dxa"/>
          </w:tblCellMar>
        </w:tblPrEx>
        <w:trPr>
          <w:trHeight w:val="702" w:hRule="atLeast"/>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01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en-US" w:eastAsia="zh-CN"/>
              </w:rPr>
              <w:t>台式微型计算机</w:t>
            </w:r>
          </w:p>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Cs w:val="24"/>
                <w:highlight w:val="none"/>
              </w:rPr>
              <w:t>★</w:t>
            </w:r>
            <w:r>
              <w:rPr>
                <w:rFonts w:hint="eastAsia" w:ascii="仿宋_GB2312" w:hAnsi="仿宋_GB2312" w:eastAsia="仿宋_GB2312" w:cs="仿宋_GB2312"/>
                <w:sz w:val="24"/>
                <w:lang w:val="en-US" w:eastAsia="zh-CN"/>
              </w:rPr>
              <w:t>CPU/显卡</w:t>
            </w:r>
          </w:p>
        </w:tc>
        <w:tc>
          <w:tcPr>
            <w:tcW w:w="621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（1）国产自主品牌，需通过国家安全可靠测评，且在有效期内；</w:t>
            </w:r>
          </w:p>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（2）国产ARM架构处理器，飞腾D3000/2G独显；或者国产ARM架构处理器，麒麟9000C/集显；</w:t>
            </w:r>
          </w:p>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（3）CPU主频≥2.3GHz,核心数≥8核。</w:t>
            </w:r>
          </w:p>
        </w:tc>
      </w:tr>
      <w:tr>
        <w:tblPrEx>
          <w:tblCellMar>
            <w:top w:w="0" w:type="dxa"/>
            <w:left w:w="108" w:type="dxa"/>
            <w:bottom w:w="0" w:type="dxa"/>
            <w:right w:w="108" w:type="dxa"/>
          </w:tblCellMar>
        </w:tblPrEx>
        <w:trPr>
          <w:trHeight w:val="398"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Cs w:val="24"/>
                <w:highlight w:val="none"/>
              </w:rPr>
              <w:t>★</w:t>
            </w:r>
            <w:r>
              <w:rPr>
                <w:rFonts w:hint="eastAsia" w:ascii="仿宋_GB2312" w:hAnsi="仿宋_GB2312" w:eastAsia="仿宋_GB2312" w:cs="仿宋_GB2312"/>
                <w:sz w:val="24"/>
                <w:lang w:val="en-US" w:eastAsia="zh-CN"/>
              </w:rPr>
              <w:t>内存性能</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内存配置容量</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≥16GB。</w:t>
            </w:r>
          </w:p>
        </w:tc>
      </w:tr>
      <w:tr>
        <w:tblPrEx>
          <w:tblCellMar>
            <w:top w:w="0" w:type="dxa"/>
            <w:left w:w="108" w:type="dxa"/>
            <w:bottom w:w="0" w:type="dxa"/>
            <w:right w:w="108" w:type="dxa"/>
          </w:tblCellMar>
        </w:tblPrEx>
        <w:trPr>
          <w:trHeight w:val="90"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内存类型</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支持DDR5及以上内存类型。</w:t>
            </w:r>
          </w:p>
        </w:tc>
      </w:tr>
      <w:tr>
        <w:tblPrEx>
          <w:tblCellMar>
            <w:top w:w="0" w:type="dxa"/>
            <w:left w:w="108" w:type="dxa"/>
            <w:bottom w:w="0" w:type="dxa"/>
            <w:right w:w="108" w:type="dxa"/>
          </w:tblCellMar>
        </w:tblPrEx>
        <w:trPr>
          <w:trHeight w:val="411"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内存读写速率</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≥5600MT/S。</w:t>
            </w:r>
          </w:p>
        </w:tc>
      </w:tr>
      <w:tr>
        <w:tblPrEx>
          <w:tblCellMar>
            <w:top w:w="0" w:type="dxa"/>
            <w:left w:w="108" w:type="dxa"/>
            <w:bottom w:w="0" w:type="dxa"/>
            <w:right w:w="108" w:type="dxa"/>
          </w:tblCellMar>
        </w:tblPrEx>
        <w:trPr>
          <w:trHeight w:val="416"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Cs w:val="24"/>
                <w:highlight w:val="none"/>
              </w:rPr>
              <w:t>★</w:t>
            </w:r>
            <w:r>
              <w:rPr>
                <w:rFonts w:hint="eastAsia" w:ascii="仿宋_GB2312" w:hAnsi="仿宋_GB2312" w:eastAsia="仿宋_GB2312" w:cs="仿宋_GB2312"/>
                <w:sz w:val="24"/>
                <w:lang w:val="en-US" w:eastAsia="zh-CN"/>
              </w:rPr>
              <w:t>存储设</w:t>
            </w:r>
          </w:p>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备规格</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固态存储容量</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≥512GB。</w:t>
            </w:r>
          </w:p>
        </w:tc>
      </w:tr>
      <w:tr>
        <w:tblPrEx>
          <w:tblCellMar>
            <w:top w:w="0" w:type="dxa"/>
            <w:left w:w="108" w:type="dxa"/>
            <w:bottom w:w="0" w:type="dxa"/>
            <w:right w:w="108" w:type="dxa"/>
          </w:tblCellMar>
        </w:tblPrEx>
        <w:trPr>
          <w:trHeight w:val="567"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固态存储接口协议</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UFS/SATA/PCIe/NVMe等类型接口协议。</w:t>
            </w:r>
          </w:p>
        </w:tc>
      </w:tr>
      <w:tr>
        <w:tblPrEx>
          <w:tblCellMar>
            <w:top w:w="0" w:type="dxa"/>
            <w:left w:w="108" w:type="dxa"/>
            <w:bottom w:w="0" w:type="dxa"/>
            <w:right w:w="108" w:type="dxa"/>
          </w:tblCellMar>
        </w:tblPrEx>
        <w:trPr>
          <w:trHeight w:val="424"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Cs w:val="24"/>
                <w:highlight w:val="none"/>
              </w:rPr>
              <w:t>★</w:t>
            </w:r>
            <w:r>
              <w:rPr>
                <w:rFonts w:hint="eastAsia" w:ascii="仿宋_GB2312" w:hAnsi="仿宋_GB2312" w:eastAsia="仿宋_GB2312" w:cs="仿宋_GB2312"/>
                <w:sz w:val="24"/>
                <w:lang w:val="en-US" w:eastAsia="zh-CN"/>
              </w:rPr>
              <w:t>显卡性能</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显卡规格</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集成显卡或独立显卡。</w:t>
            </w:r>
          </w:p>
        </w:tc>
      </w:tr>
      <w:tr>
        <w:tblPrEx>
          <w:tblCellMar>
            <w:top w:w="0" w:type="dxa"/>
            <w:left w:w="108" w:type="dxa"/>
            <w:bottom w:w="0" w:type="dxa"/>
            <w:right w:w="108" w:type="dxa"/>
          </w:tblCellMar>
        </w:tblPrEx>
        <w:trPr>
          <w:trHeight w:val="418"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显卡显示芯片核心频率</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≥300MHz。</w:t>
            </w:r>
          </w:p>
        </w:tc>
      </w:tr>
      <w:tr>
        <w:tblPrEx>
          <w:tblCellMar>
            <w:top w:w="0" w:type="dxa"/>
            <w:left w:w="108" w:type="dxa"/>
            <w:bottom w:w="0" w:type="dxa"/>
            <w:right w:w="108" w:type="dxa"/>
          </w:tblCellMar>
        </w:tblPrEx>
        <w:trPr>
          <w:trHeight w:val="397"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显存等效频率</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≥1000MT/s。</w:t>
            </w:r>
          </w:p>
        </w:tc>
      </w:tr>
      <w:tr>
        <w:tblPrEx>
          <w:tblCellMar>
            <w:top w:w="0" w:type="dxa"/>
            <w:left w:w="108" w:type="dxa"/>
            <w:bottom w:w="0" w:type="dxa"/>
            <w:right w:w="108" w:type="dxa"/>
          </w:tblCellMar>
        </w:tblPrEx>
        <w:trPr>
          <w:trHeight w:val="567"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显卡外接显示接口</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显卡至少支持VGA、HDMI、DVI、DP、Type-C中1种显示接口，并与投标的显示器接口相匹配。</w:t>
            </w:r>
          </w:p>
        </w:tc>
      </w:tr>
      <w:tr>
        <w:tblPrEx>
          <w:tblCellMar>
            <w:top w:w="0" w:type="dxa"/>
            <w:left w:w="108" w:type="dxa"/>
            <w:bottom w:w="0" w:type="dxa"/>
            <w:right w:w="108" w:type="dxa"/>
          </w:tblCellMar>
        </w:tblPrEx>
        <w:trPr>
          <w:trHeight w:val="456"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Cs w:val="24"/>
                <w:highlight w:val="none"/>
              </w:rPr>
              <w:t>★</w:t>
            </w:r>
            <w:r>
              <w:rPr>
                <w:rFonts w:hint="eastAsia" w:ascii="仿宋_GB2312" w:hAnsi="仿宋_GB2312" w:eastAsia="仿宋_GB2312" w:cs="仿宋_GB2312"/>
                <w:sz w:val="24"/>
                <w:lang w:val="en-US" w:eastAsia="zh-CN"/>
              </w:rPr>
              <w:t>显示设</w:t>
            </w:r>
          </w:p>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备性能</w:t>
            </w:r>
          </w:p>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显示屏尺寸</w:t>
            </w:r>
          </w:p>
        </w:tc>
        <w:tc>
          <w:tcPr>
            <w:tcW w:w="3938"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bookmarkStart w:id="0" w:name="OLE_LINK5"/>
            <w:r>
              <w:rPr>
                <w:rFonts w:hint="eastAsia" w:ascii="仿宋_GB2312" w:hAnsi="仿宋_GB2312" w:eastAsia="仿宋_GB2312" w:cs="仿宋_GB2312"/>
                <w:sz w:val="24"/>
                <w:lang w:val="en-US" w:eastAsia="zh-CN"/>
              </w:rPr>
              <w:t>≥23.8英寸</w:t>
            </w:r>
            <w:bookmarkEnd w:id="0"/>
          </w:p>
        </w:tc>
      </w:tr>
      <w:tr>
        <w:tblPrEx>
          <w:tblCellMar>
            <w:top w:w="0" w:type="dxa"/>
            <w:left w:w="108" w:type="dxa"/>
            <w:bottom w:w="0" w:type="dxa"/>
            <w:right w:w="108" w:type="dxa"/>
          </w:tblCellMar>
        </w:tblPrEx>
        <w:trPr>
          <w:trHeight w:val="451"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显示屏分辨率</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≥1920*1080。</w:t>
            </w:r>
          </w:p>
        </w:tc>
      </w:tr>
      <w:tr>
        <w:tblPrEx>
          <w:tblCellMar>
            <w:top w:w="0" w:type="dxa"/>
            <w:left w:w="108" w:type="dxa"/>
            <w:bottom w:w="0" w:type="dxa"/>
            <w:right w:w="108" w:type="dxa"/>
          </w:tblCellMar>
        </w:tblPrEx>
        <w:trPr>
          <w:trHeight w:val="445"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显示屏刷新率</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≥75Hz。</w:t>
            </w:r>
          </w:p>
        </w:tc>
      </w:tr>
      <w:tr>
        <w:tblPrEx>
          <w:tblCellMar>
            <w:top w:w="0" w:type="dxa"/>
            <w:left w:w="108" w:type="dxa"/>
            <w:bottom w:w="0" w:type="dxa"/>
            <w:right w:w="108" w:type="dxa"/>
          </w:tblCellMar>
        </w:tblPrEx>
        <w:trPr>
          <w:trHeight w:val="439"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显示屏对比度</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≥1000:1。</w:t>
            </w:r>
          </w:p>
        </w:tc>
      </w:tr>
      <w:tr>
        <w:tblPrEx>
          <w:tblCellMar>
            <w:top w:w="0" w:type="dxa"/>
            <w:left w:w="108" w:type="dxa"/>
            <w:bottom w:w="0" w:type="dxa"/>
            <w:right w:w="108" w:type="dxa"/>
          </w:tblCellMar>
        </w:tblPrEx>
        <w:trPr>
          <w:trHeight w:val="432"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显示屏像素密度</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≥85像素/英寸。</w:t>
            </w:r>
          </w:p>
        </w:tc>
      </w:tr>
      <w:tr>
        <w:tblPrEx>
          <w:tblCellMar>
            <w:top w:w="0" w:type="dxa"/>
            <w:left w:w="108" w:type="dxa"/>
            <w:bottom w:w="0" w:type="dxa"/>
            <w:right w:w="108" w:type="dxa"/>
          </w:tblCellMar>
        </w:tblPrEx>
        <w:trPr>
          <w:trHeight w:val="398"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显示屏色准</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△E≤4。</w:t>
            </w:r>
          </w:p>
        </w:tc>
      </w:tr>
      <w:tr>
        <w:tblPrEx>
          <w:tblCellMar>
            <w:top w:w="0" w:type="dxa"/>
            <w:left w:w="108" w:type="dxa"/>
            <w:bottom w:w="0" w:type="dxa"/>
            <w:right w:w="108" w:type="dxa"/>
          </w:tblCellMar>
        </w:tblPrEx>
        <w:trPr>
          <w:trHeight w:val="393"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vMerge w:val="restart"/>
            <w:tcBorders>
              <w:top w:val="nil"/>
              <w:left w:val="nil"/>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显示屏其他参数</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其它参数应符合SJ/T 11292-2016 的相关规定。</w:t>
            </w:r>
          </w:p>
        </w:tc>
      </w:tr>
      <w:tr>
        <w:tblPrEx>
          <w:tblCellMar>
            <w:top w:w="0" w:type="dxa"/>
            <w:left w:w="108" w:type="dxa"/>
            <w:bottom w:w="0" w:type="dxa"/>
            <w:right w:w="108" w:type="dxa"/>
          </w:tblCellMar>
        </w:tblPrEx>
        <w:trPr>
          <w:trHeight w:val="42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vMerge w:val="continue"/>
            <w:tcBorders>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zh-CN" w:eastAsia="zh-CN"/>
              </w:rPr>
            </w:pP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显示器要求与主机同品牌。</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显示器接口</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至少含有一个HDMI接口；显示器应与主机显卡外接显示接口相匹配。</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Cs w:val="24"/>
                <w:highlight w:val="none"/>
              </w:rPr>
              <w:t>★</w:t>
            </w:r>
            <w:r>
              <w:rPr>
                <w:rFonts w:hint="eastAsia" w:ascii="仿宋_GB2312" w:hAnsi="仿宋_GB2312" w:eastAsia="仿宋_GB2312" w:cs="仿宋_GB2312"/>
                <w:sz w:val="24"/>
                <w:lang w:val="en-US" w:eastAsia="zh-CN"/>
              </w:rPr>
              <w:t>网络设</w:t>
            </w:r>
          </w:p>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备性能</w:t>
            </w: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有线网卡速率</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最高速率应不低于1000Mbps，应支持10Mbps/100Mbp/1000Mbps 速率自适应。</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zh-CN" w:eastAsia="zh-CN"/>
              </w:rPr>
              <w:t>有线网卡接口类型</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支持RJ45接口。</w:t>
            </w:r>
          </w:p>
        </w:tc>
      </w:tr>
      <w:tr>
        <w:tblPrEx>
          <w:tblCellMar>
            <w:top w:w="0" w:type="dxa"/>
            <w:left w:w="108" w:type="dxa"/>
            <w:bottom w:w="0" w:type="dxa"/>
            <w:right w:w="108" w:type="dxa"/>
          </w:tblCellMar>
        </w:tblPrEx>
        <w:trPr>
          <w:trHeight w:val="567"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外部接</w:t>
            </w:r>
          </w:p>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口功能</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USB接口及音频接口类型</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≥8个主板USB接口（含至少1个Type-C）；USB 3.0接口≥6个；机箱前面板应提供不少于3个USB接口；麦克风输入接口*1，音频输出接口*1，音频输入接口*1。</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nil"/>
              <w:left w:val="nil"/>
              <w:bottom w:val="single" w:color="auto" w:sz="4" w:space="0"/>
              <w:right w:val="single" w:color="auto" w:sz="4" w:space="0"/>
            </w:tcBorders>
            <w:shd w:val="clear" w:color="auto" w:fill="auto"/>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整机基</w:t>
            </w:r>
          </w:p>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础规格</w:t>
            </w:r>
          </w:p>
        </w:tc>
        <w:tc>
          <w:tcPr>
            <w:tcW w:w="2281" w:type="dxa"/>
            <w:tcBorders>
              <w:top w:val="nil"/>
              <w:left w:val="nil"/>
              <w:bottom w:val="single" w:color="auto" w:sz="4" w:space="0"/>
              <w:right w:val="single" w:color="auto" w:sz="4" w:space="0"/>
            </w:tcBorders>
            <w:shd w:val="clear" w:color="auto" w:fill="auto"/>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整机能效限定值</w:t>
            </w:r>
          </w:p>
        </w:tc>
        <w:tc>
          <w:tcPr>
            <w:tcW w:w="3938" w:type="dxa"/>
            <w:tcBorders>
              <w:top w:val="nil"/>
              <w:left w:val="nil"/>
              <w:bottom w:val="single" w:color="auto" w:sz="4" w:space="0"/>
              <w:right w:val="single" w:color="auto" w:sz="4" w:space="0"/>
            </w:tcBorders>
            <w:shd w:val="clear" w:color="auto" w:fill="FFFFFF"/>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产品能效限定值应达到GB 28380-2012标准中能效等级1级及以上。</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输入功能</w:t>
            </w: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外接设备</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配104键键盘1个；鼠标1个。</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整机可靠性要求</w:t>
            </w: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zh-CN" w:eastAsia="zh-CN"/>
              </w:rPr>
              <w:t>电磁兼容性要求的抗扰度</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考虑设备工作稳定：要求设备通过浪涌（冲击）抗扰度的适应性认证。</w:t>
            </w:r>
          </w:p>
        </w:tc>
      </w:tr>
      <w:tr>
        <w:tblPrEx>
          <w:tblCellMar>
            <w:top w:w="0" w:type="dxa"/>
            <w:left w:w="108" w:type="dxa"/>
            <w:bottom w:w="0" w:type="dxa"/>
            <w:right w:w="108" w:type="dxa"/>
          </w:tblCellMar>
        </w:tblPrEx>
        <w:trPr>
          <w:trHeight w:val="393"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环境条件要求的气候环境适应性</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考虑使用环境差异，要求设备通过温度0~40℃/低气压61.6kPa（4000m）的环境适应性认证。</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环境条件要求的振动适应性</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符合GB/T 9813.1-2016中规定。</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环境条件要求的冲击适应性</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符合GB/T 9813.1-2016中规定。</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环境条件要求的碰撞适应性</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符合GB/T 9813.1-2016中规定。</w:t>
            </w:r>
          </w:p>
        </w:tc>
      </w:tr>
      <w:tr>
        <w:tblPrEx>
          <w:tblCellMar>
            <w:top w:w="0" w:type="dxa"/>
            <w:left w:w="108" w:type="dxa"/>
            <w:bottom w:w="0" w:type="dxa"/>
            <w:right w:w="108" w:type="dxa"/>
          </w:tblCellMar>
        </w:tblPrEx>
        <w:trPr>
          <w:trHeight w:val="555"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环境条件要求的运输包装件跌落适应性</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符合GB/T 9813.1-2016中规定。</w:t>
            </w:r>
          </w:p>
        </w:tc>
      </w:tr>
      <w:tr>
        <w:tblPrEx>
          <w:tblCellMar>
            <w:top w:w="0" w:type="dxa"/>
            <w:left w:w="108" w:type="dxa"/>
            <w:bottom w:w="0" w:type="dxa"/>
            <w:right w:w="108" w:type="dxa"/>
          </w:tblCellMar>
        </w:tblPrEx>
        <w:trPr>
          <w:trHeight w:val="47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MTBF 测试</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MTBF(m1)≥100万小时 。</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shd w:val="clear" w:color="auto" w:fill="auto"/>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整机噪音</w:t>
            </w:r>
          </w:p>
        </w:tc>
        <w:tc>
          <w:tcPr>
            <w:tcW w:w="3938" w:type="dxa"/>
            <w:tcBorders>
              <w:top w:val="nil"/>
              <w:left w:val="nil"/>
              <w:bottom w:val="single" w:color="auto" w:sz="4" w:space="0"/>
              <w:right w:val="single" w:color="auto" w:sz="4" w:space="0"/>
            </w:tcBorders>
            <w:shd w:val="clear" w:color="auto" w:fill="FFFFFF"/>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考虑工作环境的静音舒适，要求设备空闲状态下声压≤16.75dB（A），CPU工作状态下声压级≤22.66dB（A）。</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机箱尺寸容量</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机箱体积≤10L，整机支持免工具拆卸。</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服务要求</w:t>
            </w: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整机质量服务要求</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免费服务周期（含换件和维修）3年，提供整机3年质保和原厂工程师上门服务。</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关键部件安全要求</w:t>
            </w: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关键部件安全要求</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CPU和操作系统等关键部件应当符合安全可靠测评要求；通过政府有关部门指定的中国信息安全测评中心和国家保密科技测评中心网站查看安全可靠测评结果。</w:t>
            </w:r>
          </w:p>
        </w:tc>
      </w:tr>
      <w:tr>
        <w:tblPrEx>
          <w:tblCellMar>
            <w:top w:w="0" w:type="dxa"/>
            <w:left w:w="108" w:type="dxa"/>
            <w:bottom w:w="0" w:type="dxa"/>
            <w:right w:w="108" w:type="dxa"/>
          </w:tblCellMar>
        </w:tblPrEx>
        <w:trPr>
          <w:trHeight w:val="40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整机安全</w:t>
            </w:r>
          </w:p>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性要求</w:t>
            </w:r>
          </w:p>
        </w:tc>
        <w:tc>
          <w:tcPr>
            <w:tcW w:w="2281" w:type="dxa"/>
            <w:vMerge w:val="restart"/>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信息安全基本要求</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a)产品应符合GB/T 39276-2020中 5.2的规定</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b)生产厂商应建立漏洞跟踪表，保证产品版本涉及到的漏洞(如驱动程序等)可查看。</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c)产品不得包含已知的恶意代码或漏洞，不存在未声明的指令、功能、接口。</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固件安全启动</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支持固件安全启动功能，固件启动过程中只有通过启动校验才能正常启动。</w:t>
            </w:r>
          </w:p>
        </w:tc>
      </w:tr>
      <w:tr>
        <w:tblPrEx>
          <w:tblCellMar>
            <w:top w:w="0" w:type="dxa"/>
            <w:left w:w="108" w:type="dxa"/>
            <w:bottom w:w="0" w:type="dxa"/>
            <w:right w:w="108" w:type="dxa"/>
          </w:tblCellMar>
        </w:tblPrEx>
        <w:trPr>
          <w:trHeight w:val="1209"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bookmarkStart w:id="1" w:name="OLE_LINK7"/>
            <w:r>
              <w:rPr>
                <w:rFonts w:hint="eastAsia" w:ascii="仿宋_GB2312" w:hAnsi="仿宋_GB2312" w:eastAsia="仿宋_GB2312" w:cs="仿宋_GB2312"/>
                <w:szCs w:val="24"/>
                <w:highlight w:val="none"/>
              </w:rPr>
              <w:t>★</w:t>
            </w:r>
            <w:bookmarkEnd w:id="1"/>
            <w:r>
              <w:rPr>
                <w:rFonts w:hint="eastAsia" w:ascii="仿宋_GB2312" w:hAnsi="仿宋_GB2312" w:eastAsia="仿宋_GB2312" w:cs="仿宋_GB2312"/>
                <w:sz w:val="24"/>
                <w:lang w:val="en-US" w:eastAsia="zh-CN"/>
              </w:rPr>
              <w:t>操作系统</w:t>
            </w: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国产操作系统</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zh-CN" w:eastAsia="zh-CN"/>
              </w:rPr>
              <w:t>1.预装正版国产麒麟或统信操作系统，符合安全可靠测评要求；</w:t>
            </w:r>
          </w:p>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zh-CN" w:eastAsia="zh-CN"/>
              </w:rPr>
              <w:t>2.预装</w:t>
            </w:r>
            <w:r>
              <w:rPr>
                <w:rFonts w:hint="eastAsia" w:ascii="仿宋_GB2312" w:hAnsi="仿宋_GB2312" w:eastAsia="仿宋_GB2312" w:cs="仿宋_GB2312"/>
                <w:sz w:val="24"/>
                <w:lang w:val="en-US" w:eastAsia="zh-CN"/>
              </w:rPr>
              <w:t>的</w:t>
            </w:r>
            <w:r>
              <w:rPr>
                <w:rFonts w:hint="eastAsia" w:ascii="仿宋_GB2312" w:hAnsi="仿宋_GB2312" w:eastAsia="仿宋_GB2312" w:cs="仿宋_GB2312"/>
                <w:sz w:val="24"/>
                <w:lang w:val="zh-CN" w:eastAsia="zh-CN"/>
              </w:rPr>
              <w:t>操作系统提供三年</w:t>
            </w:r>
            <w:r>
              <w:rPr>
                <w:rFonts w:hint="eastAsia" w:ascii="仿宋_GB2312" w:hAnsi="仿宋_GB2312" w:eastAsia="仿宋_GB2312" w:cs="仿宋_GB2312"/>
                <w:sz w:val="24"/>
                <w:lang w:val="en-US" w:eastAsia="zh-CN"/>
              </w:rPr>
              <w:t>免费</w:t>
            </w:r>
            <w:r>
              <w:rPr>
                <w:rFonts w:hint="eastAsia" w:ascii="仿宋_GB2312" w:hAnsi="仿宋_GB2312" w:eastAsia="仿宋_GB2312" w:cs="仿宋_GB2312"/>
                <w:sz w:val="24"/>
                <w:lang w:val="zh-CN" w:eastAsia="zh-CN"/>
              </w:rPr>
              <w:t>原厂技术支持、运维、升级、软件适配及上门服务</w:t>
            </w:r>
            <w:r>
              <w:rPr>
                <w:rFonts w:hint="eastAsia" w:ascii="仿宋_GB2312" w:hAnsi="仿宋_GB2312" w:eastAsia="仿宋_GB2312" w:cs="仿宋_GB2312"/>
                <w:sz w:val="24"/>
                <w:lang w:val="en-US" w:eastAsia="zh-CN"/>
              </w:rPr>
              <w:t>；</w:t>
            </w:r>
          </w:p>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val="zh-CN" w:eastAsia="zh-CN"/>
              </w:rPr>
              <w:t>预装</w:t>
            </w:r>
            <w:r>
              <w:rPr>
                <w:rFonts w:hint="eastAsia" w:ascii="仿宋_GB2312" w:hAnsi="仿宋_GB2312" w:eastAsia="仿宋_GB2312" w:cs="仿宋_GB2312"/>
                <w:sz w:val="24"/>
                <w:lang w:val="en-US" w:eastAsia="zh-CN"/>
              </w:rPr>
              <w:t>的操作系统</w:t>
            </w:r>
            <w:r>
              <w:rPr>
                <w:rFonts w:hint="eastAsia" w:ascii="仿宋_GB2312" w:hAnsi="仿宋_GB2312" w:eastAsia="仿宋_GB2312" w:cs="仿宋_GB2312"/>
                <w:sz w:val="24"/>
                <w:lang w:val="zh-CN" w:eastAsia="zh-CN"/>
              </w:rPr>
              <w:t>授权永久激活。</w:t>
            </w:r>
          </w:p>
        </w:tc>
      </w:tr>
      <w:tr>
        <w:tblPrEx>
          <w:tblCellMar>
            <w:top w:w="0" w:type="dxa"/>
            <w:left w:w="108" w:type="dxa"/>
            <w:bottom w:w="0" w:type="dxa"/>
            <w:right w:w="108" w:type="dxa"/>
          </w:tblCellMar>
        </w:tblPrEx>
        <w:trPr>
          <w:trHeight w:val="661" w:hRule="atLeast"/>
          <w:jc w:val="center"/>
        </w:trPr>
        <w:tc>
          <w:tcPr>
            <w:tcW w:w="704"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Cs w:val="24"/>
                <w:highlight w:val="none"/>
              </w:rPr>
              <w:t>★</w:t>
            </w:r>
            <w:r>
              <w:rPr>
                <w:rFonts w:hint="eastAsia" w:ascii="仿宋_GB2312" w:hAnsi="仿宋_GB2312" w:eastAsia="仿宋_GB2312" w:cs="仿宋_GB2312"/>
                <w:sz w:val="24"/>
                <w:lang w:val="zh-CN" w:eastAsia="zh-CN"/>
              </w:rPr>
              <w:t>办公软件</w:t>
            </w:r>
          </w:p>
        </w:tc>
        <w:tc>
          <w:tcPr>
            <w:tcW w:w="2281"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en-US" w:eastAsia="zh-CN"/>
              </w:rPr>
              <w:t>国产</w:t>
            </w:r>
            <w:r>
              <w:rPr>
                <w:rFonts w:hint="eastAsia" w:ascii="仿宋_GB2312" w:hAnsi="仿宋_GB2312" w:eastAsia="仿宋_GB2312" w:cs="仿宋_GB2312"/>
                <w:sz w:val="24"/>
                <w:lang w:val="zh-CN" w:eastAsia="zh-CN"/>
              </w:rPr>
              <w:t>办公软件</w:t>
            </w:r>
          </w:p>
        </w:tc>
        <w:tc>
          <w:tcPr>
            <w:tcW w:w="3938" w:type="dxa"/>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zh-CN" w:eastAsia="zh-CN"/>
              </w:rPr>
            </w:pPr>
            <w:r>
              <w:rPr>
                <w:rFonts w:hint="eastAsia" w:ascii="仿宋_GB2312" w:hAnsi="仿宋_GB2312" w:eastAsia="仿宋_GB2312" w:cs="仿宋_GB2312"/>
                <w:sz w:val="24"/>
                <w:lang w:val="en-US" w:eastAsia="zh-CN"/>
              </w:rPr>
              <w:t>1.国产</w:t>
            </w:r>
            <w:r>
              <w:rPr>
                <w:rFonts w:hint="eastAsia" w:ascii="仿宋_GB2312" w:hAnsi="仿宋_GB2312" w:eastAsia="仿宋_GB2312" w:cs="仿宋_GB2312"/>
                <w:sz w:val="24"/>
                <w:lang w:val="zh-CN" w:eastAsia="zh-CN"/>
              </w:rPr>
              <w:t>版式办公软件和流式办公软件正版授权永久激活，原厂免费升级服务期限≥3年。</w:t>
            </w:r>
          </w:p>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2.国产办公软件至少要支持文档编辑排版与查阅、电子表格的处理、演示文稿的制作与查阅、PDF文档的编辑与查阅等功能。</w:t>
            </w:r>
          </w:p>
        </w:tc>
      </w:tr>
      <w:tr>
        <w:tblPrEx>
          <w:tblCellMar>
            <w:top w:w="0" w:type="dxa"/>
            <w:left w:w="108" w:type="dxa"/>
            <w:bottom w:w="0" w:type="dxa"/>
            <w:right w:w="108" w:type="dxa"/>
          </w:tblCellMar>
        </w:tblPrEx>
        <w:trPr>
          <w:trHeight w:val="567" w:hRule="atLeast"/>
          <w:jc w:val="center"/>
        </w:trPr>
        <w:tc>
          <w:tcPr>
            <w:tcW w:w="704" w:type="dxa"/>
            <w:vMerge w:val="continue"/>
            <w:tcBorders>
              <w:top w:val="nil"/>
              <w:left w:val="single" w:color="auto" w:sz="4" w:space="0"/>
              <w:bottom w:val="nil"/>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vMerge w:val="continue"/>
            <w:tcBorders>
              <w:top w:val="nil"/>
              <w:left w:val="single" w:color="auto" w:sz="4" w:space="0"/>
              <w:bottom w:val="nil"/>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整机要求</w:t>
            </w:r>
          </w:p>
        </w:tc>
        <w:tc>
          <w:tcPr>
            <w:tcW w:w="6219" w:type="dxa"/>
            <w:gridSpan w:val="2"/>
            <w:tcBorders>
              <w:top w:val="nil"/>
              <w:left w:val="nil"/>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承诺</w:t>
            </w:r>
            <w:r>
              <w:rPr>
                <w:rFonts w:hint="eastAsia" w:ascii="仿宋_GB2312" w:hAnsi="仿宋_GB2312" w:eastAsia="仿宋_GB2312" w:cs="仿宋_GB2312"/>
                <w:szCs w:val="24"/>
              </w:rPr>
              <w:t>所供产品</w:t>
            </w:r>
            <w:r>
              <w:rPr>
                <w:rFonts w:hint="eastAsia" w:ascii="仿宋_GB2312" w:hAnsi="仿宋_GB2312" w:eastAsia="仿宋_GB2312" w:cs="仿宋_GB2312"/>
                <w:szCs w:val="24"/>
                <w:lang w:val="en-US" w:eastAsia="zh-CN"/>
              </w:rPr>
              <w:t>为</w:t>
            </w:r>
            <w:r>
              <w:rPr>
                <w:rFonts w:hint="eastAsia" w:ascii="仿宋_GB2312" w:hAnsi="仿宋_GB2312" w:eastAsia="仿宋_GB2312" w:cs="仿宋_GB2312"/>
                <w:szCs w:val="24"/>
              </w:rPr>
              <w:t>全新、正宗、原包装</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生产日期为2025年1月1日以后</w:t>
            </w:r>
            <w:r>
              <w:rPr>
                <w:rFonts w:hint="eastAsia" w:ascii="仿宋_GB2312" w:hAnsi="仿宋_GB2312" w:eastAsia="仿宋_GB2312" w:cs="仿宋_GB2312"/>
                <w:szCs w:val="24"/>
              </w:rPr>
              <w:t>新生产的货物，并符合国家强制性标准，至用户手中时不拆封。提供货物时</w:t>
            </w:r>
            <w:r>
              <w:rPr>
                <w:rFonts w:hint="eastAsia" w:ascii="仿宋_GB2312" w:hAnsi="仿宋_GB2312" w:eastAsia="仿宋_GB2312" w:cs="仿宋_GB2312"/>
                <w:szCs w:val="24"/>
                <w:lang w:val="en-US" w:eastAsia="zh-CN"/>
              </w:rPr>
              <w:t>一并</w:t>
            </w:r>
            <w:r>
              <w:rPr>
                <w:rFonts w:hint="eastAsia" w:ascii="仿宋_GB2312" w:hAnsi="仿宋_GB2312" w:eastAsia="仿宋_GB2312" w:cs="仿宋_GB2312"/>
                <w:szCs w:val="24"/>
              </w:rPr>
              <w:t>提供制造商出具的保修卡、中文汉语说明书以及产品特约维修处</w:t>
            </w:r>
            <w:r>
              <w:rPr>
                <w:rFonts w:hint="eastAsia" w:ascii="仿宋_GB2312" w:hAnsi="仿宋_GB2312" w:eastAsia="仿宋_GB2312" w:cs="仿宋_GB2312"/>
                <w:szCs w:val="24"/>
                <w:lang w:eastAsia="zh-CN"/>
              </w:rPr>
              <w:t>。</w:t>
            </w:r>
          </w:p>
        </w:tc>
      </w:tr>
      <w:tr>
        <w:tblPrEx>
          <w:tblCellMar>
            <w:top w:w="0" w:type="dxa"/>
            <w:left w:w="108" w:type="dxa"/>
            <w:bottom w:w="0" w:type="dxa"/>
            <w:right w:w="108" w:type="dxa"/>
          </w:tblCellMar>
        </w:tblPrEx>
        <w:trPr>
          <w:trHeight w:val="567" w:hRule="atLeast"/>
          <w:jc w:val="center"/>
        </w:trPr>
        <w:tc>
          <w:tcPr>
            <w:tcW w:w="704"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011"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sz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kern w:val="2"/>
                <w:sz w:val="24"/>
                <w:lang w:val="en-US" w:eastAsia="zh-CN" w:bidi="ar-SA"/>
              </w:rPr>
            </w:pPr>
            <w:r>
              <w:rPr>
                <w:rFonts w:hint="eastAsia" w:ascii="仿宋_GB2312" w:hAnsi="仿宋_GB2312" w:eastAsia="仿宋_GB2312" w:cs="仿宋_GB2312"/>
                <w:sz w:val="24"/>
                <w:lang w:val="en-US" w:eastAsia="zh-CN"/>
              </w:rPr>
              <w:t>其他要求</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kern w:val="2"/>
                <w:sz w:val="24"/>
                <w:lang w:val="en-US" w:eastAsia="zh-CN" w:bidi="ar-SA"/>
              </w:rPr>
            </w:pPr>
            <w:r>
              <w:rPr>
                <w:rFonts w:hint="eastAsia" w:ascii="仿宋_GB2312" w:hAnsi="仿宋_GB2312" w:eastAsia="仿宋_GB2312" w:cs="仿宋_GB2312"/>
                <w:sz w:val="24"/>
                <w:lang w:val="en-US" w:eastAsia="zh-CN"/>
              </w:rPr>
              <w:t>其他要求</w:t>
            </w:r>
          </w:p>
        </w:tc>
        <w:tc>
          <w:tcPr>
            <w:tcW w:w="39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仿宋_GB2312" w:hAnsi="仿宋_GB2312" w:eastAsia="仿宋_GB2312" w:cs="仿宋_GB2312"/>
                <w:kern w:val="2"/>
                <w:sz w:val="24"/>
                <w:lang w:val="en-US" w:eastAsia="zh-CN" w:bidi="ar-SA"/>
              </w:rPr>
            </w:pPr>
            <w:r>
              <w:rPr>
                <w:rFonts w:hint="eastAsia" w:ascii="仿宋_GB2312" w:hAnsi="仿宋_GB2312" w:eastAsia="仿宋_GB2312" w:cs="仿宋_GB2312"/>
                <w:sz w:val="24"/>
                <w:lang w:val="en-US" w:eastAsia="zh-CN"/>
              </w:rPr>
              <w:t>财政部《台式计算机政府采购需求标准（2023年版）》中规定的其他*内容</w:t>
            </w:r>
          </w:p>
        </w:tc>
      </w:tr>
    </w:tbl>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五</w:t>
      </w:r>
      <w:r>
        <w:rPr>
          <w:rFonts w:hint="eastAsia" w:ascii="仿宋_GB2312" w:hAnsi="仿宋_GB2312" w:eastAsia="仿宋_GB2312" w:cs="仿宋_GB2312"/>
          <w:szCs w:val="24"/>
        </w:rPr>
        <w:t>、本项目技术班子/服务人员需求</w:t>
      </w:r>
    </w:p>
    <w:tbl>
      <w:tblPr>
        <w:tblStyle w:val="11"/>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08"/>
        <w:gridCol w:w="709"/>
        <w:gridCol w:w="6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8" w:type="dxa"/>
            <w:noWrap w:val="0"/>
            <w:vAlign w:val="center"/>
          </w:tcPr>
          <w:p>
            <w:pPr>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1608" w:type="dxa"/>
            <w:noWrap w:val="0"/>
            <w:vAlign w:val="center"/>
          </w:tcPr>
          <w:p>
            <w:pPr>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岗位名称</w:t>
            </w:r>
          </w:p>
        </w:tc>
        <w:tc>
          <w:tcPr>
            <w:tcW w:w="709" w:type="dxa"/>
            <w:noWrap w:val="0"/>
            <w:vAlign w:val="center"/>
          </w:tcPr>
          <w:p>
            <w:pPr>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人数</w:t>
            </w:r>
          </w:p>
        </w:tc>
        <w:tc>
          <w:tcPr>
            <w:tcW w:w="6109" w:type="dxa"/>
            <w:noWrap w:val="0"/>
            <w:vAlign w:val="center"/>
          </w:tcPr>
          <w:p>
            <w:pPr>
              <w:spacing w:line="240" w:lineRule="auto"/>
              <w:ind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888"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w:t>
            </w:r>
          </w:p>
        </w:tc>
        <w:tc>
          <w:tcPr>
            <w:tcW w:w="1608"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项目</w:t>
            </w:r>
            <w:r>
              <w:rPr>
                <w:rFonts w:hint="eastAsia" w:ascii="仿宋_GB2312" w:hAnsi="仿宋_GB2312" w:eastAsia="仿宋_GB2312" w:cs="仿宋_GB2312"/>
                <w:color w:val="auto"/>
                <w:sz w:val="24"/>
                <w:highlight w:val="none"/>
              </w:rPr>
              <w:t>负责人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Cs w:val="24"/>
                <w:highlight w:val="none"/>
              </w:rPr>
              <w:t>经理</w:t>
            </w:r>
            <w:r>
              <w:rPr>
                <w:rFonts w:hint="eastAsia" w:ascii="仿宋_GB2312" w:hAnsi="仿宋_GB2312" w:eastAsia="仿宋_GB2312" w:cs="仿宋_GB2312"/>
                <w:color w:val="auto"/>
                <w:szCs w:val="24"/>
                <w:highlight w:val="none"/>
                <w:lang w:eastAsia="zh-CN"/>
              </w:rPr>
              <w:t>）</w:t>
            </w:r>
          </w:p>
        </w:tc>
        <w:tc>
          <w:tcPr>
            <w:tcW w:w="709"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w:t>
            </w:r>
          </w:p>
        </w:tc>
        <w:tc>
          <w:tcPr>
            <w:tcW w:w="6109" w:type="dxa"/>
            <w:noWrap w:val="0"/>
            <w:vAlign w:val="center"/>
          </w:tcPr>
          <w:p>
            <w:pPr>
              <w:spacing w:line="240" w:lineRule="auto"/>
              <w:ind w:firstLine="0" w:firstLineChars="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val="en-US" w:eastAsia="zh-CN"/>
              </w:rPr>
              <w:t>具</w:t>
            </w:r>
            <w:r>
              <w:rPr>
                <w:rFonts w:hint="eastAsia" w:ascii="仿宋_GB2312" w:hAnsi="仿宋_GB2312" w:eastAsia="仿宋_GB2312" w:cs="仿宋_GB2312"/>
                <w:color w:val="auto"/>
                <w:szCs w:val="24"/>
                <w:highlight w:val="none"/>
              </w:rPr>
              <w:t>有3年及以上</w:t>
            </w:r>
            <w:r>
              <w:rPr>
                <w:rFonts w:hint="eastAsia" w:ascii="仿宋_GB2312" w:hAnsi="仿宋_GB2312" w:eastAsia="仿宋_GB2312" w:cs="仿宋_GB2312"/>
                <w:color w:val="auto"/>
                <w:szCs w:val="24"/>
                <w:highlight w:val="none"/>
                <w:lang w:val="en-US" w:eastAsia="zh-CN"/>
              </w:rPr>
              <w:t>信息</w:t>
            </w:r>
            <w:r>
              <w:rPr>
                <w:rFonts w:hint="eastAsia" w:ascii="仿宋_GB2312" w:hAnsi="仿宋_GB2312" w:eastAsia="仿宋_GB2312" w:cs="仿宋_GB2312"/>
                <w:color w:val="auto"/>
                <w:szCs w:val="24"/>
                <w:highlight w:val="none"/>
              </w:rPr>
              <w:t>行业</w:t>
            </w:r>
            <w:r>
              <w:rPr>
                <w:rFonts w:hint="eastAsia" w:ascii="仿宋_GB2312" w:hAnsi="仿宋_GB2312" w:eastAsia="仿宋_GB2312" w:cs="仿宋_GB2312"/>
                <w:color w:val="auto"/>
                <w:szCs w:val="24"/>
                <w:highlight w:val="none"/>
                <w:lang w:val="en-US" w:eastAsia="zh-CN"/>
              </w:rPr>
              <w:t>管理</w:t>
            </w:r>
            <w:r>
              <w:rPr>
                <w:rFonts w:hint="eastAsia" w:ascii="仿宋_GB2312" w:hAnsi="仿宋_GB2312" w:eastAsia="仿宋_GB2312" w:cs="仿宋_GB2312"/>
                <w:color w:val="auto"/>
                <w:szCs w:val="24"/>
                <w:highlight w:val="none"/>
              </w:rPr>
              <w:t>工作经验，有丰富的项目管理经验和协调能力，具有良好的沟通、管理、组织能力，政历清楚，责任心强，身体健康。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8"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w:t>
            </w:r>
          </w:p>
        </w:tc>
        <w:tc>
          <w:tcPr>
            <w:tcW w:w="1608"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 w:val="24"/>
                <w:highlight w:val="none"/>
                <w:lang w:val="en-US" w:eastAsia="zh-CN"/>
              </w:rPr>
              <w:t>项目技术负责人</w:t>
            </w:r>
          </w:p>
        </w:tc>
        <w:tc>
          <w:tcPr>
            <w:tcW w:w="709"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w:t>
            </w:r>
          </w:p>
        </w:tc>
        <w:tc>
          <w:tcPr>
            <w:tcW w:w="6109" w:type="dxa"/>
            <w:noWrap w:val="0"/>
            <w:vAlign w:val="center"/>
          </w:tcPr>
          <w:p>
            <w:pPr>
              <w:spacing w:line="240" w:lineRule="auto"/>
              <w:ind w:firstLine="0" w:firstLineChars="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val="en-US" w:eastAsia="zh-CN"/>
              </w:rPr>
              <w:t>具</w:t>
            </w:r>
            <w:r>
              <w:rPr>
                <w:rFonts w:hint="eastAsia" w:ascii="仿宋_GB2312" w:hAnsi="仿宋_GB2312" w:eastAsia="仿宋_GB2312" w:cs="仿宋_GB2312"/>
                <w:color w:val="auto"/>
                <w:szCs w:val="24"/>
                <w:highlight w:val="none"/>
              </w:rPr>
              <w:t>有</w:t>
            </w: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color w:val="auto"/>
                <w:szCs w:val="24"/>
                <w:highlight w:val="none"/>
              </w:rPr>
              <w:t>年及以上</w:t>
            </w:r>
            <w:r>
              <w:rPr>
                <w:rFonts w:hint="eastAsia" w:ascii="仿宋_GB2312" w:hAnsi="仿宋_GB2312" w:eastAsia="仿宋_GB2312" w:cs="仿宋_GB2312"/>
                <w:color w:val="auto"/>
                <w:szCs w:val="24"/>
                <w:highlight w:val="none"/>
                <w:lang w:val="en-US" w:eastAsia="zh-CN"/>
              </w:rPr>
              <w:t>信息</w:t>
            </w:r>
            <w:r>
              <w:rPr>
                <w:rFonts w:hint="eastAsia" w:ascii="仿宋_GB2312" w:hAnsi="仿宋_GB2312" w:eastAsia="仿宋_GB2312" w:cs="仿宋_GB2312"/>
                <w:color w:val="auto"/>
                <w:szCs w:val="24"/>
                <w:highlight w:val="none"/>
              </w:rPr>
              <w:t>行业工作经验，有良好的沟通、管理能力，政历清楚，责任心强，身体健康。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88"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w:t>
            </w:r>
          </w:p>
        </w:tc>
        <w:tc>
          <w:tcPr>
            <w:tcW w:w="1608"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 w:val="24"/>
                <w:highlight w:val="none"/>
              </w:rPr>
              <w:t>专业技术人员</w:t>
            </w:r>
          </w:p>
        </w:tc>
        <w:tc>
          <w:tcPr>
            <w:tcW w:w="709"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color w:val="auto"/>
                <w:szCs w:val="24"/>
                <w:highlight w:val="none"/>
                <w:lang w:val="en-US" w:eastAsia="zh-CN"/>
              </w:rPr>
              <w:t>6</w:t>
            </w:r>
          </w:p>
        </w:tc>
        <w:tc>
          <w:tcPr>
            <w:tcW w:w="6109" w:type="dxa"/>
            <w:noWrap w:val="0"/>
            <w:vAlign w:val="center"/>
          </w:tcPr>
          <w:p>
            <w:pPr>
              <w:spacing w:line="240" w:lineRule="auto"/>
              <w:ind w:firstLine="0" w:firstLineChars="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val="en-US" w:eastAsia="zh-CN"/>
              </w:rPr>
              <w:t>具</w:t>
            </w:r>
            <w:r>
              <w:rPr>
                <w:rFonts w:hint="eastAsia" w:ascii="仿宋_GB2312" w:hAnsi="仿宋_GB2312" w:eastAsia="仿宋_GB2312" w:cs="仿宋_GB2312"/>
                <w:color w:val="auto"/>
                <w:szCs w:val="24"/>
                <w:highlight w:val="none"/>
              </w:rPr>
              <w:t>有</w:t>
            </w:r>
            <w:r>
              <w:rPr>
                <w:rFonts w:hint="eastAsia" w:ascii="仿宋_GB2312" w:hAnsi="仿宋_GB2312" w:eastAsia="仿宋_GB2312" w:cs="仿宋_GB2312"/>
                <w:color w:val="auto"/>
                <w:szCs w:val="24"/>
                <w:highlight w:val="none"/>
                <w:lang w:val="en-US" w:eastAsia="zh-CN"/>
              </w:rPr>
              <w:t>1</w:t>
            </w:r>
            <w:r>
              <w:rPr>
                <w:rFonts w:hint="eastAsia" w:ascii="仿宋_GB2312" w:hAnsi="仿宋_GB2312" w:eastAsia="仿宋_GB2312" w:cs="仿宋_GB2312"/>
                <w:color w:val="auto"/>
                <w:szCs w:val="24"/>
                <w:highlight w:val="none"/>
              </w:rPr>
              <w:t>年及以上</w:t>
            </w:r>
            <w:r>
              <w:rPr>
                <w:rFonts w:hint="eastAsia" w:ascii="仿宋_GB2312" w:hAnsi="仿宋_GB2312" w:eastAsia="仿宋_GB2312" w:cs="仿宋_GB2312"/>
                <w:color w:val="auto"/>
                <w:szCs w:val="24"/>
                <w:highlight w:val="none"/>
                <w:lang w:val="en-US" w:eastAsia="zh-CN"/>
              </w:rPr>
              <w:t>信息</w:t>
            </w:r>
            <w:r>
              <w:rPr>
                <w:rFonts w:hint="eastAsia" w:ascii="仿宋_GB2312" w:hAnsi="仿宋_GB2312" w:eastAsia="仿宋_GB2312" w:cs="仿宋_GB2312"/>
                <w:color w:val="auto"/>
                <w:szCs w:val="24"/>
                <w:highlight w:val="none"/>
              </w:rPr>
              <w:t>行业工作经验，身体健康，政历清楚</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lang w:val="en-US" w:eastAsia="zh-CN"/>
              </w:rPr>
              <w:t>有较好的专业技术水平</w:t>
            </w:r>
            <w:r>
              <w:rPr>
                <w:rFonts w:hint="eastAsia" w:ascii="仿宋_GB2312" w:hAnsi="仿宋_GB2312" w:eastAsia="仿宋_GB2312" w:cs="仿宋_GB2312"/>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88"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4</w:t>
            </w:r>
          </w:p>
        </w:tc>
        <w:tc>
          <w:tcPr>
            <w:tcW w:w="1608"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eastAsia="zh-CN"/>
              </w:rPr>
              <w:t>合计</w:t>
            </w:r>
          </w:p>
        </w:tc>
        <w:tc>
          <w:tcPr>
            <w:tcW w:w="709" w:type="dxa"/>
            <w:noWrap w:val="0"/>
            <w:vAlign w:val="center"/>
          </w:tcPr>
          <w:p>
            <w:pPr>
              <w:spacing w:line="240" w:lineRule="auto"/>
              <w:ind w:firstLine="0" w:firstLineChars="0"/>
              <w:jc w:val="center"/>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color w:val="auto"/>
                <w:szCs w:val="24"/>
                <w:highlight w:val="none"/>
                <w:lang w:val="en-US" w:eastAsia="zh-CN"/>
              </w:rPr>
              <w:t>8</w:t>
            </w:r>
          </w:p>
        </w:tc>
        <w:tc>
          <w:tcPr>
            <w:tcW w:w="6109" w:type="dxa"/>
            <w:noWrap w:val="0"/>
            <w:vAlign w:val="center"/>
          </w:tcPr>
          <w:p>
            <w:pPr>
              <w:pStyle w:val="18"/>
              <w:spacing w:line="240" w:lineRule="auto"/>
              <w:ind w:firstLine="0" w:firstLineChars="0"/>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spacing w:val="3"/>
                <w:sz w:val="24"/>
                <w:szCs w:val="24"/>
                <w:highlight w:val="none"/>
                <w:u w:val="single"/>
                <w:lang w:eastAsia="zh-CN"/>
              </w:rPr>
              <w:t>注：</w:t>
            </w:r>
            <w:r>
              <w:rPr>
                <w:rFonts w:hint="eastAsia" w:ascii="仿宋_GB2312" w:hAnsi="仿宋_GB2312" w:eastAsia="仿宋_GB2312" w:cs="仿宋_GB2312"/>
                <w:color w:val="auto"/>
                <w:spacing w:val="3"/>
                <w:sz w:val="24"/>
                <w:szCs w:val="24"/>
                <w:highlight w:val="none"/>
                <w:u w:val="single"/>
              </w:rPr>
              <w:t>▲各岗位配置人数为实质性响应条款，不得有负偏离，否则为无效投标：①如人员已具备的，在投标文件中提供各人员岗位编制名单及相关证明材料复印件，各人员岗位编制及相关证明（标“▲”条款要求）不得缺项漏项，否则投标无效；②如人员未到位的，须在投标文件中提供“中标后在项目实施前向采购人提供符合本项目物业管理服务人员岗位编制需求中各项要求的服务团队”承诺函，未提供承诺函或承诺函内容缺项漏项的，投标无效。</w:t>
            </w:r>
          </w:p>
        </w:tc>
      </w:tr>
    </w:tbl>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六</w:t>
      </w:r>
      <w:r>
        <w:rPr>
          <w:rFonts w:hint="eastAsia" w:ascii="仿宋_GB2312" w:hAnsi="仿宋_GB2312" w:eastAsia="仿宋_GB2312" w:cs="仿宋_GB2312"/>
          <w:szCs w:val="24"/>
        </w:rPr>
        <w:t>、工期、交货时间、地点及要求</w:t>
      </w:r>
    </w:p>
    <w:p>
      <w:pPr>
        <w:ind w:firstLine="480"/>
        <w:rPr>
          <w:rFonts w:hint="eastAsia" w:ascii="仿宋_GB2312" w:hAnsi="仿宋_GB2312" w:eastAsia="仿宋_GB2312" w:cs="仿宋_GB2312"/>
          <w:color w:val="auto"/>
          <w:szCs w:val="24"/>
          <w:lang w:val="en-US" w:eastAsia="zh-CN"/>
        </w:rPr>
      </w:pPr>
      <w:r>
        <w:rPr>
          <w:rFonts w:hint="eastAsia" w:ascii="仿宋_GB2312" w:hAnsi="仿宋_GB2312" w:eastAsia="仿宋_GB2312" w:cs="仿宋_GB2312"/>
          <w:color w:val="auto"/>
          <w:szCs w:val="24"/>
        </w:rPr>
        <w:t>（一）自合同</w:t>
      </w:r>
      <w:r>
        <w:rPr>
          <w:rFonts w:hint="eastAsia" w:ascii="仿宋_GB2312" w:hAnsi="仿宋_GB2312" w:eastAsia="仿宋_GB2312" w:cs="仿宋_GB2312"/>
          <w:color w:val="auto"/>
          <w:szCs w:val="24"/>
          <w:lang w:eastAsia="zh-CN"/>
        </w:rPr>
        <w:t>生效</w:t>
      </w:r>
      <w:r>
        <w:rPr>
          <w:rFonts w:hint="eastAsia" w:ascii="仿宋_GB2312" w:hAnsi="仿宋_GB2312" w:eastAsia="仿宋_GB2312" w:cs="仿宋_GB2312"/>
          <w:color w:val="auto"/>
          <w:szCs w:val="24"/>
        </w:rPr>
        <w:t>之日起，</w:t>
      </w:r>
      <w:r>
        <w:rPr>
          <w:rFonts w:hint="eastAsia" w:ascii="仿宋_GB2312" w:hAnsi="仿宋_GB2312" w:eastAsia="仿宋_GB2312" w:cs="仿宋_GB2312"/>
          <w:color w:val="auto"/>
          <w:szCs w:val="24"/>
          <w:lang w:val="en-US" w:eastAsia="zh-CN"/>
        </w:rPr>
        <w:t>20</w:t>
      </w:r>
      <w:r>
        <w:rPr>
          <w:rFonts w:hint="eastAsia" w:ascii="仿宋_GB2312" w:hAnsi="仿宋_GB2312" w:eastAsia="仿宋_GB2312" w:cs="仿宋_GB2312"/>
          <w:color w:val="auto"/>
          <w:szCs w:val="24"/>
        </w:rPr>
        <w:t>个</w:t>
      </w:r>
      <w:r>
        <w:rPr>
          <w:rFonts w:hint="eastAsia" w:ascii="仿宋_GB2312" w:hAnsi="仿宋_GB2312" w:eastAsia="仿宋_GB2312" w:cs="仿宋_GB2312"/>
          <w:color w:val="auto"/>
          <w:szCs w:val="24"/>
          <w:lang w:eastAsia="zh-CN"/>
        </w:rPr>
        <w:t>工作日</w:t>
      </w:r>
      <w:r>
        <w:rPr>
          <w:rFonts w:hint="eastAsia" w:ascii="仿宋_GB2312" w:hAnsi="仿宋_GB2312" w:eastAsia="仿宋_GB2312" w:cs="仿宋_GB2312"/>
          <w:color w:val="auto"/>
          <w:szCs w:val="24"/>
        </w:rPr>
        <w:t>内将货物按时运至采购人指定</w:t>
      </w:r>
      <w:r>
        <w:rPr>
          <w:rFonts w:hint="eastAsia" w:ascii="仿宋_GB2312" w:hAnsi="仿宋_GB2312" w:eastAsia="仿宋_GB2312" w:cs="仿宋_GB2312"/>
          <w:color w:val="auto"/>
          <w:szCs w:val="24"/>
          <w:lang w:val="en-US" w:eastAsia="zh-CN"/>
        </w:rPr>
        <w:t>学校</w:t>
      </w:r>
      <w:r>
        <w:rPr>
          <w:rFonts w:hint="eastAsia" w:ascii="仿宋_GB2312" w:hAnsi="仿宋_GB2312" w:eastAsia="仿宋_GB2312" w:cs="仿宋_GB2312"/>
          <w:color w:val="auto"/>
          <w:szCs w:val="24"/>
        </w:rPr>
        <w:t>并安装完成</w:t>
      </w:r>
      <w:r>
        <w:rPr>
          <w:rFonts w:hint="eastAsia" w:ascii="仿宋_GB2312" w:hAnsi="仿宋_GB2312" w:eastAsia="仿宋_GB2312" w:cs="仿宋_GB2312"/>
          <w:color w:val="auto"/>
          <w:szCs w:val="24"/>
          <w:lang w:eastAsia="zh-CN"/>
        </w:rPr>
        <w:t>，</w:t>
      </w:r>
      <w:r>
        <w:rPr>
          <w:rFonts w:hint="eastAsia" w:ascii="仿宋_GB2312" w:hAnsi="仿宋_GB2312" w:eastAsia="仿宋_GB2312" w:cs="仿宋_GB2312"/>
          <w:color w:val="auto"/>
          <w:szCs w:val="24"/>
          <w:lang w:val="en-US" w:eastAsia="zh-CN"/>
        </w:rPr>
        <w:t>确保可以正常运行</w:t>
      </w:r>
      <w:r>
        <w:rPr>
          <w:rFonts w:hint="eastAsia" w:ascii="仿宋_GB2312" w:hAnsi="仿宋_GB2312" w:eastAsia="仿宋_GB2312" w:cs="仿宋_GB2312"/>
          <w:color w:val="auto"/>
          <w:szCs w:val="24"/>
        </w:rPr>
        <w:t>。</w:t>
      </w:r>
      <w:r>
        <w:rPr>
          <w:rFonts w:hint="eastAsia" w:ascii="仿宋_GB2312" w:hAnsi="仿宋_GB2312" w:eastAsia="仿宋_GB2312" w:cs="仿宋_GB2312"/>
          <w:color w:val="auto"/>
          <w:szCs w:val="24"/>
          <w:lang w:val="en-US" w:eastAsia="zh-CN"/>
        </w:rPr>
        <w:t>具体安装地点与数量详见下表：</w:t>
      </w:r>
    </w:p>
    <w:p>
      <w:pPr>
        <w:ind w:left="0" w:leftChars="0" w:firstLine="0" w:firstLineChars="0"/>
        <w:rPr>
          <w:rFonts w:hint="eastAsia" w:ascii="仿宋_GB2312" w:hAnsi="仿宋_GB2312" w:eastAsia="仿宋_GB2312" w:cs="仿宋_GB2312"/>
          <w:color w:val="FF0000"/>
          <w:szCs w:val="24"/>
          <w:lang w:val="en-US" w:eastAsia="zh-CN"/>
        </w:rPr>
      </w:pPr>
    </w:p>
    <w:tbl>
      <w:tblPr>
        <w:tblStyle w:val="11"/>
        <w:tblW w:w="8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
        <w:gridCol w:w="1507"/>
        <w:gridCol w:w="600"/>
        <w:gridCol w:w="745"/>
        <w:gridCol w:w="1181"/>
        <w:gridCol w:w="680"/>
        <w:gridCol w:w="730"/>
        <w:gridCol w:w="2024"/>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1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学校名称</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数量</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11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学校名称</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学校名称</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万市中学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26</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大源镇小</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51</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富春七小（本部）</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万市镇小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27</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未来小学</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52</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富春七小（青云）</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南安小学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28</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灵桥中学</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富春八小</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南新小学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29</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灵桥镇小</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富春九小</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施肩吾小学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30</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礼源小学</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富春十小</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永昌镇小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31</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里山镇小</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大青小学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7</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胥口镇小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32</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渔山中小</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57</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三桥小学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8</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新登中学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33</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富阳中学</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58</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春建中小</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9</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新登镇中</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34</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富阳二中</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59</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新桐中小</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贤明中学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35</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场口中学</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60</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鹿山中学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11</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新登镇小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36</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实验中学</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61</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东吴小学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12</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松溪小学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37</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富阳学院</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62</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东吴实验</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13</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贤明小学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38</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职教中心</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春江中学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14</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渌渚镇小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39</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技工学校</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春江中小</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15</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新浦小学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40</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郁达夫中学（本部）</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东洲中学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16</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场口镇中</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41</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郁达夫中学（东兴）</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东洲中小</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17</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场口镇小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42</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富春中学</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67</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新民小学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18</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常安镇小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43</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富春三中</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68</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江丰小学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19</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湖源中小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44</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实验小学</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69</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银湖中学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20</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常绿镇小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45</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富春二小</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70</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硅谷小学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21</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上官中小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46</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富春三小</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71</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受降小学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22</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龙门镇小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47</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富春四小</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72</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高桥小学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23</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环山中学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48</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富春五小</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73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阳陂湖小学</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24</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环山中小</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49</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富春六小（本部）</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25</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大源中学</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50</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富春六小（东兴）</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2"/>
                <w:szCs w:val="22"/>
                <w:u w:val="none"/>
              </w:rPr>
            </w:pPr>
          </w:p>
        </w:tc>
      </w:tr>
    </w:tbl>
    <w:p>
      <w:pPr>
        <w:ind w:firstLine="480"/>
        <w:rPr>
          <w:rFonts w:hint="eastAsia" w:ascii="仿宋_GB2312" w:hAnsi="仿宋_GB2312" w:eastAsia="仿宋_GB2312" w:cs="仿宋_GB2312"/>
          <w:color w:val="FF0000"/>
          <w:szCs w:val="24"/>
          <w:lang w:val="en-US" w:eastAsia="zh-CN"/>
        </w:rPr>
      </w:pPr>
    </w:p>
    <w:p>
      <w:p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（二）中标人须保证所供产品全新、正宗、原包装</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lang w:val="en-US" w:eastAsia="zh-CN"/>
        </w:rPr>
        <w:t>生产日期为2025年1月1日以后</w:t>
      </w:r>
      <w:r>
        <w:rPr>
          <w:rFonts w:hint="eastAsia" w:ascii="仿宋_GB2312" w:hAnsi="仿宋_GB2312" w:eastAsia="仿宋_GB2312" w:cs="仿宋_GB2312"/>
          <w:szCs w:val="24"/>
        </w:rPr>
        <w:t>新生产的货物</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并符合国家强制性标准，至用户手中时不拆封。提供货物时</w:t>
      </w:r>
      <w:r>
        <w:rPr>
          <w:rFonts w:hint="eastAsia" w:ascii="仿宋_GB2312" w:hAnsi="仿宋_GB2312" w:eastAsia="仿宋_GB2312" w:cs="仿宋_GB2312"/>
          <w:szCs w:val="24"/>
          <w:lang w:val="en-US" w:eastAsia="zh-CN"/>
        </w:rPr>
        <w:t>一并</w:t>
      </w:r>
      <w:r>
        <w:rPr>
          <w:rFonts w:hint="eastAsia" w:ascii="仿宋_GB2312" w:hAnsi="仿宋_GB2312" w:eastAsia="仿宋_GB2312" w:cs="仿宋_GB2312"/>
          <w:szCs w:val="24"/>
        </w:rPr>
        <w:t>提供制造商出具的保修卡、中文汉语说明书以及产品特约维修处。</w:t>
      </w:r>
    </w:p>
    <w:p>
      <w:pPr>
        <w:pStyle w:val="3"/>
        <w:spacing w:before="156" w:after="156"/>
        <w:ind w:firstLine="482"/>
        <w:rPr>
          <w:rFonts w:hint="eastAsia" w:ascii="仿宋_GB2312" w:hAnsi="仿宋_GB2312" w:eastAsia="仿宋_GB2312" w:cs="仿宋_GB2312"/>
          <w:color w:val="000000"/>
          <w:szCs w:val="24"/>
        </w:rPr>
      </w:pPr>
      <w:r>
        <w:rPr>
          <w:rFonts w:hint="eastAsia" w:ascii="仿宋_GB2312" w:hAnsi="仿宋_GB2312" w:eastAsia="仿宋_GB2312" w:cs="仿宋_GB2312"/>
          <w:szCs w:val="24"/>
          <w:lang w:val="en-US" w:eastAsia="zh-CN"/>
        </w:rPr>
        <w:t>七</w:t>
      </w:r>
      <w:r>
        <w:rPr>
          <w:rFonts w:hint="eastAsia" w:ascii="仿宋_GB2312" w:hAnsi="仿宋_GB2312" w:eastAsia="仿宋_GB2312" w:cs="仿宋_GB2312"/>
          <w:szCs w:val="24"/>
        </w:rPr>
        <w:t>、包装和运输要求</w:t>
      </w:r>
    </w:p>
    <w:p>
      <w:p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本</w:t>
      </w:r>
      <w:r>
        <w:rPr>
          <w:rFonts w:hint="eastAsia" w:ascii="仿宋_GB2312" w:hAnsi="仿宋_GB2312" w:eastAsia="仿宋_GB2312" w:cs="仿宋_GB2312"/>
          <w:color w:val="auto"/>
          <w:szCs w:val="24"/>
        </w:rPr>
        <w:t>次项目涉及商品包装和快递包装的，供应商提供产品及相关快递服务的具体包装要求要参考《商品包装政府采购需求标准（试行）</w:t>
      </w:r>
      <w:r>
        <w:rPr>
          <w:rFonts w:hint="eastAsia" w:ascii="仿宋_GB2312" w:hAnsi="仿宋_GB2312" w:eastAsia="仿宋_GB2312" w:cs="仿宋_GB2312"/>
          <w:color w:val="auto"/>
          <w:szCs w:val="24"/>
          <w:lang w:eastAsia="zh-CN"/>
        </w:rPr>
        <w:t>》、《</w:t>
      </w:r>
      <w:r>
        <w:rPr>
          <w:rFonts w:hint="eastAsia" w:ascii="仿宋_GB2312" w:hAnsi="仿宋_GB2312" w:eastAsia="仿宋_GB2312" w:cs="仿宋_GB2312"/>
          <w:color w:val="auto"/>
          <w:szCs w:val="24"/>
        </w:rPr>
        <w:t>快递包装政府采购需求标准（试行）</w:t>
      </w:r>
      <w:r>
        <w:rPr>
          <w:rFonts w:hint="eastAsia" w:ascii="仿宋_GB2312" w:hAnsi="仿宋_GB2312" w:eastAsia="仿宋_GB2312" w:cs="仿宋_GB2312"/>
          <w:color w:val="auto"/>
          <w:szCs w:val="24"/>
          <w:lang w:eastAsia="zh-CN"/>
        </w:rPr>
        <w:t>》等</w:t>
      </w:r>
      <w:r>
        <w:rPr>
          <w:rFonts w:hint="eastAsia" w:ascii="仿宋_GB2312" w:hAnsi="仿宋_GB2312" w:eastAsia="仿宋_GB2312" w:cs="仿宋_GB2312"/>
          <w:color w:val="auto"/>
          <w:szCs w:val="24"/>
        </w:rPr>
        <w:t>文件，应当采取足以保护标的物的包装方式，且该包装应符合国家有关包装的</w:t>
      </w:r>
      <w:r>
        <w:rPr>
          <w:rFonts w:hint="eastAsia" w:ascii="仿宋_GB2312" w:hAnsi="仿宋_GB2312" w:eastAsia="仿宋_GB2312" w:cs="仿宋_GB2312"/>
          <w:color w:val="auto"/>
          <w:szCs w:val="24"/>
          <w:lang w:eastAsia="zh-CN"/>
        </w:rPr>
        <w:t>法律法规</w:t>
      </w:r>
      <w:r>
        <w:rPr>
          <w:rFonts w:hint="eastAsia" w:ascii="仿宋_GB2312" w:hAnsi="仿宋_GB2312" w:eastAsia="仿宋_GB2312" w:cs="仿宋_GB2312"/>
          <w:color w:val="auto"/>
          <w:szCs w:val="24"/>
        </w:rPr>
        <w:t>的规定。优先采购绿色包装</w:t>
      </w:r>
      <w:r>
        <w:rPr>
          <w:rFonts w:hint="eastAsia" w:ascii="仿宋_GB2312" w:hAnsi="仿宋_GB2312" w:eastAsia="仿宋_GB2312" w:cs="仿宋_GB2312"/>
          <w:szCs w:val="24"/>
        </w:rPr>
        <w:t>产品、绿色物流配送服务以及循环利用产品。如有必要，包装应适用于远距离运输、防潮、防震、防锈和防粗暴装卸，确保标的物安全无损地运抵现场。由于包装不善所引起的标的物锈蚀、损坏和损失等一切风险均由供应商承担。</w:t>
      </w:r>
    </w:p>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八</w:t>
      </w:r>
      <w:r>
        <w:rPr>
          <w:rFonts w:hint="eastAsia" w:ascii="仿宋_GB2312" w:hAnsi="仿宋_GB2312" w:eastAsia="仿宋_GB2312" w:cs="仿宋_GB2312"/>
          <w:szCs w:val="24"/>
        </w:rPr>
        <w:t>、备品备件及耗材等要求</w:t>
      </w:r>
    </w:p>
    <w:p>
      <w:pPr>
        <w:ind w:left="0" w:leftChars="0" w:firstLine="420" w:firstLineChars="200"/>
        <w:rPr>
          <w:rFonts w:hint="eastAsia" w:ascii="仿宋_GB2312" w:hAnsi="仿宋_GB2312" w:eastAsia="仿宋_GB2312" w:cs="仿宋_GB2312"/>
          <w:b/>
          <w:bCs/>
          <w:color w:val="auto"/>
          <w:szCs w:val="24"/>
          <w:highlight w:val="cyan"/>
          <w:lang w:eastAsia="zh-CN"/>
        </w:rPr>
      </w:pPr>
      <w:r>
        <w:rPr>
          <w:rFonts w:hint="eastAsia" w:ascii="仿宋_GB2312" w:hAnsi="仿宋_GB2312" w:eastAsia="仿宋_GB2312" w:cs="仿宋_GB2312"/>
          <w:color w:val="auto"/>
          <w:szCs w:val="24"/>
        </w:rPr>
        <w:t>投标人</w:t>
      </w:r>
      <w:r>
        <w:rPr>
          <w:rFonts w:hint="eastAsia" w:ascii="仿宋_GB2312" w:hAnsi="仿宋_GB2312" w:eastAsia="仿宋_GB2312" w:cs="仿宋_GB2312"/>
          <w:color w:val="auto"/>
          <w:szCs w:val="24"/>
          <w:lang w:val="en-US" w:eastAsia="zh-CN"/>
        </w:rPr>
        <w:t>需在</w:t>
      </w:r>
      <w:r>
        <w:rPr>
          <w:rFonts w:hint="eastAsia" w:ascii="仿宋_GB2312" w:hAnsi="仿宋_GB2312" w:eastAsia="仿宋_GB2312" w:cs="仿宋_GB2312"/>
          <w:strike w:val="0"/>
          <w:dstrike w:val="0"/>
          <w:color w:val="auto"/>
          <w:szCs w:val="24"/>
          <w:highlight w:val="none"/>
          <w:lang w:val="en-US" w:eastAsia="zh-CN"/>
        </w:rPr>
        <w:t>商务及技术文件内</w:t>
      </w:r>
      <w:r>
        <w:rPr>
          <w:rFonts w:hint="eastAsia" w:ascii="仿宋_GB2312" w:hAnsi="仿宋_GB2312" w:eastAsia="仿宋_GB2312" w:cs="仿宋_GB2312"/>
          <w:color w:val="auto"/>
          <w:szCs w:val="24"/>
          <w:lang w:val="en-US" w:eastAsia="zh-CN"/>
        </w:rPr>
        <w:t>，</w:t>
      </w:r>
      <w:r>
        <w:rPr>
          <w:rFonts w:hint="eastAsia" w:ascii="仿宋_GB2312" w:hAnsi="仿宋_GB2312" w:eastAsia="仿宋_GB2312" w:cs="仿宋_GB2312"/>
          <w:color w:val="auto"/>
          <w:szCs w:val="24"/>
        </w:rPr>
        <w:t>明确</w:t>
      </w:r>
      <w:bookmarkStart w:id="2" w:name="OLE_LINK1"/>
      <w:r>
        <w:rPr>
          <w:rFonts w:hint="eastAsia" w:ascii="仿宋_GB2312" w:hAnsi="仿宋_GB2312" w:eastAsia="仿宋_GB2312" w:cs="仿宋_GB2312"/>
          <w:color w:val="auto"/>
          <w:szCs w:val="24"/>
        </w:rPr>
        <w:t>备品备件及</w:t>
      </w:r>
      <w:bookmarkEnd w:id="2"/>
      <w:r>
        <w:rPr>
          <w:rFonts w:hint="eastAsia" w:ascii="仿宋_GB2312" w:hAnsi="仿宋_GB2312" w:eastAsia="仿宋_GB2312" w:cs="仿宋_GB2312"/>
          <w:color w:val="auto"/>
          <w:szCs w:val="24"/>
        </w:rPr>
        <w:t>耗材的</w:t>
      </w:r>
      <w:r>
        <w:rPr>
          <w:rFonts w:hint="eastAsia" w:ascii="仿宋_GB2312" w:hAnsi="仿宋_GB2312" w:eastAsia="仿宋_GB2312" w:cs="仿宋_GB2312"/>
          <w:color w:val="auto"/>
          <w:szCs w:val="24"/>
          <w:lang w:val="en-US" w:eastAsia="zh-CN"/>
        </w:rPr>
        <w:t>单</w:t>
      </w:r>
      <w:r>
        <w:rPr>
          <w:rFonts w:hint="eastAsia" w:ascii="仿宋_GB2312" w:hAnsi="仿宋_GB2312" w:eastAsia="仿宋_GB2312" w:cs="仿宋_GB2312"/>
          <w:color w:val="auto"/>
          <w:szCs w:val="24"/>
        </w:rPr>
        <w:t>价，不计入投标报价，质保期</w:t>
      </w:r>
      <w:r>
        <w:rPr>
          <w:rFonts w:hint="eastAsia" w:ascii="仿宋_GB2312" w:hAnsi="仿宋_GB2312" w:eastAsia="仿宋_GB2312" w:cs="仿宋_GB2312"/>
          <w:color w:val="auto"/>
          <w:szCs w:val="24"/>
          <w:lang w:val="en-US" w:eastAsia="zh-CN"/>
        </w:rPr>
        <w:t>内</w:t>
      </w:r>
      <w:r>
        <w:rPr>
          <w:rFonts w:hint="eastAsia" w:ascii="仿宋_GB2312" w:hAnsi="仿宋_GB2312" w:eastAsia="仿宋_GB2312" w:cs="仿宋_GB2312"/>
          <w:color w:val="auto"/>
          <w:szCs w:val="24"/>
        </w:rPr>
        <w:t>免费更换，质保期后可参考投标时</w:t>
      </w:r>
      <w:r>
        <w:rPr>
          <w:rFonts w:hint="eastAsia" w:ascii="仿宋_GB2312" w:hAnsi="仿宋_GB2312" w:eastAsia="仿宋_GB2312" w:cs="仿宋_GB2312"/>
          <w:color w:val="auto"/>
          <w:szCs w:val="24"/>
          <w:lang w:val="en-US" w:eastAsia="zh-CN"/>
        </w:rPr>
        <w:t>的</w:t>
      </w:r>
      <w:r>
        <w:rPr>
          <w:rFonts w:hint="eastAsia" w:ascii="仿宋_GB2312" w:hAnsi="仿宋_GB2312" w:eastAsia="仿宋_GB2312" w:cs="仿宋_GB2312"/>
          <w:color w:val="auto"/>
          <w:szCs w:val="24"/>
        </w:rPr>
        <w:t>备品备件及耗材的价格进行结算。</w:t>
      </w:r>
    </w:p>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九</w:t>
      </w:r>
      <w:r>
        <w:rPr>
          <w:rFonts w:hint="eastAsia" w:ascii="仿宋_GB2312" w:hAnsi="仿宋_GB2312" w:eastAsia="仿宋_GB2312" w:cs="仿宋_GB2312"/>
          <w:szCs w:val="24"/>
        </w:rPr>
        <w:t>、售后服务保障要求</w:t>
      </w:r>
    </w:p>
    <w:p>
      <w:pPr>
        <w:widowControl/>
        <w:spacing w:line="46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有项目所在地及时服务的能力，每天24小时开通专门应急电话，提供不低于7*24小时的现场质保和技术支持服务，做到2小时应急响应，4小时到达现场处理，8小时以内解决问题，对于暂时解决不了的故障，中标人应提供采购人同型号、同规格的备用设备使用，直至故障设备修复；如果逾期未作出响应，投标人应承担由于故障所造成的全部损失。</w:t>
      </w:r>
    </w:p>
    <w:p>
      <w:pPr>
        <w:widowControl/>
        <w:spacing w:line="460" w:lineRule="exact"/>
        <w:ind w:firstLine="480" w:firstLineChars="200"/>
        <w:jc w:val="left"/>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w:t>
      </w:r>
      <w:r>
        <w:rPr>
          <w:rFonts w:hint="eastAsia" w:ascii="仿宋_GB2312" w:hAnsi="仿宋_GB2312" w:eastAsia="仿宋_GB2312" w:cs="仿宋_GB2312"/>
          <w:b/>
          <w:color w:val="000000"/>
          <w:sz w:val="24"/>
        </w:rPr>
        <w:t>整机原厂三年保修、三年免费上门售后服务，</w:t>
      </w:r>
      <w:r>
        <w:rPr>
          <w:rFonts w:hint="eastAsia" w:ascii="仿宋_GB2312" w:hAnsi="仿宋_GB2312" w:eastAsia="仿宋_GB2312" w:cs="仿宋_GB2312"/>
          <w:color w:val="000000"/>
          <w:sz w:val="24"/>
        </w:rPr>
        <w:t>中标后五个工作日内提供原厂售后服务承诺函，</w:t>
      </w:r>
      <w:r>
        <w:rPr>
          <w:rFonts w:hint="eastAsia" w:ascii="仿宋_GB2312" w:hAnsi="仿宋_GB2312" w:eastAsia="仿宋_GB2312" w:cs="仿宋_GB2312"/>
          <w:b/>
          <w:color w:val="000000"/>
          <w:sz w:val="24"/>
        </w:rPr>
        <w:t>并400电话可查询。</w:t>
      </w:r>
    </w:p>
    <w:p>
      <w:pPr>
        <w:widowControl/>
        <w:spacing w:line="46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）承诺原厂商原包装直发，货到时提供原厂工程师上门验机服务。</w:t>
      </w:r>
    </w:p>
    <w:p>
      <w:pPr>
        <w:pStyle w:val="7"/>
        <w:spacing w:line="460" w:lineRule="exact"/>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4</w:t>
      </w:r>
      <w:r>
        <w:rPr>
          <w:rFonts w:hint="eastAsia" w:ascii="仿宋_GB2312" w:hAnsi="仿宋_GB2312" w:eastAsia="仿宋_GB2312" w:cs="仿宋_GB2312"/>
          <w:color w:val="000000"/>
        </w:rPr>
        <w:t>）售后巡查：要求每月一巡查，巡检情况归档备查。</w:t>
      </w:r>
    </w:p>
    <w:p>
      <w:pPr>
        <w:pStyle w:val="7"/>
        <w:spacing w:line="460" w:lineRule="exact"/>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5</w:t>
      </w:r>
      <w:r>
        <w:rPr>
          <w:rFonts w:hint="eastAsia" w:ascii="仿宋_GB2312" w:hAnsi="仿宋_GB2312" w:eastAsia="仿宋_GB2312" w:cs="仿宋_GB2312"/>
          <w:color w:val="000000"/>
        </w:rPr>
        <w:t>）售后人员：落实专门的对接技术人员。</w:t>
      </w:r>
    </w:p>
    <w:p>
      <w:pPr>
        <w:snapToGrid w:val="0"/>
        <w:spacing w:line="4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）投标人对售后服务承诺内容须有具体的落实保障措施以及突发事件的应急措施。</w:t>
      </w:r>
    </w:p>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十、培训要求</w:t>
      </w:r>
    </w:p>
    <w:p>
      <w:pPr>
        <w:autoSpaceDE w:val="0"/>
        <w:autoSpaceDN w:val="0"/>
        <w:spacing w:line="360" w:lineRule="auto"/>
        <w:ind w:firstLine="480" w:firstLineChars="200"/>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投标人应在投标文件中提出培训计划，根据项目的目标和现实情况，对相关人员进行培训，通过培训使</w:t>
      </w:r>
      <w:r>
        <w:rPr>
          <w:rFonts w:hint="eastAsia" w:ascii="仿宋_GB2312" w:hAnsi="仿宋_GB2312" w:eastAsia="仿宋_GB2312" w:cs="仿宋_GB2312"/>
          <w:bCs/>
          <w:color w:val="000000"/>
          <w:sz w:val="24"/>
          <w:szCs w:val="24"/>
          <w:highlight w:val="none"/>
          <w:lang w:val="en-US" w:eastAsia="zh-CN"/>
        </w:rPr>
        <w:t>教师</w:t>
      </w:r>
      <w:r>
        <w:rPr>
          <w:rFonts w:hint="eastAsia" w:ascii="仿宋_GB2312" w:hAnsi="仿宋_GB2312" w:eastAsia="仿宋_GB2312" w:cs="仿宋_GB2312"/>
          <w:bCs/>
          <w:color w:val="000000"/>
          <w:sz w:val="24"/>
          <w:szCs w:val="24"/>
          <w:highlight w:val="none"/>
        </w:rPr>
        <w:t>对整个</w:t>
      </w:r>
      <w:r>
        <w:rPr>
          <w:rFonts w:hint="eastAsia" w:ascii="仿宋_GB2312" w:hAnsi="仿宋_GB2312" w:eastAsia="仿宋_GB2312" w:cs="仿宋_GB2312"/>
          <w:bCs/>
          <w:color w:val="000000"/>
          <w:sz w:val="24"/>
          <w:szCs w:val="24"/>
          <w:highlight w:val="none"/>
          <w:lang w:val="en-US" w:eastAsia="zh-CN"/>
        </w:rPr>
        <w:t>操作</w:t>
      </w:r>
      <w:r>
        <w:rPr>
          <w:rFonts w:hint="eastAsia" w:ascii="仿宋_GB2312" w:hAnsi="仿宋_GB2312" w:eastAsia="仿宋_GB2312" w:cs="仿宋_GB2312"/>
          <w:bCs/>
          <w:color w:val="000000"/>
          <w:sz w:val="24"/>
          <w:szCs w:val="24"/>
          <w:highlight w:val="none"/>
        </w:rPr>
        <w:t>系统有足够的认识，而且可以熟练掌握</w:t>
      </w:r>
      <w:r>
        <w:rPr>
          <w:rFonts w:hint="eastAsia" w:ascii="仿宋_GB2312" w:hAnsi="仿宋_GB2312" w:eastAsia="仿宋_GB2312" w:cs="仿宋_GB2312"/>
          <w:bCs/>
          <w:color w:val="000000"/>
          <w:sz w:val="24"/>
          <w:szCs w:val="24"/>
          <w:highlight w:val="none"/>
          <w:lang w:val="en-US" w:eastAsia="zh-CN"/>
        </w:rPr>
        <w:t>预装的</w:t>
      </w:r>
      <w:r>
        <w:rPr>
          <w:rFonts w:hint="eastAsia" w:ascii="仿宋_GB2312" w:hAnsi="仿宋_GB2312" w:eastAsia="仿宋_GB2312" w:cs="仿宋_GB2312"/>
          <w:bCs/>
          <w:color w:val="000000"/>
          <w:sz w:val="24"/>
          <w:szCs w:val="24"/>
          <w:highlight w:val="none"/>
        </w:rPr>
        <w:t>应用系统的操作等，能够独立完成其操作对象；对核心管理员进行培训，能掌握并熟练运用。需明确</w:t>
      </w:r>
      <w:r>
        <w:rPr>
          <w:rFonts w:hint="eastAsia" w:ascii="仿宋_GB2312" w:hAnsi="仿宋_GB2312" w:eastAsia="仿宋_GB2312" w:cs="仿宋_GB2312"/>
          <w:color w:val="000000"/>
          <w:sz w:val="24"/>
          <w:szCs w:val="24"/>
          <w:highlight w:val="none"/>
        </w:rPr>
        <w:t>培训目标、培训对象、培训方式、培训地点、培训内容、培训次数等</w:t>
      </w:r>
      <w:r>
        <w:rPr>
          <w:rFonts w:hint="eastAsia" w:ascii="仿宋_GB2312" w:hAnsi="仿宋_GB2312" w:eastAsia="仿宋_GB2312" w:cs="仿宋_GB2312"/>
          <w:bCs/>
          <w:color w:val="000000"/>
          <w:sz w:val="24"/>
          <w:szCs w:val="24"/>
          <w:highlight w:val="none"/>
        </w:rPr>
        <w:t>。</w:t>
      </w:r>
    </w:p>
    <w:p>
      <w:pPr>
        <w:autoSpaceDE w:val="0"/>
        <w:autoSpaceDN w:val="0"/>
        <w:spacing w:line="360" w:lineRule="auto"/>
        <w:ind w:firstLine="480" w:firstLineChars="200"/>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培训目标：根据采购人要求，对采购人的管理人员、技术人员、操作人员、运维人员提供培训，以便对项目的实施和运营进行有效的管理。同时，项目验收移交后，能够胜任系统的全部运行、操作、设备维护、故障的分析处理、设备的保养。</w:t>
      </w:r>
    </w:p>
    <w:p>
      <w:pPr>
        <w:autoSpaceDE w:val="0"/>
        <w:autoSpaceDN w:val="0"/>
        <w:spacing w:line="360" w:lineRule="auto"/>
        <w:ind w:firstLine="480" w:firstLineChars="200"/>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培训对象：培训对象包括但不限于以下人员：系统使用人员、系统运行维护管理人员等。</w:t>
      </w:r>
    </w:p>
    <w:p>
      <w:pPr>
        <w:autoSpaceDE w:val="0"/>
        <w:autoSpaceDN w:val="0"/>
        <w:spacing w:line="360" w:lineRule="auto"/>
        <w:ind w:firstLine="480" w:firstLineChars="200"/>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培训方式：集中授课和现场操作应用指导培训，不少于2次。</w:t>
      </w:r>
    </w:p>
    <w:p>
      <w:pPr>
        <w:autoSpaceDE w:val="0"/>
        <w:autoSpaceDN w:val="0"/>
        <w:spacing w:line="360" w:lineRule="auto"/>
        <w:ind w:firstLine="480" w:firstLineChars="200"/>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培训场地：由采购人提供。</w:t>
      </w:r>
    </w:p>
    <w:p>
      <w:pPr>
        <w:autoSpaceDE w:val="0"/>
        <w:autoSpaceDN w:val="0"/>
        <w:spacing w:line="360" w:lineRule="auto"/>
        <w:ind w:firstLine="480" w:firstLineChars="200"/>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培训内容：内容包含但不限于项目总体情况进行介绍、产品功能、操作使用、</w:t>
      </w:r>
      <w:r>
        <w:rPr>
          <w:rFonts w:hint="eastAsia" w:ascii="仿宋_GB2312" w:hAnsi="仿宋_GB2312" w:eastAsia="仿宋_GB2312" w:cs="仿宋_GB2312"/>
          <w:color w:val="000000"/>
          <w:sz w:val="24"/>
          <w:szCs w:val="24"/>
          <w:highlight w:val="none"/>
        </w:rPr>
        <w:t>注意事项、日常维护保养、</w:t>
      </w:r>
      <w:r>
        <w:rPr>
          <w:rFonts w:hint="eastAsia" w:ascii="仿宋_GB2312" w:hAnsi="仿宋_GB2312" w:eastAsia="仿宋_GB2312" w:cs="仿宋_GB2312"/>
          <w:bCs/>
          <w:color w:val="000000"/>
          <w:sz w:val="24"/>
          <w:szCs w:val="24"/>
          <w:highlight w:val="none"/>
        </w:rPr>
        <w:t>简单的系统故障诊断和排除等（所有培训以中文进行）。</w:t>
      </w:r>
    </w:p>
    <w:p>
      <w:pPr>
        <w:autoSpaceDE w:val="0"/>
        <w:autoSpaceDN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bCs/>
          <w:color w:val="000000"/>
          <w:sz w:val="24"/>
          <w:szCs w:val="24"/>
          <w:highlight w:val="none"/>
        </w:rPr>
        <w:t>培训师资：具有相应专业资格和实际工作经验的人员进行培训。</w:t>
      </w:r>
    </w:p>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十</w:t>
      </w:r>
      <w:r>
        <w:rPr>
          <w:rFonts w:hint="eastAsia" w:ascii="仿宋_GB2312" w:hAnsi="仿宋_GB2312" w:eastAsia="仿宋_GB2312" w:cs="仿宋_GB2312"/>
          <w:szCs w:val="24"/>
          <w:lang w:val="en-US" w:eastAsia="zh-CN"/>
        </w:rPr>
        <w:t>一</w:t>
      </w:r>
      <w:r>
        <w:rPr>
          <w:rFonts w:hint="eastAsia" w:ascii="仿宋_GB2312" w:hAnsi="仿宋_GB2312" w:eastAsia="仿宋_GB2312" w:cs="仿宋_GB2312"/>
          <w:szCs w:val="24"/>
        </w:rPr>
        <w:t>、项目验收方式</w:t>
      </w:r>
    </w:p>
    <w:p>
      <w:pPr>
        <w:pStyle w:val="4"/>
        <w:numPr>
          <w:ilvl w:val="0"/>
          <w:numId w:val="5"/>
        </w:numPr>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验收时间</w:t>
      </w:r>
    </w:p>
    <w:p>
      <w:pPr>
        <w:ind w:firstLine="480"/>
        <w:rPr>
          <w:rFonts w:hint="eastAsia" w:ascii="仿宋_GB2312" w:hAnsi="仿宋_GB2312" w:eastAsia="仿宋_GB2312" w:cs="仿宋_GB2312"/>
          <w:color w:val="FF0000"/>
          <w:szCs w:val="24"/>
        </w:rPr>
      </w:pPr>
      <w:r>
        <w:rPr>
          <w:rFonts w:hint="eastAsia" w:ascii="仿宋_GB2312" w:hAnsi="仿宋_GB2312" w:eastAsia="仿宋_GB2312" w:cs="仿宋_GB2312"/>
          <w:szCs w:val="24"/>
        </w:rPr>
        <w:t>设备安装</w:t>
      </w:r>
      <w:r>
        <w:rPr>
          <w:rFonts w:hint="eastAsia" w:ascii="仿宋_GB2312" w:hAnsi="仿宋_GB2312" w:eastAsia="仿宋_GB2312" w:cs="仿宋_GB2312"/>
          <w:szCs w:val="24"/>
          <w:lang w:val="en-US" w:eastAsia="zh-CN"/>
        </w:rPr>
        <w:t>调试完成后，由使用学校进行初验，试运行10个工作日后。</w:t>
      </w:r>
    </w:p>
    <w:p>
      <w:pPr>
        <w:pStyle w:val="4"/>
        <w:numPr>
          <w:ilvl w:val="0"/>
          <w:numId w:val="5"/>
        </w:numPr>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验收方式</w:t>
      </w:r>
    </w:p>
    <w:p>
      <w:p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验收</w:t>
      </w:r>
      <w:r>
        <w:rPr>
          <w:rFonts w:hint="eastAsia" w:ascii="仿宋_GB2312" w:hAnsi="仿宋_GB2312" w:eastAsia="仿宋_GB2312" w:cs="仿宋_GB2312"/>
          <w:color w:val="auto"/>
          <w:szCs w:val="24"/>
        </w:rPr>
        <w:t>方法</w:t>
      </w:r>
      <w:r>
        <w:rPr>
          <w:rFonts w:hint="eastAsia" w:ascii="仿宋_GB2312" w:hAnsi="仿宋_GB2312" w:eastAsia="仿宋_GB2312" w:cs="仿宋_GB2312"/>
          <w:color w:val="auto"/>
          <w:szCs w:val="24"/>
          <w:lang w:val="en-US" w:eastAsia="zh-CN"/>
        </w:rPr>
        <w:t>采用</w:t>
      </w:r>
      <w:r>
        <w:rPr>
          <w:rFonts w:hint="eastAsia" w:ascii="仿宋_GB2312" w:hAnsi="仿宋_GB2312" w:eastAsia="仿宋_GB2312" w:cs="仿宋_GB2312"/>
          <w:color w:val="auto"/>
          <w:szCs w:val="24"/>
        </w:rPr>
        <w:t>分段验收方式。设备安装</w:t>
      </w:r>
      <w:r>
        <w:rPr>
          <w:rFonts w:hint="eastAsia" w:ascii="仿宋_GB2312" w:hAnsi="仿宋_GB2312" w:eastAsia="仿宋_GB2312" w:cs="仿宋_GB2312"/>
          <w:color w:val="auto"/>
          <w:szCs w:val="24"/>
          <w:lang w:val="en-US" w:eastAsia="zh-CN"/>
        </w:rPr>
        <w:t>调试完成后，由使用学校进行初验，试运行10个工作日后，</w:t>
      </w:r>
      <w:r>
        <w:rPr>
          <w:rFonts w:hint="eastAsia" w:ascii="仿宋_GB2312" w:hAnsi="仿宋_GB2312" w:eastAsia="仿宋_GB2312" w:cs="仿宋_GB2312"/>
          <w:color w:val="auto"/>
          <w:szCs w:val="24"/>
        </w:rPr>
        <w:t>供应商</w:t>
      </w:r>
      <w:r>
        <w:rPr>
          <w:rFonts w:hint="eastAsia" w:ascii="仿宋_GB2312" w:hAnsi="仿宋_GB2312" w:eastAsia="仿宋_GB2312" w:cs="仿宋_GB2312"/>
          <w:color w:val="auto"/>
          <w:szCs w:val="24"/>
          <w:lang w:val="en-US" w:eastAsia="zh-CN"/>
        </w:rPr>
        <w:t>可以申请终验。终验</w:t>
      </w:r>
      <w:r>
        <w:rPr>
          <w:rFonts w:hint="eastAsia" w:ascii="仿宋_GB2312" w:hAnsi="仿宋_GB2312" w:eastAsia="仿宋_GB2312" w:cs="仿宋_GB2312"/>
          <w:color w:val="auto"/>
          <w:szCs w:val="24"/>
        </w:rPr>
        <w:t>采用抽</w:t>
      </w:r>
      <w:r>
        <w:rPr>
          <w:rFonts w:hint="eastAsia" w:ascii="仿宋_GB2312" w:hAnsi="仿宋_GB2312" w:eastAsia="仿宋_GB2312" w:cs="仿宋_GB2312"/>
          <w:color w:val="auto"/>
          <w:szCs w:val="24"/>
          <w:lang w:val="en-US" w:eastAsia="zh-CN"/>
        </w:rPr>
        <w:t>验</w:t>
      </w:r>
      <w:r>
        <w:rPr>
          <w:rFonts w:hint="eastAsia" w:ascii="仿宋_GB2312" w:hAnsi="仿宋_GB2312" w:eastAsia="仿宋_GB2312" w:cs="仿宋_GB2312"/>
          <w:color w:val="auto"/>
          <w:szCs w:val="24"/>
        </w:rPr>
        <w:t>方式进行验收。</w:t>
      </w:r>
    </w:p>
    <w:p>
      <w:pPr>
        <w:pStyle w:val="4"/>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（三）验收程序</w:t>
      </w:r>
    </w:p>
    <w:p>
      <w:pPr>
        <w:numPr>
          <w:ilvl w:val="0"/>
          <w:numId w:val="6"/>
        </w:numPr>
        <w:ind w:firstLine="48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供应商须将原包装货物送到采购人指定地点，在采购人</w:t>
      </w:r>
      <w:r>
        <w:rPr>
          <w:rFonts w:hint="eastAsia" w:ascii="仿宋_GB2312" w:hAnsi="仿宋_GB2312" w:eastAsia="仿宋_GB2312" w:cs="仿宋_GB2312"/>
          <w:color w:val="auto"/>
          <w:szCs w:val="24"/>
          <w:lang w:val="en-US" w:eastAsia="zh-CN"/>
        </w:rPr>
        <w:t>指定的学校接收人员</w:t>
      </w:r>
      <w:r>
        <w:rPr>
          <w:rFonts w:hint="eastAsia" w:ascii="仿宋_GB2312" w:hAnsi="仿宋_GB2312" w:eastAsia="仿宋_GB2312" w:cs="仿宋_GB2312"/>
          <w:color w:val="auto"/>
          <w:szCs w:val="24"/>
        </w:rPr>
        <w:t>监督下拆箱并经</w:t>
      </w:r>
      <w:bookmarkStart w:id="3" w:name="OLE_LINK3"/>
      <w:r>
        <w:rPr>
          <w:rFonts w:hint="eastAsia" w:ascii="仿宋_GB2312" w:hAnsi="仿宋_GB2312" w:eastAsia="仿宋_GB2312" w:cs="仿宋_GB2312"/>
          <w:color w:val="auto"/>
          <w:szCs w:val="24"/>
        </w:rPr>
        <w:t>采购人</w:t>
      </w:r>
      <w:r>
        <w:rPr>
          <w:rFonts w:hint="eastAsia" w:ascii="仿宋_GB2312" w:hAnsi="仿宋_GB2312" w:eastAsia="仿宋_GB2312" w:cs="仿宋_GB2312"/>
          <w:color w:val="auto"/>
          <w:szCs w:val="24"/>
          <w:lang w:val="en-US" w:eastAsia="zh-CN"/>
        </w:rPr>
        <w:t>指定的学校接收人员</w:t>
      </w:r>
      <w:bookmarkEnd w:id="3"/>
      <w:r>
        <w:rPr>
          <w:rFonts w:hint="eastAsia" w:ascii="仿宋_GB2312" w:hAnsi="仿宋_GB2312" w:eastAsia="仿宋_GB2312" w:cs="仿宋_GB2312"/>
          <w:color w:val="auto"/>
          <w:szCs w:val="24"/>
        </w:rPr>
        <w:t>初步验收</w:t>
      </w:r>
      <w:r>
        <w:rPr>
          <w:rFonts w:hint="eastAsia" w:ascii="仿宋_GB2312" w:hAnsi="仿宋_GB2312" w:eastAsia="仿宋_GB2312" w:cs="仿宋_GB2312"/>
          <w:color w:val="auto"/>
          <w:szCs w:val="24"/>
          <w:lang w:val="en-US" w:eastAsia="zh-CN"/>
        </w:rPr>
        <w:t>签字</w:t>
      </w:r>
      <w:r>
        <w:rPr>
          <w:rFonts w:hint="eastAsia" w:ascii="仿宋_GB2312" w:hAnsi="仿宋_GB2312" w:eastAsia="仿宋_GB2312" w:cs="仿宋_GB2312"/>
          <w:color w:val="auto"/>
          <w:szCs w:val="24"/>
        </w:rPr>
        <w:t>确认，如果发现数量不足或有设计、质量、技术等问题，供应商应负责按照招标文件与投标文件要求采取补足或更换等处理措施，并承担由此发生的一切损失和费用。</w:t>
      </w:r>
    </w:p>
    <w:p>
      <w:pPr>
        <w:numPr>
          <w:ilvl w:val="0"/>
          <w:numId w:val="6"/>
        </w:numPr>
        <w:ind w:firstLine="48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设备安装调试合格后，供应商通知</w:t>
      </w:r>
      <w:bookmarkStart w:id="4" w:name="OLE_LINK2"/>
      <w:r>
        <w:rPr>
          <w:rFonts w:hint="eastAsia" w:ascii="仿宋_GB2312" w:hAnsi="仿宋_GB2312" w:eastAsia="仿宋_GB2312" w:cs="仿宋_GB2312"/>
          <w:color w:val="auto"/>
          <w:szCs w:val="24"/>
        </w:rPr>
        <w:t>采购人</w:t>
      </w:r>
      <w:bookmarkEnd w:id="4"/>
      <w:r>
        <w:rPr>
          <w:rFonts w:hint="eastAsia" w:ascii="仿宋_GB2312" w:hAnsi="仿宋_GB2312" w:eastAsia="仿宋_GB2312" w:cs="仿宋_GB2312"/>
          <w:color w:val="auto"/>
          <w:szCs w:val="24"/>
        </w:rPr>
        <w:t>组织</w:t>
      </w:r>
      <w:r>
        <w:rPr>
          <w:rFonts w:hint="eastAsia" w:ascii="仿宋_GB2312" w:hAnsi="仿宋_GB2312" w:eastAsia="仿宋_GB2312" w:cs="仿宋_GB2312"/>
          <w:color w:val="auto"/>
          <w:szCs w:val="24"/>
          <w:lang w:val="en-US" w:eastAsia="zh-CN"/>
        </w:rPr>
        <w:t>人员</w:t>
      </w:r>
      <w:r>
        <w:rPr>
          <w:rFonts w:hint="eastAsia" w:ascii="仿宋_GB2312" w:hAnsi="仿宋_GB2312" w:eastAsia="仿宋_GB2312" w:cs="仿宋_GB2312"/>
          <w:color w:val="auto"/>
          <w:szCs w:val="24"/>
        </w:rPr>
        <w:t>验收：确认设备安装是否正确；规格及材质等是否符合合同要求；所有检测报告是否合格；是否按项目技术规范和服务要求完成产品的调试及售后服务等工作。采购人</w:t>
      </w:r>
      <w:r>
        <w:rPr>
          <w:rFonts w:hint="eastAsia" w:ascii="仿宋_GB2312" w:hAnsi="仿宋_GB2312" w:eastAsia="仿宋_GB2312" w:cs="仿宋_GB2312"/>
          <w:color w:val="auto"/>
          <w:szCs w:val="24"/>
          <w:lang w:val="en-US" w:eastAsia="zh-CN"/>
        </w:rPr>
        <w:t>根据标的实际情况有权决定是否进行</w:t>
      </w:r>
      <w:r>
        <w:rPr>
          <w:rFonts w:hint="eastAsia" w:ascii="仿宋_GB2312" w:hAnsi="仿宋_GB2312" w:eastAsia="仿宋_GB2312" w:cs="仿宋_GB2312"/>
          <w:color w:val="auto"/>
          <w:szCs w:val="24"/>
        </w:rPr>
        <w:t>抽样送国家认可的专业检测</w:t>
      </w:r>
      <w:r>
        <w:rPr>
          <w:rFonts w:hint="eastAsia" w:ascii="仿宋_GB2312" w:hAnsi="仿宋_GB2312" w:eastAsia="仿宋_GB2312" w:cs="仿宋_GB2312"/>
          <w:color w:val="auto"/>
          <w:szCs w:val="24"/>
          <w:lang w:eastAsia="zh-CN"/>
        </w:rPr>
        <w:t>机构做</w:t>
      </w:r>
      <w:r>
        <w:rPr>
          <w:rFonts w:hint="eastAsia" w:ascii="仿宋_GB2312" w:hAnsi="仿宋_GB2312" w:eastAsia="仿宋_GB2312" w:cs="仿宋_GB2312"/>
          <w:color w:val="auto"/>
          <w:szCs w:val="24"/>
        </w:rPr>
        <w:t>破坏性检测出具质量检测报告</w:t>
      </w:r>
      <w:r>
        <w:rPr>
          <w:rFonts w:hint="eastAsia" w:ascii="仿宋_GB2312" w:hAnsi="仿宋_GB2312" w:eastAsia="仿宋_GB2312" w:cs="仿宋_GB2312"/>
          <w:color w:val="auto"/>
          <w:szCs w:val="24"/>
          <w:lang w:eastAsia="zh-CN"/>
        </w:rPr>
        <w:t>，</w:t>
      </w:r>
      <w:r>
        <w:rPr>
          <w:rFonts w:hint="eastAsia" w:ascii="仿宋_GB2312" w:hAnsi="仿宋_GB2312" w:eastAsia="仿宋_GB2312" w:cs="仿宋_GB2312"/>
          <w:color w:val="auto"/>
          <w:szCs w:val="24"/>
          <w:lang w:val="en-US" w:eastAsia="zh-CN"/>
        </w:rPr>
        <w:t>若需</w:t>
      </w:r>
      <w:r>
        <w:rPr>
          <w:rFonts w:hint="eastAsia" w:ascii="仿宋_GB2312" w:hAnsi="仿宋_GB2312" w:eastAsia="仿宋_GB2312" w:cs="仿宋_GB2312"/>
          <w:color w:val="auto"/>
          <w:szCs w:val="24"/>
        </w:rPr>
        <w:t>抽样送国家认可的专业检测</w:t>
      </w:r>
      <w:r>
        <w:rPr>
          <w:rFonts w:hint="eastAsia" w:ascii="仿宋_GB2312" w:hAnsi="仿宋_GB2312" w:eastAsia="仿宋_GB2312" w:cs="仿宋_GB2312"/>
          <w:color w:val="auto"/>
          <w:szCs w:val="24"/>
          <w:lang w:eastAsia="zh-CN"/>
        </w:rPr>
        <w:t>机构做</w:t>
      </w:r>
      <w:r>
        <w:rPr>
          <w:rFonts w:hint="eastAsia" w:ascii="仿宋_GB2312" w:hAnsi="仿宋_GB2312" w:eastAsia="仿宋_GB2312" w:cs="仿宋_GB2312"/>
          <w:color w:val="auto"/>
          <w:szCs w:val="24"/>
        </w:rPr>
        <w:t>破坏性检测</w:t>
      </w:r>
      <w:r>
        <w:rPr>
          <w:rFonts w:hint="eastAsia" w:ascii="仿宋_GB2312" w:hAnsi="仿宋_GB2312" w:eastAsia="仿宋_GB2312" w:cs="仿宋_GB2312"/>
          <w:color w:val="auto"/>
          <w:szCs w:val="24"/>
          <w:lang w:val="en-US" w:eastAsia="zh-CN"/>
        </w:rPr>
        <w:t>的，检测费用由</w:t>
      </w:r>
      <w:r>
        <w:rPr>
          <w:rFonts w:hint="eastAsia" w:ascii="仿宋_GB2312" w:hAnsi="仿宋_GB2312" w:eastAsia="仿宋_GB2312" w:cs="仿宋_GB2312"/>
          <w:color w:val="auto"/>
          <w:szCs w:val="24"/>
        </w:rPr>
        <w:t>采购人</w:t>
      </w:r>
      <w:r>
        <w:rPr>
          <w:rFonts w:hint="eastAsia" w:ascii="仿宋_GB2312" w:hAnsi="仿宋_GB2312" w:eastAsia="仿宋_GB2312" w:cs="仿宋_GB2312"/>
          <w:color w:val="auto"/>
          <w:szCs w:val="24"/>
          <w:lang w:val="en-US" w:eastAsia="zh-CN"/>
        </w:rPr>
        <w:t>承担</w:t>
      </w:r>
      <w:r>
        <w:rPr>
          <w:rFonts w:hint="eastAsia" w:ascii="仿宋_GB2312" w:hAnsi="仿宋_GB2312" w:eastAsia="仿宋_GB2312" w:cs="仿宋_GB2312"/>
          <w:color w:val="auto"/>
          <w:szCs w:val="24"/>
        </w:rPr>
        <w:t>。</w:t>
      </w:r>
    </w:p>
    <w:p>
      <w:pPr>
        <w:pStyle w:val="4"/>
        <w:ind w:firstLine="482"/>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（四）</w:t>
      </w:r>
      <w:r>
        <w:rPr>
          <w:rFonts w:hint="eastAsia" w:ascii="仿宋_GB2312" w:hAnsi="仿宋_GB2312" w:eastAsia="仿宋_GB2312" w:cs="仿宋_GB2312"/>
          <w:szCs w:val="24"/>
        </w:rPr>
        <w:t>验收指标和标准</w:t>
      </w:r>
    </w:p>
    <w:p>
      <w:p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按照采购文件和正式合同确定的技术指标或者服务要求，应当符合国家强制性规定、政策要求、安全标准、行业或企业有关标准等。</w:t>
      </w:r>
    </w:p>
    <w:p>
      <w:pPr>
        <w:pStyle w:val="4"/>
        <w:ind w:firstLine="482"/>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（五）验收费用</w:t>
      </w:r>
    </w:p>
    <w:p>
      <w:p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履约验收产生的费用，属</w:t>
      </w:r>
      <w:r>
        <w:rPr>
          <w:rFonts w:hint="eastAsia" w:ascii="仿宋_GB2312" w:hAnsi="仿宋_GB2312" w:eastAsia="仿宋_GB2312" w:cs="仿宋_GB2312"/>
          <w:color w:val="auto"/>
          <w:szCs w:val="24"/>
        </w:rPr>
        <w:t>于首次验收过程中产生的，由采购人承担；属于首次验收不合格，重新验收过程中产生的</w:t>
      </w:r>
      <w:r>
        <w:rPr>
          <w:rFonts w:hint="eastAsia" w:ascii="仿宋_GB2312" w:hAnsi="仿宋_GB2312" w:eastAsia="仿宋_GB2312" w:cs="仿宋_GB2312"/>
          <w:color w:val="auto"/>
          <w:szCs w:val="24"/>
          <w:lang w:val="en-US" w:eastAsia="zh-CN"/>
        </w:rPr>
        <w:t>所有费用</w:t>
      </w:r>
      <w:r>
        <w:rPr>
          <w:rFonts w:hint="eastAsia" w:ascii="仿宋_GB2312" w:hAnsi="仿宋_GB2312" w:eastAsia="仿宋_GB2312" w:cs="仿宋_GB2312"/>
          <w:color w:val="auto"/>
          <w:szCs w:val="24"/>
        </w:rPr>
        <w:t>，由供应商承担。</w:t>
      </w:r>
    </w:p>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十</w:t>
      </w:r>
      <w:r>
        <w:rPr>
          <w:rFonts w:hint="eastAsia" w:ascii="仿宋_GB2312" w:hAnsi="仿宋_GB2312" w:eastAsia="仿宋_GB2312" w:cs="仿宋_GB2312"/>
          <w:szCs w:val="24"/>
          <w:lang w:val="en-US" w:eastAsia="zh-CN"/>
        </w:rPr>
        <w:t>二</w:t>
      </w:r>
      <w:r>
        <w:rPr>
          <w:rFonts w:hint="eastAsia" w:ascii="仿宋_GB2312" w:hAnsi="仿宋_GB2312" w:eastAsia="仿宋_GB2312" w:cs="仿宋_GB2312"/>
          <w:szCs w:val="24"/>
        </w:rPr>
        <w:t>、保险</w:t>
      </w:r>
    </w:p>
    <w:p>
      <w:pPr>
        <w:pStyle w:val="4"/>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（一）第三者责任保险</w:t>
      </w:r>
    </w:p>
    <w:p>
      <w:p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中标人应对中标人人员以及第三方全权负责（如中标人应投保第三责任险），在中标人的责任区内由于中标人原因导致自己员工或第三方的事故由中标人负责，采购人不承担任何责任。</w:t>
      </w:r>
    </w:p>
    <w:p>
      <w:pPr>
        <w:pStyle w:val="4"/>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（二）员工人身意外</w:t>
      </w:r>
    </w:p>
    <w:p>
      <w:p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在服务期内，中标人所有人员的事故由中标人自行全权负责（如中标人应对其员工投保人身意外险），以保证采购人在中标人工作人员索赔时不受任何责任的约束。</w:t>
      </w:r>
    </w:p>
    <w:p>
      <w:pPr>
        <w:pStyle w:val="4"/>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（三）其他保险及费用</w:t>
      </w:r>
    </w:p>
    <w:p>
      <w:pPr>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中标人须按相关法律法规和政府</w:t>
      </w:r>
      <w:r>
        <w:rPr>
          <w:rFonts w:hint="eastAsia" w:ascii="仿宋_GB2312" w:hAnsi="仿宋_GB2312" w:eastAsia="仿宋_GB2312" w:cs="仿宋_GB2312"/>
          <w:szCs w:val="24"/>
          <w:lang w:eastAsia="zh-CN"/>
        </w:rPr>
        <w:t>有关</w:t>
      </w:r>
      <w:r>
        <w:rPr>
          <w:rFonts w:hint="eastAsia" w:ascii="仿宋_GB2312" w:hAnsi="仿宋_GB2312" w:eastAsia="仿宋_GB2312" w:cs="仿宋_GB2312"/>
          <w:szCs w:val="24"/>
        </w:rPr>
        <w:t>部门规定为全体服务人员缴纳所有相关的社会保险及其他相关费用。中标人对此全权负责。</w:t>
      </w:r>
    </w:p>
    <w:p>
      <w:pPr>
        <w:pStyle w:val="3"/>
        <w:spacing w:before="156" w:after="156"/>
        <w:ind w:firstLine="482"/>
        <w:rPr>
          <w:rFonts w:hint="eastAsia" w:ascii="仿宋_GB2312" w:hAnsi="仿宋_GB2312" w:eastAsia="仿宋_GB2312" w:cs="仿宋_GB2312"/>
          <w:szCs w:val="24"/>
        </w:rPr>
      </w:pPr>
      <w:r>
        <w:rPr>
          <w:rFonts w:hint="eastAsia" w:ascii="仿宋_GB2312" w:hAnsi="仿宋_GB2312" w:eastAsia="仿宋_GB2312" w:cs="仿宋_GB2312"/>
          <w:szCs w:val="24"/>
        </w:rPr>
        <w:t>十</w:t>
      </w:r>
      <w:r>
        <w:rPr>
          <w:rFonts w:hint="eastAsia" w:ascii="仿宋_GB2312" w:hAnsi="仿宋_GB2312" w:eastAsia="仿宋_GB2312" w:cs="仿宋_GB2312"/>
          <w:szCs w:val="24"/>
          <w:lang w:val="en-US" w:eastAsia="zh-CN"/>
        </w:rPr>
        <w:t>三</w:t>
      </w:r>
      <w:r>
        <w:rPr>
          <w:rFonts w:hint="eastAsia" w:ascii="仿宋_GB2312" w:hAnsi="仿宋_GB2312" w:eastAsia="仿宋_GB2312" w:cs="仿宋_GB2312"/>
          <w:szCs w:val="24"/>
        </w:rPr>
        <w:t>、付款方式</w:t>
      </w:r>
    </w:p>
    <w:p>
      <w:pPr>
        <w:numPr>
          <w:ilvl w:val="0"/>
          <w:numId w:val="7"/>
        </w:numPr>
        <w:ind w:firstLine="480"/>
        <w:rPr>
          <w:rFonts w:hint="eastAsia" w:ascii="仿宋_GB2312" w:hAnsi="仿宋_GB2312" w:eastAsia="仿宋_GB2312" w:cs="仿宋_GB2312"/>
          <w:color w:val="auto"/>
          <w:szCs w:val="24"/>
        </w:rPr>
      </w:pPr>
      <w:r>
        <w:rPr>
          <w:rFonts w:hint="eastAsia" w:ascii="仿宋_GB2312" w:hAnsi="仿宋_GB2312" w:eastAsia="仿宋_GB2312" w:cs="仿宋_GB2312"/>
          <w:szCs w:val="24"/>
        </w:rPr>
        <w:t>按合同约定内容进行货款的结算，结算时按财政结算要求办理资金结算手续。</w:t>
      </w:r>
    </w:p>
    <w:p>
      <w:pPr>
        <w:numPr>
          <w:ilvl w:val="0"/>
          <w:numId w:val="7"/>
        </w:numPr>
        <w:ind w:firstLine="480"/>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本项目预付款为合同金额的</w:t>
      </w:r>
      <w:r>
        <w:rPr>
          <w:rFonts w:hint="eastAsia" w:ascii="仿宋_GB2312" w:hAnsi="仿宋_GB2312" w:eastAsia="仿宋_GB2312" w:cs="仿宋_GB2312"/>
          <w:b/>
          <w:bCs/>
          <w:color w:val="auto"/>
          <w:szCs w:val="24"/>
        </w:rPr>
        <w:t>50％</w:t>
      </w:r>
      <w:r>
        <w:rPr>
          <w:rFonts w:hint="eastAsia" w:ascii="仿宋_GB2312" w:hAnsi="仿宋_GB2312" w:eastAsia="仿宋_GB2312" w:cs="仿宋_GB2312"/>
          <w:color w:val="auto"/>
          <w:szCs w:val="24"/>
        </w:rPr>
        <w:t>，采购人应在合同生效以及具备实施条件后7个工作日内，支付预付款。</w:t>
      </w:r>
    </w:p>
    <w:p>
      <w:pPr>
        <w:numPr>
          <w:ilvl w:val="0"/>
          <w:numId w:val="7"/>
        </w:numPr>
        <w:ind w:firstLine="480"/>
        <w:rPr>
          <w:rFonts w:hint="eastAsia" w:ascii="仿宋_GB2312" w:hAnsi="仿宋_GB2312" w:eastAsia="仿宋_GB2312" w:cs="仿宋_GB2312"/>
          <w:szCs w:val="24"/>
        </w:rPr>
      </w:pPr>
      <w:r>
        <w:rPr>
          <w:rFonts w:hint="eastAsia" w:ascii="仿宋_GB2312" w:hAnsi="仿宋_GB2312" w:eastAsia="仿宋_GB2312" w:cs="仿宋_GB2312"/>
          <w:color w:val="auto"/>
          <w:szCs w:val="24"/>
        </w:rPr>
        <w:t>验收合格后采购人将合同款支付完毕</w:t>
      </w:r>
      <w:r>
        <w:rPr>
          <w:rFonts w:hint="eastAsia" w:ascii="仿宋_GB2312" w:hAnsi="仿宋_GB2312" w:eastAsia="仿宋_GB2312" w:cs="仿宋_GB2312"/>
          <w:szCs w:val="24"/>
        </w:rPr>
        <w:t>。</w:t>
      </w:r>
    </w:p>
    <w:p>
      <w:pPr>
        <w:rPr>
          <w:rFonts w:hint="eastAsia" w:ascii="仿宋_GB2312" w:hAnsi="仿宋_GB2312" w:eastAsia="仿宋_GB2312" w:cs="仿宋_GB2312"/>
        </w:rPr>
      </w:pPr>
    </w:p>
    <w:sectPr>
      <w:pgSz w:w="11906" w:h="16838"/>
      <w:pgMar w:top="1134" w:right="1587" w:bottom="113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1">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2">
    <w:nsid w:val="CAD4D163"/>
    <w:multiLevelType w:val="singleLevel"/>
    <w:tmpl w:val="CAD4D163"/>
    <w:lvl w:ilvl="0" w:tentative="0">
      <w:start w:val="1"/>
      <w:numFmt w:val="chineseCounting"/>
      <w:suff w:val="nothing"/>
      <w:lvlText w:val="（%1）"/>
      <w:lvlJc w:val="left"/>
      <w:rPr>
        <w:rFonts w:hint="eastAsia"/>
      </w:rPr>
    </w:lvl>
  </w:abstractNum>
  <w:abstractNum w:abstractNumId="3">
    <w:nsid w:val="0CFF0C15"/>
    <w:multiLevelType w:val="singleLevel"/>
    <w:tmpl w:val="0CFF0C15"/>
    <w:lvl w:ilvl="0" w:tentative="0">
      <w:start w:val="1"/>
      <w:numFmt w:val="decimal"/>
      <w:suff w:val="space"/>
      <w:lvlText w:val="%1."/>
      <w:lvlJc w:val="left"/>
      <w:pPr>
        <w:tabs>
          <w:tab w:val="left" w:pos="0"/>
        </w:tabs>
        <w:ind w:left="0" w:firstLine="0"/>
      </w:pPr>
      <w:rPr>
        <w:rFonts w:hint="default"/>
      </w:rPr>
    </w:lvl>
  </w:abstractNum>
  <w:abstractNum w:abstractNumId="4">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5">
    <w:nsid w:val="5D6477E1"/>
    <w:multiLevelType w:val="singleLevel"/>
    <w:tmpl w:val="5D6477E1"/>
    <w:lvl w:ilvl="0" w:tentative="0">
      <w:start w:val="1"/>
      <w:numFmt w:val="chineseCounting"/>
      <w:suff w:val="nothing"/>
      <w:lvlText w:val="%1、"/>
      <w:lvlJc w:val="left"/>
      <w:rPr>
        <w:rFonts w:hint="eastAsia"/>
      </w:rPr>
    </w:lvl>
  </w:abstractNum>
  <w:abstractNum w:abstractNumId="6">
    <w:nsid w:val="6D5D7768"/>
    <w:multiLevelType w:val="singleLevel"/>
    <w:tmpl w:val="6D5D7768"/>
    <w:lvl w:ilvl="0" w:tentative="0">
      <w:start w:val="1"/>
      <w:numFmt w:val="decimal"/>
      <w:suff w:val="space"/>
      <w:lvlText w:val="%1."/>
      <w:lvlJc w:val="left"/>
      <w:pPr>
        <w:tabs>
          <w:tab w:val="left" w:pos="0"/>
        </w:tabs>
        <w:ind w:left="0" w:firstLine="0"/>
      </w:pPr>
      <w:rPr>
        <w:rFonts w:hint="default"/>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NTQ3MTk4NGI4ZWViODg4NTBmNWQ5MDc0YTZiYjYifQ=="/>
  </w:docVars>
  <w:rsids>
    <w:rsidRoot w:val="0E830185"/>
    <w:rsid w:val="0BD71A69"/>
    <w:rsid w:val="0E830185"/>
    <w:rsid w:val="2E307578"/>
    <w:rsid w:val="3DC96858"/>
    <w:rsid w:val="43D1181A"/>
    <w:rsid w:val="4B63653E"/>
    <w:rsid w:val="54D83132"/>
    <w:rsid w:val="78632727"/>
    <w:rsid w:val="7E26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360"/>
        <w:tab w:val="left" w:pos="432"/>
      </w:tabs>
      <w:spacing w:beforeLines="0" w:after="330" w:line="576" w:lineRule="auto"/>
      <w:ind w:left="0" w:firstLine="0" w:firstLineChars="0"/>
      <w:jc w:val="center"/>
      <w:outlineLvl w:val="0"/>
    </w:pPr>
    <w:rPr>
      <w:rFonts w:ascii="Calibri" w:hAnsi="Calibri" w:eastAsia="黑体"/>
      <w:b/>
      <w:bCs/>
      <w:kern w:val="44"/>
      <w:sz w:val="36"/>
      <w:szCs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00" w:after="100" w:line="240" w:lineRule="auto"/>
      <w:outlineLvl w:val="2"/>
    </w:pPr>
    <w:rPr>
      <w:rFonts w:ascii="Calibri" w:hAnsi="Calibri"/>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sz w:val="28"/>
    </w:rPr>
  </w:style>
  <w:style w:type="paragraph" w:styleId="6">
    <w:name w:val="Body Text Indent"/>
    <w:basedOn w:val="1"/>
    <w:qFormat/>
    <w:uiPriority w:val="0"/>
    <w:pPr>
      <w:spacing w:line="200" w:lineRule="exact"/>
      <w:ind w:firstLine="301"/>
    </w:pPr>
    <w:rPr>
      <w:rFonts w:ascii="宋体"/>
      <w:spacing w:val="-4"/>
      <w:sz w:val="18"/>
      <w:szCs w:val="20"/>
    </w:rPr>
  </w:style>
  <w:style w:type="paragraph" w:styleId="7">
    <w:name w:val="Plain Text"/>
    <w:basedOn w:val="1"/>
    <w:qFormat/>
    <w:uiPriority w:val="0"/>
    <w:pPr>
      <w:spacing w:before="156" w:after="156" w:line="400" w:lineRule="exact"/>
    </w:pPr>
    <w:rPr>
      <w:rFonts w:ascii="宋体"/>
      <w:sz w:val="24"/>
    </w:rPr>
  </w:style>
  <w:style w:type="paragraph" w:styleId="8">
    <w:name w:val="toc 6"/>
    <w:basedOn w:val="1"/>
    <w:next w:val="1"/>
    <w:qFormat/>
    <w:uiPriority w:val="0"/>
    <w:pPr>
      <w:spacing w:line="360" w:lineRule="auto"/>
      <w:ind w:left="960" w:firstLine="200" w:firstLineChars="200"/>
      <w:jc w:val="left"/>
    </w:pPr>
    <w:rPr>
      <w:rFonts w:ascii="Calibri" w:hAnsi="Calibri"/>
      <w:sz w:val="20"/>
      <w:szCs w:val="20"/>
    </w:rPr>
  </w:style>
  <w:style w:type="paragraph" w:styleId="9">
    <w:name w:val="Body Text First Indent"/>
    <w:basedOn w:val="5"/>
    <w:next w:val="8"/>
    <w:qFormat/>
    <w:uiPriority w:val="0"/>
    <w:pPr>
      <w:ind w:firstLine="100" w:firstLineChars="100"/>
    </w:pPr>
    <w:rPr>
      <w:rFonts w:ascii="Calibri" w:hAnsi="Calibri"/>
      <w:sz w:val="21"/>
      <w:szCs w:val="22"/>
    </w:rPr>
  </w:style>
  <w:style w:type="paragraph" w:styleId="10">
    <w:name w:val="Body Text First Indent 2"/>
    <w:basedOn w:val="6"/>
    <w:next w:val="9"/>
    <w:qFormat/>
    <w:uiPriority w:val="0"/>
    <w:pPr>
      <w:spacing w:after="120" w:line="240" w:lineRule="auto"/>
      <w:ind w:left="200" w:leftChars="200" w:firstLine="0"/>
    </w:pPr>
    <w:rPr>
      <w:rFonts w:ascii="Times New Roman" w:hAnsi="Times New Roman"/>
      <w:spacing w:val="0"/>
      <w:sz w:val="21"/>
      <w:szCs w:val="21"/>
    </w:rPr>
  </w:style>
  <w:style w:type="paragraph" w:customStyle="1" w:styleId="1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4">
    <w:name w:val="Table Text"/>
    <w:basedOn w:val="1"/>
    <w:qFormat/>
    <w:uiPriority w:val="0"/>
    <w:pPr>
      <w:widowControl/>
      <w:spacing w:before="80" w:after="80" w:line="360" w:lineRule="auto"/>
      <w:ind w:firstLine="200" w:firstLineChars="200"/>
      <w:jc w:val="left"/>
    </w:pPr>
    <w:rPr>
      <w:rFonts w:ascii="Arial" w:hAnsi="Arial" w:cs="Arial"/>
      <w:kern w:val="0"/>
      <w:sz w:val="20"/>
      <w:szCs w:val="20"/>
      <w:lang w:val="en-GB" w:eastAsia="en-GB" w:bidi="ar-SA"/>
    </w:rPr>
  </w:style>
  <w:style w:type="character" w:customStyle="1" w:styleId="15">
    <w:name w:val="font01"/>
    <w:basedOn w:val="12"/>
    <w:qFormat/>
    <w:uiPriority w:val="0"/>
    <w:rPr>
      <w:rFonts w:ascii="新宋体" w:eastAsia="新宋体" w:cs="新宋体"/>
      <w:color w:val="000000"/>
      <w:sz w:val="21"/>
      <w:szCs w:val="21"/>
      <w:u w:val="none"/>
      <w:lang w:bidi="ar-SA"/>
    </w:rPr>
  </w:style>
  <w:style w:type="paragraph" w:styleId="16">
    <w:name w:val="List Paragraph"/>
    <w:basedOn w:val="1"/>
    <w:qFormat/>
    <w:uiPriority w:val="0"/>
    <w:pPr>
      <w:ind w:firstLine="200" w:firstLineChars="200"/>
    </w:pPr>
    <w:rPr>
      <w:rFonts w:ascii="Calibri" w:hAnsi="Calibri"/>
      <w:szCs w:val="22"/>
    </w:rPr>
  </w:style>
  <w:style w:type="paragraph" w:customStyle="1" w:styleId="17">
    <w:name w:val="正文2"/>
    <w:basedOn w:val="1"/>
    <w:qFormat/>
    <w:uiPriority w:val="0"/>
    <w:pPr>
      <w:spacing w:before="156" w:line="360" w:lineRule="auto"/>
      <w:ind w:left="567" w:firstLine="510"/>
    </w:pPr>
    <w:rPr>
      <w:sz w:val="24"/>
      <w:szCs w:val="20"/>
    </w:rPr>
  </w:style>
  <w:style w:type="paragraph" w:customStyle="1" w:styleId="18">
    <w:name w:val="首行缩进"/>
    <w:basedOn w:val="1"/>
    <w:next w:val="1"/>
    <w:qFormat/>
    <w:uiPriority w:val="0"/>
    <w:pPr>
      <w:spacing w:beforeLines="0" w:line="360" w:lineRule="auto"/>
      <w:ind w:firstLine="420" w:firstLineChars="200"/>
    </w:pPr>
    <w:rPr>
      <w:rFonts w:ascii="宋体" w:hAnsi="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6032</Words>
  <Characters>6481</Characters>
  <Lines>0</Lines>
  <Paragraphs>0</Paragraphs>
  <TotalTime>3</TotalTime>
  <ScaleCrop>false</ScaleCrop>
  <LinksUpToDate>false</LinksUpToDate>
  <CharactersWithSpaces>6508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2025-05-27T07:13:00Z</dcterms:created>
  <dc:creator>陈常根</dc:creator>
  <cp:lastModifiedBy>陈常根</cp:lastModifiedBy>
  <dcterms:modified xsi:type="dcterms:W3CDTF">2025-06-20T09:27:27Z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33D4B69C467B42DBA34F544483A9284E_11</vt:lpwstr>
  </property>
</Properties>
</file>