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8DAFD">
      <w:pPr>
        <w:keepLines w:val="0"/>
        <w:pageBreakBefore/>
        <w:shd w:val="clear" w:color="auto" w:fill="FFFFFF"/>
        <w:kinsoku/>
        <w:wordWrap/>
        <w:overflowPunct/>
        <w:topLinePunct w:val="0"/>
        <w:bidi w:val="0"/>
        <w:adjustRightInd w:val="0"/>
        <w:snapToGrid w:val="0"/>
        <w:spacing w:beforeAutospacing="0" w:afterAutospacing="0" w:line="360" w:lineRule="auto"/>
        <w:ind w:left="0" w:leftChars="0" w:right="0" w:rightChars="0"/>
        <w:jc w:val="center"/>
        <w:outlineLvl w:val="0"/>
        <w:rPr>
          <w:rFonts w:hint="eastAsia" w:ascii="仿宋" w:hAnsi="仿宋" w:eastAsia="仿宋" w:cs="仿宋"/>
          <w:b/>
          <w:color w:val="auto"/>
          <w:sz w:val="24"/>
          <w:lang w:eastAsia="zh-CN"/>
        </w:rPr>
      </w:pPr>
      <w:bookmarkStart w:id="0" w:name="第四部分"/>
      <w:bookmarkStart w:id="25" w:name="_GoBack"/>
      <w:r>
        <w:rPr>
          <w:rFonts w:hint="eastAsia" w:ascii="宋体" w:hAnsi="宋体" w:cs="宋体"/>
          <w:bCs/>
          <w:color w:val="auto"/>
          <w:szCs w:val="24"/>
        </w:rPr>
        <w:t xml:space="preserve"> </w:t>
      </w:r>
      <w:bookmarkStart w:id="1" w:name="_Toc96460926"/>
      <w:r>
        <w:rPr>
          <w:rFonts w:hint="eastAsia" w:ascii="仿宋" w:hAnsi="仿宋" w:eastAsia="仿宋" w:cs="仿宋"/>
          <w:b/>
          <w:color w:val="auto"/>
          <w:sz w:val="36"/>
          <w:szCs w:val="36"/>
        </w:rPr>
        <w:t xml:space="preserve">第三部分  </w:t>
      </w:r>
      <w:r>
        <w:rPr>
          <w:rFonts w:hint="eastAsia" w:ascii="仿宋" w:hAnsi="仿宋" w:eastAsia="仿宋" w:cs="仿宋"/>
          <w:b/>
          <w:color w:val="auto"/>
          <w:sz w:val="36"/>
          <w:szCs w:val="36"/>
          <w:lang w:val="en-US" w:eastAsia="zh-CN"/>
        </w:rPr>
        <w:t>采购需求（</w:t>
      </w:r>
      <w:r>
        <w:rPr>
          <w:rFonts w:hint="eastAsia" w:ascii="仿宋" w:hAnsi="仿宋" w:eastAsia="仿宋" w:cs="仿宋"/>
          <w:b/>
          <w:bCs/>
          <w:color w:val="auto"/>
          <w:sz w:val="36"/>
          <w:szCs w:val="36"/>
        </w:rPr>
        <w:t>项目技术规范和服务要求</w:t>
      </w:r>
      <w:r>
        <w:rPr>
          <w:rFonts w:hint="eastAsia" w:ascii="仿宋" w:hAnsi="仿宋" w:eastAsia="仿宋" w:cs="仿宋"/>
          <w:b/>
          <w:bCs/>
          <w:color w:val="auto"/>
          <w:sz w:val="36"/>
          <w:szCs w:val="36"/>
          <w:lang w:eastAsia="zh-CN"/>
        </w:rPr>
        <w:t>）</w:t>
      </w:r>
    </w:p>
    <w:bookmarkEnd w:id="1"/>
    <w:p w14:paraId="1A4D50CE">
      <w:pPr>
        <w:keepLines w:val="0"/>
        <w:kinsoku/>
        <w:wordWrap/>
        <w:overflowPunct/>
        <w:topLinePunct w:val="0"/>
        <w:bidi w:val="0"/>
        <w:spacing w:beforeAutospacing="0" w:afterAutospacing="0" w:line="360" w:lineRule="auto"/>
        <w:ind w:left="0" w:leftChars="0" w:right="0" w:rightChars="0"/>
        <w:jc w:val="left"/>
        <w:outlineLvl w:val="1"/>
        <w:rPr>
          <w:rFonts w:hint="eastAsia" w:ascii="仿宋" w:hAnsi="仿宋" w:eastAsia="仿宋" w:cs="仿宋"/>
          <w:b/>
          <w:bCs/>
          <w:color w:val="auto"/>
          <w:sz w:val="24"/>
          <w:lang w:val="en-US" w:eastAsia="zh-CN"/>
        </w:rPr>
      </w:pPr>
      <w:bookmarkStart w:id="2" w:name="_Toc135212467"/>
      <w:bookmarkStart w:id="3" w:name="_Toc33335632"/>
      <w:bookmarkStart w:id="4" w:name="_Toc50977408"/>
      <w:r>
        <w:rPr>
          <w:rFonts w:hint="eastAsia" w:ascii="仿宋" w:hAnsi="仿宋" w:eastAsia="仿宋" w:cs="仿宋"/>
          <w:b/>
          <w:bCs/>
          <w:color w:val="auto"/>
          <w:sz w:val="24"/>
        </w:rPr>
        <w:t>一、</w:t>
      </w:r>
      <w:r>
        <w:rPr>
          <w:rFonts w:hint="eastAsia" w:ascii="仿宋" w:hAnsi="仿宋" w:eastAsia="仿宋" w:cs="仿宋"/>
          <w:b/>
          <w:bCs/>
          <w:color w:val="auto"/>
          <w:sz w:val="24"/>
          <w:lang w:val="en-US" w:eastAsia="zh-CN"/>
        </w:rPr>
        <w:t>项目概述</w:t>
      </w:r>
    </w:p>
    <w:p w14:paraId="3703BBD8">
      <w:pPr>
        <w:keepLines w:val="0"/>
        <w:kinsoku/>
        <w:wordWrap/>
        <w:overflowPunct/>
        <w:topLinePunct w:val="0"/>
        <w:bidi w:val="0"/>
        <w:spacing w:beforeAutospacing="0" w:afterAutospacing="0" w:line="360" w:lineRule="auto"/>
        <w:ind w:left="0" w:leftChars="0" w:right="0" w:rightChars="0"/>
        <w:jc w:val="left"/>
        <w:outlineLvl w:val="9"/>
        <w:rPr>
          <w:rFonts w:hint="eastAsia" w:ascii="仿宋" w:hAnsi="仿宋" w:eastAsia="仿宋" w:cs="仿宋"/>
          <w:color w:val="auto"/>
          <w:kern w:val="0"/>
          <w:sz w:val="24"/>
          <w:lang w:val="en-US" w:eastAsia="zh-CN" w:bidi="ar"/>
        </w:rPr>
      </w:pPr>
      <w:r>
        <w:rPr>
          <w:rFonts w:hint="eastAsia" w:ascii="仿宋" w:hAnsi="仿宋" w:eastAsia="仿宋" w:cs="仿宋"/>
          <w:b/>
          <w:bCs/>
          <w:color w:val="auto"/>
          <w:sz w:val="24"/>
          <w:lang w:val="en-US" w:eastAsia="zh-CN"/>
        </w:rPr>
        <w:t>标项一：</w:t>
      </w:r>
      <w:r>
        <w:rPr>
          <w:rFonts w:hint="eastAsia" w:ascii="仿宋" w:hAnsi="仿宋" w:eastAsia="仿宋" w:cs="仿宋"/>
          <w:color w:val="auto"/>
          <w:kern w:val="0"/>
          <w:sz w:val="24"/>
          <w:lang w:bidi="ar"/>
        </w:rPr>
        <w:t>杭州市临平职业高级中学(</w:t>
      </w:r>
      <w:r>
        <w:rPr>
          <w:rFonts w:hint="eastAsia" w:ascii="仿宋" w:hAnsi="仿宋" w:eastAsia="仿宋" w:cs="仿宋"/>
          <w:color w:val="auto"/>
          <w:kern w:val="0"/>
          <w:sz w:val="24"/>
          <w:lang w:eastAsia="zh-CN" w:bidi="ar"/>
        </w:rPr>
        <w:t>临平</w:t>
      </w:r>
      <w:r>
        <w:rPr>
          <w:rFonts w:hint="eastAsia" w:ascii="仿宋" w:hAnsi="仿宋" w:eastAsia="仿宋" w:cs="仿宋"/>
          <w:color w:val="auto"/>
          <w:kern w:val="0"/>
          <w:sz w:val="24"/>
          <w:lang w:bidi="ar"/>
        </w:rPr>
        <w:t>技工学校)</w:t>
      </w:r>
      <w:r>
        <w:rPr>
          <w:rFonts w:hint="eastAsia" w:ascii="仿宋" w:hAnsi="仿宋" w:eastAsia="仿宋" w:cs="仿宋"/>
          <w:color w:val="auto"/>
          <w:kern w:val="0"/>
          <w:sz w:val="24"/>
          <w:lang w:val="en-US" w:eastAsia="zh-CN" w:bidi="ar"/>
        </w:rPr>
        <w:t>鼎湖校区</w:t>
      </w:r>
    </w:p>
    <w:p w14:paraId="382BC024">
      <w:pPr>
        <w:keepLines w:val="0"/>
        <w:kinsoku/>
        <w:wordWrap/>
        <w:overflowPunct/>
        <w:topLinePunct w:val="0"/>
        <w:bidi w:val="0"/>
        <w:spacing w:beforeAutospacing="0" w:afterAutospacing="0" w:line="360" w:lineRule="auto"/>
        <w:ind w:left="0" w:leftChars="0" w:right="0" w:rightChars="0"/>
        <w:jc w:val="left"/>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1.基本情况</w:t>
      </w:r>
      <w:r>
        <w:rPr>
          <w:rFonts w:hint="eastAsia" w:ascii="仿宋" w:hAnsi="仿宋" w:eastAsia="仿宋" w:cs="仿宋"/>
          <w:b/>
          <w:bCs/>
          <w:color w:val="auto"/>
          <w:sz w:val="24"/>
        </w:rPr>
        <w:t>：</w:t>
      </w:r>
    </w:p>
    <w:p w14:paraId="29FFBF19">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val="en-US" w:eastAsia="zh-CN" w:bidi="ar"/>
        </w:rPr>
      </w:pPr>
      <w:bookmarkStart w:id="5" w:name="OLE_LINK10"/>
      <w:bookmarkStart w:id="6" w:name="OLE_LINK9"/>
      <w:r>
        <w:rPr>
          <w:rFonts w:hint="eastAsia" w:ascii="仿宋" w:hAnsi="仿宋" w:eastAsia="仿宋" w:cs="仿宋"/>
          <w:color w:val="auto"/>
          <w:kern w:val="0"/>
          <w:sz w:val="24"/>
          <w:lang w:bidi="ar"/>
        </w:rPr>
        <w:t>杭州市临平职业高级中学(</w:t>
      </w:r>
      <w:r>
        <w:rPr>
          <w:rFonts w:hint="eastAsia" w:ascii="仿宋" w:hAnsi="仿宋" w:eastAsia="仿宋" w:cs="仿宋"/>
          <w:color w:val="auto"/>
          <w:kern w:val="0"/>
          <w:sz w:val="24"/>
          <w:lang w:eastAsia="zh-CN" w:bidi="ar"/>
        </w:rPr>
        <w:t>临平</w:t>
      </w:r>
      <w:r>
        <w:rPr>
          <w:rFonts w:hint="eastAsia" w:ascii="仿宋" w:hAnsi="仿宋" w:eastAsia="仿宋" w:cs="仿宋"/>
          <w:color w:val="auto"/>
          <w:kern w:val="0"/>
          <w:sz w:val="24"/>
          <w:lang w:bidi="ar"/>
        </w:rPr>
        <w:t>技工学校)</w:t>
      </w:r>
      <w:r>
        <w:rPr>
          <w:rFonts w:hint="eastAsia" w:ascii="仿宋" w:hAnsi="仿宋" w:eastAsia="仿宋" w:cs="仿宋"/>
          <w:color w:val="auto"/>
          <w:kern w:val="0"/>
          <w:sz w:val="24"/>
          <w:lang w:val="en-US" w:eastAsia="zh-CN" w:bidi="ar"/>
        </w:rPr>
        <w:t>鼎湖校区</w:t>
      </w:r>
      <w:r>
        <w:rPr>
          <w:rFonts w:hint="eastAsia" w:ascii="仿宋" w:hAnsi="仿宋" w:eastAsia="仿宋" w:cs="仿宋"/>
          <w:color w:val="auto"/>
          <w:kern w:val="0"/>
          <w:sz w:val="24"/>
          <w:lang w:bidi="ar"/>
        </w:rPr>
        <w:t>食堂面积:</w:t>
      </w:r>
      <w:r>
        <w:rPr>
          <w:rFonts w:hint="eastAsia" w:ascii="仿宋" w:hAnsi="仿宋" w:eastAsia="仿宋" w:cs="仿宋"/>
          <w:color w:val="auto"/>
          <w:kern w:val="0"/>
          <w:sz w:val="24"/>
          <w:lang w:val="en-US" w:eastAsia="zh-CN" w:bidi="ar"/>
        </w:rPr>
        <w:t>两个食堂分别为</w:t>
      </w:r>
      <w:r>
        <w:rPr>
          <w:rFonts w:hint="eastAsia" w:ascii="仿宋" w:hAnsi="仿宋" w:eastAsia="仿宋" w:cs="仿宋"/>
          <w:color w:val="auto"/>
          <w:kern w:val="0"/>
          <w:sz w:val="24"/>
          <w:lang w:bidi="ar"/>
        </w:rPr>
        <w:t>临风食堂2楼为450平方,3楼为350平方;临欣食堂1楼为200平方</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现有在校生人数:3600人</w:t>
      </w:r>
      <w:r>
        <w:rPr>
          <w:rFonts w:hint="eastAsia" w:ascii="仿宋" w:hAnsi="仿宋" w:eastAsia="仿宋" w:cs="仿宋"/>
          <w:color w:val="auto"/>
          <w:kern w:val="0"/>
          <w:sz w:val="24"/>
          <w:lang w:val="en-US" w:eastAsia="zh-CN" w:bidi="ar"/>
        </w:rPr>
        <w:t>左右</w:t>
      </w:r>
      <w:r>
        <w:rPr>
          <w:rFonts w:hint="eastAsia" w:ascii="仿宋" w:hAnsi="仿宋" w:eastAsia="仿宋" w:cs="仿宋"/>
          <w:color w:val="auto"/>
          <w:kern w:val="0"/>
          <w:sz w:val="24"/>
          <w:lang w:bidi="ar"/>
        </w:rPr>
        <w:t>,其中住宿生250</w:t>
      </w:r>
      <w:r>
        <w:rPr>
          <w:rFonts w:hint="eastAsia" w:ascii="仿宋" w:hAnsi="仿宋" w:eastAsia="仿宋" w:cs="仿宋"/>
          <w:color w:val="auto"/>
          <w:kern w:val="0"/>
          <w:sz w:val="24"/>
          <w:lang w:val="en-US" w:eastAsia="zh-CN" w:bidi="ar"/>
        </w:rPr>
        <w:t>0</w:t>
      </w:r>
      <w:r>
        <w:rPr>
          <w:rFonts w:hint="eastAsia" w:ascii="仿宋" w:hAnsi="仿宋" w:eastAsia="仿宋" w:cs="仿宋"/>
          <w:color w:val="auto"/>
          <w:kern w:val="0"/>
          <w:sz w:val="24"/>
          <w:lang w:bidi="ar"/>
        </w:rPr>
        <w:t>人</w:t>
      </w:r>
      <w:r>
        <w:rPr>
          <w:rFonts w:hint="eastAsia" w:ascii="仿宋" w:hAnsi="仿宋" w:eastAsia="仿宋" w:cs="仿宋"/>
          <w:color w:val="auto"/>
          <w:kern w:val="0"/>
          <w:sz w:val="24"/>
          <w:lang w:val="en-US" w:eastAsia="zh-CN" w:bidi="ar"/>
        </w:rPr>
        <w:t>左右；</w:t>
      </w:r>
      <w:r>
        <w:rPr>
          <w:rFonts w:hint="eastAsia" w:ascii="仿宋" w:hAnsi="仿宋" w:eastAsia="仿宋" w:cs="仿宋"/>
          <w:color w:val="auto"/>
          <w:kern w:val="0"/>
          <w:sz w:val="24"/>
          <w:lang w:bidi="ar"/>
        </w:rPr>
        <w:t>教职工:35</w:t>
      </w:r>
      <w:r>
        <w:rPr>
          <w:rFonts w:hint="eastAsia" w:ascii="仿宋" w:hAnsi="仿宋" w:eastAsia="仿宋" w:cs="仿宋"/>
          <w:color w:val="auto"/>
          <w:kern w:val="0"/>
          <w:sz w:val="24"/>
          <w:lang w:val="en-US" w:eastAsia="zh-CN" w:bidi="ar"/>
        </w:rPr>
        <w:t>0</w:t>
      </w:r>
      <w:r>
        <w:rPr>
          <w:rFonts w:hint="eastAsia" w:ascii="仿宋" w:hAnsi="仿宋" w:eastAsia="仿宋" w:cs="仿宋"/>
          <w:color w:val="auto"/>
          <w:kern w:val="0"/>
          <w:sz w:val="24"/>
          <w:lang w:bidi="ar"/>
        </w:rPr>
        <w:t>人</w:t>
      </w:r>
      <w:r>
        <w:rPr>
          <w:rFonts w:hint="eastAsia" w:ascii="仿宋" w:hAnsi="仿宋" w:eastAsia="仿宋" w:cs="仿宋"/>
          <w:color w:val="auto"/>
          <w:kern w:val="0"/>
          <w:sz w:val="24"/>
          <w:lang w:val="en-US" w:eastAsia="zh-CN" w:bidi="ar"/>
        </w:rPr>
        <w:t>左右。该标项</w:t>
      </w:r>
      <w:r>
        <w:rPr>
          <w:rFonts w:hint="eastAsia" w:ascii="仿宋" w:hAnsi="仿宋" w:eastAsia="仿宋" w:cs="仿宋"/>
          <w:color w:val="auto"/>
          <w:kern w:val="0"/>
          <w:sz w:val="24"/>
          <w:lang w:bidi="ar"/>
        </w:rPr>
        <w:t>主要为</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val="en-US" w:eastAsia="zh-CN" w:bidi="ar"/>
        </w:rPr>
        <w:t>1）</w:t>
      </w:r>
      <w:r>
        <w:rPr>
          <w:rFonts w:hint="eastAsia" w:ascii="仿宋" w:hAnsi="仿宋" w:eastAsia="仿宋" w:cs="仿宋"/>
          <w:color w:val="auto"/>
          <w:kern w:val="0"/>
          <w:sz w:val="24"/>
          <w:lang w:bidi="ar"/>
        </w:rPr>
        <w:t>学校内办公人员及学生提供早、午、晚、</w:t>
      </w:r>
      <w:r>
        <w:rPr>
          <w:rFonts w:hint="eastAsia" w:ascii="仿宋" w:hAnsi="仿宋" w:eastAsia="仿宋" w:cs="仿宋"/>
          <w:color w:val="auto"/>
          <w:kern w:val="0"/>
          <w:sz w:val="24"/>
          <w:lang w:val="en-US" w:eastAsia="zh-CN" w:bidi="ar"/>
        </w:rPr>
        <w:t>部分</w:t>
      </w:r>
      <w:r>
        <w:rPr>
          <w:rFonts w:hint="eastAsia" w:ascii="仿宋" w:hAnsi="仿宋" w:eastAsia="仿宋" w:cs="仿宋"/>
          <w:color w:val="auto"/>
          <w:kern w:val="0"/>
          <w:sz w:val="24"/>
          <w:lang w:bidi="ar"/>
        </w:rPr>
        <w:t>夜宵</w:t>
      </w:r>
      <w:r>
        <w:rPr>
          <w:rFonts w:hint="eastAsia" w:ascii="仿宋" w:hAnsi="仿宋" w:eastAsia="仿宋" w:cs="仿宋"/>
          <w:color w:val="auto"/>
          <w:kern w:val="0"/>
          <w:sz w:val="24"/>
          <w:lang w:val="en-US" w:eastAsia="zh-CN" w:bidi="ar"/>
        </w:rPr>
        <w:t>就餐等服务；（2）高三年级还需要提供星期六的早、中餐服务；（3）承担学校</w:t>
      </w:r>
      <w:r>
        <w:rPr>
          <w:rFonts w:hint="eastAsia" w:ascii="仿宋" w:hAnsi="仿宋" w:eastAsia="仿宋" w:cs="仿宋"/>
          <w:color w:val="auto"/>
          <w:kern w:val="0"/>
          <w:sz w:val="24"/>
          <w:lang w:bidi="ar"/>
        </w:rPr>
        <w:t>组织培训、调研、会议等</w:t>
      </w:r>
      <w:r>
        <w:rPr>
          <w:rFonts w:hint="eastAsia" w:ascii="仿宋" w:hAnsi="仿宋" w:eastAsia="仿宋" w:cs="仿宋"/>
          <w:color w:val="auto"/>
          <w:kern w:val="0"/>
          <w:sz w:val="24"/>
          <w:lang w:val="en-US" w:eastAsia="zh-CN" w:bidi="ar"/>
        </w:rPr>
        <w:t>就餐服务；（4）承担双休日各种社会性组织考试的工作人员、监考人员的就餐服务，每次200-500人不等；</w:t>
      </w:r>
    </w:p>
    <w:p w14:paraId="365128BA">
      <w:pPr>
        <w:keepLines w:val="0"/>
        <w:kinsoku/>
        <w:wordWrap/>
        <w:overflowPunct/>
        <w:topLinePunct w:val="0"/>
        <w:bidi w:val="0"/>
        <w:spacing w:beforeAutospacing="0" w:afterAutospacing="0" w:line="360" w:lineRule="auto"/>
        <w:ind w:left="0" w:leftChars="0" w:right="0" w:rightChars="0"/>
        <w:outlineLvl w:val="9"/>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 xml:space="preserve"> 2.人员配置：</w:t>
      </w:r>
    </w:p>
    <w:p w14:paraId="33957675">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snapToGrid/>
          <w:color w:val="auto"/>
          <w:kern w:val="0"/>
          <w:sz w:val="24"/>
          <w:szCs w:val="24"/>
          <w:lang w:val="en-US" w:eastAsia="zh-CN" w:bidi="ar"/>
        </w:rPr>
        <w:t>●</w:t>
      </w:r>
      <w:r>
        <w:rPr>
          <w:rFonts w:hint="eastAsia" w:ascii="仿宋" w:hAnsi="仿宋" w:eastAsia="仿宋" w:cs="仿宋"/>
          <w:color w:val="auto"/>
          <w:kern w:val="0"/>
          <w:sz w:val="24"/>
          <w:lang w:bidi="ar"/>
        </w:rPr>
        <w:t>1</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招标人要求投标人人员配置不少于</w:t>
      </w:r>
      <w:r>
        <w:rPr>
          <w:rFonts w:hint="eastAsia" w:ascii="仿宋" w:hAnsi="仿宋" w:eastAsia="仿宋" w:cs="仿宋"/>
          <w:color w:val="auto"/>
          <w:kern w:val="0"/>
          <w:sz w:val="24"/>
          <w:lang w:bidi="ar"/>
        </w:rPr>
        <w:t>5</w:t>
      </w:r>
      <w:r>
        <w:rPr>
          <w:rFonts w:hint="eastAsia" w:ascii="仿宋" w:hAnsi="仿宋" w:eastAsia="仿宋" w:cs="仿宋"/>
          <w:color w:val="auto"/>
          <w:kern w:val="0"/>
          <w:sz w:val="24"/>
          <w:lang w:val="en-US" w:eastAsia="zh-CN" w:bidi="ar"/>
        </w:rPr>
        <w:t>5</w:t>
      </w:r>
      <w:r>
        <w:rPr>
          <w:rFonts w:hint="eastAsia" w:ascii="仿宋" w:hAnsi="仿宋" w:eastAsia="仿宋" w:cs="仿宋"/>
          <w:color w:val="auto"/>
          <w:kern w:val="0"/>
          <w:sz w:val="24"/>
          <w:lang w:bidi="ar"/>
        </w:rPr>
        <w:t>人，</w:t>
      </w:r>
      <w:r>
        <w:rPr>
          <w:rFonts w:hint="eastAsia" w:ascii="仿宋" w:hAnsi="仿宋" w:eastAsia="仿宋" w:cs="仿宋"/>
          <w:color w:val="auto"/>
          <w:kern w:val="0"/>
          <w:sz w:val="24"/>
          <w:lang w:val="en-US" w:eastAsia="zh-CN" w:bidi="ar"/>
        </w:rPr>
        <w:t>年龄</w:t>
      </w:r>
      <w:r>
        <w:rPr>
          <w:rFonts w:hint="eastAsia" w:ascii="仿宋" w:hAnsi="仿宋" w:eastAsia="仿宋" w:cs="仿宋"/>
          <w:color w:val="auto"/>
          <w:kern w:val="0"/>
          <w:sz w:val="24"/>
          <w:lang w:val="en-US" w:eastAsia="zh-CN" w:bidi="ar"/>
        </w:rPr>
        <w:t>60</w:t>
      </w:r>
      <w:r>
        <w:rPr>
          <w:rFonts w:hint="eastAsia" w:ascii="仿宋" w:hAnsi="仿宋" w:eastAsia="仿宋" w:cs="仿宋"/>
          <w:color w:val="auto"/>
          <w:kern w:val="0"/>
          <w:sz w:val="24"/>
          <w:lang w:bidi="ar"/>
        </w:rPr>
        <w:t>岁以下</w:t>
      </w:r>
      <w:r>
        <w:rPr>
          <w:rFonts w:hint="eastAsia" w:ascii="仿宋" w:hAnsi="仿宋" w:eastAsia="仿宋" w:cs="仿宋"/>
          <w:color w:val="auto"/>
          <w:kern w:val="0"/>
          <w:sz w:val="24"/>
          <w:lang w:bidi="ar"/>
        </w:rPr>
        <w:t>；专职专岗，要求具有</w:t>
      </w:r>
      <w:r>
        <w:rPr>
          <w:rFonts w:hint="eastAsia" w:ascii="仿宋" w:hAnsi="仿宋" w:eastAsia="仿宋" w:cs="仿宋"/>
          <w:color w:val="auto"/>
          <w:kern w:val="0"/>
          <w:sz w:val="24"/>
          <w:lang w:bidi="ar"/>
        </w:rPr>
        <w:t>5年以上厨师工作经验</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用工符合现有法律规定，企业对所有员工必须有统一</w:t>
      </w:r>
      <w:r>
        <w:rPr>
          <w:rFonts w:hint="eastAsia" w:ascii="仿宋" w:hAnsi="仿宋" w:eastAsia="仿宋" w:cs="仿宋"/>
          <w:color w:val="auto"/>
          <w:kern w:val="0"/>
          <w:sz w:val="24"/>
          <w:lang w:bidi="ar"/>
        </w:rPr>
        <w:t>着装</w:t>
      </w:r>
      <w:r>
        <w:rPr>
          <w:rFonts w:hint="eastAsia" w:ascii="仿宋" w:hAnsi="仿宋" w:eastAsia="仿宋" w:cs="仿宋"/>
          <w:color w:val="auto"/>
          <w:kern w:val="0"/>
          <w:sz w:val="24"/>
          <w:lang w:bidi="ar"/>
        </w:rPr>
        <w:t>（不同工种，不同着装）。</w:t>
      </w:r>
    </w:p>
    <w:p w14:paraId="57F957F2">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highlight w:val="none"/>
          <w:lang w:bidi="ar"/>
        </w:rPr>
      </w:pPr>
      <w:r>
        <w:rPr>
          <w:rFonts w:hint="eastAsia" w:ascii="仿宋" w:hAnsi="仿宋" w:eastAsia="仿宋" w:cs="仿宋"/>
          <w:snapToGrid/>
          <w:color w:val="auto"/>
          <w:kern w:val="0"/>
          <w:sz w:val="24"/>
          <w:szCs w:val="24"/>
          <w:highlight w:val="none"/>
          <w:lang w:val="en-US" w:eastAsia="zh-CN" w:bidi="ar"/>
        </w:rPr>
        <w:t>●</w:t>
      </w:r>
      <w:r>
        <w:rPr>
          <w:rFonts w:hint="eastAsia" w:ascii="仿宋" w:hAnsi="仿宋" w:eastAsia="仿宋" w:cs="仿宋"/>
          <w:color w:val="auto"/>
          <w:kern w:val="0"/>
          <w:sz w:val="24"/>
          <w:highlight w:val="none"/>
          <w:lang w:bidi="ar"/>
        </w:rPr>
        <w:t>2</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管理团队具备有：</w:t>
      </w:r>
      <w:r>
        <w:rPr>
          <w:rFonts w:hint="eastAsia" w:ascii="仿宋" w:hAnsi="仿宋" w:eastAsia="仿宋" w:cs="仿宋"/>
          <w:color w:val="auto"/>
          <w:kern w:val="0"/>
          <w:sz w:val="24"/>
          <w:highlight w:val="none"/>
          <w:lang w:bidi="ar"/>
        </w:rPr>
        <w:t>国家职业资格高级及以上中式烹调师2名，要求具有5年以上厨师工作经验和职业技能鉴定中心颁发的国家职业资格三级及以上中式烹调师资格</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三级公共营养师（国家职业资格三级）1名，</w:t>
      </w:r>
      <w:r>
        <w:rPr>
          <w:rFonts w:hint="eastAsia" w:ascii="仿宋" w:hAnsi="仿宋" w:eastAsia="仿宋" w:cs="仿宋"/>
          <w:color w:val="auto"/>
          <w:kern w:val="0"/>
          <w:sz w:val="24"/>
          <w:highlight w:val="none"/>
          <w:lang w:val="en-US" w:eastAsia="zh-CN" w:bidi="ar"/>
        </w:rPr>
        <w:t>高级</w:t>
      </w:r>
      <w:r>
        <w:rPr>
          <w:rFonts w:hint="eastAsia" w:ascii="仿宋" w:hAnsi="仿宋" w:eastAsia="仿宋" w:cs="仿宋"/>
          <w:color w:val="auto"/>
          <w:kern w:val="0"/>
          <w:sz w:val="24"/>
          <w:highlight w:val="none"/>
          <w:lang w:bidi="ar"/>
        </w:rPr>
        <w:t>面点师1名</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拟派主要负责管理人员1名，合计</w:t>
      </w:r>
      <w:r>
        <w:rPr>
          <w:rFonts w:hint="eastAsia" w:ascii="仿宋" w:hAnsi="仿宋" w:eastAsia="仿宋" w:cs="仿宋"/>
          <w:color w:val="auto"/>
          <w:kern w:val="0"/>
          <w:sz w:val="24"/>
          <w:highlight w:val="none"/>
          <w:lang w:val="en-US" w:eastAsia="zh-CN" w:bidi="ar"/>
        </w:rPr>
        <w:t>5</w:t>
      </w:r>
      <w:r>
        <w:rPr>
          <w:rFonts w:hint="eastAsia" w:ascii="仿宋" w:hAnsi="仿宋" w:eastAsia="仿宋" w:cs="仿宋"/>
          <w:color w:val="auto"/>
          <w:kern w:val="0"/>
          <w:sz w:val="24"/>
          <w:highlight w:val="none"/>
          <w:lang w:bidi="ar"/>
        </w:rPr>
        <w:t>名</w:t>
      </w:r>
      <w:r>
        <w:rPr>
          <w:rFonts w:hint="eastAsia" w:ascii="仿宋" w:hAnsi="仿宋" w:eastAsia="仿宋" w:cs="仿宋"/>
          <w:color w:val="auto"/>
          <w:kern w:val="0"/>
          <w:sz w:val="24"/>
          <w:highlight w:val="none"/>
          <w:lang w:val="en-US" w:eastAsia="zh-CN" w:bidi="ar"/>
        </w:rPr>
        <w:t>及以上</w:t>
      </w:r>
      <w:r>
        <w:rPr>
          <w:rFonts w:hint="eastAsia" w:ascii="仿宋" w:hAnsi="仿宋" w:eastAsia="仿宋" w:cs="仿宋"/>
          <w:color w:val="auto"/>
          <w:kern w:val="0"/>
          <w:sz w:val="24"/>
          <w:highlight w:val="none"/>
          <w:lang w:bidi="ar"/>
        </w:rPr>
        <w:t>。</w:t>
      </w:r>
    </w:p>
    <w:p w14:paraId="679CE80D">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厨房各级任职人员有为师生服务的思想，身体健康，责任心强。</w:t>
      </w:r>
    </w:p>
    <w:p w14:paraId="7A2816A0">
      <w:pPr>
        <w:keepLines w:val="0"/>
        <w:tabs>
          <w:tab w:val="left" w:pos="432"/>
        </w:tabs>
        <w:kinsoku/>
        <w:wordWrap/>
        <w:overflowPunct/>
        <w:topLinePunct w:val="0"/>
        <w:bidi w:val="0"/>
        <w:spacing w:beforeAutospacing="0" w:afterAutospacing="0" w:line="360" w:lineRule="auto"/>
        <w:ind w:left="0" w:leftChars="0" w:right="0" w:rightChars="0"/>
        <w:outlineLvl w:val="9"/>
        <w:rPr>
          <w:rFonts w:hint="eastAsia" w:ascii="仿宋" w:hAnsi="仿宋" w:eastAsia="仿宋" w:cs="仿宋"/>
          <w:color w:val="auto"/>
          <w:lang w:val="en-US" w:eastAsia="zh-CN"/>
        </w:rPr>
      </w:pPr>
      <w:r>
        <w:rPr>
          <w:rFonts w:hint="eastAsia" w:ascii="仿宋" w:hAnsi="仿宋" w:eastAsia="仿宋" w:cs="仿宋"/>
          <w:color w:val="auto"/>
          <w:kern w:val="0"/>
          <w:sz w:val="24"/>
          <w:lang w:val="en-US" w:eastAsia="zh-CN" w:bidi="ar"/>
        </w:rPr>
        <w:t xml:space="preserve">   </w:t>
      </w:r>
      <w:r>
        <w:rPr>
          <w:rFonts w:hint="eastAsia" w:ascii="仿宋" w:hAnsi="仿宋" w:eastAsia="仿宋" w:cs="仿宋"/>
          <w:b w:val="0"/>
          <w:bCs w:val="0"/>
          <w:color w:val="auto"/>
          <w:kern w:val="0"/>
          <w:sz w:val="24"/>
          <w:szCs w:val="24"/>
          <w:lang w:val="en-US" w:eastAsia="zh-CN" w:bidi="ar"/>
        </w:rPr>
        <w:t xml:space="preserve"> 4.所有员工需具备健康证</w:t>
      </w:r>
      <w:r>
        <w:rPr>
          <w:rFonts w:hint="eastAsia" w:ascii="仿宋" w:hAnsi="仿宋" w:eastAsia="仿宋" w:cs="仿宋"/>
          <w:b w:val="0"/>
          <w:bCs w:val="0"/>
          <w:color w:val="auto"/>
          <w:kern w:val="0"/>
          <w:sz w:val="24"/>
          <w:szCs w:val="24"/>
          <w:lang w:val="en-US" w:eastAsia="zh-CN" w:bidi="ar"/>
        </w:rPr>
        <w:t>，无犯罪记录证明</w:t>
      </w:r>
      <w:r>
        <w:rPr>
          <w:rFonts w:hint="eastAsia" w:ascii="仿宋" w:hAnsi="仿宋" w:eastAsia="仿宋" w:cs="仿宋"/>
          <w:b w:val="0"/>
          <w:bCs w:val="0"/>
          <w:color w:val="auto"/>
          <w:kern w:val="0"/>
          <w:sz w:val="24"/>
          <w:szCs w:val="24"/>
          <w:lang w:val="en-US" w:eastAsia="zh-CN" w:bidi="ar"/>
        </w:rPr>
        <w:t>。</w:t>
      </w:r>
    </w:p>
    <w:p w14:paraId="7DF982CC">
      <w:pPr>
        <w:keepLines w:val="0"/>
        <w:kinsoku/>
        <w:wordWrap/>
        <w:overflowPunct/>
        <w:topLinePunct w:val="0"/>
        <w:bidi w:val="0"/>
        <w:snapToGrid w:val="0"/>
        <w:spacing w:beforeAutospacing="0" w:afterAutospacing="0" w:line="360" w:lineRule="auto"/>
        <w:ind w:left="0" w:leftChars="0" w:right="0" w:rightChars="0" w:firstLine="480" w:firstLineChars="200"/>
        <w:outlineLvl w:val="9"/>
        <w:rPr>
          <w:rFonts w:hint="eastAsia" w:ascii="仿宋" w:hAnsi="仿宋" w:eastAsia="仿宋" w:cs="仿宋"/>
          <w:color w:val="auto"/>
          <w:kern w:val="0"/>
          <w:sz w:val="24"/>
          <w:lang w:bidi="ar"/>
        </w:rPr>
      </w:pPr>
    </w:p>
    <w:p w14:paraId="4D92A95C">
      <w:pPr>
        <w:keepLines w:val="0"/>
        <w:kinsoku/>
        <w:wordWrap/>
        <w:overflowPunct/>
        <w:topLinePunct w:val="0"/>
        <w:bidi w:val="0"/>
        <w:snapToGrid w:val="0"/>
        <w:spacing w:beforeAutospacing="0" w:afterAutospacing="0" w:line="360" w:lineRule="auto"/>
        <w:ind w:left="0" w:leftChars="0" w:right="0" w:rightChars="0"/>
        <w:outlineLvl w:val="9"/>
        <w:rPr>
          <w:rFonts w:hint="eastAsia" w:ascii="仿宋" w:hAnsi="仿宋" w:eastAsia="仿宋" w:cs="仿宋"/>
          <w:color w:val="auto"/>
          <w:kern w:val="0"/>
          <w:sz w:val="24"/>
          <w:lang w:val="en-US" w:eastAsia="zh-CN" w:bidi="ar"/>
        </w:rPr>
      </w:pPr>
      <w:r>
        <w:rPr>
          <w:rFonts w:hint="eastAsia" w:ascii="仿宋" w:hAnsi="仿宋" w:eastAsia="仿宋" w:cs="仿宋"/>
          <w:b/>
          <w:bCs/>
          <w:color w:val="auto"/>
          <w:sz w:val="24"/>
          <w:lang w:val="en-US" w:eastAsia="zh-CN"/>
        </w:rPr>
        <w:t>标项二：</w:t>
      </w:r>
      <w:r>
        <w:rPr>
          <w:rFonts w:hint="eastAsia" w:ascii="仿宋" w:hAnsi="仿宋" w:eastAsia="仿宋" w:cs="仿宋"/>
          <w:color w:val="auto"/>
          <w:kern w:val="0"/>
          <w:sz w:val="24"/>
          <w:lang w:bidi="ar"/>
        </w:rPr>
        <w:t>杭州市临平职业高级中学(</w:t>
      </w:r>
      <w:r>
        <w:rPr>
          <w:rFonts w:hint="eastAsia" w:ascii="仿宋" w:hAnsi="仿宋" w:eastAsia="仿宋" w:cs="仿宋"/>
          <w:color w:val="auto"/>
          <w:kern w:val="0"/>
          <w:sz w:val="24"/>
          <w:lang w:eastAsia="zh-CN" w:bidi="ar"/>
        </w:rPr>
        <w:t>临平</w:t>
      </w:r>
      <w:r>
        <w:rPr>
          <w:rFonts w:hint="eastAsia" w:ascii="仿宋" w:hAnsi="仿宋" w:eastAsia="仿宋" w:cs="仿宋"/>
          <w:color w:val="auto"/>
          <w:kern w:val="0"/>
          <w:sz w:val="24"/>
          <w:lang w:bidi="ar"/>
        </w:rPr>
        <w:t>技工学校)</w:t>
      </w:r>
      <w:r>
        <w:rPr>
          <w:rFonts w:hint="eastAsia" w:ascii="仿宋" w:hAnsi="仿宋" w:eastAsia="仿宋" w:cs="仿宋"/>
          <w:color w:val="auto"/>
          <w:kern w:val="0"/>
          <w:sz w:val="24"/>
          <w:lang w:val="en-US" w:eastAsia="zh-CN" w:bidi="ar"/>
        </w:rPr>
        <w:t>邱山校区</w:t>
      </w:r>
    </w:p>
    <w:p w14:paraId="6BB42D8B">
      <w:pPr>
        <w:keepLines w:val="0"/>
        <w:kinsoku/>
        <w:wordWrap/>
        <w:overflowPunct/>
        <w:topLinePunct w:val="0"/>
        <w:bidi w:val="0"/>
        <w:spacing w:beforeAutospacing="0" w:afterAutospacing="0" w:line="360" w:lineRule="auto"/>
        <w:ind w:left="0" w:leftChars="0" w:right="0" w:rightChars="0"/>
        <w:jc w:val="left"/>
        <w:outlineLvl w:val="9"/>
        <w:rPr>
          <w:rFonts w:hint="eastAsia" w:ascii="仿宋" w:hAnsi="仿宋" w:eastAsia="仿宋" w:cs="仿宋"/>
          <w:color w:val="auto"/>
          <w:lang w:val="en-US" w:eastAsia="zh-CN"/>
        </w:rPr>
      </w:pPr>
      <w:r>
        <w:rPr>
          <w:rFonts w:hint="eastAsia" w:ascii="仿宋" w:hAnsi="仿宋" w:eastAsia="仿宋" w:cs="仿宋"/>
          <w:b/>
          <w:bCs/>
          <w:color w:val="auto"/>
          <w:sz w:val="24"/>
          <w:lang w:val="en-US" w:eastAsia="zh-CN"/>
        </w:rPr>
        <w:t>1.基本情况</w:t>
      </w:r>
      <w:r>
        <w:rPr>
          <w:rFonts w:hint="eastAsia" w:ascii="仿宋" w:hAnsi="仿宋" w:eastAsia="仿宋" w:cs="仿宋"/>
          <w:b/>
          <w:bCs/>
          <w:color w:val="auto"/>
          <w:sz w:val="24"/>
        </w:rPr>
        <w:t>：</w:t>
      </w:r>
    </w:p>
    <w:p w14:paraId="7FA90B1C">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bidi="ar"/>
        </w:rPr>
        <w:t>杭州市临平职业高级中学(</w:t>
      </w:r>
      <w:r>
        <w:rPr>
          <w:rFonts w:hint="eastAsia" w:ascii="仿宋" w:hAnsi="仿宋" w:eastAsia="仿宋" w:cs="仿宋"/>
          <w:color w:val="auto"/>
          <w:kern w:val="0"/>
          <w:sz w:val="24"/>
          <w:lang w:eastAsia="zh-CN" w:bidi="ar"/>
        </w:rPr>
        <w:t>临平</w:t>
      </w:r>
      <w:r>
        <w:rPr>
          <w:rFonts w:hint="eastAsia" w:ascii="仿宋" w:hAnsi="仿宋" w:eastAsia="仿宋" w:cs="仿宋"/>
          <w:color w:val="auto"/>
          <w:kern w:val="0"/>
          <w:sz w:val="24"/>
          <w:lang w:bidi="ar"/>
        </w:rPr>
        <w:t>技工学校)</w:t>
      </w:r>
      <w:r>
        <w:rPr>
          <w:rFonts w:hint="eastAsia" w:ascii="仿宋" w:hAnsi="仿宋" w:eastAsia="仿宋" w:cs="仿宋"/>
          <w:color w:val="auto"/>
          <w:kern w:val="0"/>
          <w:sz w:val="24"/>
          <w:lang w:val="en-US" w:eastAsia="zh-CN" w:bidi="ar"/>
        </w:rPr>
        <w:t>邱山校区，</w:t>
      </w:r>
      <w:r>
        <w:rPr>
          <w:rFonts w:hint="eastAsia" w:ascii="仿宋" w:hAnsi="仿宋" w:eastAsia="仿宋" w:cs="仿宋"/>
          <w:color w:val="auto"/>
          <w:kern w:val="0"/>
          <w:sz w:val="24"/>
          <w:lang w:bidi="ar"/>
        </w:rPr>
        <w:t>建筑面积1500平方（分地上三层：一层为操作间、二层为学生就餐厅、三层为教职工及培训就餐厅），操作间设施</w:t>
      </w:r>
      <w:r>
        <w:rPr>
          <w:rFonts w:hint="eastAsia" w:ascii="仿宋" w:hAnsi="仿宋" w:eastAsia="仿宋" w:cs="仿宋"/>
          <w:color w:val="auto"/>
          <w:kern w:val="0"/>
          <w:sz w:val="24"/>
          <w:lang w:eastAsia="zh-CN" w:bidi="ar"/>
        </w:rPr>
        <w:t>设备齐全</w:t>
      </w:r>
      <w:r>
        <w:rPr>
          <w:rFonts w:hint="eastAsia" w:ascii="仿宋" w:hAnsi="仿宋" w:eastAsia="仿宋" w:cs="仿宋"/>
          <w:color w:val="auto"/>
          <w:kern w:val="0"/>
          <w:sz w:val="24"/>
          <w:lang w:bidi="ar"/>
        </w:rPr>
        <w:t>（含消洗间、蒸煮间、面点间、粗加工间、主副食库、冷藏间、操作间及上下运送行电梯等）。现有在校生人数:</w:t>
      </w:r>
      <w:r>
        <w:rPr>
          <w:rFonts w:hint="eastAsia" w:ascii="仿宋" w:hAnsi="仿宋" w:eastAsia="仿宋" w:cs="仿宋"/>
          <w:color w:val="auto"/>
          <w:kern w:val="0"/>
          <w:sz w:val="24"/>
          <w:lang w:val="en-US" w:eastAsia="zh-CN" w:bidi="ar"/>
        </w:rPr>
        <w:t>420</w:t>
      </w:r>
      <w:r>
        <w:rPr>
          <w:rFonts w:hint="eastAsia" w:ascii="仿宋" w:hAnsi="仿宋" w:eastAsia="仿宋" w:cs="仿宋"/>
          <w:color w:val="auto"/>
          <w:kern w:val="0"/>
          <w:sz w:val="24"/>
          <w:lang w:bidi="ar"/>
        </w:rPr>
        <w:t>人</w:t>
      </w:r>
      <w:r>
        <w:rPr>
          <w:rFonts w:hint="eastAsia" w:ascii="仿宋" w:hAnsi="仿宋" w:eastAsia="仿宋" w:cs="仿宋"/>
          <w:color w:val="auto"/>
          <w:kern w:val="0"/>
          <w:sz w:val="24"/>
          <w:lang w:val="en-US" w:eastAsia="zh-CN" w:bidi="ar"/>
        </w:rPr>
        <w:t>左右</w:t>
      </w:r>
      <w:r>
        <w:rPr>
          <w:rFonts w:hint="eastAsia" w:ascii="仿宋" w:hAnsi="仿宋" w:eastAsia="仿宋" w:cs="仿宋"/>
          <w:color w:val="auto"/>
          <w:kern w:val="0"/>
          <w:sz w:val="24"/>
          <w:lang w:bidi="ar"/>
        </w:rPr>
        <w:t>,其中住宿生</w:t>
      </w:r>
      <w:r>
        <w:rPr>
          <w:rFonts w:hint="eastAsia" w:ascii="仿宋" w:hAnsi="仿宋" w:eastAsia="仿宋" w:cs="仿宋"/>
          <w:color w:val="auto"/>
          <w:kern w:val="0"/>
          <w:sz w:val="24"/>
          <w:lang w:val="en-US" w:eastAsia="zh-CN" w:bidi="ar"/>
        </w:rPr>
        <w:t>300</w:t>
      </w:r>
      <w:r>
        <w:rPr>
          <w:rFonts w:hint="eastAsia" w:ascii="仿宋" w:hAnsi="仿宋" w:eastAsia="仿宋" w:cs="仿宋"/>
          <w:color w:val="auto"/>
          <w:kern w:val="0"/>
          <w:sz w:val="24"/>
          <w:lang w:bidi="ar"/>
        </w:rPr>
        <w:t>人</w:t>
      </w:r>
      <w:r>
        <w:rPr>
          <w:rFonts w:hint="eastAsia" w:ascii="仿宋" w:hAnsi="仿宋" w:eastAsia="仿宋" w:cs="仿宋"/>
          <w:color w:val="auto"/>
          <w:kern w:val="0"/>
          <w:sz w:val="24"/>
          <w:lang w:val="en-US" w:eastAsia="zh-CN" w:bidi="ar"/>
        </w:rPr>
        <w:t>左右；</w:t>
      </w:r>
      <w:r>
        <w:rPr>
          <w:rFonts w:hint="eastAsia" w:ascii="仿宋" w:hAnsi="仿宋" w:eastAsia="仿宋" w:cs="仿宋"/>
          <w:color w:val="auto"/>
          <w:kern w:val="0"/>
          <w:sz w:val="24"/>
          <w:lang w:bidi="ar"/>
        </w:rPr>
        <w:t>教职工:</w:t>
      </w:r>
      <w:r>
        <w:rPr>
          <w:rFonts w:hint="eastAsia" w:ascii="仿宋" w:hAnsi="仿宋" w:eastAsia="仿宋" w:cs="仿宋"/>
          <w:color w:val="auto"/>
          <w:kern w:val="0"/>
          <w:sz w:val="24"/>
          <w:lang w:val="en-US" w:eastAsia="zh-CN" w:bidi="ar"/>
        </w:rPr>
        <w:t>40</w:t>
      </w:r>
      <w:r>
        <w:rPr>
          <w:rFonts w:hint="eastAsia" w:ascii="仿宋" w:hAnsi="仿宋" w:eastAsia="仿宋" w:cs="仿宋"/>
          <w:color w:val="auto"/>
          <w:kern w:val="0"/>
          <w:sz w:val="24"/>
          <w:lang w:bidi="ar"/>
        </w:rPr>
        <w:t>人</w:t>
      </w:r>
      <w:r>
        <w:rPr>
          <w:rFonts w:hint="eastAsia" w:ascii="仿宋" w:hAnsi="仿宋" w:eastAsia="仿宋" w:cs="仿宋"/>
          <w:color w:val="auto"/>
          <w:kern w:val="0"/>
          <w:sz w:val="24"/>
          <w:lang w:val="en-US" w:eastAsia="zh-CN" w:bidi="ar"/>
        </w:rPr>
        <w:t>左右。该标项</w:t>
      </w:r>
      <w:r>
        <w:rPr>
          <w:rFonts w:hint="eastAsia" w:ascii="仿宋" w:hAnsi="仿宋" w:eastAsia="仿宋" w:cs="仿宋"/>
          <w:color w:val="auto"/>
          <w:kern w:val="0"/>
          <w:sz w:val="24"/>
          <w:lang w:bidi="ar"/>
        </w:rPr>
        <w:t>主要为</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val="en-US" w:eastAsia="zh-CN" w:bidi="ar"/>
        </w:rPr>
        <w:t>1）</w:t>
      </w:r>
      <w:r>
        <w:rPr>
          <w:rFonts w:hint="eastAsia" w:ascii="仿宋" w:hAnsi="仿宋" w:eastAsia="仿宋" w:cs="仿宋"/>
          <w:color w:val="auto"/>
          <w:kern w:val="0"/>
          <w:sz w:val="24"/>
          <w:lang w:bidi="ar"/>
        </w:rPr>
        <w:t>学校内办公人员及学生提供早、午、晚、</w:t>
      </w:r>
      <w:r>
        <w:rPr>
          <w:rFonts w:hint="eastAsia" w:ascii="仿宋" w:hAnsi="仿宋" w:eastAsia="仿宋" w:cs="仿宋"/>
          <w:color w:val="auto"/>
          <w:kern w:val="0"/>
          <w:sz w:val="24"/>
          <w:lang w:val="en-US" w:eastAsia="zh-CN" w:bidi="ar"/>
        </w:rPr>
        <w:t>部分</w:t>
      </w:r>
      <w:r>
        <w:rPr>
          <w:rFonts w:hint="eastAsia" w:ascii="仿宋" w:hAnsi="仿宋" w:eastAsia="仿宋" w:cs="仿宋"/>
          <w:color w:val="auto"/>
          <w:kern w:val="0"/>
          <w:sz w:val="24"/>
          <w:lang w:bidi="ar"/>
        </w:rPr>
        <w:t>夜宵</w:t>
      </w:r>
      <w:r>
        <w:rPr>
          <w:rFonts w:hint="eastAsia" w:ascii="仿宋" w:hAnsi="仿宋" w:eastAsia="仿宋" w:cs="仿宋"/>
          <w:color w:val="auto"/>
          <w:kern w:val="0"/>
          <w:sz w:val="24"/>
          <w:lang w:val="en-US" w:eastAsia="zh-CN" w:bidi="ar"/>
        </w:rPr>
        <w:t>就餐等服务；（2）高三年级还需要提供星期六的早、中餐服务；（3）承担学校</w:t>
      </w:r>
      <w:r>
        <w:rPr>
          <w:rFonts w:hint="eastAsia" w:ascii="仿宋" w:hAnsi="仿宋" w:eastAsia="仿宋" w:cs="仿宋"/>
          <w:color w:val="auto"/>
          <w:kern w:val="0"/>
          <w:sz w:val="24"/>
          <w:lang w:bidi="ar"/>
        </w:rPr>
        <w:t>组织培训、调研、会议等</w:t>
      </w:r>
      <w:r>
        <w:rPr>
          <w:rFonts w:hint="eastAsia" w:ascii="仿宋" w:hAnsi="仿宋" w:eastAsia="仿宋" w:cs="仿宋"/>
          <w:color w:val="auto"/>
          <w:kern w:val="0"/>
          <w:sz w:val="24"/>
          <w:lang w:val="en-US" w:eastAsia="zh-CN" w:bidi="ar"/>
        </w:rPr>
        <w:t>就餐服务；</w:t>
      </w:r>
    </w:p>
    <w:p w14:paraId="6650E95B">
      <w:pPr>
        <w:keepLines w:val="0"/>
        <w:kinsoku/>
        <w:wordWrap/>
        <w:overflowPunct/>
        <w:topLinePunct w:val="0"/>
        <w:bidi w:val="0"/>
        <w:spacing w:beforeAutospacing="0" w:afterAutospacing="0" w:line="360" w:lineRule="auto"/>
        <w:ind w:left="0" w:leftChars="0" w:right="0" w:rightChars="0"/>
        <w:outlineLvl w:val="9"/>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2.人员配置：</w:t>
      </w:r>
    </w:p>
    <w:p w14:paraId="70D17815">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snapToGrid/>
          <w:color w:val="auto"/>
          <w:kern w:val="0"/>
          <w:sz w:val="24"/>
          <w:szCs w:val="24"/>
          <w:lang w:val="en-US" w:eastAsia="zh-CN" w:bidi="ar"/>
        </w:rPr>
        <w:t>●</w:t>
      </w:r>
      <w:r>
        <w:rPr>
          <w:rFonts w:hint="eastAsia" w:ascii="仿宋" w:hAnsi="仿宋" w:eastAsia="仿宋" w:cs="仿宋"/>
          <w:color w:val="auto"/>
          <w:kern w:val="0"/>
          <w:sz w:val="24"/>
          <w:lang w:val="en-US" w:eastAsia="zh-CN" w:bidi="ar"/>
        </w:rPr>
        <w:t>1</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招标人要求投标人人员配置不少于</w:t>
      </w:r>
      <w:r>
        <w:rPr>
          <w:rFonts w:hint="eastAsia" w:ascii="仿宋" w:hAnsi="仿宋" w:eastAsia="仿宋" w:cs="仿宋"/>
          <w:color w:val="auto"/>
          <w:kern w:val="0"/>
          <w:sz w:val="24"/>
          <w:lang w:val="en-US" w:eastAsia="zh-CN" w:bidi="ar"/>
        </w:rPr>
        <w:t>9</w:t>
      </w:r>
      <w:r>
        <w:rPr>
          <w:rFonts w:hint="eastAsia" w:ascii="仿宋" w:hAnsi="仿宋" w:eastAsia="仿宋" w:cs="仿宋"/>
          <w:color w:val="auto"/>
          <w:kern w:val="0"/>
          <w:sz w:val="24"/>
          <w:lang w:bidi="ar"/>
        </w:rPr>
        <w:t>人，</w:t>
      </w:r>
      <w:r>
        <w:rPr>
          <w:rFonts w:hint="eastAsia" w:ascii="仿宋" w:hAnsi="仿宋" w:eastAsia="仿宋" w:cs="仿宋"/>
          <w:color w:val="auto"/>
          <w:kern w:val="0"/>
          <w:sz w:val="24"/>
          <w:lang w:val="en-US" w:eastAsia="zh-CN" w:bidi="ar"/>
        </w:rPr>
        <w:t>年龄60</w:t>
      </w:r>
      <w:r>
        <w:rPr>
          <w:rFonts w:hint="eastAsia" w:ascii="仿宋" w:hAnsi="仿宋" w:eastAsia="仿宋" w:cs="仿宋"/>
          <w:color w:val="auto"/>
          <w:kern w:val="0"/>
          <w:sz w:val="24"/>
          <w:lang w:bidi="ar"/>
        </w:rPr>
        <w:t>岁以</w:t>
      </w:r>
      <w:r>
        <w:rPr>
          <w:rFonts w:hint="eastAsia" w:ascii="仿宋" w:hAnsi="仿宋" w:eastAsia="仿宋" w:cs="仿宋"/>
          <w:color w:val="auto"/>
          <w:kern w:val="0"/>
          <w:sz w:val="24"/>
          <w:lang w:val="en-US" w:eastAsia="zh-CN" w:bidi="ar"/>
        </w:rPr>
        <w:t>下</w:t>
      </w:r>
      <w:r>
        <w:rPr>
          <w:rFonts w:hint="eastAsia" w:ascii="仿宋" w:hAnsi="仿宋" w:eastAsia="仿宋" w:cs="仿宋"/>
          <w:color w:val="auto"/>
          <w:kern w:val="0"/>
          <w:sz w:val="24"/>
          <w:lang w:bidi="ar"/>
        </w:rPr>
        <w:t>；</w:t>
      </w:r>
    </w:p>
    <w:p w14:paraId="334CD828">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snapToGrid/>
          <w:color w:val="auto"/>
          <w:kern w:val="0"/>
          <w:sz w:val="24"/>
          <w:szCs w:val="24"/>
          <w:lang w:val="en-US" w:eastAsia="zh-CN" w:bidi="ar"/>
        </w:rPr>
        <w:t>●</w:t>
      </w:r>
      <w:r>
        <w:rPr>
          <w:rFonts w:hint="eastAsia" w:ascii="仿宋" w:hAnsi="仿宋" w:eastAsia="仿宋" w:cs="仿宋"/>
          <w:color w:val="auto"/>
          <w:kern w:val="0"/>
          <w:sz w:val="24"/>
          <w:lang w:val="en-US" w:eastAsia="zh-CN" w:bidi="ar"/>
        </w:rPr>
        <w:t>2.</w:t>
      </w:r>
      <w:r>
        <w:rPr>
          <w:rFonts w:hint="eastAsia" w:ascii="仿宋" w:hAnsi="仿宋" w:eastAsia="仿宋" w:cs="仿宋"/>
          <w:color w:val="auto"/>
          <w:kern w:val="0"/>
          <w:sz w:val="24"/>
          <w:lang w:bidi="ar"/>
        </w:rPr>
        <w:t>厨师要求3名（其中面点师1名，具有中式面点师证书；厨师长(兼管理者)1名会炒小灶，具有中式烹调师证书；厨师1名会炒小灶及大灶，具有中式烹调师证书；</w:t>
      </w:r>
    </w:p>
    <w:p w14:paraId="2F4AE008">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eastAsia="zh-CN" w:bidi="ar"/>
        </w:rPr>
      </w:pPr>
      <w:r>
        <w:rPr>
          <w:rFonts w:hint="eastAsia" w:ascii="仿宋" w:hAnsi="仿宋" w:eastAsia="仿宋" w:cs="仿宋"/>
          <w:snapToGrid/>
          <w:color w:val="auto"/>
          <w:kern w:val="0"/>
          <w:sz w:val="24"/>
          <w:szCs w:val="24"/>
          <w:lang w:val="en-US" w:eastAsia="zh-CN" w:bidi="ar"/>
        </w:rPr>
        <w:t>●</w:t>
      </w:r>
      <w:r>
        <w:rPr>
          <w:rFonts w:hint="eastAsia" w:ascii="仿宋" w:hAnsi="仿宋" w:eastAsia="仿宋" w:cs="仿宋"/>
          <w:color w:val="auto"/>
          <w:kern w:val="0"/>
          <w:sz w:val="24"/>
          <w:lang w:val="en-US" w:eastAsia="zh-CN" w:bidi="ar"/>
        </w:rPr>
        <w:t>3.</w:t>
      </w:r>
      <w:r>
        <w:rPr>
          <w:rFonts w:hint="eastAsia" w:ascii="仿宋" w:hAnsi="仿宋" w:eastAsia="仿宋" w:cs="仿宋"/>
          <w:color w:val="auto"/>
          <w:kern w:val="0"/>
          <w:sz w:val="24"/>
          <w:lang w:bidi="ar"/>
        </w:rPr>
        <w:t>切配工作人员3名，清洗人员2名，蒸煮人员1名</w:t>
      </w:r>
      <w:r>
        <w:rPr>
          <w:rFonts w:hint="eastAsia" w:ascii="仿宋" w:hAnsi="仿宋" w:eastAsia="仿宋" w:cs="仿宋"/>
          <w:color w:val="auto"/>
          <w:kern w:val="0"/>
          <w:sz w:val="24"/>
          <w:lang w:eastAsia="zh-CN" w:bidi="ar"/>
        </w:rPr>
        <w:t>；</w:t>
      </w:r>
    </w:p>
    <w:p w14:paraId="4336B7B3">
      <w:pPr>
        <w:keepLines w:val="0"/>
        <w:tabs>
          <w:tab w:val="left" w:pos="432"/>
        </w:tabs>
        <w:kinsoku/>
        <w:wordWrap/>
        <w:overflowPunct/>
        <w:topLinePunct w:val="0"/>
        <w:bidi w:val="0"/>
        <w:spacing w:beforeAutospacing="0" w:afterAutospacing="0" w:line="360" w:lineRule="auto"/>
        <w:ind w:left="0" w:leftChars="0" w:right="0" w:rightChars="0"/>
        <w:outlineLvl w:val="9"/>
        <w:rPr>
          <w:rFonts w:hint="eastAsia" w:ascii="仿宋" w:hAnsi="仿宋" w:eastAsia="仿宋" w:cs="仿宋"/>
          <w:color w:val="auto"/>
          <w:lang w:val="en-US" w:eastAsia="zh-CN"/>
        </w:rPr>
      </w:pPr>
      <w:r>
        <w:rPr>
          <w:rFonts w:hint="eastAsia" w:ascii="仿宋" w:hAnsi="仿宋" w:eastAsia="仿宋" w:cs="仿宋"/>
          <w:color w:val="auto"/>
          <w:kern w:val="0"/>
          <w:sz w:val="24"/>
          <w:lang w:val="en-US" w:eastAsia="zh-CN" w:bidi="ar"/>
        </w:rPr>
        <w:t xml:space="preserve">   </w:t>
      </w:r>
      <w:r>
        <w:rPr>
          <w:rFonts w:hint="eastAsia" w:ascii="仿宋" w:hAnsi="仿宋" w:eastAsia="仿宋" w:cs="仿宋"/>
          <w:b w:val="0"/>
          <w:bCs w:val="0"/>
          <w:color w:val="auto"/>
          <w:kern w:val="0"/>
          <w:sz w:val="24"/>
          <w:szCs w:val="24"/>
          <w:lang w:val="en-US" w:eastAsia="zh-CN" w:bidi="ar"/>
        </w:rPr>
        <w:t xml:space="preserve"> 4.所有员工需具备健康证，无犯罪记录证明。</w:t>
      </w:r>
    </w:p>
    <w:p w14:paraId="3B127183">
      <w:pPr>
        <w:keepLines w:val="0"/>
        <w:kinsoku/>
        <w:wordWrap/>
        <w:overflowPunct/>
        <w:topLinePunct w:val="0"/>
        <w:autoSpaceDE w:val="0"/>
        <w:autoSpaceDN w:val="0"/>
        <w:bidi w:val="0"/>
        <w:adjustRightInd w:val="0"/>
        <w:spacing w:beforeAutospacing="0" w:afterAutospacing="0" w:line="360" w:lineRule="auto"/>
        <w:ind w:left="0" w:leftChars="0" w:right="0" w:rightChars="0" w:firstLine="710" w:firstLineChars="296"/>
        <w:jc w:val="left"/>
        <w:outlineLvl w:val="9"/>
        <w:rPr>
          <w:rFonts w:hint="eastAsia" w:ascii="仿宋" w:hAnsi="仿宋" w:eastAsia="仿宋" w:cs="仿宋"/>
          <w:color w:val="auto"/>
          <w:sz w:val="24"/>
        </w:rPr>
      </w:pPr>
    </w:p>
    <w:bookmarkEnd w:id="5"/>
    <w:bookmarkEnd w:id="6"/>
    <w:p w14:paraId="18561A45">
      <w:pPr>
        <w:keepLines w:val="0"/>
        <w:kinsoku/>
        <w:wordWrap/>
        <w:overflowPunct/>
        <w:topLinePunct w:val="0"/>
        <w:bidi w:val="0"/>
        <w:spacing w:beforeAutospacing="0" w:afterAutospacing="0" w:line="360" w:lineRule="auto"/>
        <w:ind w:left="0" w:leftChars="0" w:right="0" w:rightChars="0"/>
        <w:outlineLvl w:val="1"/>
        <w:rPr>
          <w:rFonts w:hint="eastAsia" w:ascii="仿宋" w:hAnsi="仿宋" w:eastAsia="仿宋" w:cs="仿宋"/>
          <w:b/>
          <w:color w:val="auto"/>
          <w:sz w:val="24"/>
        </w:rPr>
      </w:pPr>
      <w:r>
        <w:rPr>
          <w:rFonts w:hint="eastAsia" w:ascii="仿宋" w:hAnsi="仿宋" w:eastAsia="仿宋" w:cs="仿宋"/>
          <w:b/>
          <w:color w:val="auto"/>
          <w:sz w:val="24"/>
        </w:rPr>
        <w:t>二、</w:t>
      </w:r>
      <w:bookmarkEnd w:id="2"/>
      <w:bookmarkEnd w:id="3"/>
      <w:r>
        <w:rPr>
          <w:rFonts w:hint="eastAsia" w:ascii="仿宋" w:hAnsi="仿宋" w:eastAsia="仿宋" w:cs="仿宋"/>
          <w:b/>
          <w:color w:val="auto"/>
          <w:sz w:val="24"/>
        </w:rPr>
        <w:t>投标须知：</w:t>
      </w:r>
    </w:p>
    <w:p w14:paraId="3A4283B7">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服务对象为学校全体师生，经营时间为早、中、晚、夜宵四餐， 节假日和寒暑假根据校方要求。</w:t>
      </w:r>
    </w:p>
    <w:p w14:paraId="555C61CB">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由学校负责采购各种食材（主副食品原材料）等，托管方负责学校全体师生早、中、晚、夜宵四餐，每学年学校组织培训、调研、会议、食堂</w:t>
      </w:r>
      <w:r>
        <w:rPr>
          <w:rFonts w:hint="eastAsia" w:ascii="仿宋" w:hAnsi="仿宋" w:eastAsia="仿宋" w:cs="仿宋"/>
          <w:color w:val="auto"/>
          <w:kern w:val="0"/>
          <w:sz w:val="24"/>
          <w:lang w:bidi="ar"/>
        </w:rPr>
        <w:t>招待</w:t>
      </w:r>
      <w:r>
        <w:rPr>
          <w:rFonts w:hint="eastAsia" w:ascii="仿宋" w:hAnsi="仿宋" w:eastAsia="仿宋" w:cs="仿宋"/>
          <w:color w:val="auto"/>
          <w:kern w:val="0"/>
          <w:sz w:val="24"/>
          <w:lang w:val="en-US" w:eastAsia="zh-CN" w:bidi="ar"/>
        </w:rPr>
        <w:t>(接待)等</w:t>
      </w:r>
      <w:r>
        <w:rPr>
          <w:rFonts w:hint="eastAsia" w:ascii="仿宋" w:hAnsi="仿宋" w:eastAsia="仿宋" w:cs="仿宋"/>
          <w:color w:val="auto"/>
          <w:kern w:val="0"/>
          <w:sz w:val="24"/>
          <w:lang w:bidi="ar"/>
        </w:rPr>
        <w:t>。</w:t>
      </w:r>
    </w:p>
    <w:p w14:paraId="583E217F">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 xml:space="preserve">采购人水、电、天然气等配套设施齐全，提供食堂所有的设备设施、周转库房，提供更衣室。 </w:t>
      </w:r>
    </w:p>
    <w:p w14:paraId="5A1CDA1C">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4</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托管方的工作人员由托管方自行管理，福利待遇、人员培训、保险、体检、丧残疾病、员工住宿等所有费用均由托管者自行承担；</w:t>
      </w:r>
      <w:r>
        <w:rPr>
          <w:rFonts w:hint="eastAsia" w:ascii="仿宋" w:hAnsi="仿宋" w:eastAsia="仿宋" w:cs="仿宋"/>
          <w:color w:val="auto"/>
          <w:kern w:val="0"/>
          <w:sz w:val="24"/>
          <w:lang w:bidi="ar"/>
        </w:rPr>
        <w:t>托管方承担经营场所范围内的独立法律责任</w:t>
      </w:r>
      <w:r>
        <w:rPr>
          <w:rFonts w:hint="eastAsia" w:ascii="仿宋" w:hAnsi="仿宋" w:eastAsia="仿宋" w:cs="仿宋"/>
          <w:color w:val="auto"/>
          <w:kern w:val="0"/>
          <w:sz w:val="24"/>
          <w:lang w:bidi="ar"/>
        </w:rPr>
        <w:t>。</w:t>
      </w:r>
    </w:p>
    <w:p w14:paraId="1F482A6E">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食堂的卫生防疫、就餐环境必须达到国家规定的杭州市中小学生的食堂卫生标准；</w:t>
      </w:r>
    </w:p>
    <w:p w14:paraId="740A31B9">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 xml:space="preserve">托管方保证托管区域卫生、整洁； </w:t>
      </w:r>
    </w:p>
    <w:p w14:paraId="45780497">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食堂内水、电、气费和日常设备、设施维修费用等使用费用由校方负责，但托管方应积极维护好厨房设施，</w:t>
      </w:r>
      <w:r>
        <w:rPr>
          <w:rFonts w:hint="eastAsia" w:ascii="仿宋" w:hAnsi="仿宋" w:eastAsia="仿宋" w:cs="仿宋"/>
          <w:color w:val="auto"/>
          <w:kern w:val="0"/>
          <w:sz w:val="24"/>
          <w:lang w:val="en-US" w:eastAsia="zh-CN" w:bidi="ar"/>
        </w:rPr>
        <w:t>使用不当或</w:t>
      </w:r>
      <w:r>
        <w:rPr>
          <w:rFonts w:hint="eastAsia" w:ascii="仿宋" w:hAnsi="仿宋" w:eastAsia="仿宋" w:cs="仿宋"/>
          <w:color w:val="auto"/>
          <w:kern w:val="0"/>
          <w:sz w:val="24"/>
          <w:lang w:bidi="ar"/>
        </w:rPr>
        <w:t>恶意破坏的，</w:t>
      </w:r>
      <w:r>
        <w:rPr>
          <w:rFonts w:hint="eastAsia" w:ascii="仿宋" w:hAnsi="仿宋" w:eastAsia="仿宋" w:cs="仿宋"/>
          <w:color w:val="auto"/>
          <w:kern w:val="0"/>
          <w:sz w:val="24"/>
          <w:lang w:bidi="ar"/>
        </w:rPr>
        <w:t>折</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val="en-US" w:eastAsia="zh-CN" w:bidi="ar"/>
        </w:rPr>
        <w:t>照</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价赔偿；</w:t>
      </w:r>
    </w:p>
    <w:p w14:paraId="29C90955">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8</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托管方应按照校方的要求，根据就餐师生人数，每日按时足量优质向师生提供一日四餐的主、副食及相关服务，所售商品应明码标价；</w:t>
      </w:r>
    </w:p>
    <w:p w14:paraId="5AC06FCD">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9</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托管方根据人体营养需求，合理安排一周菜单，并经校方确认同意；</w:t>
      </w:r>
    </w:p>
    <w:p w14:paraId="02E9D415">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10</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工作人员要遵守法规及校规、校纪，要有良好的服务态度并自觉接受监督，不与师生发生争吵或冲突，如有违规者，学校追究托管方的责任。</w:t>
      </w:r>
    </w:p>
    <w:p w14:paraId="01C5720D">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11</w:t>
      </w:r>
      <w:r>
        <w:rPr>
          <w:rFonts w:hint="eastAsia" w:ascii="仿宋" w:hAnsi="仿宋" w:eastAsia="仿宋" w:cs="仿宋"/>
          <w:color w:val="auto"/>
          <w:kern w:val="0"/>
          <w:sz w:val="24"/>
          <w:lang w:eastAsia="zh-CN" w:bidi="ar"/>
        </w:rPr>
        <w:t>.采购人</w:t>
      </w:r>
      <w:r>
        <w:rPr>
          <w:rFonts w:hint="eastAsia" w:ascii="仿宋" w:hAnsi="仿宋" w:eastAsia="仿宋" w:cs="仿宋"/>
          <w:color w:val="auto"/>
          <w:kern w:val="0"/>
          <w:sz w:val="24"/>
          <w:lang w:bidi="ar"/>
        </w:rPr>
        <w:t>提供食堂售饭系统卡机，饭卡的卡本金由</w:t>
      </w:r>
      <w:r>
        <w:rPr>
          <w:rFonts w:hint="eastAsia" w:ascii="仿宋" w:hAnsi="仿宋" w:eastAsia="仿宋" w:cs="仿宋"/>
          <w:color w:val="auto"/>
          <w:kern w:val="0"/>
          <w:sz w:val="24"/>
          <w:lang w:eastAsia="zh-CN" w:bidi="ar"/>
        </w:rPr>
        <w:t>采购人</w:t>
      </w:r>
      <w:r>
        <w:rPr>
          <w:rFonts w:hint="eastAsia" w:ascii="仿宋" w:hAnsi="仿宋" w:eastAsia="仿宋" w:cs="仿宋"/>
          <w:color w:val="auto"/>
          <w:kern w:val="0"/>
          <w:sz w:val="24"/>
          <w:lang w:bidi="ar"/>
        </w:rPr>
        <w:t xml:space="preserve">管理，负责校园一卡通充值。 </w:t>
      </w:r>
    </w:p>
    <w:p w14:paraId="61825027">
      <w:pPr>
        <w:keepLines w:val="0"/>
        <w:tabs>
          <w:tab w:val="left" w:pos="432"/>
        </w:tabs>
        <w:kinsoku/>
        <w:wordWrap/>
        <w:overflowPunct/>
        <w:topLinePunct w:val="0"/>
        <w:bidi w:val="0"/>
        <w:spacing w:beforeAutospacing="0" w:afterAutospacing="0" w:line="360" w:lineRule="auto"/>
        <w:ind w:right="0" w:rightChars="0" w:firstLine="480" w:firstLineChars="200"/>
        <w:outlineLvl w:val="9"/>
        <w:rPr>
          <w:rFonts w:hint="default" w:eastAsia="仿宋"/>
          <w:color w:val="auto"/>
          <w:lang w:val="en-US" w:eastAsia="zh-CN"/>
        </w:rPr>
      </w:pPr>
      <w:r>
        <w:rPr>
          <w:rFonts w:hint="eastAsia" w:ascii="仿宋" w:eastAsia="仿宋" w:cs="仿宋"/>
          <w:color w:val="auto"/>
          <w:kern w:val="0"/>
          <w:sz w:val="24"/>
          <w:lang w:val="en-US" w:eastAsia="zh-CN" w:bidi="ar"/>
        </w:rPr>
        <w:t>12.食堂员工按每人每月300元的标准缴纳就餐费用，一年按10个月执行。</w:t>
      </w:r>
    </w:p>
    <w:p w14:paraId="3E8DBACB">
      <w:pPr>
        <w:keepLines w:val="0"/>
        <w:kinsoku/>
        <w:wordWrap/>
        <w:overflowPunct/>
        <w:topLinePunct w:val="0"/>
        <w:bidi w:val="0"/>
        <w:spacing w:beforeAutospacing="0" w:afterAutospacing="0" w:line="360" w:lineRule="auto"/>
        <w:ind w:left="723" w:leftChars="0" w:right="0" w:rightChars="0" w:hanging="723" w:hangingChars="300"/>
        <w:outlineLvl w:val="1"/>
        <w:rPr>
          <w:rFonts w:hint="eastAsia" w:ascii="仿宋" w:hAnsi="仿宋" w:eastAsia="仿宋" w:cs="仿宋"/>
          <w:b/>
          <w:color w:val="auto"/>
          <w:sz w:val="24"/>
        </w:rPr>
      </w:pPr>
      <w:bookmarkStart w:id="7" w:name="_Toc135212468"/>
      <w:bookmarkStart w:id="8" w:name="_Toc33335633"/>
      <w:r>
        <w:rPr>
          <w:rFonts w:hint="eastAsia" w:ascii="仿宋" w:hAnsi="仿宋" w:eastAsia="仿宋" w:cs="仿宋"/>
          <w:b/>
          <w:color w:val="auto"/>
          <w:sz w:val="24"/>
        </w:rPr>
        <w:t>三、服务方案的组成</w:t>
      </w:r>
      <w:bookmarkEnd w:id="7"/>
      <w:bookmarkEnd w:id="8"/>
    </w:p>
    <w:p w14:paraId="2D54473E">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 xml:space="preserve"> 对招标文件中所提出服务内容和有关要求的响应和承诺；</w:t>
      </w:r>
    </w:p>
    <w:p w14:paraId="05CB95D2">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 xml:space="preserve"> 运营服务方案：包括总体监控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14:paraId="05203979">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3.</w:t>
      </w:r>
      <w:r>
        <w:rPr>
          <w:rFonts w:hint="eastAsia" w:ascii="仿宋" w:hAnsi="仿宋" w:eastAsia="仿宋" w:cs="仿宋"/>
          <w:color w:val="auto"/>
          <w:kern w:val="0"/>
          <w:sz w:val="24"/>
          <w:lang w:bidi="ar"/>
        </w:rPr>
        <w:t>服务支持人员配备情况，包括人员结构、简历表、现场人员工作安排计划及其他辅助说明材料；投标人必须安排固定的主要经营服务人员于本项目，并提供上述人员的名单和简历，如在合同执行过程中，需要对上述人员进行调换，必须得到</w:t>
      </w:r>
      <w:r>
        <w:rPr>
          <w:rFonts w:hint="eastAsia" w:ascii="仿宋" w:hAnsi="仿宋" w:eastAsia="仿宋" w:cs="仿宋"/>
          <w:color w:val="auto"/>
          <w:kern w:val="0"/>
          <w:sz w:val="24"/>
          <w:lang w:eastAsia="zh-CN" w:bidi="ar"/>
        </w:rPr>
        <w:t>采购人</w:t>
      </w:r>
      <w:r>
        <w:rPr>
          <w:rFonts w:hint="eastAsia" w:ascii="仿宋" w:hAnsi="仿宋" w:eastAsia="仿宋" w:cs="仿宋"/>
          <w:color w:val="auto"/>
          <w:kern w:val="0"/>
          <w:sz w:val="24"/>
          <w:lang w:bidi="ar"/>
        </w:rPr>
        <w:t>的书面批准。</w:t>
      </w:r>
    </w:p>
    <w:p w14:paraId="587FB9D9">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4.</w:t>
      </w:r>
      <w:r>
        <w:rPr>
          <w:rFonts w:hint="eastAsia" w:ascii="仿宋" w:hAnsi="仿宋" w:eastAsia="仿宋" w:cs="仿宋"/>
          <w:color w:val="auto"/>
          <w:kern w:val="0"/>
          <w:sz w:val="24"/>
          <w:lang w:bidi="ar"/>
        </w:rPr>
        <w:t>全月早、中、晚餐、夜宵菜单</w:t>
      </w:r>
      <w:r>
        <w:rPr>
          <w:rFonts w:hint="eastAsia" w:ascii="仿宋" w:hAnsi="仿宋" w:eastAsia="仿宋" w:cs="仿宋"/>
          <w:color w:val="auto"/>
          <w:kern w:val="0"/>
          <w:sz w:val="24"/>
          <w:lang w:bidi="ar"/>
        </w:rPr>
        <w:t>及食品原材料使用说明及核算依据和清单</w:t>
      </w:r>
      <w:r>
        <w:rPr>
          <w:rFonts w:hint="eastAsia" w:ascii="仿宋" w:hAnsi="仿宋" w:eastAsia="仿宋" w:cs="仿宋"/>
          <w:color w:val="auto"/>
          <w:kern w:val="0"/>
          <w:sz w:val="24"/>
          <w:lang w:bidi="ar"/>
        </w:rPr>
        <w:t>。</w:t>
      </w:r>
    </w:p>
    <w:p w14:paraId="09BF1F4D">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5.</w:t>
      </w:r>
      <w:r>
        <w:rPr>
          <w:rFonts w:hint="eastAsia" w:ascii="仿宋" w:hAnsi="仿宋" w:eastAsia="仿宋" w:cs="仿宋"/>
          <w:color w:val="auto"/>
          <w:kern w:val="0"/>
          <w:sz w:val="24"/>
          <w:lang w:bidi="ar"/>
        </w:rPr>
        <w:t>投标人准备添置办公设备、家具及其他用品清单。</w:t>
      </w:r>
    </w:p>
    <w:p w14:paraId="7AC9B28B">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6.投标人需要每周做好</w:t>
      </w:r>
      <w:r>
        <w:rPr>
          <w:rFonts w:hint="eastAsia" w:ascii="仿宋" w:hAnsi="仿宋" w:eastAsia="仿宋" w:cs="仿宋"/>
          <w:color w:val="auto"/>
          <w:kern w:val="0"/>
          <w:sz w:val="24"/>
          <w:lang w:bidi="ar"/>
        </w:rPr>
        <w:t>员工培训</w:t>
      </w:r>
      <w:r>
        <w:rPr>
          <w:rFonts w:hint="eastAsia" w:ascii="仿宋" w:hAnsi="仿宋" w:eastAsia="仿宋" w:cs="仿宋"/>
          <w:color w:val="auto"/>
          <w:kern w:val="0"/>
          <w:sz w:val="24"/>
          <w:lang w:val="en-US" w:eastAsia="zh-CN" w:bidi="ar"/>
        </w:rPr>
        <w:t>并做好台账</w:t>
      </w:r>
      <w:r>
        <w:rPr>
          <w:rFonts w:hint="eastAsia" w:ascii="仿宋" w:hAnsi="仿宋" w:eastAsia="仿宋" w:cs="仿宋"/>
          <w:color w:val="auto"/>
          <w:kern w:val="0"/>
          <w:sz w:val="24"/>
          <w:lang w:bidi="ar"/>
        </w:rPr>
        <w:t>。</w:t>
      </w:r>
    </w:p>
    <w:p w14:paraId="26E10D06">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7.</w:t>
      </w:r>
      <w:r>
        <w:rPr>
          <w:rFonts w:hint="eastAsia" w:ascii="仿宋" w:hAnsi="仿宋" w:eastAsia="仿宋" w:cs="仿宋"/>
          <w:color w:val="auto"/>
          <w:kern w:val="0"/>
          <w:sz w:val="24"/>
          <w:lang w:bidi="ar"/>
        </w:rPr>
        <w:t>其他服务承诺；</w:t>
      </w:r>
    </w:p>
    <w:p w14:paraId="57DE5E81">
      <w:pPr>
        <w:keepLines w:val="0"/>
        <w:kinsoku/>
        <w:wordWrap/>
        <w:overflowPunct/>
        <w:topLinePunct w:val="0"/>
        <w:bidi w:val="0"/>
        <w:spacing w:beforeAutospacing="0" w:afterAutospacing="0" w:line="360" w:lineRule="auto"/>
        <w:ind w:left="723" w:leftChars="0" w:right="0" w:rightChars="0" w:hanging="723" w:hangingChars="300"/>
        <w:outlineLvl w:val="1"/>
        <w:rPr>
          <w:rFonts w:hint="eastAsia" w:ascii="仿宋" w:hAnsi="仿宋" w:eastAsia="仿宋" w:cs="仿宋"/>
          <w:b/>
          <w:color w:val="auto"/>
          <w:sz w:val="24"/>
        </w:rPr>
      </w:pPr>
      <w:bookmarkStart w:id="9" w:name="_Toc135212469"/>
      <w:bookmarkStart w:id="10" w:name="_Toc33335634"/>
      <w:r>
        <w:rPr>
          <w:rFonts w:hint="eastAsia" w:ascii="仿宋" w:hAnsi="仿宋" w:eastAsia="仿宋" w:cs="仿宋"/>
          <w:b/>
          <w:color w:val="auto"/>
          <w:sz w:val="24"/>
        </w:rPr>
        <w:t>四、服务内容</w:t>
      </w:r>
      <w:bookmarkEnd w:id="9"/>
      <w:bookmarkEnd w:id="10"/>
    </w:p>
    <w:p w14:paraId="3AF43FB8">
      <w:pPr>
        <w:keepLines w:val="0"/>
        <w:kinsoku/>
        <w:wordWrap/>
        <w:overflowPunct/>
        <w:topLinePunct w:val="0"/>
        <w:bidi w:val="0"/>
        <w:spacing w:beforeAutospacing="0" w:afterAutospacing="0" w:line="360" w:lineRule="auto"/>
        <w:ind w:left="0" w:leftChars="0" w:right="0" w:rightChars="0" w:firstLine="482" w:firstLineChars="200"/>
        <w:outlineLvl w:val="9"/>
        <w:rPr>
          <w:rFonts w:hint="eastAsia" w:ascii="仿宋" w:hAnsi="仿宋" w:eastAsia="仿宋" w:cs="仿宋"/>
          <w:b/>
          <w:bCs/>
          <w:color w:val="auto"/>
          <w:sz w:val="24"/>
        </w:rPr>
      </w:pPr>
      <w:r>
        <w:rPr>
          <w:rFonts w:hint="eastAsia" w:ascii="仿宋" w:hAnsi="仿宋" w:eastAsia="仿宋" w:cs="仿宋"/>
          <w:b/>
          <w:bCs/>
          <w:color w:val="auto"/>
          <w:sz w:val="24"/>
        </w:rPr>
        <w:t>1. 质检条款</w:t>
      </w:r>
    </w:p>
    <w:p w14:paraId="38F438CA">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采购人</w:t>
      </w:r>
      <w:r>
        <w:rPr>
          <w:rFonts w:hint="eastAsia" w:ascii="仿宋" w:hAnsi="仿宋" w:eastAsia="仿宋" w:cs="仿宋"/>
          <w:color w:val="auto"/>
          <w:kern w:val="0"/>
          <w:sz w:val="24"/>
          <w:lang w:bidi="ar"/>
        </w:rPr>
        <w:t>对</w:t>
      </w:r>
      <w:r>
        <w:rPr>
          <w:rFonts w:hint="eastAsia" w:ascii="仿宋" w:hAnsi="仿宋" w:eastAsia="仿宋" w:cs="仿宋"/>
          <w:color w:val="auto"/>
          <w:kern w:val="0"/>
          <w:sz w:val="24"/>
          <w:lang w:eastAsia="zh-CN" w:bidi="ar"/>
        </w:rPr>
        <w:t>投标人</w:t>
      </w:r>
      <w:r>
        <w:rPr>
          <w:rFonts w:hint="eastAsia" w:ascii="仿宋" w:hAnsi="仿宋" w:eastAsia="仿宋" w:cs="仿宋"/>
          <w:color w:val="auto"/>
          <w:kern w:val="0"/>
          <w:sz w:val="24"/>
          <w:lang w:bidi="ar"/>
        </w:rPr>
        <w:t>实行监督和管理，并将按照本招标文件和合同的要求对</w:t>
      </w:r>
      <w:r>
        <w:rPr>
          <w:rFonts w:hint="eastAsia" w:ascii="仿宋" w:hAnsi="仿宋" w:eastAsia="仿宋" w:cs="仿宋"/>
          <w:color w:val="auto"/>
          <w:kern w:val="0"/>
          <w:sz w:val="24"/>
          <w:lang w:eastAsia="zh-CN" w:bidi="ar"/>
        </w:rPr>
        <w:t>投标人</w:t>
      </w:r>
      <w:r>
        <w:rPr>
          <w:rFonts w:hint="eastAsia" w:ascii="仿宋" w:hAnsi="仿宋" w:eastAsia="仿宋" w:cs="仿宋"/>
          <w:color w:val="auto"/>
          <w:kern w:val="0"/>
          <w:sz w:val="24"/>
          <w:lang w:bidi="ar"/>
        </w:rPr>
        <w:t>的违规行为进行</w:t>
      </w:r>
      <w:r>
        <w:rPr>
          <w:rFonts w:hint="eastAsia" w:ascii="仿宋" w:hAnsi="仿宋" w:eastAsia="仿宋" w:cs="仿宋"/>
          <w:color w:val="auto"/>
          <w:kern w:val="0"/>
          <w:sz w:val="24"/>
          <w:lang w:val="en-US" w:eastAsia="zh-CN" w:bidi="ar"/>
        </w:rPr>
        <w:t>记</w:t>
      </w:r>
      <w:r>
        <w:rPr>
          <w:rFonts w:hint="eastAsia" w:ascii="仿宋" w:hAnsi="仿宋" w:eastAsia="仿宋" w:cs="仿宋"/>
          <w:color w:val="auto"/>
          <w:kern w:val="0"/>
          <w:sz w:val="24"/>
          <w:lang w:bidi="ar"/>
        </w:rPr>
        <w:t>录和处罚。</w:t>
      </w:r>
      <w:r>
        <w:rPr>
          <w:rFonts w:hint="eastAsia" w:ascii="仿宋" w:hAnsi="仿宋" w:eastAsia="仿宋" w:cs="仿宋"/>
          <w:color w:val="auto"/>
          <w:kern w:val="0"/>
          <w:sz w:val="24"/>
          <w:lang w:eastAsia="zh-CN" w:bidi="ar"/>
        </w:rPr>
        <w:t>投标人</w:t>
      </w:r>
      <w:r>
        <w:rPr>
          <w:rFonts w:hint="eastAsia" w:ascii="仿宋" w:hAnsi="仿宋" w:eastAsia="仿宋" w:cs="仿宋"/>
          <w:color w:val="auto"/>
          <w:kern w:val="0"/>
          <w:sz w:val="24"/>
          <w:lang w:bidi="ar"/>
        </w:rPr>
        <w:t>和</w:t>
      </w:r>
      <w:r>
        <w:rPr>
          <w:rFonts w:hint="eastAsia" w:ascii="仿宋" w:hAnsi="仿宋" w:eastAsia="仿宋" w:cs="仿宋"/>
          <w:color w:val="auto"/>
          <w:kern w:val="0"/>
          <w:sz w:val="24"/>
          <w:lang w:eastAsia="zh-CN" w:bidi="ar"/>
        </w:rPr>
        <w:t>采购人</w:t>
      </w:r>
      <w:r>
        <w:rPr>
          <w:rFonts w:hint="eastAsia" w:ascii="仿宋" w:hAnsi="仿宋" w:eastAsia="仿宋" w:cs="仿宋"/>
          <w:color w:val="auto"/>
          <w:kern w:val="0"/>
          <w:sz w:val="24"/>
          <w:lang w:bidi="ar"/>
        </w:rPr>
        <w:t>应建立固定的监督和管理制度。</w:t>
      </w:r>
      <w:r>
        <w:rPr>
          <w:rFonts w:hint="eastAsia" w:ascii="仿宋" w:hAnsi="仿宋" w:eastAsia="仿宋" w:cs="仿宋"/>
          <w:color w:val="auto"/>
          <w:kern w:val="0"/>
          <w:sz w:val="24"/>
          <w:lang w:eastAsia="zh-CN" w:bidi="ar"/>
        </w:rPr>
        <w:t>投标人</w:t>
      </w:r>
      <w:r>
        <w:rPr>
          <w:rFonts w:hint="eastAsia" w:ascii="仿宋" w:hAnsi="仿宋" w:eastAsia="仿宋" w:cs="仿宋"/>
          <w:color w:val="auto"/>
          <w:kern w:val="0"/>
          <w:sz w:val="24"/>
          <w:lang w:bidi="ar"/>
        </w:rPr>
        <w:t>应每月初对上月的工作提交工作报告</w:t>
      </w:r>
      <w:r>
        <w:rPr>
          <w:rFonts w:hint="eastAsia" w:ascii="仿宋" w:hAnsi="仿宋" w:eastAsia="仿宋" w:cs="仿宋"/>
          <w:color w:val="auto"/>
          <w:kern w:val="0"/>
          <w:sz w:val="24"/>
          <w:lang w:bidi="ar"/>
        </w:rPr>
        <w:t>，并对在工作中出现的问题及</w:t>
      </w:r>
      <w:r>
        <w:rPr>
          <w:rFonts w:hint="eastAsia" w:ascii="仿宋" w:hAnsi="仿宋" w:eastAsia="仿宋" w:cs="仿宋"/>
          <w:color w:val="auto"/>
          <w:kern w:val="0"/>
          <w:sz w:val="24"/>
          <w:lang w:eastAsia="zh-CN" w:bidi="ar"/>
        </w:rPr>
        <w:t>采购人</w:t>
      </w:r>
      <w:r>
        <w:rPr>
          <w:rFonts w:hint="eastAsia" w:ascii="仿宋" w:hAnsi="仿宋" w:eastAsia="仿宋" w:cs="仿宋"/>
          <w:color w:val="auto"/>
          <w:kern w:val="0"/>
          <w:sz w:val="24"/>
          <w:lang w:bidi="ar"/>
        </w:rPr>
        <w:t>提出的意见和处罚，做出书面的说明和处理情况报告，</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val="en-US" w:eastAsia="zh-CN" w:bidi="ar"/>
        </w:rPr>
        <w:t>并视情况限期整改</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及在下月的工作中的改善承诺。</w:t>
      </w:r>
    </w:p>
    <w:p w14:paraId="449677CF">
      <w:pPr>
        <w:keepLines w:val="0"/>
        <w:kinsoku/>
        <w:wordWrap/>
        <w:overflowPunct/>
        <w:topLinePunct w:val="0"/>
        <w:bidi w:val="0"/>
        <w:spacing w:beforeAutospacing="0" w:afterAutospacing="0" w:line="360" w:lineRule="auto"/>
        <w:ind w:left="0" w:leftChars="0" w:right="0" w:rightChars="0" w:firstLine="482" w:firstLineChars="200"/>
        <w:outlineLvl w:val="9"/>
        <w:rPr>
          <w:rFonts w:hint="eastAsia" w:ascii="仿宋" w:hAnsi="仿宋" w:eastAsia="仿宋" w:cs="仿宋"/>
          <w:b/>
          <w:bCs/>
          <w:color w:val="auto"/>
          <w:sz w:val="24"/>
        </w:rPr>
      </w:pPr>
      <w:r>
        <w:rPr>
          <w:rFonts w:hint="eastAsia" w:ascii="仿宋" w:hAnsi="仿宋" w:eastAsia="仿宋" w:cs="仿宋"/>
          <w:b/>
          <w:bCs/>
          <w:color w:val="auto"/>
          <w:sz w:val="24"/>
        </w:rPr>
        <w:t>2．食品质量要求</w:t>
      </w:r>
    </w:p>
    <w:p w14:paraId="3F6D2E2D">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2.1  冷菜酱制食品不含过多汤汁。</w:t>
      </w:r>
    </w:p>
    <w:p w14:paraId="19F8B848">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2.2  冷菜切配的食品刀口细腻及均匀并搭配合理。</w:t>
      </w:r>
    </w:p>
    <w:p w14:paraId="1E18A3A8">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2.3  冷菜凉拌食品汤汁适度并即时拌制。</w:t>
      </w:r>
    </w:p>
    <w:p w14:paraId="23556B81">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2.4  熟制后食品完整不碎及不松散。</w:t>
      </w:r>
    </w:p>
    <w:p w14:paraId="53542FAE">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2.5  热菜供餐时保持温热。</w:t>
      </w:r>
    </w:p>
    <w:p w14:paraId="162D31C7">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2.6  热菜食品表面无风干及水浸现象。</w:t>
      </w:r>
    </w:p>
    <w:p w14:paraId="4B771EEB">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2.7  素食食品即时烹炒并控干过多汤汁和水分。</w:t>
      </w:r>
    </w:p>
    <w:p w14:paraId="4A272E4F">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2.8  所供食品保证质量。</w:t>
      </w:r>
    </w:p>
    <w:p w14:paraId="167B90EB">
      <w:pPr>
        <w:keepLines w:val="0"/>
        <w:kinsoku/>
        <w:wordWrap/>
        <w:overflowPunct/>
        <w:topLinePunct w:val="0"/>
        <w:bidi w:val="0"/>
        <w:spacing w:beforeAutospacing="0" w:afterAutospacing="0" w:line="360" w:lineRule="auto"/>
        <w:ind w:left="0" w:leftChars="0" w:right="0" w:rightChars="0" w:firstLine="482" w:firstLineChars="200"/>
        <w:outlineLvl w:val="9"/>
        <w:rPr>
          <w:rFonts w:hint="eastAsia" w:ascii="仿宋" w:hAnsi="仿宋" w:eastAsia="仿宋" w:cs="仿宋"/>
          <w:b/>
          <w:bCs/>
          <w:color w:val="auto"/>
          <w:sz w:val="24"/>
        </w:rPr>
      </w:pPr>
      <w:r>
        <w:rPr>
          <w:rFonts w:hint="eastAsia" w:ascii="仿宋" w:hAnsi="仿宋" w:eastAsia="仿宋" w:cs="仿宋"/>
          <w:b/>
          <w:bCs/>
          <w:color w:val="auto"/>
          <w:sz w:val="24"/>
        </w:rPr>
        <w:t>3． 饭菜出品时间和要求</w:t>
      </w:r>
    </w:p>
    <w:p w14:paraId="23185CB7">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3.1  按规定准时开餐，每餐所供食品在开餐前</w:t>
      </w:r>
      <w:r>
        <w:rPr>
          <w:rFonts w:hint="eastAsia" w:ascii="仿宋" w:hAnsi="仿宋" w:eastAsia="仿宋" w:cs="仿宋"/>
          <w:color w:val="auto"/>
          <w:kern w:val="0"/>
          <w:sz w:val="24"/>
          <w:lang w:bidi="ar"/>
        </w:rPr>
        <w:t>15分钟</w:t>
      </w:r>
      <w:r>
        <w:rPr>
          <w:rFonts w:hint="eastAsia" w:ascii="仿宋" w:hAnsi="仿宋" w:eastAsia="仿宋" w:cs="仿宋"/>
          <w:color w:val="auto"/>
          <w:kern w:val="0"/>
          <w:sz w:val="24"/>
          <w:lang w:bidi="ar"/>
        </w:rPr>
        <w:t>布置完毕，如变更或其他情况，不能准时开餐，</w:t>
      </w:r>
      <w:r>
        <w:rPr>
          <w:rFonts w:hint="eastAsia" w:ascii="仿宋" w:hAnsi="仿宋" w:eastAsia="仿宋" w:cs="仿宋"/>
          <w:color w:val="auto"/>
          <w:kern w:val="0"/>
          <w:sz w:val="24"/>
          <w:lang w:eastAsia="zh-CN" w:bidi="ar"/>
        </w:rPr>
        <w:t>投标人</w:t>
      </w:r>
      <w:r>
        <w:rPr>
          <w:rFonts w:hint="eastAsia" w:ascii="仿宋" w:hAnsi="仿宋" w:eastAsia="仿宋" w:cs="仿宋"/>
          <w:color w:val="auto"/>
          <w:kern w:val="0"/>
          <w:sz w:val="24"/>
          <w:lang w:bidi="ar"/>
        </w:rPr>
        <w:t>应提前通知</w:t>
      </w:r>
      <w:r>
        <w:rPr>
          <w:rFonts w:hint="eastAsia" w:ascii="仿宋" w:hAnsi="仿宋" w:eastAsia="仿宋" w:cs="仿宋"/>
          <w:color w:val="auto"/>
          <w:kern w:val="0"/>
          <w:sz w:val="24"/>
          <w:lang w:eastAsia="zh-CN" w:bidi="ar"/>
        </w:rPr>
        <w:t>采购人</w:t>
      </w:r>
      <w:r>
        <w:rPr>
          <w:rFonts w:hint="eastAsia" w:ascii="仿宋" w:hAnsi="仿宋" w:eastAsia="仿宋" w:cs="仿宋"/>
          <w:color w:val="auto"/>
          <w:kern w:val="0"/>
          <w:sz w:val="24"/>
          <w:lang w:bidi="ar"/>
        </w:rPr>
        <w:t>，并留有充分时间做出补救。</w:t>
      </w:r>
    </w:p>
    <w:p w14:paraId="7623567C">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 xml:space="preserve">3.2  </w:t>
      </w:r>
      <w:r>
        <w:rPr>
          <w:rFonts w:hint="eastAsia" w:ascii="仿宋" w:hAnsi="仿宋" w:eastAsia="仿宋" w:cs="仿宋"/>
          <w:color w:val="auto"/>
          <w:kern w:val="0"/>
          <w:sz w:val="24"/>
          <w:lang w:val="en-US" w:eastAsia="zh-CN" w:bidi="ar"/>
        </w:rPr>
        <w:t>根据</w:t>
      </w:r>
      <w:r>
        <w:rPr>
          <w:rFonts w:hint="eastAsia" w:ascii="仿宋" w:hAnsi="仿宋" w:eastAsia="仿宋" w:cs="仿宋"/>
          <w:color w:val="auto"/>
          <w:kern w:val="0"/>
          <w:sz w:val="24"/>
          <w:lang w:bidi="ar"/>
        </w:rPr>
        <w:t>用餐人数，</w:t>
      </w:r>
      <w:r>
        <w:rPr>
          <w:rFonts w:hint="eastAsia" w:ascii="仿宋" w:hAnsi="仿宋" w:eastAsia="仿宋" w:cs="仿宋"/>
          <w:color w:val="auto"/>
          <w:kern w:val="0"/>
          <w:sz w:val="24"/>
          <w:lang w:val="en-US" w:eastAsia="zh-CN" w:bidi="ar"/>
        </w:rPr>
        <w:t>做好窗口工作人员的调度，并维护好就餐秩序</w:t>
      </w:r>
      <w:r>
        <w:rPr>
          <w:rFonts w:hint="eastAsia" w:ascii="仿宋" w:hAnsi="仿宋" w:eastAsia="仿宋" w:cs="仿宋"/>
          <w:color w:val="auto"/>
          <w:kern w:val="0"/>
          <w:sz w:val="24"/>
          <w:lang w:bidi="ar"/>
        </w:rPr>
        <w:t>。</w:t>
      </w:r>
    </w:p>
    <w:p w14:paraId="3262E473">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3.3  分餐服务人员及时准确进行分餐，保证菜量。</w:t>
      </w:r>
    </w:p>
    <w:p w14:paraId="432D6E60">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3.4  当</w:t>
      </w:r>
      <w:r>
        <w:rPr>
          <w:rFonts w:hint="eastAsia" w:ascii="仿宋" w:hAnsi="仿宋" w:eastAsia="仿宋" w:cs="仿宋"/>
          <w:color w:val="auto"/>
          <w:kern w:val="0"/>
          <w:sz w:val="24"/>
          <w:lang w:val="en-US" w:eastAsia="zh-CN" w:bidi="ar"/>
        </w:rPr>
        <w:t>就餐人数发变化时，及时向采购人汇报申请调整菜品的供应量，减少浪费。</w:t>
      </w:r>
    </w:p>
    <w:p w14:paraId="0709D7C9">
      <w:pPr>
        <w:keepLines w:val="0"/>
        <w:kinsoku/>
        <w:wordWrap/>
        <w:overflowPunct/>
        <w:topLinePunct w:val="0"/>
        <w:bidi w:val="0"/>
        <w:spacing w:beforeAutospacing="0" w:afterAutospacing="0" w:line="360" w:lineRule="auto"/>
        <w:ind w:left="0" w:leftChars="0" w:right="0" w:rightChars="0"/>
        <w:outlineLvl w:val="1"/>
        <w:rPr>
          <w:rFonts w:hint="eastAsia" w:ascii="仿宋" w:hAnsi="仿宋" w:eastAsia="仿宋" w:cs="仿宋"/>
          <w:b/>
          <w:color w:val="auto"/>
          <w:sz w:val="24"/>
        </w:rPr>
      </w:pPr>
      <w:bookmarkStart w:id="11" w:name="_Toc135212470"/>
      <w:bookmarkStart w:id="12" w:name="_Toc33335635"/>
      <w:r>
        <w:rPr>
          <w:rFonts w:hint="eastAsia" w:ascii="仿宋" w:hAnsi="仿宋" w:eastAsia="仿宋" w:cs="仿宋"/>
          <w:b/>
          <w:color w:val="auto"/>
          <w:sz w:val="24"/>
        </w:rPr>
        <w:t>五、报价方式</w:t>
      </w:r>
      <w:bookmarkEnd w:id="11"/>
      <w:bookmarkEnd w:id="12"/>
    </w:p>
    <w:p w14:paraId="141BD405">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val="en-US" w:eastAsia="zh-CN" w:bidi="ar"/>
        </w:rPr>
      </w:pPr>
      <w:bookmarkStart w:id="13" w:name="OLE_LINK12"/>
      <w:bookmarkStart w:id="14" w:name="OLE_LINK11"/>
      <w:bookmarkStart w:id="15" w:name="_Toc135212471"/>
      <w:bookmarkStart w:id="16" w:name="_Toc33335636"/>
      <w:r>
        <w:rPr>
          <w:rFonts w:hint="eastAsia" w:ascii="仿宋" w:hAnsi="仿宋" w:eastAsia="仿宋" w:cs="仿宋"/>
          <w:color w:val="auto"/>
          <w:kern w:val="0"/>
          <w:sz w:val="24"/>
          <w:lang w:bidi="ar"/>
        </w:rPr>
        <w:t>报价应包含人工工资、 保险费、劳保用品、</w:t>
      </w:r>
      <w:r>
        <w:rPr>
          <w:rFonts w:hint="eastAsia" w:ascii="仿宋" w:hAnsi="仿宋" w:eastAsia="仿宋" w:cs="仿宋"/>
          <w:color w:val="auto"/>
          <w:kern w:val="0"/>
          <w:sz w:val="24"/>
          <w:lang w:val="en-US" w:eastAsia="zh-CN" w:bidi="ar"/>
        </w:rPr>
        <w:t>工作服、</w:t>
      </w:r>
      <w:r>
        <w:rPr>
          <w:rFonts w:hint="eastAsia" w:ascii="仿宋" w:hAnsi="仿宋" w:eastAsia="仿宋" w:cs="仿宋"/>
          <w:color w:val="auto"/>
          <w:kern w:val="0"/>
          <w:sz w:val="24"/>
          <w:lang w:bidi="ar"/>
        </w:rPr>
        <w:t>员工住宿、夜宵加班费、 税金、管理费等一切费用，投标人应根据自身能力合理报价</w:t>
      </w:r>
      <w:r>
        <w:rPr>
          <w:rFonts w:hint="eastAsia" w:ascii="仿宋" w:hAnsi="仿宋" w:eastAsia="仿宋" w:cs="仿宋"/>
          <w:color w:val="auto"/>
          <w:kern w:val="0"/>
          <w:sz w:val="24"/>
          <w:lang w:eastAsia="zh-CN" w:bidi="ar"/>
        </w:rPr>
        <w:t>。</w:t>
      </w:r>
    </w:p>
    <w:bookmarkEnd w:id="13"/>
    <w:bookmarkEnd w:id="14"/>
    <w:p w14:paraId="06874F57">
      <w:pPr>
        <w:keepLines w:val="0"/>
        <w:numPr>
          <w:ilvl w:val="0"/>
          <w:numId w:val="2"/>
        </w:numPr>
        <w:kinsoku/>
        <w:wordWrap/>
        <w:overflowPunct/>
        <w:topLinePunct w:val="0"/>
        <w:bidi w:val="0"/>
        <w:spacing w:beforeAutospacing="0" w:afterAutospacing="0" w:line="360" w:lineRule="auto"/>
        <w:ind w:left="619" w:leftChars="0" w:right="0" w:rightChars="0" w:hanging="619" w:hangingChars="257"/>
        <w:outlineLvl w:val="1"/>
        <w:rPr>
          <w:rFonts w:hint="eastAsia" w:ascii="仿宋" w:hAnsi="仿宋" w:eastAsia="仿宋" w:cs="仿宋"/>
          <w:b/>
          <w:bCs/>
          <w:color w:val="auto"/>
          <w:sz w:val="24"/>
        </w:rPr>
      </w:pPr>
      <w:r>
        <w:rPr>
          <w:rFonts w:hint="eastAsia" w:ascii="仿宋" w:hAnsi="仿宋" w:eastAsia="仿宋" w:cs="仿宋"/>
          <w:b/>
          <w:bCs/>
          <w:color w:val="auto"/>
          <w:sz w:val="24"/>
        </w:rPr>
        <w:t>考核办法</w:t>
      </w:r>
    </w:p>
    <w:p w14:paraId="6EDE6D20">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val="en-US" w:eastAsia="zh-CN" w:bidi="ar"/>
        </w:rPr>
        <w:t>一）、</w:t>
      </w:r>
      <w:r>
        <w:rPr>
          <w:rFonts w:hint="eastAsia" w:ascii="仿宋" w:hAnsi="仿宋" w:eastAsia="仿宋" w:cs="仿宋"/>
          <w:color w:val="auto"/>
          <w:kern w:val="0"/>
          <w:sz w:val="24"/>
          <w:lang w:bidi="ar"/>
        </w:rPr>
        <w:t>项目总价的20%根据校方的</w:t>
      </w:r>
      <w:r>
        <w:rPr>
          <w:rFonts w:hint="eastAsia" w:ascii="仿宋" w:hAnsi="仿宋" w:eastAsia="仿宋" w:cs="仿宋"/>
          <w:color w:val="auto"/>
          <w:kern w:val="0"/>
          <w:sz w:val="24"/>
          <w:lang w:eastAsia="zh-CN" w:bidi="ar"/>
        </w:rPr>
        <w:t>考核</w:t>
      </w:r>
      <w:r>
        <w:rPr>
          <w:rFonts w:hint="eastAsia" w:ascii="仿宋" w:hAnsi="仿宋" w:eastAsia="仿宋" w:cs="仿宋"/>
          <w:color w:val="auto"/>
          <w:kern w:val="0"/>
          <w:sz w:val="24"/>
          <w:lang w:bidi="ar"/>
        </w:rPr>
        <w:t>结果发放</w:t>
      </w:r>
      <w:r>
        <w:rPr>
          <w:rFonts w:hint="eastAsia" w:ascii="仿宋" w:hAnsi="仿宋" w:eastAsia="仿宋" w:cs="仿宋"/>
          <w:color w:val="auto"/>
          <w:kern w:val="0"/>
          <w:sz w:val="24"/>
          <w:lang w:eastAsia="zh-CN" w:bidi="ar"/>
        </w:rPr>
        <w:t>。</w:t>
      </w:r>
    </w:p>
    <w:p w14:paraId="35649533">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val="en-US" w:eastAsia="zh-CN" w:bidi="ar"/>
        </w:rPr>
        <w:t>二）、</w:t>
      </w:r>
      <w:r>
        <w:rPr>
          <w:rFonts w:hint="eastAsia" w:ascii="仿宋" w:hAnsi="仿宋" w:eastAsia="仿宋" w:cs="仿宋"/>
          <w:color w:val="auto"/>
          <w:kern w:val="0"/>
          <w:sz w:val="24"/>
          <w:lang w:bidi="ar"/>
        </w:rPr>
        <w:t>杭州市临平职业高级中学食堂托管管理考核</w:t>
      </w:r>
      <w:r>
        <w:rPr>
          <w:rFonts w:hint="eastAsia" w:ascii="仿宋" w:hAnsi="仿宋" w:eastAsia="仿宋" w:cs="仿宋"/>
          <w:color w:val="auto"/>
          <w:kern w:val="0"/>
          <w:sz w:val="24"/>
          <w:lang w:val="en-US" w:eastAsia="zh-CN" w:bidi="ar"/>
        </w:rPr>
        <w:t>细则</w:t>
      </w:r>
    </w:p>
    <w:p w14:paraId="666C862E">
      <w:pPr>
        <w:keepLines w:val="0"/>
        <w:kinsoku/>
        <w:wordWrap/>
        <w:overflowPunct/>
        <w:topLinePunct w:val="0"/>
        <w:bidi w:val="0"/>
        <w:spacing w:beforeAutospacing="0" w:afterAutospacing="0" w:line="360" w:lineRule="auto"/>
        <w:ind w:left="0" w:leftChars="0" w:right="0" w:rightChars="0" w:firstLine="482" w:firstLineChars="20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rPr>
        <w:t>学校膳管会满意度测评以及督查情况考核（20%）：</w:t>
      </w:r>
    </w:p>
    <w:p w14:paraId="200AE99F">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val="en-US" w:eastAsia="zh-CN" w:bidi="ar"/>
        </w:rPr>
        <w:t>1</w:t>
      </w:r>
      <w:r>
        <w:rPr>
          <w:rFonts w:hint="eastAsia" w:ascii="仿宋" w:hAnsi="仿宋" w:eastAsia="仿宋" w:cs="仿宋"/>
          <w:color w:val="auto"/>
          <w:kern w:val="0"/>
          <w:sz w:val="24"/>
          <w:lang w:bidi="ar"/>
        </w:rPr>
        <w:t>参照学校膳管会考核细则执行。</w:t>
      </w:r>
    </w:p>
    <w:p w14:paraId="0C07BE89">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1.2学校食堂师生</w:t>
      </w:r>
      <w:r>
        <w:rPr>
          <w:rFonts w:hint="eastAsia" w:ascii="仿宋" w:hAnsi="仿宋" w:eastAsia="仿宋" w:cs="仿宋"/>
          <w:color w:val="auto"/>
          <w:kern w:val="0"/>
          <w:sz w:val="24"/>
          <w:lang w:bidi="ar"/>
        </w:rPr>
        <w:t>满意度总体上要求达到70%及以上，达不到要求，考核领导小组有权按照相关条例扣除一定管理考核奖</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val="en-US" w:eastAsia="zh-CN" w:bidi="ar"/>
        </w:rPr>
        <w:t>具体如下：</w:t>
      </w:r>
    </w:p>
    <w:p w14:paraId="1714713B">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食堂满意率标准。若对食堂总体满意率</w:t>
      </w:r>
      <w:r>
        <w:rPr>
          <w:rFonts w:hint="eastAsia" w:ascii="仿宋" w:hAnsi="仿宋" w:eastAsia="仿宋" w:cs="仿宋"/>
          <w:color w:val="auto"/>
          <w:kern w:val="0"/>
          <w:sz w:val="24"/>
          <w:lang w:val="en-US" w:eastAsia="zh-CN" w:bidi="ar"/>
        </w:rPr>
        <w:t>在70%以下</w:t>
      </w:r>
      <w:r>
        <w:rPr>
          <w:rFonts w:hint="eastAsia" w:ascii="仿宋" w:hAnsi="仿宋" w:eastAsia="仿宋" w:cs="仿宋"/>
          <w:color w:val="auto"/>
          <w:kern w:val="0"/>
          <w:sz w:val="24"/>
          <w:lang w:bidi="ar"/>
        </w:rPr>
        <w:t>，每</w:t>
      </w:r>
      <w:r>
        <w:rPr>
          <w:rFonts w:hint="eastAsia" w:ascii="仿宋" w:hAnsi="仿宋" w:eastAsia="仿宋" w:cs="仿宋"/>
          <w:color w:val="auto"/>
          <w:kern w:val="0"/>
          <w:sz w:val="24"/>
          <w:lang w:val="en-US" w:eastAsia="zh-CN" w:bidi="ar"/>
        </w:rPr>
        <w:t>下降</w:t>
      </w:r>
      <w:r>
        <w:rPr>
          <w:rFonts w:hint="eastAsia" w:ascii="仿宋" w:hAnsi="仿宋" w:eastAsia="仿宋" w:cs="仿宋"/>
          <w:color w:val="auto"/>
          <w:kern w:val="0"/>
          <w:sz w:val="24"/>
          <w:lang w:bidi="ar"/>
        </w:rPr>
        <w:t>1%点将</w:t>
      </w:r>
      <w:r>
        <w:rPr>
          <w:rFonts w:hint="eastAsia" w:ascii="仿宋" w:hAnsi="仿宋" w:eastAsia="仿宋" w:cs="仿宋"/>
          <w:color w:val="auto"/>
          <w:kern w:val="0"/>
          <w:sz w:val="24"/>
          <w:lang w:val="en-US" w:eastAsia="zh-CN" w:bidi="ar"/>
        </w:rPr>
        <w:t>扣除本考核部分2%，直到本考核部分为0元</w:t>
      </w:r>
      <w:r>
        <w:rPr>
          <w:rFonts w:hint="eastAsia" w:ascii="仿宋" w:hAnsi="仿宋" w:eastAsia="仿宋" w:cs="仿宋"/>
          <w:color w:val="auto"/>
          <w:kern w:val="0"/>
          <w:sz w:val="24"/>
          <w:lang w:bidi="ar"/>
        </w:rPr>
        <w:t>。</w:t>
      </w:r>
    </w:p>
    <w:p w14:paraId="46DC2CDB">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1.3</w:t>
      </w:r>
      <w:r>
        <w:rPr>
          <w:rFonts w:hint="eastAsia" w:ascii="仿宋" w:hAnsi="仿宋" w:eastAsia="仿宋" w:cs="仿宋"/>
          <w:color w:val="auto"/>
          <w:kern w:val="0"/>
          <w:sz w:val="24"/>
          <w:lang w:bidi="ar"/>
        </w:rPr>
        <w:t>如整改措施不力，连续两月对食堂总体满意率不足40%的托管方，学校有权解除合同，食堂由下一中标者托管或另行对外招标。</w:t>
      </w:r>
    </w:p>
    <w:p w14:paraId="010CF840">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1.4</w:t>
      </w:r>
      <w:r>
        <w:rPr>
          <w:rFonts w:hint="eastAsia" w:ascii="仿宋" w:hAnsi="仿宋" w:eastAsia="仿宋" w:cs="仿宋"/>
          <w:color w:val="auto"/>
          <w:kern w:val="0"/>
          <w:sz w:val="24"/>
          <w:lang w:bidi="ar"/>
        </w:rPr>
        <w:t>学校膳食管理委员会将不定期督查，将检查情况以及整改要求以书面形式下达，根据相应条款扣罚管理考核奖。</w:t>
      </w:r>
    </w:p>
    <w:p w14:paraId="6D9974F1">
      <w:pPr>
        <w:keepLines w:val="0"/>
        <w:kinsoku/>
        <w:wordWrap/>
        <w:overflowPunct/>
        <w:topLinePunct w:val="0"/>
        <w:bidi w:val="0"/>
        <w:spacing w:beforeAutospacing="0" w:afterAutospacing="0" w:line="360" w:lineRule="auto"/>
        <w:ind w:left="0" w:leftChars="0" w:right="0" w:rightChars="0" w:firstLine="482" w:firstLineChars="20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2.</w:t>
      </w:r>
      <w:r>
        <w:rPr>
          <w:rFonts w:hint="eastAsia" w:ascii="仿宋" w:hAnsi="仿宋" w:eastAsia="仿宋" w:cs="仿宋"/>
          <w:b/>
          <w:bCs/>
          <w:color w:val="auto"/>
          <w:sz w:val="24"/>
        </w:rPr>
        <w:t>食堂运行数据考核（</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0%）</w:t>
      </w:r>
    </w:p>
    <w:p w14:paraId="18824352">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2.1</w:t>
      </w:r>
      <w:r>
        <w:rPr>
          <w:rFonts w:hint="eastAsia" w:ascii="仿宋" w:hAnsi="仿宋" w:eastAsia="仿宋" w:cs="仿宋"/>
          <w:color w:val="auto"/>
          <w:kern w:val="0"/>
          <w:sz w:val="24"/>
          <w:lang w:bidi="ar"/>
        </w:rPr>
        <w:t>每月毛利率控制在</w:t>
      </w:r>
      <w:r>
        <w:rPr>
          <w:rFonts w:hint="eastAsia" w:ascii="微软雅黑" w:hAnsi="微软雅黑" w:eastAsia="微软雅黑" w:cs="微软雅黑"/>
          <w:color w:val="auto"/>
          <w:kern w:val="0"/>
          <w:sz w:val="24"/>
          <w:lang w:bidi="ar"/>
        </w:rPr>
        <w:t>±</w:t>
      </w:r>
      <w:r>
        <w:rPr>
          <w:rFonts w:hint="eastAsia" w:ascii="仿宋" w:hAnsi="仿宋" w:eastAsia="仿宋" w:cs="仿宋"/>
          <w:color w:val="auto"/>
          <w:kern w:val="0"/>
          <w:sz w:val="24"/>
          <w:lang w:val="en-US" w:eastAsia="zh-CN" w:bidi="ar"/>
        </w:rPr>
        <w:t>8</w:t>
      </w:r>
      <w:r>
        <w:rPr>
          <w:rFonts w:hint="eastAsia" w:ascii="仿宋" w:hAnsi="仿宋" w:eastAsia="仿宋" w:cs="仿宋"/>
          <w:color w:val="auto"/>
          <w:kern w:val="0"/>
          <w:sz w:val="24"/>
          <w:lang w:bidi="ar"/>
        </w:rPr>
        <w:t>%，（含水电管理成本），当月毛利率</w:t>
      </w:r>
      <w:r>
        <w:rPr>
          <w:rFonts w:hint="eastAsia" w:ascii="仿宋" w:hAnsi="仿宋" w:eastAsia="仿宋" w:cs="仿宋"/>
          <w:color w:val="auto"/>
          <w:kern w:val="0"/>
          <w:sz w:val="24"/>
          <w:lang w:val="en-US" w:eastAsia="zh-CN" w:bidi="ar"/>
        </w:rPr>
        <w:t>高于或</w:t>
      </w:r>
      <w:r>
        <w:rPr>
          <w:rFonts w:hint="eastAsia" w:ascii="仿宋" w:hAnsi="仿宋" w:eastAsia="仿宋" w:cs="仿宋"/>
          <w:color w:val="auto"/>
          <w:kern w:val="0"/>
          <w:sz w:val="24"/>
          <w:lang w:bidi="ar"/>
        </w:rPr>
        <w:t>低于</w:t>
      </w:r>
      <w:r>
        <w:rPr>
          <w:rFonts w:hint="eastAsia" w:ascii="微软雅黑" w:hAnsi="微软雅黑" w:eastAsia="微软雅黑" w:cs="微软雅黑"/>
          <w:color w:val="auto"/>
          <w:kern w:val="0"/>
          <w:sz w:val="24"/>
          <w:lang w:bidi="ar"/>
        </w:rPr>
        <w:t>±</w:t>
      </w:r>
      <w:r>
        <w:rPr>
          <w:rFonts w:hint="eastAsia" w:ascii="仿宋" w:hAnsi="仿宋" w:eastAsia="仿宋" w:cs="仿宋"/>
          <w:color w:val="auto"/>
          <w:kern w:val="0"/>
          <w:sz w:val="24"/>
          <w:lang w:val="en-US" w:eastAsia="zh-CN" w:bidi="ar"/>
        </w:rPr>
        <w:t>8</w:t>
      </w:r>
      <w:r>
        <w:rPr>
          <w:rFonts w:hint="eastAsia" w:ascii="仿宋" w:hAnsi="仿宋" w:eastAsia="仿宋" w:cs="仿宋"/>
          <w:color w:val="auto"/>
          <w:kern w:val="0"/>
          <w:sz w:val="24"/>
          <w:lang w:bidi="ar"/>
        </w:rPr>
        <w:t>%的1个百分点扣除本</w:t>
      </w:r>
      <w:r>
        <w:rPr>
          <w:rFonts w:hint="eastAsia" w:ascii="仿宋" w:hAnsi="仿宋" w:eastAsia="仿宋" w:cs="仿宋"/>
          <w:color w:val="auto"/>
          <w:kern w:val="0"/>
          <w:sz w:val="24"/>
          <w:lang w:val="en-US" w:eastAsia="zh-CN" w:bidi="ar"/>
        </w:rPr>
        <w:t>考核</w:t>
      </w:r>
      <w:r>
        <w:rPr>
          <w:rFonts w:hint="eastAsia" w:ascii="仿宋" w:hAnsi="仿宋" w:eastAsia="仿宋" w:cs="仿宋"/>
          <w:color w:val="auto"/>
          <w:kern w:val="0"/>
          <w:sz w:val="24"/>
          <w:lang w:bidi="ar"/>
        </w:rPr>
        <w:t>额度的</w:t>
      </w:r>
      <w:r>
        <w:rPr>
          <w:rFonts w:hint="eastAsia" w:ascii="仿宋" w:hAnsi="仿宋" w:eastAsia="仿宋" w:cs="仿宋"/>
          <w:color w:val="auto"/>
          <w:kern w:val="0"/>
          <w:sz w:val="24"/>
          <w:lang w:val="en-US" w:eastAsia="zh-CN" w:bidi="ar"/>
        </w:rPr>
        <w:t>1</w:t>
      </w:r>
      <w:r>
        <w:rPr>
          <w:rFonts w:hint="eastAsia" w:ascii="仿宋" w:hAnsi="仿宋" w:eastAsia="仿宋" w:cs="仿宋"/>
          <w:color w:val="auto"/>
          <w:kern w:val="0"/>
          <w:sz w:val="24"/>
          <w:lang w:bidi="ar"/>
        </w:rPr>
        <w:t>%、以此类推。每</w:t>
      </w:r>
      <w:r>
        <w:rPr>
          <w:rFonts w:hint="eastAsia" w:ascii="仿宋" w:hAnsi="仿宋" w:eastAsia="仿宋" w:cs="仿宋"/>
          <w:color w:val="auto"/>
          <w:kern w:val="0"/>
          <w:sz w:val="24"/>
          <w:lang w:val="en-US" w:eastAsia="zh-CN" w:bidi="ar"/>
        </w:rPr>
        <w:t>学期</w:t>
      </w:r>
      <w:r>
        <w:rPr>
          <w:rFonts w:hint="eastAsia" w:ascii="仿宋" w:hAnsi="仿宋" w:eastAsia="仿宋" w:cs="仿宋"/>
          <w:color w:val="auto"/>
          <w:kern w:val="0"/>
          <w:sz w:val="24"/>
          <w:lang w:bidi="ar"/>
        </w:rPr>
        <w:t>毛利率控制在</w:t>
      </w:r>
      <w:r>
        <w:rPr>
          <w:rFonts w:hint="eastAsia" w:ascii="微软雅黑" w:hAnsi="微软雅黑" w:eastAsia="微软雅黑" w:cs="微软雅黑"/>
          <w:color w:val="auto"/>
          <w:kern w:val="0"/>
          <w:sz w:val="24"/>
          <w:lang w:bidi="ar"/>
        </w:rPr>
        <w:t>±</w:t>
      </w:r>
      <w:r>
        <w:rPr>
          <w:rFonts w:hint="eastAsia" w:ascii="仿宋" w:hAnsi="仿宋" w:eastAsia="仿宋" w:cs="仿宋"/>
          <w:color w:val="auto"/>
          <w:kern w:val="0"/>
          <w:sz w:val="24"/>
          <w:lang w:val="en-US" w:eastAsia="zh-CN" w:bidi="ar"/>
        </w:rPr>
        <w:t>3</w:t>
      </w:r>
      <w:r>
        <w:rPr>
          <w:rFonts w:hint="eastAsia" w:ascii="仿宋" w:hAnsi="仿宋" w:eastAsia="仿宋" w:cs="仿宋"/>
          <w:color w:val="auto"/>
          <w:kern w:val="0"/>
          <w:sz w:val="24"/>
          <w:lang w:bidi="ar"/>
        </w:rPr>
        <w:t>%，（含水电管理成本），当毛利率</w:t>
      </w:r>
      <w:r>
        <w:rPr>
          <w:rFonts w:hint="eastAsia" w:ascii="仿宋" w:hAnsi="仿宋" w:eastAsia="仿宋" w:cs="仿宋"/>
          <w:color w:val="auto"/>
          <w:kern w:val="0"/>
          <w:sz w:val="24"/>
          <w:lang w:val="en-US" w:eastAsia="zh-CN" w:bidi="ar"/>
        </w:rPr>
        <w:t>高于或</w:t>
      </w:r>
      <w:r>
        <w:rPr>
          <w:rFonts w:hint="eastAsia" w:ascii="仿宋" w:hAnsi="仿宋" w:eastAsia="仿宋" w:cs="仿宋"/>
          <w:color w:val="auto"/>
          <w:kern w:val="0"/>
          <w:sz w:val="24"/>
          <w:lang w:bidi="ar"/>
        </w:rPr>
        <w:t>低于</w:t>
      </w:r>
      <w:r>
        <w:rPr>
          <w:rFonts w:hint="eastAsia" w:ascii="微软雅黑" w:hAnsi="微软雅黑" w:eastAsia="微软雅黑" w:cs="微软雅黑"/>
          <w:color w:val="auto"/>
          <w:kern w:val="0"/>
          <w:sz w:val="24"/>
          <w:lang w:bidi="ar"/>
        </w:rPr>
        <w:t>±</w:t>
      </w:r>
      <w:r>
        <w:rPr>
          <w:rFonts w:hint="eastAsia" w:ascii="仿宋" w:hAnsi="仿宋" w:eastAsia="仿宋" w:cs="仿宋"/>
          <w:color w:val="auto"/>
          <w:kern w:val="0"/>
          <w:sz w:val="24"/>
          <w:lang w:val="en-US" w:eastAsia="zh-CN" w:bidi="ar"/>
        </w:rPr>
        <w:t>3</w:t>
      </w:r>
      <w:r>
        <w:rPr>
          <w:rFonts w:hint="eastAsia" w:ascii="仿宋" w:hAnsi="仿宋" w:eastAsia="仿宋" w:cs="仿宋"/>
          <w:color w:val="auto"/>
          <w:kern w:val="0"/>
          <w:sz w:val="24"/>
          <w:lang w:bidi="ar"/>
        </w:rPr>
        <w:t>%的1个百分点扣除本</w:t>
      </w:r>
      <w:r>
        <w:rPr>
          <w:rFonts w:hint="eastAsia" w:ascii="仿宋" w:hAnsi="仿宋" w:eastAsia="仿宋" w:cs="仿宋"/>
          <w:color w:val="auto"/>
          <w:kern w:val="0"/>
          <w:sz w:val="24"/>
          <w:lang w:val="en-US" w:eastAsia="zh-CN" w:bidi="ar"/>
        </w:rPr>
        <w:t>考核</w:t>
      </w:r>
      <w:r>
        <w:rPr>
          <w:rFonts w:hint="eastAsia" w:ascii="仿宋" w:hAnsi="仿宋" w:eastAsia="仿宋" w:cs="仿宋"/>
          <w:color w:val="auto"/>
          <w:kern w:val="0"/>
          <w:sz w:val="24"/>
          <w:lang w:bidi="ar"/>
        </w:rPr>
        <w:t>额度的</w:t>
      </w:r>
      <w:r>
        <w:rPr>
          <w:rFonts w:hint="eastAsia" w:ascii="仿宋" w:hAnsi="仿宋" w:eastAsia="仿宋" w:cs="仿宋"/>
          <w:color w:val="auto"/>
          <w:kern w:val="0"/>
          <w:sz w:val="24"/>
          <w:lang w:val="en-US" w:eastAsia="zh-CN" w:bidi="ar"/>
        </w:rPr>
        <w:t>10</w:t>
      </w:r>
      <w:r>
        <w:rPr>
          <w:rFonts w:hint="eastAsia" w:ascii="仿宋" w:hAnsi="仿宋" w:eastAsia="仿宋" w:cs="仿宋"/>
          <w:color w:val="auto"/>
          <w:kern w:val="0"/>
          <w:sz w:val="24"/>
          <w:lang w:bidi="ar"/>
        </w:rPr>
        <w:t>%、以此类推。</w:t>
      </w:r>
    </w:p>
    <w:p w14:paraId="4852ED4D">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2.2投标方应合理下单，每月对原料仓库进行盘点，每次盘点时出现二个月前下单前的原料每样扣200元，发现过期原料将每样扣2000元，每学期末结余原料总价值不超过3000元，扣超出金额。</w:t>
      </w:r>
    </w:p>
    <w:p w14:paraId="1A67AD44">
      <w:pPr>
        <w:keepLines w:val="0"/>
        <w:kinsoku/>
        <w:wordWrap/>
        <w:overflowPunct/>
        <w:topLinePunct w:val="0"/>
        <w:bidi w:val="0"/>
        <w:spacing w:beforeAutospacing="0" w:afterAutospacing="0" w:line="360" w:lineRule="auto"/>
        <w:ind w:left="0" w:leftChars="0" w:right="0" w:rightChars="0" w:firstLine="482" w:firstLineChars="20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食堂五常法管理（30%）和安全创新（</w:t>
      </w:r>
      <w:r>
        <w:rPr>
          <w:rFonts w:hint="eastAsia" w:ascii="仿宋" w:hAnsi="仿宋" w:eastAsia="仿宋" w:cs="仿宋"/>
          <w:b/>
          <w:bCs/>
          <w:color w:val="auto"/>
          <w:sz w:val="24"/>
          <w:lang w:val="en-US" w:eastAsia="zh-CN"/>
        </w:rPr>
        <w:t>2</w:t>
      </w:r>
      <w:r>
        <w:rPr>
          <w:rFonts w:hint="eastAsia" w:ascii="仿宋" w:hAnsi="仿宋" w:eastAsia="仿宋" w:cs="仿宋"/>
          <w:b/>
          <w:bCs/>
          <w:color w:val="auto"/>
          <w:sz w:val="24"/>
        </w:rPr>
        <w:t>0%）。</w:t>
      </w:r>
    </w:p>
    <w:p w14:paraId="1F144A24">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3.1</w:t>
      </w:r>
      <w:r>
        <w:rPr>
          <w:rFonts w:hint="eastAsia" w:ascii="仿宋" w:hAnsi="仿宋" w:eastAsia="仿宋" w:cs="仿宋"/>
          <w:color w:val="auto"/>
          <w:kern w:val="0"/>
          <w:sz w:val="24"/>
          <w:lang w:bidi="ar"/>
        </w:rPr>
        <w:t>按照五常法管理要求，做到管理目标明确、组织机构健全、实施到位，学校总务处每周抽查2次及以上，并且下达书面整改单，根据检查问题实际情况的严重程度，每一次扣除</w:t>
      </w:r>
      <w:r>
        <w:rPr>
          <w:rFonts w:hint="eastAsia" w:ascii="仿宋" w:hAnsi="仿宋" w:eastAsia="仿宋" w:cs="仿宋"/>
          <w:color w:val="auto"/>
          <w:kern w:val="0"/>
          <w:sz w:val="24"/>
          <w:lang w:val="en-US" w:eastAsia="zh-CN" w:bidi="ar"/>
        </w:rPr>
        <w:t>100</w:t>
      </w:r>
      <w:r>
        <w:rPr>
          <w:rFonts w:hint="eastAsia" w:ascii="仿宋" w:hAnsi="仿宋" w:eastAsia="仿宋" w:cs="仿宋"/>
          <w:color w:val="auto"/>
          <w:kern w:val="0"/>
          <w:sz w:val="24"/>
          <w:lang w:bidi="ar"/>
        </w:rPr>
        <w:t>—1000元相应管理经费。（参照学校学校食堂管理奖罚细则执行。）</w:t>
      </w:r>
    </w:p>
    <w:p w14:paraId="018C80F9">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3.2</w:t>
      </w:r>
      <w:r>
        <w:rPr>
          <w:rFonts w:hint="eastAsia" w:ascii="仿宋" w:hAnsi="仿宋" w:eastAsia="仿宋" w:cs="仿宋"/>
          <w:color w:val="auto"/>
          <w:kern w:val="0"/>
          <w:sz w:val="24"/>
          <w:lang w:bidi="ar"/>
        </w:rPr>
        <w:t>每</w:t>
      </w:r>
      <w:r>
        <w:rPr>
          <w:rFonts w:hint="eastAsia" w:ascii="仿宋" w:hAnsi="仿宋" w:eastAsia="仿宋" w:cs="仿宋"/>
          <w:color w:val="auto"/>
          <w:kern w:val="0"/>
          <w:sz w:val="24"/>
          <w:lang w:val="en-US" w:eastAsia="zh-CN" w:bidi="ar"/>
        </w:rPr>
        <w:t>两周</w:t>
      </w:r>
      <w:r>
        <w:rPr>
          <w:rFonts w:hint="eastAsia" w:ascii="仿宋" w:hAnsi="仿宋" w:eastAsia="仿宋" w:cs="仿宋"/>
          <w:color w:val="auto"/>
          <w:kern w:val="0"/>
          <w:sz w:val="24"/>
          <w:lang w:bidi="ar"/>
        </w:rPr>
        <w:t>下好菜单，周菜单在规定时间内上报学校，如未完成每次扣</w:t>
      </w:r>
      <w:r>
        <w:rPr>
          <w:rFonts w:hint="eastAsia" w:ascii="仿宋" w:hAnsi="仿宋" w:eastAsia="仿宋" w:cs="仿宋"/>
          <w:color w:val="auto"/>
          <w:kern w:val="0"/>
          <w:sz w:val="24"/>
          <w:lang w:val="en-US" w:eastAsia="zh-CN" w:bidi="ar"/>
        </w:rPr>
        <w:t>5</w:t>
      </w:r>
      <w:r>
        <w:rPr>
          <w:rFonts w:hint="eastAsia" w:ascii="仿宋" w:hAnsi="仿宋" w:eastAsia="仿宋" w:cs="仿宋"/>
          <w:color w:val="auto"/>
          <w:kern w:val="0"/>
          <w:sz w:val="24"/>
          <w:lang w:bidi="ar"/>
        </w:rPr>
        <w:t>00元。</w:t>
      </w:r>
    </w:p>
    <w:p w14:paraId="15736EBB">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3.3</w:t>
      </w:r>
      <w:r>
        <w:rPr>
          <w:rFonts w:hint="eastAsia" w:ascii="仿宋" w:hAnsi="仿宋" w:eastAsia="仿宋" w:cs="仿宋"/>
          <w:color w:val="auto"/>
          <w:kern w:val="0"/>
          <w:sz w:val="24"/>
          <w:lang w:bidi="ar"/>
        </w:rPr>
        <w:t>就餐保障。教学期间，食堂如饭菜供应</w:t>
      </w:r>
      <w:r>
        <w:rPr>
          <w:rFonts w:hint="eastAsia" w:ascii="仿宋" w:hAnsi="仿宋" w:eastAsia="仿宋" w:cs="仿宋"/>
          <w:color w:val="auto"/>
          <w:kern w:val="0"/>
          <w:sz w:val="24"/>
          <w:lang w:val="en-US" w:eastAsia="zh-CN" w:bidi="ar"/>
        </w:rPr>
        <w:t>过多或</w:t>
      </w:r>
      <w:r>
        <w:rPr>
          <w:rFonts w:hint="eastAsia" w:ascii="仿宋" w:hAnsi="仿宋" w:eastAsia="仿宋" w:cs="仿宋"/>
          <w:color w:val="auto"/>
          <w:kern w:val="0"/>
          <w:sz w:val="24"/>
          <w:lang w:bidi="ar"/>
        </w:rPr>
        <w:t>不足，每次罚500元。加班期间，除特殊情况外，食堂无故不营业，每次罚1000元；如果由不可抗拒因素造成食堂不能安排或没人去就餐等情况，托管方应立即联系总务处负责人，并妥善采取措施，而由此导致的损失，经学校与托管方一起协商解决。</w:t>
      </w:r>
    </w:p>
    <w:p w14:paraId="1EEA0896">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3.4达不到学校食堂管理标准要求的员工，一经发现扣500元，并责令整改</w:t>
      </w:r>
      <w:r>
        <w:rPr>
          <w:rFonts w:hint="eastAsia" w:ascii="仿宋" w:hAnsi="仿宋" w:eastAsia="仿宋" w:cs="仿宋"/>
          <w:color w:val="auto"/>
          <w:kern w:val="0"/>
          <w:sz w:val="24"/>
          <w:lang w:bidi="ar"/>
        </w:rPr>
        <w:t>。</w:t>
      </w:r>
    </w:p>
    <w:p w14:paraId="087CF9A1">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3.5</w:t>
      </w:r>
      <w:r>
        <w:rPr>
          <w:rFonts w:hint="eastAsia" w:ascii="仿宋" w:hAnsi="仿宋" w:eastAsia="仿宋" w:cs="仿宋"/>
          <w:color w:val="auto"/>
          <w:kern w:val="0"/>
          <w:sz w:val="24"/>
          <w:lang w:bidi="ar"/>
        </w:rPr>
        <w:t>无特殊情况下，对于平台已录入的订单</w:t>
      </w:r>
      <w:r>
        <w:rPr>
          <w:rFonts w:hint="eastAsia" w:ascii="仿宋" w:hAnsi="仿宋" w:eastAsia="仿宋" w:cs="仿宋"/>
          <w:color w:val="auto"/>
          <w:kern w:val="0"/>
          <w:sz w:val="24"/>
          <w:lang w:val="en-US" w:eastAsia="zh-CN" w:bidi="ar"/>
        </w:rPr>
        <w:t>不得更改。</w:t>
      </w:r>
      <w:r>
        <w:rPr>
          <w:rFonts w:hint="eastAsia" w:ascii="仿宋" w:hAnsi="仿宋" w:eastAsia="仿宋" w:cs="仿宋"/>
          <w:color w:val="auto"/>
          <w:kern w:val="0"/>
          <w:sz w:val="24"/>
          <w:lang w:val="en-US" w:eastAsia="zh-CN" w:bidi="ar"/>
        </w:rPr>
        <w:t>因投标方下单不准问题造成更改菜单每次扣500元。</w:t>
      </w:r>
    </w:p>
    <w:p w14:paraId="5E43F1D0">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3.6因</w:t>
      </w:r>
      <w:r>
        <w:rPr>
          <w:rFonts w:hint="eastAsia" w:ascii="仿宋" w:hAnsi="仿宋" w:eastAsia="仿宋" w:cs="仿宋"/>
          <w:color w:val="auto"/>
          <w:kern w:val="0"/>
          <w:sz w:val="24"/>
          <w:lang w:bidi="ar"/>
        </w:rPr>
        <w:t>管理</w:t>
      </w:r>
      <w:r>
        <w:rPr>
          <w:rFonts w:hint="eastAsia" w:ascii="仿宋" w:hAnsi="仿宋" w:eastAsia="仿宋" w:cs="仿宋"/>
          <w:color w:val="auto"/>
          <w:kern w:val="0"/>
          <w:sz w:val="24"/>
          <w:lang w:val="en-US" w:eastAsia="zh-CN" w:bidi="ar"/>
        </w:rPr>
        <w:t>不善</w:t>
      </w:r>
      <w:r>
        <w:rPr>
          <w:rFonts w:hint="eastAsia" w:ascii="仿宋" w:hAnsi="仿宋" w:eastAsia="仿宋" w:cs="仿宋"/>
          <w:color w:val="auto"/>
          <w:kern w:val="0"/>
          <w:sz w:val="24"/>
          <w:lang w:bidi="ar"/>
        </w:rPr>
        <w:t xml:space="preserve">而造成的安全责任事故，将追究食堂负责人及托管方责任，当月食堂考核定为不合格，考核管理费清零。 </w:t>
      </w:r>
    </w:p>
    <w:p w14:paraId="6413C42B">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3.7</w:t>
      </w:r>
      <w:r>
        <w:rPr>
          <w:rFonts w:hint="eastAsia" w:ascii="仿宋" w:hAnsi="仿宋" w:eastAsia="仿宋" w:cs="仿宋"/>
          <w:color w:val="auto"/>
          <w:kern w:val="0"/>
          <w:sz w:val="24"/>
          <w:lang w:bidi="ar"/>
        </w:rPr>
        <w:t>员工配置不少于</w:t>
      </w:r>
      <w:r>
        <w:rPr>
          <w:rFonts w:hint="eastAsia" w:ascii="仿宋" w:hAnsi="仿宋" w:eastAsia="仿宋" w:cs="仿宋"/>
          <w:color w:val="auto"/>
          <w:kern w:val="0"/>
          <w:sz w:val="24"/>
          <w:lang w:val="en-US" w:eastAsia="zh-CN" w:bidi="ar"/>
        </w:rPr>
        <w:t>采购需求规定</w:t>
      </w:r>
      <w:r>
        <w:rPr>
          <w:rFonts w:hint="eastAsia" w:ascii="仿宋" w:hAnsi="仿宋" w:eastAsia="仿宋" w:cs="仿宋"/>
          <w:color w:val="auto"/>
          <w:kern w:val="0"/>
          <w:sz w:val="24"/>
          <w:lang w:bidi="ar"/>
        </w:rPr>
        <w:t>人</w:t>
      </w:r>
      <w:r>
        <w:rPr>
          <w:rFonts w:hint="eastAsia" w:ascii="仿宋" w:hAnsi="仿宋" w:eastAsia="仿宋" w:cs="仿宋"/>
          <w:color w:val="auto"/>
          <w:kern w:val="0"/>
          <w:sz w:val="24"/>
          <w:lang w:val="en-US" w:eastAsia="zh-CN" w:bidi="ar"/>
        </w:rPr>
        <w:t>数</w:t>
      </w:r>
      <w:r>
        <w:rPr>
          <w:rFonts w:hint="eastAsia" w:ascii="仿宋" w:hAnsi="仿宋" w:eastAsia="仿宋" w:cs="仿宋"/>
          <w:color w:val="auto"/>
          <w:kern w:val="0"/>
          <w:sz w:val="24"/>
          <w:lang w:bidi="ar"/>
        </w:rPr>
        <w:t>，用工符合现有法律规定，如检查发现人员短缺扣除</w:t>
      </w:r>
      <w:r>
        <w:rPr>
          <w:rFonts w:hint="eastAsia" w:ascii="仿宋" w:hAnsi="仿宋" w:eastAsia="仿宋" w:cs="仿宋"/>
          <w:color w:val="auto"/>
          <w:kern w:val="0"/>
          <w:sz w:val="24"/>
          <w:lang w:val="en-US" w:eastAsia="zh-CN" w:bidi="ar"/>
        </w:rPr>
        <w:t>本部分</w:t>
      </w:r>
      <w:r>
        <w:rPr>
          <w:rFonts w:hint="eastAsia" w:ascii="仿宋" w:hAnsi="仿宋" w:eastAsia="仿宋" w:cs="仿宋"/>
          <w:color w:val="auto"/>
          <w:kern w:val="0"/>
          <w:sz w:val="24"/>
          <w:lang w:bidi="ar"/>
        </w:rPr>
        <w:t>考核奖，每人每天</w:t>
      </w:r>
      <w:r>
        <w:rPr>
          <w:rFonts w:hint="eastAsia" w:ascii="仿宋" w:hAnsi="仿宋" w:eastAsia="仿宋" w:cs="仿宋"/>
          <w:color w:val="auto"/>
          <w:kern w:val="0"/>
          <w:sz w:val="24"/>
          <w:lang w:val="en-US" w:eastAsia="zh-CN" w:bidi="ar"/>
        </w:rPr>
        <w:t>2</w:t>
      </w:r>
      <w:r>
        <w:rPr>
          <w:rFonts w:hint="eastAsia" w:ascii="仿宋" w:hAnsi="仿宋" w:eastAsia="仿宋" w:cs="仿宋"/>
          <w:color w:val="auto"/>
          <w:kern w:val="0"/>
          <w:sz w:val="24"/>
          <w:lang w:bidi="ar"/>
        </w:rPr>
        <w:t>00元。</w:t>
      </w:r>
    </w:p>
    <w:p w14:paraId="601D71F0">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default" w:eastAsia="仿宋"/>
          <w:color w:val="auto"/>
          <w:lang w:val="en-US" w:eastAsia="zh-CN"/>
        </w:rPr>
      </w:pPr>
      <w:r>
        <w:rPr>
          <w:rFonts w:hint="eastAsia" w:ascii="仿宋" w:hAnsi="仿宋" w:eastAsia="仿宋" w:cs="仿宋"/>
          <w:color w:val="auto"/>
          <w:kern w:val="0"/>
          <w:sz w:val="24"/>
          <w:lang w:val="en-US" w:eastAsia="zh-CN" w:bidi="ar"/>
        </w:rPr>
        <w:t>3.8</w:t>
      </w:r>
      <w:r>
        <w:rPr>
          <w:rFonts w:hint="eastAsia" w:ascii="仿宋" w:hAnsi="仿宋" w:eastAsia="仿宋" w:cs="仿宋"/>
          <w:color w:val="auto"/>
          <w:kern w:val="0"/>
          <w:sz w:val="24"/>
          <w:lang w:bidi="ar"/>
        </w:rPr>
        <w:t>学校总务处组织的经常性检查，如发现过期食品及不卫生等现象，一次罚款200元；学校组织的大型食品安全卫生检查不合格一次罚款300元；区级检查不合格一次罚款500元；市级检查不合格一次罚款1000元。如检查发现工作人员没有健康证的一人次罚款100元，其它同级别检查等以此类推。</w:t>
      </w:r>
    </w:p>
    <w:p w14:paraId="15D87908">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3.9</w:t>
      </w:r>
      <w:r>
        <w:rPr>
          <w:rFonts w:hint="eastAsia" w:ascii="仿宋" w:hAnsi="仿宋" w:eastAsia="仿宋" w:cs="仿宋"/>
          <w:color w:val="auto"/>
          <w:kern w:val="0"/>
          <w:sz w:val="24"/>
          <w:lang w:bidi="ar"/>
        </w:rPr>
        <w:t>因食堂管理问题造成学生投诉的，经查属实后，校园内投诉，每扣</w:t>
      </w:r>
      <w:r>
        <w:rPr>
          <w:rFonts w:hint="eastAsia" w:ascii="仿宋" w:hAnsi="仿宋" w:eastAsia="仿宋" w:cs="仿宋"/>
          <w:color w:val="auto"/>
          <w:kern w:val="0"/>
          <w:sz w:val="24"/>
          <w:lang w:val="en-US" w:eastAsia="zh-CN" w:bidi="ar"/>
        </w:rPr>
        <w:t>2</w:t>
      </w:r>
      <w:r>
        <w:rPr>
          <w:rFonts w:hint="eastAsia" w:ascii="仿宋" w:hAnsi="仿宋" w:eastAsia="仿宋" w:cs="仿宋"/>
          <w:color w:val="auto"/>
          <w:kern w:val="0"/>
          <w:sz w:val="24"/>
          <w:lang w:bidi="ar"/>
        </w:rPr>
        <w:t>00元；向学校主管部门投诉的，扣1000元；再往上者投诉，扣2000元。</w:t>
      </w:r>
    </w:p>
    <w:p w14:paraId="78DAD3FF">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3.10</w:t>
      </w:r>
      <w:r>
        <w:rPr>
          <w:rFonts w:hint="eastAsia" w:ascii="仿宋" w:hAnsi="仿宋" w:eastAsia="仿宋" w:cs="仿宋"/>
          <w:color w:val="auto"/>
          <w:kern w:val="0"/>
          <w:sz w:val="24"/>
          <w:lang w:bidi="ar"/>
        </w:rPr>
        <w:t>托管方应自觉服从学校管理，做好食品留样、台帐和动物检疫证登记和生、熟食品分开，接受学校或上级领导组织的检查和监督</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val="en-US" w:eastAsia="zh-CN" w:bidi="ar"/>
        </w:rPr>
        <w:t>未完成每</w:t>
      </w:r>
      <w:r>
        <w:rPr>
          <w:rFonts w:hint="eastAsia" w:ascii="仿宋" w:hAnsi="仿宋" w:eastAsia="仿宋" w:cs="仿宋"/>
          <w:color w:val="auto"/>
          <w:kern w:val="0"/>
          <w:sz w:val="24"/>
          <w:lang w:bidi="ar"/>
        </w:rPr>
        <w:t>次罚款100元。</w:t>
      </w:r>
    </w:p>
    <w:p w14:paraId="3489DE3A">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3.</w:t>
      </w:r>
      <w:r>
        <w:rPr>
          <w:rFonts w:hint="eastAsia" w:ascii="仿宋" w:hAnsi="仿宋" w:eastAsia="仿宋" w:cs="仿宋"/>
          <w:color w:val="auto"/>
          <w:kern w:val="0"/>
          <w:sz w:val="24"/>
          <w:lang w:bidi="ar"/>
        </w:rPr>
        <w:t>1</w:t>
      </w:r>
      <w:r>
        <w:rPr>
          <w:rFonts w:hint="eastAsia" w:ascii="仿宋" w:hAnsi="仿宋" w:eastAsia="仿宋" w:cs="仿宋"/>
          <w:color w:val="auto"/>
          <w:kern w:val="0"/>
          <w:sz w:val="24"/>
          <w:lang w:val="en-US" w:eastAsia="zh-CN" w:bidi="ar"/>
        </w:rPr>
        <w:t>1在日常管理工作中，因投标人造成平台预警或工作提醒单，每次1000元</w:t>
      </w:r>
      <w:r>
        <w:rPr>
          <w:rFonts w:hint="eastAsia" w:ascii="仿宋" w:hAnsi="仿宋" w:eastAsia="仿宋" w:cs="仿宋"/>
          <w:color w:val="auto"/>
          <w:kern w:val="0"/>
          <w:sz w:val="24"/>
          <w:lang w:bidi="ar"/>
        </w:rPr>
        <w:t>。</w:t>
      </w:r>
    </w:p>
    <w:p w14:paraId="78E32CFE">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sz w:val="24"/>
        </w:rPr>
        <w:sectPr>
          <w:headerReference r:id="rId3" w:type="default"/>
          <w:footerReference r:id="rId4" w:type="default"/>
          <w:pgSz w:w="11905" w:h="16838"/>
          <w:pgMar w:top="1474" w:right="1474" w:bottom="1474" w:left="1474" w:header="851" w:footer="850" w:gutter="0"/>
          <w:cols w:space="0" w:num="1"/>
          <w:rtlGutter w:val="0"/>
          <w:docGrid w:linePitch="0" w:charSpace="0"/>
        </w:sectPr>
      </w:pPr>
      <w:r>
        <w:rPr>
          <w:rFonts w:hint="eastAsia" w:ascii="仿宋" w:hAnsi="仿宋" w:eastAsia="仿宋" w:cs="仿宋"/>
          <w:color w:val="auto"/>
          <w:kern w:val="0"/>
          <w:sz w:val="24"/>
          <w:lang w:val="en-US" w:eastAsia="zh-CN" w:bidi="ar"/>
        </w:rPr>
        <w:t>3.</w:t>
      </w:r>
      <w:r>
        <w:rPr>
          <w:rFonts w:hint="eastAsia" w:ascii="仿宋" w:hAnsi="仿宋" w:eastAsia="仿宋" w:cs="仿宋"/>
          <w:color w:val="auto"/>
          <w:kern w:val="0"/>
          <w:sz w:val="24"/>
          <w:lang w:bidi="ar"/>
        </w:rPr>
        <w:t>1</w:t>
      </w:r>
      <w:r>
        <w:rPr>
          <w:rFonts w:hint="eastAsia" w:ascii="仿宋" w:hAnsi="仿宋" w:eastAsia="仿宋" w:cs="仿宋"/>
          <w:color w:val="auto"/>
          <w:kern w:val="0"/>
          <w:sz w:val="24"/>
          <w:lang w:val="en-US" w:eastAsia="zh-CN" w:bidi="ar"/>
        </w:rPr>
        <w:t>2</w:t>
      </w:r>
      <w:r>
        <w:rPr>
          <w:rFonts w:hint="eastAsia" w:ascii="仿宋" w:hAnsi="仿宋" w:eastAsia="仿宋" w:cs="仿宋"/>
          <w:color w:val="auto"/>
          <w:kern w:val="0"/>
          <w:sz w:val="24"/>
          <w:lang w:bidi="ar"/>
        </w:rPr>
        <w:t>本管理细则为暂行办法，解释权归</w:t>
      </w:r>
      <w:r>
        <w:rPr>
          <w:rFonts w:hint="eastAsia" w:ascii="仿宋" w:hAnsi="仿宋" w:eastAsia="仿宋" w:cs="仿宋"/>
          <w:color w:val="auto"/>
          <w:kern w:val="0"/>
          <w:sz w:val="24"/>
          <w:lang w:val="en-US" w:eastAsia="zh-CN" w:bidi="ar"/>
        </w:rPr>
        <w:t>食堂考核</w:t>
      </w:r>
      <w:r>
        <w:rPr>
          <w:rFonts w:hint="eastAsia" w:ascii="仿宋" w:hAnsi="仿宋" w:eastAsia="仿宋" w:cs="仿宋"/>
          <w:color w:val="auto"/>
          <w:kern w:val="0"/>
          <w:sz w:val="24"/>
          <w:lang w:bidi="ar"/>
        </w:rPr>
        <w:t xml:space="preserve">考核小组 </w:t>
      </w:r>
      <w:r>
        <w:rPr>
          <w:rFonts w:hint="eastAsia" w:ascii="仿宋" w:hAnsi="仿宋" w:eastAsia="仿宋" w:cs="仿宋"/>
          <w:color w:val="auto"/>
          <w:sz w:val="24"/>
        </w:rPr>
        <w:t xml:space="preserve">     </w:t>
      </w:r>
    </w:p>
    <w:p w14:paraId="273767BD">
      <w:pPr>
        <w:keepLines w:val="0"/>
        <w:kinsoku/>
        <w:wordWrap/>
        <w:overflowPunct/>
        <w:topLinePunct w:val="0"/>
        <w:bidi w:val="0"/>
        <w:spacing w:beforeAutospacing="0" w:afterAutospacing="0" w:line="360" w:lineRule="auto"/>
        <w:ind w:left="0" w:leftChars="0" w:right="0" w:rightChars="0"/>
        <w:jc w:val="center"/>
        <w:outlineLvl w:val="9"/>
        <w:rPr>
          <w:rFonts w:hint="eastAsia" w:ascii="仿宋" w:hAnsi="仿宋" w:eastAsia="仿宋" w:cs="仿宋"/>
          <w:color w:val="auto"/>
          <w:kern w:val="0"/>
          <w:sz w:val="24"/>
        </w:rPr>
      </w:pPr>
      <w:r>
        <w:rPr>
          <w:rFonts w:hint="eastAsia" w:ascii="仿宋" w:hAnsi="仿宋" w:eastAsia="仿宋" w:cs="仿宋"/>
          <w:b/>
          <w:color w:val="auto"/>
          <w:kern w:val="0"/>
          <w:sz w:val="24"/>
        </w:rPr>
        <w:t>临平职高食堂</w:t>
      </w:r>
      <w:r>
        <w:rPr>
          <w:rFonts w:hint="eastAsia" w:ascii="仿宋" w:hAnsi="仿宋" w:eastAsia="仿宋" w:cs="仿宋"/>
          <w:b/>
          <w:color w:val="auto"/>
          <w:kern w:val="0"/>
          <w:sz w:val="24"/>
          <w:lang w:val="en-US" w:eastAsia="zh-CN"/>
        </w:rPr>
        <w:t>膳管会</w:t>
      </w:r>
      <w:r>
        <w:rPr>
          <w:rFonts w:hint="eastAsia" w:ascii="仿宋" w:hAnsi="仿宋" w:eastAsia="仿宋" w:cs="仿宋"/>
          <w:b/>
          <w:color w:val="auto"/>
          <w:kern w:val="0"/>
          <w:sz w:val="24"/>
        </w:rPr>
        <w:t>评议表</w:t>
      </w:r>
    </w:p>
    <w:p w14:paraId="0E5C4A0F">
      <w:pPr>
        <w:keepLines w:val="0"/>
        <w:kinsoku/>
        <w:wordWrap/>
        <w:overflowPunct/>
        <w:topLinePunct w:val="0"/>
        <w:bidi w:val="0"/>
        <w:spacing w:beforeAutospacing="0" w:afterAutospacing="0" w:line="360" w:lineRule="auto"/>
        <w:ind w:left="0" w:leftChars="0" w:right="0" w:rightChars="0" w:firstLine="4560" w:firstLineChars="1900"/>
        <w:outlineLvl w:val="9"/>
        <w:rPr>
          <w:rFonts w:hint="eastAsia" w:ascii="仿宋" w:hAnsi="仿宋" w:eastAsia="仿宋" w:cs="仿宋"/>
          <w:color w:val="auto"/>
          <w:kern w:val="0"/>
          <w:sz w:val="24"/>
          <w:u w:val="single"/>
        </w:rPr>
      </w:pPr>
      <w:r>
        <w:rPr>
          <w:rFonts w:hint="eastAsia" w:ascii="仿宋" w:hAnsi="仿宋" w:eastAsia="仿宋" w:cs="仿宋"/>
          <w:color w:val="auto"/>
          <w:kern w:val="0"/>
          <w:sz w:val="24"/>
        </w:rPr>
        <w:t>班级</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姓名</w:t>
      </w:r>
      <w:r>
        <w:rPr>
          <w:rFonts w:hint="eastAsia" w:ascii="仿宋" w:hAnsi="仿宋" w:eastAsia="仿宋" w:cs="仿宋"/>
          <w:color w:val="auto"/>
          <w:kern w:val="0"/>
          <w:sz w:val="24"/>
          <w:u w:val="single"/>
        </w:rPr>
        <w:t xml:space="preserve">              </w:t>
      </w:r>
    </w:p>
    <w:tbl>
      <w:tblPr>
        <w:tblStyle w:val="62"/>
        <w:tblpPr w:leftFromText="180" w:rightFromText="180" w:vertAnchor="text" w:horzAnchor="page" w:tblpX="1363" w:tblpY="4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16"/>
        <w:gridCol w:w="891"/>
        <w:gridCol w:w="712"/>
        <w:gridCol w:w="927"/>
        <w:gridCol w:w="3583"/>
      </w:tblGrid>
      <w:tr w14:paraId="41B3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2269" w:type="dxa"/>
            <w:vMerge w:val="restart"/>
            <w:noWrap w:val="0"/>
            <w:vAlign w:val="center"/>
          </w:tcPr>
          <w:p w14:paraId="211D87FA">
            <w:pPr>
              <w:keepNext w:val="0"/>
              <w:keepLines w:val="0"/>
              <w:pageBreakBefore w:val="0"/>
              <w:widowControl w:val="0"/>
              <w:kinsoku/>
              <w:wordWrap/>
              <w:overflowPunct/>
              <w:topLinePunct w:val="0"/>
              <w:bidi w:val="0"/>
              <w:adjustRightInd w:val="0"/>
              <w:snapToGrid/>
              <w:spacing w:beforeAutospacing="0" w:afterAutospacing="0" w:line="240" w:lineRule="auto"/>
              <w:ind w:left="0" w:leftChars="0" w:right="0" w:rightChars="0"/>
              <w:jc w:val="center"/>
              <w:textAlignment w:val="auto"/>
              <w:outlineLvl w:val="9"/>
              <w:rPr>
                <w:rFonts w:hint="eastAsia" w:ascii="仿宋" w:hAnsi="仿宋" w:eastAsia="仿宋" w:cs="仿宋"/>
                <w:color w:val="auto"/>
                <w:kern w:val="0"/>
                <w:sz w:val="24"/>
              </w:rPr>
            </w:pPr>
            <w:r>
              <w:rPr>
                <w:rFonts w:hint="eastAsia" w:ascii="仿宋" w:hAnsi="仿宋" w:eastAsia="仿宋" w:cs="仿宋"/>
                <w:b/>
                <w:color w:val="auto"/>
                <w:kern w:val="0"/>
                <w:sz w:val="24"/>
              </w:rPr>
              <w:t xml:space="preserve">  评议项目</w:t>
            </w:r>
          </w:p>
        </w:tc>
        <w:tc>
          <w:tcPr>
            <w:tcW w:w="3246" w:type="dxa"/>
            <w:gridSpan w:val="4"/>
            <w:noWrap w:val="0"/>
            <w:vAlign w:val="top"/>
          </w:tcPr>
          <w:p w14:paraId="6D51194F">
            <w:pPr>
              <w:keepNext w:val="0"/>
              <w:keepLines w:val="0"/>
              <w:pageBreakBefore w:val="0"/>
              <w:widowControl w:val="0"/>
              <w:kinsoku/>
              <w:wordWrap/>
              <w:overflowPunct/>
              <w:topLinePunct w:val="0"/>
              <w:bidi w:val="0"/>
              <w:adjustRightInd w:val="0"/>
              <w:snapToGrid/>
              <w:spacing w:beforeAutospacing="0" w:afterAutospacing="0" w:line="240" w:lineRule="auto"/>
              <w:ind w:left="0" w:leftChars="0" w:right="0" w:rightChars="0"/>
              <w:jc w:val="center"/>
              <w:textAlignment w:val="auto"/>
              <w:outlineLvl w:val="9"/>
              <w:rPr>
                <w:rFonts w:hint="eastAsia" w:ascii="仿宋" w:hAnsi="仿宋" w:eastAsia="仿宋" w:cs="仿宋"/>
                <w:b/>
                <w:color w:val="auto"/>
                <w:kern w:val="0"/>
                <w:sz w:val="24"/>
              </w:rPr>
            </w:pPr>
            <w:r>
              <w:rPr>
                <w:rFonts w:hint="eastAsia" w:ascii="仿宋" w:hAnsi="仿宋" w:eastAsia="仿宋" w:cs="仿宋"/>
                <w:b/>
                <w:color w:val="auto"/>
                <w:kern w:val="0"/>
                <w:sz w:val="24"/>
              </w:rPr>
              <w:t>评议结果（请打“√”）</w:t>
            </w:r>
          </w:p>
        </w:tc>
        <w:tc>
          <w:tcPr>
            <w:tcW w:w="3583" w:type="dxa"/>
            <w:noWrap w:val="0"/>
            <w:vAlign w:val="top"/>
          </w:tcPr>
          <w:p w14:paraId="27D9DF49">
            <w:pPr>
              <w:keepNext w:val="0"/>
              <w:keepLines w:val="0"/>
              <w:pageBreakBefore w:val="0"/>
              <w:widowControl w:val="0"/>
              <w:kinsoku/>
              <w:wordWrap/>
              <w:overflowPunct/>
              <w:topLinePunct w:val="0"/>
              <w:bidi w:val="0"/>
              <w:adjustRightInd w:val="0"/>
              <w:snapToGrid/>
              <w:spacing w:beforeAutospacing="0" w:afterAutospacing="0" w:line="240" w:lineRule="auto"/>
              <w:ind w:left="0" w:leftChars="0" w:right="0" w:rightChars="0"/>
              <w:jc w:val="center"/>
              <w:textAlignment w:val="auto"/>
              <w:outlineLvl w:val="9"/>
              <w:rPr>
                <w:rFonts w:hint="eastAsia" w:ascii="仿宋" w:hAnsi="仿宋" w:eastAsia="仿宋" w:cs="仿宋"/>
                <w:b/>
                <w:color w:val="auto"/>
                <w:kern w:val="0"/>
                <w:sz w:val="24"/>
              </w:rPr>
            </w:pPr>
            <w:r>
              <w:rPr>
                <w:rFonts w:hint="eastAsia" w:ascii="仿宋" w:hAnsi="仿宋" w:eastAsia="仿宋" w:cs="仿宋"/>
                <w:b/>
                <w:color w:val="auto"/>
                <w:kern w:val="0"/>
                <w:sz w:val="24"/>
              </w:rPr>
              <w:t>评议说明</w:t>
            </w:r>
          </w:p>
        </w:tc>
      </w:tr>
      <w:tr w14:paraId="3828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2269" w:type="dxa"/>
            <w:vMerge w:val="continue"/>
            <w:noWrap w:val="0"/>
            <w:vAlign w:val="top"/>
          </w:tcPr>
          <w:p w14:paraId="7118E121">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480" w:firstLineChars="200"/>
              <w:jc w:val="left"/>
              <w:textAlignment w:val="auto"/>
              <w:outlineLvl w:val="9"/>
              <w:rPr>
                <w:rFonts w:hint="eastAsia" w:ascii="仿宋" w:hAnsi="仿宋" w:eastAsia="仿宋" w:cs="仿宋"/>
                <w:color w:val="auto"/>
                <w:kern w:val="0"/>
                <w:sz w:val="24"/>
                <w:lang w:bidi="ar"/>
              </w:rPr>
            </w:pPr>
          </w:p>
        </w:tc>
        <w:tc>
          <w:tcPr>
            <w:tcW w:w="716" w:type="dxa"/>
            <w:noWrap w:val="0"/>
            <w:vAlign w:val="top"/>
          </w:tcPr>
          <w:p w14:paraId="3B47D3BA">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jc w:val="left"/>
              <w:textAlignment w:val="auto"/>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满意</w:t>
            </w:r>
          </w:p>
        </w:tc>
        <w:tc>
          <w:tcPr>
            <w:tcW w:w="891" w:type="dxa"/>
            <w:noWrap w:val="0"/>
            <w:vAlign w:val="top"/>
          </w:tcPr>
          <w:p w14:paraId="54951F95">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jc w:val="left"/>
              <w:textAlignment w:val="auto"/>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基本满意</w:t>
            </w:r>
          </w:p>
        </w:tc>
        <w:tc>
          <w:tcPr>
            <w:tcW w:w="712" w:type="dxa"/>
            <w:noWrap w:val="0"/>
            <w:vAlign w:val="top"/>
          </w:tcPr>
          <w:p w14:paraId="1AC89344">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jc w:val="left"/>
              <w:textAlignment w:val="auto"/>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一般</w:t>
            </w:r>
          </w:p>
        </w:tc>
        <w:tc>
          <w:tcPr>
            <w:tcW w:w="927" w:type="dxa"/>
            <w:noWrap w:val="0"/>
            <w:vAlign w:val="top"/>
          </w:tcPr>
          <w:p w14:paraId="6268F8F7">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jc w:val="left"/>
              <w:textAlignment w:val="auto"/>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不满意</w:t>
            </w:r>
          </w:p>
        </w:tc>
        <w:tc>
          <w:tcPr>
            <w:tcW w:w="3583" w:type="dxa"/>
            <w:vMerge w:val="restart"/>
            <w:noWrap w:val="0"/>
            <w:vAlign w:val="top"/>
          </w:tcPr>
          <w:p w14:paraId="1DB4DA89">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480" w:firstLineChars="200"/>
              <w:jc w:val="left"/>
              <w:textAlignment w:val="auto"/>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为保证同学们的利益，调动食堂经营者的积极性，学校每月组织全校师生对食堂饭菜质量、卫生和服务态度等方面进行测评，并根据各位测评者的结果对食堂经营者进行考核。希望各位认真参与。</w:t>
            </w:r>
          </w:p>
        </w:tc>
      </w:tr>
      <w:tr w14:paraId="69BA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2269" w:type="dxa"/>
            <w:noWrap w:val="0"/>
            <w:vAlign w:val="top"/>
          </w:tcPr>
          <w:p w14:paraId="25546041">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jc w:val="left"/>
              <w:textAlignment w:val="auto"/>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数量、品种、质量</w:t>
            </w:r>
          </w:p>
        </w:tc>
        <w:tc>
          <w:tcPr>
            <w:tcW w:w="716" w:type="dxa"/>
            <w:noWrap w:val="0"/>
            <w:vAlign w:val="top"/>
          </w:tcPr>
          <w:p w14:paraId="6D44FC09">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480" w:firstLineChars="200"/>
              <w:jc w:val="left"/>
              <w:textAlignment w:val="auto"/>
              <w:outlineLvl w:val="9"/>
              <w:rPr>
                <w:rFonts w:hint="eastAsia" w:ascii="仿宋" w:hAnsi="仿宋" w:eastAsia="仿宋" w:cs="仿宋"/>
                <w:color w:val="auto"/>
                <w:kern w:val="0"/>
                <w:sz w:val="24"/>
                <w:lang w:bidi="ar"/>
              </w:rPr>
            </w:pPr>
          </w:p>
        </w:tc>
        <w:tc>
          <w:tcPr>
            <w:tcW w:w="891" w:type="dxa"/>
            <w:noWrap w:val="0"/>
            <w:vAlign w:val="top"/>
          </w:tcPr>
          <w:p w14:paraId="13B2791F">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480" w:firstLineChars="200"/>
              <w:jc w:val="left"/>
              <w:textAlignment w:val="auto"/>
              <w:outlineLvl w:val="9"/>
              <w:rPr>
                <w:rFonts w:hint="eastAsia" w:ascii="仿宋" w:hAnsi="仿宋" w:eastAsia="仿宋" w:cs="仿宋"/>
                <w:color w:val="auto"/>
                <w:kern w:val="0"/>
                <w:sz w:val="24"/>
                <w:lang w:bidi="ar"/>
              </w:rPr>
            </w:pPr>
          </w:p>
        </w:tc>
        <w:tc>
          <w:tcPr>
            <w:tcW w:w="712" w:type="dxa"/>
            <w:noWrap w:val="0"/>
            <w:vAlign w:val="top"/>
          </w:tcPr>
          <w:p w14:paraId="29C4AE87">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480" w:firstLineChars="200"/>
              <w:jc w:val="left"/>
              <w:textAlignment w:val="auto"/>
              <w:outlineLvl w:val="9"/>
              <w:rPr>
                <w:rFonts w:hint="eastAsia" w:ascii="仿宋" w:hAnsi="仿宋" w:eastAsia="仿宋" w:cs="仿宋"/>
                <w:color w:val="auto"/>
                <w:kern w:val="0"/>
                <w:sz w:val="24"/>
                <w:lang w:bidi="ar"/>
              </w:rPr>
            </w:pPr>
          </w:p>
        </w:tc>
        <w:tc>
          <w:tcPr>
            <w:tcW w:w="927" w:type="dxa"/>
            <w:noWrap w:val="0"/>
            <w:vAlign w:val="top"/>
          </w:tcPr>
          <w:p w14:paraId="54D4EE4D">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480" w:firstLineChars="200"/>
              <w:jc w:val="left"/>
              <w:textAlignment w:val="auto"/>
              <w:outlineLvl w:val="9"/>
              <w:rPr>
                <w:rFonts w:hint="eastAsia" w:ascii="仿宋" w:hAnsi="仿宋" w:eastAsia="仿宋" w:cs="仿宋"/>
                <w:color w:val="auto"/>
                <w:kern w:val="0"/>
                <w:sz w:val="24"/>
                <w:lang w:bidi="ar"/>
              </w:rPr>
            </w:pPr>
          </w:p>
        </w:tc>
        <w:tc>
          <w:tcPr>
            <w:tcW w:w="3583" w:type="dxa"/>
            <w:vMerge w:val="continue"/>
            <w:noWrap w:val="0"/>
            <w:vAlign w:val="top"/>
          </w:tcPr>
          <w:p w14:paraId="71919F54">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480" w:firstLineChars="200"/>
              <w:jc w:val="left"/>
              <w:textAlignment w:val="auto"/>
              <w:outlineLvl w:val="9"/>
              <w:rPr>
                <w:rFonts w:hint="eastAsia" w:ascii="仿宋" w:hAnsi="仿宋" w:eastAsia="仿宋" w:cs="仿宋"/>
                <w:color w:val="auto"/>
                <w:kern w:val="0"/>
                <w:sz w:val="24"/>
                <w:lang w:bidi="ar"/>
              </w:rPr>
            </w:pPr>
          </w:p>
        </w:tc>
      </w:tr>
      <w:tr w14:paraId="7558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2269" w:type="dxa"/>
            <w:noWrap w:val="0"/>
            <w:vAlign w:val="top"/>
          </w:tcPr>
          <w:p w14:paraId="3C401463">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480" w:firstLineChars="200"/>
              <w:jc w:val="left"/>
              <w:textAlignment w:val="auto"/>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饭菜卫生</w:t>
            </w:r>
          </w:p>
        </w:tc>
        <w:tc>
          <w:tcPr>
            <w:tcW w:w="716" w:type="dxa"/>
            <w:noWrap w:val="0"/>
            <w:vAlign w:val="top"/>
          </w:tcPr>
          <w:p w14:paraId="50302C35">
            <w:pPr>
              <w:keepNext w:val="0"/>
              <w:keepLines w:val="0"/>
              <w:pageBreakBefore w:val="0"/>
              <w:widowControl w:val="0"/>
              <w:kinsoku/>
              <w:wordWrap/>
              <w:overflowPunct/>
              <w:topLinePunct w:val="0"/>
              <w:bidi w:val="0"/>
              <w:adjustRightInd w:val="0"/>
              <w:snapToGrid/>
              <w:spacing w:beforeAutospacing="0" w:afterAutospacing="0" w:line="240" w:lineRule="auto"/>
              <w:ind w:left="0" w:leftChars="0" w:right="0" w:rightChars="0"/>
              <w:textAlignment w:val="auto"/>
              <w:outlineLvl w:val="9"/>
              <w:rPr>
                <w:rFonts w:hint="eastAsia" w:ascii="仿宋" w:hAnsi="仿宋" w:eastAsia="仿宋" w:cs="仿宋"/>
                <w:color w:val="auto"/>
                <w:kern w:val="0"/>
                <w:sz w:val="24"/>
                <w:u w:val="single"/>
              </w:rPr>
            </w:pPr>
          </w:p>
        </w:tc>
        <w:tc>
          <w:tcPr>
            <w:tcW w:w="891" w:type="dxa"/>
            <w:noWrap w:val="0"/>
            <w:vAlign w:val="top"/>
          </w:tcPr>
          <w:p w14:paraId="15958872">
            <w:pPr>
              <w:keepNext w:val="0"/>
              <w:keepLines w:val="0"/>
              <w:pageBreakBefore w:val="0"/>
              <w:widowControl w:val="0"/>
              <w:kinsoku/>
              <w:wordWrap/>
              <w:overflowPunct/>
              <w:topLinePunct w:val="0"/>
              <w:bidi w:val="0"/>
              <w:adjustRightInd w:val="0"/>
              <w:snapToGrid/>
              <w:spacing w:beforeAutospacing="0" w:afterAutospacing="0" w:line="240" w:lineRule="auto"/>
              <w:ind w:left="0" w:leftChars="0" w:right="0" w:rightChars="0"/>
              <w:textAlignment w:val="auto"/>
              <w:outlineLvl w:val="9"/>
              <w:rPr>
                <w:rFonts w:hint="eastAsia" w:ascii="仿宋" w:hAnsi="仿宋" w:eastAsia="仿宋" w:cs="仿宋"/>
                <w:color w:val="auto"/>
                <w:kern w:val="0"/>
                <w:sz w:val="24"/>
                <w:u w:val="single"/>
              </w:rPr>
            </w:pPr>
          </w:p>
        </w:tc>
        <w:tc>
          <w:tcPr>
            <w:tcW w:w="712" w:type="dxa"/>
            <w:noWrap w:val="0"/>
            <w:vAlign w:val="top"/>
          </w:tcPr>
          <w:p w14:paraId="3DDE94A8">
            <w:pPr>
              <w:keepNext w:val="0"/>
              <w:keepLines w:val="0"/>
              <w:pageBreakBefore w:val="0"/>
              <w:widowControl w:val="0"/>
              <w:kinsoku/>
              <w:wordWrap/>
              <w:overflowPunct/>
              <w:topLinePunct w:val="0"/>
              <w:bidi w:val="0"/>
              <w:adjustRightInd w:val="0"/>
              <w:snapToGrid/>
              <w:spacing w:beforeAutospacing="0" w:afterAutospacing="0" w:line="240" w:lineRule="auto"/>
              <w:ind w:left="0" w:leftChars="0" w:right="0" w:rightChars="0"/>
              <w:textAlignment w:val="auto"/>
              <w:outlineLvl w:val="9"/>
              <w:rPr>
                <w:rFonts w:hint="eastAsia" w:ascii="仿宋" w:hAnsi="仿宋" w:eastAsia="仿宋" w:cs="仿宋"/>
                <w:color w:val="auto"/>
                <w:kern w:val="0"/>
                <w:sz w:val="24"/>
                <w:u w:val="single"/>
              </w:rPr>
            </w:pPr>
          </w:p>
        </w:tc>
        <w:tc>
          <w:tcPr>
            <w:tcW w:w="927" w:type="dxa"/>
            <w:noWrap w:val="0"/>
            <w:vAlign w:val="top"/>
          </w:tcPr>
          <w:p w14:paraId="718DA486">
            <w:pPr>
              <w:keepNext w:val="0"/>
              <w:keepLines w:val="0"/>
              <w:pageBreakBefore w:val="0"/>
              <w:widowControl w:val="0"/>
              <w:kinsoku/>
              <w:wordWrap/>
              <w:overflowPunct/>
              <w:topLinePunct w:val="0"/>
              <w:bidi w:val="0"/>
              <w:adjustRightInd w:val="0"/>
              <w:snapToGrid/>
              <w:spacing w:beforeAutospacing="0" w:afterAutospacing="0" w:line="240" w:lineRule="auto"/>
              <w:ind w:left="0" w:leftChars="0" w:right="0" w:rightChars="0"/>
              <w:textAlignment w:val="auto"/>
              <w:outlineLvl w:val="9"/>
              <w:rPr>
                <w:rFonts w:hint="eastAsia" w:ascii="仿宋" w:hAnsi="仿宋" w:eastAsia="仿宋" w:cs="仿宋"/>
                <w:color w:val="auto"/>
                <w:kern w:val="0"/>
                <w:sz w:val="24"/>
                <w:u w:val="single"/>
              </w:rPr>
            </w:pPr>
          </w:p>
        </w:tc>
        <w:tc>
          <w:tcPr>
            <w:tcW w:w="3583" w:type="dxa"/>
            <w:vMerge w:val="continue"/>
            <w:noWrap w:val="0"/>
            <w:vAlign w:val="top"/>
          </w:tcPr>
          <w:p w14:paraId="6F8F04B3">
            <w:pPr>
              <w:keepNext w:val="0"/>
              <w:keepLines w:val="0"/>
              <w:pageBreakBefore w:val="0"/>
              <w:widowControl w:val="0"/>
              <w:kinsoku/>
              <w:wordWrap/>
              <w:overflowPunct/>
              <w:topLinePunct w:val="0"/>
              <w:bidi w:val="0"/>
              <w:adjustRightInd w:val="0"/>
              <w:snapToGrid/>
              <w:spacing w:beforeAutospacing="0" w:afterAutospacing="0" w:line="240" w:lineRule="auto"/>
              <w:ind w:left="0" w:leftChars="0" w:right="0" w:rightChars="0"/>
              <w:textAlignment w:val="auto"/>
              <w:outlineLvl w:val="9"/>
              <w:rPr>
                <w:rFonts w:hint="eastAsia" w:ascii="仿宋" w:hAnsi="仿宋" w:eastAsia="仿宋" w:cs="仿宋"/>
                <w:color w:val="auto"/>
                <w:kern w:val="0"/>
                <w:sz w:val="24"/>
                <w:u w:val="single"/>
              </w:rPr>
            </w:pPr>
          </w:p>
        </w:tc>
      </w:tr>
      <w:tr w14:paraId="1FC8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2269" w:type="dxa"/>
            <w:noWrap w:val="0"/>
            <w:vAlign w:val="top"/>
          </w:tcPr>
          <w:p w14:paraId="21BCEC94">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480" w:firstLineChars="200"/>
              <w:jc w:val="left"/>
              <w:textAlignment w:val="auto"/>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服务态度</w:t>
            </w:r>
          </w:p>
        </w:tc>
        <w:tc>
          <w:tcPr>
            <w:tcW w:w="716" w:type="dxa"/>
            <w:noWrap w:val="0"/>
            <w:vAlign w:val="top"/>
          </w:tcPr>
          <w:p w14:paraId="13677722">
            <w:pPr>
              <w:keepNext w:val="0"/>
              <w:keepLines w:val="0"/>
              <w:pageBreakBefore w:val="0"/>
              <w:widowControl w:val="0"/>
              <w:kinsoku/>
              <w:wordWrap/>
              <w:overflowPunct/>
              <w:topLinePunct w:val="0"/>
              <w:bidi w:val="0"/>
              <w:adjustRightInd w:val="0"/>
              <w:snapToGrid/>
              <w:spacing w:beforeAutospacing="0" w:afterAutospacing="0" w:line="240" w:lineRule="auto"/>
              <w:ind w:left="0" w:leftChars="0" w:right="0" w:rightChars="0"/>
              <w:textAlignment w:val="auto"/>
              <w:outlineLvl w:val="9"/>
              <w:rPr>
                <w:rFonts w:hint="eastAsia" w:ascii="仿宋" w:hAnsi="仿宋" w:eastAsia="仿宋" w:cs="仿宋"/>
                <w:color w:val="auto"/>
                <w:kern w:val="0"/>
                <w:sz w:val="24"/>
                <w:u w:val="single"/>
              </w:rPr>
            </w:pPr>
          </w:p>
        </w:tc>
        <w:tc>
          <w:tcPr>
            <w:tcW w:w="891" w:type="dxa"/>
            <w:noWrap w:val="0"/>
            <w:vAlign w:val="top"/>
          </w:tcPr>
          <w:p w14:paraId="676356F7">
            <w:pPr>
              <w:keepNext w:val="0"/>
              <w:keepLines w:val="0"/>
              <w:pageBreakBefore w:val="0"/>
              <w:widowControl w:val="0"/>
              <w:kinsoku/>
              <w:wordWrap/>
              <w:overflowPunct/>
              <w:topLinePunct w:val="0"/>
              <w:bidi w:val="0"/>
              <w:adjustRightInd w:val="0"/>
              <w:snapToGrid/>
              <w:spacing w:beforeAutospacing="0" w:afterAutospacing="0" w:line="240" w:lineRule="auto"/>
              <w:ind w:left="0" w:leftChars="0" w:right="0" w:rightChars="0"/>
              <w:textAlignment w:val="auto"/>
              <w:outlineLvl w:val="9"/>
              <w:rPr>
                <w:rFonts w:hint="eastAsia" w:ascii="仿宋" w:hAnsi="仿宋" w:eastAsia="仿宋" w:cs="仿宋"/>
                <w:color w:val="auto"/>
                <w:kern w:val="0"/>
                <w:sz w:val="24"/>
                <w:u w:val="single"/>
              </w:rPr>
            </w:pPr>
          </w:p>
        </w:tc>
        <w:tc>
          <w:tcPr>
            <w:tcW w:w="712" w:type="dxa"/>
            <w:noWrap w:val="0"/>
            <w:vAlign w:val="top"/>
          </w:tcPr>
          <w:p w14:paraId="2B592643">
            <w:pPr>
              <w:keepNext w:val="0"/>
              <w:keepLines w:val="0"/>
              <w:pageBreakBefore w:val="0"/>
              <w:widowControl w:val="0"/>
              <w:kinsoku/>
              <w:wordWrap/>
              <w:overflowPunct/>
              <w:topLinePunct w:val="0"/>
              <w:bidi w:val="0"/>
              <w:adjustRightInd w:val="0"/>
              <w:snapToGrid/>
              <w:spacing w:beforeAutospacing="0" w:afterAutospacing="0" w:line="240" w:lineRule="auto"/>
              <w:ind w:left="0" w:leftChars="0" w:right="0" w:rightChars="0"/>
              <w:textAlignment w:val="auto"/>
              <w:outlineLvl w:val="9"/>
              <w:rPr>
                <w:rFonts w:hint="eastAsia" w:ascii="仿宋" w:hAnsi="仿宋" w:eastAsia="仿宋" w:cs="仿宋"/>
                <w:color w:val="auto"/>
                <w:kern w:val="0"/>
                <w:sz w:val="24"/>
                <w:u w:val="single"/>
              </w:rPr>
            </w:pPr>
          </w:p>
        </w:tc>
        <w:tc>
          <w:tcPr>
            <w:tcW w:w="927" w:type="dxa"/>
            <w:noWrap w:val="0"/>
            <w:vAlign w:val="top"/>
          </w:tcPr>
          <w:p w14:paraId="1F3EEF24">
            <w:pPr>
              <w:keepNext w:val="0"/>
              <w:keepLines w:val="0"/>
              <w:pageBreakBefore w:val="0"/>
              <w:widowControl w:val="0"/>
              <w:kinsoku/>
              <w:wordWrap/>
              <w:overflowPunct/>
              <w:topLinePunct w:val="0"/>
              <w:bidi w:val="0"/>
              <w:adjustRightInd w:val="0"/>
              <w:snapToGrid/>
              <w:spacing w:beforeAutospacing="0" w:afterAutospacing="0" w:line="240" w:lineRule="auto"/>
              <w:ind w:left="0" w:leftChars="0" w:right="0" w:rightChars="0"/>
              <w:textAlignment w:val="auto"/>
              <w:outlineLvl w:val="9"/>
              <w:rPr>
                <w:rFonts w:hint="eastAsia" w:ascii="仿宋" w:hAnsi="仿宋" w:eastAsia="仿宋" w:cs="仿宋"/>
                <w:color w:val="auto"/>
                <w:kern w:val="0"/>
                <w:sz w:val="24"/>
                <w:u w:val="single"/>
              </w:rPr>
            </w:pPr>
          </w:p>
        </w:tc>
        <w:tc>
          <w:tcPr>
            <w:tcW w:w="3583" w:type="dxa"/>
            <w:vMerge w:val="continue"/>
            <w:noWrap w:val="0"/>
            <w:vAlign w:val="top"/>
          </w:tcPr>
          <w:p w14:paraId="25BE5A0C">
            <w:pPr>
              <w:keepNext w:val="0"/>
              <w:keepLines w:val="0"/>
              <w:pageBreakBefore w:val="0"/>
              <w:widowControl w:val="0"/>
              <w:kinsoku/>
              <w:wordWrap/>
              <w:overflowPunct/>
              <w:topLinePunct w:val="0"/>
              <w:bidi w:val="0"/>
              <w:adjustRightInd w:val="0"/>
              <w:snapToGrid/>
              <w:spacing w:beforeAutospacing="0" w:afterAutospacing="0" w:line="240" w:lineRule="auto"/>
              <w:ind w:left="0" w:leftChars="0" w:right="0" w:rightChars="0"/>
              <w:textAlignment w:val="auto"/>
              <w:outlineLvl w:val="9"/>
              <w:rPr>
                <w:rFonts w:hint="eastAsia" w:ascii="仿宋" w:hAnsi="仿宋" w:eastAsia="仿宋" w:cs="仿宋"/>
                <w:color w:val="auto"/>
                <w:kern w:val="0"/>
                <w:sz w:val="24"/>
                <w:u w:val="single"/>
              </w:rPr>
            </w:pPr>
          </w:p>
        </w:tc>
      </w:tr>
      <w:tr w14:paraId="1456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2269" w:type="dxa"/>
            <w:noWrap w:val="0"/>
            <w:vAlign w:val="top"/>
          </w:tcPr>
          <w:p w14:paraId="017CAB85">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480" w:firstLineChars="200"/>
              <w:jc w:val="left"/>
              <w:textAlignment w:val="auto"/>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环境卫生</w:t>
            </w:r>
          </w:p>
        </w:tc>
        <w:tc>
          <w:tcPr>
            <w:tcW w:w="716" w:type="dxa"/>
            <w:noWrap w:val="0"/>
            <w:vAlign w:val="top"/>
          </w:tcPr>
          <w:p w14:paraId="64FEE369">
            <w:pPr>
              <w:keepNext w:val="0"/>
              <w:keepLines w:val="0"/>
              <w:pageBreakBefore w:val="0"/>
              <w:widowControl w:val="0"/>
              <w:kinsoku/>
              <w:wordWrap/>
              <w:overflowPunct/>
              <w:topLinePunct w:val="0"/>
              <w:bidi w:val="0"/>
              <w:adjustRightInd w:val="0"/>
              <w:snapToGrid/>
              <w:spacing w:beforeAutospacing="0" w:afterAutospacing="0" w:line="240" w:lineRule="auto"/>
              <w:ind w:left="0" w:leftChars="0" w:right="0" w:rightChars="0"/>
              <w:textAlignment w:val="auto"/>
              <w:outlineLvl w:val="9"/>
              <w:rPr>
                <w:rFonts w:hint="eastAsia" w:ascii="仿宋" w:hAnsi="仿宋" w:eastAsia="仿宋" w:cs="仿宋"/>
                <w:color w:val="auto"/>
                <w:kern w:val="0"/>
                <w:sz w:val="24"/>
                <w:u w:val="single"/>
              </w:rPr>
            </w:pPr>
          </w:p>
        </w:tc>
        <w:tc>
          <w:tcPr>
            <w:tcW w:w="891" w:type="dxa"/>
            <w:noWrap w:val="0"/>
            <w:vAlign w:val="top"/>
          </w:tcPr>
          <w:p w14:paraId="350E5572">
            <w:pPr>
              <w:keepNext w:val="0"/>
              <w:keepLines w:val="0"/>
              <w:pageBreakBefore w:val="0"/>
              <w:widowControl w:val="0"/>
              <w:kinsoku/>
              <w:wordWrap/>
              <w:overflowPunct/>
              <w:topLinePunct w:val="0"/>
              <w:bidi w:val="0"/>
              <w:adjustRightInd w:val="0"/>
              <w:snapToGrid/>
              <w:spacing w:beforeAutospacing="0" w:afterAutospacing="0" w:line="240" w:lineRule="auto"/>
              <w:ind w:left="0" w:leftChars="0" w:right="0" w:rightChars="0"/>
              <w:textAlignment w:val="auto"/>
              <w:outlineLvl w:val="9"/>
              <w:rPr>
                <w:rFonts w:hint="eastAsia" w:ascii="仿宋" w:hAnsi="仿宋" w:eastAsia="仿宋" w:cs="仿宋"/>
                <w:color w:val="auto"/>
                <w:kern w:val="0"/>
                <w:sz w:val="24"/>
                <w:u w:val="single"/>
              </w:rPr>
            </w:pPr>
          </w:p>
        </w:tc>
        <w:tc>
          <w:tcPr>
            <w:tcW w:w="712" w:type="dxa"/>
            <w:noWrap w:val="0"/>
            <w:vAlign w:val="top"/>
          </w:tcPr>
          <w:p w14:paraId="6076A2A2">
            <w:pPr>
              <w:keepNext w:val="0"/>
              <w:keepLines w:val="0"/>
              <w:pageBreakBefore w:val="0"/>
              <w:widowControl w:val="0"/>
              <w:kinsoku/>
              <w:wordWrap/>
              <w:overflowPunct/>
              <w:topLinePunct w:val="0"/>
              <w:bidi w:val="0"/>
              <w:adjustRightInd w:val="0"/>
              <w:snapToGrid/>
              <w:spacing w:beforeAutospacing="0" w:afterAutospacing="0" w:line="240" w:lineRule="auto"/>
              <w:ind w:left="0" w:leftChars="0" w:right="0" w:rightChars="0"/>
              <w:textAlignment w:val="auto"/>
              <w:outlineLvl w:val="9"/>
              <w:rPr>
                <w:rFonts w:hint="eastAsia" w:ascii="仿宋" w:hAnsi="仿宋" w:eastAsia="仿宋" w:cs="仿宋"/>
                <w:color w:val="auto"/>
                <w:kern w:val="0"/>
                <w:sz w:val="24"/>
                <w:u w:val="single"/>
              </w:rPr>
            </w:pPr>
          </w:p>
        </w:tc>
        <w:tc>
          <w:tcPr>
            <w:tcW w:w="927" w:type="dxa"/>
            <w:noWrap w:val="0"/>
            <w:vAlign w:val="top"/>
          </w:tcPr>
          <w:p w14:paraId="0EB7290F">
            <w:pPr>
              <w:keepNext w:val="0"/>
              <w:keepLines w:val="0"/>
              <w:pageBreakBefore w:val="0"/>
              <w:widowControl w:val="0"/>
              <w:kinsoku/>
              <w:wordWrap/>
              <w:overflowPunct/>
              <w:topLinePunct w:val="0"/>
              <w:bidi w:val="0"/>
              <w:adjustRightInd w:val="0"/>
              <w:snapToGrid/>
              <w:spacing w:beforeAutospacing="0" w:afterAutospacing="0" w:line="240" w:lineRule="auto"/>
              <w:ind w:left="0" w:leftChars="0" w:right="0" w:rightChars="0"/>
              <w:textAlignment w:val="auto"/>
              <w:outlineLvl w:val="9"/>
              <w:rPr>
                <w:rFonts w:hint="eastAsia" w:ascii="仿宋" w:hAnsi="仿宋" w:eastAsia="仿宋" w:cs="仿宋"/>
                <w:color w:val="auto"/>
                <w:kern w:val="0"/>
                <w:sz w:val="24"/>
                <w:u w:val="single"/>
              </w:rPr>
            </w:pPr>
          </w:p>
        </w:tc>
        <w:tc>
          <w:tcPr>
            <w:tcW w:w="3583" w:type="dxa"/>
            <w:vMerge w:val="continue"/>
            <w:noWrap w:val="0"/>
            <w:vAlign w:val="top"/>
          </w:tcPr>
          <w:p w14:paraId="3C33C265">
            <w:pPr>
              <w:keepNext w:val="0"/>
              <w:keepLines w:val="0"/>
              <w:pageBreakBefore w:val="0"/>
              <w:widowControl w:val="0"/>
              <w:kinsoku/>
              <w:wordWrap/>
              <w:overflowPunct/>
              <w:topLinePunct w:val="0"/>
              <w:bidi w:val="0"/>
              <w:adjustRightInd w:val="0"/>
              <w:snapToGrid/>
              <w:spacing w:beforeAutospacing="0" w:afterAutospacing="0" w:line="240" w:lineRule="auto"/>
              <w:ind w:left="0" w:leftChars="0" w:right="0" w:rightChars="0"/>
              <w:textAlignment w:val="auto"/>
              <w:outlineLvl w:val="9"/>
              <w:rPr>
                <w:rFonts w:hint="eastAsia" w:ascii="仿宋" w:hAnsi="仿宋" w:eastAsia="仿宋" w:cs="仿宋"/>
                <w:color w:val="auto"/>
                <w:kern w:val="0"/>
                <w:sz w:val="24"/>
                <w:u w:val="single"/>
              </w:rPr>
            </w:pPr>
          </w:p>
        </w:tc>
      </w:tr>
      <w:tr w14:paraId="1744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2269" w:type="dxa"/>
            <w:noWrap w:val="0"/>
            <w:vAlign w:val="top"/>
          </w:tcPr>
          <w:p w14:paraId="3E8E8286">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480" w:firstLineChars="200"/>
              <w:jc w:val="left"/>
              <w:textAlignment w:val="auto"/>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综合评议</w:t>
            </w:r>
          </w:p>
        </w:tc>
        <w:tc>
          <w:tcPr>
            <w:tcW w:w="716" w:type="dxa"/>
            <w:noWrap w:val="0"/>
            <w:vAlign w:val="top"/>
          </w:tcPr>
          <w:p w14:paraId="48B503F3">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480" w:firstLineChars="200"/>
              <w:jc w:val="left"/>
              <w:textAlignment w:val="auto"/>
              <w:outlineLvl w:val="9"/>
              <w:rPr>
                <w:rFonts w:hint="eastAsia" w:ascii="仿宋" w:hAnsi="仿宋" w:eastAsia="仿宋" w:cs="仿宋"/>
                <w:color w:val="auto"/>
                <w:kern w:val="0"/>
                <w:sz w:val="24"/>
                <w:lang w:bidi="ar"/>
              </w:rPr>
            </w:pPr>
          </w:p>
        </w:tc>
        <w:tc>
          <w:tcPr>
            <w:tcW w:w="891" w:type="dxa"/>
            <w:noWrap w:val="0"/>
            <w:vAlign w:val="top"/>
          </w:tcPr>
          <w:p w14:paraId="2191DA16">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480" w:firstLineChars="200"/>
              <w:jc w:val="left"/>
              <w:textAlignment w:val="auto"/>
              <w:outlineLvl w:val="9"/>
              <w:rPr>
                <w:rFonts w:hint="eastAsia" w:ascii="仿宋" w:hAnsi="仿宋" w:eastAsia="仿宋" w:cs="仿宋"/>
                <w:color w:val="auto"/>
                <w:kern w:val="0"/>
                <w:sz w:val="24"/>
                <w:lang w:bidi="ar"/>
              </w:rPr>
            </w:pPr>
          </w:p>
        </w:tc>
        <w:tc>
          <w:tcPr>
            <w:tcW w:w="712" w:type="dxa"/>
            <w:noWrap w:val="0"/>
            <w:vAlign w:val="top"/>
          </w:tcPr>
          <w:p w14:paraId="11248534">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480" w:firstLineChars="200"/>
              <w:jc w:val="left"/>
              <w:textAlignment w:val="auto"/>
              <w:outlineLvl w:val="9"/>
              <w:rPr>
                <w:rFonts w:hint="eastAsia" w:ascii="仿宋" w:hAnsi="仿宋" w:eastAsia="仿宋" w:cs="仿宋"/>
                <w:color w:val="auto"/>
                <w:kern w:val="0"/>
                <w:sz w:val="24"/>
                <w:lang w:bidi="ar"/>
              </w:rPr>
            </w:pPr>
          </w:p>
        </w:tc>
        <w:tc>
          <w:tcPr>
            <w:tcW w:w="927" w:type="dxa"/>
            <w:noWrap w:val="0"/>
            <w:vAlign w:val="top"/>
          </w:tcPr>
          <w:p w14:paraId="3516DF35">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480" w:firstLineChars="200"/>
              <w:jc w:val="left"/>
              <w:textAlignment w:val="auto"/>
              <w:outlineLvl w:val="9"/>
              <w:rPr>
                <w:rFonts w:hint="eastAsia" w:ascii="仿宋" w:hAnsi="仿宋" w:eastAsia="仿宋" w:cs="仿宋"/>
                <w:color w:val="auto"/>
                <w:kern w:val="0"/>
                <w:sz w:val="24"/>
                <w:lang w:bidi="ar"/>
              </w:rPr>
            </w:pPr>
          </w:p>
        </w:tc>
        <w:tc>
          <w:tcPr>
            <w:tcW w:w="3583" w:type="dxa"/>
            <w:vMerge w:val="continue"/>
            <w:noWrap w:val="0"/>
            <w:vAlign w:val="top"/>
          </w:tcPr>
          <w:p w14:paraId="131F4F0B">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480" w:firstLineChars="200"/>
              <w:jc w:val="left"/>
              <w:textAlignment w:val="auto"/>
              <w:outlineLvl w:val="9"/>
              <w:rPr>
                <w:rFonts w:hint="eastAsia" w:ascii="仿宋" w:hAnsi="仿宋" w:eastAsia="仿宋" w:cs="仿宋"/>
                <w:color w:val="auto"/>
                <w:kern w:val="0"/>
                <w:sz w:val="24"/>
                <w:lang w:bidi="ar"/>
              </w:rPr>
            </w:pPr>
          </w:p>
        </w:tc>
      </w:tr>
      <w:tr w14:paraId="2D32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269" w:type="dxa"/>
            <w:noWrap w:val="0"/>
            <w:vAlign w:val="center"/>
          </w:tcPr>
          <w:p w14:paraId="3294F384">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jc w:val="left"/>
              <w:textAlignment w:val="auto"/>
              <w:outlineLvl w:val="9"/>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你对食堂有何意见和建议</w:t>
            </w:r>
          </w:p>
        </w:tc>
        <w:tc>
          <w:tcPr>
            <w:tcW w:w="6829" w:type="dxa"/>
            <w:gridSpan w:val="5"/>
            <w:noWrap w:val="0"/>
            <w:vAlign w:val="top"/>
          </w:tcPr>
          <w:p w14:paraId="692817A6">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480" w:firstLineChars="200"/>
              <w:jc w:val="left"/>
              <w:textAlignment w:val="auto"/>
              <w:outlineLvl w:val="9"/>
              <w:rPr>
                <w:rFonts w:hint="eastAsia" w:ascii="仿宋" w:hAnsi="仿宋" w:eastAsia="仿宋" w:cs="仿宋"/>
                <w:color w:val="auto"/>
                <w:kern w:val="0"/>
                <w:sz w:val="24"/>
                <w:lang w:bidi="ar"/>
              </w:rPr>
            </w:pPr>
          </w:p>
          <w:p w14:paraId="362A2E9E">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480" w:firstLineChars="200"/>
              <w:jc w:val="left"/>
              <w:textAlignment w:val="auto"/>
              <w:outlineLvl w:val="9"/>
              <w:rPr>
                <w:rFonts w:hint="eastAsia" w:ascii="仿宋" w:hAnsi="仿宋" w:eastAsia="仿宋" w:cs="仿宋"/>
                <w:color w:val="auto"/>
                <w:kern w:val="0"/>
                <w:sz w:val="24"/>
                <w:lang w:bidi="ar"/>
              </w:rPr>
            </w:pPr>
          </w:p>
          <w:p w14:paraId="01B93FEC">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480" w:firstLineChars="200"/>
              <w:jc w:val="left"/>
              <w:textAlignment w:val="auto"/>
              <w:outlineLvl w:val="9"/>
              <w:rPr>
                <w:rFonts w:hint="eastAsia" w:ascii="仿宋" w:hAnsi="仿宋" w:eastAsia="仿宋" w:cs="仿宋"/>
                <w:color w:val="auto"/>
                <w:kern w:val="0"/>
                <w:sz w:val="24"/>
                <w:lang w:bidi="ar"/>
              </w:rPr>
            </w:pPr>
          </w:p>
        </w:tc>
      </w:tr>
    </w:tbl>
    <w:p w14:paraId="4406EF71">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480" w:firstLineChars="200"/>
        <w:jc w:val="left"/>
        <w:textAlignment w:val="auto"/>
        <w:outlineLvl w:val="9"/>
        <w:rPr>
          <w:rFonts w:hint="eastAsia" w:ascii="仿宋" w:hAnsi="仿宋" w:eastAsia="仿宋" w:cs="仿宋"/>
          <w:color w:val="auto"/>
          <w:kern w:val="0"/>
          <w:sz w:val="24"/>
          <w:lang w:bidi="ar"/>
        </w:rPr>
      </w:pPr>
    </w:p>
    <w:p w14:paraId="3049BB22">
      <w:pPr>
        <w:keepNext w:val="0"/>
        <w:keepLines w:val="0"/>
        <w:pageBreakBefore w:val="0"/>
        <w:widowControl w:val="0"/>
        <w:kinsoku/>
        <w:wordWrap/>
        <w:overflowPunct/>
        <w:topLinePunct w:val="0"/>
        <w:bidi w:val="0"/>
        <w:adjustRightInd w:val="0"/>
        <w:snapToGrid/>
        <w:spacing w:beforeAutospacing="0" w:afterAutospacing="0" w:line="240" w:lineRule="auto"/>
        <w:ind w:left="0" w:leftChars="0" w:right="0" w:rightChars="0"/>
        <w:textAlignment w:val="auto"/>
        <w:outlineLvl w:val="9"/>
        <w:rPr>
          <w:rFonts w:hint="eastAsia" w:ascii="仿宋" w:hAnsi="仿宋" w:eastAsia="仿宋" w:cs="仿宋"/>
          <w:b/>
          <w:color w:val="auto"/>
          <w:sz w:val="24"/>
        </w:rPr>
      </w:pPr>
      <w:r>
        <w:rPr>
          <w:rFonts w:hint="eastAsia" w:ascii="仿宋" w:hAnsi="仿宋" w:eastAsia="仿宋" w:cs="仿宋"/>
          <w:b/>
          <w:color w:val="auto"/>
          <w:sz w:val="24"/>
        </w:rPr>
        <w:t>七、服务承诺</w:t>
      </w:r>
      <w:bookmarkEnd w:id="15"/>
      <w:bookmarkEnd w:id="16"/>
    </w:p>
    <w:p w14:paraId="6963ABF4">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1.投标人应制定专门的项目负责人与招标人保持联系，随时解决各类问题；</w:t>
      </w:r>
    </w:p>
    <w:p w14:paraId="3B16C208">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2 .投标人须对招标文件中提出的服务内容和各项要求做出明确的承诺，说明是否可以达到相应的标准以及如何达到；</w:t>
      </w:r>
    </w:p>
    <w:p w14:paraId="58BD1649">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3.服务方案和相关服务承诺应内容明确，范围清楚，内容真实可行，并必须真实可靠，否则一切后果投标人自负；</w:t>
      </w:r>
      <w:bookmarkStart w:id="17" w:name="_Toc33335637"/>
      <w:bookmarkStart w:id="18" w:name="_Toc135212472"/>
    </w:p>
    <w:p w14:paraId="51D7D88A">
      <w:pPr>
        <w:keepLines w:val="0"/>
        <w:kinsoku/>
        <w:wordWrap/>
        <w:overflowPunct/>
        <w:topLinePunct w:val="0"/>
        <w:bidi w:val="0"/>
        <w:spacing w:beforeAutospacing="0" w:afterAutospacing="0" w:line="360" w:lineRule="auto"/>
        <w:ind w:left="0" w:leftChars="0" w:right="0" w:rightChars="0"/>
        <w:outlineLvl w:val="9"/>
        <w:rPr>
          <w:rFonts w:hint="eastAsia" w:ascii="仿宋" w:hAnsi="仿宋" w:eastAsia="仿宋" w:cs="仿宋"/>
          <w:b/>
          <w:color w:val="auto"/>
          <w:sz w:val="24"/>
        </w:rPr>
      </w:pPr>
      <w:r>
        <w:rPr>
          <w:rFonts w:hint="eastAsia" w:ascii="仿宋" w:hAnsi="仿宋" w:eastAsia="仿宋" w:cs="仿宋"/>
          <w:b/>
          <w:color w:val="auto"/>
          <w:sz w:val="24"/>
        </w:rPr>
        <w:t>八、优惠服务</w:t>
      </w:r>
      <w:bookmarkEnd w:id="17"/>
      <w:bookmarkEnd w:id="18"/>
    </w:p>
    <w:p w14:paraId="2C6B1E1F">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1.投标人可根据自身条件，说明可能给予招标人的优惠服务，这些优惠服务必须是符合国家相关规定的、与服务项目相关的内容；</w:t>
      </w:r>
    </w:p>
    <w:p w14:paraId="65656549">
      <w:pPr>
        <w:keepLines w:val="0"/>
        <w:kinsoku/>
        <w:wordWrap/>
        <w:overflowPunct/>
        <w:topLinePunct w:val="0"/>
        <w:autoSpaceDE w:val="0"/>
        <w:autoSpaceDN w:val="0"/>
        <w:bidi w:val="0"/>
        <w:adjustRightInd w:val="0"/>
        <w:spacing w:beforeAutospacing="0" w:afterAutospacing="0" w:line="360" w:lineRule="auto"/>
        <w:ind w:left="0" w:leftChars="0" w:right="0" w:rightChars="0" w:firstLine="480" w:firstLineChars="200"/>
        <w:jc w:val="left"/>
        <w:outlineLvl w:val="9"/>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2.投标人提供的优惠服务将作为评标的一个因素；</w:t>
      </w:r>
      <w:bookmarkStart w:id="19" w:name="_Toc33335638"/>
      <w:bookmarkStart w:id="20" w:name="_Toc135212473"/>
    </w:p>
    <w:p w14:paraId="17E057D9">
      <w:pPr>
        <w:keepLines w:val="0"/>
        <w:kinsoku/>
        <w:wordWrap/>
        <w:overflowPunct/>
        <w:topLinePunct w:val="0"/>
        <w:bidi w:val="0"/>
        <w:spacing w:beforeAutospacing="0" w:afterAutospacing="0" w:line="360" w:lineRule="auto"/>
        <w:ind w:left="0" w:leftChars="0" w:right="0" w:rightChars="0"/>
        <w:outlineLvl w:val="9"/>
        <w:rPr>
          <w:rFonts w:hint="eastAsia" w:ascii="仿宋" w:hAnsi="仿宋" w:eastAsia="仿宋" w:cs="仿宋"/>
          <w:b/>
          <w:color w:val="auto"/>
          <w:sz w:val="24"/>
          <w:szCs w:val="24"/>
        </w:rPr>
      </w:pPr>
      <w:r>
        <w:rPr>
          <w:rFonts w:hint="eastAsia" w:ascii="仿宋" w:hAnsi="仿宋" w:eastAsia="仿宋" w:cs="仿宋"/>
          <w:b/>
          <w:color w:val="auto"/>
          <w:sz w:val="24"/>
        </w:rPr>
        <w:t>九</w:t>
      </w:r>
      <w:r>
        <w:rPr>
          <w:rFonts w:hint="eastAsia" w:ascii="仿宋" w:hAnsi="仿宋" w:eastAsia="仿宋" w:cs="仿宋"/>
          <w:b/>
          <w:color w:val="auto"/>
          <w:sz w:val="24"/>
          <w:szCs w:val="24"/>
        </w:rPr>
        <w:t>、其他服务</w:t>
      </w:r>
      <w:bookmarkEnd w:id="19"/>
      <w:bookmarkEnd w:id="20"/>
    </w:p>
    <w:p w14:paraId="5F9D0E9C">
      <w:pPr>
        <w:pStyle w:val="23"/>
        <w:keepLines w:val="0"/>
        <w:kinsoku/>
        <w:wordWrap/>
        <w:overflowPunct/>
        <w:topLinePunct w:val="0"/>
        <w:bidi w:val="0"/>
        <w:spacing w:beforeAutospacing="0" w:afterAutospacing="0" w:line="360" w:lineRule="auto"/>
        <w:ind w:left="0" w:leftChars="0" w:right="0" w:rightChars="0" w:firstLine="480" w:firstLineChars="200"/>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1.除招标人提出的各项服务要求外，投标人可根据本公司业务开展情况，说明可提供的其他特色服务；</w:t>
      </w:r>
    </w:p>
    <w:p w14:paraId="7BED32BB">
      <w:pPr>
        <w:pStyle w:val="19"/>
        <w:keepLines w:val="0"/>
        <w:kinsoku/>
        <w:wordWrap/>
        <w:overflowPunct/>
        <w:topLinePunct w:val="0"/>
        <w:bidi w:val="0"/>
        <w:spacing w:beforeAutospacing="0" w:afterAutospacing="0" w:line="360" w:lineRule="auto"/>
        <w:ind w:left="0" w:leftChars="0" w:right="0" w:rightChars="0" w:firstLine="480" w:firstLineChars="200"/>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2.带“●”条款为实质性条款，投标人须提供《项目技术规范和服务要求实质性</w:t>
      </w:r>
      <w:r>
        <w:rPr>
          <w:rFonts w:hint="eastAsia" w:ascii="仿宋" w:hAnsi="仿宋" w:eastAsia="仿宋" w:cs="仿宋"/>
          <w:snapToGrid/>
          <w:color w:val="auto"/>
          <w:kern w:val="0"/>
          <w:sz w:val="22"/>
          <w:szCs w:val="22"/>
          <w:lang w:val="en-US" w:eastAsia="zh-CN" w:bidi="ar"/>
        </w:rPr>
        <w:t>内容响应表》，如有任意一条未响应或不满足或未按要求提供证明材料，将被视为无效。</w:t>
      </w:r>
    </w:p>
    <w:bookmarkEnd w:id="4"/>
    <w:p w14:paraId="2BD48AC3">
      <w:pPr>
        <w:keepLines w:val="0"/>
        <w:kinsoku/>
        <w:wordWrap/>
        <w:overflowPunct/>
        <w:topLinePunct w:val="0"/>
        <w:bidi w:val="0"/>
        <w:snapToGrid w:val="0"/>
        <w:spacing w:beforeAutospacing="0" w:afterAutospacing="0" w:line="360" w:lineRule="auto"/>
        <w:ind w:left="0" w:leftChars="0" w:right="0" w:rightChars="0" w:firstLine="592" w:firstLineChars="247"/>
        <w:outlineLvl w:val="9"/>
        <w:rPr>
          <w:rFonts w:hint="eastAsia" w:ascii="仿宋" w:hAnsi="仿宋" w:eastAsia="仿宋" w:cs="仿宋"/>
          <w:snapToGrid/>
          <w:color w:val="auto"/>
          <w:kern w:val="0"/>
          <w:sz w:val="24"/>
          <w:szCs w:val="24"/>
          <w:lang w:val="en-US" w:eastAsia="zh-CN" w:bidi="ar"/>
        </w:rPr>
      </w:pPr>
      <w:r>
        <w:rPr>
          <w:rFonts w:hint="eastAsia" w:ascii="仿宋" w:hAnsi="仿宋" w:eastAsia="仿宋" w:cs="仿宋"/>
          <w:snapToGrid/>
          <w:color w:val="auto"/>
          <w:kern w:val="0"/>
          <w:sz w:val="24"/>
          <w:szCs w:val="24"/>
          <w:lang w:val="en-US" w:eastAsia="zh-CN" w:bidi="ar"/>
        </w:rPr>
        <w:t>本章未尽之处详见“第五部分  拟签订的合同文本”。</w:t>
      </w:r>
    </w:p>
    <w:p w14:paraId="7B2418CD">
      <w:pPr>
        <w:keepLines w:val="0"/>
        <w:kinsoku/>
        <w:wordWrap/>
        <w:overflowPunct/>
        <w:topLinePunct w:val="0"/>
        <w:bidi w:val="0"/>
        <w:snapToGrid w:val="0"/>
        <w:spacing w:beforeAutospacing="0" w:afterAutospacing="0" w:line="360" w:lineRule="auto"/>
        <w:ind w:left="0" w:leftChars="0" w:right="0" w:right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十</w:t>
      </w:r>
      <w:r>
        <w:rPr>
          <w:rFonts w:hint="eastAsia" w:ascii="仿宋" w:hAnsi="仿宋" w:eastAsia="仿宋" w:cs="仿宋"/>
          <w:b/>
          <w:bCs/>
          <w:color w:val="auto"/>
          <w:sz w:val="24"/>
        </w:rPr>
        <w:t>、采购人认为必须说明的其他内容：</w:t>
      </w:r>
    </w:p>
    <w:p w14:paraId="685DFEA9">
      <w:pPr>
        <w:pStyle w:val="23"/>
        <w:keepLines w:val="0"/>
        <w:kinsoku/>
        <w:wordWrap/>
        <w:overflowPunct/>
        <w:topLinePunct w:val="0"/>
        <w:bidi w:val="0"/>
        <w:spacing w:beforeAutospacing="0" w:afterAutospacing="0" w:line="360" w:lineRule="auto"/>
        <w:ind w:left="0" w:leftChars="0" w:right="0" w:rightChars="0" w:firstLine="480" w:firstLineChars="200"/>
        <w:outlineLvl w:val="9"/>
        <w:rPr>
          <w:rFonts w:ascii="仿宋" w:hAnsi="仿宋" w:eastAsia="仿宋"/>
          <w:bCs/>
          <w:color w:val="auto"/>
          <w:sz w:val="24"/>
        </w:rPr>
      </w:pPr>
      <w:r>
        <w:rPr>
          <w:rFonts w:hint="eastAsia" w:ascii="仿宋" w:hAnsi="仿宋" w:eastAsia="仿宋" w:cs="仿宋"/>
          <w:snapToGrid/>
          <w:color w:val="auto"/>
          <w:kern w:val="0"/>
          <w:sz w:val="24"/>
          <w:szCs w:val="24"/>
          <w:lang w:val="en-US" w:eastAsia="zh-CN" w:bidi="ar"/>
        </w:rPr>
        <w:t>1.带“▲”条款为实质性条款，投标人须将相应内容填写至《符合性审查资料》，如有任意一条未响应或不满足，将被视为投标无效。</w:t>
      </w:r>
      <w:bookmarkEnd w:id="0"/>
    </w:p>
    <w:bookmarkEnd w:id="25"/>
    <w:sectPr>
      <w:headerReference r:id="rId6" w:type="first"/>
      <w:footerReference r:id="rId9" w:type="first"/>
      <w:headerReference r:id="rId5" w:type="default"/>
      <w:footerReference r:id="rId7" w:type="default"/>
      <w:footerReference r:id="rId8" w:type="even"/>
      <w:pgSz w:w="11905" w:h="16838"/>
      <w:pgMar w:top="1474" w:right="1474" w:bottom="1474" w:left="147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宋体"/>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FuturaA Bk BT">
    <w:altName w:val="Arial"/>
    <w:panose1 w:val="00000000000000000000"/>
    <w:charset w:val="00"/>
    <w:family w:val="swiss"/>
    <w:pitch w:val="default"/>
    <w:sig w:usb0="00000000" w:usb1="00000000" w:usb2="00000000" w:usb3="00000000" w:csb0="0000001B"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7E4F5">
    <w:pPr>
      <w:pStyle w:val="41"/>
      <w:spacing w:before="1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E46A67">
                          <w:pPr>
                            <w:pStyle w:val="41"/>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14:paraId="42E46A67">
                    <w:pPr>
                      <w:pStyle w:val="41"/>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B4A77">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77FFF">
    <w:pPr>
      <w:pStyle w:val="41"/>
      <w:framePr w:wrap="around" w:vAnchor="text" w:hAnchor="margin" w:xAlign="right" w:y="1"/>
      <w:rPr>
        <w:rStyle w:val="72"/>
      </w:rPr>
    </w:pPr>
    <w:r>
      <w:fldChar w:fldCharType="begin"/>
    </w:r>
    <w:r>
      <w:rPr>
        <w:rStyle w:val="72"/>
      </w:rPr>
      <w:instrText xml:space="preserve">PAGE  </w:instrText>
    </w:r>
    <w:r>
      <w:fldChar w:fldCharType="separate"/>
    </w:r>
    <w:r>
      <w:rPr>
        <w:rStyle w:val="72"/>
      </w:rPr>
      <w:t>8</w:t>
    </w:r>
    <w:r>
      <w:fldChar w:fldCharType="end"/>
    </w:r>
  </w:p>
  <w:p w14:paraId="5F0F6595">
    <w:pPr>
      <w:pStyle w:val="4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7B0E6">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21" w:name="_Toc91899912"/>
    <w:bookmarkStart w:id="22" w:name="_Toc164085800"/>
    <w:bookmarkStart w:id="23" w:name="_Toc36110187"/>
    <w:bookmarkStart w:id="24" w:name="_Toc131845147"/>
    <w:r>
      <w:rPr>
        <w:rFonts w:hint="eastAsia" w:ascii="仿宋_GB2312" w:eastAsia="仿宋_GB2312"/>
        <w:kern w:val="0"/>
        <w:szCs w:val="21"/>
      </w:rPr>
      <w:t xml:space="preserve"> 页</w:t>
    </w:r>
    <w:bookmarkEnd w:id="21"/>
    <w:bookmarkEnd w:id="22"/>
    <w:bookmarkEnd w:id="23"/>
    <w:bookmarkEnd w:id="2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4DF63">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C5C7B">
    <w:pPr>
      <w:pStyle w:val="42"/>
      <w:jc w:val="right"/>
      <w:rPr>
        <w:rFonts w:ascii="仿宋_GB2312" w:eastAsia="仿宋_GB2312"/>
        <w:b/>
        <w:i/>
        <w:iCs/>
        <w:u w:val="single"/>
      </w:rPr>
    </w:pP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4E7B">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B52E7"/>
    <w:multiLevelType w:val="singleLevel"/>
    <w:tmpl w:val="D01B52E7"/>
    <w:lvl w:ilvl="0" w:tentative="0">
      <w:start w:val="6"/>
      <w:numFmt w:val="chineseCounting"/>
      <w:suff w:val="nothing"/>
      <w:lvlText w:val="%1、"/>
      <w:lvlJc w:val="left"/>
      <w:rPr>
        <w:rFonts w:hint="eastAsia"/>
      </w:rPr>
    </w:lvl>
  </w:abstractNum>
  <w:abstractNum w:abstractNumId="1">
    <w:nsid w:val="4A9D203D"/>
    <w:multiLevelType w:val="multilevel"/>
    <w:tmpl w:val="4A9D203D"/>
    <w:lvl w:ilvl="0" w:tentative="0">
      <w:start w:val="1"/>
      <w:numFmt w:val="chineseCounting"/>
      <w:suff w:val="nothing"/>
      <w:lvlText w:val="%1、"/>
      <w:lvlJc w:val="left"/>
      <w:pPr>
        <w:tabs>
          <w:tab w:val="left" w:pos="0"/>
        </w:tabs>
        <w:ind w:left="425" w:hanging="425"/>
      </w:pPr>
      <w:rPr>
        <w:rFonts w:hint="eastAsia" w:ascii="宋体" w:hAnsi="宋体" w:eastAsia="宋体" w:cs="宋体"/>
      </w:rPr>
    </w:lvl>
    <w:lvl w:ilvl="1" w:tentative="0">
      <w:start w:val="1"/>
      <w:numFmt w:val="decimal"/>
      <w:suff w:val="nothing"/>
      <w:lvlText w:val="%2."/>
      <w:lvlJc w:val="left"/>
      <w:pPr>
        <w:tabs>
          <w:tab w:val="left" w:pos="420"/>
        </w:tabs>
        <w:ind w:left="567" w:hanging="567"/>
      </w:pPr>
      <w:rPr>
        <w:rFonts w:hint="eastAsia" w:ascii="宋体" w:hAnsi="宋体" w:eastAsia="宋体" w:cs="宋体"/>
      </w:rPr>
    </w:lvl>
    <w:lvl w:ilvl="2" w:tentative="0">
      <w:start w:val="1"/>
      <w:numFmt w:val="decimal"/>
      <w:pStyle w:val="968"/>
      <w:suff w:val="nothing"/>
      <w:lvlText w:val="%2.%3."/>
      <w:lvlJc w:val="left"/>
      <w:pPr>
        <w:tabs>
          <w:tab w:val="left" w:pos="0"/>
        </w:tabs>
        <w:ind w:left="709" w:hanging="709"/>
      </w:pPr>
      <w:rPr>
        <w:rFonts w:hint="eastAsia" w:ascii="宋体" w:hAnsi="宋体" w:eastAsia="宋体" w:cs="宋体"/>
      </w:rPr>
    </w:lvl>
    <w:lvl w:ilvl="3" w:tentative="0">
      <w:start w:val="1"/>
      <w:numFmt w:val="decimal"/>
      <w:suff w:val="nothing"/>
      <w:lvlText w:val="%2.%3.%4."/>
      <w:lvlJc w:val="left"/>
      <w:pPr>
        <w:tabs>
          <w:tab w:val="left" w:pos="0"/>
        </w:tabs>
        <w:ind w:left="0" w:firstLine="0"/>
      </w:pPr>
      <w:rPr>
        <w:rFonts w:hint="eastAsia" w:ascii="宋体" w:hAnsi="宋体" w:eastAsia="宋体" w:cs="宋体"/>
      </w:rPr>
    </w:lvl>
    <w:lvl w:ilvl="4" w:tentative="0">
      <w:start w:val="1"/>
      <w:numFmt w:val="decimal"/>
      <w:lvlText w:val="%2.%3.%4.%5."/>
      <w:lvlJc w:val="left"/>
      <w:pPr>
        <w:ind w:left="991" w:hanging="991"/>
      </w:pPr>
      <w:rPr>
        <w:rFonts w:hint="eastAsia" w:ascii="宋体" w:hAnsi="宋体" w:eastAsia="宋体" w:cs="宋体"/>
      </w:rPr>
    </w:lvl>
    <w:lvl w:ilvl="5" w:tentative="0">
      <w:start w:val="1"/>
      <w:numFmt w:val="decimal"/>
      <w:lvlText w:val="%2.%3.%4.%5.%6."/>
      <w:lvlJc w:val="left"/>
      <w:pPr>
        <w:ind w:left="1134" w:hanging="1134"/>
      </w:pPr>
      <w:rPr>
        <w:rFonts w:hint="eastAsia" w:ascii="宋体" w:hAnsi="宋体" w:eastAsia="宋体" w:cs="宋体"/>
      </w:rPr>
    </w:lvl>
    <w:lvl w:ilvl="6" w:tentative="0">
      <w:start w:val="1"/>
      <w:numFmt w:val="decimal"/>
      <w:lvlText w:val="%2.%3.%4.%5.%6.%7."/>
      <w:lvlJc w:val="left"/>
      <w:pPr>
        <w:ind w:left="1275" w:hanging="1275"/>
      </w:pPr>
      <w:rPr>
        <w:rFonts w:hint="eastAsia" w:ascii="宋体" w:hAnsi="宋体" w:eastAsia="宋体" w:cs="宋体"/>
      </w:rPr>
    </w:lvl>
    <w:lvl w:ilvl="7" w:tentative="0">
      <w:start w:val="1"/>
      <w:numFmt w:val="decimal"/>
      <w:lvlText w:val="%2.%3.%4.%5.%6.%7.%8."/>
      <w:lvlJc w:val="left"/>
      <w:pPr>
        <w:ind w:left="1418" w:hanging="1418"/>
      </w:pPr>
      <w:rPr>
        <w:rFonts w:hint="eastAsia" w:ascii="宋体" w:hAnsi="宋体" w:eastAsia="宋体" w:cs="宋体"/>
      </w:rPr>
    </w:lvl>
    <w:lvl w:ilvl="8" w:tentative="0">
      <w:start w:val="1"/>
      <w:numFmt w:val="decimal"/>
      <w:lvlText w:val="%2.%3.%4.%5.%6.%7.%8.%9."/>
      <w:lvlJc w:val="left"/>
      <w:pPr>
        <w:ind w:left="1558" w:hanging="1558"/>
      </w:pPr>
      <w:rPr>
        <w:rFonts w:hint="eastAsia" w:ascii="宋体" w:hAnsi="宋体" w:eastAsia="宋体" w:cs="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MWMzOTlmZjBlMTZjZTdjMDJjNTY0YzBlNjgw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53"/>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8A5"/>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4C8"/>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09B"/>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77D"/>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F63"/>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452"/>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8C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468"/>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A2CD1"/>
    <w:rsid w:val="01B37585"/>
    <w:rsid w:val="01CF1530"/>
    <w:rsid w:val="01D55165"/>
    <w:rsid w:val="01DF5C17"/>
    <w:rsid w:val="01DF6BF8"/>
    <w:rsid w:val="01EC2C57"/>
    <w:rsid w:val="021777AA"/>
    <w:rsid w:val="026B2E25"/>
    <w:rsid w:val="02824D4D"/>
    <w:rsid w:val="02827F58"/>
    <w:rsid w:val="02DC4B10"/>
    <w:rsid w:val="02DD76CE"/>
    <w:rsid w:val="02F36323"/>
    <w:rsid w:val="02F5619C"/>
    <w:rsid w:val="0326446A"/>
    <w:rsid w:val="032D5555"/>
    <w:rsid w:val="035D4591"/>
    <w:rsid w:val="036634D2"/>
    <w:rsid w:val="03DD35E4"/>
    <w:rsid w:val="03ED37A1"/>
    <w:rsid w:val="04060484"/>
    <w:rsid w:val="04076900"/>
    <w:rsid w:val="041A5A3B"/>
    <w:rsid w:val="042311BA"/>
    <w:rsid w:val="042B157A"/>
    <w:rsid w:val="046E4E16"/>
    <w:rsid w:val="0482094E"/>
    <w:rsid w:val="048F763B"/>
    <w:rsid w:val="049F330E"/>
    <w:rsid w:val="04AA775C"/>
    <w:rsid w:val="04AF1889"/>
    <w:rsid w:val="04F66F48"/>
    <w:rsid w:val="051C5383"/>
    <w:rsid w:val="05251E14"/>
    <w:rsid w:val="052F2A11"/>
    <w:rsid w:val="05A16594"/>
    <w:rsid w:val="05A7762D"/>
    <w:rsid w:val="060E5941"/>
    <w:rsid w:val="06110FAF"/>
    <w:rsid w:val="063F5B0F"/>
    <w:rsid w:val="06493CA7"/>
    <w:rsid w:val="065A6178"/>
    <w:rsid w:val="06667154"/>
    <w:rsid w:val="066F1CF3"/>
    <w:rsid w:val="06930BB8"/>
    <w:rsid w:val="06EB62E2"/>
    <w:rsid w:val="07244D43"/>
    <w:rsid w:val="07245D42"/>
    <w:rsid w:val="07264C62"/>
    <w:rsid w:val="072A2FCD"/>
    <w:rsid w:val="07417335"/>
    <w:rsid w:val="0779354C"/>
    <w:rsid w:val="07C231CA"/>
    <w:rsid w:val="08061376"/>
    <w:rsid w:val="08452D77"/>
    <w:rsid w:val="086401F8"/>
    <w:rsid w:val="08751CAA"/>
    <w:rsid w:val="087E4C40"/>
    <w:rsid w:val="08D056E7"/>
    <w:rsid w:val="08D66AD6"/>
    <w:rsid w:val="08DA33A3"/>
    <w:rsid w:val="08E80F13"/>
    <w:rsid w:val="08EE2006"/>
    <w:rsid w:val="09335624"/>
    <w:rsid w:val="093C70F1"/>
    <w:rsid w:val="0944690F"/>
    <w:rsid w:val="09535675"/>
    <w:rsid w:val="095F057D"/>
    <w:rsid w:val="09642282"/>
    <w:rsid w:val="09733572"/>
    <w:rsid w:val="09772C16"/>
    <w:rsid w:val="097C627E"/>
    <w:rsid w:val="098353B5"/>
    <w:rsid w:val="09A92330"/>
    <w:rsid w:val="09B06B87"/>
    <w:rsid w:val="09C13146"/>
    <w:rsid w:val="09E04166"/>
    <w:rsid w:val="09E44456"/>
    <w:rsid w:val="0A116122"/>
    <w:rsid w:val="0A1C0718"/>
    <w:rsid w:val="0A3E7710"/>
    <w:rsid w:val="0A5B7E63"/>
    <w:rsid w:val="0AA374A5"/>
    <w:rsid w:val="0AAB7649"/>
    <w:rsid w:val="0ABC5606"/>
    <w:rsid w:val="0AC42132"/>
    <w:rsid w:val="0AEE5A69"/>
    <w:rsid w:val="0AFB5144"/>
    <w:rsid w:val="0B30404E"/>
    <w:rsid w:val="0B44732B"/>
    <w:rsid w:val="0B4C6C14"/>
    <w:rsid w:val="0B631A88"/>
    <w:rsid w:val="0B683D45"/>
    <w:rsid w:val="0B6D31C6"/>
    <w:rsid w:val="0B7F3F11"/>
    <w:rsid w:val="0B884417"/>
    <w:rsid w:val="0BA3102A"/>
    <w:rsid w:val="0BF6188C"/>
    <w:rsid w:val="0BF73C91"/>
    <w:rsid w:val="0C170175"/>
    <w:rsid w:val="0C332C04"/>
    <w:rsid w:val="0C571A41"/>
    <w:rsid w:val="0C5C1171"/>
    <w:rsid w:val="0C5C1BCC"/>
    <w:rsid w:val="0C5E1CBC"/>
    <w:rsid w:val="0C615B50"/>
    <w:rsid w:val="0C8445DA"/>
    <w:rsid w:val="0C87121B"/>
    <w:rsid w:val="0C8F253F"/>
    <w:rsid w:val="0CC007F7"/>
    <w:rsid w:val="0CFE707A"/>
    <w:rsid w:val="0D063BDA"/>
    <w:rsid w:val="0D08375F"/>
    <w:rsid w:val="0D0B2C6C"/>
    <w:rsid w:val="0D184CFB"/>
    <w:rsid w:val="0D395136"/>
    <w:rsid w:val="0D4A7419"/>
    <w:rsid w:val="0D827401"/>
    <w:rsid w:val="0D84094E"/>
    <w:rsid w:val="0D8A00E9"/>
    <w:rsid w:val="0D8D589E"/>
    <w:rsid w:val="0D985DAE"/>
    <w:rsid w:val="0DA01C73"/>
    <w:rsid w:val="0DCA0FC9"/>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B64CC"/>
    <w:rsid w:val="0FBF3FD2"/>
    <w:rsid w:val="0FBF7FF3"/>
    <w:rsid w:val="10105A09"/>
    <w:rsid w:val="103D2B2E"/>
    <w:rsid w:val="10646583"/>
    <w:rsid w:val="107D4B15"/>
    <w:rsid w:val="108A3C80"/>
    <w:rsid w:val="10AA4855"/>
    <w:rsid w:val="10C26171"/>
    <w:rsid w:val="10F26336"/>
    <w:rsid w:val="10F33360"/>
    <w:rsid w:val="10FC16EA"/>
    <w:rsid w:val="11036B00"/>
    <w:rsid w:val="110E3E23"/>
    <w:rsid w:val="110F1D40"/>
    <w:rsid w:val="11266F33"/>
    <w:rsid w:val="113350E0"/>
    <w:rsid w:val="118963A1"/>
    <w:rsid w:val="11B65DF2"/>
    <w:rsid w:val="11C6522A"/>
    <w:rsid w:val="11CB3D84"/>
    <w:rsid w:val="11E104CC"/>
    <w:rsid w:val="11E20309"/>
    <w:rsid w:val="11FE0013"/>
    <w:rsid w:val="12255233"/>
    <w:rsid w:val="12530213"/>
    <w:rsid w:val="12704669"/>
    <w:rsid w:val="1275347B"/>
    <w:rsid w:val="127723A9"/>
    <w:rsid w:val="12862074"/>
    <w:rsid w:val="12883966"/>
    <w:rsid w:val="129E45B4"/>
    <w:rsid w:val="12B05320"/>
    <w:rsid w:val="12BB25D2"/>
    <w:rsid w:val="12D81596"/>
    <w:rsid w:val="13072A44"/>
    <w:rsid w:val="130B01B6"/>
    <w:rsid w:val="13545D39"/>
    <w:rsid w:val="135F4BE2"/>
    <w:rsid w:val="137A4BC0"/>
    <w:rsid w:val="139B1A0A"/>
    <w:rsid w:val="139D25C7"/>
    <w:rsid w:val="13BF3CE4"/>
    <w:rsid w:val="141008D8"/>
    <w:rsid w:val="14125FE6"/>
    <w:rsid w:val="146D271E"/>
    <w:rsid w:val="14982588"/>
    <w:rsid w:val="149A5AD9"/>
    <w:rsid w:val="14A7619D"/>
    <w:rsid w:val="14BB7B9C"/>
    <w:rsid w:val="150536C3"/>
    <w:rsid w:val="15084B76"/>
    <w:rsid w:val="150C1963"/>
    <w:rsid w:val="151447A0"/>
    <w:rsid w:val="154A6454"/>
    <w:rsid w:val="15762120"/>
    <w:rsid w:val="15E45D39"/>
    <w:rsid w:val="163836F0"/>
    <w:rsid w:val="16910531"/>
    <w:rsid w:val="16A8729C"/>
    <w:rsid w:val="16B33777"/>
    <w:rsid w:val="16BC70A7"/>
    <w:rsid w:val="16C6339E"/>
    <w:rsid w:val="172F2D79"/>
    <w:rsid w:val="17557BEF"/>
    <w:rsid w:val="175F3F5B"/>
    <w:rsid w:val="177355B1"/>
    <w:rsid w:val="17847889"/>
    <w:rsid w:val="17D349C1"/>
    <w:rsid w:val="1830729E"/>
    <w:rsid w:val="1870062C"/>
    <w:rsid w:val="18817102"/>
    <w:rsid w:val="18830A15"/>
    <w:rsid w:val="18852B28"/>
    <w:rsid w:val="188B5321"/>
    <w:rsid w:val="196453DF"/>
    <w:rsid w:val="19932372"/>
    <w:rsid w:val="19A20DD5"/>
    <w:rsid w:val="19AE03F1"/>
    <w:rsid w:val="1A071A03"/>
    <w:rsid w:val="1A1F16AE"/>
    <w:rsid w:val="1A325F33"/>
    <w:rsid w:val="1A3B5C77"/>
    <w:rsid w:val="1A65423B"/>
    <w:rsid w:val="1A984BAD"/>
    <w:rsid w:val="1AB8220E"/>
    <w:rsid w:val="1AB8305C"/>
    <w:rsid w:val="1AE4166C"/>
    <w:rsid w:val="1AF06CFB"/>
    <w:rsid w:val="1AF11B8D"/>
    <w:rsid w:val="1AF85A85"/>
    <w:rsid w:val="1B11359C"/>
    <w:rsid w:val="1B2644C6"/>
    <w:rsid w:val="1B2A271F"/>
    <w:rsid w:val="1B46204F"/>
    <w:rsid w:val="1B530544"/>
    <w:rsid w:val="1B713184"/>
    <w:rsid w:val="1B741675"/>
    <w:rsid w:val="1BA209CF"/>
    <w:rsid w:val="1BB4777D"/>
    <w:rsid w:val="1BC258DA"/>
    <w:rsid w:val="1BD75AB8"/>
    <w:rsid w:val="1C0459C2"/>
    <w:rsid w:val="1C1B3B4A"/>
    <w:rsid w:val="1C767BD0"/>
    <w:rsid w:val="1C88086E"/>
    <w:rsid w:val="1D266CE1"/>
    <w:rsid w:val="1D3963AF"/>
    <w:rsid w:val="1D6A32C5"/>
    <w:rsid w:val="1D6A673C"/>
    <w:rsid w:val="1D740E09"/>
    <w:rsid w:val="1D9247AE"/>
    <w:rsid w:val="1DAB6AB9"/>
    <w:rsid w:val="1DB567EC"/>
    <w:rsid w:val="1DE54FD0"/>
    <w:rsid w:val="1DF51A98"/>
    <w:rsid w:val="1E17083B"/>
    <w:rsid w:val="1E3D060F"/>
    <w:rsid w:val="1E3F7D2E"/>
    <w:rsid w:val="1E4134E4"/>
    <w:rsid w:val="1E5062B3"/>
    <w:rsid w:val="1E523514"/>
    <w:rsid w:val="1E714A66"/>
    <w:rsid w:val="1E802593"/>
    <w:rsid w:val="1EA703CC"/>
    <w:rsid w:val="1EB7330C"/>
    <w:rsid w:val="1EC2624D"/>
    <w:rsid w:val="1F0A0FF3"/>
    <w:rsid w:val="1F395391"/>
    <w:rsid w:val="1F5771FF"/>
    <w:rsid w:val="1FE868A9"/>
    <w:rsid w:val="20034907"/>
    <w:rsid w:val="20173E4B"/>
    <w:rsid w:val="20344507"/>
    <w:rsid w:val="204E48BC"/>
    <w:rsid w:val="208921B3"/>
    <w:rsid w:val="208A67B8"/>
    <w:rsid w:val="20973DEB"/>
    <w:rsid w:val="20B26522"/>
    <w:rsid w:val="20B44310"/>
    <w:rsid w:val="211116EB"/>
    <w:rsid w:val="2133151A"/>
    <w:rsid w:val="216133FC"/>
    <w:rsid w:val="21811B6C"/>
    <w:rsid w:val="21C57CD6"/>
    <w:rsid w:val="21D56769"/>
    <w:rsid w:val="21E52EF3"/>
    <w:rsid w:val="21FB5D7B"/>
    <w:rsid w:val="21FF2442"/>
    <w:rsid w:val="220B1C3D"/>
    <w:rsid w:val="22123390"/>
    <w:rsid w:val="221D1D20"/>
    <w:rsid w:val="22334A87"/>
    <w:rsid w:val="22681CF7"/>
    <w:rsid w:val="22BE6801"/>
    <w:rsid w:val="230F7587"/>
    <w:rsid w:val="233500BF"/>
    <w:rsid w:val="23377FF7"/>
    <w:rsid w:val="2352614C"/>
    <w:rsid w:val="236B425F"/>
    <w:rsid w:val="23836192"/>
    <w:rsid w:val="23901F29"/>
    <w:rsid w:val="239C0061"/>
    <w:rsid w:val="23B908A4"/>
    <w:rsid w:val="23B949D7"/>
    <w:rsid w:val="23D46191"/>
    <w:rsid w:val="23E95BEF"/>
    <w:rsid w:val="23F23D7D"/>
    <w:rsid w:val="23FD0064"/>
    <w:rsid w:val="240B5FA0"/>
    <w:rsid w:val="242B4894"/>
    <w:rsid w:val="245375B0"/>
    <w:rsid w:val="24642C0A"/>
    <w:rsid w:val="24B22173"/>
    <w:rsid w:val="24B95AD9"/>
    <w:rsid w:val="24BE24DA"/>
    <w:rsid w:val="24CF5825"/>
    <w:rsid w:val="24D663E6"/>
    <w:rsid w:val="24D77F2B"/>
    <w:rsid w:val="24E318DF"/>
    <w:rsid w:val="251113CF"/>
    <w:rsid w:val="253E1FB4"/>
    <w:rsid w:val="258B00E2"/>
    <w:rsid w:val="25966BFF"/>
    <w:rsid w:val="25A917A6"/>
    <w:rsid w:val="25BE27CC"/>
    <w:rsid w:val="25F654BC"/>
    <w:rsid w:val="25F74A5C"/>
    <w:rsid w:val="2609257A"/>
    <w:rsid w:val="260E76B9"/>
    <w:rsid w:val="2628662C"/>
    <w:rsid w:val="262D45DE"/>
    <w:rsid w:val="26595900"/>
    <w:rsid w:val="26865DEC"/>
    <w:rsid w:val="26A02F87"/>
    <w:rsid w:val="26A53EF9"/>
    <w:rsid w:val="26A94201"/>
    <w:rsid w:val="26AC274F"/>
    <w:rsid w:val="27044A29"/>
    <w:rsid w:val="27106BE8"/>
    <w:rsid w:val="271D34C8"/>
    <w:rsid w:val="276142BF"/>
    <w:rsid w:val="27783712"/>
    <w:rsid w:val="278B3C24"/>
    <w:rsid w:val="27907362"/>
    <w:rsid w:val="279906B8"/>
    <w:rsid w:val="28084A26"/>
    <w:rsid w:val="28333E1D"/>
    <w:rsid w:val="28454BD6"/>
    <w:rsid w:val="28455253"/>
    <w:rsid w:val="28551971"/>
    <w:rsid w:val="285B1C53"/>
    <w:rsid w:val="289F7086"/>
    <w:rsid w:val="28C32028"/>
    <w:rsid w:val="28CC490F"/>
    <w:rsid w:val="28D472A8"/>
    <w:rsid w:val="28DE40AA"/>
    <w:rsid w:val="29345E77"/>
    <w:rsid w:val="294C65AD"/>
    <w:rsid w:val="29806583"/>
    <w:rsid w:val="29842A7C"/>
    <w:rsid w:val="298B3C4C"/>
    <w:rsid w:val="29E45278"/>
    <w:rsid w:val="29F26D24"/>
    <w:rsid w:val="2A15033F"/>
    <w:rsid w:val="2A1662C1"/>
    <w:rsid w:val="2A1C7367"/>
    <w:rsid w:val="2A1F7BAA"/>
    <w:rsid w:val="2A2815FA"/>
    <w:rsid w:val="2A6D6092"/>
    <w:rsid w:val="2A7D76B4"/>
    <w:rsid w:val="2A9D36CA"/>
    <w:rsid w:val="2B437463"/>
    <w:rsid w:val="2B6A3EF4"/>
    <w:rsid w:val="2B7807EE"/>
    <w:rsid w:val="2BBF00EC"/>
    <w:rsid w:val="2BC33EED"/>
    <w:rsid w:val="2BC37CFD"/>
    <w:rsid w:val="2BD5237F"/>
    <w:rsid w:val="2BE536CE"/>
    <w:rsid w:val="2BE758D9"/>
    <w:rsid w:val="2C09049E"/>
    <w:rsid w:val="2C0A653C"/>
    <w:rsid w:val="2C191F85"/>
    <w:rsid w:val="2C2E2CC5"/>
    <w:rsid w:val="2C4E7785"/>
    <w:rsid w:val="2CE40F12"/>
    <w:rsid w:val="2CE82D6F"/>
    <w:rsid w:val="2CF24727"/>
    <w:rsid w:val="2D2B5B51"/>
    <w:rsid w:val="2D343236"/>
    <w:rsid w:val="2D491B1B"/>
    <w:rsid w:val="2DA2303B"/>
    <w:rsid w:val="2DAE6DCB"/>
    <w:rsid w:val="2DD15014"/>
    <w:rsid w:val="2DF72DE4"/>
    <w:rsid w:val="2E0220AF"/>
    <w:rsid w:val="2E4B082A"/>
    <w:rsid w:val="2E5D4E86"/>
    <w:rsid w:val="2E5D790B"/>
    <w:rsid w:val="2E984B00"/>
    <w:rsid w:val="2E9A3C18"/>
    <w:rsid w:val="2EAC4558"/>
    <w:rsid w:val="2EBB0FEE"/>
    <w:rsid w:val="2EC63002"/>
    <w:rsid w:val="2F0A6B38"/>
    <w:rsid w:val="2F1A353B"/>
    <w:rsid w:val="2F5B3B82"/>
    <w:rsid w:val="2F946CCB"/>
    <w:rsid w:val="2FD25781"/>
    <w:rsid w:val="2FFD7934"/>
    <w:rsid w:val="30733ACD"/>
    <w:rsid w:val="308C3862"/>
    <w:rsid w:val="309379D8"/>
    <w:rsid w:val="30A270F7"/>
    <w:rsid w:val="30DF1478"/>
    <w:rsid w:val="30EC586F"/>
    <w:rsid w:val="31124E12"/>
    <w:rsid w:val="319C6071"/>
    <w:rsid w:val="31AC537E"/>
    <w:rsid w:val="31E3679B"/>
    <w:rsid w:val="31E732FD"/>
    <w:rsid w:val="31EB11BF"/>
    <w:rsid w:val="320330D1"/>
    <w:rsid w:val="321B5F48"/>
    <w:rsid w:val="32517576"/>
    <w:rsid w:val="32BE5C2C"/>
    <w:rsid w:val="32DD144F"/>
    <w:rsid w:val="32FB6478"/>
    <w:rsid w:val="33196747"/>
    <w:rsid w:val="33263B3F"/>
    <w:rsid w:val="335F1691"/>
    <w:rsid w:val="336963EB"/>
    <w:rsid w:val="33757D46"/>
    <w:rsid w:val="33816EEB"/>
    <w:rsid w:val="33DE0FDB"/>
    <w:rsid w:val="33EB55CD"/>
    <w:rsid w:val="33EC4C02"/>
    <w:rsid w:val="340D2360"/>
    <w:rsid w:val="3410665D"/>
    <w:rsid w:val="34211214"/>
    <w:rsid w:val="342E63AB"/>
    <w:rsid w:val="343541A1"/>
    <w:rsid w:val="34950E68"/>
    <w:rsid w:val="34986E94"/>
    <w:rsid w:val="34A064BE"/>
    <w:rsid w:val="34AF62C9"/>
    <w:rsid w:val="34CB4388"/>
    <w:rsid w:val="34FA6E12"/>
    <w:rsid w:val="358D5588"/>
    <w:rsid w:val="35A821FF"/>
    <w:rsid w:val="363A3B40"/>
    <w:rsid w:val="365302AE"/>
    <w:rsid w:val="36607A0A"/>
    <w:rsid w:val="366E227C"/>
    <w:rsid w:val="366F2E0D"/>
    <w:rsid w:val="367B6A5C"/>
    <w:rsid w:val="36A74ADA"/>
    <w:rsid w:val="36AD60D5"/>
    <w:rsid w:val="36B224F9"/>
    <w:rsid w:val="36EC0CC9"/>
    <w:rsid w:val="37113475"/>
    <w:rsid w:val="373F410B"/>
    <w:rsid w:val="37AA610D"/>
    <w:rsid w:val="37B268E5"/>
    <w:rsid w:val="37DF470D"/>
    <w:rsid w:val="37EE7094"/>
    <w:rsid w:val="38120769"/>
    <w:rsid w:val="38296C89"/>
    <w:rsid w:val="383002EB"/>
    <w:rsid w:val="38586797"/>
    <w:rsid w:val="38BC0149"/>
    <w:rsid w:val="38BC34BF"/>
    <w:rsid w:val="38D87D1C"/>
    <w:rsid w:val="38EC33C3"/>
    <w:rsid w:val="392C27E9"/>
    <w:rsid w:val="39636459"/>
    <w:rsid w:val="396B7F6C"/>
    <w:rsid w:val="397800BB"/>
    <w:rsid w:val="398A029A"/>
    <w:rsid w:val="39A2249C"/>
    <w:rsid w:val="39B417A9"/>
    <w:rsid w:val="39FC5695"/>
    <w:rsid w:val="3A006D8E"/>
    <w:rsid w:val="3A23749D"/>
    <w:rsid w:val="3A2D05C6"/>
    <w:rsid w:val="3A3651E5"/>
    <w:rsid w:val="3A520E19"/>
    <w:rsid w:val="3A744481"/>
    <w:rsid w:val="3A8C7BEF"/>
    <w:rsid w:val="3A906246"/>
    <w:rsid w:val="3A9643BE"/>
    <w:rsid w:val="3AA54031"/>
    <w:rsid w:val="3AB17449"/>
    <w:rsid w:val="3AF7185E"/>
    <w:rsid w:val="3B2349B7"/>
    <w:rsid w:val="3B3D2948"/>
    <w:rsid w:val="3B616CFF"/>
    <w:rsid w:val="3B6259F6"/>
    <w:rsid w:val="3B686994"/>
    <w:rsid w:val="3B7364AD"/>
    <w:rsid w:val="3B976654"/>
    <w:rsid w:val="3BC01EFC"/>
    <w:rsid w:val="3BCA786A"/>
    <w:rsid w:val="3BD31E2F"/>
    <w:rsid w:val="3BE23A1E"/>
    <w:rsid w:val="3BF15831"/>
    <w:rsid w:val="3C105946"/>
    <w:rsid w:val="3C471448"/>
    <w:rsid w:val="3C5F759A"/>
    <w:rsid w:val="3C6C525A"/>
    <w:rsid w:val="3C6E358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9F580B"/>
    <w:rsid w:val="3EAF4836"/>
    <w:rsid w:val="3EC33DFA"/>
    <w:rsid w:val="3F060E16"/>
    <w:rsid w:val="3F0C0644"/>
    <w:rsid w:val="3F1D1096"/>
    <w:rsid w:val="3F2F0234"/>
    <w:rsid w:val="3F35117A"/>
    <w:rsid w:val="3F3E340B"/>
    <w:rsid w:val="3F6363FE"/>
    <w:rsid w:val="3F756B8F"/>
    <w:rsid w:val="3F95482B"/>
    <w:rsid w:val="3FDB429E"/>
    <w:rsid w:val="4019356B"/>
    <w:rsid w:val="40592157"/>
    <w:rsid w:val="406E1CAE"/>
    <w:rsid w:val="40900E5B"/>
    <w:rsid w:val="40A0133A"/>
    <w:rsid w:val="40C31A53"/>
    <w:rsid w:val="40CF0629"/>
    <w:rsid w:val="40FF545D"/>
    <w:rsid w:val="410067C8"/>
    <w:rsid w:val="41377213"/>
    <w:rsid w:val="41586BC4"/>
    <w:rsid w:val="418F0D2A"/>
    <w:rsid w:val="41CF1D36"/>
    <w:rsid w:val="41D01505"/>
    <w:rsid w:val="42474939"/>
    <w:rsid w:val="424C3C57"/>
    <w:rsid w:val="42562163"/>
    <w:rsid w:val="42613FF3"/>
    <w:rsid w:val="42660D96"/>
    <w:rsid w:val="428667D2"/>
    <w:rsid w:val="42976383"/>
    <w:rsid w:val="42CD1CE0"/>
    <w:rsid w:val="42DC297D"/>
    <w:rsid w:val="42E1381E"/>
    <w:rsid w:val="42EA34EA"/>
    <w:rsid w:val="42ED6459"/>
    <w:rsid w:val="42ED68C7"/>
    <w:rsid w:val="42FE58DD"/>
    <w:rsid w:val="43036A81"/>
    <w:rsid w:val="43174B3D"/>
    <w:rsid w:val="434B790E"/>
    <w:rsid w:val="4360274F"/>
    <w:rsid w:val="43977AB6"/>
    <w:rsid w:val="43A3342B"/>
    <w:rsid w:val="43C77C27"/>
    <w:rsid w:val="43DE09EE"/>
    <w:rsid w:val="44002FAD"/>
    <w:rsid w:val="44450C02"/>
    <w:rsid w:val="449101DD"/>
    <w:rsid w:val="44931183"/>
    <w:rsid w:val="44DE1391"/>
    <w:rsid w:val="450D1720"/>
    <w:rsid w:val="451B225C"/>
    <w:rsid w:val="452410C9"/>
    <w:rsid w:val="452A0524"/>
    <w:rsid w:val="45317DFB"/>
    <w:rsid w:val="456D3CE4"/>
    <w:rsid w:val="4579042C"/>
    <w:rsid w:val="457F0571"/>
    <w:rsid w:val="45851176"/>
    <w:rsid w:val="45C63B94"/>
    <w:rsid w:val="45CF39F2"/>
    <w:rsid w:val="45FD4C5C"/>
    <w:rsid w:val="460E7DA5"/>
    <w:rsid w:val="46422483"/>
    <w:rsid w:val="4659254A"/>
    <w:rsid w:val="465B0637"/>
    <w:rsid w:val="465E3F0D"/>
    <w:rsid w:val="466A16E6"/>
    <w:rsid w:val="46893F2B"/>
    <w:rsid w:val="46C4686E"/>
    <w:rsid w:val="475C698F"/>
    <w:rsid w:val="477B778F"/>
    <w:rsid w:val="477E4B57"/>
    <w:rsid w:val="478203EC"/>
    <w:rsid w:val="47B025FA"/>
    <w:rsid w:val="47D1045C"/>
    <w:rsid w:val="4809698F"/>
    <w:rsid w:val="4811697D"/>
    <w:rsid w:val="486F6CFB"/>
    <w:rsid w:val="487A3E25"/>
    <w:rsid w:val="488B5503"/>
    <w:rsid w:val="48937E21"/>
    <w:rsid w:val="489A0361"/>
    <w:rsid w:val="48B94FF3"/>
    <w:rsid w:val="48D426F9"/>
    <w:rsid w:val="48E1714C"/>
    <w:rsid w:val="48E37AAB"/>
    <w:rsid w:val="48FD4B4C"/>
    <w:rsid w:val="490A68E0"/>
    <w:rsid w:val="491055FE"/>
    <w:rsid w:val="495F5B3E"/>
    <w:rsid w:val="496F77D7"/>
    <w:rsid w:val="497654FD"/>
    <w:rsid w:val="49B02CBC"/>
    <w:rsid w:val="49B64211"/>
    <w:rsid w:val="49F6167F"/>
    <w:rsid w:val="49FE75CD"/>
    <w:rsid w:val="4A064FA0"/>
    <w:rsid w:val="4A16615C"/>
    <w:rsid w:val="4A4424D7"/>
    <w:rsid w:val="4A6F4C2B"/>
    <w:rsid w:val="4AB82D0F"/>
    <w:rsid w:val="4AE44CD1"/>
    <w:rsid w:val="4AEB7664"/>
    <w:rsid w:val="4AFD7C19"/>
    <w:rsid w:val="4B0567D1"/>
    <w:rsid w:val="4B236AAE"/>
    <w:rsid w:val="4B36447D"/>
    <w:rsid w:val="4B707271"/>
    <w:rsid w:val="4B9739F7"/>
    <w:rsid w:val="4BAB3767"/>
    <w:rsid w:val="4BEE2503"/>
    <w:rsid w:val="4C245A30"/>
    <w:rsid w:val="4C8962A5"/>
    <w:rsid w:val="4CB6685F"/>
    <w:rsid w:val="4CC367FE"/>
    <w:rsid w:val="4CD73AD4"/>
    <w:rsid w:val="4D022FC0"/>
    <w:rsid w:val="4D077F3C"/>
    <w:rsid w:val="4D123355"/>
    <w:rsid w:val="4D2A3B31"/>
    <w:rsid w:val="4D312C52"/>
    <w:rsid w:val="4D382186"/>
    <w:rsid w:val="4D45156B"/>
    <w:rsid w:val="4D8B58D8"/>
    <w:rsid w:val="4D905305"/>
    <w:rsid w:val="4D964A72"/>
    <w:rsid w:val="4D9C1254"/>
    <w:rsid w:val="4E437F61"/>
    <w:rsid w:val="4E793892"/>
    <w:rsid w:val="4E800872"/>
    <w:rsid w:val="4EB15812"/>
    <w:rsid w:val="4EC569ED"/>
    <w:rsid w:val="4ED50EA1"/>
    <w:rsid w:val="4EEC050C"/>
    <w:rsid w:val="4F104EC3"/>
    <w:rsid w:val="4F47354A"/>
    <w:rsid w:val="4F532425"/>
    <w:rsid w:val="4F911C54"/>
    <w:rsid w:val="4FB21EF2"/>
    <w:rsid w:val="4FE625E0"/>
    <w:rsid w:val="4FE65BDF"/>
    <w:rsid w:val="5021480F"/>
    <w:rsid w:val="50962ECB"/>
    <w:rsid w:val="50A42E38"/>
    <w:rsid w:val="50A4577F"/>
    <w:rsid w:val="50B73D1F"/>
    <w:rsid w:val="50BD5BC9"/>
    <w:rsid w:val="50C11EEE"/>
    <w:rsid w:val="50CD4459"/>
    <w:rsid w:val="50E97CFC"/>
    <w:rsid w:val="50EC7EE9"/>
    <w:rsid w:val="50FA4028"/>
    <w:rsid w:val="510D65B7"/>
    <w:rsid w:val="511157AB"/>
    <w:rsid w:val="5142540C"/>
    <w:rsid w:val="514574D8"/>
    <w:rsid w:val="518832C8"/>
    <w:rsid w:val="518F5CC6"/>
    <w:rsid w:val="519531C9"/>
    <w:rsid w:val="51A0432A"/>
    <w:rsid w:val="51A86090"/>
    <w:rsid w:val="51B7396D"/>
    <w:rsid w:val="522E4CC3"/>
    <w:rsid w:val="5244713B"/>
    <w:rsid w:val="525E129B"/>
    <w:rsid w:val="52615633"/>
    <w:rsid w:val="52977FD4"/>
    <w:rsid w:val="52A25790"/>
    <w:rsid w:val="52A96B6F"/>
    <w:rsid w:val="52B45975"/>
    <w:rsid w:val="52D94AA4"/>
    <w:rsid w:val="52EA3A62"/>
    <w:rsid w:val="52F50BB8"/>
    <w:rsid w:val="53097272"/>
    <w:rsid w:val="53544462"/>
    <w:rsid w:val="5397158E"/>
    <w:rsid w:val="539F4C8A"/>
    <w:rsid w:val="53B743A3"/>
    <w:rsid w:val="53E022BA"/>
    <w:rsid w:val="54013861"/>
    <w:rsid w:val="54487265"/>
    <w:rsid w:val="544D6070"/>
    <w:rsid w:val="54605E1E"/>
    <w:rsid w:val="54B3506A"/>
    <w:rsid w:val="54CA0D16"/>
    <w:rsid w:val="54DD4057"/>
    <w:rsid w:val="54E1305C"/>
    <w:rsid w:val="54E7490F"/>
    <w:rsid w:val="550764A4"/>
    <w:rsid w:val="550B2BF6"/>
    <w:rsid w:val="55214EB5"/>
    <w:rsid w:val="55364EFD"/>
    <w:rsid w:val="555D4828"/>
    <w:rsid w:val="55730BB0"/>
    <w:rsid w:val="557A4C8B"/>
    <w:rsid w:val="558931E1"/>
    <w:rsid w:val="55923347"/>
    <w:rsid w:val="55925180"/>
    <w:rsid w:val="55983B1B"/>
    <w:rsid w:val="559E0172"/>
    <w:rsid w:val="55A8376B"/>
    <w:rsid w:val="55DC29B6"/>
    <w:rsid w:val="55DD4241"/>
    <w:rsid w:val="566B6D1E"/>
    <w:rsid w:val="568D608C"/>
    <w:rsid w:val="56A64417"/>
    <w:rsid w:val="57032A2C"/>
    <w:rsid w:val="570F5219"/>
    <w:rsid w:val="57257E2E"/>
    <w:rsid w:val="572D7A00"/>
    <w:rsid w:val="575C02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6097D"/>
    <w:rsid w:val="583A6DC9"/>
    <w:rsid w:val="58576249"/>
    <w:rsid w:val="58917D2F"/>
    <w:rsid w:val="5894085C"/>
    <w:rsid w:val="589A2E73"/>
    <w:rsid w:val="58AE4F0C"/>
    <w:rsid w:val="58B85899"/>
    <w:rsid w:val="58E363A9"/>
    <w:rsid w:val="58F87A10"/>
    <w:rsid w:val="59120131"/>
    <w:rsid w:val="595E1678"/>
    <w:rsid w:val="59686533"/>
    <w:rsid w:val="596D5BD4"/>
    <w:rsid w:val="597E3DD8"/>
    <w:rsid w:val="59CC3449"/>
    <w:rsid w:val="59F80043"/>
    <w:rsid w:val="5A09252F"/>
    <w:rsid w:val="5A0B2778"/>
    <w:rsid w:val="5A2A7C7B"/>
    <w:rsid w:val="5A3C0E89"/>
    <w:rsid w:val="5A3E2560"/>
    <w:rsid w:val="5A485DBB"/>
    <w:rsid w:val="5A5D3B6E"/>
    <w:rsid w:val="5A637A76"/>
    <w:rsid w:val="5A6D33BA"/>
    <w:rsid w:val="5A7449E7"/>
    <w:rsid w:val="5A792B1F"/>
    <w:rsid w:val="5A874767"/>
    <w:rsid w:val="5AA302F7"/>
    <w:rsid w:val="5AAA5E8D"/>
    <w:rsid w:val="5AAB0CDA"/>
    <w:rsid w:val="5AAD6F28"/>
    <w:rsid w:val="5AD63A24"/>
    <w:rsid w:val="5B024457"/>
    <w:rsid w:val="5B091AC4"/>
    <w:rsid w:val="5B2E1A1D"/>
    <w:rsid w:val="5B843A1C"/>
    <w:rsid w:val="5B873E3F"/>
    <w:rsid w:val="5C02690E"/>
    <w:rsid w:val="5C196DA7"/>
    <w:rsid w:val="5C2A048C"/>
    <w:rsid w:val="5C80234E"/>
    <w:rsid w:val="5C840323"/>
    <w:rsid w:val="5C8A680C"/>
    <w:rsid w:val="5CEB0141"/>
    <w:rsid w:val="5D0C4701"/>
    <w:rsid w:val="5D0F0395"/>
    <w:rsid w:val="5D160B2B"/>
    <w:rsid w:val="5D221076"/>
    <w:rsid w:val="5D377084"/>
    <w:rsid w:val="5D397964"/>
    <w:rsid w:val="5D5A391C"/>
    <w:rsid w:val="5D5F10C0"/>
    <w:rsid w:val="5D6449C1"/>
    <w:rsid w:val="5D891B7B"/>
    <w:rsid w:val="5DAD38EE"/>
    <w:rsid w:val="5DB326C1"/>
    <w:rsid w:val="5E006862"/>
    <w:rsid w:val="5E007553"/>
    <w:rsid w:val="5E0207B9"/>
    <w:rsid w:val="5E1834A1"/>
    <w:rsid w:val="5E261785"/>
    <w:rsid w:val="5E3B635C"/>
    <w:rsid w:val="5E4A7017"/>
    <w:rsid w:val="5E552BBA"/>
    <w:rsid w:val="5E611C10"/>
    <w:rsid w:val="5E677A93"/>
    <w:rsid w:val="5E7B7887"/>
    <w:rsid w:val="5EEB4428"/>
    <w:rsid w:val="5EFC7377"/>
    <w:rsid w:val="5F06174D"/>
    <w:rsid w:val="5F3A3602"/>
    <w:rsid w:val="5F4D50E3"/>
    <w:rsid w:val="5F5E7AB2"/>
    <w:rsid w:val="5F6277C6"/>
    <w:rsid w:val="5F6D0B1D"/>
    <w:rsid w:val="5F8D0B82"/>
    <w:rsid w:val="5F9A3F78"/>
    <w:rsid w:val="5FCC5339"/>
    <w:rsid w:val="5FE34A5B"/>
    <w:rsid w:val="5FFE1E36"/>
    <w:rsid w:val="60232584"/>
    <w:rsid w:val="603354CB"/>
    <w:rsid w:val="607330CE"/>
    <w:rsid w:val="60825176"/>
    <w:rsid w:val="609F2AC4"/>
    <w:rsid w:val="60FA2EE8"/>
    <w:rsid w:val="61054A27"/>
    <w:rsid w:val="610A52BC"/>
    <w:rsid w:val="611D2366"/>
    <w:rsid w:val="6122434D"/>
    <w:rsid w:val="61421856"/>
    <w:rsid w:val="615227C4"/>
    <w:rsid w:val="61654E3F"/>
    <w:rsid w:val="6182292A"/>
    <w:rsid w:val="618E1B58"/>
    <w:rsid w:val="619145DE"/>
    <w:rsid w:val="619F7F92"/>
    <w:rsid w:val="61B51E9A"/>
    <w:rsid w:val="61C176C2"/>
    <w:rsid w:val="61E3027B"/>
    <w:rsid w:val="61F94C26"/>
    <w:rsid w:val="62000E56"/>
    <w:rsid w:val="624F3E49"/>
    <w:rsid w:val="62557CB5"/>
    <w:rsid w:val="62632286"/>
    <w:rsid w:val="626671FB"/>
    <w:rsid w:val="62885958"/>
    <w:rsid w:val="629058F8"/>
    <w:rsid w:val="62E53C12"/>
    <w:rsid w:val="62F40B65"/>
    <w:rsid w:val="62FC2CFE"/>
    <w:rsid w:val="63024505"/>
    <w:rsid w:val="635B1DB5"/>
    <w:rsid w:val="63711FED"/>
    <w:rsid w:val="63880DDC"/>
    <w:rsid w:val="638D750D"/>
    <w:rsid w:val="63A20FC0"/>
    <w:rsid w:val="63AC6CC0"/>
    <w:rsid w:val="63CA108D"/>
    <w:rsid w:val="63ED7B4B"/>
    <w:rsid w:val="640104C5"/>
    <w:rsid w:val="64055776"/>
    <w:rsid w:val="64240056"/>
    <w:rsid w:val="643E143A"/>
    <w:rsid w:val="648B6EEF"/>
    <w:rsid w:val="64C158BF"/>
    <w:rsid w:val="64CE2EAA"/>
    <w:rsid w:val="6525440C"/>
    <w:rsid w:val="653C3090"/>
    <w:rsid w:val="65854376"/>
    <w:rsid w:val="658767BE"/>
    <w:rsid w:val="65892531"/>
    <w:rsid w:val="65E73470"/>
    <w:rsid w:val="66125E6A"/>
    <w:rsid w:val="66135091"/>
    <w:rsid w:val="66195831"/>
    <w:rsid w:val="662E75B1"/>
    <w:rsid w:val="66342C2E"/>
    <w:rsid w:val="663640AE"/>
    <w:rsid w:val="663E784C"/>
    <w:rsid w:val="6649235E"/>
    <w:rsid w:val="66795896"/>
    <w:rsid w:val="668B6A45"/>
    <w:rsid w:val="66E45AC3"/>
    <w:rsid w:val="672F3F24"/>
    <w:rsid w:val="673E055F"/>
    <w:rsid w:val="67430B21"/>
    <w:rsid w:val="67551CE3"/>
    <w:rsid w:val="676736F3"/>
    <w:rsid w:val="67A22552"/>
    <w:rsid w:val="67B22DCC"/>
    <w:rsid w:val="67BE71AA"/>
    <w:rsid w:val="67C80E0A"/>
    <w:rsid w:val="67D90273"/>
    <w:rsid w:val="67DE5875"/>
    <w:rsid w:val="67E55852"/>
    <w:rsid w:val="67EB1AB4"/>
    <w:rsid w:val="67FA1285"/>
    <w:rsid w:val="681133FA"/>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395931"/>
    <w:rsid w:val="6ADE0BD1"/>
    <w:rsid w:val="6AE96859"/>
    <w:rsid w:val="6B147746"/>
    <w:rsid w:val="6B24787C"/>
    <w:rsid w:val="6B2B2545"/>
    <w:rsid w:val="6B573233"/>
    <w:rsid w:val="6B5B6274"/>
    <w:rsid w:val="6B730171"/>
    <w:rsid w:val="6B795CEF"/>
    <w:rsid w:val="6B8D6867"/>
    <w:rsid w:val="6B8E6844"/>
    <w:rsid w:val="6B935D53"/>
    <w:rsid w:val="6BE96690"/>
    <w:rsid w:val="6C196F71"/>
    <w:rsid w:val="6C226FCB"/>
    <w:rsid w:val="6C31226F"/>
    <w:rsid w:val="6C3F0E7D"/>
    <w:rsid w:val="6C406744"/>
    <w:rsid w:val="6C552F0B"/>
    <w:rsid w:val="6C5F420E"/>
    <w:rsid w:val="6C8C67B7"/>
    <w:rsid w:val="6C8E0AE9"/>
    <w:rsid w:val="6C9D744C"/>
    <w:rsid w:val="6D167928"/>
    <w:rsid w:val="6D26299B"/>
    <w:rsid w:val="6D262C14"/>
    <w:rsid w:val="6D36297F"/>
    <w:rsid w:val="6D4772EC"/>
    <w:rsid w:val="6D8A5754"/>
    <w:rsid w:val="6D9078AF"/>
    <w:rsid w:val="6D956F05"/>
    <w:rsid w:val="6DAA3FEF"/>
    <w:rsid w:val="6DB670AC"/>
    <w:rsid w:val="6DC0172B"/>
    <w:rsid w:val="6DCB690C"/>
    <w:rsid w:val="6DD41A5B"/>
    <w:rsid w:val="6DF43C2E"/>
    <w:rsid w:val="6DF51CA3"/>
    <w:rsid w:val="6E1C381A"/>
    <w:rsid w:val="6E8335BD"/>
    <w:rsid w:val="6E8E12EF"/>
    <w:rsid w:val="6E91710D"/>
    <w:rsid w:val="6E972936"/>
    <w:rsid w:val="6ED446C5"/>
    <w:rsid w:val="6EFA5469"/>
    <w:rsid w:val="6F196D90"/>
    <w:rsid w:val="6F2A7D94"/>
    <w:rsid w:val="6F6E455E"/>
    <w:rsid w:val="6F8331F1"/>
    <w:rsid w:val="6FAD6D04"/>
    <w:rsid w:val="6FAE1A09"/>
    <w:rsid w:val="6FD75BF8"/>
    <w:rsid w:val="707723D0"/>
    <w:rsid w:val="7078785C"/>
    <w:rsid w:val="70D51146"/>
    <w:rsid w:val="70F5661B"/>
    <w:rsid w:val="71035FE9"/>
    <w:rsid w:val="711C645F"/>
    <w:rsid w:val="71360107"/>
    <w:rsid w:val="713B688E"/>
    <w:rsid w:val="71565065"/>
    <w:rsid w:val="71D43752"/>
    <w:rsid w:val="71F1796A"/>
    <w:rsid w:val="72154626"/>
    <w:rsid w:val="72262B5D"/>
    <w:rsid w:val="72283FF7"/>
    <w:rsid w:val="722E7212"/>
    <w:rsid w:val="723A0474"/>
    <w:rsid w:val="725923E4"/>
    <w:rsid w:val="726B4F59"/>
    <w:rsid w:val="72864BF7"/>
    <w:rsid w:val="729023FC"/>
    <w:rsid w:val="73612AB3"/>
    <w:rsid w:val="73C0646E"/>
    <w:rsid w:val="742222F5"/>
    <w:rsid w:val="74476126"/>
    <w:rsid w:val="74480233"/>
    <w:rsid w:val="74706664"/>
    <w:rsid w:val="747F3682"/>
    <w:rsid w:val="749C4185"/>
    <w:rsid w:val="75067759"/>
    <w:rsid w:val="75113C3A"/>
    <w:rsid w:val="752E6DCD"/>
    <w:rsid w:val="75342268"/>
    <w:rsid w:val="754A11EA"/>
    <w:rsid w:val="7551380D"/>
    <w:rsid w:val="75600BE5"/>
    <w:rsid w:val="7564475C"/>
    <w:rsid w:val="7583797F"/>
    <w:rsid w:val="75D20F1D"/>
    <w:rsid w:val="75DA2C18"/>
    <w:rsid w:val="75F54412"/>
    <w:rsid w:val="761D08E0"/>
    <w:rsid w:val="765D347C"/>
    <w:rsid w:val="76826699"/>
    <w:rsid w:val="76A07D97"/>
    <w:rsid w:val="76C87133"/>
    <w:rsid w:val="76CD08D5"/>
    <w:rsid w:val="76CD3AE8"/>
    <w:rsid w:val="76DB4B92"/>
    <w:rsid w:val="76EB6B19"/>
    <w:rsid w:val="77052AA4"/>
    <w:rsid w:val="77136511"/>
    <w:rsid w:val="77215F2B"/>
    <w:rsid w:val="77340A39"/>
    <w:rsid w:val="77351FD0"/>
    <w:rsid w:val="77471FC0"/>
    <w:rsid w:val="77472422"/>
    <w:rsid w:val="777F31F2"/>
    <w:rsid w:val="77D1700D"/>
    <w:rsid w:val="77EC04CC"/>
    <w:rsid w:val="78510AC5"/>
    <w:rsid w:val="78590B7C"/>
    <w:rsid w:val="786C45B3"/>
    <w:rsid w:val="78775729"/>
    <w:rsid w:val="788A7E9C"/>
    <w:rsid w:val="78A42DB0"/>
    <w:rsid w:val="78A656AB"/>
    <w:rsid w:val="78B2245C"/>
    <w:rsid w:val="78E172CC"/>
    <w:rsid w:val="78EA1D1F"/>
    <w:rsid w:val="7904172F"/>
    <w:rsid w:val="790F7E27"/>
    <w:rsid w:val="792A231A"/>
    <w:rsid w:val="79316829"/>
    <w:rsid w:val="797E66A9"/>
    <w:rsid w:val="79A97383"/>
    <w:rsid w:val="79E27E8B"/>
    <w:rsid w:val="79F850CE"/>
    <w:rsid w:val="79F90271"/>
    <w:rsid w:val="79FD443C"/>
    <w:rsid w:val="7A1D1975"/>
    <w:rsid w:val="7A266805"/>
    <w:rsid w:val="7A3E5150"/>
    <w:rsid w:val="7A4670D6"/>
    <w:rsid w:val="7A4D3D91"/>
    <w:rsid w:val="7A534B63"/>
    <w:rsid w:val="7A615382"/>
    <w:rsid w:val="7A67303B"/>
    <w:rsid w:val="7AAB1D04"/>
    <w:rsid w:val="7ABA4368"/>
    <w:rsid w:val="7AD05746"/>
    <w:rsid w:val="7B257FFD"/>
    <w:rsid w:val="7B2741FB"/>
    <w:rsid w:val="7B343476"/>
    <w:rsid w:val="7B4F7ABF"/>
    <w:rsid w:val="7B5A2978"/>
    <w:rsid w:val="7B5A7E4C"/>
    <w:rsid w:val="7B667AF9"/>
    <w:rsid w:val="7B7468F8"/>
    <w:rsid w:val="7BEE0103"/>
    <w:rsid w:val="7C0A0FE4"/>
    <w:rsid w:val="7C254906"/>
    <w:rsid w:val="7C365C01"/>
    <w:rsid w:val="7C590818"/>
    <w:rsid w:val="7C7C10F6"/>
    <w:rsid w:val="7C853BEA"/>
    <w:rsid w:val="7C881368"/>
    <w:rsid w:val="7CE27788"/>
    <w:rsid w:val="7D0C32F1"/>
    <w:rsid w:val="7D0F408D"/>
    <w:rsid w:val="7D491C6C"/>
    <w:rsid w:val="7D5429C0"/>
    <w:rsid w:val="7D6E6D43"/>
    <w:rsid w:val="7D745CED"/>
    <w:rsid w:val="7DB57A34"/>
    <w:rsid w:val="7DE60973"/>
    <w:rsid w:val="7DEF0916"/>
    <w:rsid w:val="7DF509E4"/>
    <w:rsid w:val="7E1E5218"/>
    <w:rsid w:val="7E25576D"/>
    <w:rsid w:val="7E6C1E82"/>
    <w:rsid w:val="7E9A4E1F"/>
    <w:rsid w:val="7EA7723A"/>
    <w:rsid w:val="7EDA5398"/>
    <w:rsid w:val="7EF56FBB"/>
    <w:rsid w:val="7F0768EB"/>
    <w:rsid w:val="7F143BEC"/>
    <w:rsid w:val="7F3773A6"/>
    <w:rsid w:val="7F712CCC"/>
    <w:rsid w:val="7F715AF2"/>
    <w:rsid w:val="7F886E69"/>
    <w:rsid w:val="7FC9442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jc w:val="left"/>
    </w:pPr>
    <w:rPr>
      <w:rFonts w:hint="eastAsia"/>
    </w:r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5"/>
    <w:qFormat/>
    <w:uiPriority w:val="0"/>
    <w:pPr>
      <w:ind w:firstLine="420"/>
    </w:pPr>
    <w:rPr>
      <w:rFonts w:hAnsi="Calibri" w:cs="Times New Roman"/>
      <w:szCs w:val="20"/>
    </w:rPr>
  </w:style>
  <w:style w:type="paragraph" w:styleId="25">
    <w:name w:val="Body Text Indent"/>
    <w:basedOn w:val="1"/>
    <w:next w:val="26"/>
    <w:link w:val="784"/>
    <w:qFormat/>
    <w:uiPriority w:val="0"/>
    <w:pPr>
      <w:spacing w:line="480" w:lineRule="exact"/>
      <w:ind w:firstLine="480" w:firstLineChars="200"/>
    </w:pPr>
    <w:rPr>
      <w:rFonts w:ascii="宋体" w:hAnsi="宋体"/>
      <w:sz w:val="24"/>
    </w:rPr>
  </w:style>
  <w:style w:type="paragraph" w:styleId="26">
    <w:name w:val="Body Text First Indent 2"/>
    <w:basedOn w:val="25"/>
    <w:next w:val="1"/>
    <w:link w:val="656"/>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0"/>
    <w:qFormat/>
    <w:uiPriority w:val="0"/>
    <w:pPr>
      <w:ind w:left="100" w:leftChars="2500"/>
    </w:pPr>
    <w:rPr>
      <w:rFonts w:ascii="宋体"/>
      <w:sz w:val="24"/>
      <w:szCs w:val="21"/>
      <w:lang w:val="zh-CN"/>
    </w:rPr>
  </w:style>
  <w:style w:type="paragraph" w:styleId="38">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9">
    <w:name w:val="endnote text"/>
    <w:basedOn w:val="1"/>
    <w:link w:val="941"/>
    <w:qFormat/>
    <w:uiPriority w:val="0"/>
    <w:rPr>
      <w:lang w:val="zh-CN"/>
    </w:rPr>
  </w:style>
  <w:style w:type="paragraph" w:styleId="40">
    <w:name w:val="Balloon Text"/>
    <w:basedOn w:val="1"/>
    <w:link w:val="717"/>
    <w:qFormat/>
    <w:uiPriority w:val="0"/>
    <w:rPr>
      <w:sz w:val="18"/>
      <w:szCs w:val="18"/>
    </w:rPr>
  </w:style>
  <w:style w:type="paragraph" w:styleId="41">
    <w:name w:val="footer"/>
    <w:basedOn w:val="1"/>
    <w:link w:val="892"/>
    <w:qFormat/>
    <w:uiPriority w:val="99"/>
    <w:pPr>
      <w:tabs>
        <w:tab w:val="center" w:pos="4153"/>
        <w:tab w:val="right" w:pos="8306"/>
      </w:tabs>
      <w:snapToGrid w:val="0"/>
      <w:jc w:val="left"/>
    </w:pPr>
    <w:rPr>
      <w:sz w:val="18"/>
      <w:szCs w:val="18"/>
    </w:rPr>
  </w:style>
  <w:style w:type="paragraph" w:styleId="42">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826"/>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0"/>
    <w:qFormat/>
    <w:uiPriority w:val="0"/>
    <w:pPr>
      <w:spacing w:after="120" w:line="480" w:lineRule="auto"/>
    </w:pPr>
  </w:style>
  <w:style w:type="paragraph" w:styleId="58">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basedOn w:val="69"/>
    <w:qFormat/>
    <w:uiPriority w:val="99"/>
    <w:rPr>
      <w:sz w:val="21"/>
      <w:szCs w:val="21"/>
    </w:rPr>
  </w:style>
  <w:style w:type="paragraph" w:customStyle="1" w:styleId="79">
    <w:name w:val="BodyTextIndent"/>
    <w:basedOn w:val="1"/>
    <w:next w:val="80"/>
    <w:qFormat/>
    <w:uiPriority w:val="0"/>
    <w:pPr>
      <w:widowControl/>
      <w:spacing w:line="480" w:lineRule="atLeast"/>
      <w:ind w:firstLine="570"/>
      <w:textAlignment w:val="baseline"/>
    </w:pPr>
    <w:rPr>
      <w:rFonts w:ascii="??" w:hAnsi="??" w:eastAsia="??"/>
      <w:sz w:val="28"/>
      <w:szCs w:val="28"/>
    </w:rPr>
  </w:style>
  <w:style w:type="paragraph" w:customStyle="1" w:styleId="80">
    <w:name w:val="EnvelopeReturn"/>
    <w:basedOn w:val="1"/>
    <w:qFormat/>
    <w:uiPriority w:val="0"/>
    <w:pPr>
      <w:snapToGrid w:val="0"/>
    </w:pPr>
    <w:rPr>
      <w:rFonts w:ascii="Arial" w:hAnsi="Arial"/>
    </w:rPr>
  </w:style>
  <w:style w:type="paragraph" w:customStyle="1" w:styleId="81">
    <w:name w:val="列出段落1"/>
    <w:basedOn w:val="1"/>
    <w:qFormat/>
    <w:uiPriority w:val="34"/>
    <w:pPr>
      <w:spacing w:line="360" w:lineRule="auto"/>
      <w:ind w:firstLine="200" w:firstLineChars="200"/>
    </w:pPr>
    <w:rPr>
      <w:rFonts w:eastAsia="楷体_GB2312" w:cs="Lucida Sans"/>
      <w:sz w:val="24"/>
    </w:rPr>
  </w:style>
  <w:style w:type="paragraph" w:customStyle="1" w:styleId="82">
    <w:name w:val="正文文本首行缩进 2"/>
    <w:basedOn w:val="25"/>
    <w:qFormat/>
    <w:uiPriority w:val="99"/>
    <w:pPr>
      <w:spacing w:line="200" w:lineRule="atLeast"/>
      <w:ind w:firstLine="420"/>
    </w:pPr>
    <w:rPr>
      <w:rFonts w:ascii="宋体" w:hAnsi="Courier New"/>
      <w:spacing w:val="-4"/>
      <w:sz w:val="18"/>
    </w:rPr>
  </w:style>
  <w:style w:type="paragraph" w:customStyle="1" w:styleId="83">
    <w:name w:val="Char Char Char Char Char Char Char Char Char Char Char Char Char"/>
    <w:basedOn w:val="1"/>
    <w:qFormat/>
    <w:uiPriority w:val="0"/>
    <w:rPr>
      <w:rFonts w:ascii="仿宋_GB2312" w:eastAsia="仿宋_GB2312"/>
      <w:b/>
      <w:sz w:val="32"/>
      <w:szCs w:val="32"/>
    </w:rPr>
  </w:style>
  <w:style w:type="paragraph" w:customStyle="1" w:styleId="84">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5"/>
    <w:qFormat/>
    <w:uiPriority w:val="0"/>
    <w:pPr>
      <w:spacing w:before="156" w:line="360" w:lineRule="auto"/>
      <w:ind w:firstLine="510" w:firstLineChars="200"/>
    </w:pPr>
    <w:rPr>
      <w:sz w:val="24"/>
      <w:szCs w:val="20"/>
    </w:rPr>
  </w:style>
  <w:style w:type="paragraph" w:customStyle="1" w:styleId="90">
    <w:name w:val="无间隔1"/>
    <w:link w:val="673"/>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1"/>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2"/>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6"/>
    <w:qFormat/>
    <w:uiPriority w:val="0"/>
    <w:pPr>
      <w:ind w:left="0" w:right="466" w:firstLine="288"/>
    </w:pPr>
    <w:rPr>
      <w:rFonts w:hAnsi="宋体"/>
    </w:rPr>
  </w:style>
  <w:style w:type="paragraph" w:customStyle="1" w:styleId="97">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5"/>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8"/>
    <w:qFormat/>
    <w:uiPriority w:val="0"/>
    <w:pPr>
      <w:adjustRightInd/>
      <w:spacing w:line="360" w:lineRule="auto"/>
      <w:ind w:firstLine="480" w:firstLineChars="200"/>
    </w:pPr>
    <w:rPr>
      <w:kern w:val="0"/>
      <w:sz w:val="24"/>
    </w:rPr>
  </w:style>
  <w:style w:type="paragraph" w:customStyle="1" w:styleId="102">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81"/>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此正文"/>
    <w:basedOn w:val="1"/>
    <w:link w:val="799"/>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1"/>
    <w:qFormat/>
    <w:uiPriority w:val="0"/>
    <w:pPr>
      <w:tabs>
        <w:tab w:val="left" w:pos="2356"/>
      </w:tabs>
    </w:pPr>
  </w:style>
  <w:style w:type="paragraph" w:customStyle="1" w:styleId="106">
    <w:name w:val="样式 标题 4h4H4Fab-4T5Ref Heading 1rh1Heading sqlsect 1.2.3...."/>
    <w:basedOn w:val="5"/>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4"/>
    <w:qFormat/>
    <w:uiPriority w:val="0"/>
    <w:pPr>
      <w:adjustRightInd/>
    </w:pPr>
    <w:rPr>
      <w:rFonts w:ascii="宋体" w:hAnsi="Courier New"/>
      <w:kern w:val="0"/>
      <w:sz w:val="20"/>
      <w:szCs w:val="20"/>
    </w:rPr>
  </w:style>
  <w:style w:type="paragraph" w:customStyle="1" w:styleId="109">
    <w:name w:val="正文说明"/>
    <w:basedOn w:val="1"/>
    <w:link w:val="846"/>
    <w:qFormat/>
    <w:uiPriority w:val="0"/>
    <w:pPr>
      <w:adjustRightInd/>
      <w:spacing w:line="360" w:lineRule="auto"/>
    </w:pPr>
    <w:rPr>
      <w:kern w:val="0"/>
      <w:sz w:val="24"/>
    </w:rPr>
  </w:style>
  <w:style w:type="paragraph" w:customStyle="1" w:styleId="110">
    <w:name w:val="Table Text"/>
    <w:basedOn w:val="1"/>
    <w:link w:val="852"/>
    <w:qFormat/>
    <w:uiPriority w:val="0"/>
    <w:pPr>
      <w:widowControl/>
      <w:spacing w:before="60" w:after="60"/>
      <w:jc w:val="left"/>
    </w:pPr>
    <w:rPr>
      <w:kern w:val="0"/>
      <w:sz w:val="24"/>
    </w:rPr>
  </w:style>
  <w:style w:type="paragraph" w:customStyle="1" w:styleId="111">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4"/>
    <w:qFormat/>
    <w:uiPriority w:val="0"/>
    <w:pPr>
      <w:widowControl/>
      <w:snapToGrid w:val="0"/>
      <w:spacing w:afterLines="50"/>
      <w:ind w:firstLine="200" w:firstLineChars="200"/>
    </w:pPr>
    <w:rPr>
      <w:kern w:val="0"/>
      <w:sz w:val="24"/>
      <w:szCs w:val="20"/>
    </w:rPr>
  </w:style>
  <w:style w:type="paragraph" w:customStyle="1" w:styleId="116">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1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5"/>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outlineLvl w:val="5"/>
    </w:pPr>
  </w:style>
  <w:style w:type="paragraph" w:customStyle="1" w:styleId="160">
    <w:name w:val="5级标题"/>
    <w:basedOn w:val="161"/>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1">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无间隔2"/>
    <w:basedOn w:val="1"/>
    <w:link w:val="942"/>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4"/>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6"/>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5"/>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Lines="50"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100"/>
    <w:next w:val="100"/>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100"/>
    <w:next w:val="100"/>
    <w:qFormat/>
    <w:uiPriority w:val="0"/>
    <w:rPr>
      <w:rFonts w:ascii="宋体" w:eastAsia="宋体" w:cs="Times New Roman"/>
      <w:color w:val="auto"/>
    </w:rPr>
  </w:style>
  <w:style w:type="paragraph" w:customStyle="1" w:styleId="23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7"/>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Lines="0" w:afterLines="0"/>
      <w:ind w:left="1680"/>
      <w:outlineLvl w:val="2"/>
    </w:pPr>
  </w:style>
  <w:style w:type="paragraph" w:customStyle="1" w:styleId="344">
    <w:name w:val="章标题"/>
    <w:next w:val="32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5"/>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Lines="50"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8"/>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6"/>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9">
    <w:name w:val="_Style 947"/>
    <w:basedOn w:val="1"/>
    <w:next w:val="81"/>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character" w:customStyle="1" w:styleId="622">
    <w:name w:val="表格非标题文字 Char"/>
    <w:link w:val="84"/>
    <w:qFormat/>
    <w:uiPriority w:val="0"/>
    <w:rPr>
      <w:rFonts w:ascii="Futura Bk" w:hAnsi="Futura Bk"/>
      <w:kern w:val="2"/>
      <w:sz w:val="18"/>
      <w:szCs w:val="21"/>
      <w:lang w:val="en-US" w:eastAsia="zh-CN" w:bidi="ar-SA"/>
    </w:rPr>
  </w:style>
  <w:style w:type="character" w:customStyle="1" w:styleId="623">
    <w:name w:val="*正文 Char"/>
    <w:link w:val="85"/>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6"/>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1"/>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7"/>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8"/>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26"/>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9"/>
    <w:qFormat/>
    <w:uiPriority w:val="0"/>
    <w:rPr>
      <w:rFonts w:ascii="Arial" w:hAnsi="Arial" w:eastAsia="黑体" w:cs="Arial"/>
      <w:snapToGrid w:val="0"/>
      <w:kern w:val="0"/>
      <w:szCs w:val="21"/>
    </w:rPr>
  </w:style>
  <w:style w:type="character" w:customStyle="1" w:styleId="66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9"/>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8"/>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90"/>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basedOn w:val="69"/>
    <w:qFormat/>
    <w:uiPriority w:val="0"/>
    <w:rPr>
      <w:rFonts w:hint="eastAsia" w:ascii="仿宋_GB2312" w:eastAsia="仿宋_GB2312" w:cs="仿宋_GB2312"/>
      <w:color w:val="000000"/>
      <w:sz w:val="22"/>
      <w:szCs w:val="22"/>
      <w:u w:val="none"/>
    </w:rPr>
  </w:style>
  <w:style w:type="character" w:customStyle="1" w:styleId="680">
    <w:name w:val="标题 6 Char"/>
    <w:link w:val="7"/>
    <w:qFormat/>
    <w:uiPriority w:val="0"/>
    <w:rPr>
      <w:rFonts w:ascii="Arial" w:hAnsi="Arial" w:eastAsia="黑体"/>
      <w:b/>
      <w:bCs/>
      <w:kern w:val="2"/>
      <w:sz w:val="24"/>
      <w:szCs w:val="24"/>
    </w:rPr>
  </w:style>
  <w:style w:type="character" w:customStyle="1" w:styleId="681">
    <w:name w:val="纯文本 Char_0"/>
    <w:link w:val="91"/>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3"/>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4"/>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7"/>
    <w:qFormat/>
    <w:uiPriority w:val="0"/>
    <w:rPr>
      <w:rFonts w:ascii="宋体"/>
      <w:kern w:val="2"/>
      <w:sz w:val="24"/>
      <w:szCs w:val="21"/>
      <w:lang w:val="zh-CN"/>
    </w:rPr>
  </w:style>
  <w:style w:type="character" w:customStyle="1" w:styleId="711">
    <w:name w:val="标题 9 Char"/>
    <w:link w:val="10"/>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0"/>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5"/>
    <w:qFormat/>
    <w:locked/>
    <w:uiPriority w:val="0"/>
    <w:rPr>
      <w:rFonts w:ascii="Tahoma" w:hAnsi="Tahoma"/>
      <w:sz w:val="24"/>
      <w:szCs w:val="24"/>
    </w:rPr>
  </w:style>
  <w:style w:type="character" w:customStyle="1" w:styleId="721">
    <w:name w:val="正文缩进 Char2"/>
    <w:link w:val="1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6"/>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basedOn w:val="69"/>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9"/>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1"/>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8"/>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9"/>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100"/>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1"/>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2"/>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3"/>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5"/>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4"/>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0"/>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6"/>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8"/>
    <w:qFormat/>
    <w:uiPriority w:val="0"/>
    <w:rPr>
      <w:rFonts w:ascii="黑体" w:hAnsi="Courier New" w:eastAsia="黑体"/>
    </w:rPr>
  </w:style>
  <w:style w:type="character" w:customStyle="1" w:styleId="820">
    <w:name w:val="正文文本 2 Char1"/>
    <w:link w:val="57"/>
    <w:qFormat/>
    <w:uiPriority w:val="0"/>
    <w:rPr>
      <w:kern w:val="2"/>
      <w:sz w:val="21"/>
      <w:szCs w:val="24"/>
    </w:rPr>
  </w:style>
  <w:style w:type="character" w:customStyle="1" w:styleId="821">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8"/>
    <w:qFormat/>
    <w:uiPriority w:val="0"/>
    <w:rPr>
      <w:b/>
      <w:bCs/>
      <w:kern w:val="2"/>
      <w:sz w:val="24"/>
      <w:szCs w:val="24"/>
    </w:rPr>
  </w:style>
  <w:style w:type="character" w:customStyle="1" w:styleId="824">
    <w:name w:val="正文文本缩进 2 Char"/>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1"/>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basedOn w:val="69"/>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7"/>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8"/>
    <w:qFormat/>
    <w:uiPriority w:val="0"/>
    <w:rPr>
      <w:rFonts w:ascii="宋体" w:hAnsi="Courier New"/>
    </w:rPr>
  </w:style>
  <w:style w:type="character" w:customStyle="1" w:styleId="835">
    <w:name w:val="正文首行缩进 Char"/>
    <w:link w:val="24"/>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5"/>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9"/>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0"/>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0"/>
    <w:rPr>
      <w:kern w:val="2"/>
      <w:sz w:val="21"/>
      <w:szCs w:val="24"/>
    </w:rPr>
  </w:style>
  <w:style w:type="character" w:customStyle="1" w:styleId="857">
    <w:name w:val="签名 Char"/>
    <w:link w:val="43"/>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1"/>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2"/>
    <w:qFormat/>
    <w:uiPriority w:val="0"/>
    <w:rPr>
      <w:rFonts w:ascii="宋体"/>
    </w:rPr>
  </w:style>
  <w:style w:type="character" w:customStyle="1" w:styleId="868">
    <w:name w:val="标题 8 Char"/>
    <w:link w:val="9"/>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basedOn w:val="69"/>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4"/>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3"/>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1"/>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4"/>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2"/>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5"/>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6"/>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7"/>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8"/>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9"/>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9"/>
    <w:qFormat/>
    <w:uiPriority w:val="0"/>
    <w:rPr>
      <w:kern w:val="2"/>
      <w:sz w:val="21"/>
      <w:szCs w:val="24"/>
      <w:lang w:val="zh-CN"/>
    </w:rPr>
  </w:style>
  <w:style w:type="character" w:customStyle="1" w:styleId="942">
    <w:name w:val="无间隔 Char"/>
    <w:link w:val="169"/>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basedOn w:val="69"/>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6">
    <w:name w:val="font101"/>
    <w:qFormat/>
    <w:uiPriority w:val="0"/>
    <w:rPr>
      <w:rFonts w:hint="eastAsia" w:ascii="黑体" w:hAnsi="宋体" w:eastAsia="黑体" w:cs="黑体"/>
      <w:b/>
      <w:bCs/>
      <w:color w:val="000000"/>
      <w:sz w:val="20"/>
      <w:szCs w:val="20"/>
      <w:u w:val="none"/>
    </w:rPr>
  </w:style>
  <w:style w:type="paragraph" w:styleId="967">
    <w:name w:val="List Paragraph"/>
    <w:basedOn w:val="1"/>
    <w:qFormat/>
    <w:uiPriority w:val="34"/>
    <w:pPr>
      <w:widowControl/>
      <w:spacing w:line="500" w:lineRule="exact"/>
      <w:ind w:left="720" w:firstLine="200" w:firstLineChars="200"/>
      <w:contextualSpacing/>
      <w:jc w:val="left"/>
    </w:pPr>
    <w:rPr>
      <w:rFonts w:eastAsia="宋体" w:cs="Times New Roman"/>
      <w:color w:val="auto"/>
      <w:szCs w:val="22"/>
    </w:rPr>
  </w:style>
  <w:style w:type="paragraph" w:customStyle="1" w:styleId="968">
    <w:name w:val="三级标题"/>
    <w:basedOn w:val="969"/>
    <w:next w:val="1"/>
    <w:qFormat/>
    <w:uiPriority w:val="0"/>
    <w:pPr>
      <w:numPr>
        <w:ilvl w:val="2"/>
        <w:numId w:val="1"/>
      </w:numPr>
      <w:spacing w:line="360" w:lineRule="auto"/>
      <w:ind w:left="0" w:firstLine="0" w:firstLineChars="0"/>
      <w:outlineLvl w:val="3"/>
    </w:pPr>
    <w:rPr>
      <w:rFonts w:ascii="宋体" w:hAnsi="宋体" w:eastAsia="宋体" w:cs="Times New Roman"/>
      <w:b/>
      <w:color w:val="81034D"/>
      <w:sz w:val="24"/>
      <w:szCs w:val="24"/>
    </w:rPr>
  </w:style>
  <w:style w:type="paragraph" w:customStyle="1" w:styleId="969">
    <w:name w:val="此标书正文"/>
    <w:basedOn w:val="1"/>
    <w:qFormat/>
    <w:uiPriority w:val="0"/>
    <w:pPr>
      <w:spacing w:line="360" w:lineRule="auto"/>
      <w:ind w:firstLine="0" w:firstLineChars="0"/>
    </w:pPr>
    <w:rPr>
      <w:rFonts w:ascii="Calibri" w:hAnsi="Calibri"/>
      <w:sz w:val="24"/>
    </w:rPr>
  </w:style>
  <w:style w:type="paragraph" w:customStyle="1" w:styleId="970">
    <w:name w:val="Plain Text"/>
    <w:basedOn w:val="1"/>
    <w:autoRedefine/>
    <w:qFormat/>
    <w:uiPriority w:val="0"/>
    <w:pPr>
      <w:widowControl/>
      <w:jc w:val="left"/>
    </w:pPr>
    <w:rPr>
      <w:rFonts w:hint="eastAsia" w:ascii="宋体" w:hAnsi="Courier New"/>
      <w:szCs w:val="20"/>
    </w:rPr>
  </w:style>
  <w:style w:type="paragraph" w:customStyle="1" w:styleId="971">
    <w:name w:val="BodyText"/>
    <w:next w:val="972"/>
    <w:autoRedefine/>
    <w:qFormat/>
    <w:uiPriority w:val="0"/>
    <w:pPr>
      <w:widowControl/>
      <w:spacing w:after="120"/>
      <w:jc w:val="left"/>
    </w:pPr>
    <w:rPr>
      <w:rFonts w:ascii="FuturaA Bk BT" w:hAnsi="FuturaA Bk BT" w:eastAsia="仿宋_GB2312" w:cs="Times New Roman"/>
      <w:kern w:val="0"/>
      <w:sz w:val="20"/>
      <w:szCs w:val="24"/>
      <w:lang w:val="en-US" w:eastAsia="zh-CN" w:bidi="ar-SA"/>
    </w:rPr>
  </w:style>
  <w:style w:type="paragraph" w:customStyle="1" w:styleId="972">
    <w:name w:val="BodyText1I"/>
    <w:autoRedefine/>
    <w:qFormat/>
    <w:uiPriority w:val="0"/>
    <w:pPr>
      <w:widowControl/>
      <w:tabs>
        <w:tab w:val="left" w:pos="208"/>
      </w:tabs>
      <w:spacing w:after="120" w:line="240" w:lineRule="auto"/>
      <w:ind w:firstLine="420" w:firstLineChars="100"/>
      <w:jc w:val="both"/>
      <w:textAlignment w:val="baseline"/>
    </w:pPr>
    <w:rPr>
      <w:rFonts w:ascii="Times New Roman" w:hAnsi="FuturaA Bk BT"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Pages>
  <Words>17676</Words>
  <Characters>18833</Characters>
  <Lines>4750</Lines>
  <Paragraphs>6345</Paragraphs>
  <TotalTime>46</TotalTime>
  <ScaleCrop>false</ScaleCrop>
  <LinksUpToDate>false</LinksUpToDate>
  <CharactersWithSpaces>19590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一分钱</cp:lastModifiedBy>
  <cp:lastPrinted>2025-06-12T06:24:00Z</cp:lastPrinted>
  <dcterms:modified xsi:type="dcterms:W3CDTF">2025-06-23T13:12:28Z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2766DEC0484847049CF37CAB4F99EA21_13</vt:lpwstr>
  </property>
  <property fmtid="{D5CDD505-2E9C-101B-9397-08002B2CF9AE}" pid="5" name="KSOTemplateDocerSaveRecord">
    <vt:lpwstr>eyJoZGlkIjoiZDZjOTJmYmIxOTEzMWM4YjZmMGVhYWRkODcwODVmNzgiLCJ1c2VySWQiOiI1MTI4NTQwODUifQ==</vt:lpwstr>
  </property>
</Properties>
</file>