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7AD56">
      <w:pPr>
        <w:jc w:val="center"/>
        <w:rPr>
          <w:rFonts w:ascii="仿宋" w:eastAsia="仿宋"/>
          <w:sz w:val="36"/>
          <w:szCs w:val="36"/>
        </w:rPr>
      </w:pPr>
      <w:r>
        <w:rPr>
          <w:rFonts w:hint="eastAsia" w:ascii="仿宋" w:eastAsia="仿宋"/>
          <w:b/>
          <w:bCs/>
          <w:sz w:val="52"/>
          <w:szCs w:val="52"/>
        </w:rPr>
        <w:t>绍兴市越城区人民医院医保DRG医院智慧运营系统软件及医保结算清单全流程管理服务项目</w:t>
      </w:r>
    </w:p>
    <w:p w14:paraId="7F065B47">
      <w:pPr>
        <w:rPr>
          <w:rFonts w:ascii="仿宋" w:eastAsia="仿宋"/>
          <w:sz w:val="36"/>
          <w:szCs w:val="36"/>
        </w:rPr>
      </w:pPr>
    </w:p>
    <w:p w14:paraId="25AF452D">
      <w:pPr>
        <w:rPr>
          <w:rFonts w:ascii="仿宋" w:eastAsia="仿宋"/>
          <w:sz w:val="36"/>
          <w:szCs w:val="36"/>
        </w:rPr>
      </w:pPr>
    </w:p>
    <w:p w14:paraId="4041B1A4">
      <w:pPr>
        <w:rPr>
          <w:rFonts w:ascii="仿宋" w:eastAsia="仿宋"/>
          <w:sz w:val="36"/>
          <w:szCs w:val="36"/>
        </w:rPr>
      </w:pPr>
    </w:p>
    <w:p w14:paraId="59FCB92D">
      <w:pPr>
        <w:jc w:val="center"/>
        <w:rPr>
          <w:rFonts w:ascii="仿宋" w:eastAsia="仿宋"/>
          <w:b/>
          <w:bCs/>
          <w:sz w:val="72"/>
          <w:szCs w:val="72"/>
        </w:rPr>
      </w:pPr>
      <w:r>
        <w:rPr>
          <w:rFonts w:hint="eastAsia" w:ascii="仿宋" w:eastAsia="仿宋"/>
          <w:b/>
          <w:bCs/>
          <w:sz w:val="72"/>
          <w:szCs w:val="72"/>
        </w:rPr>
        <w:t>采</w:t>
      </w:r>
    </w:p>
    <w:p w14:paraId="67B675FC">
      <w:pPr>
        <w:jc w:val="center"/>
        <w:rPr>
          <w:rFonts w:ascii="仿宋" w:eastAsia="仿宋"/>
          <w:b/>
          <w:bCs/>
          <w:sz w:val="72"/>
          <w:szCs w:val="72"/>
        </w:rPr>
      </w:pPr>
      <w:r>
        <w:rPr>
          <w:rFonts w:hint="eastAsia" w:ascii="仿宋" w:eastAsia="仿宋"/>
          <w:b/>
          <w:bCs/>
          <w:sz w:val="72"/>
          <w:szCs w:val="72"/>
        </w:rPr>
        <w:t>购</w:t>
      </w:r>
    </w:p>
    <w:p w14:paraId="3A54E007">
      <w:pPr>
        <w:jc w:val="center"/>
        <w:rPr>
          <w:rFonts w:ascii="仿宋" w:eastAsia="仿宋"/>
          <w:b/>
          <w:bCs/>
          <w:sz w:val="72"/>
          <w:szCs w:val="72"/>
        </w:rPr>
      </w:pPr>
      <w:r>
        <w:rPr>
          <w:rFonts w:hint="eastAsia" w:ascii="仿宋" w:eastAsia="仿宋"/>
          <w:b/>
          <w:bCs/>
          <w:sz w:val="72"/>
          <w:szCs w:val="72"/>
        </w:rPr>
        <w:t>文</w:t>
      </w:r>
    </w:p>
    <w:p w14:paraId="3339C3EC">
      <w:pPr>
        <w:jc w:val="center"/>
        <w:rPr>
          <w:rFonts w:ascii="仿宋" w:eastAsia="仿宋"/>
          <w:b/>
          <w:bCs/>
          <w:sz w:val="72"/>
          <w:szCs w:val="72"/>
        </w:rPr>
      </w:pPr>
      <w:r>
        <w:rPr>
          <w:rFonts w:hint="eastAsia" w:ascii="仿宋" w:eastAsia="仿宋"/>
          <w:b/>
          <w:bCs/>
          <w:sz w:val="72"/>
          <w:szCs w:val="72"/>
        </w:rPr>
        <w:t>件</w:t>
      </w:r>
    </w:p>
    <w:p w14:paraId="4AF9A378">
      <w:pPr>
        <w:rPr>
          <w:rFonts w:ascii="仿宋" w:eastAsia="仿宋"/>
          <w:b/>
          <w:bCs/>
          <w:sz w:val="36"/>
          <w:szCs w:val="36"/>
        </w:rPr>
      </w:pPr>
    </w:p>
    <w:p w14:paraId="52FEF043">
      <w:pPr>
        <w:rPr>
          <w:rFonts w:ascii="仿宋" w:eastAsia="仿宋"/>
          <w:sz w:val="36"/>
          <w:szCs w:val="36"/>
        </w:rPr>
      </w:pPr>
    </w:p>
    <w:p w14:paraId="25564499">
      <w:pPr>
        <w:rPr>
          <w:rFonts w:ascii="仿宋" w:eastAsia="仿宋"/>
          <w:sz w:val="36"/>
          <w:szCs w:val="36"/>
        </w:rPr>
      </w:pPr>
    </w:p>
    <w:tbl>
      <w:tblPr>
        <w:tblStyle w:val="15"/>
        <w:tblW w:w="8593" w:type="dxa"/>
        <w:jc w:val="center"/>
        <w:tblLayout w:type="autofit"/>
        <w:tblCellMar>
          <w:top w:w="0" w:type="dxa"/>
          <w:left w:w="108" w:type="dxa"/>
          <w:bottom w:w="0" w:type="dxa"/>
          <w:right w:w="108" w:type="dxa"/>
        </w:tblCellMar>
      </w:tblPr>
      <w:tblGrid>
        <w:gridCol w:w="2396"/>
        <w:gridCol w:w="6197"/>
      </w:tblGrid>
      <w:tr w14:paraId="5EAEB979">
        <w:tblPrEx>
          <w:tblCellMar>
            <w:top w:w="0" w:type="dxa"/>
            <w:left w:w="108" w:type="dxa"/>
            <w:bottom w:w="0" w:type="dxa"/>
            <w:right w:w="108" w:type="dxa"/>
          </w:tblCellMar>
        </w:tblPrEx>
        <w:trPr>
          <w:trHeight w:val="513" w:hRule="exact"/>
          <w:jc w:val="center"/>
        </w:trPr>
        <w:tc>
          <w:tcPr>
            <w:tcW w:w="2396" w:type="dxa"/>
            <w:tcBorders>
              <w:top w:val="nil"/>
              <w:left w:val="nil"/>
              <w:bottom w:val="nil"/>
              <w:right w:val="nil"/>
            </w:tcBorders>
            <w:noWrap/>
            <w:vAlign w:val="center"/>
          </w:tcPr>
          <w:p w14:paraId="5E37254E">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1B620C1B">
            <w:pPr>
              <w:rPr>
                <w:rFonts w:ascii="仿宋" w:eastAsia="仿宋"/>
                <w:sz w:val="28"/>
                <w:u w:val="single"/>
              </w:rPr>
            </w:pPr>
            <w:r>
              <w:rPr>
                <w:rFonts w:hint="eastAsia" w:ascii="仿宋" w:eastAsia="仿宋"/>
                <w:sz w:val="28"/>
              </w:rPr>
              <w:t>ZJFY-20250714</w:t>
            </w:r>
          </w:p>
        </w:tc>
      </w:tr>
      <w:tr w14:paraId="76869BBD">
        <w:tblPrEx>
          <w:tblCellMar>
            <w:top w:w="0" w:type="dxa"/>
            <w:left w:w="108" w:type="dxa"/>
            <w:bottom w:w="0" w:type="dxa"/>
            <w:right w:w="108" w:type="dxa"/>
          </w:tblCellMar>
        </w:tblPrEx>
        <w:trPr>
          <w:trHeight w:val="561" w:hRule="exact"/>
          <w:jc w:val="center"/>
        </w:trPr>
        <w:tc>
          <w:tcPr>
            <w:tcW w:w="2396" w:type="dxa"/>
            <w:tcBorders>
              <w:top w:val="nil"/>
              <w:left w:val="nil"/>
              <w:bottom w:val="nil"/>
              <w:right w:val="nil"/>
            </w:tcBorders>
            <w:noWrap/>
            <w:vAlign w:val="center"/>
          </w:tcPr>
          <w:p w14:paraId="6888A3D8">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73A1B9EC">
            <w:pPr>
              <w:rPr>
                <w:rFonts w:ascii="仿宋" w:eastAsia="仿宋"/>
                <w:sz w:val="28"/>
              </w:rPr>
            </w:pPr>
            <w:r>
              <w:rPr>
                <w:rFonts w:hint="eastAsia" w:ascii="仿宋" w:hAnsi="仿宋" w:eastAsia="仿宋" w:cs="仿宋"/>
                <w:sz w:val="28"/>
              </w:rPr>
              <w:t>绍兴市越城区人民医院</w:t>
            </w:r>
          </w:p>
        </w:tc>
      </w:tr>
      <w:tr w14:paraId="19F18BCE">
        <w:tblPrEx>
          <w:tblCellMar>
            <w:top w:w="0" w:type="dxa"/>
            <w:left w:w="108" w:type="dxa"/>
            <w:bottom w:w="0" w:type="dxa"/>
            <w:right w:w="108" w:type="dxa"/>
          </w:tblCellMar>
        </w:tblPrEx>
        <w:trPr>
          <w:trHeight w:val="525" w:hRule="exact"/>
          <w:jc w:val="center"/>
        </w:trPr>
        <w:tc>
          <w:tcPr>
            <w:tcW w:w="2396" w:type="dxa"/>
            <w:tcBorders>
              <w:top w:val="nil"/>
              <w:left w:val="nil"/>
              <w:bottom w:val="nil"/>
              <w:right w:val="nil"/>
            </w:tcBorders>
            <w:noWrap/>
            <w:vAlign w:val="center"/>
          </w:tcPr>
          <w:p w14:paraId="7D8CEAEF">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7717F97B">
            <w:pPr>
              <w:rPr>
                <w:rFonts w:ascii="仿宋" w:eastAsia="仿宋"/>
                <w:sz w:val="28"/>
              </w:rPr>
            </w:pPr>
            <w:r>
              <w:rPr>
                <w:rFonts w:hint="eastAsia" w:ascii="仿宋" w:hAnsi="仿宋" w:eastAsia="仿宋" w:cs="仿宋"/>
                <w:sz w:val="28"/>
              </w:rPr>
              <w:t>浙江泛亚工程咨询有限公司</w:t>
            </w:r>
          </w:p>
        </w:tc>
      </w:tr>
      <w:tr w14:paraId="3E95FF7F">
        <w:tblPrEx>
          <w:tblCellMar>
            <w:top w:w="0" w:type="dxa"/>
            <w:left w:w="108" w:type="dxa"/>
            <w:bottom w:w="0" w:type="dxa"/>
            <w:right w:w="108" w:type="dxa"/>
          </w:tblCellMar>
        </w:tblPrEx>
        <w:trPr>
          <w:trHeight w:val="525" w:hRule="exact"/>
          <w:jc w:val="center"/>
        </w:trPr>
        <w:tc>
          <w:tcPr>
            <w:tcW w:w="2396" w:type="dxa"/>
            <w:tcBorders>
              <w:top w:val="nil"/>
              <w:left w:val="nil"/>
              <w:bottom w:val="nil"/>
              <w:right w:val="nil"/>
            </w:tcBorders>
            <w:noWrap/>
            <w:vAlign w:val="center"/>
          </w:tcPr>
          <w:p w14:paraId="268AB357">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19B97779">
            <w:pPr>
              <w:rPr>
                <w:rFonts w:ascii="仿宋" w:hAnsi="仿宋" w:eastAsia="仿宋" w:cs="仿宋"/>
                <w:sz w:val="28"/>
              </w:rPr>
            </w:pPr>
            <w:r>
              <w:rPr>
                <w:rFonts w:hint="eastAsia" w:ascii="仿宋" w:hAnsi="仿宋" w:eastAsia="仿宋" w:cs="仿宋"/>
                <w:sz w:val="28"/>
              </w:rPr>
              <w:t>绍兴市越城区人民医院党建办</w:t>
            </w:r>
          </w:p>
        </w:tc>
      </w:tr>
    </w:tbl>
    <w:p w14:paraId="48E82428">
      <w:pPr>
        <w:rPr>
          <w:rFonts w:ascii="仿宋" w:eastAsia="仿宋"/>
          <w:sz w:val="28"/>
        </w:rPr>
      </w:pPr>
    </w:p>
    <w:p w14:paraId="5C4E6594">
      <w:pPr>
        <w:jc w:val="center"/>
        <w:rPr>
          <w:rFonts w:ascii="仿宋" w:eastAsia="仿宋"/>
          <w:sz w:val="28"/>
        </w:rPr>
      </w:pPr>
      <w:r>
        <w:rPr>
          <w:rFonts w:hint="eastAsia" w:ascii="仿宋" w:eastAsia="仿宋"/>
          <w:sz w:val="28"/>
          <w:u w:val="single"/>
        </w:rPr>
        <w:t>2025</w:t>
      </w:r>
      <w:r>
        <w:rPr>
          <w:rFonts w:hint="eastAsia" w:ascii="仿宋" w:eastAsia="仿宋"/>
          <w:sz w:val="28"/>
        </w:rPr>
        <w:t>年</w:t>
      </w:r>
      <w:r>
        <w:rPr>
          <w:rFonts w:hint="eastAsia" w:ascii="仿宋" w:eastAsia="仿宋"/>
          <w:sz w:val="28"/>
          <w:u w:val="single"/>
        </w:rPr>
        <w:t>7</w:t>
      </w:r>
      <w:r>
        <w:rPr>
          <w:rFonts w:hint="eastAsia" w:ascii="仿宋" w:eastAsia="仿宋"/>
          <w:sz w:val="28"/>
        </w:rPr>
        <w:t>月</w:t>
      </w:r>
    </w:p>
    <w:p w14:paraId="6CF5DCAF">
      <w:pPr>
        <w:jc w:val="center"/>
        <w:rPr>
          <w:rFonts w:ascii="仿宋" w:eastAsia="仿宋"/>
          <w:b/>
          <w:sz w:val="44"/>
          <w:szCs w:val="44"/>
        </w:rPr>
        <w:sectPr>
          <w:footerReference r:id="rId3" w:type="even"/>
          <w:pgSz w:w="11907" w:h="16840"/>
          <w:pgMar w:top="1440" w:right="1463" w:bottom="1440" w:left="1803" w:header="851" w:footer="992" w:gutter="0"/>
          <w:cols w:space="720" w:num="1"/>
          <w:docGrid w:type="lines" w:linePitch="312" w:charSpace="0"/>
        </w:sectPr>
      </w:pPr>
    </w:p>
    <w:p w14:paraId="61EACC0B">
      <w:pPr>
        <w:jc w:val="center"/>
        <w:rPr>
          <w:rFonts w:ascii="仿宋" w:eastAsia="仿宋"/>
          <w:sz w:val="28"/>
        </w:rPr>
      </w:pPr>
      <w:r>
        <w:rPr>
          <w:rFonts w:hint="eastAsia" w:ascii="仿宋" w:eastAsia="仿宋"/>
          <w:b/>
          <w:sz w:val="44"/>
          <w:szCs w:val="44"/>
        </w:rPr>
        <w:t>目录</w:t>
      </w:r>
    </w:p>
    <w:p w14:paraId="00088BFF">
      <w:pPr>
        <w:jc w:val="center"/>
        <w:rPr>
          <w:rFonts w:ascii="仿宋" w:eastAsia="仿宋"/>
          <w:b/>
          <w:sz w:val="44"/>
          <w:szCs w:val="44"/>
        </w:rPr>
      </w:pPr>
    </w:p>
    <w:p w14:paraId="6C9B3E22">
      <w:pPr>
        <w:pStyle w:val="13"/>
        <w:tabs>
          <w:tab w:val="right" w:leader="dot" w:pos="8641"/>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"1-2" \h \u </w:instrText>
      </w:r>
      <w:r>
        <w:rPr>
          <w:rFonts w:hint="eastAsia" w:ascii="仿宋" w:hAnsi="仿宋" w:eastAsia="仿宋" w:cs="仿宋"/>
          <w:sz w:val="28"/>
          <w:szCs w:val="28"/>
        </w:rPr>
        <w:fldChar w:fldCharType="separate"/>
      </w:r>
      <w:r>
        <w:fldChar w:fldCharType="begin"/>
      </w:r>
      <w:r>
        <w:instrText xml:space="preserve"> HYPERLINK \l "_Toc27216"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872D5C0">
      <w:pPr>
        <w:pStyle w:val="13"/>
        <w:tabs>
          <w:tab w:val="right" w:leader="dot" w:pos="8641"/>
        </w:tabs>
        <w:rPr>
          <w:rFonts w:ascii="仿宋" w:hAnsi="仿宋" w:eastAsia="仿宋" w:cs="仿宋"/>
          <w:sz w:val="28"/>
          <w:szCs w:val="28"/>
        </w:rPr>
      </w:pPr>
      <w:r>
        <w:fldChar w:fldCharType="begin"/>
      </w:r>
      <w:r>
        <w:instrText xml:space="preserve"> HYPERLINK \l "_Toc1678"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866511">
      <w:pPr>
        <w:pStyle w:val="14"/>
        <w:tabs>
          <w:tab w:val="right" w:leader="dot" w:pos="8641"/>
        </w:tabs>
        <w:rPr>
          <w:rFonts w:ascii="仿宋" w:hAnsi="仿宋" w:eastAsia="仿宋" w:cs="仿宋"/>
          <w:sz w:val="28"/>
          <w:szCs w:val="28"/>
        </w:rPr>
      </w:pPr>
      <w:r>
        <w:fldChar w:fldCharType="begin"/>
      </w:r>
      <w:r>
        <w:instrText xml:space="preserve"> HYPERLINK \l "_Toc4885"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AC95596">
      <w:pPr>
        <w:pStyle w:val="14"/>
        <w:tabs>
          <w:tab w:val="right" w:leader="dot" w:pos="8641"/>
        </w:tabs>
        <w:rPr>
          <w:rFonts w:ascii="仿宋" w:hAnsi="仿宋" w:eastAsia="仿宋" w:cs="仿宋"/>
          <w:sz w:val="28"/>
          <w:szCs w:val="28"/>
        </w:rPr>
      </w:pPr>
      <w:r>
        <w:fldChar w:fldCharType="begin"/>
      </w:r>
      <w:r>
        <w:instrText xml:space="preserve"> HYPERLINK \l "_Toc4902"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7940E61">
      <w:pPr>
        <w:pStyle w:val="14"/>
        <w:tabs>
          <w:tab w:val="right" w:leader="dot" w:pos="8641"/>
        </w:tabs>
        <w:rPr>
          <w:rFonts w:ascii="仿宋" w:hAnsi="仿宋" w:eastAsia="仿宋" w:cs="仿宋"/>
          <w:sz w:val="28"/>
          <w:szCs w:val="28"/>
        </w:rPr>
      </w:pPr>
      <w:r>
        <w:fldChar w:fldCharType="begin"/>
      </w:r>
      <w:r>
        <w:instrText xml:space="preserve"> HYPERLINK \l "_Toc1461"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0EC3A6">
      <w:pPr>
        <w:pStyle w:val="14"/>
        <w:tabs>
          <w:tab w:val="right" w:leader="dot" w:pos="8641"/>
        </w:tabs>
        <w:rPr>
          <w:rFonts w:ascii="仿宋" w:hAnsi="仿宋" w:eastAsia="仿宋" w:cs="仿宋"/>
          <w:sz w:val="28"/>
          <w:szCs w:val="28"/>
        </w:rPr>
      </w:pPr>
      <w:r>
        <w:fldChar w:fldCharType="begin"/>
      </w:r>
      <w:r>
        <w:instrText xml:space="preserve"> HYPERLINK \l "_Toc27317"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8159843">
      <w:pPr>
        <w:pStyle w:val="14"/>
        <w:tabs>
          <w:tab w:val="right" w:leader="dot" w:pos="8641"/>
        </w:tabs>
        <w:rPr>
          <w:rFonts w:ascii="仿宋" w:hAnsi="仿宋" w:eastAsia="仿宋" w:cs="仿宋"/>
          <w:sz w:val="28"/>
          <w:szCs w:val="28"/>
        </w:rPr>
      </w:pPr>
      <w:r>
        <w:fldChar w:fldCharType="begin"/>
      </w:r>
      <w:r>
        <w:instrText xml:space="preserve"> HYPERLINK \l "_Toc1753"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1444DD">
      <w:pPr>
        <w:pStyle w:val="13"/>
        <w:tabs>
          <w:tab w:val="right" w:leader="dot" w:pos="8641"/>
        </w:tabs>
        <w:rPr>
          <w:rFonts w:ascii="仿宋" w:hAnsi="仿宋" w:eastAsia="仿宋" w:cs="仿宋"/>
          <w:sz w:val="28"/>
          <w:szCs w:val="28"/>
        </w:rPr>
      </w:pPr>
      <w:r>
        <w:fldChar w:fldCharType="begin"/>
      </w:r>
      <w:r>
        <w:instrText xml:space="preserve"> HYPERLINK \l "_Toc3442"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CB792E">
      <w:pPr>
        <w:pStyle w:val="13"/>
        <w:tabs>
          <w:tab w:val="right" w:leader="dot" w:pos="8641"/>
        </w:tabs>
        <w:rPr>
          <w:rFonts w:ascii="仿宋" w:hAnsi="仿宋" w:eastAsia="仿宋" w:cs="仿宋"/>
          <w:sz w:val="28"/>
          <w:szCs w:val="28"/>
        </w:rPr>
      </w:pPr>
      <w:r>
        <w:fldChar w:fldCharType="begin"/>
      </w:r>
      <w:r>
        <w:instrText xml:space="preserve"> HYPERLINK \l "_Toc14268"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5B235768">
      <w:pPr>
        <w:pStyle w:val="13"/>
        <w:tabs>
          <w:tab w:val="right" w:leader="dot" w:pos="8641"/>
        </w:tabs>
        <w:rPr>
          <w:rFonts w:ascii="仿宋" w:hAnsi="仿宋" w:eastAsia="仿宋" w:cs="仿宋"/>
          <w:sz w:val="28"/>
          <w:szCs w:val="28"/>
        </w:rPr>
      </w:pPr>
      <w:r>
        <w:fldChar w:fldCharType="begin"/>
      </w:r>
      <w:r>
        <w:instrText xml:space="preserve"> HYPERLINK \l "_Toc14424"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B3EC0E9">
      <w:pPr>
        <w:pStyle w:val="13"/>
        <w:tabs>
          <w:tab w:val="right" w:leader="dot" w:pos="8641"/>
        </w:tabs>
        <w:rPr>
          <w:rFonts w:ascii="仿宋" w:hAnsi="仿宋" w:eastAsia="仿宋" w:cs="仿宋"/>
          <w:sz w:val="28"/>
          <w:szCs w:val="28"/>
        </w:rPr>
      </w:pPr>
      <w:r>
        <w:fldChar w:fldCharType="begin"/>
      </w:r>
      <w:r>
        <w:instrText xml:space="preserve"> HYPERLINK \l "_Toc15148"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8C5547">
      <w:pPr>
        <w:pStyle w:val="13"/>
        <w:tabs>
          <w:tab w:val="right" w:leader="dot" w:pos="8641"/>
        </w:tabs>
        <w:rPr>
          <w:rFonts w:ascii="仿宋" w:hAnsi="仿宋" w:eastAsia="仿宋" w:cs="仿宋"/>
          <w:sz w:val="28"/>
          <w:szCs w:val="28"/>
        </w:rPr>
      </w:pPr>
      <w:r>
        <w:fldChar w:fldCharType="begin"/>
      </w:r>
      <w:r>
        <w:instrText xml:space="preserve"> HYPERLINK \l "_Toc16291"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63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338629">
      <w:pPr>
        <w:pStyle w:val="14"/>
        <w:tabs>
          <w:tab w:val="right" w:leader="dot" w:pos="8641"/>
        </w:tabs>
        <w:rPr>
          <w:rFonts w:ascii="仿宋" w:hAnsi="仿宋" w:eastAsia="仿宋" w:cs="仿宋"/>
          <w:sz w:val="28"/>
          <w:szCs w:val="28"/>
        </w:rPr>
      </w:pPr>
      <w:r>
        <w:fldChar w:fldCharType="begin"/>
      </w:r>
      <w:r>
        <w:instrText xml:space="preserve"> HYPERLINK \l "_Toc31383"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63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599662">
      <w:pPr>
        <w:pStyle w:val="14"/>
        <w:tabs>
          <w:tab w:val="right" w:leader="dot" w:pos="8641"/>
        </w:tabs>
        <w:rPr>
          <w:rFonts w:ascii="仿宋" w:hAnsi="仿宋" w:eastAsia="仿宋" w:cs="仿宋"/>
          <w:sz w:val="28"/>
          <w:szCs w:val="28"/>
        </w:rPr>
      </w:pPr>
      <w:r>
        <w:fldChar w:fldCharType="begin"/>
      </w:r>
      <w:r>
        <w:instrText xml:space="preserve"> HYPERLINK \l "_Toc25373"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63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625F8E">
      <w:pPr>
        <w:pStyle w:val="14"/>
        <w:tabs>
          <w:tab w:val="right" w:leader="dot" w:pos="8641"/>
        </w:tabs>
        <w:rPr>
          <w:rFonts w:ascii="仿宋" w:hAnsi="仿宋" w:eastAsia="仿宋" w:cs="仿宋"/>
          <w:sz w:val="28"/>
          <w:szCs w:val="28"/>
        </w:rPr>
      </w:pPr>
      <w:r>
        <w:fldChar w:fldCharType="begin"/>
      </w:r>
      <w:r>
        <w:instrText xml:space="preserve"> HYPERLINK \l "_Toc17941"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64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61F3C21">
      <w:pPr>
        <w:pStyle w:val="14"/>
        <w:tabs>
          <w:tab w:val="right" w:leader="dot" w:pos="8641"/>
        </w:tabs>
        <w:rPr>
          <w:rFonts w:ascii="仿宋" w:hAnsi="仿宋" w:eastAsia="仿宋" w:cs="仿宋"/>
          <w:sz w:val="28"/>
          <w:szCs w:val="28"/>
        </w:rPr>
      </w:pPr>
      <w:r>
        <w:rPr>
          <w:rFonts w:hint="eastAsia" w:ascii="仿宋" w:hAnsi="仿宋" w:eastAsia="仿宋" w:cs="仿宋"/>
          <w:sz w:val="28"/>
          <w:szCs w:val="28"/>
        </w:rPr>
        <w:fldChar w:fldCharType="end"/>
      </w:r>
    </w:p>
    <w:p w14:paraId="0F19DB50">
      <w:pPr>
        <w:rPr>
          <w:rFonts w:ascii="仿宋" w:hAnsi="仿宋" w:eastAsia="仿宋" w:cs="仿宋"/>
          <w:sz w:val="28"/>
          <w:szCs w:val="28"/>
        </w:rPr>
      </w:pPr>
    </w:p>
    <w:p w14:paraId="332006E4">
      <w:pPr>
        <w:pStyle w:val="3"/>
        <w:rPr>
          <w:rFonts w:ascii="仿宋" w:hAnsi="仿宋" w:cs="仿宋"/>
          <w:sz w:val="28"/>
          <w:szCs w:val="28"/>
        </w:rPr>
        <w:sectPr>
          <w:footerReference r:id="rId4" w:type="default"/>
          <w:pgSz w:w="11907" w:h="16840"/>
          <w:pgMar w:top="1440" w:right="1463" w:bottom="1440" w:left="1803" w:header="851" w:footer="992" w:gutter="0"/>
          <w:cols w:space="720" w:num="1"/>
          <w:docGrid w:type="lines" w:linePitch="312" w:charSpace="0"/>
        </w:sectPr>
      </w:pPr>
    </w:p>
    <w:p w14:paraId="135E050D">
      <w:pPr>
        <w:pStyle w:val="3"/>
        <w:rPr>
          <w:rFonts w:ascii="仿宋"/>
        </w:rPr>
      </w:pPr>
      <w:bookmarkStart w:id="0" w:name="_Toc27216"/>
      <w:r>
        <w:rPr>
          <w:rFonts w:hint="eastAsia" w:ascii="仿宋"/>
        </w:rPr>
        <w:t>第一章  采购公告</w:t>
      </w:r>
      <w:bookmarkEnd w:id="0"/>
    </w:p>
    <w:p w14:paraId="11A938F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7CFCB3D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绍兴市越城区人民医院医保DRG医院智慧运营系统软件及医保结算清单全流程管理服务项目</w:t>
      </w:r>
      <w:r>
        <w:rPr>
          <w:rFonts w:hint="eastAsia" w:ascii="仿宋" w:eastAsia="仿宋"/>
          <w:sz w:val="24"/>
          <w:szCs w:val="24"/>
        </w:rPr>
        <w:t>招标项目的潜在投标人应在线下获取招标文件，并于</w:t>
      </w:r>
      <w:r>
        <w:rPr>
          <w:rFonts w:hint="eastAsia" w:ascii="仿宋" w:eastAsia="仿宋"/>
          <w:sz w:val="24"/>
          <w:szCs w:val="24"/>
          <w:u w:val="single"/>
        </w:rPr>
        <w:t>2025</w:t>
      </w:r>
      <w:r>
        <w:rPr>
          <w:rFonts w:hint="eastAsia" w:ascii="仿宋" w:eastAsia="仿宋"/>
          <w:bCs/>
          <w:sz w:val="24"/>
          <w:szCs w:val="24"/>
          <w:u w:val="single"/>
        </w:rPr>
        <w:t>年  月  日14</w:t>
      </w:r>
      <w:r>
        <w:rPr>
          <w:rFonts w:ascii="仿宋" w:eastAsia="仿宋"/>
          <w:bCs/>
          <w:sz w:val="24"/>
          <w:szCs w:val="24"/>
          <w:u w:val="single"/>
        </w:rPr>
        <w:t>：</w:t>
      </w:r>
      <w:r>
        <w:rPr>
          <w:rFonts w:hint="eastAsia" w:ascii="仿宋" w:eastAsia="仿宋"/>
          <w:bCs/>
          <w:sz w:val="24"/>
          <w:szCs w:val="24"/>
          <w:u w:val="single"/>
        </w:rPr>
        <w:t>30（</w:t>
      </w:r>
      <w:r>
        <w:rPr>
          <w:rFonts w:hint="eastAsia" w:ascii="仿宋" w:eastAsia="仿宋"/>
          <w:bCs/>
          <w:sz w:val="24"/>
          <w:szCs w:val="24"/>
        </w:rPr>
        <w:t>北京时间）前递交投标</w:t>
      </w:r>
      <w:r>
        <w:rPr>
          <w:rFonts w:ascii="仿宋" w:eastAsia="仿宋"/>
          <w:bCs/>
          <w:sz w:val="24"/>
          <w:szCs w:val="24"/>
        </w:rPr>
        <w:t>文件</w:t>
      </w:r>
      <w:r>
        <w:rPr>
          <w:rFonts w:hint="eastAsia" w:ascii="仿宋" w:eastAsia="仿宋"/>
          <w:sz w:val="24"/>
          <w:szCs w:val="24"/>
        </w:rPr>
        <w:t>。</w:t>
      </w:r>
    </w:p>
    <w:p w14:paraId="4738305F">
      <w:pPr>
        <w:spacing w:before="312" w:beforeLines="100" w:after="312" w:afterLines="100"/>
        <w:rPr>
          <w:rFonts w:ascii="仿宋" w:hAnsi="仿宋" w:eastAsia="仿宋" w:cs="仿宋"/>
          <w:b/>
          <w:bCs/>
          <w:sz w:val="24"/>
          <w:szCs w:val="24"/>
        </w:rPr>
      </w:pPr>
      <w:bookmarkStart w:id="1" w:name="_Toc35393790"/>
      <w:bookmarkStart w:id="2" w:name="_Toc28359079"/>
      <w:bookmarkStart w:id="3" w:name="_Toc35393621"/>
      <w:bookmarkStart w:id="4" w:name="_Toc28359002"/>
      <w:bookmarkStart w:id="5" w:name="_Hlk24379207"/>
      <w:r>
        <w:rPr>
          <w:rFonts w:hint="eastAsia" w:ascii="仿宋" w:hAnsi="仿宋" w:eastAsia="仿宋" w:cs="仿宋"/>
          <w:b/>
          <w:bCs/>
          <w:sz w:val="24"/>
          <w:szCs w:val="24"/>
        </w:rPr>
        <w:t>一、项目基本情况</w:t>
      </w:r>
      <w:bookmarkEnd w:id="1"/>
      <w:bookmarkEnd w:id="2"/>
      <w:bookmarkEnd w:id="3"/>
      <w:bookmarkEnd w:id="4"/>
    </w:p>
    <w:p w14:paraId="2CDDD11F">
      <w:pPr>
        <w:spacing w:line="360" w:lineRule="auto"/>
        <w:ind w:firstLine="540"/>
        <w:rPr>
          <w:rFonts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rPr>
        <w:t>ZJFY-20250714</w:t>
      </w:r>
    </w:p>
    <w:p w14:paraId="76A5E181">
      <w:pPr>
        <w:spacing w:line="360" w:lineRule="auto"/>
        <w:ind w:firstLine="540"/>
        <w:rPr>
          <w:rFonts w:ascii="仿宋" w:eastAsia="仿宋" w:cs="宋体"/>
          <w:bCs/>
          <w:sz w:val="24"/>
          <w:szCs w:val="24"/>
          <w:u w:val="single"/>
        </w:rPr>
      </w:pPr>
      <w:r>
        <w:rPr>
          <w:rFonts w:hint="eastAsia" w:ascii="仿宋" w:eastAsia="仿宋" w:cs="宋体"/>
          <w:bCs/>
          <w:sz w:val="24"/>
          <w:szCs w:val="24"/>
        </w:rPr>
        <w:t>项目名称：</w:t>
      </w:r>
      <w:bookmarkEnd w:id="5"/>
      <w:r>
        <w:rPr>
          <w:rFonts w:hint="eastAsia" w:ascii="仿宋" w:eastAsia="仿宋" w:cs="宋体"/>
          <w:bCs/>
          <w:sz w:val="24"/>
          <w:szCs w:val="24"/>
          <w:u w:val="single"/>
        </w:rPr>
        <w:t>绍兴市越城区人民医院医保DRG医院智慧运营系统软件及医保结算清单全流程管理服务项目</w:t>
      </w:r>
    </w:p>
    <w:p w14:paraId="1C8D1141">
      <w:pPr>
        <w:spacing w:line="360" w:lineRule="auto"/>
        <w:ind w:firstLine="540"/>
        <w:rPr>
          <w:rFonts w:ascii="仿宋" w:eastAsia="仿宋" w:cs="宋体"/>
          <w:bCs/>
          <w:sz w:val="24"/>
          <w:szCs w:val="24"/>
          <w:u w:val="single"/>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240000</w:t>
      </w:r>
    </w:p>
    <w:p w14:paraId="5A5EF376">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rPr>
        <w:t>240000</w:t>
      </w:r>
    </w:p>
    <w:p w14:paraId="60749D9E">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56C92C8B">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14:paraId="2EF56054">
      <w:pPr>
        <w:spacing w:line="360" w:lineRule="auto"/>
        <w:ind w:firstLine="540"/>
        <w:rPr>
          <w:rFonts w:ascii="仿宋" w:eastAsia="仿宋" w:cs="宋体"/>
          <w:bCs/>
          <w:sz w:val="24"/>
          <w:szCs w:val="24"/>
          <w:u w:val="single"/>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绍兴市越城区人民医院医保DRG医院智慧运营系统软件及医保结算清单全流程管理服务项目</w:t>
      </w:r>
    </w:p>
    <w:p w14:paraId="0378322B">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hint="eastAsia" w:ascii="仿宋" w:eastAsia="仿宋" w:cs="宋体"/>
          <w:bCs/>
          <w:sz w:val="24"/>
          <w:szCs w:val="24"/>
          <w:u w:val="single"/>
        </w:rPr>
        <w:t>1</w:t>
      </w:r>
    </w:p>
    <w:p w14:paraId="09D6C232">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rPr>
        <w:t>240000</w:t>
      </w:r>
    </w:p>
    <w:p w14:paraId="59A75417">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227E5AC5">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0C9B33F4">
      <w:pPr>
        <w:spacing w:line="360" w:lineRule="auto"/>
        <w:ind w:firstLine="540"/>
        <w:rPr>
          <w:rFonts w:ascii="仿宋" w:eastAsia="仿宋" w:cs="宋体"/>
          <w:bCs/>
          <w:sz w:val="24"/>
          <w:szCs w:val="24"/>
        </w:rPr>
      </w:pPr>
      <w:r>
        <w:rPr>
          <w:rFonts w:hint="eastAsia" w:ascii="仿宋" w:eastAsia="仿宋" w:cs="宋体"/>
          <w:bCs/>
          <w:sz w:val="24"/>
          <w:szCs w:val="24"/>
        </w:rPr>
        <w:t>合同履行期限：</w:t>
      </w:r>
      <w:r>
        <w:rPr>
          <w:rFonts w:hint="eastAsia" w:ascii="仿宋" w:eastAsia="仿宋" w:cs="宋体"/>
          <w:bCs/>
          <w:sz w:val="24"/>
          <w:szCs w:val="24"/>
          <w:u w:val="single"/>
        </w:rPr>
        <w:t>详见采购文件。</w:t>
      </w:r>
    </w:p>
    <w:p w14:paraId="1A8FA362">
      <w:pPr>
        <w:spacing w:line="360" w:lineRule="auto"/>
        <w:ind w:firstLine="540"/>
        <w:rPr>
          <w:rFonts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）接受联合体投标。备注：本项目采购要求单一不接受联合体投标。</w:t>
      </w:r>
    </w:p>
    <w:p w14:paraId="6AF2D4BC">
      <w:pPr>
        <w:spacing w:before="312" w:beforeLines="100" w:after="312" w:afterLines="100"/>
        <w:rPr>
          <w:rFonts w:ascii="仿宋" w:hAnsi="仿宋" w:eastAsia="仿宋" w:cs="仿宋"/>
          <w:b/>
          <w:bCs/>
          <w:sz w:val="24"/>
          <w:szCs w:val="24"/>
        </w:rPr>
      </w:pPr>
      <w:bookmarkStart w:id="6" w:name="_Toc35393622"/>
      <w:bookmarkStart w:id="7" w:name="_Toc35393791"/>
      <w:bookmarkStart w:id="8" w:name="_Toc28359080"/>
      <w:bookmarkStart w:id="9" w:name="_Toc28359003"/>
      <w:r>
        <w:rPr>
          <w:rFonts w:hint="eastAsia" w:ascii="仿宋" w:hAnsi="仿宋" w:eastAsia="仿宋" w:cs="仿宋"/>
          <w:b/>
          <w:bCs/>
          <w:sz w:val="24"/>
          <w:szCs w:val="24"/>
        </w:rPr>
        <w:t>二、申请人的资格要求：</w:t>
      </w:r>
      <w:bookmarkEnd w:id="6"/>
      <w:bookmarkEnd w:id="7"/>
      <w:bookmarkEnd w:id="8"/>
      <w:bookmarkEnd w:id="9"/>
    </w:p>
    <w:p w14:paraId="49713FA4">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763D057C">
      <w:pPr>
        <w:spacing w:line="360" w:lineRule="auto"/>
        <w:ind w:firstLine="540"/>
        <w:rPr>
          <w:rFonts w:ascii="仿宋" w:eastAsia="仿宋" w:cs="宋体"/>
          <w:bCs/>
          <w:sz w:val="24"/>
          <w:szCs w:val="24"/>
        </w:rPr>
      </w:pPr>
      <w:bookmarkStart w:id="10" w:name="_Toc28359004"/>
      <w:bookmarkStart w:id="11" w:name="_Toc28359081"/>
      <w:r>
        <w:rPr>
          <w:rFonts w:hint="eastAsia" w:ascii="仿宋" w:eastAsia="仿宋" w:cs="宋体"/>
          <w:bCs/>
          <w:sz w:val="24"/>
          <w:szCs w:val="24"/>
        </w:rPr>
        <w:t>2.落实政府采购政策需满足的资格要求：</w:t>
      </w:r>
      <w:r>
        <w:rPr>
          <w:rFonts w:hint="eastAsia" w:ascii="仿宋" w:eastAsia="仿宋" w:cs="宋体"/>
          <w:bCs/>
          <w:sz w:val="24"/>
          <w:szCs w:val="24"/>
          <w:u w:val="single"/>
        </w:rPr>
        <w:t>本项目属于专门面向中小企业采购的项目，服务由符合政策要求的中小企业承接,提供中小企业声明函。</w:t>
      </w:r>
    </w:p>
    <w:p w14:paraId="547719E0">
      <w:pPr>
        <w:spacing w:line="360" w:lineRule="auto"/>
        <w:ind w:firstLine="540"/>
        <w:rPr>
          <w:rFonts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sz w:val="24"/>
          <w:szCs w:val="24"/>
          <w:u w:val="single"/>
        </w:rPr>
        <w:t>无</w:t>
      </w:r>
      <w:r>
        <w:rPr>
          <w:rFonts w:hint="eastAsia" w:ascii="仿宋" w:eastAsia="仿宋" w:cs="宋体"/>
          <w:bCs/>
          <w:iCs/>
          <w:sz w:val="24"/>
          <w:szCs w:val="24"/>
          <w:u w:val="single"/>
        </w:rPr>
        <w:t>。</w:t>
      </w:r>
    </w:p>
    <w:p w14:paraId="76BD434F">
      <w:pPr>
        <w:spacing w:before="312" w:beforeLines="100" w:after="312" w:afterLines="100"/>
        <w:rPr>
          <w:rFonts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30A22DDD">
      <w:pPr>
        <w:spacing w:line="360" w:lineRule="auto"/>
        <w:ind w:firstLine="540"/>
        <w:rPr>
          <w:rFonts w:ascii="仿宋" w:eastAsia="仿宋" w:cs="宋体"/>
          <w:sz w:val="24"/>
          <w:szCs w:val="24"/>
        </w:rPr>
      </w:pPr>
      <w:bookmarkStart w:id="14" w:name="_Toc28359082"/>
      <w:bookmarkStart w:id="15" w:name="_Toc28359005"/>
      <w:bookmarkStart w:id="16" w:name="_Toc35393793"/>
      <w:bookmarkStart w:id="17" w:name="_Toc35393624"/>
      <w:r>
        <w:rPr>
          <w:rFonts w:hint="eastAsia" w:ascii="仿宋" w:eastAsia="仿宋" w:cs="宋体"/>
          <w:sz w:val="24"/>
          <w:szCs w:val="24"/>
        </w:rPr>
        <w:t>获取时间：</w:t>
      </w:r>
      <w:r>
        <w:rPr>
          <w:rFonts w:hint="eastAsia" w:ascii="仿宋" w:eastAsia="仿宋" w:cs="宋体"/>
          <w:sz w:val="24"/>
          <w:szCs w:val="24"/>
          <w:u w:val="single"/>
        </w:rPr>
        <w:t xml:space="preserve">/至2025年  月  日 </w:t>
      </w:r>
      <w:r>
        <w:rPr>
          <w:rFonts w:ascii="仿宋" w:eastAsia="仿宋" w:cs="宋体"/>
          <w:sz w:val="24"/>
          <w:szCs w:val="24"/>
        </w:rPr>
        <w:t>，</w:t>
      </w:r>
      <w:r>
        <w:rPr>
          <w:rFonts w:hint="eastAsia" w:ascii="仿宋" w:eastAsia="仿宋" w:cs="宋体"/>
          <w:sz w:val="24"/>
          <w:szCs w:val="24"/>
        </w:rPr>
        <w:t>每天上午08:30至12:00 ，下午14:00至17:00（北京时间，双休日及法定节假日除外）。</w:t>
      </w:r>
    </w:p>
    <w:p w14:paraId="6A89892A">
      <w:pPr>
        <w:spacing w:line="360" w:lineRule="auto"/>
        <w:ind w:firstLine="540"/>
        <w:rPr>
          <w:rFonts w:ascii="仿宋" w:eastAsia="仿宋" w:cs="宋体"/>
          <w:sz w:val="24"/>
          <w:szCs w:val="24"/>
          <w:u w:val="single"/>
        </w:rPr>
      </w:pPr>
      <w:r>
        <w:rPr>
          <w:rFonts w:hint="eastAsia" w:ascii="仿宋" w:eastAsia="仿宋" w:cs="宋体"/>
          <w:sz w:val="24"/>
          <w:szCs w:val="24"/>
        </w:rPr>
        <w:t>获取地点：</w:t>
      </w:r>
      <w:r>
        <w:rPr>
          <w:rFonts w:hint="eastAsia" w:ascii="仿宋" w:eastAsia="仿宋"/>
          <w:bCs/>
          <w:sz w:val="24"/>
          <w:szCs w:val="24"/>
        </w:rPr>
        <w:t>浙江泛亚工程咨询有限公司（绍兴市越城区稽山街道天姥路5号2幢2楼201室）</w:t>
      </w:r>
    </w:p>
    <w:p w14:paraId="1FE03003">
      <w:pPr>
        <w:spacing w:line="360" w:lineRule="auto"/>
        <w:ind w:firstLine="540"/>
        <w:rPr>
          <w:rFonts w:ascii="仿宋" w:eastAsia="仿宋" w:cs="宋体"/>
          <w:bCs/>
          <w:sz w:val="24"/>
          <w:szCs w:val="24"/>
        </w:rPr>
      </w:pPr>
      <w:r>
        <w:rPr>
          <w:rFonts w:hint="eastAsia" w:ascii="仿宋" w:eastAsia="仿宋" w:cs="宋体"/>
          <w:bCs/>
          <w:sz w:val="24"/>
          <w:szCs w:val="24"/>
        </w:rPr>
        <w:t>获取方式：投标人获取时需提供以下报名资料（加盖单位公章）扫描件以邮件形式发送至603490035@qq.com邮箱内，报名是否成功以招标代理回复为准：</w:t>
      </w:r>
    </w:p>
    <w:p w14:paraId="4A21D876">
      <w:pPr>
        <w:spacing w:line="360" w:lineRule="auto"/>
        <w:ind w:firstLine="540"/>
        <w:rPr>
          <w:rFonts w:ascii="仿宋" w:eastAsia="仿宋" w:cs="宋体"/>
          <w:bCs/>
          <w:sz w:val="24"/>
          <w:szCs w:val="24"/>
        </w:rPr>
      </w:pPr>
      <w:r>
        <w:rPr>
          <w:rFonts w:hint="eastAsia" w:ascii="仿宋" w:eastAsia="仿宋" w:cs="宋体"/>
          <w:bCs/>
          <w:sz w:val="24"/>
          <w:szCs w:val="24"/>
        </w:rPr>
        <w:t>（1）营业执照、组织机构代码证、税务登记证或五证合一营业执照的复印件；</w:t>
      </w:r>
    </w:p>
    <w:p w14:paraId="7505D868">
      <w:pPr>
        <w:spacing w:line="360" w:lineRule="auto"/>
        <w:ind w:firstLine="540"/>
        <w:rPr>
          <w:rFonts w:ascii="仿宋" w:eastAsia="仿宋" w:cs="宋体"/>
          <w:bCs/>
          <w:sz w:val="24"/>
          <w:szCs w:val="24"/>
        </w:rPr>
      </w:pPr>
      <w:r>
        <w:rPr>
          <w:rFonts w:hint="eastAsia" w:ascii="仿宋" w:eastAsia="仿宋" w:cs="宋体"/>
          <w:bCs/>
          <w:sz w:val="24"/>
          <w:szCs w:val="24"/>
        </w:rPr>
        <w:t>（2）投标人出具的报名代表介绍信（或授权委托书），包含联系人，联系电话，QQ邮箱等投标人信息；</w:t>
      </w:r>
    </w:p>
    <w:p w14:paraId="59DA8CB6">
      <w:pPr>
        <w:spacing w:line="360" w:lineRule="auto"/>
        <w:ind w:firstLine="540"/>
        <w:rPr>
          <w:rFonts w:ascii="仿宋" w:eastAsia="仿宋" w:cs="宋体"/>
          <w:bCs/>
          <w:sz w:val="24"/>
          <w:szCs w:val="24"/>
        </w:rPr>
      </w:pPr>
      <w:r>
        <w:rPr>
          <w:rFonts w:hint="eastAsia" w:ascii="仿宋" w:eastAsia="仿宋" w:cs="宋体"/>
          <w:bCs/>
          <w:sz w:val="24"/>
          <w:szCs w:val="24"/>
        </w:rPr>
        <w:t>（3）中小企业声明函；</w:t>
      </w:r>
    </w:p>
    <w:p w14:paraId="7B93D7ED">
      <w:pPr>
        <w:spacing w:line="360" w:lineRule="auto"/>
        <w:ind w:firstLine="540"/>
        <w:rPr>
          <w:rFonts w:ascii="仿宋" w:eastAsia="仿宋" w:cs="宋体"/>
          <w:sz w:val="24"/>
          <w:szCs w:val="24"/>
          <w:u w:val="single"/>
        </w:rPr>
      </w:pPr>
      <w:r>
        <w:rPr>
          <w:rFonts w:hint="eastAsia" w:ascii="仿宋" w:eastAsia="仿宋" w:cs="宋体"/>
          <w:bCs/>
          <w:sz w:val="24"/>
          <w:szCs w:val="24"/>
        </w:rPr>
        <w:t>（4）采购代理机构将拒绝接受未获取招标文件或未登记的供应商的投标文件；</w:t>
      </w:r>
    </w:p>
    <w:p w14:paraId="68C08FA8">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6B5C2710">
      <w:pPr>
        <w:spacing w:before="312" w:beforeLines="100" w:after="312" w:afterLines="100"/>
        <w:rPr>
          <w:rFonts w:ascii="仿宋" w:hAnsi="仿宋" w:eastAsia="仿宋" w:cs="仿宋"/>
          <w:b/>
          <w:bCs/>
          <w:sz w:val="24"/>
          <w:szCs w:val="24"/>
        </w:rPr>
      </w:pPr>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2C6E3BEA">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2025年  月  日14</w:t>
      </w:r>
      <w:r>
        <w:rPr>
          <w:rFonts w:ascii="仿宋" w:eastAsia="仿宋"/>
          <w:bCs/>
          <w:sz w:val="24"/>
          <w:szCs w:val="24"/>
          <w:u w:val="single"/>
        </w:rPr>
        <w:t>：</w:t>
      </w:r>
      <w:r>
        <w:rPr>
          <w:rFonts w:hint="eastAsia" w:ascii="仿宋" w:eastAsia="仿宋"/>
          <w:bCs/>
          <w:sz w:val="24"/>
          <w:szCs w:val="24"/>
          <w:u w:val="single"/>
        </w:rPr>
        <w:t>30</w:t>
      </w:r>
      <w:r>
        <w:rPr>
          <w:rFonts w:hint="eastAsia" w:ascii="仿宋" w:eastAsia="仿宋"/>
          <w:bCs/>
          <w:sz w:val="24"/>
          <w:szCs w:val="24"/>
        </w:rPr>
        <w:t>（北京时间）</w:t>
      </w:r>
    </w:p>
    <w:p w14:paraId="56DB825C">
      <w:pPr>
        <w:spacing w:line="360" w:lineRule="auto"/>
        <w:ind w:firstLine="480" w:firstLineChars="200"/>
        <w:contextualSpacing/>
        <w:jc w:val="left"/>
        <w:rPr>
          <w:rFonts w:ascii="仿宋" w:hAnsi="仿宋" w:eastAsia="仿宋" w:cs="宋体"/>
          <w:sz w:val="24"/>
        </w:rPr>
      </w:pPr>
      <w:r>
        <w:rPr>
          <w:rFonts w:ascii="仿宋" w:eastAsia="仿宋"/>
          <w:sz w:val="24"/>
          <w:szCs w:val="24"/>
        </w:rPr>
        <w:t>投标</w:t>
      </w:r>
      <w:r>
        <w:rPr>
          <w:rFonts w:hint="eastAsia" w:ascii="仿宋" w:eastAsia="仿宋"/>
          <w:sz w:val="24"/>
          <w:szCs w:val="24"/>
        </w:rPr>
        <w:t>地点：</w:t>
      </w:r>
      <w:r>
        <w:rPr>
          <w:rFonts w:hint="eastAsia" w:ascii="仿宋" w:hAnsi="仿宋" w:eastAsia="仿宋" w:cs="宋体"/>
          <w:sz w:val="24"/>
        </w:rPr>
        <w:t>绍兴市越城区平江路575号（门诊四楼417会议室）</w:t>
      </w:r>
      <w:r>
        <w:rPr>
          <w:rFonts w:hint="eastAsia" w:ascii="仿宋" w:hAnsi="仿宋" w:eastAsia="仿宋" w:cs="宋体"/>
          <w:bCs/>
          <w:sz w:val="24"/>
        </w:rPr>
        <w:t>，</w:t>
      </w:r>
      <w:r>
        <w:rPr>
          <w:rFonts w:hint="eastAsia" w:ascii="仿宋" w:hAnsi="仿宋" w:eastAsia="仿宋" w:cs="宋体"/>
          <w:sz w:val="24"/>
        </w:rPr>
        <w:t>逾期送达作无效投标处理。</w:t>
      </w:r>
    </w:p>
    <w:p w14:paraId="461DBF8D">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2025年  月  日14:30</w:t>
      </w:r>
    </w:p>
    <w:p w14:paraId="5CBE7EED">
      <w:pPr>
        <w:spacing w:line="360" w:lineRule="auto"/>
        <w:ind w:firstLine="480" w:firstLineChars="200"/>
        <w:contextualSpacing/>
        <w:jc w:val="left"/>
        <w:rPr>
          <w:rFonts w:ascii="仿宋" w:hAnsi="仿宋" w:eastAsia="仿宋" w:cs="宋体"/>
          <w:sz w:val="24"/>
        </w:rPr>
      </w:pPr>
      <w:r>
        <w:rPr>
          <w:rFonts w:hint="eastAsia" w:ascii="仿宋" w:hAnsi="仿宋" w:eastAsia="仿宋" w:cs="宋体"/>
          <w:sz w:val="24"/>
        </w:rPr>
        <w:t>开标地点：绍兴市越城区平江路575号（门诊四楼417会议室）</w:t>
      </w:r>
    </w:p>
    <w:p w14:paraId="5E11D131">
      <w:pPr>
        <w:spacing w:line="360" w:lineRule="auto"/>
        <w:ind w:firstLine="480" w:firstLineChars="200"/>
        <w:contextualSpacing/>
        <w:jc w:val="left"/>
        <w:rPr>
          <w:rFonts w:ascii="仿宋" w:hAnsi="仿宋" w:eastAsia="仿宋" w:cs="宋体"/>
          <w:sz w:val="24"/>
        </w:rPr>
      </w:pPr>
      <w:r>
        <w:rPr>
          <w:rFonts w:hint="eastAsia" w:ascii="仿宋" w:hAnsi="仿宋" w:eastAsia="仿宋" w:cs="宋体"/>
          <w:sz w:val="24"/>
        </w:rPr>
        <w:t>注：本项目投标文件递交方式（以下两种方式可任选一种）：</w:t>
      </w:r>
    </w:p>
    <w:p w14:paraId="42768569">
      <w:pPr>
        <w:spacing w:line="360" w:lineRule="auto"/>
        <w:ind w:firstLine="480" w:firstLineChars="200"/>
        <w:contextualSpacing/>
        <w:jc w:val="left"/>
        <w:rPr>
          <w:rFonts w:ascii="仿宋" w:hAnsi="仿宋" w:eastAsia="仿宋" w:cs="宋体"/>
          <w:sz w:val="24"/>
        </w:rPr>
      </w:pPr>
      <w:r>
        <w:rPr>
          <w:rFonts w:hint="eastAsia" w:ascii="仿宋" w:hAnsi="仿宋" w:eastAsia="仿宋" w:cs="宋体"/>
          <w:sz w:val="24"/>
        </w:rPr>
        <w:t>①通过邮寄快递方式送达（建议采用EMS、顺丰快递）。接收截止时间为2025年  月  日17：00整（北京时间，开标前一天），邮寄送达地址：绍兴市越城区稽山街道天姥路5号2幢2楼201室（浙江泛亚工程咨询有限公司，接收人：金工，联系方式：15967581709。快递寄出后，请将快递底单照片发送邮件至603490035@qq.com，邮件名称为公司名字+联系人姓名+手机号，以便及时查收）。同时请充分考虑快递时间，最迟在开标前邮寄送达。投标文件递交的时间以签收时间为准，除邮寄外包装外，投标文件仍需要按采购文件要求封包，但在邮寄过程中发生的包封缺损或保管过程中发生的一切事宜均由投标人自行承担。</w:t>
      </w:r>
    </w:p>
    <w:p w14:paraId="531AC565">
      <w:pPr>
        <w:spacing w:line="360" w:lineRule="auto"/>
        <w:ind w:firstLine="480" w:firstLineChars="200"/>
        <w:rPr>
          <w:rFonts w:ascii="仿宋" w:eastAsia="仿宋"/>
          <w:bCs/>
          <w:sz w:val="24"/>
          <w:szCs w:val="24"/>
          <w:u w:val="single"/>
        </w:rPr>
      </w:pPr>
      <w:r>
        <w:rPr>
          <w:rFonts w:hint="eastAsia" w:ascii="仿宋" w:hAnsi="仿宋" w:eastAsia="仿宋" w:cs="宋体"/>
          <w:sz w:val="24"/>
        </w:rPr>
        <w:t>②采用现场递交的方式，在投标文件截止时间前将投标文件密封送交到绍兴市越城区平江路575号绍兴市越城区人民医院417会议室，递交后即交即走，不参加后续开标会。投标人在开标现场不需要书面签字确认等有关操作。</w:t>
      </w:r>
    </w:p>
    <w:p w14:paraId="061CDC7F">
      <w:pPr>
        <w:spacing w:before="312" w:beforeLines="100" w:after="312" w:afterLines="100"/>
        <w:rPr>
          <w:rFonts w:ascii="仿宋" w:hAnsi="仿宋" w:eastAsia="仿宋" w:cs="仿宋"/>
          <w:b/>
          <w:bCs/>
          <w:sz w:val="24"/>
          <w:szCs w:val="24"/>
        </w:rPr>
      </w:pPr>
      <w:bookmarkStart w:id="18" w:name="_Toc35393794"/>
      <w:bookmarkStart w:id="19" w:name="_Toc28359084"/>
      <w:bookmarkStart w:id="20" w:name="_Toc35393625"/>
      <w:bookmarkStart w:id="21" w:name="_Toc28359007"/>
      <w:r>
        <w:rPr>
          <w:rFonts w:hint="eastAsia" w:ascii="仿宋" w:hAnsi="仿宋" w:eastAsia="仿宋" w:cs="仿宋"/>
          <w:b/>
          <w:bCs/>
          <w:sz w:val="24"/>
          <w:szCs w:val="24"/>
        </w:rPr>
        <w:t>五、公告期限</w:t>
      </w:r>
      <w:bookmarkEnd w:id="18"/>
      <w:bookmarkEnd w:id="19"/>
      <w:bookmarkEnd w:id="20"/>
      <w:bookmarkEnd w:id="21"/>
    </w:p>
    <w:p w14:paraId="52BD8C1B">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678FE4AA">
      <w:pPr>
        <w:spacing w:before="312" w:beforeLines="100" w:after="312" w:afterLines="100"/>
        <w:rPr>
          <w:rFonts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5FB12577">
      <w:pPr>
        <w:spacing w:line="360" w:lineRule="auto"/>
        <w:ind w:firstLine="480" w:firstLineChars="200"/>
        <w:rPr>
          <w:rFonts w:ascii="仿宋" w:eastAsia="仿宋" w:cs="宋体"/>
          <w:kern w:val="0"/>
          <w:sz w:val="24"/>
          <w:szCs w:val="24"/>
        </w:rPr>
      </w:pPr>
      <w:bookmarkStart w:id="24" w:name="_Toc28359085"/>
      <w:bookmarkStart w:id="25" w:name="_Toc28359008"/>
      <w:bookmarkStart w:id="26" w:name="_Toc35393627"/>
      <w:bookmarkStart w:id="27" w:name="_Toc35393796"/>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4149220">
      <w:pPr>
        <w:spacing w:line="360" w:lineRule="auto"/>
        <w:ind w:firstLine="480" w:firstLineChars="200"/>
        <w:rPr>
          <w:rFonts w:ascii="仿宋" w:eastAsia="仿宋" w:cs="宋体"/>
          <w:kern w:val="0"/>
          <w:sz w:val="24"/>
          <w:szCs w:val="24"/>
        </w:rPr>
      </w:pPr>
      <w:r>
        <w:rPr>
          <w:rFonts w:hint="eastAsia" w:ascii="仿宋" w:eastAsia="仿宋" w:cs="宋体"/>
          <w:kern w:val="0"/>
          <w:sz w:val="24"/>
          <w:szCs w:val="24"/>
        </w:rPr>
        <w:t>2、供应商对质疑答复不满意或者采购机构未在规定时间内作出答复的，可以在答复期满后十五个工作日内向本项目监督部门投诉。</w:t>
      </w:r>
    </w:p>
    <w:p w14:paraId="6B4FEE00">
      <w:pPr>
        <w:spacing w:line="360" w:lineRule="auto"/>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62EE231B">
      <w:pPr>
        <w:spacing w:before="312" w:beforeLines="100" w:after="312" w:afterLines="100"/>
        <w:rPr>
          <w:rFonts w:ascii="仿宋" w:hAnsi="仿宋" w:eastAsia="仿宋" w:cs="仿宋"/>
          <w:b/>
          <w:bCs/>
          <w:sz w:val="24"/>
          <w:szCs w:val="24"/>
        </w:rPr>
      </w:pPr>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113F3E35">
      <w:pPr>
        <w:widowControl/>
        <w:spacing w:line="360" w:lineRule="auto"/>
        <w:jc w:val="left"/>
        <w:rPr>
          <w:rFonts w:ascii="仿宋_GB2312" w:eastAsia="仿宋_GB2312"/>
          <w:sz w:val="24"/>
          <w:szCs w:val="24"/>
        </w:rPr>
      </w:pPr>
      <w:r>
        <w:rPr>
          <w:rFonts w:hint="eastAsia" w:ascii="仿宋" w:eastAsia="仿宋" w:cs="宋体"/>
          <w:sz w:val="24"/>
          <w:szCs w:val="24"/>
        </w:rPr>
        <w:t>　　　1.采购人信息</w:t>
      </w:r>
    </w:p>
    <w:p w14:paraId="2DE7AA5D">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称：绍兴市越城区人民医院</w:t>
      </w:r>
    </w:p>
    <w:p w14:paraId="5021BCEA">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地址：绍兴市越城区平江路575号</w:t>
      </w:r>
    </w:p>
    <w:p w14:paraId="21F4E766">
      <w:pPr>
        <w:spacing w:line="360" w:lineRule="auto"/>
        <w:ind w:left="1079" w:leftChars="371" w:hanging="300" w:hangingChars="125"/>
        <w:jc w:val="left"/>
        <w:rPr>
          <w:rFonts w:ascii="仿宋" w:eastAsia="仿宋"/>
          <w:sz w:val="24"/>
          <w:szCs w:val="24"/>
        </w:rPr>
      </w:pPr>
      <w:r>
        <w:rPr>
          <w:rFonts w:ascii="仿宋" w:eastAsia="仿宋"/>
          <w:sz w:val="24"/>
          <w:szCs w:val="24"/>
        </w:rPr>
        <w:t>传真</w:t>
      </w:r>
      <w:r>
        <w:rPr>
          <w:rFonts w:hint="eastAsia" w:ascii="仿宋" w:eastAsia="仿宋"/>
          <w:sz w:val="24"/>
          <w:szCs w:val="24"/>
        </w:rPr>
        <w:t>：/</w:t>
      </w:r>
      <w:bookmarkStart w:id="28" w:name="_Toc28359086"/>
      <w:bookmarkStart w:id="29" w:name="_Toc28359009"/>
    </w:p>
    <w:p w14:paraId="779DEBB9">
      <w:pPr>
        <w:spacing w:line="360" w:lineRule="auto"/>
        <w:ind w:left="1079" w:leftChars="371" w:hanging="300" w:hangingChars="125"/>
        <w:jc w:val="left"/>
        <w:rPr>
          <w:rFonts w:ascii="仿宋" w:eastAsia="仿宋"/>
          <w:sz w:val="24"/>
          <w:szCs w:val="24"/>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：沈晨雪</w:t>
      </w:r>
    </w:p>
    <w:p w14:paraId="210F7494">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rPr>
        <w:t>0575-81193757</w:t>
      </w:r>
    </w:p>
    <w:p w14:paraId="20FA665C">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rPr>
        <w:t>王国庆</w:t>
      </w:r>
    </w:p>
    <w:p w14:paraId="18C22289">
      <w:pPr>
        <w:spacing w:line="360" w:lineRule="auto"/>
        <w:ind w:left="1079" w:leftChars="371" w:hanging="300" w:hangingChars="125"/>
        <w:jc w:val="left"/>
        <w:rPr>
          <w:rFonts w:ascii="仿宋" w:eastAsia="仿宋"/>
          <w:sz w:val="24"/>
          <w:szCs w:val="24"/>
        </w:rPr>
      </w:pPr>
      <w:r>
        <w:rPr>
          <w:rFonts w:ascii="仿宋" w:eastAsia="仿宋"/>
          <w:sz w:val="24"/>
          <w:szCs w:val="24"/>
        </w:rPr>
        <w:t>质疑联系方式</w:t>
      </w:r>
      <w:r>
        <w:rPr>
          <w:rFonts w:hint="eastAsia" w:ascii="仿宋" w:eastAsia="仿宋"/>
          <w:sz w:val="24"/>
          <w:szCs w:val="24"/>
        </w:rPr>
        <w:t>：0575-81193726</w:t>
      </w:r>
    </w:p>
    <w:p w14:paraId="2F45493F">
      <w:pPr>
        <w:spacing w:line="360" w:lineRule="auto"/>
        <w:ind w:left="1079" w:leftChars="371" w:hanging="300" w:hangingChars="125"/>
        <w:jc w:val="left"/>
        <w:rPr>
          <w:rFonts w:ascii="仿宋" w:eastAsia="仿宋"/>
          <w:sz w:val="24"/>
          <w:szCs w:val="24"/>
        </w:rPr>
      </w:pPr>
    </w:p>
    <w:p w14:paraId="5A9D3329">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14:paraId="2DD80E44">
      <w:pPr>
        <w:spacing w:line="360" w:lineRule="auto"/>
        <w:ind w:left="1079" w:leftChars="371" w:hanging="300" w:hangingChars="125"/>
        <w:jc w:val="left"/>
        <w:rPr>
          <w:rFonts w:ascii="仿宋" w:eastAsia="仿宋"/>
          <w:sz w:val="24"/>
          <w:szCs w:val="24"/>
        </w:rPr>
      </w:pPr>
      <w:bookmarkStart w:id="30" w:name="_Toc28359010"/>
      <w:bookmarkStart w:id="31" w:name="_Toc28359087"/>
      <w:r>
        <w:rPr>
          <w:rFonts w:hint="eastAsia" w:ascii="仿宋" w:eastAsia="仿宋"/>
          <w:sz w:val="24"/>
          <w:szCs w:val="24"/>
        </w:rPr>
        <w:t>名 称：浙江泛亚工程咨询有限公司</w:t>
      </w:r>
    </w:p>
    <w:p w14:paraId="5585507A">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地址：绍兴市越城区稽山街道天姥路5号2幢201室</w:t>
      </w:r>
    </w:p>
    <w:p w14:paraId="586DB88C">
      <w:pPr>
        <w:spacing w:line="360" w:lineRule="auto"/>
        <w:ind w:left="1079" w:leftChars="371" w:hanging="300" w:hangingChars="125"/>
        <w:jc w:val="left"/>
        <w:rPr>
          <w:rFonts w:ascii="仿宋" w:eastAsia="仿宋"/>
          <w:sz w:val="24"/>
          <w:szCs w:val="24"/>
        </w:rPr>
      </w:pPr>
      <w:r>
        <w:rPr>
          <w:rFonts w:ascii="仿宋" w:eastAsia="仿宋"/>
          <w:sz w:val="24"/>
          <w:szCs w:val="24"/>
        </w:rPr>
        <w:t>传真</w:t>
      </w:r>
      <w:r>
        <w:rPr>
          <w:rFonts w:hint="eastAsia" w:ascii="仿宋" w:eastAsia="仿宋"/>
          <w:sz w:val="24"/>
          <w:szCs w:val="24"/>
        </w:rPr>
        <w:t>：/</w:t>
      </w:r>
    </w:p>
    <w:p w14:paraId="7AF3AEF2">
      <w:pPr>
        <w:spacing w:line="360" w:lineRule="auto"/>
        <w:ind w:left="1079" w:leftChars="371" w:hanging="300" w:hangingChars="125"/>
        <w:jc w:val="left"/>
        <w:rPr>
          <w:rFonts w:ascii="仿宋" w:eastAsia="仿宋"/>
          <w:sz w:val="24"/>
          <w:szCs w:val="24"/>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：王伟、于欢</w:t>
      </w:r>
    </w:p>
    <w:p w14:paraId="19743FB4">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rPr>
        <w:t>13858435067</w:t>
      </w:r>
    </w:p>
    <w:p w14:paraId="68E7D035">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rPr>
        <w:t>丁燕华</w:t>
      </w:r>
    </w:p>
    <w:p w14:paraId="01D71074">
      <w:pPr>
        <w:spacing w:line="360" w:lineRule="auto"/>
        <w:ind w:left="1079" w:leftChars="371" w:hanging="300" w:hangingChars="125"/>
        <w:jc w:val="left"/>
        <w:rPr>
          <w:rFonts w:ascii="仿宋" w:eastAsia="仿宋"/>
          <w:sz w:val="24"/>
          <w:szCs w:val="24"/>
        </w:rPr>
      </w:pPr>
      <w:r>
        <w:rPr>
          <w:rFonts w:ascii="仿宋" w:eastAsia="仿宋"/>
          <w:sz w:val="24"/>
          <w:szCs w:val="24"/>
        </w:rPr>
        <w:t>质疑联系方式</w:t>
      </w:r>
      <w:r>
        <w:rPr>
          <w:rFonts w:hint="eastAsia" w:ascii="仿宋" w:eastAsia="仿宋"/>
          <w:sz w:val="24"/>
          <w:szCs w:val="24"/>
        </w:rPr>
        <w:t>：18258004530</w:t>
      </w:r>
    </w:p>
    <w:p w14:paraId="1EBFC984">
      <w:pPr>
        <w:spacing w:line="360" w:lineRule="auto"/>
        <w:ind w:firstLine="720" w:firstLineChars="300"/>
        <w:rPr>
          <w:rFonts w:ascii="仿宋" w:eastAsia="仿宋"/>
          <w:sz w:val="24"/>
          <w:szCs w:val="24"/>
        </w:rPr>
      </w:pPr>
    </w:p>
    <w:p w14:paraId="4719D873">
      <w:pPr>
        <w:spacing w:line="360" w:lineRule="auto"/>
        <w:ind w:firstLine="720" w:firstLineChars="300"/>
        <w:rPr>
          <w:rFonts w:ascii="仿宋" w:eastAsia="仿宋"/>
          <w:sz w:val="24"/>
          <w:szCs w:val="24"/>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7D0CA42E">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称：绍兴市越城区人民医院党建办</w:t>
      </w:r>
    </w:p>
    <w:p w14:paraId="03F89836">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地址：绍兴市越城区平江路575号</w:t>
      </w:r>
    </w:p>
    <w:p w14:paraId="79A6EA9F">
      <w:pPr>
        <w:spacing w:line="360" w:lineRule="auto"/>
        <w:ind w:left="1079" w:leftChars="371" w:hanging="300" w:hangingChars="125"/>
        <w:jc w:val="left"/>
        <w:rPr>
          <w:rFonts w:ascii="仿宋" w:eastAsia="仿宋"/>
          <w:sz w:val="24"/>
          <w:szCs w:val="24"/>
        </w:rPr>
      </w:pPr>
      <w:r>
        <w:rPr>
          <w:rFonts w:ascii="仿宋" w:eastAsia="仿宋"/>
          <w:sz w:val="24"/>
          <w:szCs w:val="24"/>
        </w:rPr>
        <w:t>传真</w:t>
      </w:r>
      <w:r>
        <w:rPr>
          <w:rFonts w:hint="eastAsia" w:ascii="仿宋" w:eastAsia="仿宋"/>
          <w:sz w:val="24"/>
          <w:szCs w:val="24"/>
        </w:rPr>
        <w:t>：/</w:t>
      </w:r>
    </w:p>
    <w:p w14:paraId="55D78786">
      <w:pPr>
        <w:spacing w:line="360" w:lineRule="auto"/>
        <w:ind w:left="1079" w:leftChars="371" w:hanging="300" w:hangingChars="125"/>
        <w:jc w:val="left"/>
        <w:rPr>
          <w:rFonts w:ascii="仿宋" w:eastAsia="仿宋"/>
          <w:sz w:val="24"/>
          <w:szCs w:val="24"/>
        </w:rPr>
      </w:pPr>
      <w:r>
        <w:rPr>
          <w:rFonts w:hint="eastAsia" w:ascii="仿宋" w:eastAsia="仿宋"/>
          <w:sz w:val="24"/>
          <w:szCs w:val="24"/>
        </w:rPr>
        <w:t>联系人：黄小伟</w:t>
      </w:r>
    </w:p>
    <w:p w14:paraId="717A03B5">
      <w:pPr>
        <w:spacing w:line="360" w:lineRule="auto"/>
        <w:ind w:left="1079" w:leftChars="371" w:hanging="300" w:hangingChars="125"/>
        <w:jc w:val="left"/>
        <w:rPr>
          <w:rFonts w:ascii="仿宋" w:eastAsia="仿宋"/>
          <w:sz w:val="24"/>
          <w:szCs w:val="24"/>
        </w:rPr>
      </w:pPr>
      <w:r>
        <w:rPr>
          <w:rFonts w:ascii="仿宋" w:eastAsia="仿宋"/>
          <w:sz w:val="24"/>
          <w:szCs w:val="24"/>
        </w:rPr>
        <w:t>监督投诉</w:t>
      </w:r>
      <w:r>
        <w:rPr>
          <w:rFonts w:hint="eastAsia" w:ascii="仿宋" w:eastAsia="仿宋"/>
          <w:sz w:val="24"/>
          <w:szCs w:val="24"/>
        </w:rPr>
        <w:t>电话：0575-81193888</w:t>
      </w:r>
    </w:p>
    <w:p w14:paraId="3F41F97A">
      <w:pPr>
        <w:rPr>
          <w:rFonts w:ascii="仿宋" w:eastAsia="仿宋"/>
          <w:b/>
          <w:bCs/>
          <w:sz w:val="44"/>
          <w:szCs w:val="44"/>
        </w:rPr>
      </w:pPr>
      <w:r>
        <w:rPr>
          <w:rFonts w:hint="eastAsia" w:ascii="仿宋" w:eastAsia="仿宋"/>
          <w:b/>
          <w:bCs/>
          <w:sz w:val="44"/>
          <w:szCs w:val="44"/>
        </w:rPr>
        <w:br w:type="page"/>
      </w:r>
    </w:p>
    <w:p w14:paraId="306248FB">
      <w:pPr>
        <w:widowControl/>
        <w:jc w:val="center"/>
        <w:rPr>
          <w:rFonts w:ascii="仿宋" w:eastAsia="仿宋"/>
          <w:b/>
          <w:bCs/>
          <w:sz w:val="44"/>
          <w:szCs w:val="44"/>
        </w:rPr>
      </w:pPr>
      <w:r>
        <w:rPr>
          <w:rFonts w:hint="eastAsia" w:ascii="仿宋" w:eastAsia="仿宋"/>
          <w:b/>
          <w:bCs/>
          <w:sz w:val="44"/>
          <w:szCs w:val="44"/>
        </w:rPr>
        <w:t>采购公告补充事项</w:t>
      </w:r>
    </w:p>
    <w:p w14:paraId="12F45637">
      <w:pPr>
        <w:numPr>
          <w:ilvl w:val="0"/>
          <w:numId w:val="4"/>
        </w:numPr>
        <w:spacing w:line="360" w:lineRule="auto"/>
        <w:rPr>
          <w:rFonts w:ascii="仿宋" w:eastAsia="仿宋" w:cs="Arial"/>
          <w:bCs/>
          <w:sz w:val="24"/>
        </w:rPr>
      </w:pPr>
      <w:r>
        <w:rPr>
          <w:rFonts w:hint="eastAsia" w:ascii="仿宋" w:eastAsia="仿宋" w:cs="Arial"/>
          <w:b/>
          <w:bCs/>
          <w:sz w:val="24"/>
        </w:rPr>
        <w:t>采购</w:t>
      </w:r>
      <w:r>
        <w:rPr>
          <w:rFonts w:ascii="仿宋" w:eastAsia="仿宋" w:cs="Arial"/>
          <w:b/>
          <w:bCs/>
          <w:sz w:val="24"/>
        </w:rPr>
        <w:t>组织类型：</w:t>
      </w:r>
      <w:r>
        <w:rPr>
          <w:rFonts w:hint="eastAsia" w:ascii="仿宋" w:eastAsia="仿宋" w:cs="Arial"/>
          <w:bCs/>
          <w:sz w:val="24"/>
          <w:u w:val="single"/>
        </w:rPr>
        <w:t xml:space="preserve">  </w:t>
      </w:r>
      <w:r>
        <w:rPr>
          <w:rFonts w:hint="eastAsia" w:ascii="仿宋" w:eastAsia="仿宋" w:cs="Arial"/>
          <w:b/>
          <w:sz w:val="24"/>
          <w:u w:val="single"/>
        </w:rPr>
        <w:t>自行采购</w:t>
      </w:r>
      <w:r>
        <w:rPr>
          <w:rFonts w:ascii="仿宋" w:eastAsia="仿宋" w:cs="Arial"/>
          <w:bCs/>
          <w:sz w:val="24"/>
          <w:u w:val="single"/>
        </w:rPr>
        <w:t xml:space="preserve">  </w:t>
      </w:r>
    </w:p>
    <w:p w14:paraId="6A164AA0">
      <w:pPr>
        <w:numPr>
          <w:ilvl w:val="0"/>
          <w:numId w:val="4"/>
        </w:numPr>
        <w:spacing w:line="360" w:lineRule="auto"/>
        <w:rPr>
          <w:rFonts w:ascii="仿宋" w:eastAsia="仿宋" w:cs="Arial"/>
          <w:bCs/>
          <w:sz w:val="24"/>
        </w:rPr>
      </w:pPr>
      <w:r>
        <w:rPr>
          <w:rFonts w:hint="eastAsia" w:ascii="仿宋" w:eastAsia="仿宋" w:cs="Arial"/>
          <w:b/>
          <w:bCs/>
          <w:sz w:val="24"/>
        </w:rPr>
        <w:t>采购类别：</w:t>
      </w:r>
      <w:r>
        <w:rPr>
          <w:rFonts w:hint="eastAsia" w:ascii="仿宋" w:eastAsia="仿宋" w:cs="Arial"/>
          <w:b/>
          <w:bCs/>
          <w:sz w:val="24"/>
          <w:u w:val="single"/>
        </w:rPr>
        <w:t xml:space="preserve">   </w:t>
      </w:r>
      <w:r>
        <w:rPr>
          <w:rFonts w:ascii="仿宋" w:eastAsia="仿宋" w:cs="Arial"/>
          <w:b/>
          <w:bCs/>
          <w:sz w:val="24"/>
          <w:u w:val="single"/>
        </w:rPr>
        <w:t xml:space="preserve">服务   </w:t>
      </w:r>
    </w:p>
    <w:p w14:paraId="2D47A237">
      <w:pPr>
        <w:numPr>
          <w:ilvl w:val="0"/>
          <w:numId w:val="4"/>
        </w:numPr>
        <w:spacing w:line="360" w:lineRule="auto"/>
        <w:rPr>
          <w:rFonts w:ascii="仿宋" w:eastAsia="仿宋" w:cs="Arial"/>
          <w:b/>
          <w:bCs/>
          <w:sz w:val="24"/>
        </w:rPr>
      </w:pPr>
      <w:r>
        <w:rPr>
          <w:rFonts w:ascii="仿宋" w:eastAsia="仿宋" w:cs="Arial"/>
          <w:b/>
          <w:bCs/>
          <w:sz w:val="24"/>
        </w:rPr>
        <w:t>采购方式</w:t>
      </w:r>
      <w:r>
        <w:rPr>
          <w:rFonts w:hint="eastAsia" w:ascii="仿宋" w:eastAsia="仿宋" w:cs="Arial"/>
          <w:b/>
          <w:bCs/>
          <w:sz w:val="24"/>
        </w:rPr>
        <w:t>：</w:t>
      </w:r>
      <w:r>
        <w:rPr>
          <w:rFonts w:hint="eastAsia" w:ascii="仿宋" w:eastAsia="仿宋" w:cs="Arial"/>
          <w:bCs/>
          <w:sz w:val="24"/>
          <w:u w:val="single"/>
        </w:rPr>
        <w:t xml:space="preserve">     </w:t>
      </w:r>
      <w:r>
        <w:rPr>
          <w:rFonts w:ascii="仿宋" w:eastAsia="仿宋" w:cs="Arial"/>
          <w:b/>
          <w:bCs/>
          <w:sz w:val="24"/>
          <w:u w:val="single"/>
        </w:rPr>
        <w:t>公开招标</w:t>
      </w:r>
      <w:r>
        <w:rPr>
          <w:rFonts w:hint="eastAsia" w:ascii="仿宋" w:eastAsia="仿宋" w:cs="Arial"/>
          <w:bCs/>
          <w:sz w:val="24"/>
          <w:u w:val="single"/>
        </w:rPr>
        <w:t xml:space="preserve">    </w:t>
      </w:r>
      <w:r>
        <w:rPr>
          <w:rFonts w:ascii="仿宋" w:eastAsia="仿宋" w:cs="Arial"/>
          <w:bCs/>
          <w:sz w:val="24"/>
          <w:u w:val="single"/>
        </w:rPr>
        <w:t xml:space="preserve"> </w:t>
      </w:r>
    </w:p>
    <w:p w14:paraId="741DB2A5">
      <w:pPr>
        <w:numPr>
          <w:ilvl w:val="0"/>
          <w:numId w:val="4"/>
        </w:numPr>
        <w:spacing w:line="360" w:lineRule="auto"/>
        <w:rPr>
          <w:rFonts w:ascii="仿宋" w:eastAsia="仿宋" w:cs="Arial"/>
          <w:b/>
          <w:bCs/>
          <w:sz w:val="24"/>
        </w:rPr>
      </w:pPr>
      <w:r>
        <w:rPr>
          <w:rFonts w:hint="eastAsia" w:ascii="仿宋" w:eastAsia="仿宋" w:cs="Arial"/>
          <w:b/>
          <w:bCs/>
          <w:sz w:val="24"/>
        </w:rPr>
        <w:t>资格审查方式：资格后审。</w:t>
      </w:r>
    </w:p>
    <w:p w14:paraId="7EEEF692">
      <w:pPr>
        <w:numPr>
          <w:ilvl w:val="0"/>
          <w:numId w:val="4"/>
        </w:numPr>
        <w:spacing w:line="360" w:lineRule="auto"/>
        <w:rPr>
          <w:rFonts w:ascii="仿宋" w:eastAsia="仿宋" w:cs="Arial"/>
          <w:b/>
          <w:bCs/>
          <w:sz w:val="24"/>
        </w:rPr>
      </w:pPr>
      <w:r>
        <w:rPr>
          <w:rFonts w:hint="eastAsia" w:ascii="仿宋" w:eastAsia="仿宋" w:cs="Arial"/>
          <w:b/>
          <w:bCs/>
          <w:sz w:val="24"/>
        </w:rPr>
        <w:t>注意事项：</w:t>
      </w:r>
    </w:p>
    <w:p w14:paraId="1C9ED9DE">
      <w:pPr>
        <w:spacing w:line="360" w:lineRule="auto"/>
        <w:ind w:firstLine="480"/>
        <w:rPr>
          <w:rFonts w:ascii="仿宋" w:eastAsia="仿宋" w:cs="宋体"/>
          <w:kern w:val="0"/>
          <w:sz w:val="24"/>
        </w:rPr>
      </w:pPr>
      <w:r>
        <w:rPr>
          <w:rFonts w:hint="eastAsia" w:ascii="仿宋" w:eastAsia="仿宋" w:cs="宋体"/>
          <w:kern w:val="0"/>
          <w:sz w:val="24"/>
        </w:rPr>
        <w:t>1</w:t>
      </w:r>
      <w:r>
        <w:rPr>
          <w:rFonts w:ascii="仿宋" w:eastAsia="仿宋" w:cs="宋体"/>
          <w:kern w:val="0"/>
          <w:sz w:val="24"/>
        </w:rPr>
        <w:t>、</w:t>
      </w:r>
      <w:r>
        <w:rPr>
          <w:rFonts w:hint="eastAsia" w:ascii="仿宋" w:eastAsia="仿宋" w:cs="宋体"/>
          <w:kern w:val="0"/>
          <w:sz w:val="24"/>
        </w:rPr>
        <w:t>单位负责人为同一人或者存在直接控股、管理关系的不同供应商，不得同时参加同一标项的投标。</w:t>
      </w:r>
    </w:p>
    <w:p w14:paraId="08959C03">
      <w:pPr>
        <w:spacing w:line="360" w:lineRule="auto"/>
        <w:ind w:firstLine="480" w:firstLineChars="200"/>
        <w:rPr>
          <w:rFonts w:ascii="仿宋" w:eastAsia="仿宋" w:cs="宋体"/>
          <w:kern w:val="0"/>
          <w:sz w:val="24"/>
        </w:rPr>
      </w:pPr>
      <w:r>
        <w:rPr>
          <w:rFonts w:hint="eastAsia" w:ascii="仿宋" w:eastAsia="仿宋" w:cs="宋体"/>
          <w:kern w:val="0"/>
          <w:sz w:val="24"/>
        </w:rPr>
        <w:t>2</w:t>
      </w:r>
      <w:r>
        <w:rPr>
          <w:rFonts w:ascii="仿宋" w:eastAsia="仿宋" w:cs="宋体"/>
          <w:kern w:val="0"/>
          <w:sz w:val="24"/>
        </w:rPr>
        <w:t>、</w:t>
      </w:r>
      <w:r>
        <w:rPr>
          <w:rFonts w:hint="eastAsia" w:ascii="仿宋" w:eastAsia="仿宋" w:cs="宋体"/>
          <w:kern w:val="0"/>
          <w:sz w:val="24"/>
        </w:rPr>
        <w:t>为项目提供整体设计、规范编制或者项目管理、监理、检测等服务的供应商，不得再参加该采购项目的其他采购活动。</w:t>
      </w:r>
    </w:p>
    <w:p w14:paraId="0AEF87DC">
      <w:pPr>
        <w:spacing w:line="360" w:lineRule="auto"/>
        <w:ind w:firstLine="466" w:firstLineChars="200"/>
        <w:rPr>
          <w:rFonts w:ascii="仿宋" w:eastAsia="仿宋" w:cs="Arial"/>
          <w:bCs/>
          <w:sz w:val="24"/>
        </w:rPr>
      </w:pPr>
      <w:r>
        <w:rPr>
          <w:rFonts w:ascii="仿宋" w:eastAsia="仿宋" w:cs="Arial"/>
          <w:b/>
          <w:bCs/>
          <w:spacing w:val="-4"/>
          <w:sz w:val="24"/>
        </w:rPr>
        <w:t>六</w:t>
      </w:r>
      <w:r>
        <w:rPr>
          <w:rFonts w:hint="eastAsia" w:ascii="仿宋" w:eastAsia="仿宋" w:cs="Arial"/>
          <w:b/>
          <w:bCs/>
          <w:spacing w:val="-4"/>
          <w:sz w:val="24"/>
        </w:rPr>
        <w:t>、</w:t>
      </w:r>
      <w:r>
        <w:rPr>
          <w:rFonts w:hint="eastAsia" w:ascii="仿宋" w:eastAsia="仿宋" w:cs="Arial"/>
          <w:b/>
          <w:spacing w:val="-4"/>
          <w:sz w:val="24"/>
        </w:rPr>
        <w:t>采购公告及更正公告发布网址：</w:t>
      </w:r>
      <w:bookmarkStart w:id="32" w:name="_Hlt10553106"/>
      <w:bookmarkEnd w:id="32"/>
      <w:bookmarkStart w:id="33" w:name="_Hlt10553107"/>
      <w:bookmarkEnd w:id="33"/>
      <w:r>
        <w:rPr>
          <w:rFonts w:hint="eastAsia" w:ascii="仿宋" w:eastAsia="仿宋" w:cs="Arial"/>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sz w:val="24"/>
        </w:rPr>
        <w:t>请在浙江政府采购网更正公告页面或越城区人民政府门户网站采购公告页面中下载。</w:t>
      </w:r>
    </w:p>
    <w:p w14:paraId="6C11B8C6">
      <w:pPr>
        <w:rPr>
          <w:rFonts w:ascii="仿宋"/>
        </w:rPr>
      </w:pPr>
      <w:bookmarkStart w:id="34" w:name="_Toc1678"/>
      <w:r>
        <w:rPr>
          <w:rFonts w:hint="eastAsia" w:ascii="仿宋"/>
        </w:rPr>
        <w:br w:type="page"/>
      </w:r>
    </w:p>
    <w:p w14:paraId="79FF900A">
      <w:pPr>
        <w:pStyle w:val="3"/>
        <w:rPr>
          <w:rFonts w:ascii="仿宋"/>
        </w:rPr>
      </w:pPr>
      <w:r>
        <w:rPr>
          <w:rFonts w:hint="eastAsia" w:ascii="仿宋"/>
        </w:rPr>
        <w:t>第二章  投标人须知</w:t>
      </w:r>
      <w:bookmarkEnd w:id="34"/>
    </w:p>
    <w:p w14:paraId="4C3611D9">
      <w:pPr>
        <w:pStyle w:val="4"/>
        <w:rPr>
          <w:rFonts w:ascii="仿宋"/>
        </w:rPr>
      </w:pPr>
      <w:bookmarkStart w:id="35" w:name="_Toc4885"/>
      <w:r>
        <w:rPr>
          <w:rFonts w:hint="eastAsia" w:ascii="仿宋"/>
        </w:rPr>
        <w:t>一、前附表</w:t>
      </w:r>
      <w:bookmarkEnd w:id="35"/>
    </w:p>
    <w:tbl>
      <w:tblPr>
        <w:tblStyle w:val="1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D49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11444B">
            <w:pPr>
              <w:spacing w:before="156" w:beforeLines="50" w:after="93" w:afterLines="30" w:line="300" w:lineRule="exact"/>
              <w:jc w:val="center"/>
              <w:rPr>
                <w:rFonts w:ascii="仿宋" w:eastAsia="仿宋"/>
                <w:sz w:val="24"/>
              </w:rPr>
            </w:pPr>
            <w:r>
              <w:rPr>
                <w:rFonts w:hint="eastAsia" w:ascii="仿宋" w:eastAsia="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C2878B8">
            <w:pPr>
              <w:spacing w:before="156" w:beforeLines="50" w:after="93" w:afterLines="30" w:line="300" w:lineRule="exact"/>
              <w:jc w:val="center"/>
              <w:rPr>
                <w:rFonts w:ascii="仿宋" w:eastAsia="仿宋"/>
                <w:sz w:val="24"/>
              </w:rPr>
            </w:pPr>
            <w:r>
              <w:rPr>
                <w:rFonts w:hint="eastAsia" w:ascii="仿宋" w:eastAsia="仿宋"/>
                <w:sz w:val="24"/>
              </w:rPr>
              <w:t>内　　　　容</w:t>
            </w:r>
          </w:p>
        </w:tc>
      </w:tr>
      <w:tr w14:paraId="6345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1931EB4">
            <w:pPr>
              <w:spacing w:line="340" w:lineRule="exact"/>
              <w:jc w:val="center"/>
              <w:rPr>
                <w:rFonts w:ascii="仿宋" w:eastAsia="仿宋"/>
                <w:sz w:val="24"/>
              </w:rPr>
            </w:pPr>
            <w:r>
              <w:rPr>
                <w:rFonts w:hint="eastAsia" w:ascii="仿宋" w:eastAsia="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92BA850">
            <w:pPr>
              <w:spacing w:line="500" w:lineRule="exact"/>
              <w:rPr>
                <w:rFonts w:ascii="仿宋" w:eastAsia="仿宋"/>
                <w:sz w:val="24"/>
              </w:rPr>
            </w:pPr>
            <w:r>
              <w:rPr>
                <w:rFonts w:hint="eastAsia" w:ascii="仿宋" w:eastAsia="仿宋"/>
                <w:b/>
                <w:sz w:val="24"/>
              </w:rPr>
              <w:t>项目名称</w:t>
            </w:r>
            <w:r>
              <w:rPr>
                <w:rFonts w:hint="eastAsia" w:ascii="仿宋" w:eastAsia="仿宋"/>
                <w:sz w:val="24"/>
              </w:rPr>
              <w:t>：</w:t>
            </w:r>
            <w:r>
              <w:rPr>
                <w:rFonts w:hint="eastAsia" w:ascii="仿宋" w:eastAsia="仿宋"/>
                <w:sz w:val="24"/>
                <w:u w:val="single"/>
              </w:rPr>
              <w:t>绍兴市越城区人民医院医保DRG医院智慧运营系统软件及医保结算清单全流程管理服务项目</w:t>
            </w:r>
          </w:p>
        </w:tc>
      </w:tr>
      <w:tr w14:paraId="63E7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E42C9AF">
            <w:pPr>
              <w:spacing w:line="340" w:lineRule="exact"/>
              <w:jc w:val="center"/>
              <w:rPr>
                <w:rFonts w:ascii="仿宋" w:eastAsia="仿宋"/>
                <w:sz w:val="24"/>
              </w:rPr>
            </w:pPr>
            <w:r>
              <w:rPr>
                <w:rFonts w:hint="eastAsia" w:ascii="仿宋" w:eastAsia="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F24452C">
            <w:pPr>
              <w:autoSpaceDE w:val="0"/>
              <w:autoSpaceDN w:val="0"/>
              <w:spacing w:line="500" w:lineRule="exact"/>
              <w:textAlignment w:val="bottom"/>
              <w:rPr>
                <w:rFonts w:ascii="仿宋" w:eastAsia="仿宋"/>
                <w:sz w:val="24"/>
              </w:rPr>
            </w:pPr>
            <w:r>
              <w:rPr>
                <w:rFonts w:hint="eastAsia" w:ascii="仿宋" w:eastAsia="仿宋"/>
                <w:b/>
                <w:sz w:val="24"/>
              </w:rPr>
              <w:t>投标有效期：</w:t>
            </w:r>
            <w:r>
              <w:rPr>
                <w:rFonts w:hint="eastAsia" w:ascii="仿宋" w:eastAsia="仿宋"/>
                <w:sz w:val="24"/>
              </w:rPr>
              <w:t>自投标截止日起60天。如采购人认为必要，可延长至总计最长不超过90天。</w:t>
            </w:r>
          </w:p>
        </w:tc>
      </w:tr>
      <w:tr w14:paraId="5E56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4553C6">
            <w:pPr>
              <w:spacing w:line="340" w:lineRule="exact"/>
              <w:jc w:val="center"/>
              <w:rPr>
                <w:rFonts w:ascii="仿宋" w:eastAsia="仿宋"/>
                <w:sz w:val="24"/>
              </w:rPr>
            </w:pPr>
            <w:r>
              <w:rPr>
                <w:rFonts w:ascii="仿宋" w:eastAsia="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A1F86AF">
            <w:pPr>
              <w:autoSpaceDE w:val="0"/>
              <w:autoSpaceDN w:val="0"/>
              <w:spacing w:line="500" w:lineRule="exact"/>
              <w:textAlignment w:val="bottom"/>
              <w:rPr>
                <w:rFonts w:ascii="仿宋" w:eastAsia="仿宋"/>
                <w:b/>
                <w:sz w:val="24"/>
              </w:rPr>
            </w:pPr>
            <w:r>
              <w:rPr>
                <w:rFonts w:hint="eastAsia" w:ascii="仿宋" w:eastAsia="仿宋"/>
                <w:b/>
                <w:sz w:val="24"/>
              </w:rPr>
              <w:t>是否提供样品：</w:t>
            </w:r>
            <w:r>
              <w:rPr>
                <w:rFonts w:hint="eastAsia" w:ascii="仿宋" w:eastAsia="仿宋"/>
                <w:sz w:val="24"/>
                <w:u w:val="single"/>
              </w:rPr>
              <w:t xml:space="preserve">    否    </w:t>
            </w:r>
          </w:p>
        </w:tc>
      </w:tr>
      <w:tr w14:paraId="40E5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EACBA2E">
            <w:pPr>
              <w:spacing w:line="340" w:lineRule="exact"/>
              <w:jc w:val="center"/>
              <w:rPr>
                <w:rFonts w:ascii="仿宋" w:eastAsia="仿宋"/>
                <w:sz w:val="24"/>
              </w:rPr>
            </w:pPr>
            <w:r>
              <w:rPr>
                <w:rFonts w:ascii="仿宋" w:eastAsia="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2D7C99F">
            <w:pPr>
              <w:autoSpaceDE w:val="0"/>
              <w:autoSpaceDN w:val="0"/>
              <w:spacing w:line="500" w:lineRule="exact"/>
              <w:textAlignment w:val="bottom"/>
              <w:rPr>
                <w:rFonts w:ascii="仿宋" w:eastAsia="仿宋" w:cs="Arial"/>
                <w:b/>
                <w:sz w:val="24"/>
                <w:u w:val="single"/>
              </w:rPr>
            </w:pPr>
            <w:r>
              <w:rPr>
                <w:rFonts w:hint="eastAsia" w:ascii="仿宋" w:eastAsia="仿宋"/>
                <w:b/>
                <w:sz w:val="24"/>
              </w:rPr>
              <w:t>是否演示：</w:t>
            </w:r>
            <w:r>
              <w:rPr>
                <w:rFonts w:hint="eastAsia" w:ascii="仿宋" w:eastAsia="仿宋"/>
                <w:sz w:val="24"/>
                <w:u w:val="single"/>
              </w:rPr>
              <w:t xml:space="preserve">    否    </w:t>
            </w:r>
          </w:p>
        </w:tc>
      </w:tr>
      <w:tr w14:paraId="4EE0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A90C36">
            <w:pPr>
              <w:spacing w:line="340" w:lineRule="exact"/>
              <w:jc w:val="center"/>
              <w:rPr>
                <w:rFonts w:ascii="仿宋" w:eastAsia="仿宋"/>
                <w:sz w:val="24"/>
              </w:rPr>
            </w:pPr>
            <w:r>
              <w:rPr>
                <w:rFonts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F4CB18">
            <w:pPr>
              <w:autoSpaceDE w:val="0"/>
              <w:autoSpaceDN w:val="0"/>
              <w:spacing w:line="500" w:lineRule="exact"/>
              <w:textAlignment w:val="bottom"/>
              <w:rPr>
                <w:rFonts w:ascii="仿宋" w:eastAsia="仿宋"/>
                <w:b/>
                <w:sz w:val="24"/>
              </w:rPr>
            </w:pPr>
            <w:r>
              <w:rPr>
                <w:rFonts w:hint="eastAsia" w:ascii="仿宋" w:eastAsia="仿宋"/>
                <w:b/>
                <w:sz w:val="24"/>
              </w:rPr>
              <w:t>是否组织现场踏勘：</w:t>
            </w:r>
            <w:r>
              <w:rPr>
                <w:rFonts w:hint="eastAsia" w:ascii="仿宋" w:eastAsia="仿宋"/>
                <w:sz w:val="24"/>
                <w:u w:val="single"/>
              </w:rPr>
              <w:t xml:space="preserve">    否    </w:t>
            </w:r>
          </w:p>
        </w:tc>
      </w:tr>
      <w:tr w14:paraId="39B0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6603900">
            <w:pPr>
              <w:spacing w:line="340" w:lineRule="exact"/>
              <w:jc w:val="center"/>
              <w:rPr>
                <w:rFonts w:ascii="仿宋" w:eastAsia="仿宋"/>
                <w:sz w:val="24"/>
              </w:rPr>
            </w:pPr>
            <w:r>
              <w:rPr>
                <w:rFonts w:ascii="仿宋" w:eastAsia="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B34B0F">
            <w:pPr>
              <w:spacing w:line="500" w:lineRule="exact"/>
              <w:rPr>
                <w:rFonts w:ascii="仿宋" w:eastAsia="仿宋"/>
                <w:sz w:val="24"/>
              </w:rPr>
            </w:pPr>
            <w:r>
              <w:rPr>
                <w:rFonts w:hint="eastAsia" w:ascii="仿宋" w:eastAsia="仿宋"/>
                <w:b/>
                <w:sz w:val="24"/>
              </w:rPr>
              <w:t>投标文件份数：</w:t>
            </w:r>
            <w:r>
              <w:rPr>
                <w:rFonts w:hint="eastAsia" w:ascii="仿宋" w:eastAsia="仿宋"/>
                <w:bCs/>
                <w:sz w:val="24"/>
              </w:rPr>
              <w:t>正本一份，副本四份；另附一份盖章版电子投标文件（pdf扫描件），以U盘形式单独密封递交；正本与副本内容不一致的，以正本为准。</w:t>
            </w:r>
            <w:r>
              <w:rPr>
                <w:rFonts w:hint="eastAsia" w:ascii="仿宋" w:eastAsia="仿宋"/>
                <w:b/>
                <w:sz w:val="24"/>
              </w:rPr>
              <w:t>注：资格文件资料、</w:t>
            </w:r>
            <w:r>
              <w:rPr>
                <w:rFonts w:hint="eastAsia" w:ascii="仿宋" w:hAnsi="仿宋" w:eastAsia="仿宋" w:cs="仿宋"/>
                <w:b/>
                <w:sz w:val="24"/>
              </w:rPr>
              <w:t>报价文件资料、商务技术文件资料必须单独封装。（若投标单位报多个段，报价文件资料、商务技术文件资料各标项须每个分开单独封装。）</w:t>
            </w:r>
          </w:p>
        </w:tc>
      </w:tr>
      <w:tr w14:paraId="39AF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BB361E1">
            <w:pPr>
              <w:spacing w:line="340" w:lineRule="exact"/>
              <w:jc w:val="center"/>
              <w:rPr>
                <w:rFonts w:ascii="仿宋" w:eastAsia="仿宋"/>
                <w:sz w:val="24"/>
              </w:rPr>
            </w:pPr>
            <w:r>
              <w:rPr>
                <w:rFonts w:ascii="仿宋" w:eastAsia="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E5D4A6A">
            <w:pPr>
              <w:autoSpaceDE w:val="0"/>
              <w:autoSpaceDN w:val="0"/>
              <w:spacing w:line="500" w:lineRule="exact"/>
              <w:textAlignment w:val="bottom"/>
              <w:rPr>
                <w:rFonts w:ascii="仿宋" w:eastAsia="仿宋"/>
                <w:b/>
                <w:sz w:val="24"/>
              </w:rPr>
            </w:pPr>
            <w:r>
              <w:rPr>
                <w:rFonts w:hint="eastAsia" w:ascii="仿宋" w:eastAsia="仿宋"/>
                <w:b/>
                <w:sz w:val="24"/>
              </w:rPr>
              <w:t>履约保证金及缴退时间：</w:t>
            </w:r>
            <w:r>
              <w:rPr>
                <w:rFonts w:hint="eastAsia" w:ascii="仿宋" w:eastAsia="仿宋"/>
                <w:sz w:val="24"/>
                <w:u w:val="single"/>
              </w:rPr>
              <w:t xml:space="preserve"> / </w:t>
            </w:r>
          </w:p>
          <w:p w14:paraId="386F3B0C">
            <w:pPr>
              <w:autoSpaceDE w:val="0"/>
              <w:autoSpaceDN w:val="0"/>
              <w:spacing w:line="500" w:lineRule="exact"/>
              <w:textAlignment w:val="bottom"/>
              <w:rPr>
                <w:rFonts w:ascii="仿宋" w:eastAsia="仿宋"/>
                <w:b/>
                <w:sz w:val="24"/>
              </w:rPr>
            </w:pPr>
            <w:r>
              <w:rPr>
                <w:rFonts w:hint="eastAsia" w:ascii="仿宋" w:eastAsia="仿宋"/>
                <w:b/>
                <w:sz w:val="24"/>
              </w:rPr>
              <w:t>应当以支票、汇票、本票或者金融机构、担保机构出具的保函等非现金形式提交。</w:t>
            </w:r>
          </w:p>
        </w:tc>
      </w:tr>
      <w:tr w14:paraId="7628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7D6F549">
            <w:pPr>
              <w:spacing w:line="340" w:lineRule="exact"/>
              <w:jc w:val="center"/>
              <w:rPr>
                <w:rFonts w:ascii="仿宋" w:eastAsia="仿宋"/>
                <w:sz w:val="24"/>
              </w:rPr>
            </w:pPr>
            <w:r>
              <w:rPr>
                <w:rFonts w:ascii="仿宋" w:eastAsia="仿宋"/>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66F8BA8">
            <w:pPr>
              <w:snapToGrid w:val="0"/>
              <w:jc w:val="left"/>
              <w:rPr>
                <w:rFonts w:ascii="仿宋" w:eastAsia="仿宋"/>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u w:val="single"/>
              </w:rPr>
              <w:t xml:space="preserve"> 不允许 </w:t>
            </w:r>
            <w:r>
              <w:rPr>
                <w:rFonts w:hint="eastAsia" w:ascii="仿宋" w:eastAsia="仿宋"/>
                <w:sz w:val="24"/>
              </w:rPr>
              <w:t>转包。</w:t>
            </w:r>
          </w:p>
        </w:tc>
      </w:tr>
      <w:tr w14:paraId="2183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892393D">
            <w:pPr>
              <w:spacing w:line="340" w:lineRule="exact"/>
              <w:jc w:val="center"/>
              <w:rPr>
                <w:rFonts w:ascii="仿宋" w:eastAsia="仿宋"/>
                <w:sz w:val="24"/>
              </w:rPr>
            </w:pPr>
            <w:r>
              <w:rPr>
                <w:rFonts w:hint="eastAsia" w:ascii="仿宋" w:eastAsia="仿宋"/>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449E89">
            <w:pPr>
              <w:snapToGrid w:val="0"/>
              <w:jc w:val="left"/>
              <w:rPr>
                <w:rFonts w:ascii="仿宋" w:eastAsia="仿宋"/>
                <w:b/>
                <w:bCs/>
                <w:sz w:val="24"/>
              </w:rPr>
            </w:pPr>
            <w:r>
              <w:rPr>
                <w:rFonts w:hint="eastAsia" w:ascii="仿宋" w:eastAsia="仿宋"/>
                <w:b/>
                <w:bCs/>
                <w:sz w:val="24"/>
              </w:rPr>
              <w:t>本项目采购标的（服务部分）所属行业：</w:t>
            </w:r>
          </w:p>
          <w:tbl>
            <w:tblPr>
              <w:tblStyle w:val="1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6265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14:paraId="3E291107">
                  <w:pPr>
                    <w:snapToGrid w:val="0"/>
                    <w:jc w:val="center"/>
                    <w:rPr>
                      <w:rFonts w:ascii="仿宋" w:eastAsia="仿宋"/>
                      <w:b/>
                      <w:bCs/>
                      <w:sz w:val="24"/>
                    </w:rPr>
                  </w:pPr>
                  <w:r>
                    <w:rPr>
                      <w:rFonts w:hint="eastAsia" w:ascii="仿宋" w:eastAsia="仿宋"/>
                      <w:b/>
                      <w:bCs/>
                      <w:sz w:val="24"/>
                    </w:rPr>
                    <w:t>采购标的名称</w:t>
                  </w:r>
                </w:p>
              </w:tc>
              <w:tc>
                <w:tcPr>
                  <w:tcW w:w="4078" w:type="dxa"/>
                  <w:noWrap w:val="0"/>
                  <w:vAlign w:val="center"/>
                </w:tcPr>
                <w:p w14:paraId="1BA57E20">
                  <w:pPr>
                    <w:snapToGrid w:val="0"/>
                    <w:jc w:val="center"/>
                    <w:rPr>
                      <w:rFonts w:ascii="仿宋" w:eastAsia="仿宋"/>
                      <w:b/>
                      <w:bCs/>
                      <w:sz w:val="24"/>
                    </w:rPr>
                  </w:pPr>
                  <w:r>
                    <w:rPr>
                      <w:rFonts w:hint="eastAsia" w:ascii="仿宋" w:eastAsia="仿宋"/>
                      <w:b/>
                      <w:bCs/>
                      <w:sz w:val="24"/>
                    </w:rPr>
                    <w:t>所属行业</w:t>
                  </w:r>
                </w:p>
              </w:tc>
            </w:tr>
            <w:tr w14:paraId="0E4A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14:paraId="209355FC">
                  <w:pPr>
                    <w:snapToGrid w:val="0"/>
                    <w:jc w:val="center"/>
                    <w:rPr>
                      <w:rFonts w:ascii="仿宋" w:eastAsia="仿宋"/>
                      <w:b/>
                      <w:bCs/>
                      <w:sz w:val="24"/>
                    </w:rPr>
                  </w:pPr>
                  <w:r>
                    <w:rPr>
                      <w:rFonts w:hint="eastAsia" w:ascii="仿宋" w:hAnsi="仿宋" w:eastAsia="仿宋" w:cs="仿宋"/>
                      <w:b/>
                      <w:bCs/>
                      <w:sz w:val="24"/>
                    </w:rPr>
                    <w:t>绍兴市越城区人民医院医保DRG医院智慧运营系统软件及医保结算清单全流程管理服务项目</w:t>
                  </w:r>
                </w:p>
              </w:tc>
              <w:tc>
                <w:tcPr>
                  <w:tcW w:w="4078" w:type="dxa"/>
                  <w:noWrap w:val="0"/>
                  <w:vAlign w:val="center"/>
                </w:tcPr>
                <w:p w14:paraId="3E4B20D8">
                  <w:pPr>
                    <w:snapToGrid w:val="0"/>
                    <w:jc w:val="center"/>
                    <w:rPr>
                      <w:rFonts w:ascii="仿宋" w:eastAsia="仿宋"/>
                      <w:b/>
                      <w:bCs/>
                      <w:sz w:val="24"/>
                    </w:rPr>
                  </w:pPr>
                  <w:r>
                    <w:rPr>
                      <w:rFonts w:hint="eastAsia" w:ascii="仿宋" w:hAnsi="仿宋" w:eastAsia="仿宋" w:cs="仿宋"/>
                      <w:b/>
                      <w:bCs/>
                      <w:sz w:val="24"/>
                    </w:rPr>
                    <w:t>软件和信息技术服务业</w:t>
                  </w:r>
                </w:p>
              </w:tc>
            </w:tr>
          </w:tbl>
          <w:p w14:paraId="7A15735F">
            <w:pPr>
              <w:snapToGrid w:val="0"/>
              <w:jc w:val="left"/>
              <w:rPr>
                <w:rFonts w:ascii="仿宋" w:eastAsia="仿宋"/>
                <w:b/>
                <w:bCs/>
                <w:sz w:val="24"/>
              </w:rPr>
            </w:pPr>
          </w:p>
        </w:tc>
      </w:tr>
      <w:tr w14:paraId="412C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129928B">
            <w:pPr>
              <w:spacing w:line="340" w:lineRule="exact"/>
              <w:jc w:val="center"/>
              <w:rPr>
                <w:rFonts w:ascii="仿宋" w:eastAsia="仿宋"/>
                <w:sz w:val="24"/>
              </w:rPr>
            </w:pPr>
            <w:r>
              <w:rPr>
                <w:rFonts w:hint="eastAsia" w:ascii="仿宋" w:eastAsia="仿宋"/>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013695">
            <w:pPr>
              <w:adjustRightInd w:val="0"/>
              <w:spacing w:line="440" w:lineRule="exact"/>
              <w:rPr>
                <w:rFonts w:ascii="仿宋" w:eastAsia="仿宋" w:cs="仿宋_GB2312"/>
                <w:b/>
                <w:bCs/>
                <w:sz w:val="24"/>
              </w:rPr>
            </w:pPr>
            <w:r>
              <w:rPr>
                <w:rFonts w:hint="eastAsia" w:ascii="仿宋" w:eastAsia="仿宋" w:cs="仿宋_GB2312"/>
                <w:b/>
                <w:bCs/>
                <w:sz w:val="24"/>
              </w:rPr>
              <w:t>采购代理服务费：</w:t>
            </w:r>
          </w:p>
          <w:p w14:paraId="49F6EBD2">
            <w:pPr>
              <w:snapToGrid w:val="0"/>
              <w:spacing w:line="440" w:lineRule="exact"/>
              <w:rPr>
                <w:rFonts w:ascii="仿宋" w:hAnsi="仿宋" w:eastAsia="仿宋" w:cs="仿宋"/>
                <w:sz w:val="24"/>
                <w:u w:val="single"/>
              </w:rPr>
            </w:pPr>
            <w:r>
              <w:rPr>
                <w:rFonts w:hint="eastAsia" w:ascii="仿宋" w:hAnsi="仿宋" w:eastAsia="仿宋" w:cs="仿宋"/>
                <w:kern w:val="0"/>
                <w:sz w:val="24"/>
                <w:szCs w:val="21"/>
                <w:u w:val="single"/>
              </w:rPr>
              <w:t>中标</w:t>
            </w:r>
            <w:r>
              <w:rPr>
                <w:rFonts w:ascii="仿宋" w:hAnsi="仿宋" w:eastAsia="仿宋" w:cs="仿宋"/>
                <w:sz w:val="24"/>
                <w:u w:val="single"/>
              </w:rPr>
              <w:t>人需支付以下费用，并在投标报价中自行考虑：</w:t>
            </w:r>
          </w:p>
          <w:p w14:paraId="4565B0CA">
            <w:pPr>
              <w:snapToGrid w:val="0"/>
              <w:spacing w:line="440" w:lineRule="exact"/>
              <w:rPr>
                <w:rFonts w:ascii="仿宋" w:hAnsi="仿宋" w:eastAsia="仿宋" w:cs="仿宋"/>
                <w:sz w:val="24"/>
                <w:u w:val="single"/>
              </w:rPr>
            </w:pPr>
            <w:r>
              <w:rPr>
                <w:rFonts w:hint="eastAsia" w:ascii="仿宋" w:hAnsi="仿宋" w:eastAsia="仿宋" w:cs="仿宋"/>
                <w:sz w:val="24"/>
                <w:u w:val="single"/>
              </w:rPr>
              <w:t>中</w:t>
            </w:r>
            <w:r>
              <w:rPr>
                <w:rFonts w:ascii="仿宋" w:hAnsi="仿宋" w:eastAsia="仿宋" w:cs="仿宋"/>
                <w:sz w:val="24"/>
                <w:u w:val="single"/>
              </w:rPr>
              <w:t>标人须向采购代理机构按如下标准和规定交纳代理服务费：</w:t>
            </w:r>
          </w:p>
          <w:p w14:paraId="57CC48D6">
            <w:pPr>
              <w:snapToGrid w:val="0"/>
              <w:spacing w:line="440" w:lineRule="exact"/>
              <w:rPr>
                <w:rFonts w:ascii="仿宋" w:hAnsi="仿宋" w:eastAsia="仿宋" w:cs="仿宋"/>
                <w:sz w:val="24"/>
                <w:u w:val="single"/>
              </w:rPr>
            </w:pPr>
            <w:r>
              <w:rPr>
                <w:rFonts w:ascii="仿宋" w:hAnsi="仿宋" w:eastAsia="仿宋" w:cs="仿宋"/>
                <w:sz w:val="24"/>
                <w:u w:val="single"/>
              </w:rPr>
              <w:t>（1）代理服务费</w:t>
            </w:r>
            <w:r>
              <w:rPr>
                <w:rFonts w:hint="eastAsia" w:ascii="仿宋" w:hAnsi="仿宋" w:eastAsia="仿宋" w:cs="仿宋"/>
                <w:sz w:val="24"/>
                <w:u w:val="single"/>
              </w:rPr>
              <w:t>2</w:t>
            </w:r>
            <w:r>
              <w:rPr>
                <w:rFonts w:ascii="仿宋" w:hAnsi="仿宋" w:eastAsia="仿宋" w:cs="仿宋"/>
                <w:sz w:val="24"/>
                <w:u w:val="single"/>
              </w:rPr>
              <w:t>000元。</w:t>
            </w:r>
          </w:p>
          <w:p w14:paraId="0BB4F023">
            <w:pPr>
              <w:snapToGrid w:val="0"/>
              <w:spacing w:line="440" w:lineRule="exact"/>
              <w:rPr>
                <w:rFonts w:ascii="仿宋" w:hAnsi="仿宋" w:eastAsia="仿宋" w:cs="仿宋"/>
                <w:sz w:val="24"/>
                <w:u w:val="single"/>
              </w:rPr>
            </w:pPr>
            <w:r>
              <w:rPr>
                <w:rFonts w:ascii="仿宋" w:hAnsi="仿宋" w:eastAsia="仿宋" w:cs="仿宋"/>
                <w:sz w:val="24"/>
                <w:u w:val="single"/>
              </w:rPr>
              <w:t>（2）中标服务费的交纳方式：</w:t>
            </w:r>
          </w:p>
          <w:p w14:paraId="53BEC2D6">
            <w:pPr>
              <w:snapToGrid w:val="0"/>
              <w:spacing w:line="440" w:lineRule="exact"/>
              <w:rPr>
                <w:rFonts w:ascii="仿宋" w:hAnsi="仿宋" w:eastAsia="仿宋" w:cs="仿宋"/>
                <w:sz w:val="24"/>
                <w:u w:val="single"/>
              </w:rPr>
            </w:pPr>
            <w:r>
              <w:rPr>
                <w:rFonts w:ascii="仿宋" w:hAnsi="仿宋" w:eastAsia="仿宋" w:cs="仿宋"/>
                <w:sz w:val="24"/>
                <w:u w:val="single"/>
              </w:rPr>
              <w:t>用银行支票、汇票、电汇、现金等付款方式直接交纳中标服务费。</w:t>
            </w:r>
          </w:p>
          <w:p w14:paraId="3825BA47">
            <w:pPr>
              <w:snapToGrid w:val="0"/>
              <w:spacing w:line="440" w:lineRule="exact"/>
              <w:rPr>
                <w:rFonts w:ascii="仿宋" w:hAnsi="仿宋" w:eastAsia="仿宋" w:cs="仿宋"/>
                <w:sz w:val="24"/>
                <w:u w:val="single"/>
              </w:rPr>
            </w:pPr>
            <w:r>
              <w:rPr>
                <w:rFonts w:ascii="仿宋" w:hAnsi="仿宋" w:eastAsia="仿宋" w:cs="仿宋"/>
                <w:sz w:val="24"/>
                <w:u w:val="single"/>
              </w:rPr>
              <w:t>（3）以上费用在领取中标通知书前交纳。</w:t>
            </w:r>
          </w:p>
          <w:p w14:paraId="74F02FE9">
            <w:pPr>
              <w:spacing w:line="500" w:lineRule="exact"/>
              <w:jc w:val="left"/>
              <w:rPr>
                <w:rFonts w:ascii="仿宋" w:eastAsia="仿宋" w:cs="仿宋_GB2312"/>
                <w:sz w:val="24"/>
              </w:rPr>
            </w:pPr>
            <w:r>
              <w:rPr>
                <w:rFonts w:ascii="仿宋" w:hAnsi="仿宋" w:eastAsia="仿宋" w:cs="仿宋"/>
                <w:sz w:val="24"/>
                <w:u w:val="single"/>
              </w:rPr>
              <w:t>（4）潜在供应商因充分考虑此部分费用（合同中约定的其他费用），参与投标活动时综合考虑在报价中。</w:t>
            </w:r>
          </w:p>
        </w:tc>
      </w:tr>
    </w:tbl>
    <w:p w14:paraId="06AF8BF3">
      <w:pPr>
        <w:ind w:left="238"/>
        <w:jc w:val="center"/>
        <w:rPr>
          <w:rFonts w:ascii="仿宋" w:eastAsia="仿宋"/>
          <w:sz w:val="24"/>
        </w:rPr>
      </w:pPr>
    </w:p>
    <w:p w14:paraId="5734EFF3">
      <w:pPr>
        <w:ind w:left="238"/>
        <w:jc w:val="center"/>
        <w:rPr>
          <w:rFonts w:ascii="仿宋" w:eastAsia="仿宋"/>
          <w:sz w:val="24"/>
        </w:rPr>
      </w:pPr>
    </w:p>
    <w:p w14:paraId="1B84663B">
      <w:pPr>
        <w:ind w:left="238"/>
        <w:jc w:val="center"/>
        <w:rPr>
          <w:rFonts w:ascii="仿宋" w:eastAsia="仿宋"/>
          <w:sz w:val="24"/>
        </w:rPr>
      </w:pPr>
    </w:p>
    <w:p w14:paraId="1E61BE85">
      <w:pPr>
        <w:pStyle w:val="4"/>
        <w:rPr>
          <w:rFonts w:ascii="仿宋"/>
        </w:rPr>
      </w:pPr>
      <w:bookmarkStart w:id="36" w:name="_Toc4902"/>
    </w:p>
    <w:p w14:paraId="0D3B3AD7">
      <w:pPr>
        <w:jc w:val="center"/>
        <w:rPr>
          <w:rFonts w:ascii="仿宋"/>
        </w:rPr>
      </w:pPr>
      <w:r>
        <w:rPr>
          <w:rFonts w:hint="eastAsia" w:ascii="仿宋"/>
        </w:rPr>
        <w:br w:type="page"/>
      </w:r>
    </w:p>
    <w:p w14:paraId="08E9C02D">
      <w:pPr>
        <w:pStyle w:val="4"/>
        <w:spacing w:line="440" w:lineRule="exact"/>
        <w:rPr>
          <w:rFonts w:ascii="仿宋"/>
        </w:rPr>
      </w:pPr>
      <w:r>
        <w:rPr>
          <w:rFonts w:hint="eastAsia" w:ascii="仿宋"/>
        </w:rPr>
        <w:t>二、采购文件</w:t>
      </w:r>
      <w:bookmarkEnd w:id="36"/>
    </w:p>
    <w:p w14:paraId="4CBC0D2D">
      <w:pPr>
        <w:snapToGrid w:val="0"/>
        <w:spacing w:line="440" w:lineRule="exact"/>
        <w:jc w:val="left"/>
        <w:rPr>
          <w:rFonts w:ascii="仿宋" w:eastAsia="仿宋"/>
          <w:b/>
          <w:sz w:val="24"/>
        </w:rPr>
      </w:pPr>
      <w:r>
        <w:rPr>
          <w:rFonts w:hint="eastAsia" w:ascii="仿宋" w:eastAsia="仿宋"/>
          <w:b/>
          <w:sz w:val="24"/>
        </w:rPr>
        <w:t>1. 采购文件效力</w:t>
      </w:r>
    </w:p>
    <w:p w14:paraId="67C3B63F">
      <w:pPr>
        <w:snapToGrid w:val="0"/>
        <w:spacing w:line="440" w:lineRule="exact"/>
        <w:jc w:val="left"/>
        <w:rPr>
          <w:rFonts w:ascii="仿宋" w:eastAsia="仿宋"/>
          <w:sz w:val="24"/>
        </w:rPr>
      </w:pPr>
      <w:r>
        <w:rPr>
          <w:rFonts w:hint="eastAsia" w:ascii="仿宋" w:eastAsia="仿宋"/>
          <w:sz w:val="24"/>
        </w:rPr>
        <w:t>1.1本采购文件适用于本次所述项目的招标、投标、评标、定标、验收、合同签订及履约、付款等全过程（法律法规另有规定的从其规定）。</w:t>
      </w:r>
    </w:p>
    <w:p w14:paraId="23D285F8">
      <w:pPr>
        <w:snapToGrid w:val="0"/>
        <w:spacing w:line="440" w:lineRule="exact"/>
        <w:jc w:val="left"/>
        <w:rPr>
          <w:rFonts w:ascii="仿宋" w:eastAsia="仿宋"/>
          <w:b/>
          <w:bCs/>
          <w:sz w:val="24"/>
        </w:rPr>
      </w:pPr>
      <w:r>
        <w:rPr>
          <w:rFonts w:hint="eastAsia" w:ascii="仿宋" w:eastAsia="仿宋"/>
          <w:sz w:val="24"/>
        </w:rPr>
        <w:t>1.2</w:t>
      </w:r>
      <w:r>
        <w:rPr>
          <w:rFonts w:hint="eastAsia" w:ascii="仿宋" w:eastAsia="仿宋"/>
          <w:b/>
          <w:bCs/>
          <w:sz w:val="24"/>
        </w:rPr>
        <w:t>投标人对本采购文件如有异议，均应在法定时间内提出质疑或投诉，否则即被视为认可采购文件的全部内容。</w:t>
      </w:r>
    </w:p>
    <w:p w14:paraId="54338BFD">
      <w:pPr>
        <w:snapToGrid w:val="0"/>
        <w:spacing w:line="440" w:lineRule="exact"/>
        <w:jc w:val="left"/>
        <w:rPr>
          <w:rFonts w:ascii="仿宋" w:eastAsia="仿宋"/>
          <w:b/>
          <w:bCs/>
          <w:sz w:val="24"/>
        </w:rPr>
      </w:pPr>
      <w:r>
        <w:rPr>
          <w:rFonts w:hint="eastAsia" w:ascii="仿宋" w:eastAsia="仿宋"/>
          <w:b/>
          <w:bCs/>
          <w:sz w:val="24"/>
        </w:rPr>
        <w:t>2、名词定义</w:t>
      </w:r>
    </w:p>
    <w:p w14:paraId="14AE55C7">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89E0933">
      <w:pPr>
        <w:snapToGrid w:val="0"/>
        <w:spacing w:line="440" w:lineRule="exact"/>
        <w:jc w:val="left"/>
        <w:rPr>
          <w:rFonts w:ascii="仿宋" w:eastAsia="仿宋"/>
          <w:sz w:val="24"/>
        </w:rPr>
      </w:pPr>
      <w:r>
        <w:rPr>
          <w:rFonts w:hint="eastAsia" w:ascii="仿宋" w:eastAsia="仿宋"/>
          <w:sz w:val="24"/>
        </w:rPr>
        <w:t>2.2“</w:t>
      </w:r>
      <w:r>
        <w:rPr>
          <w:rFonts w:hint="eastAsia" w:ascii="仿宋" w:eastAsia="仿宋"/>
          <w:b/>
          <w:bCs/>
          <w:sz w:val="24"/>
        </w:rPr>
        <w:t>采购机构</w:t>
      </w:r>
      <w:r>
        <w:rPr>
          <w:rFonts w:hint="eastAsia" w:ascii="仿宋" w:eastAsia="仿宋"/>
          <w:sz w:val="24"/>
        </w:rPr>
        <w:t>”：采购人及其采购代理机构。</w:t>
      </w:r>
    </w:p>
    <w:p w14:paraId="6E7D346F">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7C166EFB">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440D3BAF">
      <w:pPr>
        <w:snapToGrid w:val="0"/>
        <w:spacing w:line="440" w:lineRule="exact"/>
        <w:jc w:val="left"/>
        <w:rPr>
          <w:rFonts w:ascii="仿宋" w:eastAsia="仿宋"/>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22AE7473">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sz w:val="24"/>
        </w:rPr>
        <w:t>。</w:t>
      </w:r>
      <w:r>
        <w:rPr>
          <w:rFonts w:hint="eastAsia" w:ascii="仿宋" w:eastAsia="仿宋"/>
          <w:sz w:val="24"/>
        </w:rPr>
        <w:t>个体工商户参与投标的，经营者等同于法定代表人。</w:t>
      </w:r>
    </w:p>
    <w:p w14:paraId="347BFBBA">
      <w:pPr>
        <w:snapToGrid w:val="0"/>
        <w:spacing w:line="440" w:lineRule="exact"/>
        <w:jc w:val="left"/>
        <w:rPr>
          <w:rFonts w:ascii="仿宋" w:eastAsia="仿宋"/>
          <w:sz w:val="24"/>
        </w:rPr>
      </w:pPr>
      <w:r>
        <w:rPr>
          <w:rFonts w:hint="eastAsia" w:ascii="仿宋" w:eastAsia="仿宋"/>
          <w:sz w:val="24"/>
        </w:rPr>
        <w:t>2.7“</w:t>
      </w:r>
      <w:r>
        <w:rPr>
          <w:rFonts w:hint="eastAsia" w:ascii="仿宋" w:eastAsia="仿宋"/>
          <w:b/>
          <w:bCs/>
          <w:sz w:val="24"/>
        </w:rPr>
        <w:t>实质性响应条款</w:t>
      </w:r>
      <w:r>
        <w:rPr>
          <w:rFonts w:hint="eastAsia" w:ascii="仿宋" w:eastAsia="仿宋"/>
          <w:sz w:val="24"/>
        </w:rPr>
        <w:t>”：投标人必须响应的条款，未响应的作无效投标处理。在本采购文件中，实质性响应条款前标注“★”符号。</w:t>
      </w:r>
    </w:p>
    <w:p w14:paraId="32ECA299">
      <w:pPr>
        <w:snapToGrid w:val="0"/>
        <w:spacing w:line="440" w:lineRule="exact"/>
        <w:jc w:val="left"/>
        <w:rPr>
          <w:rFonts w:ascii="仿宋" w:eastAsia="仿宋"/>
          <w:sz w:val="24"/>
        </w:rPr>
      </w:pPr>
      <w:r>
        <w:rPr>
          <w:rFonts w:hint="eastAsia" w:ascii="仿宋" w:eastAsia="仿宋"/>
          <w:sz w:val="24"/>
        </w:rPr>
        <w:t>2.8“</w:t>
      </w:r>
      <w:r>
        <w:rPr>
          <w:rFonts w:hint="eastAsia" w:ascii="仿宋" w:eastAsia="仿宋"/>
          <w:b/>
          <w:bCs/>
          <w:sz w:val="24"/>
        </w:rPr>
        <w:t>投标人公章</w:t>
      </w:r>
      <w:r>
        <w:rPr>
          <w:rFonts w:hint="eastAsia" w:ascii="仿宋" w:eastAsia="仿宋"/>
          <w:sz w:val="24"/>
        </w:rPr>
        <w:t>”指投标人法定名称章。</w:t>
      </w:r>
    </w:p>
    <w:p w14:paraId="61E15997">
      <w:pPr>
        <w:snapToGrid w:val="0"/>
        <w:spacing w:line="440" w:lineRule="exact"/>
        <w:jc w:val="left"/>
        <w:rPr>
          <w:rFonts w:ascii="仿宋" w:eastAsia="仿宋"/>
          <w:sz w:val="24"/>
        </w:rPr>
      </w:pPr>
      <w:r>
        <w:rPr>
          <w:rFonts w:hint="eastAsia" w:ascii="仿宋" w:eastAsia="仿宋"/>
          <w:sz w:val="24"/>
        </w:rPr>
        <w:t>2.9“</w:t>
      </w:r>
      <w:r>
        <w:rPr>
          <w:rFonts w:hint="eastAsia" w:ascii="仿宋" w:eastAsia="仿宋"/>
          <w:b/>
          <w:bCs/>
          <w:sz w:val="24"/>
        </w:rPr>
        <w:t>投标有效期</w:t>
      </w:r>
      <w:r>
        <w:rPr>
          <w:rFonts w:hint="eastAsia" w:ascii="仿宋" w:eastAsia="仿宋"/>
          <w:sz w:val="24"/>
        </w:rPr>
        <w:t>”指采购文件中规定的一个适当时间，投标有效期内需完成开评标以及与中标人签订合同的事宜。</w:t>
      </w:r>
    </w:p>
    <w:p w14:paraId="7FDD9F8F">
      <w:pPr>
        <w:snapToGrid w:val="0"/>
        <w:spacing w:line="440" w:lineRule="exact"/>
        <w:jc w:val="left"/>
        <w:rPr>
          <w:rFonts w:ascii="仿宋" w:eastAsia="仿宋"/>
          <w:b/>
          <w:bCs/>
          <w:sz w:val="24"/>
        </w:rPr>
      </w:pPr>
      <w:r>
        <w:rPr>
          <w:rFonts w:hint="eastAsia" w:ascii="仿宋" w:eastAsia="仿宋"/>
          <w:b/>
          <w:bCs/>
          <w:sz w:val="24"/>
        </w:rPr>
        <w:t>3、政府采购政策性规定</w:t>
      </w:r>
    </w:p>
    <w:p w14:paraId="43BAE1E4">
      <w:pPr>
        <w:snapToGrid w:val="0"/>
        <w:spacing w:line="440" w:lineRule="exact"/>
        <w:jc w:val="left"/>
        <w:rPr>
          <w:rFonts w:ascii="仿宋" w:eastAsia="仿宋"/>
          <w:sz w:val="24"/>
        </w:rPr>
      </w:pPr>
      <w:r>
        <w:rPr>
          <w:rFonts w:hint="eastAsia" w:ascii="仿宋" w:eastAsia="仿宋"/>
          <w:b/>
          <w:bCs/>
          <w:sz w:val="24"/>
        </w:rPr>
        <w:t>3.1采购国产</w:t>
      </w:r>
    </w:p>
    <w:p w14:paraId="2E53D04F">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164AD948">
      <w:pPr>
        <w:snapToGrid w:val="0"/>
        <w:spacing w:line="440" w:lineRule="exact"/>
        <w:jc w:val="left"/>
        <w:rPr>
          <w:rFonts w:ascii="仿宋" w:eastAsia="仿宋"/>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02791F78">
      <w:pPr>
        <w:snapToGrid w:val="0"/>
        <w:spacing w:line="440" w:lineRule="exact"/>
        <w:ind w:firstLine="360" w:firstLineChars="150"/>
        <w:rPr>
          <w:rFonts w:ascii="仿宋" w:eastAsia="仿宋" w:cs="仿宋_GB2312"/>
          <w:sz w:val="24"/>
        </w:rPr>
      </w:pPr>
      <w:r>
        <w:rPr>
          <w:rFonts w:hint="eastAsia" w:ascii="仿宋" w:eastAsia="仿宋" w:cs="仿宋_GB2312"/>
          <w:sz w:val="24"/>
        </w:rPr>
        <w:t>本项目为专门面向中小企业政府采购项目，投标供应商提供的服务部分（详见前附表）必须为中小企业承接；以分包方式参与的，投标供应商和分包供应商提供的服务部分均需为中小企业承接。</w:t>
      </w:r>
    </w:p>
    <w:p w14:paraId="473E2C19">
      <w:pPr>
        <w:snapToGrid w:val="0"/>
        <w:spacing w:line="440" w:lineRule="exact"/>
        <w:ind w:firstLine="360" w:firstLineChars="150"/>
        <w:rPr>
          <w:rFonts w:ascii="仿宋" w:eastAsia="仿宋" w:cs="仿宋_GB2312"/>
          <w:b/>
          <w:bCs/>
          <w:sz w:val="24"/>
        </w:rPr>
      </w:pPr>
      <w:r>
        <w:rPr>
          <w:rFonts w:hint="eastAsia" w:ascii="仿宋" w:eastAsia="仿宋" w:cs="仿宋_GB2312"/>
          <w:sz w:val="24"/>
        </w:rPr>
        <w:t>符合中小企业划分标准的个体工商户，视同中小企业；以联合体方式参与的，联合体各方所提供服务部分均为中小企业承接，则联合体视同中小企业。</w:t>
      </w:r>
    </w:p>
    <w:p w14:paraId="365FBE93">
      <w:pPr>
        <w:snapToGrid w:val="0"/>
        <w:spacing w:line="440" w:lineRule="exact"/>
        <w:ind w:firstLine="360" w:firstLineChars="150"/>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14:paraId="3FE18290">
      <w:pPr>
        <w:snapToGrid w:val="0"/>
        <w:spacing w:line="440" w:lineRule="exact"/>
        <w:ind w:firstLine="480" w:firstLineChars="200"/>
        <w:jc w:val="left"/>
        <w:rPr>
          <w:rFonts w:ascii="仿宋" w:eastAsia="仿宋" w:cs="仿宋_GB2312"/>
          <w:sz w:val="24"/>
        </w:rPr>
      </w:pPr>
      <w:r>
        <w:rPr>
          <w:rFonts w:hint="eastAsia" w:ascii="仿宋" w:eastAsia="仿宋" w:cs="仿宋_GB2312"/>
          <w:sz w:val="24"/>
        </w:rPr>
        <w:t>中小企业包括中小微企业。</w:t>
      </w:r>
    </w:p>
    <w:p w14:paraId="3EF5354C">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14:paraId="6FDF9FCB">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参与实施政府采购节能（环境标志）产品认证机构详见《市场监管总局关于发布参与实施政府采购节能产品、环境标志产品认证机构名录的公告》（2019第16号）；</w:t>
      </w:r>
    </w:p>
    <w:p w14:paraId="5125AC8F">
      <w:pPr>
        <w:snapToGrid w:val="0"/>
        <w:spacing w:line="440" w:lineRule="exact"/>
        <w:jc w:val="left"/>
        <w:rPr>
          <w:rFonts w:ascii="仿宋" w:eastAsia="仿宋"/>
          <w:b/>
          <w:bCs/>
          <w:sz w:val="24"/>
        </w:rPr>
      </w:pPr>
      <w:r>
        <w:rPr>
          <w:rFonts w:ascii="仿宋" w:eastAsia="仿宋"/>
          <w:b/>
          <w:bCs/>
          <w:sz w:val="24"/>
        </w:rPr>
        <w:t>3.4优先采购创新产品</w:t>
      </w:r>
    </w:p>
    <w:p w14:paraId="32C10F4A">
      <w:pPr>
        <w:snapToGrid w:val="0"/>
        <w:spacing w:line="440" w:lineRule="exact"/>
        <w:ind w:firstLine="480" w:firstLineChars="200"/>
        <w:jc w:val="left"/>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w:t>
      </w:r>
      <w:r>
        <w:rPr>
          <w:rFonts w:ascii="仿宋" w:eastAsia="仿宋"/>
          <w:sz w:val="24"/>
        </w:rPr>
        <w:t>3</w:t>
      </w:r>
      <w:r>
        <w:rPr>
          <w:rFonts w:hint="eastAsia" w:ascii="仿宋" w:eastAsia="仿宋"/>
          <w:sz w:val="24"/>
        </w:rPr>
        <w:t>年内视同已具备相应销售业绩，参加政府采购活动时该供应商的业绩分为满分。</w:t>
      </w:r>
    </w:p>
    <w:p w14:paraId="752F8BDC">
      <w:pPr>
        <w:snapToGrid w:val="0"/>
        <w:spacing w:line="440" w:lineRule="exact"/>
        <w:jc w:val="left"/>
        <w:rPr>
          <w:rFonts w:ascii="仿宋" w:eastAsia="仿宋"/>
          <w:b/>
          <w:bCs/>
          <w:sz w:val="24"/>
        </w:rPr>
      </w:pPr>
      <w:r>
        <w:rPr>
          <w:rFonts w:hint="eastAsia" w:ascii="仿宋" w:eastAsia="仿宋"/>
          <w:b/>
          <w:bCs/>
          <w:sz w:val="24"/>
        </w:rPr>
        <w:t>4.采购文件的澄清与修改</w:t>
      </w:r>
    </w:p>
    <w:p w14:paraId="28A11010">
      <w:pPr>
        <w:pStyle w:val="6"/>
        <w:widowControl w:val="0"/>
        <w:numPr>
          <w:ilvl w:val="0"/>
          <w:numId w:val="0"/>
        </w:numPr>
        <w:tabs>
          <w:tab w:val="left" w:pos="454"/>
        </w:tabs>
        <w:spacing w:after="0" w:afterLines="0" w:line="440" w:lineRule="exact"/>
        <w:rPr>
          <w:rFonts w:ascii="仿宋" w:eastAsia="仿宋"/>
        </w:rPr>
      </w:pPr>
      <w:r>
        <w:rPr>
          <w:rFonts w:hint="eastAsia" w:ascii="仿宋" w:eastAsia="仿宋"/>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spacing w:val="-4"/>
        </w:rPr>
        <w:t>http://zfcg.czt.zj.gov.cn/</w:t>
      </w:r>
      <w:r>
        <w:rPr>
          <w:rFonts w:hint="eastAsia" w:ascii="仿宋" w:eastAsia="仿宋"/>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w:t>
      </w:r>
    </w:p>
    <w:p w14:paraId="1972E9C5">
      <w:pPr>
        <w:snapToGrid w:val="0"/>
        <w:spacing w:line="440" w:lineRule="exact"/>
        <w:jc w:val="left"/>
        <w:rPr>
          <w:rFonts w:ascii="仿宋" w:eastAsia="仿宋"/>
          <w:b/>
          <w:bCs/>
          <w:sz w:val="24"/>
        </w:rPr>
      </w:pPr>
      <w:r>
        <w:rPr>
          <w:rFonts w:hint="eastAsia" w:ascii="仿宋" w:eastAsia="仿宋"/>
          <w:sz w:val="24"/>
        </w:rPr>
        <w:t>4.2为使投标人有足够的时间按更正公告要求修改投标文件，招标人可酌情推迟投标截止时间和开标时间，并将此变更以更正公告的形式通过上述途径通知投标人。</w:t>
      </w:r>
      <w:r>
        <w:rPr>
          <w:rFonts w:hint="eastAsia" w:ascii="仿宋" w:eastAsia="仿宋"/>
          <w:b/>
          <w:bCs/>
          <w:sz w:val="24"/>
        </w:rPr>
        <w:t>5、参考品牌</w:t>
      </w:r>
    </w:p>
    <w:p w14:paraId="2AB1F2F3">
      <w:pPr>
        <w:snapToGrid w:val="0"/>
        <w:spacing w:line="440" w:lineRule="exact"/>
        <w:ind w:firstLine="480" w:firstLineChars="200"/>
        <w:jc w:val="left"/>
        <w:rPr>
          <w:rFonts w:ascii="仿宋" w:eastAsia="仿宋"/>
          <w:sz w:val="24"/>
        </w:rPr>
      </w:pPr>
      <w:r>
        <w:rPr>
          <w:rFonts w:hint="eastAsia" w:ascii="仿宋" w:eastAsia="仿宋"/>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7ED15B9">
      <w:pPr>
        <w:pStyle w:val="4"/>
        <w:spacing w:line="440" w:lineRule="exact"/>
        <w:rPr>
          <w:rFonts w:ascii="仿宋"/>
        </w:rPr>
      </w:pPr>
      <w:bookmarkStart w:id="37" w:name="_Toc1461"/>
      <w:r>
        <w:rPr>
          <w:rFonts w:hint="eastAsia" w:ascii="仿宋"/>
        </w:rPr>
        <w:t>三、投标文件</w:t>
      </w:r>
      <w:bookmarkEnd w:id="37"/>
    </w:p>
    <w:p w14:paraId="0A8B2BCA">
      <w:pPr>
        <w:numPr>
          <w:ilvl w:val="0"/>
          <w:numId w:val="5"/>
        </w:numPr>
        <w:snapToGrid w:val="0"/>
        <w:spacing w:line="440" w:lineRule="exact"/>
        <w:jc w:val="left"/>
        <w:rPr>
          <w:rFonts w:ascii="仿宋" w:eastAsia="仿宋"/>
          <w:b/>
          <w:sz w:val="24"/>
        </w:rPr>
      </w:pPr>
      <w:r>
        <w:rPr>
          <w:rFonts w:hint="eastAsia" w:ascii="仿宋" w:eastAsia="仿宋"/>
          <w:b/>
          <w:sz w:val="24"/>
        </w:rPr>
        <w:t>投标文件的语言及货币单位</w:t>
      </w:r>
    </w:p>
    <w:p w14:paraId="735596A6">
      <w:pPr>
        <w:snapToGrid w:val="0"/>
        <w:spacing w:line="440" w:lineRule="exact"/>
        <w:jc w:val="left"/>
        <w:rPr>
          <w:rFonts w:ascii="仿宋" w:eastAsia="仿宋"/>
          <w:sz w:val="24"/>
        </w:rPr>
      </w:pPr>
      <w:r>
        <w:rPr>
          <w:rFonts w:hint="eastAsia" w:ascii="仿宋" w:eastAsia="仿宋"/>
          <w:sz w:val="24"/>
        </w:rPr>
        <w:t>1.1投标文件以及有关投标事宜的所有来往函电均应以中文书写，专业术语和外文证明材料除外。</w:t>
      </w:r>
    </w:p>
    <w:p w14:paraId="5FCA25E6">
      <w:pPr>
        <w:snapToGrid w:val="0"/>
        <w:spacing w:line="440" w:lineRule="exact"/>
        <w:jc w:val="left"/>
        <w:rPr>
          <w:rFonts w:ascii="仿宋" w:eastAsia="仿宋"/>
          <w:sz w:val="24"/>
        </w:rPr>
      </w:pPr>
      <w:r>
        <w:rPr>
          <w:rFonts w:hint="eastAsia" w:ascii="仿宋" w:eastAsia="仿宋"/>
          <w:sz w:val="24"/>
        </w:rPr>
        <w:t>1.2投标文件以人民币元报价或以下浮率（优惠率）报价，具体详见《开标一览表》。</w:t>
      </w:r>
    </w:p>
    <w:p w14:paraId="7FBF8C83">
      <w:pPr>
        <w:numPr>
          <w:ilvl w:val="0"/>
          <w:numId w:val="5"/>
        </w:numPr>
        <w:snapToGrid w:val="0"/>
        <w:spacing w:line="440" w:lineRule="exact"/>
        <w:jc w:val="left"/>
        <w:rPr>
          <w:rFonts w:ascii="仿宋" w:eastAsia="仿宋"/>
          <w:b/>
          <w:sz w:val="24"/>
        </w:rPr>
      </w:pPr>
      <w:r>
        <w:rPr>
          <w:rFonts w:hint="eastAsia" w:ascii="仿宋" w:eastAsia="仿宋"/>
          <w:b/>
          <w:sz w:val="24"/>
        </w:rPr>
        <w:t>投标文件的组成</w:t>
      </w:r>
      <w:r>
        <w:rPr>
          <w:rFonts w:hint="eastAsia" w:ascii="仿宋" w:eastAsia="仿宋" w:cs="Arial"/>
          <w:bCs/>
          <w:sz w:val="24"/>
        </w:rPr>
        <w:t>（</w:t>
      </w:r>
      <w:r>
        <w:rPr>
          <w:rFonts w:ascii="仿宋" w:eastAsia="仿宋" w:cs="Arial"/>
          <w:b/>
          <w:bCs/>
          <w:sz w:val="24"/>
        </w:rPr>
        <w:t>格式详见第六章附件</w:t>
      </w:r>
      <w:r>
        <w:rPr>
          <w:rFonts w:hint="eastAsia" w:ascii="仿宋" w:eastAsia="仿宋" w:cs="Arial"/>
          <w:bCs/>
          <w:sz w:val="24"/>
        </w:rPr>
        <w:t>）</w:t>
      </w:r>
    </w:p>
    <w:p w14:paraId="154C5997">
      <w:pPr>
        <w:snapToGrid w:val="0"/>
        <w:spacing w:line="440" w:lineRule="exact"/>
        <w:ind w:firstLine="480" w:firstLineChars="200"/>
        <w:jc w:val="left"/>
        <w:rPr>
          <w:rFonts w:ascii="仿宋" w:eastAsia="仿宋"/>
          <w:sz w:val="24"/>
        </w:rPr>
      </w:pPr>
      <w:r>
        <w:rPr>
          <w:rFonts w:hint="eastAsia" w:ascii="仿宋" w:eastAsia="仿宋"/>
          <w:sz w:val="24"/>
        </w:rPr>
        <w:t>本项目投标文件由“资格文件”、“商务和技术文件”、“报价文件”、“电子投标文件”四部分组成：</w:t>
      </w:r>
    </w:p>
    <w:p w14:paraId="6637D9E4">
      <w:pPr>
        <w:snapToGrid w:val="0"/>
        <w:spacing w:line="440" w:lineRule="exact"/>
        <w:jc w:val="left"/>
        <w:rPr>
          <w:rFonts w:ascii="仿宋" w:eastAsia="仿宋"/>
          <w:b/>
          <w:bCs/>
          <w:sz w:val="24"/>
        </w:rPr>
      </w:pPr>
      <w:r>
        <w:rPr>
          <w:rFonts w:hint="eastAsia" w:ascii="仿宋" w:eastAsia="仿宋"/>
          <w:b/>
          <w:bCs/>
          <w:sz w:val="24"/>
        </w:rPr>
        <w:t>2.1“资格文件”包括以下内容：</w:t>
      </w:r>
    </w:p>
    <w:p w14:paraId="0C275134">
      <w:pPr>
        <w:snapToGrid w:val="0"/>
        <w:spacing w:line="440" w:lineRule="exact"/>
        <w:jc w:val="left"/>
        <w:rPr>
          <w:rFonts w:ascii="仿宋" w:eastAsia="仿宋"/>
          <w:sz w:val="24"/>
        </w:rPr>
      </w:pPr>
      <w:r>
        <w:rPr>
          <w:rFonts w:hint="eastAsia" w:ascii="仿宋" w:eastAsia="仿宋"/>
          <w:sz w:val="24"/>
        </w:rPr>
        <w:t>2.1.1投标声明函；</w:t>
      </w:r>
    </w:p>
    <w:p w14:paraId="32F56FF7">
      <w:pPr>
        <w:snapToGrid w:val="0"/>
        <w:spacing w:line="440" w:lineRule="exact"/>
        <w:jc w:val="left"/>
        <w:rPr>
          <w:rFonts w:ascii="仿宋" w:eastAsia="仿宋"/>
          <w:sz w:val="24"/>
        </w:rPr>
      </w:pPr>
      <w:r>
        <w:rPr>
          <w:rFonts w:hint="eastAsia" w:ascii="仿宋" w:eastAsia="仿宋"/>
          <w:sz w:val="24"/>
        </w:rPr>
        <w:t>2.1.2联合体协议书（如有）；</w:t>
      </w:r>
    </w:p>
    <w:p w14:paraId="5B54F238">
      <w:pPr>
        <w:snapToGrid w:val="0"/>
        <w:spacing w:line="440" w:lineRule="exact"/>
        <w:jc w:val="left"/>
        <w:rPr>
          <w:rFonts w:ascii="仿宋" w:eastAsia="仿宋" w:cs="仿宋_GB2312"/>
          <w:sz w:val="24"/>
          <w:szCs w:val="24"/>
        </w:rPr>
      </w:pPr>
      <w:r>
        <w:rPr>
          <w:rFonts w:hint="eastAsia" w:ascii="仿宋" w:eastAsia="仿宋"/>
          <w:sz w:val="24"/>
        </w:rPr>
        <w:t>2.1.3</w:t>
      </w:r>
      <w:r>
        <w:rPr>
          <w:rFonts w:hint="eastAsia" w:ascii="仿宋" w:eastAsia="仿宋" w:cs="仿宋_GB2312"/>
          <w:sz w:val="24"/>
          <w:szCs w:val="24"/>
        </w:rPr>
        <w:t>分包意向协议（如有）；</w:t>
      </w:r>
    </w:p>
    <w:p w14:paraId="384509AA">
      <w:pPr>
        <w:snapToGrid w:val="0"/>
        <w:spacing w:line="440" w:lineRule="exact"/>
        <w:jc w:val="left"/>
        <w:rPr>
          <w:rFonts w:ascii="仿宋" w:eastAsia="仿宋"/>
          <w:sz w:val="24"/>
        </w:rPr>
      </w:pPr>
      <w:r>
        <w:rPr>
          <w:rFonts w:hint="eastAsia" w:ascii="仿宋" w:eastAsia="仿宋"/>
          <w:sz w:val="24"/>
        </w:rPr>
        <w:t>2.1.4法定代表人授权委托书（个体工商户需经营者参与投标，不得授权）</w:t>
      </w:r>
      <w:r>
        <w:rPr>
          <w:rFonts w:hint="eastAsia" w:ascii="仿宋" w:eastAsia="仿宋" w:cs="Arial"/>
          <w:bCs/>
          <w:sz w:val="24"/>
        </w:rPr>
        <w:t>；</w:t>
      </w:r>
    </w:p>
    <w:p w14:paraId="3148177D">
      <w:pPr>
        <w:snapToGrid w:val="0"/>
        <w:spacing w:line="440" w:lineRule="exact"/>
        <w:jc w:val="left"/>
        <w:rPr>
          <w:rFonts w:ascii="仿宋" w:eastAsia="仿宋"/>
          <w:sz w:val="24"/>
        </w:rPr>
      </w:pPr>
      <w:r>
        <w:rPr>
          <w:rFonts w:hint="eastAsia" w:ascii="仿宋" w:eastAsia="仿宋"/>
          <w:sz w:val="24"/>
        </w:rPr>
        <w:t>2.1.5法定代表人及其授权代表的身份证；</w:t>
      </w:r>
    </w:p>
    <w:p w14:paraId="4105A717">
      <w:pPr>
        <w:snapToGrid w:val="0"/>
        <w:spacing w:line="440" w:lineRule="exact"/>
        <w:jc w:val="left"/>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1.6资格条件证明材料：</w:t>
      </w:r>
    </w:p>
    <w:p w14:paraId="7ED298A2">
      <w:pPr>
        <w:snapToGrid w:val="0"/>
        <w:spacing w:line="440" w:lineRule="exact"/>
        <w:ind w:firstLine="600" w:firstLineChars="250"/>
        <w:jc w:val="left"/>
        <w:rPr>
          <w:rFonts w:ascii="仿宋" w:eastAsia="仿宋"/>
          <w:sz w:val="24"/>
        </w:rPr>
      </w:pPr>
      <w:r>
        <w:rPr>
          <w:rFonts w:hint="eastAsia" w:ascii="仿宋" w:eastAsia="仿宋"/>
          <w:sz w:val="24"/>
        </w:rPr>
        <w:t>2.1.6.1营业执照或事业单位法人登记证书；</w:t>
      </w:r>
    </w:p>
    <w:p w14:paraId="40E00213">
      <w:pPr>
        <w:snapToGrid w:val="0"/>
        <w:spacing w:line="440" w:lineRule="exact"/>
        <w:ind w:firstLine="600" w:firstLineChars="250"/>
        <w:jc w:val="left"/>
        <w:rPr>
          <w:rFonts w:ascii="仿宋" w:eastAsia="仿宋"/>
          <w:sz w:val="24"/>
        </w:rPr>
      </w:pPr>
      <w:r>
        <w:rPr>
          <w:rFonts w:hint="eastAsia" w:ascii="仿宋" w:eastAsia="仿宋"/>
          <w:sz w:val="24"/>
        </w:rPr>
        <w:t>2.1.6.2特定资格条件证明材料（如有）。</w:t>
      </w:r>
    </w:p>
    <w:p w14:paraId="799FC1AC">
      <w:pPr>
        <w:widowControl/>
        <w:snapToGrid w:val="0"/>
        <w:spacing w:line="440" w:lineRule="exact"/>
        <w:jc w:val="left"/>
        <w:rPr>
          <w:rFonts w:ascii="仿宋" w:eastAsia="仿宋"/>
          <w:sz w:val="24"/>
        </w:rPr>
      </w:pPr>
      <w:r>
        <w:rPr>
          <w:rFonts w:ascii="仿宋" w:eastAsia="仿宋"/>
          <w:sz w:val="24"/>
        </w:rPr>
        <w:t>2.1.</w:t>
      </w:r>
      <w:r>
        <w:rPr>
          <w:rFonts w:hint="eastAsia" w:ascii="仿宋" w:eastAsia="仿宋"/>
          <w:sz w:val="24"/>
        </w:rPr>
        <w:t>7中小企业声明函；</w:t>
      </w:r>
    </w:p>
    <w:p w14:paraId="1DA6FEEA">
      <w:pPr>
        <w:widowControl/>
        <w:snapToGrid w:val="0"/>
        <w:spacing w:line="440" w:lineRule="exact"/>
        <w:jc w:val="left"/>
        <w:rPr>
          <w:rFonts w:ascii="仿宋" w:eastAsia="仿宋"/>
          <w:sz w:val="24"/>
        </w:rPr>
      </w:pPr>
      <w:r>
        <w:rPr>
          <w:rFonts w:hint="eastAsia" w:ascii="仿宋" w:eastAsia="仿宋"/>
          <w:sz w:val="24"/>
        </w:rPr>
        <w:t>2.</w:t>
      </w:r>
      <w:r>
        <w:rPr>
          <w:rFonts w:ascii="仿宋" w:eastAsia="仿宋"/>
          <w:sz w:val="24"/>
        </w:rPr>
        <w:t>1</w:t>
      </w:r>
      <w:r>
        <w:rPr>
          <w:rFonts w:hint="eastAsia" w:ascii="仿宋" w:eastAsia="仿宋"/>
          <w:sz w:val="24"/>
        </w:rPr>
        <w:t>.8残疾人福利性单位声明函（如有）；</w:t>
      </w:r>
    </w:p>
    <w:p w14:paraId="3235D9F0">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注：“资格文件”需按采购文件要求的内容制作，复印件需加盖供应商公章。未按第六章附件的要求签字、盖章或内容实质性偏离的，资格审查不通过。</w:t>
      </w:r>
    </w:p>
    <w:p w14:paraId="45997DAE">
      <w:pPr>
        <w:snapToGrid w:val="0"/>
        <w:spacing w:line="440" w:lineRule="exact"/>
        <w:jc w:val="left"/>
        <w:rPr>
          <w:rFonts w:ascii="仿宋" w:eastAsia="仿宋"/>
          <w:b/>
          <w:bCs/>
          <w:sz w:val="24"/>
        </w:rPr>
      </w:pPr>
      <w:r>
        <w:rPr>
          <w:rFonts w:hint="eastAsia" w:ascii="仿宋" w:eastAsia="仿宋"/>
          <w:b/>
          <w:bCs/>
          <w:sz w:val="24"/>
        </w:rPr>
        <w:t>2.2“商务和技术文件”包括以下内容：</w:t>
      </w:r>
    </w:p>
    <w:p w14:paraId="680E47F1">
      <w:pPr>
        <w:snapToGrid w:val="0"/>
        <w:spacing w:line="440" w:lineRule="exact"/>
        <w:jc w:val="left"/>
        <w:rPr>
          <w:rFonts w:ascii="仿宋" w:eastAsia="仿宋"/>
          <w:sz w:val="24"/>
        </w:rPr>
      </w:pPr>
      <w:r>
        <w:rPr>
          <w:rFonts w:hint="eastAsia" w:ascii="仿宋" w:eastAsia="仿宋"/>
          <w:sz w:val="24"/>
        </w:rPr>
        <w:t>2.2.1项目明细清单；</w:t>
      </w:r>
    </w:p>
    <w:p w14:paraId="2C3B3CFE">
      <w:pPr>
        <w:snapToGrid w:val="0"/>
        <w:spacing w:line="440" w:lineRule="exact"/>
        <w:jc w:val="left"/>
        <w:rPr>
          <w:rFonts w:ascii="仿宋" w:eastAsia="仿宋"/>
          <w:sz w:val="24"/>
        </w:rPr>
      </w:pPr>
      <w:r>
        <w:rPr>
          <w:rFonts w:hint="eastAsia" w:ascii="仿宋" w:eastAsia="仿宋"/>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sz w:val="24"/>
        </w:rPr>
        <w:t>）；</w:t>
      </w:r>
    </w:p>
    <w:p w14:paraId="7B05FB7A">
      <w:pPr>
        <w:snapToGrid w:val="0"/>
        <w:spacing w:line="440" w:lineRule="exact"/>
        <w:jc w:val="left"/>
        <w:rPr>
          <w:rFonts w:ascii="仿宋" w:eastAsia="仿宋"/>
          <w:sz w:val="24"/>
        </w:rPr>
      </w:pPr>
      <w:r>
        <w:rPr>
          <w:rFonts w:hint="eastAsia" w:ascii="仿宋" w:eastAsia="仿宋"/>
          <w:sz w:val="24"/>
        </w:rPr>
        <w:t>2.2.3商务响应表（需对采购文件中付款方式、</w:t>
      </w:r>
      <w:r>
        <w:rPr>
          <w:rFonts w:ascii="仿宋" w:eastAsia="仿宋"/>
          <w:sz w:val="24"/>
        </w:rPr>
        <w:t>服务</w:t>
      </w:r>
      <w:r>
        <w:rPr>
          <w:rFonts w:hint="eastAsia" w:ascii="仿宋" w:eastAsia="仿宋"/>
          <w:sz w:val="24"/>
        </w:rPr>
        <w:t>期限等商务要求进行逐一答复、说明和解释，</w:t>
      </w:r>
      <w:r>
        <w:rPr>
          <w:rFonts w:hint="eastAsia" w:ascii="仿宋" w:eastAsia="仿宋" w:cs="仿宋_GB2312"/>
          <w:kern w:val="0"/>
          <w:sz w:val="24"/>
          <w:lang w:val="zh-CN"/>
        </w:rPr>
        <w:t>正偏离的需详细说明）；</w:t>
      </w:r>
    </w:p>
    <w:p w14:paraId="4BFA2460">
      <w:pPr>
        <w:tabs>
          <w:tab w:val="left" w:pos="3870"/>
          <w:tab w:val="left" w:pos="4085"/>
        </w:tabs>
        <w:snapToGrid w:val="0"/>
        <w:spacing w:line="440" w:lineRule="exact"/>
        <w:jc w:val="left"/>
        <w:rPr>
          <w:rFonts w:ascii="仿宋" w:eastAsia="仿宋"/>
          <w:sz w:val="24"/>
        </w:rPr>
      </w:pPr>
      <w:r>
        <w:rPr>
          <w:rFonts w:hint="eastAsia" w:ascii="仿宋" w:eastAsia="仿宋"/>
          <w:sz w:val="24"/>
        </w:rPr>
        <w:t>2.2.4项目实施方案；</w:t>
      </w:r>
    </w:p>
    <w:p w14:paraId="3278CC78">
      <w:pPr>
        <w:snapToGrid w:val="0"/>
        <w:spacing w:line="440" w:lineRule="exact"/>
        <w:jc w:val="left"/>
        <w:rPr>
          <w:rFonts w:ascii="仿宋" w:eastAsia="仿宋"/>
          <w:sz w:val="24"/>
        </w:rPr>
      </w:pPr>
      <w:r>
        <w:rPr>
          <w:rFonts w:hint="eastAsia" w:ascii="仿宋" w:eastAsia="仿宋"/>
          <w:sz w:val="24"/>
        </w:rPr>
        <w:t>2.2.5项目实施人员清单；</w:t>
      </w:r>
    </w:p>
    <w:p w14:paraId="751A7B5D">
      <w:pPr>
        <w:pStyle w:val="19"/>
        <w:ind w:firstLine="0" w:firstLineChars="0"/>
        <w:jc w:val="left"/>
        <w:rPr>
          <w:rFonts w:ascii="仿宋" w:eastAsia="仿宋" w:cs="仿宋_GB2312"/>
          <w:szCs w:val="20"/>
        </w:rPr>
      </w:pPr>
      <w:r>
        <w:rPr>
          <w:rFonts w:hint="eastAsia" w:ascii="仿宋" w:eastAsia="仿宋" w:cs="仿宋_GB2312"/>
          <w:szCs w:val="20"/>
        </w:rPr>
        <w:t>2.2.6类似业绩一览表（附业绩证明材料）</w:t>
      </w:r>
      <w:r>
        <w:rPr>
          <w:rFonts w:ascii="仿宋" w:eastAsia="仿宋" w:cs="仿宋_GB2312"/>
          <w:szCs w:val="20"/>
        </w:rPr>
        <w:t>（如有）</w:t>
      </w:r>
      <w:r>
        <w:rPr>
          <w:rFonts w:hint="eastAsia" w:ascii="仿宋" w:eastAsia="仿宋" w:cs="仿宋_GB2312"/>
          <w:szCs w:val="20"/>
        </w:rPr>
        <w:t>；</w:t>
      </w:r>
    </w:p>
    <w:p w14:paraId="4EE2E498">
      <w:pPr>
        <w:snapToGrid w:val="0"/>
        <w:spacing w:line="440" w:lineRule="exact"/>
        <w:jc w:val="left"/>
        <w:rPr>
          <w:rFonts w:ascii="仿宋" w:eastAsia="仿宋"/>
          <w:sz w:val="24"/>
        </w:rPr>
      </w:pPr>
      <w:r>
        <w:rPr>
          <w:rFonts w:hint="eastAsia" w:ascii="仿宋" w:eastAsia="仿宋"/>
          <w:sz w:val="24"/>
        </w:rPr>
        <w:t>2.</w:t>
      </w:r>
      <w:r>
        <w:rPr>
          <w:rFonts w:ascii="仿宋" w:eastAsia="仿宋"/>
          <w:sz w:val="24"/>
        </w:rPr>
        <w:t>2</w:t>
      </w:r>
      <w:r>
        <w:rPr>
          <w:rFonts w:hint="eastAsia" w:ascii="仿宋" w:eastAsia="仿宋"/>
          <w:sz w:val="24"/>
        </w:rPr>
        <w:t>.</w:t>
      </w:r>
      <w:r>
        <w:rPr>
          <w:rFonts w:ascii="仿宋" w:eastAsia="仿宋"/>
          <w:sz w:val="24"/>
        </w:rPr>
        <w:t>7</w:t>
      </w:r>
      <w:r>
        <w:rPr>
          <w:rFonts w:hint="eastAsia" w:ascii="仿宋" w:eastAsia="仿宋"/>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6F2C3A91">
      <w:pPr>
        <w:pStyle w:val="19"/>
        <w:ind w:firstLine="0" w:firstLineChars="0"/>
        <w:jc w:val="left"/>
        <w:rPr>
          <w:rFonts w:ascii="仿宋" w:eastAsia="仿宋" w:cs="仿宋_GB2312"/>
          <w:szCs w:val="20"/>
        </w:rPr>
      </w:pPr>
      <w:r>
        <w:rPr>
          <w:rFonts w:hint="eastAsia" w:ascii="仿宋" w:eastAsia="仿宋" w:cs="仿宋_GB2312"/>
          <w:szCs w:val="20"/>
          <w:lang w:val="zh-CN"/>
        </w:rPr>
        <w:t>2.2.</w:t>
      </w:r>
      <w:r>
        <w:rPr>
          <w:rFonts w:ascii="仿宋" w:eastAsia="仿宋" w:cs="仿宋_GB2312"/>
          <w:szCs w:val="20"/>
          <w:lang w:val="zh-CN"/>
        </w:rPr>
        <w:t>8</w:t>
      </w:r>
      <w:r>
        <w:rPr>
          <w:rFonts w:hint="eastAsia" w:ascii="仿宋" w:eastAsia="仿宋" w:cs="仿宋_GB2312"/>
          <w:szCs w:val="20"/>
          <w:lang w:val="zh-CN"/>
        </w:rPr>
        <w:t>优惠条件及其他额外承诺；</w:t>
      </w:r>
    </w:p>
    <w:p w14:paraId="01D7E2B7">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598A05ED">
      <w:pPr>
        <w:snapToGrid w:val="0"/>
        <w:spacing w:line="440" w:lineRule="exact"/>
        <w:jc w:val="left"/>
        <w:rPr>
          <w:rFonts w:ascii="仿宋" w:eastAsia="仿宋"/>
          <w:sz w:val="24"/>
        </w:rPr>
      </w:pPr>
      <w:r>
        <w:rPr>
          <w:rFonts w:hint="eastAsia" w:ascii="仿宋" w:eastAsia="仿宋"/>
          <w:sz w:val="24"/>
        </w:rPr>
        <w:t>2.2.</w:t>
      </w:r>
      <w:r>
        <w:rPr>
          <w:rFonts w:ascii="仿宋" w:eastAsia="仿宋"/>
          <w:sz w:val="24"/>
        </w:rPr>
        <w:t>10</w:t>
      </w:r>
      <w:r>
        <w:rPr>
          <w:rFonts w:hint="eastAsia" w:ascii="仿宋" w:eastAsia="仿宋"/>
          <w:sz w:val="24"/>
        </w:rPr>
        <w:t>其他投标人认为需要提供的材料，如投标人简介等，格式自拟。</w:t>
      </w:r>
    </w:p>
    <w:p w14:paraId="01C2FE7F">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注：“商务和技术文件”可在上述内容格式的基础上适当调整，以使内容更加完备。盖章、签署等要求按采购文件第六章和标段内的规定执行</w:t>
      </w:r>
    </w:p>
    <w:p w14:paraId="5B990C75">
      <w:pPr>
        <w:snapToGrid w:val="0"/>
        <w:spacing w:line="440" w:lineRule="exact"/>
        <w:jc w:val="left"/>
        <w:rPr>
          <w:rFonts w:ascii="仿宋" w:eastAsia="仿宋"/>
          <w:b/>
          <w:bCs/>
          <w:sz w:val="24"/>
        </w:rPr>
      </w:pPr>
      <w:r>
        <w:rPr>
          <w:rFonts w:hint="eastAsia" w:ascii="仿宋" w:eastAsia="仿宋"/>
          <w:b/>
          <w:bCs/>
          <w:sz w:val="24"/>
        </w:rPr>
        <w:t>2.3“报价文件”包括以下内容：</w:t>
      </w:r>
    </w:p>
    <w:p w14:paraId="54A2474F">
      <w:pPr>
        <w:tabs>
          <w:tab w:val="left" w:pos="3870"/>
          <w:tab w:val="left" w:pos="4085"/>
        </w:tabs>
        <w:snapToGrid w:val="0"/>
        <w:spacing w:line="440" w:lineRule="exact"/>
        <w:jc w:val="left"/>
        <w:rPr>
          <w:rFonts w:ascii="仿宋" w:eastAsia="仿宋"/>
          <w:sz w:val="24"/>
        </w:rPr>
      </w:pPr>
      <w:r>
        <w:rPr>
          <w:rFonts w:hint="eastAsia" w:ascii="仿宋" w:eastAsia="仿宋"/>
          <w:sz w:val="24"/>
        </w:rPr>
        <w:t>2.3.1开标一览表；</w:t>
      </w:r>
    </w:p>
    <w:p w14:paraId="76FE34E8">
      <w:pPr>
        <w:snapToGrid w:val="0"/>
        <w:spacing w:line="440" w:lineRule="exact"/>
        <w:jc w:val="left"/>
        <w:rPr>
          <w:rFonts w:ascii="仿宋" w:eastAsia="仿宋"/>
          <w:sz w:val="24"/>
        </w:rPr>
      </w:pPr>
      <w:r>
        <w:rPr>
          <w:rFonts w:hint="eastAsia" w:ascii="仿宋" w:eastAsia="仿宋"/>
          <w:sz w:val="24"/>
        </w:rPr>
        <w:t>2.3.</w:t>
      </w:r>
      <w:r>
        <w:rPr>
          <w:rFonts w:ascii="仿宋" w:eastAsia="仿宋"/>
          <w:sz w:val="24"/>
        </w:rPr>
        <w:t>2</w:t>
      </w:r>
      <w:r>
        <w:rPr>
          <w:rFonts w:hint="eastAsia" w:ascii="仿宋" w:eastAsia="仿宋"/>
          <w:sz w:val="24"/>
        </w:rPr>
        <w:t>关于报价的其他说明（如有，格式自拟）。</w:t>
      </w:r>
    </w:p>
    <w:p w14:paraId="24452336">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注：“报价文件”按采购文件第六章规定的内容填写，内容有实质性偏离的作无效投标处理。</w:t>
      </w:r>
    </w:p>
    <w:p w14:paraId="77B616F6">
      <w:pPr>
        <w:snapToGrid w:val="0"/>
        <w:spacing w:line="440" w:lineRule="exact"/>
        <w:jc w:val="left"/>
        <w:rPr>
          <w:rFonts w:ascii="仿宋" w:eastAsia="仿宋"/>
          <w:b/>
          <w:bCs/>
          <w:sz w:val="32"/>
          <w:szCs w:val="32"/>
          <w:u w:val="single"/>
        </w:rPr>
      </w:pPr>
      <w:r>
        <w:rPr>
          <w:rFonts w:hint="eastAsia" w:ascii="仿宋" w:eastAsia="仿宋"/>
          <w:b/>
          <w:bCs/>
          <w:sz w:val="32"/>
          <w:szCs w:val="32"/>
          <w:u w:val="single"/>
        </w:rPr>
        <w:t>注：如联合体投标的，“资格文件”、“商务技术文件”、“报价文件”中除联合体协议外，所有盖章、签字部分仅需联合体牵头人盖章和签字。</w:t>
      </w:r>
    </w:p>
    <w:p w14:paraId="6DD1E013">
      <w:pPr>
        <w:numPr>
          <w:ilvl w:val="0"/>
          <w:numId w:val="5"/>
        </w:numPr>
        <w:snapToGrid w:val="0"/>
        <w:spacing w:line="440" w:lineRule="exact"/>
        <w:jc w:val="left"/>
        <w:rPr>
          <w:rFonts w:ascii="仿宋" w:eastAsia="仿宋"/>
          <w:b/>
          <w:sz w:val="24"/>
        </w:rPr>
      </w:pPr>
      <w:r>
        <w:rPr>
          <w:rFonts w:hint="eastAsia" w:ascii="仿宋" w:eastAsia="仿宋"/>
          <w:b/>
          <w:sz w:val="24"/>
        </w:rPr>
        <w:t>投标文件的制作要求</w:t>
      </w:r>
    </w:p>
    <w:p w14:paraId="54FCEBDC">
      <w:pPr>
        <w:widowControl/>
        <w:snapToGrid w:val="0"/>
        <w:spacing w:line="440" w:lineRule="exact"/>
        <w:rPr>
          <w:rFonts w:ascii="仿宋" w:eastAsia="仿宋"/>
          <w:bCs/>
          <w:sz w:val="24"/>
        </w:rPr>
      </w:pPr>
      <w:r>
        <w:rPr>
          <w:rFonts w:hint="eastAsia" w:ascii="仿宋" w:eastAsia="仿宋"/>
          <w:bCs/>
          <w:sz w:val="24"/>
        </w:rPr>
        <w:t>3.1封包要求：“资格文件”“商务和技术文件”和“报价文件”需装订成册，电子投标文件以U盘形式，分四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4939B90">
      <w:pPr>
        <w:widowControl/>
        <w:snapToGrid w:val="0"/>
        <w:spacing w:line="440" w:lineRule="exact"/>
        <w:rPr>
          <w:rFonts w:ascii="仿宋" w:eastAsia="仿宋"/>
          <w:bCs/>
          <w:sz w:val="24"/>
        </w:rPr>
      </w:pPr>
      <w:r>
        <w:rPr>
          <w:rFonts w:hint="eastAsia" w:ascii="仿宋" w:eastAsia="仿宋"/>
          <w:bCs/>
          <w:sz w:val="24"/>
        </w:rPr>
        <w:t>3.2签署要求：按采购文件第六章“投标文件格式附件”各表单要求签署。</w:t>
      </w:r>
    </w:p>
    <w:p w14:paraId="33CB77BF">
      <w:pPr>
        <w:widowControl/>
        <w:snapToGrid w:val="0"/>
        <w:spacing w:line="440" w:lineRule="exact"/>
        <w:rPr>
          <w:rFonts w:ascii="仿宋" w:eastAsia="仿宋"/>
          <w:bCs/>
          <w:sz w:val="24"/>
        </w:rPr>
      </w:pPr>
      <w:r>
        <w:rPr>
          <w:rFonts w:hint="eastAsia" w:ascii="仿宋" w:eastAsia="仿宋"/>
          <w:bCs/>
          <w:sz w:val="24"/>
        </w:rPr>
        <w:t>3.3制作要求：建议采用A4幅面，编制页码，制作目录，提倡双面打印</w:t>
      </w:r>
    </w:p>
    <w:p w14:paraId="6AF94D6C">
      <w:pPr>
        <w:widowControl/>
        <w:snapToGrid w:val="0"/>
        <w:spacing w:line="440" w:lineRule="exact"/>
        <w:rPr>
          <w:rFonts w:ascii="仿宋" w:eastAsia="仿宋"/>
          <w:b/>
          <w:kern w:val="0"/>
          <w:sz w:val="24"/>
        </w:rPr>
      </w:pPr>
      <w:r>
        <w:rPr>
          <w:rFonts w:hint="eastAsia" w:ascii="仿宋" w:eastAsia="仿宋"/>
          <w:b/>
          <w:sz w:val="24"/>
        </w:rPr>
        <w:t>4．</w:t>
      </w:r>
      <w:r>
        <w:rPr>
          <w:rFonts w:hint="eastAsia" w:ascii="仿宋" w:eastAsia="仿宋"/>
          <w:b/>
          <w:kern w:val="0"/>
          <w:sz w:val="24"/>
        </w:rPr>
        <w:t>投标文件的补充和修改</w:t>
      </w:r>
    </w:p>
    <w:p w14:paraId="4215D686">
      <w:pPr>
        <w:pStyle w:val="6"/>
        <w:numPr>
          <w:ilvl w:val="0"/>
          <w:numId w:val="0"/>
        </w:numPr>
        <w:tabs>
          <w:tab w:val="left" w:pos="454"/>
        </w:tabs>
        <w:spacing w:after="0" w:afterLines="0" w:line="440" w:lineRule="exact"/>
        <w:rPr>
          <w:rFonts w:ascii="仿宋" w:eastAsia="仿宋"/>
        </w:rPr>
      </w:pPr>
      <w:r>
        <w:rPr>
          <w:rFonts w:hint="eastAsia" w:ascii="仿宋" w:eastAsia="仿宋"/>
        </w:rPr>
        <w:t>投标截止时间前，供应商可以以书面形式提出对投标文件进行补充和修改，相应部分以最后的补充和修改为准。若修改和补充为书面材料的应当密封，并明确注明“资格文件（或商务和技术文件或报价文件）修改（或补充）材料、项目名称或项目（标段）编号、供应商名称”字样，同时由法定代表人或其授权代表签字或盖章。未按上述规则制作的补充和修改材料将被拒收。</w:t>
      </w:r>
    </w:p>
    <w:p w14:paraId="1E83CE68">
      <w:pPr>
        <w:pStyle w:val="6"/>
        <w:numPr>
          <w:ilvl w:val="0"/>
          <w:numId w:val="0"/>
        </w:numPr>
        <w:tabs>
          <w:tab w:val="left" w:pos="454"/>
        </w:tabs>
        <w:spacing w:after="0" w:afterLines="0" w:line="440" w:lineRule="exact"/>
        <w:rPr>
          <w:rFonts w:ascii="仿宋" w:eastAsia="仿宋"/>
          <w:b/>
          <w:szCs w:val="24"/>
        </w:rPr>
      </w:pPr>
      <w:r>
        <w:rPr>
          <w:rFonts w:hint="eastAsia" w:ascii="仿宋" w:eastAsia="仿宋"/>
          <w:b/>
          <w:szCs w:val="24"/>
        </w:rPr>
        <w:t>5.投标文件的有效期</w:t>
      </w:r>
    </w:p>
    <w:p w14:paraId="71D737F4">
      <w:pPr>
        <w:pStyle w:val="6"/>
        <w:numPr>
          <w:ilvl w:val="0"/>
          <w:numId w:val="0"/>
        </w:numPr>
        <w:tabs>
          <w:tab w:val="left" w:pos="454"/>
        </w:tabs>
        <w:spacing w:after="0" w:afterLines="0" w:line="440" w:lineRule="exact"/>
        <w:rPr>
          <w:rFonts w:ascii="仿宋" w:eastAsia="仿宋"/>
          <w:szCs w:val="24"/>
        </w:rPr>
      </w:pPr>
      <w:r>
        <w:rPr>
          <w:rFonts w:hint="eastAsia" w:ascii="仿宋" w:eastAsia="仿宋"/>
          <w:szCs w:val="24"/>
        </w:rPr>
        <w:t>5.1</w:t>
      </w:r>
      <w:r>
        <w:rPr>
          <w:rFonts w:hint="eastAsia" w:ascii="仿宋" w:eastAsia="仿宋"/>
        </w:rPr>
        <w:t>投标文件有效期详见前附表。投标有效期内，投标人不得撤销或更换投标文件。</w:t>
      </w:r>
    </w:p>
    <w:p w14:paraId="28652204">
      <w:pPr>
        <w:pStyle w:val="6"/>
        <w:numPr>
          <w:ilvl w:val="0"/>
          <w:numId w:val="0"/>
        </w:numPr>
        <w:tabs>
          <w:tab w:val="left" w:pos="454"/>
        </w:tabs>
        <w:spacing w:after="0" w:afterLines="0" w:line="440" w:lineRule="exact"/>
        <w:rPr>
          <w:rFonts w:ascii="仿宋" w:eastAsia="仿宋"/>
          <w:szCs w:val="24"/>
        </w:rPr>
      </w:pPr>
      <w:r>
        <w:rPr>
          <w:rFonts w:hint="eastAsia" w:ascii="仿宋" w:eastAsia="仿宋"/>
          <w:szCs w:val="24"/>
        </w:rPr>
        <w:t>5.2投标有效期内未完成开评标及与中标人签订合同的，采购人需与投标人书面协商延长投标书的有效期。</w:t>
      </w:r>
    </w:p>
    <w:p w14:paraId="1B3E45FA">
      <w:pPr>
        <w:pStyle w:val="6"/>
        <w:numPr>
          <w:ilvl w:val="0"/>
          <w:numId w:val="0"/>
        </w:numPr>
        <w:tabs>
          <w:tab w:val="left" w:pos="454"/>
        </w:tabs>
        <w:spacing w:after="0" w:afterLines="0" w:line="440" w:lineRule="exact"/>
        <w:rPr>
          <w:rFonts w:ascii="仿宋" w:eastAsia="仿宋"/>
          <w:szCs w:val="24"/>
        </w:rPr>
      </w:pPr>
      <w:r>
        <w:rPr>
          <w:rFonts w:hint="eastAsia" w:ascii="仿宋" w:eastAsia="仿宋"/>
          <w:szCs w:val="24"/>
        </w:rPr>
        <w:t>5.3投标人可拒绝接受延期要求。同意延长有效期的投标人不能修改投标文件。</w:t>
      </w:r>
    </w:p>
    <w:p w14:paraId="5A2CA2D2">
      <w:pPr>
        <w:pStyle w:val="6"/>
        <w:numPr>
          <w:ilvl w:val="0"/>
          <w:numId w:val="0"/>
        </w:numPr>
        <w:tabs>
          <w:tab w:val="left" w:pos="454"/>
        </w:tabs>
        <w:spacing w:after="0" w:afterLines="0" w:line="440" w:lineRule="exact"/>
        <w:rPr>
          <w:rFonts w:ascii="仿宋" w:eastAsia="仿宋"/>
          <w:szCs w:val="24"/>
        </w:rPr>
      </w:pPr>
      <w:r>
        <w:rPr>
          <w:rFonts w:hint="eastAsia" w:ascii="仿宋" w:eastAsia="仿宋"/>
          <w:szCs w:val="24"/>
        </w:rPr>
        <w:t>5.4投标文件不予退还。</w:t>
      </w:r>
    </w:p>
    <w:p w14:paraId="27F00882">
      <w:pPr>
        <w:pStyle w:val="4"/>
        <w:spacing w:line="440" w:lineRule="exact"/>
        <w:rPr>
          <w:rFonts w:ascii="仿宋"/>
        </w:rPr>
      </w:pPr>
      <w:bookmarkStart w:id="38" w:name="_Toc27317"/>
      <w:r>
        <w:rPr>
          <w:rFonts w:hint="eastAsia" w:ascii="仿宋"/>
        </w:rPr>
        <w:t>四、开标评标</w:t>
      </w:r>
      <w:bookmarkEnd w:id="38"/>
    </w:p>
    <w:p w14:paraId="71BFDA69">
      <w:pPr>
        <w:snapToGrid w:val="0"/>
        <w:spacing w:line="440" w:lineRule="exact"/>
        <w:jc w:val="left"/>
        <w:rPr>
          <w:rFonts w:ascii="仿宋" w:eastAsia="仿宋"/>
          <w:b/>
          <w:bCs/>
          <w:sz w:val="24"/>
        </w:rPr>
      </w:pPr>
      <w:r>
        <w:rPr>
          <w:rFonts w:hint="eastAsia" w:ascii="仿宋" w:eastAsia="仿宋"/>
          <w:b/>
          <w:bCs/>
          <w:sz w:val="24"/>
        </w:rPr>
        <w:t>1．开标出席</w:t>
      </w:r>
    </w:p>
    <w:p w14:paraId="3A444C6E">
      <w:pPr>
        <w:snapToGrid w:val="0"/>
        <w:spacing w:line="440" w:lineRule="exact"/>
        <w:jc w:val="left"/>
        <w:rPr>
          <w:rFonts w:ascii="仿宋" w:eastAsia="仿宋"/>
          <w:b/>
          <w:bCs/>
          <w:sz w:val="24"/>
        </w:rPr>
      </w:pPr>
      <w:r>
        <w:rPr>
          <w:rFonts w:hint="eastAsia" w:ascii="仿宋" w:eastAsia="仿宋"/>
          <w:b/>
          <w:bCs/>
          <w:sz w:val="24"/>
        </w:rPr>
        <w:t>1.1 投标供应商法定代表人或其授权代表或个体工商户经营者</w:t>
      </w:r>
      <w:r>
        <w:rPr>
          <w:rFonts w:hint="eastAsia" w:ascii="仿宋" w:eastAsia="仿宋"/>
          <w:b/>
          <w:bCs/>
          <w:sz w:val="24"/>
          <w:lang w:val="en-US" w:eastAsia="zh-CN"/>
        </w:rPr>
        <w:t>无</w:t>
      </w:r>
      <w:r>
        <w:rPr>
          <w:rFonts w:ascii="仿宋" w:eastAsia="仿宋"/>
          <w:b/>
          <w:bCs/>
          <w:sz w:val="24"/>
        </w:rPr>
        <w:t>需</w:t>
      </w:r>
      <w:r>
        <w:rPr>
          <w:rFonts w:hint="eastAsia" w:ascii="仿宋" w:eastAsia="仿宋"/>
          <w:b/>
          <w:bCs/>
          <w:sz w:val="24"/>
        </w:rPr>
        <w:t>出席开标会议。</w:t>
      </w:r>
    </w:p>
    <w:p w14:paraId="5D3291C1">
      <w:pPr>
        <w:snapToGrid w:val="0"/>
        <w:spacing w:line="440" w:lineRule="exact"/>
        <w:jc w:val="left"/>
        <w:rPr>
          <w:rFonts w:ascii="仿宋" w:eastAsia="仿宋"/>
          <w:b/>
          <w:sz w:val="24"/>
        </w:rPr>
      </w:pPr>
      <w:r>
        <w:rPr>
          <w:rFonts w:hint="eastAsia" w:ascii="仿宋" w:eastAsia="仿宋"/>
          <w:b/>
          <w:sz w:val="24"/>
        </w:rPr>
        <w:t>2．开标大会程序</w:t>
      </w:r>
    </w:p>
    <w:p w14:paraId="4F9586B0">
      <w:pPr>
        <w:snapToGrid w:val="0"/>
        <w:spacing w:line="440" w:lineRule="exact"/>
        <w:jc w:val="left"/>
        <w:rPr>
          <w:rFonts w:ascii="仿宋" w:eastAsia="仿宋"/>
          <w:sz w:val="24"/>
        </w:rPr>
      </w:pPr>
      <w:r>
        <w:rPr>
          <w:rFonts w:hint="eastAsia" w:ascii="仿宋" w:eastAsia="仿宋"/>
          <w:sz w:val="24"/>
        </w:rPr>
        <w:t>开标大会由采购代理机构主持：</w:t>
      </w:r>
    </w:p>
    <w:p w14:paraId="21791EA2">
      <w:pPr>
        <w:snapToGrid w:val="0"/>
        <w:spacing w:line="440" w:lineRule="exact"/>
        <w:jc w:val="left"/>
        <w:rPr>
          <w:rFonts w:ascii="仿宋" w:eastAsia="仿宋"/>
          <w:sz w:val="24"/>
        </w:rPr>
      </w:pPr>
      <w:r>
        <w:rPr>
          <w:rFonts w:hint="eastAsia" w:ascii="仿宋" w:eastAsia="仿宋"/>
          <w:sz w:val="24"/>
        </w:rPr>
        <w:t>2.1主持人宣布开标会开始，介绍到会单位和人员。</w:t>
      </w:r>
    </w:p>
    <w:p w14:paraId="58EECB96">
      <w:pPr>
        <w:snapToGrid w:val="0"/>
        <w:spacing w:line="440" w:lineRule="exact"/>
        <w:jc w:val="left"/>
        <w:rPr>
          <w:rFonts w:ascii="仿宋" w:eastAsia="仿宋"/>
          <w:sz w:val="24"/>
        </w:rPr>
      </w:pPr>
      <w:r>
        <w:rPr>
          <w:rFonts w:hint="eastAsia" w:ascii="仿宋" w:eastAsia="仿宋"/>
          <w:sz w:val="24"/>
        </w:rPr>
        <w:t>2.2采购代理机构核对、宣读完成标书提交并签到的供应商名单。</w:t>
      </w:r>
    </w:p>
    <w:p w14:paraId="5971429D">
      <w:pPr>
        <w:snapToGrid w:val="0"/>
        <w:spacing w:line="44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14:paraId="23B14CCA">
      <w:pPr>
        <w:snapToGrid w:val="0"/>
        <w:spacing w:line="440" w:lineRule="exact"/>
        <w:jc w:val="left"/>
        <w:rPr>
          <w:rFonts w:ascii="仿宋" w:eastAsia="仿宋"/>
          <w:sz w:val="24"/>
        </w:rPr>
      </w:pPr>
      <w:r>
        <w:rPr>
          <w:rFonts w:hint="eastAsia" w:ascii="仿宋" w:eastAsia="仿宋"/>
          <w:sz w:val="24"/>
        </w:rPr>
        <w:t>2.4启封“资格文件”，交由评审委员会评审。</w:t>
      </w:r>
    </w:p>
    <w:p w14:paraId="7A0DDAB8">
      <w:pPr>
        <w:spacing w:line="440" w:lineRule="exact"/>
        <w:jc w:val="left"/>
        <w:rPr>
          <w:rFonts w:ascii="仿宋" w:eastAsia="仿宋"/>
          <w:sz w:val="24"/>
        </w:rPr>
      </w:pPr>
      <w:r>
        <w:rPr>
          <w:rFonts w:hint="eastAsia" w:ascii="仿宋" w:eastAsia="仿宋"/>
          <w:sz w:val="24"/>
        </w:rPr>
        <w:t>2.5启封“商务和技术文件”，</w:t>
      </w:r>
      <w:bookmarkStart w:id="99" w:name="_GoBack"/>
      <w:bookmarkEnd w:id="99"/>
      <w:r>
        <w:rPr>
          <w:rFonts w:hint="eastAsia" w:ascii="仿宋" w:eastAsia="仿宋"/>
          <w:sz w:val="24"/>
        </w:rPr>
        <w:t>交由评审委员会评审。如有演示要求，组织各供应商逐一演示，具体详见《前附表》中的演示要求。</w:t>
      </w:r>
    </w:p>
    <w:p w14:paraId="3FB0B752">
      <w:pPr>
        <w:spacing w:line="440" w:lineRule="exact"/>
        <w:jc w:val="left"/>
        <w:rPr>
          <w:rFonts w:ascii="仿宋" w:eastAsia="仿宋"/>
          <w:sz w:val="24"/>
        </w:rPr>
      </w:pPr>
      <w:r>
        <w:rPr>
          <w:rFonts w:hint="eastAsia" w:ascii="仿宋" w:eastAsia="仿宋"/>
          <w:sz w:val="24"/>
        </w:rPr>
        <w:t>2.6主持人宣布商务和技术文件得分情况及无效（废）投标情形（如有），无效供应商可收回未拆封的报价文件和原件材料（如有）并签字确认。</w:t>
      </w:r>
    </w:p>
    <w:p w14:paraId="5F241580">
      <w:pPr>
        <w:spacing w:line="440" w:lineRule="exact"/>
        <w:jc w:val="left"/>
        <w:rPr>
          <w:rFonts w:ascii="仿宋" w:eastAsia="仿宋"/>
          <w:sz w:val="24"/>
        </w:rPr>
      </w:pPr>
      <w:r>
        <w:rPr>
          <w:rFonts w:hint="eastAsia" w:ascii="仿宋" w:eastAsia="仿宋"/>
          <w:sz w:val="24"/>
        </w:rPr>
        <w:t>2.7启封“报价文件”，宣读供应商名称、投标报价等内容。宣读结束后，参加开标会的法定代表人或其授权代表应对报价和宣读的内容签字确认。</w:t>
      </w:r>
    </w:p>
    <w:p w14:paraId="47288165">
      <w:pPr>
        <w:spacing w:line="440" w:lineRule="exact"/>
        <w:jc w:val="left"/>
        <w:rPr>
          <w:rFonts w:ascii="仿宋" w:eastAsia="仿宋"/>
          <w:sz w:val="24"/>
        </w:rPr>
      </w:pPr>
      <w:r>
        <w:rPr>
          <w:rFonts w:hint="eastAsia" w:ascii="仿宋" w:eastAsia="仿宋"/>
          <w:sz w:val="24"/>
        </w:rPr>
        <w:t>2.8评审委员会对“报价文件”进行评审，计算评标价及价格分，汇总商务技术分、价格分，根据得分排序确定中标候选人。</w:t>
      </w:r>
    </w:p>
    <w:p w14:paraId="4352065D">
      <w:pPr>
        <w:spacing w:line="440" w:lineRule="exact"/>
        <w:jc w:val="left"/>
        <w:rPr>
          <w:rFonts w:ascii="仿宋" w:eastAsia="仿宋"/>
          <w:sz w:val="24"/>
        </w:rPr>
      </w:pPr>
      <w:r>
        <w:rPr>
          <w:rFonts w:hint="eastAsia" w:ascii="仿宋" w:eastAsia="仿宋"/>
          <w:sz w:val="24"/>
        </w:rPr>
        <w:t>2.9主持人向投标单位公布评审结果。</w:t>
      </w:r>
    </w:p>
    <w:p w14:paraId="154B5371">
      <w:pPr>
        <w:spacing w:line="440" w:lineRule="exact"/>
        <w:jc w:val="left"/>
        <w:rPr>
          <w:rFonts w:ascii="仿宋" w:eastAsia="仿宋"/>
          <w:b/>
          <w:bCs/>
          <w:sz w:val="24"/>
        </w:rPr>
      </w:pPr>
      <w:r>
        <w:rPr>
          <w:rFonts w:hint="eastAsia" w:ascii="仿宋" w:eastAsia="仿宋"/>
          <w:b/>
          <w:bCs/>
          <w:sz w:val="24"/>
        </w:rPr>
        <w:t>3.评审委员会的组成</w:t>
      </w:r>
    </w:p>
    <w:p w14:paraId="0870A9BD">
      <w:pPr>
        <w:spacing w:line="440" w:lineRule="exact"/>
        <w:jc w:val="left"/>
        <w:rPr>
          <w:rFonts w:ascii="仿宋" w:eastAsia="仿宋" w:cs="宋体"/>
          <w:sz w:val="24"/>
        </w:rPr>
      </w:pPr>
      <w:r>
        <w:rPr>
          <w:rFonts w:hint="eastAsia" w:ascii="仿宋" w:eastAsia="仿宋"/>
          <w:sz w:val="24"/>
        </w:rPr>
        <w:t>3.1</w:t>
      </w:r>
      <w:r>
        <w:rPr>
          <w:rFonts w:hint="eastAsia" w:ascii="仿宋" w:eastAsia="仿宋" w:cs="宋体"/>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4231F19C">
      <w:pPr>
        <w:spacing w:line="440" w:lineRule="exact"/>
        <w:jc w:val="left"/>
        <w:rPr>
          <w:rFonts w:ascii="仿宋" w:eastAsia="仿宋" w:cs="宋体"/>
          <w:sz w:val="24"/>
        </w:rPr>
      </w:pPr>
      <w:r>
        <w:rPr>
          <w:rFonts w:hint="eastAsia" w:ascii="仿宋" w:eastAsia="仿宋" w:cs="宋体"/>
          <w:sz w:val="24"/>
        </w:rPr>
        <w:t>3.2评审委员会由采购人代表和有关方面的专家组成，成员人数为五人及以上单数。预算金额在1000万及以上的，成员人数为七人及以上单数。</w:t>
      </w:r>
    </w:p>
    <w:p w14:paraId="029AE7C5">
      <w:pPr>
        <w:spacing w:line="440" w:lineRule="exact"/>
        <w:jc w:val="left"/>
        <w:rPr>
          <w:rFonts w:ascii="仿宋" w:eastAsia="仿宋" w:cs="宋体"/>
          <w:sz w:val="24"/>
        </w:rPr>
      </w:pPr>
      <w:r>
        <w:rPr>
          <w:rFonts w:hint="eastAsia" w:ascii="仿宋" w:eastAsia="仿宋" w:cs="宋体"/>
          <w:sz w:val="24"/>
        </w:rPr>
        <w:t>3.3采购人代表不担任评审组长。</w:t>
      </w:r>
    </w:p>
    <w:p w14:paraId="7FD1E802">
      <w:pPr>
        <w:spacing w:line="440" w:lineRule="exact"/>
        <w:jc w:val="left"/>
        <w:rPr>
          <w:rFonts w:ascii="仿宋" w:eastAsia="仿宋" w:cs="宋体"/>
          <w:sz w:val="24"/>
        </w:rPr>
      </w:pPr>
      <w:r>
        <w:rPr>
          <w:rFonts w:hint="eastAsia" w:ascii="仿宋" w:eastAsia="仿宋" w:cs="宋体"/>
          <w:sz w:val="24"/>
        </w:rPr>
        <w:t>3.4经采购监督部门同意，由于专家库无相应专业专家或技术复杂等原因允许采购人自行组建或推荐抽取评审专家，相关操作规则需符合法律规定。</w:t>
      </w:r>
    </w:p>
    <w:p w14:paraId="66C2C2C3">
      <w:pPr>
        <w:spacing w:line="440" w:lineRule="exact"/>
        <w:jc w:val="left"/>
        <w:rPr>
          <w:rFonts w:ascii="仿宋" w:eastAsia="仿宋" w:cs="宋体"/>
          <w:b/>
          <w:bCs/>
          <w:sz w:val="24"/>
        </w:rPr>
      </w:pPr>
      <w:r>
        <w:rPr>
          <w:rFonts w:hint="eastAsia" w:ascii="仿宋" w:eastAsia="仿宋" w:cs="宋体"/>
          <w:b/>
          <w:bCs/>
          <w:sz w:val="24"/>
        </w:rPr>
        <w:t>4.评审</w:t>
      </w:r>
    </w:p>
    <w:p w14:paraId="0F4CDD5A">
      <w:pPr>
        <w:spacing w:line="440" w:lineRule="exact"/>
        <w:jc w:val="left"/>
        <w:rPr>
          <w:rFonts w:ascii="仿宋" w:eastAsia="仿宋" w:cs="宋体"/>
          <w:sz w:val="24"/>
        </w:rPr>
      </w:pPr>
      <w:r>
        <w:rPr>
          <w:rFonts w:hint="eastAsia" w:ascii="仿宋" w:eastAsia="仿宋" w:cs="宋体"/>
          <w:sz w:val="24"/>
        </w:rPr>
        <w:t>4.1评审程序：</w:t>
      </w:r>
    </w:p>
    <w:p w14:paraId="2C1CEBB5">
      <w:pPr>
        <w:spacing w:line="440" w:lineRule="exact"/>
        <w:ind w:firstLine="480" w:firstLineChars="200"/>
        <w:jc w:val="left"/>
        <w:rPr>
          <w:rFonts w:ascii="仿宋" w:eastAsia="仿宋"/>
          <w:sz w:val="24"/>
        </w:rPr>
      </w:pPr>
      <w:r>
        <w:rPr>
          <w:rFonts w:hint="eastAsia" w:ascii="仿宋" w:eastAsia="仿宋" w:cs="宋体"/>
          <w:sz w:val="24"/>
        </w:rPr>
        <w:t>4.1.1资格审查：采购人或采购代理机构</w:t>
      </w:r>
      <w:r>
        <w:rPr>
          <w:rFonts w:hint="eastAsia" w:ascii="仿宋" w:eastAsia="仿宋"/>
          <w:sz w:val="24"/>
        </w:rPr>
        <w:t>依据法律、法规和采购文件规定，对投标文件中“资格文件”等进行审查，以确定投标人是否具备投标资格。</w:t>
      </w:r>
      <w:r>
        <w:rPr>
          <w:rFonts w:hint="eastAsia" w:ascii="仿宋" w:eastAsia="仿宋"/>
          <w:b/>
          <w:bCs/>
          <w:sz w:val="24"/>
        </w:rPr>
        <w:t>中小企业资格认定详见“二、采购文件”中“3、政府采购政策性规定”。</w:t>
      </w:r>
    </w:p>
    <w:p w14:paraId="51095EEF">
      <w:pPr>
        <w:spacing w:line="440" w:lineRule="exact"/>
        <w:ind w:firstLine="480" w:firstLineChars="200"/>
        <w:jc w:val="left"/>
        <w:rPr>
          <w:rFonts w:ascii="仿宋" w:eastAsia="仿宋" w:cs="宋体"/>
          <w:sz w:val="24"/>
        </w:rPr>
      </w:pPr>
      <w:r>
        <w:rPr>
          <w:rFonts w:hint="eastAsia" w:ascii="仿宋" w:eastAsia="仿宋"/>
          <w:sz w:val="24"/>
        </w:rPr>
        <w:t>4.1.2“商务和技术文件”的符合性审查：</w:t>
      </w:r>
      <w:r>
        <w:rPr>
          <w:rFonts w:hint="eastAsia" w:ascii="仿宋" w:eastAsia="仿宋" w:cs="宋体"/>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312CAFC2">
      <w:pPr>
        <w:spacing w:line="440" w:lineRule="exact"/>
        <w:ind w:firstLine="480" w:firstLineChars="200"/>
        <w:jc w:val="left"/>
        <w:rPr>
          <w:rFonts w:ascii="仿宋" w:eastAsia="仿宋" w:cs="宋体"/>
          <w:sz w:val="24"/>
        </w:rPr>
      </w:pPr>
      <w:r>
        <w:rPr>
          <w:rFonts w:hint="eastAsia" w:ascii="仿宋" w:eastAsia="仿宋" w:cs="宋体"/>
          <w:sz w:val="24"/>
        </w:rPr>
        <w:t>4.1.3商务技术评分：对</w:t>
      </w:r>
      <w:r>
        <w:rPr>
          <w:rFonts w:hint="eastAsia" w:ascii="仿宋" w:eastAsia="仿宋"/>
          <w:sz w:val="24"/>
        </w:rPr>
        <w:t>“商务和技术文件”中的响应情况进行评分。</w:t>
      </w:r>
    </w:p>
    <w:p w14:paraId="497D6EE9">
      <w:pPr>
        <w:spacing w:line="440" w:lineRule="exact"/>
        <w:ind w:firstLine="480" w:firstLineChars="200"/>
        <w:jc w:val="left"/>
        <w:rPr>
          <w:rFonts w:ascii="仿宋" w:eastAsia="仿宋" w:cs="Arial"/>
          <w:sz w:val="24"/>
        </w:rPr>
      </w:pPr>
      <w:r>
        <w:rPr>
          <w:rFonts w:hint="eastAsia" w:ascii="仿宋" w:eastAsia="仿宋" w:cs="宋体"/>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60C3FDF8">
      <w:pPr>
        <w:spacing w:line="440" w:lineRule="exact"/>
        <w:ind w:firstLine="480" w:firstLineChars="200"/>
        <w:jc w:val="left"/>
        <w:rPr>
          <w:rFonts w:ascii="仿宋" w:eastAsia="仿宋" w:cs="宋体"/>
          <w:sz w:val="24"/>
        </w:rPr>
      </w:pPr>
      <w:r>
        <w:rPr>
          <w:rFonts w:hint="eastAsia" w:ascii="仿宋" w:eastAsia="仿宋" w:cs="Arial"/>
          <w:sz w:val="24"/>
        </w:rPr>
        <w:t>4.1.5报价评分：根据评审价格和价格分计算公式计算各投标人价格分。</w:t>
      </w:r>
    </w:p>
    <w:p w14:paraId="702E6E1D">
      <w:pPr>
        <w:spacing w:line="440" w:lineRule="exact"/>
        <w:jc w:val="left"/>
        <w:rPr>
          <w:rFonts w:ascii="仿宋" w:eastAsia="仿宋" w:cs="宋体"/>
          <w:sz w:val="24"/>
        </w:rPr>
      </w:pPr>
      <w:r>
        <w:rPr>
          <w:rFonts w:hint="eastAsia" w:ascii="仿宋" w:eastAsia="仿宋" w:cs="宋体"/>
          <w:sz w:val="24"/>
        </w:rPr>
        <w:t>4.2评审委员会不负责解释投标人的得分高低和失分情况。</w:t>
      </w:r>
    </w:p>
    <w:p w14:paraId="2727054C">
      <w:pPr>
        <w:spacing w:line="440" w:lineRule="exact"/>
        <w:jc w:val="left"/>
        <w:rPr>
          <w:rFonts w:ascii="仿宋" w:eastAsia="仿宋" w:cs="宋体"/>
          <w:sz w:val="24"/>
        </w:rPr>
      </w:pPr>
      <w:r>
        <w:rPr>
          <w:rFonts w:hint="eastAsia" w:ascii="仿宋" w:eastAsia="仿宋" w:cs="宋体"/>
          <w:sz w:val="24"/>
        </w:rPr>
        <w:t>4.3评审委员会不得依据投标文件（包括样品、演示）以外的资料评分。</w:t>
      </w:r>
    </w:p>
    <w:p w14:paraId="4FBF7398">
      <w:pPr>
        <w:spacing w:line="440" w:lineRule="exact"/>
        <w:jc w:val="left"/>
        <w:rPr>
          <w:rFonts w:ascii="仿宋" w:eastAsia="仿宋"/>
          <w:b/>
          <w:bCs/>
          <w:sz w:val="24"/>
        </w:rPr>
      </w:pPr>
      <w:r>
        <w:rPr>
          <w:rFonts w:hint="eastAsia" w:ascii="仿宋" w:eastAsia="仿宋"/>
          <w:sz w:val="24"/>
        </w:rPr>
        <w:t>4.4对于投标文件中含义不明确、同类问题表述不一致或者有明显文字和计算错误的内容，评审委员会将要求投标人作出必要的澄清、说明或者补正。投标人的澄清、说明或者补正应当及时完成。投标人的澄清、说明或者补正不得超出投标文件的范围或者改变投标文件的实质性内容。</w:t>
      </w:r>
      <w:r>
        <w:rPr>
          <w:rFonts w:hint="eastAsia" w:ascii="仿宋" w:eastAsia="仿宋"/>
          <w:b/>
          <w:bCs/>
          <w:sz w:val="24"/>
        </w:rPr>
        <w:t>不接受投标人提出的主动澄清。</w:t>
      </w:r>
    </w:p>
    <w:p w14:paraId="3969719E">
      <w:pPr>
        <w:widowControl/>
        <w:snapToGrid w:val="0"/>
        <w:spacing w:line="440" w:lineRule="exact"/>
        <w:rPr>
          <w:rFonts w:ascii="仿宋" w:eastAsia="仿宋" w:cs="宋体"/>
          <w:sz w:val="24"/>
        </w:rPr>
      </w:pPr>
      <w:r>
        <w:rPr>
          <w:rFonts w:hint="eastAsia" w:ascii="仿宋" w:eastAsia="仿宋" w:cs="宋体"/>
          <w:sz w:val="24"/>
        </w:rPr>
        <w:t>4.5评审委员会不向落标方解释落标的原因，不退还投标文件。</w:t>
      </w:r>
    </w:p>
    <w:p w14:paraId="5D80D9E2">
      <w:pPr>
        <w:spacing w:line="440" w:lineRule="exact"/>
        <w:jc w:val="left"/>
        <w:rPr>
          <w:rFonts w:ascii="仿宋" w:eastAsia="仿宋" w:cs="宋体"/>
          <w:b/>
          <w:bCs/>
          <w:sz w:val="24"/>
        </w:rPr>
      </w:pPr>
      <w:r>
        <w:rPr>
          <w:rFonts w:hint="eastAsia" w:ascii="仿宋" w:eastAsia="仿宋" w:cs="宋体"/>
          <w:b/>
          <w:bCs/>
          <w:sz w:val="24"/>
        </w:rPr>
        <w:t>5.报价修正规则</w:t>
      </w:r>
    </w:p>
    <w:p w14:paraId="7318E108">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11FF59AA">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14:paraId="31BAA97E">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14:paraId="400812D7">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14:paraId="2FC85467">
      <w:pPr>
        <w:widowControl/>
        <w:snapToGrid w:val="0"/>
        <w:spacing w:line="440" w:lineRule="exact"/>
        <w:ind w:firstLine="480" w:firstLineChars="200"/>
        <w:rPr>
          <w:rFonts w:ascii="仿宋" w:eastAsia="仿宋"/>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4D77EB8D">
      <w:pPr>
        <w:pStyle w:val="10"/>
        <w:snapToGrid w:val="0"/>
        <w:spacing w:line="440" w:lineRule="exact"/>
        <w:jc w:val="left"/>
        <w:rPr>
          <w:rFonts w:ascii="仿宋" w:eastAsia="仿宋"/>
          <w:b/>
          <w:sz w:val="24"/>
          <w:szCs w:val="24"/>
        </w:rPr>
      </w:pPr>
      <w:r>
        <w:rPr>
          <w:rFonts w:hint="eastAsia" w:ascii="仿宋" w:eastAsia="仿宋"/>
          <w:b/>
          <w:sz w:val="24"/>
          <w:szCs w:val="24"/>
        </w:rPr>
        <w:t>6．无效投标的情形</w:t>
      </w:r>
    </w:p>
    <w:p w14:paraId="37AC70C2">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14:paraId="1DF33752">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22868344">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77F3D504">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2570478D">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14:paraId="7FFD23C7">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14:paraId="77E940E1">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14:paraId="1A65BA8E">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14:paraId="1B115E49">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45671F1D">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14:paraId="3D57BA03">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14:paraId="29D1913D">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14:paraId="1135A7BA">
      <w:pPr>
        <w:snapToGrid w:val="0"/>
        <w:spacing w:line="440" w:lineRule="exact"/>
        <w:ind w:firstLine="480" w:firstLineChars="200"/>
        <w:jc w:val="left"/>
        <w:rPr>
          <w:rFonts w:ascii="仿宋" w:eastAsia="仿宋"/>
          <w:sz w:val="24"/>
        </w:rPr>
      </w:pPr>
      <w:r>
        <w:rPr>
          <w:rFonts w:hint="eastAsia" w:ascii="仿宋" w:eastAsia="仿宋"/>
          <w:sz w:val="24"/>
        </w:rPr>
        <w:t>6.5.7在《开标一览表》中有2个（含）以上的报价或方案的。</w:t>
      </w:r>
    </w:p>
    <w:p w14:paraId="2D5B1C79">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618EA303">
      <w:pPr>
        <w:pStyle w:val="10"/>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14:paraId="0B505997">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1C947B05">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供应商的报价低于项目预算50%，但未能在报价文件中详细阐述不影响产品质量或者诚信履约的具体原因或具体原因未被评审委员会认可的；</w:t>
      </w:r>
    </w:p>
    <w:p w14:paraId="72A65E18">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14:paraId="42E05C67">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14:paraId="5400FB71">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6F688BEA">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14:paraId="13AAB8C1">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14:paraId="05E6431A">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14:paraId="5D69DED6">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14:paraId="5D2D3C26">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14:paraId="64805AA9">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14:paraId="28C1974B">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14:paraId="1A05A0D9">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14:paraId="2B64BDBC">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14:paraId="2CEB89FD">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14:paraId="61360A88">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14:paraId="2AA082C9">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14:paraId="5AE32CE4">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14:paraId="2867EB04">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14:paraId="74192266">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14:paraId="71024B86">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14:paraId="34F776A4">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1AA1F3FE">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6.18供应商违反政府采购强制执行的政策性规定的；</w:t>
      </w:r>
    </w:p>
    <w:p w14:paraId="0A2F85D9">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6.19未提供样品或提供的样品不满足采购需求实质性要求的；</w:t>
      </w:r>
    </w:p>
    <w:p w14:paraId="593DC35B">
      <w:pPr>
        <w:snapToGrid w:val="0"/>
        <w:spacing w:line="440" w:lineRule="exact"/>
        <w:rPr>
          <w:rFonts w:ascii="仿宋" w:eastAsia="仿宋"/>
          <w:sz w:val="24"/>
        </w:rPr>
      </w:pPr>
      <w:r>
        <w:rPr>
          <w:rFonts w:hint="eastAsia" w:ascii="仿宋" w:eastAsia="仿宋"/>
          <w:sz w:val="24"/>
        </w:rPr>
        <w:t>6.20违反法律、法规及本采购文件规定的其他无效投标情形。</w:t>
      </w:r>
    </w:p>
    <w:p w14:paraId="61BB1CAE">
      <w:pPr>
        <w:spacing w:line="440" w:lineRule="exact"/>
        <w:jc w:val="left"/>
        <w:rPr>
          <w:rFonts w:ascii="仿宋" w:eastAsia="仿宋" w:cs="宋体"/>
          <w:b/>
          <w:bCs/>
          <w:sz w:val="24"/>
        </w:rPr>
      </w:pPr>
      <w:r>
        <w:rPr>
          <w:rFonts w:hint="eastAsia" w:ascii="仿宋" w:eastAsia="仿宋" w:cs="宋体"/>
          <w:b/>
          <w:bCs/>
          <w:sz w:val="24"/>
        </w:rPr>
        <w:t>7.定标</w:t>
      </w:r>
    </w:p>
    <w:p w14:paraId="72019688">
      <w:pPr>
        <w:widowControl/>
        <w:snapToGrid w:val="0"/>
        <w:spacing w:line="440" w:lineRule="exact"/>
        <w:rPr>
          <w:rFonts w:ascii="仿宋" w:eastAsia="仿宋" w:cs="宋体"/>
          <w:sz w:val="24"/>
        </w:rPr>
      </w:pPr>
      <w:r>
        <w:rPr>
          <w:rFonts w:hint="eastAsia" w:ascii="仿宋" w:eastAsia="仿宋" w:cs="宋体"/>
          <w:sz w:val="24"/>
        </w:rPr>
        <w:t>7.1采购人在收到评标报告之日起5个工作日内在评审报告推荐的中标或成交候选人中按顺序确定中标或成交供应商。</w:t>
      </w:r>
    </w:p>
    <w:p w14:paraId="174F9EA3">
      <w:pPr>
        <w:widowControl/>
        <w:snapToGrid w:val="0"/>
        <w:spacing w:line="440" w:lineRule="exact"/>
        <w:rPr>
          <w:rFonts w:ascii="仿宋" w:eastAsia="仿宋"/>
          <w:kern w:val="0"/>
          <w:sz w:val="24"/>
        </w:rPr>
      </w:pPr>
      <w:r>
        <w:rPr>
          <w:rFonts w:hint="eastAsia" w:ascii="仿宋" w:eastAsia="仿宋" w:cs="宋体"/>
          <w:sz w:val="24"/>
        </w:rPr>
        <w:t>7.2采购代理机构在采购人确认中标或成交供应商后2个工作日内发布中标公告。中标公告与采购公告发布网址一致。中标公告期限为一个工作日。</w:t>
      </w:r>
    </w:p>
    <w:p w14:paraId="395BCD3A">
      <w:pPr>
        <w:spacing w:line="440" w:lineRule="exact"/>
        <w:jc w:val="left"/>
        <w:rPr>
          <w:rFonts w:ascii="仿宋" w:eastAsia="仿宋" w:cs="宋体"/>
          <w:b/>
          <w:bCs/>
          <w:sz w:val="24"/>
        </w:rPr>
      </w:pPr>
      <w:r>
        <w:rPr>
          <w:rFonts w:hint="eastAsia" w:ascii="仿宋" w:eastAsia="仿宋" w:cs="宋体"/>
          <w:b/>
          <w:bCs/>
          <w:sz w:val="24"/>
        </w:rPr>
        <w:t>8.中标通知书的申领</w:t>
      </w:r>
    </w:p>
    <w:p w14:paraId="20E86AA7">
      <w:pPr>
        <w:widowControl/>
        <w:snapToGrid w:val="0"/>
        <w:spacing w:line="440" w:lineRule="exact"/>
        <w:rPr>
          <w:rFonts w:ascii="仿宋" w:eastAsia="仿宋"/>
          <w:kern w:val="0"/>
          <w:sz w:val="24"/>
        </w:rPr>
      </w:pPr>
      <w:r>
        <w:rPr>
          <w:rFonts w:hint="eastAsia" w:ascii="仿宋" w:eastAsia="仿宋"/>
          <w:kern w:val="0"/>
          <w:sz w:val="24"/>
        </w:rPr>
        <w:t>8.1本项目中标通知书在采购代理机构处领取。</w:t>
      </w:r>
    </w:p>
    <w:p w14:paraId="3B9F73CA">
      <w:pPr>
        <w:widowControl/>
        <w:snapToGrid w:val="0"/>
        <w:spacing w:line="440" w:lineRule="exact"/>
        <w:rPr>
          <w:rFonts w:ascii="仿宋" w:eastAsia="仿宋"/>
          <w:kern w:val="0"/>
          <w:sz w:val="24"/>
        </w:rPr>
      </w:pPr>
      <w:r>
        <w:rPr>
          <w:rFonts w:hint="eastAsia" w:ascii="仿宋" w:eastAsia="仿宋"/>
          <w:kern w:val="0"/>
          <w:sz w:val="24"/>
        </w:rPr>
        <w:t>8.2中标通知书在中标公告发布的同时发出。</w:t>
      </w:r>
    </w:p>
    <w:p w14:paraId="639D185C">
      <w:pPr>
        <w:widowControl/>
        <w:snapToGrid w:val="0"/>
        <w:spacing w:line="440" w:lineRule="exact"/>
        <w:rPr>
          <w:rFonts w:ascii="仿宋" w:eastAsia="仿宋"/>
          <w:kern w:val="0"/>
          <w:sz w:val="24"/>
        </w:rPr>
      </w:pPr>
      <w:r>
        <w:rPr>
          <w:rFonts w:hint="eastAsia" w:ascii="仿宋" w:eastAsia="仿宋"/>
          <w:kern w:val="0"/>
          <w:sz w:val="24"/>
        </w:rPr>
        <w:t>8.3中标通知书发出后，采购人不得违法改变中标结果，中标人无正当理由不得放弃中标。</w:t>
      </w:r>
    </w:p>
    <w:p w14:paraId="2DC86FA1">
      <w:pPr>
        <w:widowControl/>
        <w:snapToGrid w:val="0"/>
        <w:spacing w:line="440" w:lineRule="exact"/>
        <w:rPr>
          <w:rFonts w:ascii="仿宋" w:eastAsia="仿宋"/>
          <w:kern w:val="0"/>
          <w:sz w:val="24"/>
        </w:rPr>
      </w:pPr>
      <w:r>
        <w:rPr>
          <w:rFonts w:hint="eastAsia" w:ascii="仿宋" w:eastAsia="仿宋"/>
          <w:b/>
          <w:bCs/>
          <w:kern w:val="0"/>
          <w:sz w:val="24"/>
        </w:rPr>
        <w:t>8.4中标通知书的领取不妨碍相关质疑投诉的提出和处置，中标结果在法定情形内允许改变。在处理完针对中标结果的质疑或投诉前，原则上不签订采购合同。</w:t>
      </w:r>
    </w:p>
    <w:p w14:paraId="529F66DA">
      <w:pPr>
        <w:pStyle w:val="4"/>
        <w:spacing w:line="440" w:lineRule="exact"/>
        <w:rPr>
          <w:rFonts w:ascii="仿宋"/>
        </w:rPr>
      </w:pPr>
      <w:bookmarkStart w:id="39" w:name="_Toc1753"/>
      <w:r>
        <w:rPr>
          <w:rFonts w:hint="eastAsia" w:ascii="仿宋"/>
        </w:rPr>
        <w:t>五、合同签订及履约</w:t>
      </w:r>
      <w:bookmarkEnd w:id="39"/>
    </w:p>
    <w:p w14:paraId="18F57F07">
      <w:pPr>
        <w:spacing w:line="440" w:lineRule="exact"/>
        <w:jc w:val="left"/>
        <w:rPr>
          <w:rFonts w:ascii="仿宋" w:eastAsia="仿宋" w:cs="宋体"/>
          <w:b/>
          <w:bCs/>
          <w:sz w:val="24"/>
        </w:rPr>
      </w:pPr>
      <w:r>
        <w:rPr>
          <w:rFonts w:hint="eastAsia" w:ascii="仿宋" w:eastAsia="仿宋" w:cs="宋体"/>
          <w:b/>
          <w:bCs/>
          <w:sz w:val="24"/>
        </w:rPr>
        <w:t>1.合同签订</w:t>
      </w:r>
    </w:p>
    <w:p w14:paraId="0A1E95FD">
      <w:pPr>
        <w:widowControl/>
        <w:snapToGrid w:val="0"/>
        <w:spacing w:line="440" w:lineRule="exact"/>
        <w:rPr>
          <w:rFonts w:ascii="仿宋" w:eastAsia="仿宋"/>
          <w:kern w:val="0"/>
          <w:sz w:val="24"/>
        </w:rPr>
      </w:pPr>
      <w:r>
        <w:rPr>
          <w:rFonts w:hint="eastAsia" w:ascii="仿宋" w:eastAsia="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17D195C6">
      <w:pPr>
        <w:widowControl/>
        <w:snapToGrid w:val="0"/>
        <w:spacing w:line="440" w:lineRule="exact"/>
        <w:rPr>
          <w:rFonts w:ascii="仿宋" w:eastAsia="仿宋"/>
          <w:kern w:val="0"/>
          <w:sz w:val="24"/>
        </w:rPr>
      </w:pPr>
      <w:r>
        <w:rPr>
          <w:rFonts w:hint="eastAsia" w:ascii="仿宋" w:eastAsia="仿宋"/>
          <w:kern w:val="0"/>
          <w:sz w:val="24"/>
        </w:rPr>
        <w:t>1.2采购人和中标人不得向对方提出任何不合理的要求作为签订合同的条件。</w:t>
      </w:r>
    </w:p>
    <w:p w14:paraId="09625B87">
      <w:pPr>
        <w:widowControl/>
        <w:snapToGrid w:val="0"/>
        <w:spacing w:line="440" w:lineRule="exact"/>
        <w:rPr>
          <w:rFonts w:ascii="仿宋" w:eastAsia="仿宋"/>
          <w:kern w:val="0"/>
          <w:sz w:val="24"/>
        </w:rPr>
      </w:pPr>
      <w:r>
        <w:rPr>
          <w:rFonts w:hint="eastAsia" w:ascii="仿宋" w:eastAsia="仿宋"/>
          <w:kern w:val="0"/>
          <w:sz w:val="24"/>
        </w:rPr>
        <w:t>1.3采购人和中标人需在投标有效期内签订采购合同。投标有效期允许延长，但需征得中标人同意。</w:t>
      </w:r>
    </w:p>
    <w:p w14:paraId="1C10DBD2">
      <w:pPr>
        <w:numPr>
          <w:ilvl w:val="0"/>
          <w:numId w:val="6"/>
        </w:numPr>
        <w:spacing w:line="440" w:lineRule="exact"/>
        <w:jc w:val="left"/>
        <w:rPr>
          <w:rFonts w:ascii="仿宋" w:eastAsia="仿宋"/>
          <w:b/>
          <w:sz w:val="24"/>
        </w:rPr>
      </w:pPr>
      <w:r>
        <w:rPr>
          <w:rFonts w:hint="eastAsia" w:ascii="仿宋" w:eastAsia="仿宋"/>
          <w:b/>
          <w:sz w:val="24"/>
        </w:rPr>
        <w:t>履约保证金：无</w:t>
      </w:r>
    </w:p>
    <w:p w14:paraId="4FCEEE52">
      <w:pPr>
        <w:spacing w:line="440" w:lineRule="exact"/>
        <w:jc w:val="left"/>
        <w:rPr>
          <w:rFonts w:ascii="仿宋" w:eastAsia="仿宋"/>
          <w:b/>
          <w:sz w:val="24"/>
        </w:rPr>
      </w:pPr>
      <w:r>
        <w:rPr>
          <w:rFonts w:hint="eastAsia" w:ascii="仿宋" w:eastAsia="仿宋"/>
          <w:b/>
          <w:sz w:val="24"/>
        </w:rPr>
        <w:t>3．合同备案</w:t>
      </w:r>
    </w:p>
    <w:p w14:paraId="5046E641">
      <w:pPr>
        <w:spacing w:line="440" w:lineRule="exact"/>
        <w:jc w:val="left"/>
        <w:rPr>
          <w:rFonts w:ascii="仿宋" w:eastAsia="仿宋"/>
          <w:b/>
          <w:bCs/>
          <w:sz w:val="24"/>
        </w:rPr>
      </w:pPr>
      <w:r>
        <w:rPr>
          <w:rFonts w:hint="eastAsia" w:ascii="仿宋" w:eastAsia="仿宋"/>
          <w:b/>
          <w:bCs/>
          <w:sz w:val="24"/>
        </w:rPr>
        <w:t>3.1中标人应当自采购合同签订之日起3个工作日内，将采购合同原件报采购代理机构备案存档。</w:t>
      </w:r>
    </w:p>
    <w:p w14:paraId="77FBEE68">
      <w:pPr>
        <w:spacing w:line="440" w:lineRule="exact"/>
        <w:jc w:val="left"/>
        <w:rPr>
          <w:rFonts w:ascii="仿宋" w:eastAsia="仿宋"/>
          <w:b/>
          <w:sz w:val="24"/>
        </w:rPr>
      </w:pPr>
      <w:r>
        <w:rPr>
          <w:rFonts w:hint="eastAsia" w:ascii="仿宋" w:eastAsia="仿宋"/>
          <w:b/>
          <w:sz w:val="24"/>
        </w:rPr>
        <w:t>4.履约验收</w:t>
      </w:r>
    </w:p>
    <w:p w14:paraId="7263F3F7">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441ABAA3">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16D4554E">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580652C0">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1F392B5C">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14:paraId="2CFBA001">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7A255024">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14:paraId="6140EF3F">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70BF4488">
      <w:pPr>
        <w:widowControl/>
        <w:snapToGrid w:val="0"/>
        <w:spacing w:line="480" w:lineRule="exact"/>
        <w:rPr>
          <w:rFonts w:ascii="仿宋" w:eastAsia="仿宋"/>
          <w:kern w:val="0"/>
          <w:sz w:val="24"/>
        </w:rPr>
      </w:pPr>
    </w:p>
    <w:p w14:paraId="4F8055F5">
      <w:pPr>
        <w:rPr>
          <w:rFonts w:ascii="仿宋"/>
        </w:rPr>
      </w:pPr>
      <w:bookmarkStart w:id="40" w:name="_Toc3442"/>
      <w:r>
        <w:rPr>
          <w:rFonts w:hint="eastAsia" w:ascii="仿宋"/>
        </w:rPr>
        <w:br w:type="page"/>
      </w:r>
    </w:p>
    <w:p w14:paraId="58F5750E">
      <w:pPr>
        <w:pStyle w:val="3"/>
        <w:rPr>
          <w:rFonts w:ascii="仿宋"/>
        </w:rPr>
      </w:pPr>
      <w:r>
        <w:rPr>
          <w:rFonts w:hint="eastAsia" w:ascii="仿宋"/>
        </w:rPr>
        <w:t>第三章  采购需求</w:t>
      </w:r>
      <w:bookmarkEnd w:id="40"/>
    </w:p>
    <w:p w14:paraId="503DF043">
      <w:pPr>
        <w:pStyle w:val="4"/>
        <w:jc w:val="left"/>
        <w:rPr>
          <w:rFonts w:ascii="仿宋" w:hAnsi="仿宋" w:cs="仿宋"/>
          <w:szCs w:val="24"/>
        </w:rPr>
      </w:pPr>
      <w:bookmarkStart w:id="41" w:name="_Toc13080"/>
      <w:bookmarkStart w:id="42" w:name="_Toc14268"/>
      <w:r>
        <w:rPr>
          <w:rFonts w:hint="eastAsia"/>
        </w:rPr>
        <w:t>一、服务清单及要求</w:t>
      </w:r>
      <w:bookmarkEnd w:id="41"/>
    </w:p>
    <w:p w14:paraId="7FFC52F0">
      <w:pPr>
        <w:spacing w:line="440" w:lineRule="exact"/>
        <w:jc w:val="left"/>
        <w:rPr>
          <w:rFonts w:ascii="仿宋" w:hAnsi="仿宋" w:eastAsia="仿宋" w:cs="仿宋"/>
          <w:b/>
          <w:sz w:val="24"/>
          <w:szCs w:val="24"/>
        </w:rPr>
      </w:pPr>
      <w:r>
        <w:rPr>
          <w:rFonts w:hint="eastAsia" w:ascii="仿宋" w:hAnsi="仿宋" w:eastAsia="仿宋" w:cs="仿宋"/>
          <w:b/>
          <w:sz w:val="24"/>
          <w:szCs w:val="24"/>
        </w:rPr>
        <w:t>一、建设目标</w:t>
      </w:r>
    </w:p>
    <w:p w14:paraId="26EF66B7">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根据国家和浙江省的医保支付方式改革，及当地卫生信息化建设相关的政策和文件精神要求，并结合医院的现状情况，本项目建设需完成以下建设目标：</w:t>
      </w:r>
    </w:p>
    <w:p w14:paraId="0B5E0210">
      <w:pPr>
        <w:pStyle w:val="21"/>
        <w:numPr>
          <w:ilvl w:val="0"/>
          <w:numId w:val="7"/>
        </w:numPr>
        <w:spacing w:line="440" w:lineRule="exact"/>
        <w:ind w:firstLineChars="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通过DRGs数据治理服务的建模处理将临床医生使用的疾病诊断和手术操作诊断转化为医保DRGs支付政策所要求的ICD-10和ICD-9-CM3，以减少病案室人工纠错率，提升医保费用获取率。</w:t>
      </w:r>
    </w:p>
    <w:p w14:paraId="5005B99A">
      <w:pPr>
        <w:pStyle w:val="21"/>
        <w:numPr>
          <w:ilvl w:val="0"/>
          <w:numId w:val="7"/>
        </w:numPr>
        <w:spacing w:line="440" w:lineRule="exact"/>
        <w:ind w:firstLineChars="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可根据当地统筹区医保局返回的医保支付数据模拟分组器，在临床治疗过程中“事前提醒”，做到有效自身控制，避免事后（病人出院以及整个诊疗过程完成以后）来不及补救的现象，减少医院的事实性损失。</w:t>
      </w:r>
    </w:p>
    <w:p w14:paraId="5CA24EB8">
      <w:pPr>
        <w:pStyle w:val="21"/>
        <w:numPr>
          <w:ilvl w:val="0"/>
          <w:numId w:val="7"/>
        </w:numPr>
        <w:spacing w:line="440" w:lineRule="exact"/>
        <w:ind w:firstLineChars="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实现病案首页诊断、编码等内容的自动校对功能。</w:t>
      </w:r>
    </w:p>
    <w:p w14:paraId="41E573BC">
      <w:pPr>
        <w:pStyle w:val="21"/>
        <w:numPr>
          <w:ilvl w:val="0"/>
          <w:numId w:val="7"/>
        </w:numPr>
        <w:spacing w:line="440" w:lineRule="exact"/>
        <w:ind w:firstLineChars="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对病种入组率、完成率、平均住院费用、平均住院日等指标进行自动分析。</w:t>
      </w:r>
    </w:p>
    <w:p w14:paraId="7F10C2CB">
      <w:pPr>
        <w:pStyle w:val="21"/>
        <w:numPr>
          <w:ilvl w:val="0"/>
          <w:numId w:val="7"/>
        </w:numPr>
        <w:spacing w:line="440" w:lineRule="exact"/>
        <w:ind w:firstLineChars="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在保障医疗质量的前提下，有效降低医疗成本，实现医院付费方式改革的信息化，给CHS-DRG的推广提供有力支撑。</w:t>
      </w:r>
    </w:p>
    <w:p w14:paraId="211E72EF">
      <w:pPr>
        <w:pStyle w:val="21"/>
        <w:numPr>
          <w:ilvl w:val="0"/>
          <w:numId w:val="7"/>
        </w:numPr>
        <w:spacing w:line="440" w:lineRule="exact"/>
        <w:ind w:firstLineChars="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为管理决策层提供经营决策的辅助依据，实现对医院运营情况及时监控，提前预判，从而优化资源配置，有效提高医务工作者的工作效率，提升医院整体经济效益。</w:t>
      </w:r>
    </w:p>
    <w:p w14:paraId="69F58826">
      <w:pPr>
        <w:pStyle w:val="21"/>
        <w:numPr>
          <w:ilvl w:val="0"/>
          <w:numId w:val="7"/>
        </w:numPr>
        <w:spacing w:line="440" w:lineRule="exact"/>
        <w:ind w:firstLineChars="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提供医保结算校对功能（即：对</w:t>
      </w:r>
      <w:r>
        <w:rPr>
          <w:rFonts w:hint="eastAsia" w:ascii="仿宋" w:hAnsi="仿宋" w:eastAsia="仿宋" w:cs="仿宋"/>
          <w:sz w:val="24"/>
          <w:szCs w:val="24"/>
        </w:rPr>
        <w:t>医保局反馈回医院的每月的DRGs结算单数据进行核对</w:t>
      </w:r>
      <w:r>
        <w:rPr>
          <w:rFonts w:hint="eastAsia" w:ascii="仿宋" w:hAnsi="仿宋" w:eastAsia="仿宋" w:cs="仿宋"/>
          <w:sz w:val="24"/>
          <w:szCs w:val="24"/>
          <w:shd w:val="clear" w:color="auto" w:fill="FFFFFF"/>
        </w:rPr>
        <w:t>），帮助医院医保部门减轻人工工作量，减少因为申诉不及时导致医院造成无谓损失的现象。</w:t>
      </w:r>
    </w:p>
    <w:p w14:paraId="32B5D23B">
      <w:pPr>
        <w:pStyle w:val="21"/>
        <w:numPr>
          <w:ilvl w:val="0"/>
          <w:numId w:val="7"/>
        </w:numPr>
        <w:spacing w:line="440" w:lineRule="exact"/>
        <w:ind w:firstLineChars="0"/>
        <w:jc w:val="left"/>
        <w:rPr>
          <w:rFonts w:ascii="仿宋" w:hAnsi="仿宋" w:eastAsia="仿宋" w:cs="仿宋"/>
          <w:sz w:val="24"/>
          <w:szCs w:val="24"/>
        </w:rPr>
      </w:pPr>
      <w:r>
        <w:rPr>
          <w:rFonts w:hint="eastAsia" w:ascii="仿宋" w:hAnsi="仿宋" w:eastAsia="仿宋" w:cs="仿宋"/>
          <w:sz w:val="24"/>
          <w:szCs w:val="24"/>
        </w:rPr>
        <w:t>全量质检：由“机器全量自动质检”代替“传统人工抽检”确保清单数据质量，合理入组。</w:t>
      </w:r>
    </w:p>
    <w:p w14:paraId="7FF4B265">
      <w:pPr>
        <w:pStyle w:val="21"/>
        <w:numPr>
          <w:ilvl w:val="0"/>
          <w:numId w:val="7"/>
        </w:numPr>
        <w:spacing w:line="440" w:lineRule="exact"/>
        <w:ind w:firstLineChars="0"/>
        <w:jc w:val="left"/>
        <w:rPr>
          <w:rFonts w:ascii="仿宋" w:hAnsi="仿宋" w:eastAsia="仿宋" w:cs="仿宋"/>
          <w:sz w:val="24"/>
          <w:szCs w:val="24"/>
        </w:rPr>
      </w:pPr>
      <w:r>
        <w:rPr>
          <w:rFonts w:hint="eastAsia" w:ascii="仿宋" w:hAnsi="仿宋" w:eastAsia="仿宋" w:cs="仿宋"/>
          <w:sz w:val="24"/>
          <w:szCs w:val="24"/>
        </w:rPr>
        <w:t>精准修改：实时查看DRG预测信息，利用模拟分组辅助判断，对于存疑清单进行人工处理。</w:t>
      </w:r>
    </w:p>
    <w:p w14:paraId="5ECF835A">
      <w:pPr>
        <w:pStyle w:val="21"/>
        <w:numPr>
          <w:ilvl w:val="0"/>
          <w:numId w:val="7"/>
        </w:numPr>
        <w:spacing w:line="440" w:lineRule="exact"/>
        <w:ind w:firstLineChars="0"/>
        <w:jc w:val="left"/>
        <w:rPr>
          <w:rFonts w:ascii="仿宋" w:hAnsi="仿宋" w:eastAsia="仿宋" w:cs="仿宋"/>
          <w:sz w:val="24"/>
          <w:szCs w:val="24"/>
        </w:rPr>
      </w:pPr>
      <w:r>
        <w:rPr>
          <w:rFonts w:hint="eastAsia" w:ascii="仿宋" w:hAnsi="仿宋" w:eastAsia="仿宋" w:cs="仿宋"/>
          <w:sz w:val="24"/>
          <w:szCs w:val="24"/>
        </w:rPr>
        <w:t>全流程管理：通过清单管理系统实现生成、编辑、审核的全流程一站式体验，规范清单管理流程。</w:t>
      </w:r>
    </w:p>
    <w:p w14:paraId="4C33FD87">
      <w:pPr>
        <w:pStyle w:val="21"/>
        <w:numPr>
          <w:ilvl w:val="0"/>
          <w:numId w:val="7"/>
        </w:numPr>
        <w:spacing w:line="440" w:lineRule="exact"/>
        <w:ind w:firstLineChars="0"/>
        <w:jc w:val="left"/>
        <w:rPr>
          <w:rFonts w:ascii="仿宋" w:hAnsi="仿宋" w:eastAsia="仿宋" w:cs="仿宋"/>
          <w:sz w:val="24"/>
          <w:szCs w:val="24"/>
        </w:rPr>
      </w:pPr>
      <w:r>
        <w:rPr>
          <w:rFonts w:hint="eastAsia" w:ascii="仿宋" w:hAnsi="仿宋" w:eastAsia="仿宋" w:cs="仿宋"/>
          <w:sz w:val="24"/>
          <w:szCs w:val="24"/>
        </w:rPr>
        <w:t>精细化管理：对清单问题跟踪溯源，持续改进清单质量，打造医疗精细化管理。</w:t>
      </w:r>
    </w:p>
    <w:p w14:paraId="4AB413C6">
      <w:pPr>
        <w:spacing w:line="440" w:lineRule="exact"/>
        <w:outlineLvl w:val="0"/>
        <w:rPr>
          <w:rFonts w:ascii="仿宋" w:hAnsi="仿宋" w:eastAsia="仿宋" w:cs="仿宋"/>
          <w:b/>
          <w:bCs/>
          <w:sz w:val="24"/>
          <w:szCs w:val="24"/>
        </w:rPr>
      </w:pPr>
      <w:bookmarkStart w:id="43" w:name="_Toc147665116"/>
      <w:bookmarkStart w:id="44" w:name="_Toc15110"/>
      <w:r>
        <w:rPr>
          <w:rFonts w:hint="eastAsia" w:ascii="仿宋" w:hAnsi="仿宋" w:eastAsia="仿宋" w:cs="仿宋"/>
          <w:b/>
          <w:bCs/>
          <w:sz w:val="24"/>
          <w:szCs w:val="24"/>
        </w:rPr>
        <w:t>二、</w:t>
      </w:r>
      <w:bookmarkEnd w:id="43"/>
      <w:bookmarkEnd w:id="44"/>
      <w:bookmarkStart w:id="45" w:name="_Toc22746229"/>
      <w:bookmarkStart w:id="46" w:name="_Toc6429"/>
      <w:bookmarkStart w:id="47" w:name="_Toc147665117"/>
      <w:r>
        <w:rPr>
          <w:rFonts w:hint="eastAsia" w:ascii="仿宋" w:hAnsi="仿宋" w:eastAsia="仿宋" w:cs="仿宋"/>
          <w:b/>
          <w:bCs/>
          <w:sz w:val="24"/>
          <w:szCs w:val="24"/>
        </w:rPr>
        <w:t>总体技术需求</w:t>
      </w:r>
      <w:bookmarkEnd w:id="45"/>
      <w:bookmarkEnd w:id="46"/>
      <w:bookmarkEnd w:id="47"/>
    </w:p>
    <w:p w14:paraId="52A3F929">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本次项目为软件系统服务项目，硬件、网络、安全等都利用现有医院资源，不另行采购。总体技术需求如下：</w:t>
      </w:r>
    </w:p>
    <w:p w14:paraId="508F5DB2">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1）采用多层架构的B/S结构，应用展示端建议采用HTML5技术；</w:t>
      </w:r>
    </w:p>
    <w:p w14:paraId="04C06AC7">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2）考虑到平台将来的可扩展性，平台必须是开放式的：展示页面可视化配置，灵活增加；具有数据集，且数据集可自定义配置；</w:t>
      </w:r>
    </w:p>
    <w:p w14:paraId="0631BD6F">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3）要有数据展现引擎，可以根据医院需求灵活地配置相关管理指标的呈现；</w:t>
      </w:r>
    </w:p>
    <w:p w14:paraId="59C023B1">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4）系统支持ORACLE数据库系统，主流大型数据库；</w:t>
      </w:r>
    </w:p>
    <w:p w14:paraId="36CDEAC5">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支持主流厂商的硬件及操作系统平台；</w:t>
      </w:r>
      <w:r>
        <w:rPr>
          <w:rFonts w:hint="eastAsia" w:ascii="仿宋" w:hAnsi="仿宋" w:eastAsia="仿宋" w:cs="仿宋"/>
          <w:sz w:val="24"/>
          <w:szCs w:val="24"/>
        </w:rPr>
        <w:tab/>
      </w:r>
    </w:p>
    <w:p w14:paraId="4AC2E94B">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支持Unix、Linux 、Windows操作系统，支持C/S/S或B/S/S的体系结构；</w:t>
      </w:r>
    </w:p>
    <w:p w14:paraId="05F4F3FA">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支持关系模型，支持分布式处理；</w:t>
      </w:r>
    </w:p>
    <w:p w14:paraId="3B9C239A">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支持主流的网络协议（TCP/IP、IPX/SPX、NETBIOS及混合协议等）；</w:t>
      </w:r>
    </w:p>
    <w:p w14:paraId="3834A949">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5）须提供配套的ETL工具、数据订阅工具、消息引擎、规则库、报表工具、数据共享引擎等一系列应用工具，可确保各种临床和管理应用效果的配置扩展实现。</w:t>
      </w:r>
    </w:p>
    <w:p w14:paraId="6073CE9A">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6）DRGs数据中心从HIS、电子病历等医院业务系统接入数据时，为不影响当前业务系统的正常运行，也不增加接口改造的风险及费用，推荐采用CDC技术方案（只要能达到准确、高效的数据采集，也可以允许其他技术方案），支持ESB接入；</w:t>
      </w:r>
    </w:p>
    <w:p w14:paraId="6A5645D0">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7）要求有独立的DRGs数据中心的数据模型,要求不能直接引用当前业务系统模型或消息模型。要通过ETL技术对原始业务数据进行抽取、转换、清洗并转存到CDR数据模型中，形成集中存储的DRGs数据集。</w:t>
      </w:r>
    </w:p>
    <w:tbl>
      <w:tblPr>
        <w:tblStyle w:val="15"/>
        <w:tblW w:w="51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1362"/>
        <w:gridCol w:w="6338"/>
      </w:tblGrid>
      <w:tr w14:paraId="40F7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48" w:type="pct"/>
            <w:noWrap w:val="0"/>
            <w:vAlign w:val="center"/>
          </w:tcPr>
          <w:p w14:paraId="4807EF4B">
            <w:pPr>
              <w:jc w:val="left"/>
              <w:rPr>
                <w:rFonts w:ascii="仿宋" w:hAnsi="仿宋" w:eastAsia="仿宋" w:cs="仿宋"/>
                <w:b/>
                <w:bCs/>
                <w:kern w:val="0"/>
                <w:sz w:val="24"/>
                <w:szCs w:val="24"/>
              </w:rPr>
            </w:pPr>
            <w:bookmarkStart w:id="48" w:name="_Toc147665118"/>
            <w:bookmarkStart w:id="49" w:name="_Toc22167"/>
            <w:r>
              <w:rPr>
                <w:rFonts w:hint="eastAsia" w:ascii="仿宋" w:hAnsi="仿宋" w:eastAsia="仿宋" w:cs="仿宋"/>
                <w:b/>
                <w:bCs/>
                <w:sz w:val="24"/>
                <w:szCs w:val="24"/>
              </w:rPr>
              <w:t>三、服务需求</w:t>
            </w:r>
            <w:bookmarkEnd w:id="48"/>
            <w:bookmarkEnd w:id="49"/>
            <w:r>
              <w:rPr>
                <w:rFonts w:hint="eastAsia" w:ascii="仿宋" w:hAnsi="仿宋" w:eastAsia="仿宋" w:cs="仿宋"/>
                <w:b/>
                <w:bCs/>
                <w:sz w:val="24"/>
                <w:szCs w:val="24"/>
              </w:rPr>
              <w:br w:type="textWrapping"/>
            </w:r>
            <w:bookmarkStart w:id="50" w:name="_Toc15197"/>
            <w:r>
              <w:rPr>
                <w:rFonts w:ascii="仿宋" w:hAnsi="仿宋" w:eastAsia="仿宋" w:cs="仿宋"/>
                <w:b/>
                <w:bCs/>
                <w:sz w:val="24"/>
                <w:szCs w:val="24"/>
              </w:rPr>
              <w:t>1.1.1.</w:t>
            </w:r>
            <w:r>
              <w:rPr>
                <w:rFonts w:hint="eastAsia" w:ascii="仿宋" w:hAnsi="仿宋" w:eastAsia="仿宋" w:cs="仿宋"/>
                <w:b/>
                <w:bCs/>
                <w:sz w:val="24"/>
                <w:szCs w:val="24"/>
              </w:rPr>
              <w:t>数据中心服务</w:t>
            </w:r>
            <w:bookmarkEnd w:id="50"/>
            <w:r>
              <w:rPr>
                <w:rFonts w:hint="eastAsia" w:ascii="仿宋" w:hAnsi="仿宋" w:eastAsia="仿宋" w:cs="仿宋"/>
                <w:b/>
                <w:bCs/>
                <w:sz w:val="24"/>
                <w:szCs w:val="24"/>
              </w:rPr>
              <w:br w:type="textWrapping"/>
            </w:r>
            <w:r>
              <w:rPr>
                <w:rFonts w:hint="eastAsia" w:ascii="仿宋" w:hAnsi="仿宋" w:eastAsia="仿宋" w:cs="仿宋"/>
                <w:b/>
                <w:bCs/>
                <w:kern w:val="0"/>
                <w:sz w:val="24"/>
                <w:szCs w:val="24"/>
              </w:rPr>
              <w:t>功能模块</w:t>
            </w:r>
          </w:p>
        </w:tc>
        <w:tc>
          <w:tcPr>
            <w:tcW w:w="752" w:type="pct"/>
            <w:noWrap w:val="0"/>
            <w:vAlign w:val="center"/>
          </w:tcPr>
          <w:p w14:paraId="419F8430">
            <w:pPr>
              <w:jc w:val="center"/>
              <w:rPr>
                <w:rFonts w:ascii="仿宋" w:hAnsi="仿宋" w:eastAsia="仿宋" w:cs="仿宋"/>
                <w:b/>
                <w:bCs/>
                <w:kern w:val="0"/>
                <w:sz w:val="24"/>
                <w:szCs w:val="24"/>
              </w:rPr>
            </w:pPr>
            <w:r>
              <w:rPr>
                <w:rFonts w:hint="eastAsia" w:ascii="仿宋" w:hAnsi="仿宋" w:eastAsia="仿宋" w:cs="仿宋"/>
                <w:b/>
                <w:bCs/>
                <w:kern w:val="0"/>
                <w:sz w:val="24"/>
                <w:szCs w:val="24"/>
              </w:rPr>
              <w:t>模块描述</w:t>
            </w:r>
          </w:p>
        </w:tc>
        <w:tc>
          <w:tcPr>
            <w:tcW w:w="3498" w:type="pct"/>
            <w:noWrap w:val="0"/>
            <w:vAlign w:val="center"/>
          </w:tcPr>
          <w:p w14:paraId="4CCE5324">
            <w:pPr>
              <w:jc w:val="center"/>
              <w:rPr>
                <w:rFonts w:ascii="仿宋" w:hAnsi="仿宋" w:eastAsia="仿宋" w:cs="仿宋"/>
                <w:b/>
                <w:bCs/>
                <w:kern w:val="0"/>
                <w:sz w:val="24"/>
                <w:szCs w:val="24"/>
              </w:rPr>
            </w:pPr>
            <w:r>
              <w:rPr>
                <w:rFonts w:hint="eastAsia" w:ascii="仿宋" w:hAnsi="仿宋" w:eastAsia="仿宋" w:cs="仿宋"/>
                <w:b/>
                <w:bCs/>
                <w:kern w:val="0"/>
                <w:sz w:val="24"/>
                <w:szCs w:val="24"/>
              </w:rPr>
              <w:t>功能说明</w:t>
            </w:r>
          </w:p>
        </w:tc>
      </w:tr>
      <w:tr w14:paraId="60FF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8" w:type="pct"/>
            <w:noWrap w:val="0"/>
            <w:vAlign w:val="center"/>
          </w:tcPr>
          <w:p w14:paraId="73A97483">
            <w:pPr>
              <w:jc w:val="center"/>
              <w:rPr>
                <w:rFonts w:ascii="仿宋" w:hAnsi="仿宋" w:eastAsia="仿宋" w:cs="仿宋"/>
                <w:kern w:val="0"/>
                <w:sz w:val="24"/>
                <w:szCs w:val="24"/>
              </w:rPr>
            </w:pPr>
            <w:r>
              <w:rPr>
                <w:rFonts w:hint="eastAsia" w:ascii="仿宋" w:hAnsi="仿宋" w:eastAsia="仿宋" w:cs="仿宋"/>
                <w:kern w:val="0"/>
                <w:sz w:val="24"/>
                <w:szCs w:val="24"/>
              </w:rPr>
              <w:t>数据配置服务</w:t>
            </w:r>
          </w:p>
        </w:tc>
        <w:tc>
          <w:tcPr>
            <w:tcW w:w="752" w:type="pct"/>
            <w:noWrap w:val="0"/>
            <w:vAlign w:val="center"/>
          </w:tcPr>
          <w:p w14:paraId="12B31B49">
            <w:pPr>
              <w:jc w:val="center"/>
              <w:rPr>
                <w:rFonts w:ascii="仿宋" w:hAnsi="仿宋" w:eastAsia="仿宋" w:cs="仿宋"/>
                <w:kern w:val="0"/>
                <w:sz w:val="24"/>
                <w:szCs w:val="24"/>
              </w:rPr>
            </w:pPr>
            <w:r>
              <w:rPr>
                <w:rFonts w:hint="eastAsia" w:ascii="仿宋" w:hAnsi="仿宋" w:eastAsia="仿宋" w:cs="仿宋"/>
                <w:kern w:val="0"/>
                <w:sz w:val="24"/>
                <w:szCs w:val="24"/>
              </w:rPr>
              <w:t>对各种异构数据源类型通过可视化的方式配置接入</w:t>
            </w:r>
          </w:p>
        </w:tc>
        <w:tc>
          <w:tcPr>
            <w:tcW w:w="3498" w:type="pct"/>
            <w:noWrap w:val="0"/>
            <w:vAlign w:val="center"/>
          </w:tcPr>
          <w:p w14:paraId="1A8E0F92">
            <w:pPr>
              <w:jc w:val="left"/>
              <w:rPr>
                <w:rFonts w:ascii="仿宋" w:hAnsi="仿宋" w:eastAsia="仿宋" w:cs="仿宋"/>
                <w:kern w:val="0"/>
                <w:sz w:val="24"/>
                <w:szCs w:val="24"/>
              </w:rPr>
            </w:pPr>
            <w:r>
              <w:rPr>
                <w:rFonts w:hint="eastAsia" w:ascii="仿宋" w:hAnsi="仿宋" w:eastAsia="仿宋" w:cs="仿宋"/>
                <w:kern w:val="0"/>
                <w:sz w:val="24"/>
                <w:szCs w:val="24"/>
              </w:rPr>
              <w:t>▲1.支持多种数据源接入包含Oracle、SqlServer、MySql、GP,Cache，支持Oracle集群模式接入；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2.支持DB接入和WebService接入方式；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3.DB接入全程可视化配置，只需要简单勾选需要同步的表即可完成数据接入任务的创建；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4.支持表创建、注释、主键一键式同步；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5.支持对数据源的全量同步和增量同步；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6.支持WebService接入增量全量同步方式；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7.支持对XML、XML&lt;Json&gt;解析，支持属性提取；</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8.支持按单个病人、时间区间获取数据，支持自定义请求头、请求体；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9.支持发布接入数据接入方式（通过WebService主动推送数据）；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10.支持文件格式的数据同步，根据文件信息自动创建实体表。</w:t>
            </w:r>
          </w:p>
        </w:tc>
      </w:tr>
      <w:tr w14:paraId="4799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8" w:type="pct"/>
            <w:noWrap w:val="0"/>
            <w:vAlign w:val="center"/>
          </w:tcPr>
          <w:p w14:paraId="42416BB5">
            <w:pPr>
              <w:jc w:val="center"/>
              <w:rPr>
                <w:rFonts w:ascii="仿宋" w:hAnsi="仿宋" w:eastAsia="仿宋" w:cs="仿宋"/>
                <w:kern w:val="0"/>
                <w:sz w:val="24"/>
                <w:szCs w:val="24"/>
              </w:rPr>
            </w:pPr>
            <w:r>
              <w:rPr>
                <w:rFonts w:hint="eastAsia" w:ascii="仿宋" w:hAnsi="仿宋" w:eastAsia="仿宋" w:cs="仿宋"/>
                <w:kern w:val="0"/>
                <w:sz w:val="24"/>
                <w:szCs w:val="24"/>
              </w:rPr>
              <w:t>项目管理服务</w:t>
            </w:r>
          </w:p>
        </w:tc>
        <w:tc>
          <w:tcPr>
            <w:tcW w:w="752" w:type="pct"/>
            <w:noWrap w:val="0"/>
            <w:vAlign w:val="center"/>
          </w:tcPr>
          <w:p w14:paraId="0D8AF852">
            <w:pPr>
              <w:jc w:val="center"/>
              <w:rPr>
                <w:rFonts w:ascii="仿宋" w:hAnsi="仿宋" w:eastAsia="仿宋" w:cs="仿宋"/>
                <w:kern w:val="0"/>
                <w:sz w:val="24"/>
                <w:szCs w:val="24"/>
              </w:rPr>
            </w:pPr>
            <w:r>
              <w:rPr>
                <w:rFonts w:hint="eastAsia" w:ascii="仿宋" w:hAnsi="仿宋" w:eastAsia="仿宋" w:cs="仿宋"/>
                <w:kern w:val="0"/>
                <w:sz w:val="24"/>
                <w:szCs w:val="24"/>
              </w:rPr>
              <w:t>实现工作流自助开发，并支持对工作流的导入导出</w:t>
            </w:r>
          </w:p>
        </w:tc>
        <w:tc>
          <w:tcPr>
            <w:tcW w:w="3498" w:type="pct"/>
            <w:noWrap w:val="0"/>
            <w:vAlign w:val="center"/>
          </w:tcPr>
          <w:p w14:paraId="70856B4B">
            <w:pPr>
              <w:jc w:val="left"/>
              <w:rPr>
                <w:rFonts w:ascii="仿宋" w:hAnsi="仿宋" w:eastAsia="仿宋" w:cs="仿宋"/>
                <w:kern w:val="0"/>
                <w:sz w:val="24"/>
                <w:szCs w:val="24"/>
              </w:rPr>
            </w:pPr>
            <w:r>
              <w:rPr>
                <w:rFonts w:hint="eastAsia" w:ascii="仿宋" w:hAnsi="仿宋" w:eastAsia="仿宋" w:cs="仿宋"/>
                <w:kern w:val="0"/>
                <w:sz w:val="24"/>
                <w:szCs w:val="24"/>
              </w:rPr>
              <w:t>1.同时支持数据接入和数据模型项目的定义；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2.图形化操作通过拖拉、连接的方式即可完成工作流的定义；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3.支持丰富的组件库包含SQL、Spark、Python、Http节点组件，底层基于大数据组件完成同步任务；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4.支持多任务同时执行不小于5个；</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5.在800M内存限制的条件下同步速度在每秒钟1万条以上；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6.支持异常任务报警短信提醒（医院提供短信猫支持）；</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7.支持可视化自定义任务执行频率配置；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8.支持预览最近任务执行时间；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9.支持任务通知策略自定义；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10.支持工作流任务的导入导出；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11.支持任务重试；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12.支持任务日志实时查看；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13.支持任务失败自动重试。</w:t>
            </w:r>
          </w:p>
        </w:tc>
      </w:tr>
      <w:tr w14:paraId="6342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8" w:type="pct"/>
            <w:noWrap w:val="0"/>
            <w:vAlign w:val="center"/>
          </w:tcPr>
          <w:p w14:paraId="4C8CBDE4">
            <w:pPr>
              <w:jc w:val="center"/>
              <w:rPr>
                <w:rFonts w:ascii="仿宋" w:hAnsi="仿宋" w:eastAsia="仿宋" w:cs="仿宋"/>
                <w:kern w:val="0"/>
                <w:sz w:val="24"/>
                <w:szCs w:val="24"/>
              </w:rPr>
            </w:pPr>
            <w:r>
              <w:rPr>
                <w:rFonts w:hint="eastAsia" w:ascii="仿宋" w:hAnsi="仿宋" w:eastAsia="仿宋" w:cs="仿宋"/>
                <w:kern w:val="0"/>
                <w:sz w:val="24"/>
                <w:szCs w:val="24"/>
              </w:rPr>
              <w:t>资源中心服务</w:t>
            </w:r>
          </w:p>
        </w:tc>
        <w:tc>
          <w:tcPr>
            <w:tcW w:w="752" w:type="pct"/>
            <w:noWrap w:val="0"/>
            <w:vAlign w:val="center"/>
          </w:tcPr>
          <w:p w14:paraId="02C90237">
            <w:pPr>
              <w:jc w:val="center"/>
              <w:rPr>
                <w:rFonts w:ascii="仿宋" w:hAnsi="仿宋" w:eastAsia="仿宋" w:cs="仿宋"/>
                <w:kern w:val="0"/>
                <w:sz w:val="24"/>
                <w:szCs w:val="24"/>
              </w:rPr>
            </w:pPr>
            <w:r>
              <w:rPr>
                <w:rFonts w:hint="eastAsia" w:ascii="仿宋" w:hAnsi="仿宋" w:eastAsia="仿宋" w:cs="仿宋"/>
                <w:kern w:val="0"/>
                <w:sz w:val="24"/>
                <w:szCs w:val="24"/>
              </w:rPr>
              <w:t>文件管理</w:t>
            </w:r>
          </w:p>
        </w:tc>
        <w:tc>
          <w:tcPr>
            <w:tcW w:w="3498" w:type="pct"/>
            <w:noWrap w:val="0"/>
            <w:vAlign w:val="center"/>
          </w:tcPr>
          <w:p w14:paraId="0BE62D55">
            <w:pPr>
              <w:jc w:val="left"/>
              <w:rPr>
                <w:rFonts w:ascii="仿宋" w:hAnsi="仿宋" w:eastAsia="仿宋" w:cs="仿宋"/>
                <w:kern w:val="0"/>
                <w:sz w:val="24"/>
                <w:szCs w:val="24"/>
              </w:rPr>
            </w:pPr>
            <w:r>
              <w:rPr>
                <w:rFonts w:hint="eastAsia" w:ascii="仿宋" w:hAnsi="仿宋" w:eastAsia="仿宋" w:cs="仿宋"/>
                <w:kern w:val="0"/>
                <w:sz w:val="24"/>
                <w:szCs w:val="24"/>
              </w:rPr>
              <w:t>1.支持对任务资源信息查看；</w:t>
            </w:r>
          </w:p>
        </w:tc>
      </w:tr>
      <w:tr w14:paraId="7CEB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8" w:type="pct"/>
            <w:noWrap w:val="0"/>
            <w:vAlign w:val="center"/>
          </w:tcPr>
          <w:p w14:paraId="524FDA3E">
            <w:pPr>
              <w:jc w:val="center"/>
              <w:rPr>
                <w:rFonts w:ascii="仿宋" w:hAnsi="仿宋" w:eastAsia="仿宋" w:cs="仿宋"/>
                <w:kern w:val="0"/>
                <w:sz w:val="24"/>
                <w:szCs w:val="24"/>
              </w:rPr>
            </w:pPr>
            <w:r>
              <w:rPr>
                <w:rFonts w:hint="eastAsia" w:ascii="仿宋" w:hAnsi="仿宋" w:eastAsia="仿宋" w:cs="仿宋"/>
                <w:kern w:val="0"/>
                <w:sz w:val="24"/>
                <w:szCs w:val="24"/>
              </w:rPr>
              <w:t>监控中心服务</w:t>
            </w:r>
          </w:p>
        </w:tc>
        <w:tc>
          <w:tcPr>
            <w:tcW w:w="752" w:type="pct"/>
            <w:noWrap w:val="0"/>
            <w:vAlign w:val="center"/>
          </w:tcPr>
          <w:p w14:paraId="53EF3B14">
            <w:pPr>
              <w:jc w:val="center"/>
              <w:rPr>
                <w:rFonts w:ascii="仿宋" w:hAnsi="仿宋" w:eastAsia="仿宋" w:cs="仿宋"/>
                <w:kern w:val="0"/>
                <w:sz w:val="24"/>
                <w:szCs w:val="24"/>
              </w:rPr>
            </w:pPr>
            <w:r>
              <w:rPr>
                <w:rFonts w:hint="eastAsia" w:ascii="仿宋" w:hAnsi="仿宋" w:eastAsia="仿宋" w:cs="仿宋"/>
                <w:kern w:val="0"/>
                <w:sz w:val="24"/>
                <w:szCs w:val="24"/>
              </w:rPr>
              <w:t>对各资源服务进行监控和管理，并进行常规方式的统计</w:t>
            </w:r>
          </w:p>
        </w:tc>
        <w:tc>
          <w:tcPr>
            <w:tcW w:w="3498" w:type="pct"/>
            <w:noWrap w:val="0"/>
            <w:vAlign w:val="center"/>
          </w:tcPr>
          <w:p w14:paraId="0F70C0D1">
            <w:pPr>
              <w:jc w:val="left"/>
              <w:rPr>
                <w:rFonts w:ascii="仿宋" w:hAnsi="仿宋" w:eastAsia="仿宋" w:cs="仿宋"/>
                <w:kern w:val="0"/>
                <w:sz w:val="24"/>
                <w:szCs w:val="24"/>
              </w:rPr>
            </w:pPr>
            <w:r>
              <w:rPr>
                <w:rFonts w:hint="eastAsia" w:ascii="仿宋" w:hAnsi="仿宋" w:eastAsia="仿宋" w:cs="仿宋"/>
                <w:kern w:val="0"/>
                <w:sz w:val="24"/>
                <w:szCs w:val="24"/>
              </w:rPr>
              <w:t>1.支持系统连接池使用情况统计并展示；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2.支持监控数据中心的内存和CPU使用情况；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3.支持对所使用的的中间件如zookeeper服务的连接数、发送接收量等相关指标监控；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4.支持对数据库健康状态，连接数的监控；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5.支持对任务执行情况包含待执行的命令数、执行失败的命令数、待运行任务数、待杀死任务数统计并展示；</w:t>
            </w:r>
          </w:p>
        </w:tc>
      </w:tr>
      <w:tr w14:paraId="39A4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8" w:type="pct"/>
            <w:noWrap w:val="0"/>
            <w:vAlign w:val="center"/>
          </w:tcPr>
          <w:p w14:paraId="429B0D57">
            <w:pPr>
              <w:jc w:val="center"/>
              <w:rPr>
                <w:rFonts w:ascii="仿宋" w:hAnsi="仿宋" w:eastAsia="仿宋" w:cs="仿宋"/>
                <w:kern w:val="0"/>
                <w:sz w:val="24"/>
                <w:szCs w:val="24"/>
              </w:rPr>
            </w:pPr>
            <w:r>
              <w:rPr>
                <w:rFonts w:hint="eastAsia" w:ascii="仿宋" w:hAnsi="仿宋" w:eastAsia="仿宋" w:cs="仿宋"/>
                <w:kern w:val="0"/>
                <w:sz w:val="24"/>
                <w:szCs w:val="24"/>
              </w:rPr>
              <w:t>配置中心服务</w:t>
            </w:r>
          </w:p>
        </w:tc>
        <w:tc>
          <w:tcPr>
            <w:tcW w:w="752" w:type="pct"/>
            <w:noWrap w:val="0"/>
            <w:vAlign w:val="center"/>
          </w:tcPr>
          <w:p w14:paraId="1F67C0F0">
            <w:pPr>
              <w:jc w:val="center"/>
              <w:rPr>
                <w:rFonts w:ascii="仿宋" w:hAnsi="仿宋" w:eastAsia="仿宋" w:cs="仿宋"/>
                <w:kern w:val="0"/>
                <w:sz w:val="24"/>
                <w:szCs w:val="24"/>
              </w:rPr>
            </w:pPr>
            <w:r>
              <w:rPr>
                <w:rFonts w:hint="eastAsia" w:ascii="仿宋" w:hAnsi="仿宋" w:eastAsia="仿宋" w:cs="仿宋"/>
                <w:kern w:val="0"/>
                <w:sz w:val="24"/>
                <w:szCs w:val="24"/>
              </w:rPr>
              <w:t>监控配置</w:t>
            </w:r>
          </w:p>
        </w:tc>
        <w:tc>
          <w:tcPr>
            <w:tcW w:w="3498" w:type="pct"/>
            <w:noWrap w:val="0"/>
            <w:vAlign w:val="center"/>
          </w:tcPr>
          <w:p w14:paraId="4B7106C7">
            <w:pPr>
              <w:jc w:val="left"/>
              <w:rPr>
                <w:rFonts w:ascii="仿宋" w:hAnsi="仿宋" w:eastAsia="仿宋" w:cs="仿宋"/>
                <w:kern w:val="0"/>
                <w:sz w:val="24"/>
                <w:szCs w:val="24"/>
              </w:rPr>
            </w:pPr>
            <w:r>
              <w:rPr>
                <w:rFonts w:hint="eastAsia" w:ascii="仿宋" w:hAnsi="仿宋" w:eastAsia="仿宋" w:cs="仿宋"/>
                <w:kern w:val="0"/>
                <w:sz w:val="24"/>
                <w:szCs w:val="24"/>
              </w:rPr>
              <w:t>1.支持对监控规则自定义定时时间；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2.支持监控结果短信发送（医院提供短信猫支持）；</w:t>
            </w:r>
          </w:p>
        </w:tc>
      </w:tr>
      <w:tr w14:paraId="233A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8" w:type="pct"/>
            <w:noWrap w:val="0"/>
            <w:vAlign w:val="center"/>
          </w:tcPr>
          <w:p w14:paraId="5FA41CBF">
            <w:pPr>
              <w:jc w:val="center"/>
              <w:rPr>
                <w:rFonts w:ascii="仿宋" w:hAnsi="仿宋" w:eastAsia="仿宋" w:cs="仿宋"/>
                <w:kern w:val="0"/>
                <w:sz w:val="24"/>
                <w:szCs w:val="24"/>
              </w:rPr>
            </w:pPr>
            <w:r>
              <w:rPr>
                <w:rFonts w:hint="eastAsia" w:ascii="仿宋" w:hAnsi="仿宋" w:eastAsia="仿宋" w:cs="仿宋"/>
                <w:kern w:val="0"/>
                <w:sz w:val="24"/>
                <w:szCs w:val="24"/>
              </w:rPr>
              <w:t>数据质量服务</w:t>
            </w:r>
          </w:p>
        </w:tc>
        <w:tc>
          <w:tcPr>
            <w:tcW w:w="752" w:type="pct"/>
            <w:noWrap w:val="0"/>
            <w:vAlign w:val="center"/>
          </w:tcPr>
          <w:p w14:paraId="127607B1">
            <w:pPr>
              <w:jc w:val="center"/>
              <w:rPr>
                <w:rFonts w:ascii="仿宋" w:hAnsi="仿宋" w:eastAsia="仿宋" w:cs="仿宋"/>
                <w:kern w:val="0"/>
                <w:sz w:val="24"/>
                <w:szCs w:val="24"/>
              </w:rPr>
            </w:pPr>
            <w:r>
              <w:rPr>
                <w:rFonts w:hint="eastAsia" w:ascii="仿宋" w:hAnsi="仿宋" w:eastAsia="仿宋" w:cs="仿宋"/>
                <w:kern w:val="0"/>
                <w:sz w:val="24"/>
                <w:szCs w:val="24"/>
              </w:rPr>
              <w:t>数据稽核</w:t>
            </w:r>
          </w:p>
        </w:tc>
        <w:tc>
          <w:tcPr>
            <w:tcW w:w="3498" w:type="pct"/>
            <w:noWrap w:val="0"/>
            <w:vAlign w:val="center"/>
          </w:tcPr>
          <w:p w14:paraId="673F37D5">
            <w:pPr>
              <w:jc w:val="left"/>
              <w:rPr>
                <w:rFonts w:ascii="仿宋" w:hAnsi="仿宋" w:eastAsia="仿宋" w:cs="仿宋"/>
                <w:kern w:val="0"/>
                <w:sz w:val="24"/>
                <w:szCs w:val="24"/>
              </w:rPr>
            </w:pPr>
            <w:r>
              <w:rPr>
                <w:rFonts w:hint="eastAsia" w:ascii="仿宋" w:hAnsi="仿宋" w:eastAsia="仿宋" w:cs="仿宋"/>
                <w:kern w:val="0"/>
                <w:sz w:val="24"/>
                <w:szCs w:val="24"/>
              </w:rPr>
              <w:t>1.支持对表数据进行自定义监控；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2.支持模板规则的配置；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3.支持规则的批量导出导出；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4.支持规则自定义时间执行；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5.支持质量报告实时生成；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6.支持质检分数实时查询；</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7.支持自定义稽核异常说明；</w:t>
            </w:r>
          </w:p>
        </w:tc>
      </w:tr>
    </w:tbl>
    <w:p w14:paraId="659F2E12">
      <w:pPr>
        <w:numPr>
          <w:ilvl w:val="2"/>
          <w:numId w:val="0"/>
        </w:numPr>
        <w:spacing w:line="440" w:lineRule="exact"/>
        <w:ind w:left="709" w:hanging="709"/>
        <w:outlineLvl w:val="2"/>
        <w:rPr>
          <w:rFonts w:ascii="仿宋" w:hAnsi="仿宋" w:eastAsia="仿宋" w:cs="仿宋"/>
          <w:b/>
          <w:bCs/>
          <w:sz w:val="24"/>
          <w:szCs w:val="24"/>
        </w:rPr>
      </w:pPr>
      <w:bookmarkStart w:id="51" w:name="_Toc2074"/>
      <w:r>
        <w:rPr>
          <w:rFonts w:ascii="仿宋" w:hAnsi="仿宋" w:eastAsia="仿宋" w:cs="仿宋"/>
          <w:b/>
          <w:bCs/>
          <w:sz w:val="24"/>
          <w:szCs w:val="24"/>
        </w:rPr>
        <w:t>1.1.2.</w:t>
      </w:r>
      <w:r>
        <w:rPr>
          <w:rFonts w:hint="eastAsia" w:ascii="仿宋" w:hAnsi="仿宋" w:eastAsia="仿宋" w:cs="仿宋"/>
          <w:b/>
          <w:bCs/>
          <w:sz w:val="24"/>
          <w:szCs w:val="24"/>
        </w:rPr>
        <w:t>医保DRG医院智慧运营管理服务</w:t>
      </w:r>
      <w:bookmarkEnd w:id="51"/>
    </w:p>
    <w:tbl>
      <w:tblPr>
        <w:tblStyle w:val="15"/>
        <w:tblW w:w="9045"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855"/>
        <w:gridCol w:w="1065"/>
        <w:gridCol w:w="6300"/>
      </w:tblGrid>
      <w:tr w14:paraId="102F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5" w:type="dxa"/>
            <w:noWrap w:val="0"/>
            <w:vAlign w:val="center"/>
          </w:tcPr>
          <w:p w14:paraId="249FCE2A">
            <w:pPr>
              <w:jc w:val="center"/>
              <w:rPr>
                <w:rFonts w:ascii="仿宋" w:hAnsi="仿宋" w:eastAsia="仿宋" w:cs="仿宋"/>
                <w:b/>
                <w:bCs/>
                <w:kern w:val="0"/>
                <w:sz w:val="24"/>
                <w:szCs w:val="24"/>
              </w:rPr>
            </w:pPr>
            <w:bookmarkStart w:id="52" w:name="_Hlk148601236"/>
            <w:bookmarkStart w:id="53" w:name="_Toc30880"/>
            <w:r>
              <w:rPr>
                <w:rFonts w:hint="eastAsia" w:ascii="仿宋" w:hAnsi="仿宋" w:eastAsia="仿宋" w:cs="仿宋"/>
                <w:b/>
                <w:bCs/>
                <w:kern w:val="0"/>
                <w:sz w:val="24"/>
                <w:szCs w:val="24"/>
              </w:rPr>
              <w:t>大类</w:t>
            </w:r>
          </w:p>
        </w:tc>
        <w:tc>
          <w:tcPr>
            <w:tcW w:w="855" w:type="dxa"/>
            <w:noWrap w:val="0"/>
            <w:vAlign w:val="center"/>
          </w:tcPr>
          <w:p w14:paraId="4897972A">
            <w:pPr>
              <w:jc w:val="center"/>
              <w:rPr>
                <w:rFonts w:ascii="仿宋" w:hAnsi="仿宋" w:eastAsia="仿宋" w:cs="仿宋"/>
                <w:b/>
                <w:bCs/>
                <w:kern w:val="0"/>
                <w:sz w:val="24"/>
                <w:szCs w:val="24"/>
              </w:rPr>
            </w:pPr>
            <w:r>
              <w:rPr>
                <w:rFonts w:hint="eastAsia" w:ascii="仿宋" w:hAnsi="仿宋" w:eastAsia="仿宋" w:cs="仿宋"/>
                <w:b/>
                <w:bCs/>
                <w:kern w:val="0"/>
                <w:sz w:val="24"/>
                <w:szCs w:val="24"/>
              </w:rPr>
              <w:t>模块</w:t>
            </w:r>
          </w:p>
        </w:tc>
        <w:tc>
          <w:tcPr>
            <w:tcW w:w="1065" w:type="dxa"/>
            <w:noWrap w:val="0"/>
            <w:vAlign w:val="center"/>
          </w:tcPr>
          <w:p w14:paraId="769C14AF">
            <w:pPr>
              <w:jc w:val="center"/>
              <w:rPr>
                <w:rFonts w:ascii="仿宋" w:hAnsi="仿宋" w:eastAsia="仿宋" w:cs="仿宋"/>
                <w:b/>
                <w:bCs/>
                <w:kern w:val="0"/>
                <w:sz w:val="24"/>
                <w:szCs w:val="24"/>
              </w:rPr>
            </w:pPr>
            <w:r>
              <w:rPr>
                <w:rFonts w:hint="eastAsia" w:ascii="仿宋" w:hAnsi="仿宋" w:eastAsia="仿宋" w:cs="仿宋"/>
                <w:b/>
                <w:bCs/>
                <w:kern w:val="0"/>
                <w:sz w:val="24"/>
                <w:szCs w:val="24"/>
              </w:rPr>
              <w:t>功能点</w:t>
            </w:r>
          </w:p>
        </w:tc>
        <w:tc>
          <w:tcPr>
            <w:tcW w:w="6300" w:type="dxa"/>
            <w:noWrap w:val="0"/>
            <w:vAlign w:val="center"/>
          </w:tcPr>
          <w:p w14:paraId="0C227156">
            <w:pPr>
              <w:jc w:val="center"/>
              <w:rPr>
                <w:rFonts w:ascii="仿宋" w:hAnsi="仿宋" w:eastAsia="仿宋" w:cs="仿宋"/>
                <w:b/>
                <w:bCs/>
                <w:kern w:val="0"/>
                <w:sz w:val="24"/>
                <w:szCs w:val="24"/>
              </w:rPr>
            </w:pPr>
            <w:r>
              <w:rPr>
                <w:rFonts w:hint="eastAsia" w:ascii="仿宋" w:hAnsi="仿宋" w:eastAsia="仿宋" w:cs="仿宋"/>
                <w:b/>
                <w:bCs/>
                <w:kern w:val="0"/>
                <w:sz w:val="24"/>
                <w:szCs w:val="24"/>
              </w:rPr>
              <w:t>详细参数</w:t>
            </w:r>
          </w:p>
        </w:tc>
      </w:tr>
      <w:tr w14:paraId="2E6B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noWrap w:val="0"/>
            <w:vAlign w:val="center"/>
          </w:tcPr>
          <w:p w14:paraId="73D82F24">
            <w:pPr>
              <w:jc w:val="center"/>
              <w:rPr>
                <w:rFonts w:ascii="仿宋" w:hAnsi="仿宋" w:eastAsia="仿宋" w:cs="仿宋"/>
                <w:kern w:val="0"/>
                <w:sz w:val="24"/>
                <w:szCs w:val="24"/>
              </w:rPr>
            </w:pPr>
            <w:r>
              <w:rPr>
                <w:rFonts w:hint="eastAsia" w:ascii="仿宋" w:hAnsi="仿宋" w:eastAsia="仿宋" w:cs="仿宋"/>
                <w:kern w:val="0"/>
                <w:sz w:val="24"/>
                <w:szCs w:val="24"/>
              </w:rPr>
              <w:t>在院管理服务</w:t>
            </w:r>
          </w:p>
        </w:tc>
        <w:tc>
          <w:tcPr>
            <w:tcW w:w="1920" w:type="dxa"/>
            <w:gridSpan w:val="2"/>
            <w:noWrap w:val="0"/>
            <w:vAlign w:val="center"/>
          </w:tcPr>
          <w:p w14:paraId="0D5732B0">
            <w:pPr>
              <w:jc w:val="center"/>
              <w:rPr>
                <w:rFonts w:ascii="仿宋" w:hAnsi="仿宋" w:eastAsia="仿宋" w:cs="仿宋"/>
                <w:kern w:val="0"/>
                <w:sz w:val="24"/>
                <w:szCs w:val="24"/>
              </w:rPr>
            </w:pPr>
            <w:r>
              <w:rPr>
                <w:rFonts w:hint="eastAsia" w:ascii="仿宋" w:hAnsi="仿宋" w:eastAsia="仿宋" w:cs="仿宋"/>
                <w:kern w:val="0"/>
                <w:sz w:val="24"/>
                <w:szCs w:val="24"/>
              </w:rPr>
              <w:t>医生助手（在院DRG分组监测接口）</w:t>
            </w:r>
          </w:p>
        </w:tc>
        <w:tc>
          <w:tcPr>
            <w:tcW w:w="6300" w:type="dxa"/>
            <w:noWrap w:val="0"/>
            <w:vAlign w:val="center"/>
          </w:tcPr>
          <w:p w14:paraId="16BA4353">
            <w:pPr>
              <w:jc w:val="left"/>
              <w:rPr>
                <w:rFonts w:ascii="仿宋" w:hAnsi="仿宋" w:eastAsia="仿宋" w:cs="仿宋"/>
                <w:kern w:val="0"/>
                <w:sz w:val="24"/>
                <w:szCs w:val="24"/>
              </w:rPr>
            </w:pPr>
            <w:r>
              <w:rPr>
                <w:rFonts w:hint="eastAsia" w:ascii="仿宋" w:hAnsi="仿宋" w:eastAsia="仿宋" w:cs="仿宋"/>
                <w:kern w:val="0"/>
                <w:sz w:val="24"/>
                <w:szCs w:val="24"/>
              </w:rPr>
              <w:t>1) 提供全院病例DRG分组预测与预警信息，包括费用异常预警、病历质控预警、不合理入院预警，预警条件支持自定义设置；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提供病例当前实时DRG预测分组信息，以及住院费用进度条，直观了解费用消耗情况；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支持查看患者基本信息、诊断、手术，以及历史住院的DRG分组与诊断/手术信息；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支持在院期间查看各个费用结构及费用标杆值，并能下钻查看各费用项目明细，包括药品、耗材、检查检验等；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支持大数据模拟分组，通过调整主诊断、次诊断、主手术、次手术进行模拟分组，对中医分组支持主病主症模拟分组；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支持病例按多种结算方式进行预测对比，包括床日结算、病组结算、中医结算，并优先展示结算金额最高的结算方式；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支持手动选择任意患者按照床日结算类型进行预测；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 支持输入主诊断后，智能推荐相匹配的常用手术；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 ▲支持按照地区医保结算规则进行适配，包括新技术、特殊药品耗材追加、基础病组同病同价等。</w:t>
            </w:r>
          </w:p>
        </w:tc>
      </w:tr>
      <w:tr w14:paraId="0113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6E65B0F5">
            <w:pPr>
              <w:jc w:val="center"/>
              <w:rPr>
                <w:rFonts w:ascii="仿宋" w:hAnsi="仿宋" w:eastAsia="仿宋" w:cs="仿宋"/>
                <w:kern w:val="0"/>
                <w:sz w:val="24"/>
                <w:szCs w:val="24"/>
              </w:rPr>
            </w:pPr>
          </w:p>
        </w:tc>
        <w:tc>
          <w:tcPr>
            <w:tcW w:w="855" w:type="dxa"/>
            <w:vMerge w:val="restart"/>
            <w:noWrap w:val="0"/>
            <w:vAlign w:val="center"/>
          </w:tcPr>
          <w:p w14:paraId="1D95B8D3">
            <w:pPr>
              <w:jc w:val="center"/>
              <w:rPr>
                <w:rFonts w:ascii="仿宋" w:hAnsi="仿宋" w:eastAsia="仿宋" w:cs="仿宋"/>
                <w:kern w:val="0"/>
                <w:sz w:val="24"/>
                <w:szCs w:val="24"/>
              </w:rPr>
            </w:pPr>
            <w:r>
              <w:rPr>
                <w:rFonts w:hint="eastAsia" w:ascii="仿宋" w:hAnsi="仿宋" w:eastAsia="仿宋" w:cs="仿宋"/>
                <w:kern w:val="0"/>
                <w:sz w:val="24"/>
                <w:szCs w:val="24"/>
              </w:rPr>
              <w:t>事中监测分析</w:t>
            </w:r>
          </w:p>
        </w:tc>
        <w:tc>
          <w:tcPr>
            <w:tcW w:w="1065" w:type="dxa"/>
            <w:noWrap w:val="0"/>
            <w:vAlign w:val="center"/>
          </w:tcPr>
          <w:p w14:paraId="2A7D4595">
            <w:pPr>
              <w:jc w:val="center"/>
              <w:rPr>
                <w:rFonts w:ascii="仿宋" w:hAnsi="仿宋" w:eastAsia="仿宋" w:cs="仿宋"/>
                <w:kern w:val="0"/>
                <w:sz w:val="24"/>
                <w:szCs w:val="24"/>
              </w:rPr>
            </w:pPr>
            <w:r>
              <w:rPr>
                <w:rFonts w:hint="eastAsia" w:ascii="仿宋" w:hAnsi="仿宋" w:eastAsia="仿宋" w:cs="仿宋"/>
                <w:kern w:val="0"/>
                <w:sz w:val="24"/>
                <w:szCs w:val="24"/>
              </w:rPr>
              <w:t>在院监测</w:t>
            </w:r>
          </w:p>
        </w:tc>
        <w:tc>
          <w:tcPr>
            <w:tcW w:w="6300" w:type="dxa"/>
            <w:noWrap w:val="0"/>
            <w:vAlign w:val="center"/>
          </w:tcPr>
          <w:p w14:paraId="795A1405">
            <w:pPr>
              <w:jc w:val="left"/>
              <w:rPr>
                <w:rFonts w:ascii="仿宋" w:hAnsi="仿宋" w:eastAsia="仿宋" w:cs="仿宋"/>
                <w:kern w:val="0"/>
                <w:sz w:val="24"/>
                <w:szCs w:val="24"/>
              </w:rPr>
            </w:pPr>
            <w:r>
              <w:rPr>
                <w:rFonts w:hint="eastAsia" w:ascii="仿宋" w:hAnsi="仿宋" w:eastAsia="仿宋" w:cs="仿宋"/>
                <w:kern w:val="0"/>
                <w:sz w:val="24"/>
                <w:szCs w:val="24"/>
              </w:rPr>
              <w:t>[病例范围：当前在院患者]</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提供全院病例DRG分组预测与预警信息，包括费用异常预警、病历质控预警、不合理入院预警，预警条件支持自定义设置；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提供病例当前实时DRG预测分组信息，以及住院费用进度条，直观了解费用消耗情况；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支持查看患者基本信息、诊断、手术，以及历史住院的DRG分组与诊断/手术信息；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支持在院期间查看各个费用结构及费用标杆值，并能下钻查看各费用项目明细，包括药品、耗材、检查检验等；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支持多种筛选条件查找数据：包括结算方式（床日结算、病组结算）、病例类型（高倍率、低倍率、正常病例等）、医保类型等；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支持筛选特殊病例：包括15天再入院、基础病组、中途出院结算、住院天数超高、24小时出入院、新技术病例等；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支持按姓名、住院号、患者ID、床位号等搜索病例；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 支持从科室、医疗组、病区、医生等维度查看预警病例；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 列表字段支持用户自定义显示与排列，包含表头字段是否显示以及固定列设置，支持列表所有数据下载；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 支持大数据模拟分组，通过调整主诊断、次诊断、主手术、次手术进行模拟分组，对中医分组支持主病主症模拟分组；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11) 支持病例按多种结算方式进行预测对比，包括床日结算、病组结算、中医结算，并优先展示结算金额最高的结算方式；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12) 支持手动选择任意患者按照床日结算类型进行预测；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13) 支持按照地区医保结算规则进行适配，包括新技术、特殊药品耗材追加、基础病组同病同价等。</w:t>
            </w:r>
          </w:p>
        </w:tc>
      </w:tr>
      <w:tr w14:paraId="009F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001C77B8">
            <w:pPr>
              <w:jc w:val="center"/>
              <w:rPr>
                <w:rFonts w:ascii="仿宋" w:hAnsi="仿宋" w:eastAsia="仿宋" w:cs="仿宋"/>
                <w:kern w:val="0"/>
                <w:sz w:val="24"/>
                <w:szCs w:val="24"/>
              </w:rPr>
            </w:pPr>
          </w:p>
        </w:tc>
        <w:tc>
          <w:tcPr>
            <w:tcW w:w="855" w:type="dxa"/>
            <w:vMerge w:val="continue"/>
            <w:noWrap w:val="0"/>
            <w:vAlign w:val="center"/>
          </w:tcPr>
          <w:p w14:paraId="7B856D25">
            <w:pPr>
              <w:jc w:val="center"/>
              <w:rPr>
                <w:rFonts w:ascii="仿宋" w:hAnsi="仿宋" w:eastAsia="仿宋" w:cs="仿宋"/>
                <w:kern w:val="0"/>
                <w:sz w:val="24"/>
                <w:szCs w:val="24"/>
              </w:rPr>
            </w:pPr>
          </w:p>
        </w:tc>
        <w:tc>
          <w:tcPr>
            <w:tcW w:w="1065" w:type="dxa"/>
            <w:noWrap w:val="0"/>
            <w:vAlign w:val="center"/>
          </w:tcPr>
          <w:p w14:paraId="66495122">
            <w:pPr>
              <w:jc w:val="center"/>
              <w:rPr>
                <w:rFonts w:ascii="仿宋" w:hAnsi="仿宋" w:eastAsia="仿宋" w:cs="仿宋"/>
                <w:kern w:val="0"/>
                <w:sz w:val="24"/>
                <w:szCs w:val="24"/>
              </w:rPr>
            </w:pPr>
            <w:r>
              <w:rPr>
                <w:rFonts w:hint="eastAsia" w:ascii="仿宋" w:hAnsi="仿宋" w:eastAsia="仿宋" w:cs="仿宋"/>
                <w:kern w:val="0"/>
                <w:sz w:val="24"/>
                <w:szCs w:val="24"/>
              </w:rPr>
              <w:t>提交前病例监测</w:t>
            </w:r>
          </w:p>
        </w:tc>
        <w:tc>
          <w:tcPr>
            <w:tcW w:w="6300" w:type="dxa"/>
            <w:noWrap w:val="0"/>
            <w:vAlign w:val="center"/>
          </w:tcPr>
          <w:p w14:paraId="643195A9">
            <w:pPr>
              <w:jc w:val="left"/>
              <w:rPr>
                <w:rFonts w:ascii="仿宋" w:hAnsi="仿宋" w:eastAsia="仿宋" w:cs="仿宋"/>
                <w:kern w:val="0"/>
                <w:sz w:val="24"/>
                <w:szCs w:val="24"/>
              </w:rPr>
            </w:pPr>
            <w:r>
              <w:rPr>
                <w:rFonts w:hint="eastAsia" w:ascii="仿宋" w:hAnsi="仿宋" w:eastAsia="仿宋" w:cs="仿宋"/>
                <w:kern w:val="0"/>
                <w:sz w:val="24"/>
                <w:szCs w:val="24"/>
              </w:rPr>
              <w:t>[病例范围：出院但未将病历提交病案室归档的病例]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提供全院病例DRG分组预测与预警信息，包括费用异常预警、病历质控预警、不合理入院预警，预警条件支持自定义设置；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提供病例当前实时DRG预测分组信息，以及住院费用进度条，直观了解费用消耗情况；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支持查看患者基本信息、诊断、手术，以及历史住院的DRG分组与诊断/手术信息；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支持在院期间查看各个费用结构及费用标杆值，并能下钻查看各费用项目明细，包括药品、耗材、检查检验等；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支持多种筛选条件查找数据：包括结算方式（床日结算、病组结算）、病例类型（高倍率、低倍率、正常病例等）、医保类型等；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支持筛选特殊病例：包括15天再入院、基础病组、中途出院结算、住院天数超高、24小时出入院、新技术病例等；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支持按姓名、住院号、患者ID、床位号等搜索病例；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 支持从科室、医疗组、病区、医生等维度查看预警病例；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 列表字段支持用户自定义显示与排列，包含表头字段是否显示以及固定列设置，支持列表所有数据下载；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 支持大数据模拟分组，通过调整主诊断、次诊断、主手术、次手术进行模拟分组，对中医分组支持主病主症模拟分组；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11) 支持病例按多种结算方式进行预测对比，包括床日结算、病组结算、中医结算，并优先展示结算金额最高的结算方式；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12) 支持手动选择任意患者按照床日结算类型进行预测；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13) 支持按照地区医保结算规则进行适配，包括新技术、特殊药品耗材追加、基础病组同病同价等。</w:t>
            </w:r>
          </w:p>
        </w:tc>
      </w:tr>
      <w:tr w14:paraId="6961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44DEF2F5">
            <w:pPr>
              <w:jc w:val="center"/>
              <w:rPr>
                <w:rFonts w:ascii="仿宋" w:hAnsi="仿宋" w:eastAsia="仿宋" w:cs="仿宋"/>
                <w:kern w:val="0"/>
                <w:sz w:val="24"/>
                <w:szCs w:val="24"/>
              </w:rPr>
            </w:pPr>
          </w:p>
        </w:tc>
        <w:tc>
          <w:tcPr>
            <w:tcW w:w="855" w:type="dxa"/>
            <w:vMerge w:val="continue"/>
            <w:noWrap w:val="0"/>
            <w:vAlign w:val="center"/>
          </w:tcPr>
          <w:p w14:paraId="3DEC91D7">
            <w:pPr>
              <w:jc w:val="center"/>
              <w:rPr>
                <w:rFonts w:ascii="仿宋" w:hAnsi="仿宋" w:eastAsia="仿宋" w:cs="仿宋"/>
                <w:kern w:val="0"/>
                <w:sz w:val="24"/>
                <w:szCs w:val="24"/>
              </w:rPr>
            </w:pPr>
          </w:p>
        </w:tc>
        <w:tc>
          <w:tcPr>
            <w:tcW w:w="1065" w:type="dxa"/>
            <w:noWrap w:val="0"/>
            <w:vAlign w:val="center"/>
          </w:tcPr>
          <w:p w14:paraId="1ADB2B55">
            <w:pPr>
              <w:jc w:val="center"/>
              <w:rPr>
                <w:rFonts w:ascii="仿宋" w:hAnsi="仿宋" w:eastAsia="仿宋" w:cs="仿宋"/>
                <w:kern w:val="0"/>
                <w:sz w:val="24"/>
                <w:szCs w:val="24"/>
              </w:rPr>
            </w:pPr>
            <w:r>
              <w:rPr>
                <w:rFonts w:hint="eastAsia" w:ascii="仿宋" w:hAnsi="仿宋" w:eastAsia="仿宋" w:cs="仿宋"/>
                <w:kern w:val="0"/>
                <w:sz w:val="24"/>
                <w:szCs w:val="24"/>
              </w:rPr>
              <w:t>已提交病例分析</w:t>
            </w:r>
          </w:p>
        </w:tc>
        <w:tc>
          <w:tcPr>
            <w:tcW w:w="6300" w:type="dxa"/>
            <w:noWrap w:val="0"/>
            <w:vAlign w:val="center"/>
          </w:tcPr>
          <w:p w14:paraId="28527BD4">
            <w:pPr>
              <w:jc w:val="left"/>
              <w:rPr>
                <w:rFonts w:ascii="仿宋" w:hAnsi="仿宋" w:eastAsia="仿宋" w:cs="仿宋"/>
                <w:kern w:val="0"/>
                <w:sz w:val="24"/>
                <w:szCs w:val="24"/>
              </w:rPr>
            </w:pPr>
            <w:r>
              <w:rPr>
                <w:rFonts w:hint="eastAsia" w:ascii="仿宋" w:hAnsi="仿宋" w:eastAsia="仿宋" w:cs="仿宋"/>
                <w:kern w:val="0"/>
                <w:sz w:val="24"/>
                <w:szCs w:val="24"/>
              </w:rPr>
              <w:t>[病例范围：出院已提交病案归档，但未与医保局结算的病例]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支持对比查看临床与病案编码后病例的诊断、手术、DRG分组数据，并对不一致数据进行颜色标记；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支持多种筛选条件查找数据：包括结算方式（床日结算、病组结算）、病例类型（高倍率、低倍率、正常病例等）、医保类型等；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支持筛选特殊病例：包括15天再入院、基础病组、中途出院结算、住院天数超高、24小时出入院、新技术病例等；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支持按姓名、住院号、患者ID、床位号等搜索病例；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列表字段支持用户自定义显示与排列，包含表头字段是否显示以及固定列设置，支持列表所有数据下载；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支持大数据模拟分组，通过调整主诊断、次诊断、主手术、次手术进行模拟分组，对中医分组支持主病主症模拟分组；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支持病例按多种结算方式进行预测对比，包括床日结算、病组结算、中医结算，并优先展示结算金额最高的结算方式。</w:t>
            </w:r>
          </w:p>
        </w:tc>
      </w:tr>
      <w:tr w14:paraId="2E38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noWrap w:val="0"/>
            <w:vAlign w:val="center"/>
          </w:tcPr>
          <w:p w14:paraId="52EE446A">
            <w:pPr>
              <w:jc w:val="center"/>
              <w:rPr>
                <w:rFonts w:ascii="仿宋" w:hAnsi="仿宋" w:eastAsia="仿宋" w:cs="仿宋"/>
                <w:kern w:val="0"/>
                <w:sz w:val="24"/>
                <w:szCs w:val="24"/>
              </w:rPr>
            </w:pPr>
            <w:r>
              <w:rPr>
                <w:rFonts w:hint="eastAsia" w:ascii="仿宋" w:hAnsi="仿宋" w:eastAsia="仿宋" w:cs="仿宋"/>
                <w:kern w:val="0"/>
                <w:sz w:val="24"/>
                <w:szCs w:val="24"/>
              </w:rPr>
              <w:t>DRG运营分析服务</w:t>
            </w:r>
          </w:p>
        </w:tc>
        <w:tc>
          <w:tcPr>
            <w:tcW w:w="855" w:type="dxa"/>
            <w:vMerge w:val="restart"/>
            <w:noWrap w:val="0"/>
            <w:vAlign w:val="center"/>
          </w:tcPr>
          <w:p w14:paraId="0CDCCCE9">
            <w:pPr>
              <w:jc w:val="center"/>
              <w:rPr>
                <w:rFonts w:ascii="仿宋" w:hAnsi="仿宋" w:eastAsia="仿宋" w:cs="仿宋"/>
                <w:kern w:val="0"/>
                <w:sz w:val="24"/>
                <w:szCs w:val="24"/>
              </w:rPr>
            </w:pPr>
            <w:r>
              <w:rPr>
                <w:rFonts w:hint="eastAsia" w:ascii="仿宋" w:hAnsi="仿宋" w:eastAsia="仿宋" w:cs="仿宋"/>
                <w:kern w:val="0"/>
                <w:sz w:val="24"/>
                <w:szCs w:val="24"/>
              </w:rPr>
              <w:t>DRG驾驶舱</w:t>
            </w:r>
          </w:p>
        </w:tc>
        <w:tc>
          <w:tcPr>
            <w:tcW w:w="1065" w:type="dxa"/>
            <w:noWrap w:val="0"/>
            <w:vAlign w:val="center"/>
          </w:tcPr>
          <w:p w14:paraId="61648A2F">
            <w:pPr>
              <w:jc w:val="center"/>
              <w:rPr>
                <w:rFonts w:ascii="仿宋" w:hAnsi="仿宋" w:eastAsia="仿宋" w:cs="仿宋"/>
                <w:kern w:val="0"/>
                <w:sz w:val="24"/>
                <w:szCs w:val="24"/>
              </w:rPr>
            </w:pPr>
            <w:r>
              <w:rPr>
                <w:rFonts w:hint="eastAsia" w:ascii="仿宋" w:hAnsi="仿宋" w:eastAsia="仿宋" w:cs="仿宋"/>
                <w:kern w:val="0"/>
                <w:sz w:val="24"/>
                <w:szCs w:val="24"/>
              </w:rPr>
              <w:t>医院DRG整体情况</w:t>
            </w:r>
          </w:p>
        </w:tc>
        <w:tc>
          <w:tcPr>
            <w:tcW w:w="6300" w:type="dxa"/>
            <w:noWrap w:val="0"/>
            <w:vAlign w:val="center"/>
          </w:tcPr>
          <w:p w14:paraId="1D6A67C6">
            <w:pPr>
              <w:jc w:val="left"/>
              <w:rPr>
                <w:rFonts w:ascii="仿宋" w:hAnsi="仿宋" w:eastAsia="仿宋" w:cs="仿宋"/>
                <w:kern w:val="0"/>
                <w:sz w:val="24"/>
                <w:szCs w:val="24"/>
              </w:rPr>
            </w:pPr>
            <w:r>
              <w:rPr>
                <w:rFonts w:hint="eastAsia" w:ascii="仿宋" w:hAnsi="仿宋" w:eastAsia="仿宋" w:cs="仿宋"/>
                <w:kern w:val="0"/>
                <w:sz w:val="24"/>
                <w:szCs w:val="24"/>
              </w:rPr>
              <w:t>展示筛选时间段内全院病例数、总结余、CMI、病组数等DRG核心数据，所有统计图均支持放大和下载。</w:t>
            </w:r>
          </w:p>
        </w:tc>
      </w:tr>
      <w:tr w14:paraId="101C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1D705925">
            <w:pPr>
              <w:jc w:val="center"/>
              <w:rPr>
                <w:rFonts w:ascii="仿宋" w:hAnsi="仿宋" w:eastAsia="仿宋" w:cs="仿宋"/>
                <w:kern w:val="0"/>
                <w:sz w:val="24"/>
                <w:szCs w:val="24"/>
              </w:rPr>
            </w:pPr>
          </w:p>
        </w:tc>
        <w:tc>
          <w:tcPr>
            <w:tcW w:w="855" w:type="dxa"/>
            <w:vMerge w:val="continue"/>
            <w:noWrap w:val="0"/>
            <w:vAlign w:val="center"/>
          </w:tcPr>
          <w:p w14:paraId="1F6165E5">
            <w:pPr>
              <w:jc w:val="center"/>
              <w:rPr>
                <w:rFonts w:ascii="仿宋" w:hAnsi="仿宋" w:eastAsia="仿宋" w:cs="仿宋"/>
                <w:kern w:val="0"/>
                <w:sz w:val="24"/>
                <w:szCs w:val="24"/>
              </w:rPr>
            </w:pPr>
          </w:p>
        </w:tc>
        <w:tc>
          <w:tcPr>
            <w:tcW w:w="1065" w:type="dxa"/>
            <w:noWrap w:val="0"/>
            <w:vAlign w:val="center"/>
          </w:tcPr>
          <w:p w14:paraId="309FBDC7">
            <w:pPr>
              <w:jc w:val="center"/>
              <w:rPr>
                <w:rFonts w:ascii="仿宋" w:hAnsi="仿宋" w:eastAsia="仿宋" w:cs="仿宋"/>
                <w:kern w:val="0"/>
                <w:sz w:val="24"/>
                <w:szCs w:val="24"/>
              </w:rPr>
            </w:pPr>
            <w:r>
              <w:rPr>
                <w:rFonts w:hint="eastAsia" w:ascii="仿宋" w:hAnsi="仿宋" w:eastAsia="仿宋" w:cs="仿宋"/>
                <w:kern w:val="0"/>
                <w:sz w:val="24"/>
                <w:szCs w:val="24"/>
              </w:rPr>
              <w:t>全院超支结余分析</w:t>
            </w:r>
          </w:p>
        </w:tc>
        <w:tc>
          <w:tcPr>
            <w:tcW w:w="6300" w:type="dxa"/>
            <w:noWrap w:val="0"/>
            <w:vAlign w:val="center"/>
          </w:tcPr>
          <w:p w14:paraId="507C7D19">
            <w:pPr>
              <w:jc w:val="left"/>
              <w:rPr>
                <w:rFonts w:ascii="仿宋" w:hAnsi="仿宋" w:eastAsia="仿宋" w:cs="仿宋"/>
                <w:kern w:val="0"/>
                <w:sz w:val="24"/>
                <w:szCs w:val="24"/>
              </w:rPr>
            </w:pPr>
            <w:r>
              <w:rPr>
                <w:rFonts w:hint="eastAsia" w:ascii="仿宋" w:hAnsi="仿宋" w:eastAsia="仿宋" w:cs="仿宋"/>
                <w:kern w:val="0"/>
                <w:sz w:val="24"/>
                <w:szCs w:val="24"/>
              </w:rPr>
              <w:t>展示筛选时间段内的超支结余趋势、超支结余科室分布、病例类型分布、高低倍率病例占比趋势，支持下钻。</w:t>
            </w:r>
          </w:p>
        </w:tc>
      </w:tr>
      <w:tr w14:paraId="3AF8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39AAE3F4">
            <w:pPr>
              <w:jc w:val="center"/>
              <w:rPr>
                <w:rFonts w:ascii="仿宋" w:hAnsi="仿宋" w:eastAsia="仿宋" w:cs="仿宋"/>
                <w:kern w:val="0"/>
                <w:sz w:val="24"/>
                <w:szCs w:val="24"/>
              </w:rPr>
            </w:pPr>
          </w:p>
        </w:tc>
        <w:tc>
          <w:tcPr>
            <w:tcW w:w="855" w:type="dxa"/>
            <w:vMerge w:val="continue"/>
            <w:noWrap w:val="0"/>
            <w:vAlign w:val="center"/>
          </w:tcPr>
          <w:p w14:paraId="59C5C0EA">
            <w:pPr>
              <w:jc w:val="center"/>
              <w:rPr>
                <w:rFonts w:ascii="仿宋" w:hAnsi="仿宋" w:eastAsia="仿宋" w:cs="仿宋"/>
                <w:kern w:val="0"/>
                <w:sz w:val="24"/>
                <w:szCs w:val="24"/>
              </w:rPr>
            </w:pPr>
          </w:p>
        </w:tc>
        <w:tc>
          <w:tcPr>
            <w:tcW w:w="1065" w:type="dxa"/>
            <w:noWrap w:val="0"/>
            <w:vAlign w:val="center"/>
          </w:tcPr>
          <w:p w14:paraId="5C47B0A4">
            <w:pPr>
              <w:jc w:val="center"/>
              <w:rPr>
                <w:rFonts w:ascii="仿宋" w:hAnsi="仿宋" w:eastAsia="仿宋" w:cs="仿宋"/>
                <w:kern w:val="0"/>
                <w:sz w:val="24"/>
                <w:szCs w:val="24"/>
              </w:rPr>
            </w:pPr>
            <w:r>
              <w:rPr>
                <w:rFonts w:hint="eastAsia" w:ascii="仿宋" w:hAnsi="仿宋" w:eastAsia="仿宋" w:cs="仿宋"/>
                <w:kern w:val="0"/>
                <w:sz w:val="24"/>
                <w:szCs w:val="24"/>
              </w:rPr>
              <w:t>全院费用构成分析</w:t>
            </w:r>
          </w:p>
        </w:tc>
        <w:tc>
          <w:tcPr>
            <w:tcW w:w="6300" w:type="dxa"/>
            <w:noWrap w:val="0"/>
            <w:vAlign w:val="center"/>
          </w:tcPr>
          <w:p w14:paraId="787788DD">
            <w:pPr>
              <w:jc w:val="left"/>
              <w:rPr>
                <w:rFonts w:ascii="仿宋" w:hAnsi="仿宋" w:eastAsia="仿宋" w:cs="仿宋"/>
                <w:kern w:val="0"/>
                <w:sz w:val="24"/>
                <w:szCs w:val="24"/>
              </w:rPr>
            </w:pPr>
            <w:r>
              <w:rPr>
                <w:rFonts w:hint="eastAsia" w:ascii="仿宋" w:hAnsi="仿宋" w:eastAsia="仿宋" w:cs="仿宋"/>
                <w:kern w:val="0"/>
                <w:sz w:val="24"/>
                <w:szCs w:val="24"/>
              </w:rPr>
              <w:t>展示筛选时间段内各费用类型的金额及占比、药占比、耗占比、检查检验占比、医疗服务占比趋势，支持按病例类型选择统计范围。</w:t>
            </w:r>
          </w:p>
        </w:tc>
      </w:tr>
      <w:tr w14:paraId="00F5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4F18B23C">
            <w:pPr>
              <w:jc w:val="center"/>
              <w:rPr>
                <w:rFonts w:ascii="仿宋" w:hAnsi="仿宋" w:eastAsia="仿宋" w:cs="仿宋"/>
                <w:kern w:val="0"/>
                <w:sz w:val="24"/>
                <w:szCs w:val="24"/>
              </w:rPr>
            </w:pPr>
          </w:p>
        </w:tc>
        <w:tc>
          <w:tcPr>
            <w:tcW w:w="855" w:type="dxa"/>
            <w:vMerge w:val="continue"/>
            <w:noWrap w:val="0"/>
            <w:vAlign w:val="center"/>
          </w:tcPr>
          <w:p w14:paraId="7AFE7D62">
            <w:pPr>
              <w:jc w:val="center"/>
              <w:rPr>
                <w:rFonts w:ascii="仿宋" w:hAnsi="仿宋" w:eastAsia="仿宋" w:cs="仿宋"/>
                <w:kern w:val="0"/>
                <w:sz w:val="24"/>
                <w:szCs w:val="24"/>
              </w:rPr>
            </w:pPr>
          </w:p>
        </w:tc>
        <w:tc>
          <w:tcPr>
            <w:tcW w:w="1065" w:type="dxa"/>
            <w:noWrap w:val="0"/>
            <w:vAlign w:val="center"/>
          </w:tcPr>
          <w:p w14:paraId="2D944ACB">
            <w:pPr>
              <w:jc w:val="center"/>
              <w:rPr>
                <w:rFonts w:ascii="仿宋" w:hAnsi="仿宋" w:eastAsia="仿宋" w:cs="仿宋"/>
                <w:kern w:val="0"/>
                <w:sz w:val="24"/>
                <w:szCs w:val="24"/>
              </w:rPr>
            </w:pPr>
            <w:r>
              <w:rPr>
                <w:rFonts w:hint="eastAsia" w:ascii="仿宋" w:hAnsi="仿宋" w:eastAsia="仿宋" w:cs="仿宋"/>
                <w:kern w:val="0"/>
                <w:sz w:val="24"/>
                <w:szCs w:val="24"/>
              </w:rPr>
              <w:t>全院资源使用效率分析</w:t>
            </w:r>
          </w:p>
        </w:tc>
        <w:tc>
          <w:tcPr>
            <w:tcW w:w="6300" w:type="dxa"/>
            <w:noWrap w:val="0"/>
            <w:vAlign w:val="center"/>
          </w:tcPr>
          <w:p w14:paraId="31DE7BFB">
            <w:pPr>
              <w:jc w:val="left"/>
              <w:rPr>
                <w:rFonts w:ascii="仿宋" w:hAnsi="仿宋" w:eastAsia="仿宋" w:cs="仿宋"/>
                <w:kern w:val="0"/>
                <w:sz w:val="24"/>
                <w:szCs w:val="24"/>
              </w:rPr>
            </w:pPr>
            <w:r>
              <w:rPr>
                <w:rFonts w:hint="eastAsia" w:ascii="仿宋" w:hAnsi="仿宋" w:eastAsia="仿宋" w:cs="仿宋"/>
                <w:kern w:val="0"/>
                <w:sz w:val="24"/>
                <w:szCs w:val="24"/>
              </w:rPr>
              <w:t>展示筛选时间段内次均费用、次均点数与平均住院日趋势，支持与去年同期比较。</w:t>
            </w:r>
          </w:p>
        </w:tc>
      </w:tr>
      <w:tr w14:paraId="1D6A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5E055762">
            <w:pPr>
              <w:jc w:val="center"/>
              <w:rPr>
                <w:rFonts w:ascii="仿宋" w:hAnsi="仿宋" w:eastAsia="仿宋" w:cs="仿宋"/>
                <w:kern w:val="0"/>
                <w:sz w:val="24"/>
                <w:szCs w:val="24"/>
              </w:rPr>
            </w:pPr>
          </w:p>
        </w:tc>
        <w:tc>
          <w:tcPr>
            <w:tcW w:w="855" w:type="dxa"/>
            <w:vMerge w:val="continue"/>
            <w:noWrap w:val="0"/>
            <w:vAlign w:val="center"/>
          </w:tcPr>
          <w:p w14:paraId="720A2548">
            <w:pPr>
              <w:jc w:val="center"/>
              <w:rPr>
                <w:rFonts w:ascii="仿宋" w:hAnsi="仿宋" w:eastAsia="仿宋" w:cs="仿宋"/>
                <w:kern w:val="0"/>
                <w:sz w:val="24"/>
                <w:szCs w:val="24"/>
              </w:rPr>
            </w:pPr>
          </w:p>
        </w:tc>
        <w:tc>
          <w:tcPr>
            <w:tcW w:w="1065" w:type="dxa"/>
            <w:noWrap w:val="0"/>
            <w:vAlign w:val="center"/>
          </w:tcPr>
          <w:p w14:paraId="5DF454F8">
            <w:pPr>
              <w:jc w:val="center"/>
              <w:rPr>
                <w:rFonts w:ascii="仿宋" w:hAnsi="仿宋" w:eastAsia="仿宋" w:cs="仿宋"/>
                <w:kern w:val="0"/>
                <w:sz w:val="24"/>
                <w:szCs w:val="24"/>
              </w:rPr>
            </w:pPr>
            <w:r>
              <w:rPr>
                <w:rFonts w:hint="eastAsia" w:ascii="仿宋" w:hAnsi="仿宋" w:eastAsia="仿宋" w:cs="仿宋"/>
                <w:kern w:val="0"/>
                <w:sz w:val="24"/>
                <w:szCs w:val="24"/>
              </w:rPr>
              <w:t>全院病组构成分析</w:t>
            </w:r>
          </w:p>
        </w:tc>
        <w:tc>
          <w:tcPr>
            <w:tcW w:w="6300" w:type="dxa"/>
            <w:noWrap w:val="0"/>
            <w:vAlign w:val="center"/>
          </w:tcPr>
          <w:p w14:paraId="7044DF8E">
            <w:pPr>
              <w:jc w:val="left"/>
              <w:rPr>
                <w:rFonts w:ascii="仿宋" w:hAnsi="仿宋" w:eastAsia="仿宋" w:cs="仿宋"/>
                <w:kern w:val="0"/>
                <w:sz w:val="24"/>
                <w:szCs w:val="24"/>
              </w:rPr>
            </w:pPr>
            <w:r>
              <w:rPr>
                <w:rFonts w:hint="eastAsia" w:ascii="仿宋" w:hAnsi="仿宋" w:eastAsia="仿宋" w:cs="仿宋"/>
                <w:kern w:val="0"/>
                <w:sz w:val="24"/>
                <w:szCs w:val="24"/>
              </w:rPr>
              <w:t>▲展示筛选时间段内CMI趋势，各RW区间病组分布情况，RW区间支持自定义调整和下钻。</w:t>
            </w:r>
          </w:p>
        </w:tc>
      </w:tr>
      <w:tr w14:paraId="1090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2D75CFF2">
            <w:pPr>
              <w:jc w:val="center"/>
              <w:rPr>
                <w:rFonts w:ascii="仿宋" w:hAnsi="仿宋" w:eastAsia="仿宋" w:cs="仿宋"/>
                <w:kern w:val="0"/>
                <w:sz w:val="24"/>
                <w:szCs w:val="24"/>
              </w:rPr>
            </w:pPr>
          </w:p>
        </w:tc>
        <w:tc>
          <w:tcPr>
            <w:tcW w:w="855" w:type="dxa"/>
            <w:vMerge w:val="restart"/>
            <w:noWrap w:val="0"/>
            <w:vAlign w:val="center"/>
          </w:tcPr>
          <w:p w14:paraId="6CCEC7E6">
            <w:pPr>
              <w:jc w:val="center"/>
              <w:rPr>
                <w:rFonts w:ascii="仿宋" w:hAnsi="仿宋" w:eastAsia="仿宋" w:cs="仿宋"/>
                <w:kern w:val="0"/>
                <w:sz w:val="24"/>
                <w:szCs w:val="24"/>
              </w:rPr>
            </w:pPr>
            <w:r>
              <w:rPr>
                <w:rFonts w:hint="eastAsia" w:ascii="仿宋" w:hAnsi="仿宋" w:eastAsia="仿宋" w:cs="仿宋"/>
                <w:kern w:val="0"/>
                <w:sz w:val="24"/>
                <w:szCs w:val="24"/>
              </w:rPr>
              <w:t>科室综合分析</w:t>
            </w:r>
          </w:p>
        </w:tc>
        <w:tc>
          <w:tcPr>
            <w:tcW w:w="1065" w:type="dxa"/>
            <w:noWrap w:val="0"/>
            <w:vAlign w:val="center"/>
          </w:tcPr>
          <w:p w14:paraId="1CA69684">
            <w:pPr>
              <w:jc w:val="center"/>
              <w:rPr>
                <w:rFonts w:ascii="仿宋" w:hAnsi="仿宋" w:eastAsia="仿宋" w:cs="仿宋"/>
                <w:kern w:val="0"/>
                <w:sz w:val="24"/>
                <w:szCs w:val="24"/>
              </w:rPr>
            </w:pPr>
            <w:bookmarkStart w:id="54" w:name="RANGE!C12"/>
            <w:r>
              <w:rPr>
                <w:rFonts w:hint="eastAsia" w:ascii="仿宋" w:hAnsi="仿宋" w:eastAsia="仿宋" w:cs="仿宋"/>
                <w:kern w:val="0"/>
                <w:sz w:val="24"/>
                <w:szCs w:val="24"/>
              </w:rPr>
              <w:t>科室对比分析</w:t>
            </w:r>
            <w:bookmarkEnd w:id="54"/>
          </w:p>
        </w:tc>
        <w:tc>
          <w:tcPr>
            <w:tcW w:w="6300" w:type="dxa"/>
            <w:noWrap w:val="0"/>
            <w:vAlign w:val="center"/>
          </w:tcPr>
          <w:p w14:paraId="09FEC6B0">
            <w:pPr>
              <w:jc w:val="left"/>
              <w:rPr>
                <w:rFonts w:ascii="仿宋" w:hAnsi="仿宋" w:eastAsia="仿宋" w:cs="仿宋"/>
                <w:kern w:val="0"/>
                <w:sz w:val="24"/>
                <w:szCs w:val="24"/>
              </w:rPr>
            </w:pPr>
            <w:r>
              <w:rPr>
                <w:rFonts w:hint="eastAsia" w:ascii="仿宋" w:hAnsi="仿宋" w:eastAsia="仿宋" w:cs="仿宋"/>
                <w:kern w:val="0"/>
                <w:sz w:val="24"/>
                <w:szCs w:val="24"/>
              </w:rPr>
              <w:t>1) 展示科室病例数、结余、病组数、CMI、入组率、药耗占比等相关指标数据对比，支持数据下钻；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提供按主题进行分析，包括运行指标监控、超支结余、费用构成、出院带药、不合理入院五大主题；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支持年/季/月筛选和自定义时间区间、病例范围、超支/结余科室筛选；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支持根据不同用户设置重点关注科室，并能够快速筛选和查看重点科室数据；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▲支持运行目标与标杆数据对比，其中标杆数据根据历史数据自动生成，支持自定义修改标杆值，支持快速筛选超标科室；</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支持二级科室管理，可以按照出院科室、管理科室分布查看和统计数据；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列表字段支持用户自定义显示与排列，包含表头字段是否显示以及固定列设置，支持查看指标同比，列表数据下载。</w:t>
            </w:r>
          </w:p>
        </w:tc>
      </w:tr>
      <w:tr w14:paraId="12F9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448A61F7">
            <w:pPr>
              <w:jc w:val="center"/>
              <w:rPr>
                <w:rFonts w:ascii="仿宋" w:hAnsi="仿宋" w:eastAsia="仿宋" w:cs="仿宋"/>
                <w:kern w:val="0"/>
                <w:sz w:val="24"/>
                <w:szCs w:val="24"/>
              </w:rPr>
            </w:pPr>
          </w:p>
        </w:tc>
        <w:tc>
          <w:tcPr>
            <w:tcW w:w="855" w:type="dxa"/>
            <w:vMerge w:val="continue"/>
            <w:noWrap w:val="0"/>
            <w:vAlign w:val="center"/>
          </w:tcPr>
          <w:p w14:paraId="2885A413">
            <w:pPr>
              <w:jc w:val="center"/>
              <w:rPr>
                <w:rFonts w:ascii="仿宋" w:hAnsi="仿宋" w:eastAsia="仿宋" w:cs="仿宋"/>
                <w:kern w:val="0"/>
                <w:sz w:val="24"/>
                <w:szCs w:val="24"/>
              </w:rPr>
            </w:pPr>
          </w:p>
        </w:tc>
        <w:tc>
          <w:tcPr>
            <w:tcW w:w="1065" w:type="dxa"/>
            <w:noWrap w:val="0"/>
            <w:vAlign w:val="center"/>
          </w:tcPr>
          <w:p w14:paraId="0AD02A50">
            <w:pPr>
              <w:jc w:val="center"/>
              <w:rPr>
                <w:rFonts w:ascii="仿宋" w:hAnsi="仿宋" w:eastAsia="仿宋" w:cs="仿宋"/>
                <w:kern w:val="0"/>
                <w:sz w:val="24"/>
                <w:szCs w:val="24"/>
              </w:rPr>
            </w:pPr>
            <w:r>
              <w:rPr>
                <w:rFonts w:hint="eastAsia" w:ascii="仿宋" w:hAnsi="仿宋" w:eastAsia="仿宋" w:cs="仿宋"/>
                <w:kern w:val="0"/>
                <w:sz w:val="24"/>
                <w:szCs w:val="24"/>
              </w:rPr>
              <w:t>科室主页（科室下钻分析）</w:t>
            </w:r>
          </w:p>
        </w:tc>
        <w:tc>
          <w:tcPr>
            <w:tcW w:w="6300" w:type="dxa"/>
            <w:noWrap w:val="0"/>
            <w:vAlign w:val="center"/>
          </w:tcPr>
          <w:p w14:paraId="50516F84">
            <w:pPr>
              <w:jc w:val="left"/>
              <w:rPr>
                <w:rFonts w:ascii="仿宋" w:hAnsi="仿宋" w:eastAsia="仿宋" w:cs="仿宋"/>
                <w:kern w:val="0"/>
                <w:sz w:val="24"/>
                <w:szCs w:val="24"/>
              </w:rPr>
            </w:pPr>
            <w:r>
              <w:rPr>
                <w:rFonts w:hint="eastAsia" w:ascii="仿宋" w:hAnsi="仿宋" w:eastAsia="仿宋" w:cs="仿宋"/>
                <w:kern w:val="0"/>
                <w:sz w:val="24"/>
                <w:szCs w:val="24"/>
              </w:rPr>
              <w:t>[单科室下DRG运营数据统计分析]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总览：支持科室多选，展示科室所选时间段内DRG核心数据概览，包含病例数、CMI、结余、药耗占比、人头人次比、N天再入院、病组构成、平均住院日等；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超支结余分析：展示科室超支结余/次均结余趋势、超支结余病组分布及趋势、超支结余病例分布及趋势、病例类型分布、高低倍率病例占比趋势；支持下钻；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费用构成分析：展示科室在各个费用类型的金额及占比，药耗占比趋势，支持按病例类型选择统计范围；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病组构成分析：通过矩阵象限，分析科室优势病组、劣势病组；支持数据对比与下钻，对不同象限的病组提供分析结论；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资源使用效率分析：展示科室平均住院日趋势、次均费用趋势、时间消耗指数、费用消耗指数，支持与去年次均费用对比；</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病历质量分析：展示科室编码前后分组不一致病例数趋势、点数差趋势、结余差趋势；</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病组列表：同科室下不同病组DRG运营数据对比，支持下载；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 医疗组列表：同科室下不同医疗组DRG运营数据对比，支持下载；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 医生列表：同科室下不同医生DRG运营数据对比，支持下载；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 病例列表：展示科室所选时间段内所有病例数据，支持按医疗组、病组、医生筛选、查看病例详情、模拟分组，支持表格数据下载。</w:t>
            </w:r>
          </w:p>
        </w:tc>
      </w:tr>
      <w:tr w14:paraId="32AA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45614CA8">
            <w:pPr>
              <w:jc w:val="center"/>
              <w:rPr>
                <w:rFonts w:ascii="仿宋" w:hAnsi="仿宋" w:eastAsia="仿宋" w:cs="仿宋"/>
                <w:kern w:val="0"/>
                <w:sz w:val="24"/>
                <w:szCs w:val="24"/>
              </w:rPr>
            </w:pPr>
          </w:p>
        </w:tc>
        <w:tc>
          <w:tcPr>
            <w:tcW w:w="855" w:type="dxa"/>
            <w:vMerge w:val="restart"/>
            <w:noWrap w:val="0"/>
            <w:vAlign w:val="center"/>
          </w:tcPr>
          <w:p w14:paraId="1AB5656F">
            <w:pPr>
              <w:jc w:val="center"/>
              <w:rPr>
                <w:rFonts w:ascii="仿宋" w:hAnsi="仿宋" w:eastAsia="仿宋" w:cs="仿宋"/>
                <w:kern w:val="0"/>
                <w:sz w:val="24"/>
                <w:szCs w:val="24"/>
              </w:rPr>
            </w:pPr>
            <w:r>
              <w:rPr>
                <w:rFonts w:hint="eastAsia" w:ascii="仿宋" w:hAnsi="仿宋" w:eastAsia="仿宋" w:cs="仿宋"/>
                <w:kern w:val="0"/>
                <w:sz w:val="24"/>
                <w:szCs w:val="24"/>
              </w:rPr>
              <w:t>病组综合分析</w:t>
            </w:r>
          </w:p>
        </w:tc>
        <w:tc>
          <w:tcPr>
            <w:tcW w:w="1065" w:type="dxa"/>
            <w:noWrap w:val="0"/>
            <w:vAlign w:val="center"/>
          </w:tcPr>
          <w:p w14:paraId="313AA167">
            <w:pPr>
              <w:jc w:val="center"/>
              <w:rPr>
                <w:rFonts w:ascii="仿宋" w:hAnsi="仿宋" w:eastAsia="仿宋" w:cs="仿宋"/>
                <w:kern w:val="0"/>
                <w:sz w:val="24"/>
                <w:szCs w:val="24"/>
              </w:rPr>
            </w:pPr>
            <w:r>
              <w:rPr>
                <w:rFonts w:hint="eastAsia" w:ascii="仿宋" w:hAnsi="仿宋" w:eastAsia="仿宋" w:cs="仿宋"/>
                <w:kern w:val="0"/>
                <w:sz w:val="24"/>
                <w:szCs w:val="24"/>
              </w:rPr>
              <w:t>病组对比分析</w:t>
            </w:r>
          </w:p>
        </w:tc>
        <w:tc>
          <w:tcPr>
            <w:tcW w:w="6300" w:type="dxa"/>
            <w:noWrap w:val="0"/>
            <w:vAlign w:val="center"/>
          </w:tcPr>
          <w:p w14:paraId="054FB057">
            <w:pPr>
              <w:jc w:val="left"/>
              <w:rPr>
                <w:rFonts w:ascii="仿宋" w:hAnsi="仿宋" w:eastAsia="仿宋" w:cs="仿宋"/>
                <w:kern w:val="0"/>
                <w:sz w:val="24"/>
                <w:szCs w:val="24"/>
              </w:rPr>
            </w:pPr>
            <w:r>
              <w:rPr>
                <w:rFonts w:hint="eastAsia" w:ascii="仿宋" w:hAnsi="仿宋" w:eastAsia="仿宋" w:cs="仿宋"/>
                <w:kern w:val="0"/>
                <w:sz w:val="24"/>
                <w:szCs w:val="24"/>
              </w:rPr>
              <w:t>1) 展示各DRG病组病例数、结余、RW、药耗占比、时间消耗指数、费用消耗指数等相关指标数据对比，支持下钻；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支持按主题进行分析，包括运行指标监控、超支结余、费用构成、RW区间分布，其中RW区间支持自定义设置；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支持年/季/月筛选和自定义时间区间、病例范围、超支/结余科室筛选；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支持运行目标与标杆数据对比，其中标杆数据根据历史数据自动生成，支持自定义修改标杆值，支持快速筛选超标病组；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列表字段支持用户自定义显示与排列，包含表头字段是否显示以及固定列设置，支持查看指标同比，列表数据下载；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支持根据不同用户设置重点关注病组，并能够快速筛选和查看重点病组数据。</w:t>
            </w:r>
          </w:p>
        </w:tc>
      </w:tr>
      <w:tr w14:paraId="3912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19379011">
            <w:pPr>
              <w:jc w:val="center"/>
              <w:rPr>
                <w:rFonts w:ascii="仿宋" w:hAnsi="仿宋" w:eastAsia="仿宋" w:cs="仿宋"/>
                <w:kern w:val="0"/>
                <w:sz w:val="24"/>
                <w:szCs w:val="24"/>
              </w:rPr>
            </w:pPr>
          </w:p>
        </w:tc>
        <w:tc>
          <w:tcPr>
            <w:tcW w:w="855" w:type="dxa"/>
            <w:vMerge w:val="continue"/>
            <w:noWrap w:val="0"/>
            <w:vAlign w:val="center"/>
          </w:tcPr>
          <w:p w14:paraId="64DCAA80">
            <w:pPr>
              <w:jc w:val="center"/>
              <w:rPr>
                <w:rFonts w:ascii="仿宋" w:hAnsi="仿宋" w:eastAsia="仿宋" w:cs="仿宋"/>
                <w:kern w:val="0"/>
                <w:sz w:val="24"/>
                <w:szCs w:val="24"/>
              </w:rPr>
            </w:pPr>
          </w:p>
        </w:tc>
        <w:tc>
          <w:tcPr>
            <w:tcW w:w="1065" w:type="dxa"/>
            <w:noWrap w:val="0"/>
            <w:vAlign w:val="center"/>
          </w:tcPr>
          <w:p w14:paraId="2116C8D1">
            <w:pPr>
              <w:jc w:val="center"/>
              <w:rPr>
                <w:rFonts w:ascii="仿宋" w:hAnsi="仿宋" w:eastAsia="仿宋" w:cs="仿宋"/>
                <w:kern w:val="0"/>
                <w:sz w:val="24"/>
                <w:szCs w:val="24"/>
              </w:rPr>
            </w:pPr>
            <w:r>
              <w:rPr>
                <w:rFonts w:hint="eastAsia" w:ascii="仿宋" w:hAnsi="仿宋" w:eastAsia="仿宋" w:cs="仿宋"/>
                <w:kern w:val="0"/>
                <w:sz w:val="24"/>
                <w:szCs w:val="24"/>
              </w:rPr>
              <w:t>病组主页（病组下钻分析）</w:t>
            </w:r>
          </w:p>
        </w:tc>
        <w:tc>
          <w:tcPr>
            <w:tcW w:w="6300" w:type="dxa"/>
            <w:noWrap w:val="0"/>
            <w:vAlign w:val="center"/>
          </w:tcPr>
          <w:p w14:paraId="3731A3ED">
            <w:pPr>
              <w:jc w:val="left"/>
              <w:rPr>
                <w:rFonts w:ascii="仿宋" w:hAnsi="仿宋" w:eastAsia="仿宋" w:cs="仿宋"/>
                <w:kern w:val="0"/>
                <w:sz w:val="24"/>
                <w:szCs w:val="24"/>
              </w:rPr>
            </w:pPr>
            <w:r>
              <w:rPr>
                <w:rFonts w:hint="eastAsia" w:ascii="仿宋" w:hAnsi="仿宋" w:eastAsia="仿宋" w:cs="仿宋"/>
                <w:kern w:val="0"/>
                <w:sz w:val="24"/>
                <w:szCs w:val="24"/>
              </w:rPr>
              <w:t>[单病组下DRG运营数据统计分析]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总览：支持病组多选，展示病组在所选时间段内DRG核心数据概览，包含总病例数、RW、结余、药耗占比、病组构成、平均住院日等；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超支结余分析：展示病组超支结余/次均结余趋势、超支结余病例分布及趋势、病例类型分布、高低倍率病例占比趋势；支持下钻；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费用构成分析：展示病组各个费用类型的金额、占比及超支影响率，药耗占比趋势，支持按病例类型选择统计范围；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资源使用效率分析：展示病组平均住院日趋势、次均费用趋势、时间消耗指数、费用消耗指数；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科室列表：同病组下不同科室DRG运营数据对比，支持下载；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医疗组列表：同病组下不同医疗组DRG运营数据对比，支持下载；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病例列表：所选病组所选时间段内所有病例数据，支持筛选、查看病例详情、模拟分组、下载。</w:t>
            </w:r>
          </w:p>
        </w:tc>
      </w:tr>
      <w:tr w14:paraId="0C4E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6B439CB4">
            <w:pPr>
              <w:jc w:val="center"/>
              <w:rPr>
                <w:rFonts w:ascii="仿宋" w:hAnsi="仿宋" w:eastAsia="仿宋" w:cs="仿宋"/>
                <w:kern w:val="0"/>
                <w:sz w:val="24"/>
                <w:szCs w:val="24"/>
              </w:rPr>
            </w:pPr>
          </w:p>
        </w:tc>
        <w:tc>
          <w:tcPr>
            <w:tcW w:w="855" w:type="dxa"/>
            <w:vMerge w:val="restart"/>
            <w:noWrap w:val="0"/>
            <w:vAlign w:val="center"/>
          </w:tcPr>
          <w:p w14:paraId="569B55DF">
            <w:pPr>
              <w:jc w:val="center"/>
              <w:rPr>
                <w:rFonts w:ascii="仿宋" w:hAnsi="仿宋" w:eastAsia="仿宋" w:cs="仿宋"/>
                <w:kern w:val="0"/>
                <w:sz w:val="24"/>
                <w:szCs w:val="24"/>
              </w:rPr>
            </w:pPr>
            <w:r>
              <w:rPr>
                <w:rFonts w:hint="eastAsia" w:ascii="仿宋" w:hAnsi="仿宋" w:eastAsia="仿宋" w:cs="仿宋"/>
                <w:kern w:val="0"/>
                <w:sz w:val="24"/>
                <w:szCs w:val="24"/>
              </w:rPr>
              <w:t>医疗组综合分析</w:t>
            </w:r>
          </w:p>
        </w:tc>
        <w:tc>
          <w:tcPr>
            <w:tcW w:w="1065" w:type="dxa"/>
            <w:noWrap w:val="0"/>
            <w:vAlign w:val="center"/>
          </w:tcPr>
          <w:p w14:paraId="31C64F5E">
            <w:pPr>
              <w:jc w:val="center"/>
              <w:rPr>
                <w:rFonts w:ascii="仿宋" w:hAnsi="仿宋" w:eastAsia="仿宋" w:cs="仿宋"/>
                <w:kern w:val="0"/>
                <w:sz w:val="24"/>
                <w:szCs w:val="24"/>
              </w:rPr>
            </w:pPr>
            <w:r>
              <w:rPr>
                <w:rFonts w:hint="eastAsia" w:ascii="仿宋" w:hAnsi="仿宋" w:eastAsia="仿宋" w:cs="仿宋"/>
                <w:kern w:val="0"/>
                <w:sz w:val="24"/>
                <w:szCs w:val="24"/>
              </w:rPr>
              <w:t>医疗组对比分析</w:t>
            </w:r>
          </w:p>
        </w:tc>
        <w:tc>
          <w:tcPr>
            <w:tcW w:w="6300" w:type="dxa"/>
            <w:noWrap w:val="0"/>
            <w:vAlign w:val="center"/>
          </w:tcPr>
          <w:p w14:paraId="542E0CB4">
            <w:pPr>
              <w:jc w:val="left"/>
              <w:rPr>
                <w:rFonts w:ascii="仿宋" w:hAnsi="仿宋" w:eastAsia="仿宋" w:cs="仿宋"/>
                <w:kern w:val="0"/>
                <w:sz w:val="24"/>
                <w:szCs w:val="24"/>
              </w:rPr>
            </w:pPr>
            <w:r>
              <w:rPr>
                <w:rFonts w:hint="eastAsia" w:ascii="仿宋" w:hAnsi="仿宋" w:eastAsia="仿宋" w:cs="仿宋"/>
                <w:kern w:val="0"/>
                <w:sz w:val="24"/>
                <w:szCs w:val="24"/>
              </w:rPr>
              <w:t>1) 展示医疗组病例数、结余、病组数、CMI、入组率、药耗占比等DRG相关指标数据对比，支持数据下钻；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支持快捷筛选，包括超支医疗组、结余医疗组、环比结余增加、减少等，支持年/季/月筛选和自定义时间区间、病例范围筛选；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支持根据不同用户设置重点关注科室，并能够快速筛选和查看重点科室数据；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列表字段支持用户自定义显示与排列，包含表头字段是否显示以及固定列设置，支持查看指标同比，列表数据下载。</w:t>
            </w:r>
          </w:p>
        </w:tc>
      </w:tr>
      <w:tr w14:paraId="212A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0F31A32B">
            <w:pPr>
              <w:jc w:val="center"/>
              <w:rPr>
                <w:rFonts w:ascii="仿宋" w:hAnsi="仿宋" w:eastAsia="仿宋" w:cs="仿宋"/>
                <w:kern w:val="0"/>
                <w:sz w:val="24"/>
                <w:szCs w:val="24"/>
              </w:rPr>
            </w:pPr>
          </w:p>
        </w:tc>
        <w:tc>
          <w:tcPr>
            <w:tcW w:w="855" w:type="dxa"/>
            <w:vMerge w:val="continue"/>
            <w:noWrap w:val="0"/>
            <w:vAlign w:val="center"/>
          </w:tcPr>
          <w:p w14:paraId="50F842A1">
            <w:pPr>
              <w:jc w:val="center"/>
              <w:rPr>
                <w:rFonts w:ascii="仿宋" w:hAnsi="仿宋" w:eastAsia="仿宋" w:cs="仿宋"/>
                <w:kern w:val="0"/>
                <w:sz w:val="24"/>
                <w:szCs w:val="24"/>
              </w:rPr>
            </w:pPr>
          </w:p>
        </w:tc>
        <w:tc>
          <w:tcPr>
            <w:tcW w:w="1065" w:type="dxa"/>
            <w:noWrap w:val="0"/>
            <w:vAlign w:val="center"/>
          </w:tcPr>
          <w:p w14:paraId="20B68DD5">
            <w:pPr>
              <w:jc w:val="center"/>
              <w:rPr>
                <w:rFonts w:ascii="仿宋" w:hAnsi="仿宋" w:eastAsia="仿宋" w:cs="仿宋"/>
                <w:kern w:val="0"/>
                <w:sz w:val="24"/>
                <w:szCs w:val="24"/>
              </w:rPr>
            </w:pPr>
            <w:r>
              <w:rPr>
                <w:rFonts w:hint="eastAsia" w:ascii="仿宋" w:hAnsi="仿宋" w:eastAsia="仿宋" w:cs="仿宋"/>
                <w:kern w:val="0"/>
                <w:sz w:val="24"/>
                <w:szCs w:val="24"/>
              </w:rPr>
              <w:t>医疗组主页（医疗组下钻分析）</w:t>
            </w:r>
          </w:p>
        </w:tc>
        <w:tc>
          <w:tcPr>
            <w:tcW w:w="6300" w:type="dxa"/>
            <w:noWrap w:val="0"/>
            <w:vAlign w:val="center"/>
          </w:tcPr>
          <w:p w14:paraId="38DEA699">
            <w:pPr>
              <w:jc w:val="left"/>
              <w:rPr>
                <w:rFonts w:ascii="仿宋" w:hAnsi="仿宋" w:eastAsia="仿宋" w:cs="仿宋"/>
                <w:kern w:val="0"/>
                <w:sz w:val="24"/>
                <w:szCs w:val="24"/>
              </w:rPr>
            </w:pPr>
            <w:r>
              <w:rPr>
                <w:rFonts w:hint="eastAsia" w:ascii="仿宋" w:hAnsi="仿宋" w:eastAsia="仿宋" w:cs="仿宋"/>
                <w:kern w:val="0"/>
                <w:sz w:val="24"/>
                <w:szCs w:val="24"/>
              </w:rPr>
              <w:t>[单医疗组下DRG运营数据统计分析]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总览：支持医疗组多选，展示医疗组在所选时间段内DRG核心数据概览，包含病例数、CMI、总权重、结余、药耗占比、病组构成、平均住院日等；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超支结余分析：展示医疗组超支结余/次均结余趋势、超支结余病组分布及趋势、超支结余病例分布及趋势、病例类型分布、高低倍率病例占比趋势；支持下钻；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费用构成分析：展示医疗组各个费用类型的金额及占比，药耗占比趋势，支持按病例类型选择统计范围；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病组构成分析：通过矩阵象限，分析所选医疗组优势病组、劣势病组；支持数据对比与下钻，对不同象限的病组提供分析结论；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资源使用效率分析：展示医疗组平均住院日趋势、次均费用趋势、时间消耗指数、费用消耗指数；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病组列表：同医疗组下不同病组DRG运营数据对比，支持下载；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医生列表：同医疗组下不同医生DRG运营数据对比，支持下载；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 病例列表：所选医疗组所选时间段内所有病例数据，支持筛选、查看病例详情、模拟分组、下载。</w:t>
            </w:r>
          </w:p>
        </w:tc>
      </w:tr>
      <w:tr w14:paraId="09A2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6190EAF2">
            <w:pPr>
              <w:jc w:val="center"/>
              <w:rPr>
                <w:rFonts w:ascii="仿宋" w:hAnsi="仿宋" w:eastAsia="仿宋" w:cs="仿宋"/>
                <w:kern w:val="0"/>
                <w:sz w:val="24"/>
                <w:szCs w:val="24"/>
              </w:rPr>
            </w:pPr>
          </w:p>
        </w:tc>
        <w:tc>
          <w:tcPr>
            <w:tcW w:w="1920" w:type="dxa"/>
            <w:gridSpan w:val="2"/>
            <w:noWrap w:val="0"/>
            <w:vAlign w:val="center"/>
          </w:tcPr>
          <w:p w14:paraId="376C8E2C">
            <w:pPr>
              <w:jc w:val="center"/>
              <w:rPr>
                <w:rFonts w:ascii="仿宋" w:hAnsi="仿宋" w:eastAsia="仿宋" w:cs="仿宋"/>
                <w:kern w:val="0"/>
                <w:sz w:val="24"/>
                <w:szCs w:val="24"/>
              </w:rPr>
            </w:pPr>
            <w:r>
              <w:rPr>
                <w:rFonts w:hint="eastAsia" w:ascii="仿宋" w:hAnsi="仿宋" w:eastAsia="仿宋" w:cs="仿宋"/>
                <w:kern w:val="0"/>
                <w:sz w:val="24"/>
                <w:szCs w:val="24"/>
              </w:rPr>
              <w:t>医生综合对比分析</w:t>
            </w:r>
          </w:p>
        </w:tc>
        <w:tc>
          <w:tcPr>
            <w:tcW w:w="6300" w:type="dxa"/>
            <w:noWrap w:val="0"/>
            <w:vAlign w:val="center"/>
          </w:tcPr>
          <w:p w14:paraId="6062EC92">
            <w:pPr>
              <w:jc w:val="left"/>
              <w:rPr>
                <w:rFonts w:ascii="仿宋" w:hAnsi="仿宋" w:eastAsia="仿宋" w:cs="仿宋"/>
                <w:kern w:val="0"/>
                <w:sz w:val="24"/>
                <w:szCs w:val="24"/>
              </w:rPr>
            </w:pPr>
            <w:r>
              <w:rPr>
                <w:rFonts w:hint="eastAsia" w:ascii="仿宋" w:hAnsi="仿宋" w:eastAsia="仿宋" w:cs="仿宋"/>
                <w:kern w:val="0"/>
                <w:sz w:val="24"/>
                <w:szCs w:val="24"/>
              </w:rPr>
              <w:t>1) 展示医生病例数、结余、CMI、次均费用、总点数、人头人次比、病组数、高低倍率病例占比等DRG相关指标数据对比，支持数据下钻；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支持快捷筛选，包括超支医生、结余医生、环比结余增加、减少、高低倍率病例占比高/低于全院平均等；支持年/季/月筛选和自定义时间区间、病例范围筛选、按医疗组筛选病例；支持模糊搜索医生；</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列表字段支持用户自定义显示与排列，包含表头字段是否显示以及固定列设置，列表数据下载。</w:t>
            </w:r>
          </w:p>
        </w:tc>
      </w:tr>
      <w:tr w14:paraId="0B4B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54689624">
            <w:pPr>
              <w:jc w:val="center"/>
              <w:rPr>
                <w:rFonts w:ascii="仿宋" w:hAnsi="仿宋" w:eastAsia="仿宋" w:cs="仿宋"/>
                <w:kern w:val="0"/>
                <w:sz w:val="24"/>
                <w:szCs w:val="24"/>
              </w:rPr>
            </w:pPr>
          </w:p>
        </w:tc>
        <w:tc>
          <w:tcPr>
            <w:tcW w:w="855" w:type="dxa"/>
            <w:vMerge w:val="restart"/>
            <w:noWrap w:val="0"/>
            <w:vAlign w:val="center"/>
          </w:tcPr>
          <w:p w14:paraId="5310F6BE">
            <w:pPr>
              <w:jc w:val="center"/>
              <w:rPr>
                <w:rFonts w:ascii="仿宋" w:hAnsi="仿宋" w:eastAsia="仿宋" w:cs="仿宋"/>
                <w:kern w:val="0"/>
                <w:sz w:val="24"/>
                <w:szCs w:val="24"/>
              </w:rPr>
            </w:pPr>
            <w:r>
              <w:rPr>
                <w:rFonts w:hint="eastAsia" w:ascii="仿宋" w:hAnsi="仿宋" w:eastAsia="仿宋" w:cs="仿宋"/>
                <w:kern w:val="0"/>
                <w:sz w:val="24"/>
                <w:szCs w:val="24"/>
              </w:rPr>
              <w:t>专题分析</w:t>
            </w:r>
          </w:p>
        </w:tc>
        <w:tc>
          <w:tcPr>
            <w:tcW w:w="1065" w:type="dxa"/>
            <w:noWrap w:val="0"/>
            <w:vAlign w:val="center"/>
          </w:tcPr>
          <w:p w14:paraId="67A6D86C">
            <w:pPr>
              <w:jc w:val="center"/>
              <w:rPr>
                <w:rFonts w:ascii="仿宋" w:hAnsi="仿宋" w:eastAsia="仿宋" w:cs="仿宋"/>
                <w:kern w:val="0"/>
                <w:sz w:val="24"/>
                <w:szCs w:val="24"/>
              </w:rPr>
            </w:pPr>
            <w:r>
              <w:rPr>
                <w:rFonts w:hint="eastAsia" w:ascii="仿宋" w:hAnsi="仿宋" w:eastAsia="仿宋" w:cs="仿宋"/>
                <w:kern w:val="0"/>
                <w:sz w:val="24"/>
                <w:szCs w:val="24"/>
              </w:rPr>
              <w:t>费用分摊分析</w:t>
            </w:r>
          </w:p>
        </w:tc>
        <w:tc>
          <w:tcPr>
            <w:tcW w:w="6300" w:type="dxa"/>
            <w:noWrap w:val="0"/>
            <w:vAlign w:val="center"/>
          </w:tcPr>
          <w:p w14:paraId="75C02F1E">
            <w:pPr>
              <w:jc w:val="left"/>
              <w:rPr>
                <w:rFonts w:ascii="仿宋" w:hAnsi="仿宋" w:eastAsia="仿宋" w:cs="仿宋"/>
                <w:kern w:val="0"/>
                <w:sz w:val="24"/>
                <w:szCs w:val="24"/>
              </w:rPr>
            </w:pPr>
            <w:r>
              <w:rPr>
                <w:rFonts w:hint="eastAsia" w:ascii="仿宋" w:hAnsi="仿宋" w:eastAsia="仿宋" w:cs="仿宋"/>
                <w:kern w:val="0"/>
                <w:sz w:val="24"/>
                <w:szCs w:val="24"/>
              </w:rPr>
              <w:t>[根据患者在各临床开单科室产生的费用占比，将DRG结余按比例分摊统计分析]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展示按出院科室与按费用产生科室结余对比；</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支持查看产生费用分摊病例明细，及病例在各科室的费用情况，支持下载；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支持按时间、科室、病例范围等筛选，支持表格按不同字段排序。</w:t>
            </w:r>
          </w:p>
        </w:tc>
      </w:tr>
      <w:tr w14:paraId="0FF6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12AF3FA3">
            <w:pPr>
              <w:jc w:val="center"/>
              <w:rPr>
                <w:rFonts w:ascii="仿宋" w:hAnsi="仿宋" w:eastAsia="仿宋" w:cs="仿宋"/>
                <w:kern w:val="0"/>
                <w:sz w:val="24"/>
                <w:szCs w:val="24"/>
              </w:rPr>
            </w:pPr>
          </w:p>
        </w:tc>
        <w:tc>
          <w:tcPr>
            <w:tcW w:w="855" w:type="dxa"/>
            <w:vMerge w:val="continue"/>
            <w:noWrap w:val="0"/>
            <w:vAlign w:val="center"/>
          </w:tcPr>
          <w:p w14:paraId="2DBD71F9">
            <w:pPr>
              <w:jc w:val="center"/>
              <w:rPr>
                <w:rFonts w:ascii="仿宋" w:hAnsi="仿宋" w:eastAsia="仿宋" w:cs="仿宋"/>
                <w:kern w:val="0"/>
                <w:sz w:val="24"/>
                <w:szCs w:val="24"/>
              </w:rPr>
            </w:pPr>
          </w:p>
        </w:tc>
        <w:tc>
          <w:tcPr>
            <w:tcW w:w="1065" w:type="dxa"/>
            <w:noWrap w:val="0"/>
            <w:vAlign w:val="center"/>
          </w:tcPr>
          <w:p w14:paraId="508F7783">
            <w:pPr>
              <w:jc w:val="center"/>
              <w:rPr>
                <w:rFonts w:ascii="仿宋" w:hAnsi="仿宋" w:eastAsia="仿宋" w:cs="仿宋"/>
                <w:kern w:val="0"/>
                <w:sz w:val="24"/>
                <w:szCs w:val="24"/>
              </w:rPr>
            </w:pPr>
            <w:r>
              <w:rPr>
                <w:rFonts w:hint="eastAsia" w:ascii="仿宋" w:hAnsi="仿宋" w:eastAsia="仿宋" w:cs="仿宋"/>
                <w:kern w:val="0"/>
                <w:sz w:val="24"/>
                <w:szCs w:val="24"/>
              </w:rPr>
              <w:t>学科发展分析-学科覆盖度分析</w:t>
            </w:r>
          </w:p>
        </w:tc>
        <w:tc>
          <w:tcPr>
            <w:tcW w:w="6300" w:type="dxa"/>
            <w:noWrap w:val="0"/>
            <w:vAlign w:val="center"/>
          </w:tcPr>
          <w:p w14:paraId="437F3785">
            <w:pPr>
              <w:jc w:val="left"/>
              <w:rPr>
                <w:rFonts w:ascii="仿宋" w:hAnsi="仿宋" w:eastAsia="仿宋" w:cs="仿宋"/>
                <w:kern w:val="0"/>
                <w:sz w:val="24"/>
                <w:szCs w:val="24"/>
              </w:rPr>
            </w:pPr>
            <w:r>
              <w:rPr>
                <w:rFonts w:hint="eastAsia" w:ascii="仿宋" w:hAnsi="仿宋" w:eastAsia="仿宋" w:cs="仿宋"/>
                <w:kern w:val="0"/>
                <w:sz w:val="24"/>
                <w:szCs w:val="24"/>
              </w:rPr>
              <w:t>▲展示各MDC中医院病组/病例相对地区全部病组的覆盖度、各MDC医院病组/病例占比（覆盖度），以此反映医院学科广度，支持数据下载。</w:t>
            </w:r>
          </w:p>
        </w:tc>
      </w:tr>
      <w:tr w14:paraId="2375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0CB5C257">
            <w:pPr>
              <w:jc w:val="center"/>
              <w:rPr>
                <w:rFonts w:ascii="仿宋" w:hAnsi="仿宋" w:eastAsia="仿宋" w:cs="仿宋"/>
                <w:kern w:val="0"/>
                <w:sz w:val="24"/>
                <w:szCs w:val="24"/>
              </w:rPr>
            </w:pPr>
          </w:p>
        </w:tc>
        <w:tc>
          <w:tcPr>
            <w:tcW w:w="855" w:type="dxa"/>
            <w:vMerge w:val="continue"/>
            <w:noWrap w:val="0"/>
            <w:vAlign w:val="center"/>
          </w:tcPr>
          <w:p w14:paraId="47B3A509">
            <w:pPr>
              <w:jc w:val="center"/>
              <w:rPr>
                <w:rFonts w:ascii="仿宋" w:hAnsi="仿宋" w:eastAsia="仿宋" w:cs="仿宋"/>
                <w:kern w:val="0"/>
                <w:sz w:val="24"/>
                <w:szCs w:val="24"/>
              </w:rPr>
            </w:pPr>
          </w:p>
        </w:tc>
        <w:tc>
          <w:tcPr>
            <w:tcW w:w="1065" w:type="dxa"/>
            <w:noWrap w:val="0"/>
            <w:vAlign w:val="center"/>
          </w:tcPr>
          <w:p w14:paraId="789C509F">
            <w:pPr>
              <w:jc w:val="center"/>
              <w:rPr>
                <w:rFonts w:ascii="仿宋" w:hAnsi="仿宋" w:eastAsia="仿宋" w:cs="仿宋"/>
                <w:kern w:val="0"/>
                <w:sz w:val="24"/>
                <w:szCs w:val="24"/>
              </w:rPr>
            </w:pPr>
            <w:r>
              <w:rPr>
                <w:rFonts w:hint="eastAsia" w:ascii="仿宋" w:hAnsi="仿宋" w:eastAsia="仿宋" w:cs="仿宋"/>
                <w:kern w:val="0"/>
                <w:sz w:val="24"/>
                <w:szCs w:val="24"/>
              </w:rPr>
              <w:t>学科发展分析-科室评价</w:t>
            </w:r>
          </w:p>
        </w:tc>
        <w:tc>
          <w:tcPr>
            <w:tcW w:w="6300" w:type="dxa"/>
            <w:noWrap w:val="0"/>
            <w:vAlign w:val="center"/>
          </w:tcPr>
          <w:p w14:paraId="2986396B">
            <w:pPr>
              <w:jc w:val="left"/>
              <w:rPr>
                <w:rFonts w:ascii="仿宋" w:hAnsi="仿宋" w:eastAsia="仿宋" w:cs="仿宋"/>
                <w:kern w:val="0"/>
                <w:sz w:val="24"/>
                <w:szCs w:val="24"/>
              </w:rPr>
            </w:pPr>
            <w:r>
              <w:rPr>
                <w:rFonts w:hint="eastAsia" w:ascii="仿宋" w:hAnsi="仿宋" w:eastAsia="仿宋" w:cs="仿宋"/>
                <w:kern w:val="0"/>
                <w:sz w:val="24"/>
                <w:szCs w:val="24"/>
              </w:rPr>
              <w:t>▲通过矩阵象限，分析在医保DRG下相对优势的科室、劣势的科室；支持指标组合维度切换、原点自定义；支持数据下钻与下载。</w:t>
            </w:r>
          </w:p>
        </w:tc>
      </w:tr>
      <w:tr w14:paraId="6C68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4899A50B">
            <w:pPr>
              <w:jc w:val="center"/>
              <w:rPr>
                <w:rFonts w:ascii="仿宋" w:hAnsi="仿宋" w:eastAsia="仿宋" w:cs="仿宋"/>
                <w:kern w:val="0"/>
                <w:sz w:val="24"/>
                <w:szCs w:val="24"/>
              </w:rPr>
            </w:pPr>
          </w:p>
        </w:tc>
        <w:tc>
          <w:tcPr>
            <w:tcW w:w="855" w:type="dxa"/>
            <w:vMerge w:val="continue"/>
            <w:noWrap w:val="0"/>
            <w:vAlign w:val="center"/>
          </w:tcPr>
          <w:p w14:paraId="6E70CECF">
            <w:pPr>
              <w:jc w:val="center"/>
              <w:rPr>
                <w:rFonts w:ascii="仿宋" w:hAnsi="仿宋" w:eastAsia="仿宋" w:cs="仿宋"/>
                <w:kern w:val="0"/>
                <w:sz w:val="24"/>
                <w:szCs w:val="24"/>
              </w:rPr>
            </w:pPr>
          </w:p>
        </w:tc>
        <w:tc>
          <w:tcPr>
            <w:tcW w:w="1065" w:type="dxa"/>
            <w:noWrap w:val="0"/>
            <w:vAlign w:val="center"/>
          </w:tcPr>
          <w:p w14:paraId="56298E06">
            <w:pPr>
              <w:jc w:val="center"/>
              <w:rPr>
                <w:rFonts w:ascii="仿宋" w:hAnsi="仿宋" w:eastAsia="仿宋" w:cs="仿宋"/>
                <w:kern w:val="0"/>
                <w:sz w:val="24"/>
                <w:szCs w:val="24"/>
              </w:rPr>
            </w:pPr>
            <w:r>
              <w:rPr>
                <w:rFonts w:hint="eastAsia" w:ascii="仿宋" w:hAnsi="仿宋" w:eastAsia="仿宋" w:cs="仿宋"/>
                <w:kern w:val="0"/>
                <w:sz w:val="24"/>
                <w:szCs w:val="24"/>
              </w:rPr>
              <w:t>学科发展分析-病组评价</w:t>
            </w:r>
          </w:p>
        </w:tc>
        <w:tc>
          <w:tcPr>
            <w:tcW w:w="6300" w:type="dxa"/>
            <w:noWrap w:val="0"/>
            <w:vAlign w:val="center"/>
          </w:tcPr>
          <w:p w14:paraId="12101F6C">
            <w:pPr>
              <w:jc w:val="left"/>
              <w:rPr>
                <w:rFonts w:ascii="仿宋" w:hAnsi="仿宋" w:eastAsia="仿宋" w:cs="仿宋"/>
                <w:kern w:val="0"/>
                <w:sz w:val="24"/>
                <w:szCs w:val="24"/>
              </w:rPr>
            </w:pPr>
            <w:r>
              <w:rPr>
                <w:rFonts w:hint="eastAsia" w:ascii="仿宋" w:hAnsi="仿宋" w:eastAsia="仿宋" w:cs="仿宋"/>
                <w:kern w:val="0"/>
                <w:sz w:val="24"/>
                <w:szCs w:val="24"/>
              </w:rPr>
              <w:t>▲通过矩阵象限，分析在医保DRG下医院的优势病组、劣势病组；支持指标组合维度切换；支持病组范围自定义，支持数据下钻与下载。</w:t>
            </w:r>
          </w:p>
        </w:tc>
      </w:tr>
      <w:tr w14:paraId="6A97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3E03028B">
            <w:pPr>
              <w:jc w:val="center"/>
              <w:rPr>
                <w:rFonts w:ascii="仿宋" w:hAnsi="仿宋" w:eastAsia="仿宋" w:cs="仿宋"/>
                <w:kern w:val="0"/>
                <w:sz w:val="24"/>
                <w:szCs w:val="24"/>
              </w:rPr>
            </w:pPr>
          </w:p>
        </w:tc>
        <w:tc>
          <w:tcPr>
            <w:tcW w:w="855" w:type="dxa"/>
            <w:vMerge w:val="continue"/>
            <w:noWrap w:val="0"/>
            <w:vAlign w:val="center"/>
          </w:tcPr>
          <w:p w14:paraId="47A477B8">
            <w:pPr>
              <w:jc w:val="center"/>
              <w:rPr>
                <w:rFonts w:ascii="仿宋" w:hAnsi="仿宋" w:eastAsia="仿宋" w:cs="仿宋"/>
                <w:kern w:val="0"/>
                <w:sz w:val="24"/>
                <w:szCs w:val="24"/>
              </w:rPr>
            </w:pPr>
          </w:p>
        </w:tc>
        <w:tc>
          <w:tcPr>
            <w:tcW w:w="1065" w:type="dxa"/>
            <w:noWrap w:val="0"/>
            <w:vAlign w:val="center"/>
          </w:tcPr>
          <w:p w14:paraId="73001574">
            <w:pPr>
              <w:jc w:val="center"/>
              <w:rPr>
                <w:rFonts w:ascii="仿宋" w:hAnsi="仿宋" w:eastAsia="仿宋" w:cs="仿宋"/>
                <w:kern w:val="0"/>
                <w:sz w:val="24"/>
                <w:szCs w:val="24"/>
              </w:rPr>
            </w:pPr>
            <w:r>
              <w:rPr>
                <w:rFonts w:hint="eastAsia" w:ascii="仿宋" w:hAnsi="仿宋" w:eastAsia="仿宋" w:cs="仿宋"/>
                <w:kern w:val="0"/>
                <w:sz w:val="24"/>
                <w:szCs w:val="24"/>
              </w:rPr>
              <w:t>病例性质分析</w:t>
            </w:r>
          </w:p>
        </w:tc>
        <w:tc>
          <w:tcPr>
            <w:tcW w:w="6300" w:type="dxa"/>
            <w:noWrap w:val="0"/>
            <w:vAlign w:val="center"/>
          </w:tcPr>
          <w:p w14:paraId="5AFDE8AB">
            <w:pPr>
              <w:jc w:val="left"/>
              <w:rPr>
                <w:rFonts w:ascii="仿宋" w:hAnsi="仿宋" w:eastAsia="仿宋" w:cs="仿宋"/>
                <w:kern w:val="0"/>
                <w:sz w:val="24"/>
                <w:szCs w:val="24"/>
              </w:rPr>
            </w:pPr>
            <w:r>
              <w:rPr>
                <w:rFonts w:hint="eastAsia" w:ascii="仿宋" w:hAnsi="仿宋" w:eastAsia="仿宋" w:cs="仿宋"/>
                <w:kern w:val="0"/>
                <w:sz w:val="24"/>
                <w:szCs w:val="24"/>
              </w:rPr>
              <w:t>1) 展示各个统筹区、各个医保类型的病例数量及比例；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支持按照统筹区、医保类型分析全院及科室的核心指标，包括病例数、医疗总费用、次均费用、结余、平均住院日、CMI、药占比、耗占比、医技占比等；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支持表格数据排序和下载。</w:t>
            </w:r>
          </w:p>
        </w:tc>
      </w:tr>
      <w:tr w14:paraId="7C14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6CEC4E92">
            <w:pPr>
              <w:jc w:val="center"/>
              <w:rPr>
                <w:rFonts w:ascii="仿宋" w:hAnsi="仿宋" w:eastAsia="仿宋" w:cs="仿宋"/>
                <w:kern w:val="0"/>
                <w:sz w:val="24"/>
                <w:szCs w:val="24"/>
              </w:rPr>
            </w:pPr>
          </w:p>
        </w:tc>
        <w:tc>
          <w:tcPr>
            <w:tcW w:w="1920" w:type="dxa"/>
            <w:gridSpan w:val="2"/>
            <w:noWrap w:val="0"/>
            <w:vAlign w:val="center"/>
          </w:tcPr>
          <w:p w14:paraId="352368B9">
            <w:pPr>
              <w:jc w:val="center"/>
              <w:rPr>
                <w:rFonts w:ascii="仿宋" w:hAnsi="仿宋" w:eastAsia="仿宋" w:cs="仿宋"/>
                <w:kern w:val="0"/>
                <w:sz w:val="24"/>
                <w:szCs w:val="24"/>
              </w:rPr>
            </w:pPr>
            <w:r>
              <w:rPr>
                <w:rFonts w:hint="eastAsia" w:ascii="仿宋" w:hAnsi="仿宋" w:eastAsia="仿宋" w:cs="仿宋"/>
                <w:kern w:val="0"/>
                <w:sz w:val="24"/>
                <w:szCs w:val="24"/>
              </w:rPr>
              <w:t>病例数据综合查询与下载</w:t>
            </w:r>
          </w:p>
        </w:tc>
        <w:tc>
          <w:tcPr>
            <w:tcW w:w="6300" w:type="dxa"/>
            <w:noWrap w:val="0"/>
            <w:vAlign w:val="center"/>
          </w:tcPr>
          <w:p w14:paraId="17B54D7D">
            <w:pPr>
              <w:jc w:val="left"/>
              <w:rPr>
                <w:rFonts w:ascii="仿宋" w:hAnsi="仿宋" w:eastAsia="仿宋" w:cs="仿宋"/>
                <w:kern w:val="0"/>
                <w:sz w:val="24"/>
                <w:szCs w:val="24"/>
              </w:rPr>
            </w:pPr>
            <w:r>
              <w:rPr>
                <w:rFonts w:hint="eastAsia" w:ascii="仿宋" w:hAnsi="仿宋" w:eastAsia="仿宋" w:cs="仿宋"/>
                <w:kern w:val="0"/>
                <w:sz w:val="24"/>
                <w:szCs w:val="24"/>
              </w:rPr>
              <w:t>1) 展示病例明细数据，支持查看详情，包含DRG分组、诊断/手术、费用占比及明细等信息；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支持按病例类型、15天再入院、科室、结余范围等条件组合筛选；支持按住院号、患者姓名、病案号、主诊主手等模糊搜索病例；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支持表格数据排序和筛选，支持15天再入院及其上次关联病例的数据下载；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支持大数据模拟分组，通过调整主诊断、次诊断、主手术、次手术进行模拟分组；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支持病例按多种结算方式进行预测对比，包括床日结算、病组结算、中医结算，并优先展示点数最高的结算方式。</w:t>
            </w:r>
          </w:p>
        </w:tc>
      </w:tr>
      <w:tr w14:paraId="7E12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4D70E188">
            <w:pPr>
              <w:jc w:val="center"/>
              <w:rPr>
                <w:rFonts w:ascii="仿宋" w:hAnsi="仿宋" w:eastAsia="仿宋" w:cs="仿宋"/>
                <w:kern w:val="0"/>
                <w:sz w:val="24"/>
                <w:szCs w:val="24"/>
              </w:rPr>
            </w:pPr>
          </w:p>
        </w:tc>
        <w:tc>
          <w:tcPr>
            <w:tcW w:w="1920" w:type="dxa"/>
            <w:gridSpan w:val="2"/>
            <w:noWrap w:val="0"/>
            <w:vAlign w:val="center"/>
          </w:tcPr>
          <w:p w14:paraId="67734FA3">
            <w:pPr>
              <w:jc w:val="center"/>
              <w:rPr>
                <w:rFonts w:ascii="仿宋" w:hAnsi="仿宋" w:eastAsia="仿宋" w:cs="仿宋"/>
                <w:kern w:val="0"/>
                <w:sz w:val="24"/>
                <w:szCs w:val="24"/>
              </w:rPr>
            </w:pPr>
            <w:r>
              <w:rPr>
                <w:rFonts w:hint="eastAsia" w:ascii="仿宋" w:hAnsi="仿宋" w:eastAsia="仿宋" w:cs="仿宋"/>
                <w:kern w:val="0"/>
                <w:sz w:val="24"/>
                <w:szCs w:val="24"/>
              </w:rPr>
              <w:t>指标综合查询与下载</w:t>
            </w:r>
          </w:p>
        </w:tc>
        <w:tc>
          <w:tcPr>
            <w:tcW w:w="6300" w:type="dxa"/>
            <w:noWrap w:val="0"/>
            <w:vAlign w:val="center"/>
          </w:tcPr>
          <w:p w14:paraId="0CB29001">
            <w:pPr>
              <w:jc w:val="left"/>
              <w:rPr>
                <w:rFonts w:ascii="仿宋" w:hAnsi="仿宋" w:eastAsia="仿宋" w:cs="仿宋"/>
                <w:kern w:val="0"/>
                <w:sz w:val="24"/>
                <w:szCs w:val="24"/>
              </w:rPr>
            </w:pPr>
            <w:r>
              <w:rPr>
                <w:rFonts w:hint="eastAsia" w:ascii="仿宋" w:hAnsi="仿宋" w:eastAsia="仿宋" w:cs="仿宋"/>
                <w:kern w:val="0"/>
                <w:sz w:val="24"/>
                <w:szCs w:val="24"/>
              </w:rPr>
              <w:t>1) 提供各个主题的指标下载，包括医疗服务能力、费用控制、DRG结算指标、费用控制等；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支持指标自定义选择数据范围、时间范围、导出维度（全院/科室/病组等）；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支持保存指标报表模板，方便同一报表重复下载；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支持导出DRG系统点击量统计指标，维度支持全院、科室、操作工号。</w:t>
            </w:r>
          </w:p>
        </w:tc>
      </w:tr>
      <w:tr w14:paraId="21F7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noWrap w:val="0"/>
            <w:vAlign w:val="center"/>
          </w:tcPr>
          <w:p w14:paraId="4BCE1F9C">
            <w:pPr>
              <w:jc w:val="center"/>
              <w:rPr>
                <w:rFonts w:ascii="仿宋" w:hAnsi="仿宋" w:eastAsia="仿宋" w:cs="仿宋"/>
                <w:kern w:val="0"/>
                <w:sz w:val="24"/>
                <w:szCs w:val="24"/>
              </w:rPr>
            </w:pPr>
            <w:r>
              <w:rPr>
                <w:rFonts w:hint="eastAsia" w:ascii="仿宋" w:hAnsi="仿宋" w:eastAsia="仿宋" w:cs="仿宋"/>
                <w:kern w:val="0"/>
                <w:sz w:val="24"/>
                <w:szCs w:val="24"/>
              </w:rPr>
              <w:t>医保结算管理服务</w:t>
            </w:r>
          </w:p>
        </w:tc>
        <w:tc>
          <w:tcPr>
            <w:tcW w:w="1920" w:type="dxa"/>
            <w:gridSpan w:val="2"/>
            <w:noWrap w:val="0"/>
            <w:vAlign w:val="center"/>
          </w:tcPr>
          <w:p w14:paraId="5E1B0F5E">
            <w:pPr>
              <w:jc w:val="center"/>
              <w:rPr>
                <w:rFonts w:ascii="仿宋" w:hAnsi="仿宋" w:eastAsia="仿宋" w:cs="仿宋"/>
                <w:kern w:val="0"/>
                <w:sz w:val="24"/>
                <w:szCs w:val="24"/>
              </w:rPr>
            </w:pPr>
            <w:r>
              <w:rPr>
                <w:rFonts w:hint="eastAsia" w:ascii="仿宋" w:hAnsi="仿宋" w:eastAsia="仿宋" w:cs="仿宋"/>
                <w:kern w:val="0"/>
                <w:sz w:val="24"/>
                <w:szCs w:val="24"/>
              </w:rPr>
              <w:t>结算导入管理</w:t>
            </w:r>
          </w:p>
        </w:tc>
        <w:tc>
          <w:tcPr>
            <w:tcW w:w="6300" w:type="dxa"/>
            <w:noWrap w:val="0"/>
            <w:vAlign w:val="center"/>
          </w:tcPr>
          <w:p w14:paraId="58B0A647">
            <w:pPr>
              <w:jc w:val="left"/>
              <w:rPr>
                <w:rFonts w:ascii="仿宋" w:hAnsi="仿宋" w:eastAsia="仿宋" w:cs="仿宋"/>
                <w:kern w:val="0"/>
                <w:sz w:val="24"/>
                <w:szCs w:val="24"/>
              </w:rPr>
            </w:pPr>
            <w:r>
              <w:rPr>
                <w:rFonts w:hint="eastAsia" w:ascii="仿宋" w:hAnsi="仿宋" w:eastAsia="仿宋" w:cs="仿宋"/>
                <w:kern w:val="0"/>
                <w:sz w:val="24"/>
                <w:szCs w:val="24"/>
              </w:rPr>
              <w:t>1) 支持导入导入医保局下发的月度/年度结算单，支持导入后异常数据的手动处理，导入后系统以导入数据为准进行分析；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支持根据不同统筹区灵活设置点值；</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支持根据中位数、均值或自定义等方式录入预测点费；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支持查看不同月份、年份点费差异和对比。</w:t>
            </w:r>
          </w:p>
        </w:tc>
      </w:tr>
      <w:tr w14:paraId="6093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554A868A">
            <w:pPr>
              <w:jc w:val="center"/>
              <w:rPr>
                <w:rFonts w:ascii="仿宋" w:hAnsi="仿宋" w:eastAsia="仿宋" w:cs="仿宋"/>
                <w:kern w:val="0"/>
                <w:sz w:val="24"/>
                <w:szCs w:val="24"/>
              </w:rPr>
            </w:pPr>
          </w:p>
        </w:tc>
        <w:tc>
          <w:tcPr>
            <w:tcW w:w="855" w:type="dxa"/>
            <w:vMerge w:val="restart"/>
            <w:noWrap w:val="0"/>
            <w:vAlign w:val="center"/>
          </w:tcPr>
          <w:p w14:paraId="6D1F9C68">
            <w:pPr>
              <w:jc w:val="center"/>
              <w:rPr>
                <w:rFonts w:ascii="仿宋" w:hAnsi="仿宋" w:eastAsia="仿宋" w:cs="仿宋"/>
                <w:kern w:val="0"/>
                <w:sz w:val="24"/>
                <w:szCs w:val="24"/>
              </w:rPr>
            </w:pPr>
            <w:r>
              <w:rPr>
                <w:rFonts w:hint="eastAsia" w:ascii="仿宋" w:hAnsi="仿宋" w:eastAsia="仿宋" w:cs="仿宋"/>
                <w:kern w:val="0"/>
                <w:sz w:val="24"/>
                <w:szCs w:val="24"/>
              </w:rPr>
              <w:t>DRG结算核对</w:t>
            </w:r>
          </w:p>
        </w:tc>
        <w:tc>
          <w:tcPr>
            <w:tcW w:w="1065" w:type="dxa"/>
            <w:noWrap w:val="0"/>
            <w:vAlign w:val="center"/>
          </w:tcPr>
          <w:p w14:paraId="69A4032B">
            <w:pPr>
              <w:jc w:val="center"/>
              <w:rPr>
                <w:rFonts w:ascii="仿宋" w:hAnsi="仿宋" w:eastAsia="仿宋" w:cs="仿宋"/>
                <w:kern w:val="0"/>
                <w:sz w:val="24"/>
                <w:szCs w:val="24"/>
              </w:rPr>
            </w:pPr>
            <w:r>
              <w:rPr>
                <w:rFonts w:hint="eastAsia" w:ascii="仿宋" w:hAnsi="仿宋" w:eastAsia="仿宋" w:cs="仿宋"/>
                <w:kern w:val="0"/>
                <w:sz w:val="24"/>
                <w:szCs w:val="24"/>
              </w:rPr>
              <w:t>重点病例分组核对</w:t>
            </w:r>
          </w:p>
        </w:tc>
        <w:tc>
          <w:tcPr>
            <w:tcW w:w="6300" w:type="dxa"/>
            <w:noWrap w:val="0"/>
            <w:vAlign w:val="center"/>
          </w:tcPr>
          <w:p w14:paraId="2BE8DB35">
            <w:pPr>
              <w:jc w:val="left"/>
              <w:rPr>
                <w:rFonts w:ascii="仿宋" w:hAnsi="仿宋" w:eastAsia="仿宋" w:cs="仿宋"/>
                <w:kern w:val="0"/>
                <w:sz w:val="24"/>
                <w:szCs w:val="24"/>
              </w:rPr>
            </w:pPr>
            <w:r>
              <w:rPr>
                <w:rFonts w:hint="eastAsia" w:ascii="仿宋" w:hAnsi="仿宋" w:eastAsia="仿宋" w:cs="仿宋"/>
                <w:kern w:val="0"/>
                <w:sz w:val="24"/>
                <w:szCs w:val="24"/>
              </w:rPr>
              <w:t>1) 支持按分组不一致、含特殊药品耗材、是否已查阅、院内已申诉、病例类型、特殊结算病例等条件筛选，可快速定位重点病例；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支持查看病例DRG预分组与医保结算分组对比，支持查看诊断/手术、费用明细、病历文书等数据，用于核对分组，判断是否需要申诉；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支持大数据模拟分组，通过调整主诊断、次诊断、主手术、次手术进行模拟分组；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支持按科室统计超支结余，表格字段用户自定义显示与排列，包含表头字段是否显示以及固定列设置，支持列表数据下载；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提供医保分组与预测分组一致率的统计。</w:t>
            </w:r>
          </w:p>
        </w:tc>
      </w:tr>
      <w:tr w14:paraId="0EE0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21704824">
            <w:pPr>
              <w:jc w:val="center"/>
              <w:rPr>
                <w:rFonts w:ascii="仿宋" w:hAnsi="仿宋" w:eastAsia="仿宋" w:cs="仿宋"/>
                <w:kern w:val="0"/>
                <w:sz w:val="24"/>
                <w:szCs w:val="24"/>
              </w:rPr>
            </w:pPr>
          </w:p>
        </w:tc>
        <w:tc>
          <w:tcPr>
            <w:tcW w:w="855" w:type="dxa"/>
            <w:vMerge w:val="continue"/>
            <w:noWrap w:val="0"/>
            <w:vAlign w:val="center"/>
          </w:tcPr>
          <w:p w14:paraId="7942CA2E">
            <w:pPr>
              <w:jc w:val="center"/>
              <w:rPr>
                <w:rFonts w:ascii="仿宋" w:hAnsi="仿宋" w:eastAsia="仿宋" w:cs="仿宋"/>
                <w:kern w:val="0"/>
                <w:sz w:val="24"/>
                <w:szCs w:val="24"/>
              </w:rPr>
            </w:pPr>
          </w:p>
        </w:tc>
        <w:tc>
          <w:tcPr>
            <w:tcW w:w="1065" w:type="dxa"/>
            <w:noWrap w:val="0"/>
            <w:vAlign w:val="center"/>
          </w:tcPr>
          <w:p w14:paraId="4C6337AE">
            <w:pPr>
              <w:jc w:val="center"/>
              <w:rPr>
                <w:rFonts w:ascii="仿宋" w:hAnsi="仿宋" w:eastAsia="仿宋" w:cs="仿宋"/>
                <w:kern w:val="0"/>
                <w:sz w:val="24"/>
                <w:szCs w:val="24"/>
              </w:rPr>
            </w:pPr>
            <w:r>
              <w:rPr>
                <w:rFonts w:hint="eastAsia" w:ascii="仿宋" w:hAnsi="仿宋" w:eastAsia="仿宋" w:cs="仿宋"/>
                <w:kern w:val="0"/>
                <w:sz w:val="24"/>
                <w:szCs w:val="24"/>
              </w:rPr>
              <w:t>病例申诉</w:t>
            </w:r>
          </w:p>
        </w:tc>
        <w:tc>
          <w:tcPr>
            <w:tcW w:w="6300" w:type="dxa"/>
            <w:noWrap w:val="0"/>
            <w:vAlign w:val="center"/>
          </w:tcPr>
          <w:p w14:paraId="5B4623BF">
            <w:pPr>
              <w:jc w:val="left"/>
              <w:rPr>
                <w:rFonts w:ascii="仿宋" w:hAnsi="仿宋" w:eastAsia="仿宋" w:cs="仿宋"/>
                <w:kern w:val="0"/>
                <w:sz w:val="24"/>
                <w:szCs w:val="24"/>
              </w:rPr>
            </w:pPr>
            <w:r>
              <w:rPr>
                <w:rFonts w:hint="eastAsia" w:ascii="仿宋" w:hAnsi="仿宋" w:eastAsia="仿宋" w:cs="仿宋"/>
                <w:kern w:val="0"/>
                <w:sz w:val="24"/>
                <w:szCs w:val="24"/>
              </w:rPr>
              <w:t>1) 支持病例申诉流程，支持医生填写申诉资料及上传图片，支持医保办对申诉进行修改、确认操作；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支持查看与下载病例申诉汇总；</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▲申诉反馈：支持查看申诉前后分组数据对比。</w:t>
            </w:r>
          </w:p>
        </w:tc>
      </w:tr>
      <w:tr w14:paraId="30F9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noWrap w:val="0"/>
            <w:vAlign w:val="center"/>
          </w:tcPr>
          <w:p w14:paraId="4D51C1E3">
            <w:pPr>
              <w:jc w:val="center"/>
              <w:rPr>
                <w:rFonts w:ascii="仿宋" w:hAnsi="仿宋" w:eastAsia="仿宋" w:cs="仿宋"/>
                <w:kern w:val="0"/>
                <w:sz w:val="24"/>
                <w:szCs w:val="24"/>
              </w:rPr>
            </w:pPr>
            <w:r>
              <w:rPr>
                <w:rFonts w:hint="eastAsia" w:ascii="仿宋" w:hAnsi="仿宋" w:eastAsia="仿宋" w:cs="仿宋"/>
                <w:kern w:val="0"/>
                <w:sz w:val="24"/>
                <w:szCs w:val="24"/>
              </w:rPr>
              <w:t>系统管理服务</w:t>
            </w:r>
          </w:p>
        </w:tc>
        <w:tc>
          <w:tcPr>
            <w:tcW w:w="855" w:type="dxa"/>
            <w:vMerge w:val="restart"/>
            <w:noWrap w:val="0"/>
            <w:vAlign w:val="center"/>
          </w:tcPr>
          <w:p w14:paraId="45D570D7">
            <w:pPr>
              <w:jc w:val="center"/>
              <w:rPr>
                <w:rFonts w:ascii="仿宋" w:hAnsi="仿宋" w:eastAsia="仿宋" w:cs="仿宋"/>
                <w:kern w:val="0"/>
                <w:sz w:val="24"/>
                <w:szCs w:val="24"/>
              </w:rPr>
            </w:pPr>
            <w:r>
              <w:rPr>
                <w:rFonts w:hint="eastAsia" w:ascii="仿宋" w:hAnsi="仿宋" w:eastAsia="仿宋" w:cs="仿宋"/>
                <w:kern w:val="0"/>
                <w:sz w:val="24"/>
                <w:szCs w:val="24"/>
              </w:rPr>
              <w:t>系统设置</w:t>
            </w:r>
          </w:p>
        </w:tc>
        <w:tc>
          <w:tcPr>
            <w:tcW w:w="1065" w:type="dxa"/>
            <w:noWrap w:val="0"/>
            <w:vAlign w:val="center"/>
          </w:tcPr>
          <w:p w14:paraId="0A521F18">
            <w:pPr>
              <w:jc w:val="center"/>
              <w:rPr>
                <w:rFonts w:ascii="仿宋" w:hAnsi="仿宋" w:eastAsia="仿宋" w:cs="仿宋"/>
                <w:kern w:val="0"/>
                <w:sz w:val="24"/>
                <w:szCs w:val="24"/>
              </w:rPr>
            </w:pPr>
            <w:r>
              <w:rPr>
                <w:rFonts w:hint="eastAsia" w:ascii="仿宋" w:hAnsi="仿宋" w:eastAsia="仿宋" w:cs="仿宋"/>
                <w:kern w:val="0"/>
                <w:sz w:val="24"/>
                <w:szCs w:val="24"/>
              </w:rPr>
              <w:t>费用构成规则设置</w:t>
            </w:r>
          </w:p>
        </w:tc>
        <w:tc>
          <w:tcPr>
            <w:tcW w:w="6300" w:type="dxa"/>
            <w:noWrap w:val="0"/>
            <w:vAlign w:val="center"/>
          </w:tcPr>
          <w:p w14:paraId="27E3FA78">
            <w:pPr>
              <w:jc w:val="left"/>
              <w:rPr>
                <w:rFonts w:ascii="仿宋" w:hAnsi="仿宋" w:eastAsia="仿宋" w:cs="仿宋"/>
                <w:kern w:val="0"/>
                <w:sz w:val="24"/>
                <w:szCs w:val="24"/>
              </w:rPr>
            </w:pPr>
            <w:r>
              <w:rPr>
                <w:rFonts w:hint="eastAsia" w:ascii="仿宋" w:hAnsi="仿宋" w:eastAsia="仿宋" w:cs="仿宋"/>
                <w:kern w:val="0"/>
                <w:sz w:val="24"/>
                <w:szCs w:val="24"/>
              </w:rPr>
              <w:t>支持自定义设置费用分类，系统根据该分类进行费用相关指标的统计和分析。</w:t>
            </w:r>
          </w:p>
        </w:tc>
      </w:tr>
      <w:tr w14:paraId="5F47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2FB55C5C">
            <w:pPr>
              <w:jc w:val="center"/>
              <w:rPr>
                <w:rFonts w:ascii="仿宋" w:hAnsi="仿宋" w:eastAsia="仿宋" w:cs="仿宋"/>
                <w:kern w:val="0"/>
                <w:sz w:val="24"/>
                <w:szCs w:val="24"/>
              </w:rPr>
            </w:pPr>
          </w:p>
        </w:tc>
        <w:tc>
          <w:tcPr>
            <w:tcW w:w="855" w:type="dxa"/>
            <w:vMerge w:val="continue"/>
            <w:noWrap w:val="0"/>
            <w:vAlign w:val="center"/>
          </w:tcPr>
          <w:p w14:paraId="1A3C611D">
            <w:pPr>
              <w:jc w:val="center"/>
              <w:rPr>
                <w:rFonts w:ascii="仿宋" w:hAnsi="仿宋" w:eastAsia="仿宋" w:cs="仿宋"/>
                <w:kern w:val="0"/>
                <w:sz w:val="24"/>
                <w:szCs w:val="24"/>
              </w:rPr>
            </w:pPr>
          </w:p>
        </w:tc>
        <w:tc>
          <w:tcPr>
            <w:tcW w:w="1065" w:type="dxa"/>
            <w:noWrap w:val="0"/>
            <w:vAlign w:val="center"/>
          </w:tcPr>
          <w:p w14:paraId="1841ACAC">
            <w:pPr>
              <w:jc w:val="center"/>
              <w:rPr>
                <w:rFonts w:ascii="仿宋" w:hAnsi="仿宋" w:eastAsia="仿宋" w:cs="仿宋"/>
                <w:kern w:val="0"/>
                <w:sz w:val="24"/>
                <w:szCs w:val="24"/>
              </w:rPr>
            </w:pPr>
            <w:r>
              <w:rPr>
                <w:rFonts w:hint="eastAsia" w:ascii="仿宋" w:hAnsi="仿宋" w:eastAsia="仿宋" w:cs="仿宋"/>
                <w:kern w:val="0"/>
                <w:sz w:val="24"/>
                <w:szCs w:val="24"/>
              </w:rPr>
              <w:t>风险审核规则</w:t>
            </w:r>
          </w:p>
        </w:tc>
        <w:tc>
          <w:tcPr>
            <w:tcW w:w="6300" w:type="dxa"/>
            <w:noWrap w:val="0"/>
            <w:vAlign w:val="center"/>
          </w:tcPr>
          <w:p w14:paraId="03E81A61">
            <w:pPr>
              <w:jc w:val="left"/>
              <w:rPr>
                <w:rFonts w:ascii="仿宋" w:hAnsi="仿宋" w:eastAsia="仿宋" w:cs="仿宋"/>
                <w:kern w:val="0"/>
                <w:sz w:val="24"/>
                <w:szCs w:val="24"/>
              </w:rPr>
            </w:pPr>
            <w:r>
              <w:rPr>
                <w:rFonts w:hint="eastAsia" w:ascii="仿宋" w:hAnsi="仿宋" w:eastAsia="仿宋" w:cs="仿宋"/>
                <w:kern w:val="0"/>
                <w:sz w:val="24"/>
                <w:szCs w:val="24"/>
              </w:rPr>
              <w:t>支持自定义设置费用异常、不合理入院、再入院、体检入院等预警病例的条件。</w:t>
            </w:r>
          </w:p>
        </w:tc>
      </w:tr>
      <w:tr w14:paraId="1978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5867D699">
            <w:pPr>
              <w:jc w:val="center"/>
              <w:rPr>
                <w:rFonts w:ascii="仿宋" w:hAnsi="仿宋" w:eastAsia="仿宋" w:cs="仿宋"/>
                <w:kern w:val="0"/>
                <w:sz w:val="24"/>
                <w:szCs w:val="24"/>
              </w:rPr>
            </w:pPr>
          </w:p>
        </w:tc>
        <w:tc>
          <w:tcPr>
            <w:tcW w:w="855" w:type="dxa"/>
            <w:vMerge w:val="continue"/>
            <w:noWrap w:val="0"/>
            <w:vAlign w:val="center"/>
          </w:tcPr>
          <w:p w14:paraId="1416CC02">
            <w:pPr>
              <w:jc w:val="center"/>
              <w:rPr>
                <w:rFonts w:ascii="仿宋" w:hAnsi="仿宋" w:eastAsia="仿宋" w:cs="仿宋"/>
                <w:kern w:val="0"/>
                <w:sz w:val="24"/>
                <w:szCs w:val="24"/>
              </w:rPr>
            </w:pPr>
          </w:p>
        </w:tc>
        <w:tc>
          <w:tcPr>
            <w:tcW w:w="1065" w:type="dxa"/>
            <w:noWrap w:val="0"/>
            <w:vAlign w:val="center"/>
          </w:tcPr>
          <w:p w14:paraId="0A6E04D6">
            <w:pPr>
              <w:jc w:val="center"/>
              <w:rPr>
                <w:rFonts w:ascii="仿宋" w:hAnsi="仿宋" w:eastAsia="仿宋" w:cs="仿宋"/>
                <w:kern w:val="0"/>
                <w:sz w:val="24"/>
                <w:szCs w:val="24"/>
              </w:rPr>
            </w:pPr>
            <w:r>
              <w:rPr>
                <w:rFonts w:hint="eastAsia" w:ascii="仿宋" w:hAnsi="仿宋" w:eastAsia="仿宋" w:cs="仿宋"/>
                <w:kern w:val="0"/>
                <w:sz w:val="24"/>
                <w:szCs w:val="24"/>
              </w:rPr>
              <w:t>结算单导入设置</w:t>
            </w:r>
          </w:p>
        </w:tc>
        <w:tc>
          <w:tcPr>
            <w:tcW w:w="6300" w:type="dxa"/>
            <w:noWrap w:val="0"/>
            <w:vAlign w:val="center"/>
          </w:tcPr>
          <w:p w14:paraId="59E25A47">
            <w:pPr>
              <w:jc w:val="left"/>
              <w:rPr>
                <w:rFonts w:ascii="仿宋" w:hAnsi="仿宋" w:eastAsia="仿宋" w:cs="仿宋"/>
                <w:kern w:val="0"/>
                <w:sz w:val="24"/>
                <w:szCs w:val="24"/>
              </w:rPr>
            </w:pPr>
            <w:r>
              <w:rPr>
                <w:rFonts w:hint="eastAsia" w:ascii="仿宋" w:hAnsi="仿宋" w:eastAsia="仿宋" w:cs="仿宋"/>
                <w:kern w:val="0"/>
                <w:sz w:val="24"/>
                <w:szCs w:val="24"/>
              </w:rPr>
              <w:t>支持结算导入字段映射和处理。</w:t>
            </w:r>
          </w:p>
        </w:tc>
      </w:tr>
      <w:tr w14:paraId="5855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0B0F6C85">
            <w:pPr>
              <w:jc w:val="center"/>
              <w:rPr>
                <w:rFonts w:ascii="仿宋" w:hAnsi="仿宋" w:eastAsia="仿宋" w:cs="仿宋"/>
                <w:kern w:val="0"/>
                <w:sz w:val="24"/>
                <w:szCs w:val="24"/>
              </w:rPr>
            </w:pPr>
          </w:p>
        </w:tc>
        <w:tc>
          <w:tcPr>
            <w:tcW w:w="855" w:type="dxa"/>
            <w:vMerge w:val="continue"/>
            <w:noWrap w:val="0"/>
            <w:vAlign w:val="center"/>
          </w:tcPr>
          <w:p w14:paraId="1EA071A4">
            <w:pPr>
              <w:jc w:val="center"/>
              <w:rPr>
                <w:rFonts w:ascii="仿宋" w:hAnsi="仿宋" w:eastAsia="仿宋" w:cs="仿宋"/>
                <w:kern w:val="0"/>
                <w:sz w:val="24"/>
                <w:szCs w:val="24"/>
              </w:rPr>
            </w:pPr>
          </w:p>
        </w:tc>
        <w:tc>
          <w:tcPr>
            <w:tcW w:w="1065" w:type="dxa"/>
            <w:noWrap w:val="0"/>
            <w:vAlign w:val="center"/>
          </w:tcPr>
          <w:p w14:paraId="19722D51">
            <w:pPr>
              <w:jc w:val="center"/>
              <w:rPr>
                <w:rFonts w:ascii="仿宋" w:hAnsi="仿宋" w:eastAsia="仿宋" w:cs="仿宋"/>
                <w:kern w:val="0"/>
                <w:sz w:val="24"/>
                <w:szCs w:val="24"/>
              </w:rPr>
            </w:pPr>
            <w:r>
              <w:rPr>
                <w:rFonts w:hint="eastAsia" w:ascii="仿宋" w:hAnsi="仿宋" w:eastAsia="仿宋" w:cs="仿宋"/>
                <w:kern w:val="0"/>
                <w:sz w:val="24"/>
                <w:szCs w:val="24"/>
              </w:rPr>
              <w:t>标杆设置</w:t>
            </w:r>
          </w:p>
        </w:tc>
        <w:tc>
          <w:tcPr>
            <w:tcW w:w="6300" w:type="dxa"/>
            <w:noWrap w:val="0"/>
            <w:vAlign w:val="center"/>
          </w:tcPr>
          <w:p w14:paraId="24C92E29">
            <w:pPr>
              <w:jc w:val="left"/>
              <w:rPr>
                <w:rFonts w:ascii="仿宋" w:hAnsi="仿宋" w:eastAsia="仿宋" w:cs="仿宋"/>
                <w:kern w:val="0"/>
                <w:sz w:val="24"/>
                <w:szCs w:val="24"/>
              </w:rPr>
            </w:pPr>
            <w:r>
              <w:rPr>
                <w:rFonts w:hint="eastAsia" w:ascii="仿宋" w:hAnsi="仿宋" w:eastAsia="仿宋" w:cs="仿宋"/>
                <w:kern w:val="0"/>
                <w:sz w:val="24"/>
                <w:szCs w:val="24"/>
              </w:rPr>
              <w:t>支持自定义设置病组和科室的标杆值。</w:t>
            </w:r>
          </w:p>
        </w:tc>
      </w:tr>
      <w:tr w14:paraId="47B2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2A53C121">
            <w:pPr>
              <w:jc w:val="center"/>
              <w:rPr>
                <w:rFonts w:ascii="仿宋" w:hAnsi="仿宋" w:eastAsia="仿宋" w:cs="仿宋"/>
                <w:kern w:val="0"/>
                <w:sz w:val="24"/>
                <w:szCs w:val="24"/>
              </w:rPr>
            </w:pPr>
          </w:p>
        </w:tc>
        <w:tc>
          <w:tcPr>
            <w:tcW w:w="855" w:type="dxa"/>
            <w:vMerge w:val="continue"/>
            <w:noWrap w:val="0"/>
            <w:vAlign w:val="center"/>
          </w:tcPr>
          <w:p w14:paraId="1E3BB70C">
            <w:pPr>
              <w:jc w:val="center"/>
              <w:rPr>
                <w:rFonts w:ascii="仿宋" w:hAnsi="仿宋" w:eastAsia="仿宋" w:cs="仿宋"/>
                <w:kern w:val="0"/>
                <w:sz w:val="24"/>
                <w:szCs w:val="24"/>
              </w:rPr>
            </w:pPr>
          </w:p>
        </w:tc>
        <w:tc>
          <w:tcPr>
            <w:tcW w:w="1065" w:type="dxa"/>
            <w:noWrap w:val="0"/>
            <w:vAlign w:val="center"/>
          </w:tcPr>
          <w:p w14:paraId="513A37B5">
            <w:pPr>
              <w:jc w:val="center"/>
              <w:rPr>
                <w:rFonts w:ascii="仿宋" w:hAnsi="仿宋" w:eastAsia="仿宋" w:cs="仿宋"/>
                <w:kern w:val="0"/>
                <w:sz w:val="24"/>
                <w:szCs w:val="24"/>
              </w:rPr>
            </w:pPr>
            <w:r>
              <w:rPr>
                <w:rFonts w:hint="eastAsia" w:ascii="仿宋" w:hAnsi="仿宋" w:eastAsia="仿宋" w:cs="仿宋"/>
                <w:kern w:val="0"/>
                <w:sz w:val="24"/>
                <w:szCs w:val="24"/>
              </w:rPr>
              <w:t>事中费用预警设置</w:t>
            </w:r>
          </w:p>
        </w:tc>
        <w:tc>
          <w:tcPr>
            <w:tcW w:w="6300" w:type="dxa"/>
            <w:noWrap w:val="0"/>
            <w:vAlign w:val="center"/>
          </w:tcPr>
          <w:p w14:paraId="30C56B4D">
            <w:pPr>
              <w:jc w:val="left"/>
              <w:rPr>
                <w:rFonts w:ascii="仿宋" w:hAnsi="仿宋" w:eastAsia="仿宋" w:cs="仿宋"/>
                <w:kern w:val="0"/>
                <w:sz w:val="24"/>
                <w:szCs w:val="24"/>
              </w:rPr>
            </w:pPr>
            <w:r>
              <w:rPr>
                <w:rFonts w:hint="eastAsia" w:ascii="仿宋" w:hAnsi="仿宋" w:eastAsia="仿宋" w:cs="仿宋"/>
                <w:kern w:val="0"/>
                <w:sz w:val="24"/>
                <w:szCs w:val="24"/>
              </w:rPr>
              <w:t>支持自定义高倍预警、低倍预警、超支风险三类费用预警的规则与生效范围。</w:t>
            </w:r>
          </w:p>
        </w:tc>
      </w:tr>
      <w:tr w14:paraId="768E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1F2CDA1D">
            <w:pPr>
              <w:jc w:val="center"/>
              <w:rPr>
                <w:rFonts w:ascii="仿宋" w:hAnsi="仿宋" w:eastAsia="仿宋" w:cs="仿宋"/>
                <w:kern w:val="0"/>
                <w:sz w:val="24"/>
                <w:szCs w:val="24"/>
              </w:rPr>
            </w:pPr>
          </w:p>
        </w:tc>
        <w:tc>
          <w:tcPr>
            <w:tcW w:w="855" w:type="dxa"/>
            <w:vMerge w:val="continue"/>
            <w:noWrap w:val="0"/>
            <w:vAlign w:val="center"/>
          </w:tcPr>
          <w:p w14:paraId="469D1346">
            <w:pPr>
              <w:jc w:val="center"/>
              <w:rPr>
                <w:rFonts w:ascii="仿宋" w:hAnsi="仿宋" w:eastAsia="仿宋" w:cs="仿宋"/>
                <w:kern w:val="0"/>
                <w:sz w:val="24"/>
                <w:szCs w:val="24"/>
              </w:rPr>
            </w:pPr>
          </w:p>
        </w:tc>
        <w:tc>
          <w:tcPr>
            <w:tcW w:w="1065" w:type="dxa"/>
            <w:noWrap w:val="0"/>
            <w:vAlign w:val="center"/>
          </w:tcPr>
          <w:p w14:paraId="5F17D9B7">
            <w:pPr>
              <w:jc w:val="center"/>
              <w:rPr>
                <w:rFonts w:ascii="仿宋" w:hAnsi="仿宋" w:eastAsia="仿宋" w:cs="仿宋"/>
                <w:kern w:val="0"/>
                <w:sz w:val="24"/>
                <w:szCs w:val="24"/>
              </w:rPr>
            </w:pPr>
            <w:r>
              <w:rPr>
                <w:rFonts w:hint="eastAsia" w:ascii="仿宋" w:hAnsi="仿宋" w:eastAsia="仿宋" w:cs="仿宋"/>
                <w:kern w:val="0"/>
                <w:sz w:val="24"/>
                <w:szCs w:val="24"/>
              </w:rPr>
              <w:t>病例详情设置</w:t>
            </w:r>
          </w:p>
        </w:tc>
        <w:tc>
          <w:tcPr>
            <w:tcW w:w="6300" w:type="dxa"/>
            <w:noWrap w:val="0"/>
            <w:vAlign w:val="center"/>
          </w:tcPr>
          <w:p w14:paraId="3303FA52">
            <w:pPr>
              <w:jc w:val="left"/>
              <w:rPr>
                <w:rFonts w:ascii="仿宋" w:hAnsi="仿宋" w:eastAsia="仿宋" w:cs="仿宋"/>
                <w:kern w:val="0"/>
                <w:sz w:val="24"/>
                <w:szCs w:val="24"/>
              </w:rPr>
            </w:pPr>
            <w:r>
              <w:rPr>
                <w:rFonts w:hint="eastAsia" w:ascii="仿宋" w:hAnsi="仿宋" w:eastAsia="仿宋" w:cs="仿宋"/>
                <w:kern w:val="0"/>
                <w:sz w:val="24"/>
                <w:szCs w:val="24"/>
              </w:rPr>
              <w:t>支持自定义病例详情控费进度条的展示形式，以及详情页的字段信息、指标展示。</w:t>
            </w:r>
          </w:p>
        </w:tc>
      </w:tr>
      <w:tr w14:paraId="7889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739074F2">
            <w:pPr>
              <w:jc w:val="center"/>
              <w:rPr>
                <w:rFonts w:ascii="仿宋" w:hAnsi="仿宋" w:eastAsia="仿宋" w:cs="仿宋"/>
                <w:kern w:val="0"/>
                <w:sz w:val="24"/>
                <w:szCs w:val="24"/>
              </w:rPr>
            </w:pPr>
          </w:p>
        </w:tc>
        <w:tc>
          <w:tcPr>
            <w:tcW w:w="855" w:type="dxa"/>
            <w:vMerge w:val="continue"/>
            <w:noWrap w:val="0"/>
            <w:vAlign w:val="center"/>
          </w:tcPr>
          <w:p w14:paraId="0588ABD0">
            <w:pPr>
              <w:jc w:val="center"/>
              <w:rPr>
                <w:rFonts w:ascii="仿宋" w:hAnsi="仿宋" w:eastAsia="仿宋" w:cs="仿宋"/>
                <w:kern w:val="0"/>
                <w:sz w:val="24"/>
                <w:szCs w:val="24"/>
              </w:rPr>
            </w:pPr>
          </w:p>
        </w:tc>
        <w:tc>
          <w:tcPr>
            <w:tcW w:w="1065" w:type="dxa"/>
            <w:noWrap w:val="0"/>
            <w:vAlign w:val="center"/>
          </w:tcPr>
          <w:p w14:paraId="6A224FA7">
            <w:pPr>
              <w:jc w:val="center"/>
              <w:rPr>
                <w:rFonts w:ascii="仿宋" w:hAnsi="仿宋" w:eastAsia="仿宋" w:cs="仿宋"/>
                <w:kern w:val="0"/>
                <w:sz w:val="24"/>
                <w:szCs w:val="24"/>
              </w:rPr>
            </w:pPr>
            <w:r>
              <w:rPr>
                <w:rFonts w:hint="eastAsia" w:ascii="仿宋" w:hAnsi="仿宋" w:eastAsia="仿宋" w:cs="仿宋"/>
                <w:kern w:val="0"/>
                <w:sz w:val="24"/>
                <w:szCs w:val="24"/>
              </w:rPr>
              <w:t>特殊结算方式设置</w:t>
            </w:r>
          </w:p>
        </w:tc>
        <w:tc>
          <w:tcPr>
            <w:tcW w:w="6300" w:type="dxa"/>
            <w:noWrap w:val="0"/>
            <w:vAlign w:val="center"/>
          </w:tcPr>
          <w:p w14:paraId="11BC7724">
            <w:pPr>
              <w:jc w:val="left"/>
              <w:rPr>
                <w:rFonts w:ascii="仿宋" w:hAnsi="仿宋" w:eastAsia="仿宋" w:cs="仿宋"/>
                <w:kern w:val="0"/>
                <w:sz w:val="24"/>
                <w:szCs w:val="24"/>
              </w:rPr>
            </w:pPr>
            <w:r>
              <w:rPr>
                <w:rFonts w:hint="eastAsia" w:ascii="仿宋" w:hAnsi="仿宋" w:eastAsia="仿宋" w:cs="仿宋"/>
                <w:kern w:val="0"/>
                <w:sz w:val="24"/>
                <w:szCs w:val="24"/>
              </w:rPr>
              <w:t>支持自定义事中监测优先按点数最高预测、优先按病组预测、优先按床日预测等，开关按床日结算预测和中医预测结算。</w:t>
            </w:r>
          </w:p>
        </w:tc>
      </w:tr>
      <w:tr w14:paraId="2B3D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0A8BF4FB">
            <w:pPr>
              <w:jc w:val="center"/>
              <w:rPr>
                <w:rFonts w:ascii="仿宋" w:hAnsi="仿宋" w:eastAsia="仿宋" w:cs="仿宋"/>
                <w:kern w:val="0"/>
                <w:sz w:val="24"/>
                <w:szCs w:val="24"/>
              </w:rPr>
            </w:pPr>
          </w:p>
        </w:tc>
        <w:tc>
          <w:tcPr>
            <w:tcW w:w="855" w:type="dxa"/>
            <w:vMerge w:val="restart"/>
            <w:noWrap w:val="0"/>
            <w:vAlign w:val="center"/>
          </w:tcPr>
          <w:p w14:paraId="66CE1DBE">
            <w:pPr>
              <w:jc w:val="center"/>
              <w:rPr>
                <w:rFonts w:ascii="仿宋" w:hAnsi="仿宋" w:eastAsia="仿宋" w:cs="仿宋"/>
                <w:kern w:val="0"/>
                <w:sz w:val="24"/>
                <w:szCs w:val="24"/>
              </w:rPr>
            </w:pPr>
            <w:r>
              <w:rPr>
                <w:rFonts w:hint="eastAsia" w:ascii="仿宋" w:hAnsi="仿宋" w:eastAsia="仿宋" w:cs="仿宋"/>
                <w:kern w:val="0"/>
                <w:sz w:val="24"/>
                <w:szCs w:val="24"/>
              </w:rPr>
              <w:t>账号权限管理</w:t>
            </w:r>
          </w:p>
        </w:tc>
        <w:tc>
          <w:tcPr>
            <w:tcW w:w="1065" w:type="dxa"/>
            <w:noWrap w:val="0"/>
            <w:vAlign w:val="center"/>
          </w:tcPr>
          <w:p w14:paraId="3160F44C">
            <w:pPr>
              <w:jc w:val="center"/>
              <w:rPr>
                <w:rFonts w:ascii="仿宋" w:hAnsi="仿宋" w:eastAsia="仿宋" w:cs="仿宋"/>
                <w:kern w:val="0"/>
                <w:sz w:val="24"/>
                <w:szCs w:val="24"/>
              </w:rPr>
            </w:pPr>
            <w:r>
              <w:rPr>
                <w:rFonts w:hint="eastAsia" w:ascii="仿宋" w:hAnsi="仿宋" w:eastAsia="仿宋" w:cs="仿宋"/>
                <w:kern w:val="0"/>
                <w:sz w:val="24"/>
                <w:szCs w:val="24"/>
              </w:rPr>
              <w:t>管理科室设置</w:t>
            </w:r>
          </w:p>
        </w:tc>
        <w:tc>
          <w:tcPr>
            <w:tcW w:w="6300" w:type="dxa"/>
            <w:noWrap w:val="0"/>
            <w:vAlign w:val="center"/>
          </w:tcPr>
          <w:p w14:paraId="3C825868">
            <w:pPr>
              <w:jc w:val="left"/>
              <w:rPr>
                <w:rFonts w:ascii="仿宋" w:hAnsi="仿宋" w:eastAsia="仿宋" w:cs="仿宋"/>
                <w:kern w:val="0"/>
                <w:sz w:val="24"/>
                <w:szCs w:val="24"/>
              </w:rPr>
            </w:pPr>
            <w:r>
              <w:rPr>
                <w:rFonts w:hint="eastAsia" w:ascii="仿宋" w:hAnsi="仿宋" w:eastAsia="仿宋" w:cs="仿宋"/>
                <w:kern w:val="0"/>
                <w:sz w:val="24"/>
                <w:szCs w:val="24"/>
              </w:rPr>
              <w:t>支持按出院科室设置大科室，满足医院二级科室管理。</w:t>
            </w:r>
          </w:p>
        </w:tc>
      </w:tr>
      <w:tr w14:paraId="5161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center"/>
          </w:tcPr>
          <w:p w14:paraId="7508B7DE">
            <w:pPr>
              <w:jc w:val="center"/>
              <w:rPr>
                <w:rFonts w:ascii="仿宋" w:hAnsi="仿宋" w:eastAsia="仿宋" w:cs="仿宋"/>
                <w:kern w:val="0"/>
                <w:sz w:val="24"/>
                <w:szCs w:val="24"/>
              </w:rPr>
            </w:pPr>
          </w:p>
        </w:tc>
        <w:tc>
          <w:tcPr>
            <w:tcW w:w="855" w:type="dxa"/>
            <w:vMerge w:val="continue"/>
            <w:noWrap w:val="0"/>
            <w:vAlign w:val="center"/>
          </w:tcPr>
          <w:p w14:paraId="2B70DEB0">
            <w:pPr>
              <w:jc w:val="center"/>
              <w:rPr>
                <w:rFonts w:ascii="仿宋" w:hAnsi="仿宋" w:eastAsia="仿宋" w:cs="仿宋"/>
                <w:kern w:val="0"/>
                <w:sz w:val="24"/>
                <w:szCs w:val="24"/>
              </w:rPr>
            </w:pPr>
          </w:p>
        </w:tc>
        <w:tc>
          <w:tcPr>
            <w:tcW w:w="1065" w:type="dxa"/>
            <w:noWrap w:val="0"/>
            <w:vAlign w:val="center"/>
          </w:tcPr>
          <w:p w14:paraId="6E92AD27">
            <w:pPr>
              <w:jc w:val="center"/>
              <w:rPr>
                <w:rFonts w:ascii="仿宋" w:hAnsi="仿宋" w:eastAsia="仿宋" w:cs="仿宋"/>
                <w:kern w:val="0"/>
                <w:sz w:val="24"/>
                <w:szCs w:val="24"/>
              </w:rPr>
            </w:pPr>
            <w:r>
              <w:rPr>
                <w:rFonts w:hint="eastAsia" w:ascii="仿宋" w:hAnsi="仿宋" w:eastAsia="仿宋" w:cs="仿宋"/>
                <w:kern w:val="0"/>
                <w:sz w:val="24"/>
                <w:szCs w:val="24"/>
              </w:rPr>
              <w:t>角色与数据权限</w:t>
            </w:r>
          </w:p>
        </w:tc>
        <w:tc>
          <w:tcPr>
            <w:tcW w:w="6300" w:type="dxa"/>
            <w:noWrap w:val="0"/>
            <w:vAlign w:val="center"/>
          </w:tcPr>
          <w:p w14:paraId="5F86DF7F">
            <w:pPr>
              <w:jc w:val="left"/>
              <w:rPr>
                <w:rFonts w:ascii="仿宋" w:hAnsi="仿宋" w:eastAsia="仿宋" w:cs="仿宋"/>
                <w:kern w:val="0"/>
                <w:sz w:val="24"/>
                <w:szCs w:val="24"/>
              </w:rPr>
            </w:pPr>
            <w:r>
              <w:rPr>
                <w:rFonts w:hint="eastAsia" w:ascii="仿宋" w:hAnsi="仿宋" w:eastAsia="仿宋" w:cs="仿宋"/>
                <w:kern w:val="0"/>
                <w:sz w:val="24"/>
                <w:szCs w:val="24"/>
              </w:rPr>
              <w:t>支持根据医院需要，按照院级、科级、医生不同角色设置菜单和数据权限。</w:t>
            </w:r>
          </w:p>
        </w:tc>
      </w:tr>
      <w:bookmarkEnd w:id="52"/>
    </w:tbl>
    <w:p w14:paraId="399D6313">
      <w:pPr>
        <w:numPr>
          <w:ilvl w:val="2"/>
          <w:numId w:val="0"/>
        </w:numPr>
        <w:spacing w:line="440" w:lineRule="exact"/>
        <w:outlineLvl w:val="2"/>
        <w:rPr>
          <w:rFonts w:ascii="仿宋" w:hAnsi="仿宋" w:eastAsia="仿宋" w:cs="仿宋"/>
          <w:b/>
          <w:bCs/>
          <w:sz w:val="24"/>
          <w:szCs w:val="24"/>
        </w:rPr>
      </w:pPr>
      <w:r>
        <w:rPr>
          <w:rFonts w:hint="eastAsia" w:ascii="仿宋" w:hAnsi="仿宋" w:eastAsia="仿宋" w:cs="仿宋"/>
          <w:b/>
          <w:bCs/>
          <w:sz w:val="24"/>
          <w:szCs w:val="24"/>
        </w:rPr>
        <w:t>1.1.3.医保结算清单管理服务</w:t>
      </w:r>
      <w:bookmarkEnd w:id="53"/>
    </w:p>
    <w:tbl>
      <w:tblPr>
        <w:tblStyle w:val="15"/>
        <w:tblW w:w="9045"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035"/>
        <w:gridCol w:w="7065"/>
      </w:tblGrid>
      <w:tr w14:paraId="4AFF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5" w:type="dxa"/>
            <w:noWrap w:val="0"/>
            <w:vAlign w:val="center"/>
          </w:tcPr>
          <w:p w14:paraId="320274C6">
            <w:pPr>
              <w:adjustRightInd w:val="0"/>
              <w:snapToGrid w:val="0"/>
              <w:jc w:val="center"/>
              <w:rPr>
                <w:rFonts w:ascii="仿宋" w:hAnsi="仿宋" w:eastAsia="仿宋" w:cs="仿宋"/>
                <w:b/>
                <w:bCs/>
                <w:kern w:val="0"/>
                <w:sz w:val="24"/>
                <w:szCs w:val="24"/>
              </w:rPr>
            </w:pPr>
            <w:bookmarkStart w:id="55" w:name="_Toc2827"/>
            <w:r>
              <w:rPr>
                <w:rFonts w:hint="eastAsia" w:ascii="仿宋" w:hAnsi="仿宋" w:eastAsia="仿宋" w:cs="仿宋"/>
                <w:b/>
                <w:bCs/>
                <w:kern w:val="0"/>
                <w:sz w:val="24"/>
                <w:szCs w:val="24"/>
              </w:rPr>
              <w:t>服务</w:t>
            </w:r>
          </w:p>
          <w:p w14:paraId="6CC5BBCA">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类别</w:t>
            </w:r>
          </w:p>
        </w:tc>
        <w:tc>
          <w:tcPr>
            <w:tcW w:w="1035" w:type="dxa"/>
            <w:noWrap w:val="0"/>
            <w:vAlign w:val="center"/>
          </w:tcPr>
          <w:p w14:paraId="66D861EE">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服务</w:t>
            </w:r>
          </w:p>
          <w:p w14:paraId="3AC22BB5">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内容</w:t>
            </w:r>
          </w:p>
        </w:tc>
        <w:tc>
          <w:tcPr>
            <w:tcW w:w="7065" w:type="dxa"/>
            <w:noWrap w:val="0"/>
            <w:vAlign w:val="center"/>
          </w:tcPr>
          <w:p w14:paraId="5A6F3025">
            <w:pPr>
              <w:adjustRightInd w:val="0"/>
              <w:snapToGrid w:val="0"/>
              <w:jc w:val="center"/>
              <w:rPr>
                <w:rFonts w:ascii="仿宋" w:hAnsi="仿宋" w:eastAsia="仿宋" w:cs="仿宋"/>
                <w:b/>
                <w:bCs/>
                <w:kern w:val="0"/>
                <w:sz w:val="24"/>
                <w:szCs w:val="24"/>
              </w:rPr>
            </w:pPr>
            <w:r>
              <w:rPr>
                <w:rFonts w:hint="eastAsia" w:ascii="仿宋" w:hAnsi="仿宋" w:eastAsia="仿宋" w:cs="仿宋"/>
                <w:b/>
                <w:bCs/>
                <w:kern w:val="0"/>
                <w:sz w:val="24"/>
                <w:szCs w:val="24"/>
              </w:rPr>
              <w:t>具体事项</w:t>
            </w:r>
          </w:p>
        </w:tc>
      </w:tr>
      <w:tr w14:paraId="10D5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noWrap w:val="0"/>
            <w:vAlign w:val="center"/>
          </w:tcPr>
          <w:p w14:paraId="3519B786">
            <w:pPr>
              <w:jc w:val="center"/>
              <w:rPr>
                <w:rFonts w:ascii="仿宋" w:hAnsi="仿宋" w:eastAsia="仿宋" w:cs="仿宋"/>
                <w:kern w:val="0"/>
                <w:sz w:val="24"/>
                <w:szCs w:val="24"/>
              </w:rPr>
            </w:pPr>
            <w:r>
              <w:rPr>
                <w:rFonts w:hint="eastAsia" w:ascii="仿宋" w:hAnsi="仿宋" w:eastAsia="仿宋" w:cs="仿宋"/>
                <w:kern w:val="0"/>
                <w:sz w:val="24"/>
                <w:szCs w:val="24"/>
              </w:rPr>
              <w:t>清单任务总览服务</w:t>
            </w:r>
          </w:p>
        </w:tc>
        <w:tc>
          <w:tcPr>
            <w:tcW w:w="1035" w:type="dxa"/>
            <w:noWrap w:val="0"/>
            <w:vAlign w:val="center"/>
          </w:tcPr>
          <w:p w14:paraId="0DD4F2FC">
            <w:pPr>
              <w:jc w:val="center"/>
              <w:rPr>
                <w:rFonts w:ascii="仿宋" w:hAnsi="仿宋" w:eastAsia="仿宋" w:cs="仿宋"/>
                <w:kern w:val="0"/>
                <w:sz w:val="24"/>
                <w:szCs w:val="24"/>
              </w:rPr>
            </w:pPr>
            <w:r>
              <w:rPr>
                <w:rFonts w:hint="eastAsia" w:ascii="仿宋" w:hAnsi="仿宋" w:eastAsia="仿宋" w:cs="仿宋"/>
                <w:kern w:val="0"/>
                <w:sz w:val="24"/>
                <w:szCs w:val="24"/>
              </w:rPr>
              <w:t>管理指标统计</w:t>
            </w:r>
          </w:p>
        </w:tc>
        <w:tc>
          <w:tcPr>
            <w:tcW w:w="7065" w:type="dxa"/>
            <w:noWrap w:val="0"/>
            <w:vAlign w:val="center"/>
          </w:tcPr>
          <w:p w14:paraId="3B21CCD9">
            <w:pPr>
              <w:jc w:val="left"/>
              <w:rPr>
                <w:rFonts w:ascii="仿宋" w:hAnsi="仿宋" w:eastAsia="仿宋" w:cs="仿宋"/>
                <w:kern w:val="0"/>
                <w:sz w:val="24"/>
                <w:szCs w:val="24"/>
              </w:rPr>
            </w:pPr>
            <w:r>
              <w:rPr>
                <w:rFonts w:hint="eastAsia" w:ascii="仿宋" w:hAnsi="仿宋" w:eastAsia="仿宋" w:cs="仿宋"/>
                <w:kern w:val="0"/>
                <w:sz w:val="24"/>
                <w:szCs w:val="24"/>
              </w:rPr>
              <w:t>1) 支持统计筛选时间段内的审核完成率、首次上报合格率。</w:t>
            </w:r>
          </w:p>
        </w:tc>
      </w:tr>
      <w:tr w14:paraId="68A8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5332364B">
            <w:pPr>
              <w:jc w:val="center"/>
              <w:rPr>
                <w:rFonts w:ascii="仿宋" w:hAnsi="仿宋" w:eastAsia="仿宋" w:cs="仿宋"/>
                <w:kern w:val="0"/>
                <w:sz w:val="24"/>
                <w:szCs w:val="24"/>
              </w:rPr>
            </w:pPr>
          </w:p>
        </w:tc>
        <w:tc>
          <w:tcPr>
            <w:tcW w:w="1035" w:type="dxa"/>
            <w:noWrap w:val="0"/>
            <w:vAlign w:val="center"/>
          </w:tcPr>
          <w:p w14:paraId="499A15DF">
            <w:pPr>
              <w:jc w:val="center"/>
              <w:rPr>
                <w:rFonts w:ascii="仿宋" w:hAnsi="仿宋" w:eastAsia="仿宋" w:cs="仿宋"/>
                <w:kern w:val="0"/>
                <w:sz w:val="24"/>
                <w:szCs w:val="24"/>
              </w:rPr>
            </w:pPr>
            <w:r>
              <w:rPr>
                <w:rFonts w:hint="eastAsia" w:ascii="仿宋" w:hAnsi="仿宋" w:eastAsia="仿宋" w:cs="仿宋"/>
                <w:kern w:val="0"/>
                <w:sz w:val="24"/>
                <w:szCs w:val="24"/>
              </w:rPr>
              <w:t>清单任务统计</w:t>
            </w:r>
          </w:p>
        </w:tc>
        <w:tc>
          <w:tcPr>
            <w:tcW w:w="7065" w:type="dxa"/>
            <w:noWrap w:val="0"/>
            <w:vAlign w:val="center"/>
          </w:tcPr>
          <w:p w14:paraId="25EC631D">
            <w:pPr>
              <w:jc w:val="left"/>
              <w:rPr>
                <w:rFonts w:ascii="仿宋" w:hAnsi="仿宋" w:eastAsia="仿宋" w:cs="仿宋"/>
                <w:kern w:val="0"/>
                <w:sz w:val="24"/>
                <w:szCs w:val="24"/>
              </w:rPr>
            </w:pPr>
            <w:r>
              <w:rPr>
                <w:rFonts w:hint="eastAsia" w:ascii="仿宋" w:hAnsi="仿宋" w:eastAsia="仿宋" w:cs="仿宋"/>
                <w:kern w:val="0"/>
                <w:sz w:val="24"/>
                <w:szCs w:val="24"/>
              </w:rPr>
              <w:t>1) 支持展示已生成清单的数量，包含通过病案首页数据生成的清单数量和对特殊患者自动补充生产的清单数量。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支持根据医院实际配置的审核流程节点，分别展示清单初审、清单复审、清单终审任务节点中具体的清单审核状态及数量，支持下钻到对应清单列表。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支持按院内结算日期、出院日期统计筛选时间段内以上清单的数量及状态。</w:t>
            </w:r>
          </w:p>
        </w:tc>
      </w:tr>
      <w:tr w14:paraId="2CBB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noWrap w:val="0"/>
            <w:vAlign w:val="center"/>
          </w:tcPr>
          <w:p w14:paraId="67EDC7CA">
            <w:pPr>
              <w:jc w:val="center"/>
              <w:rPr>
                <w:rFonts w:ascii="仿宋" w:hAnsi="仿宋" w:eastAsia="仿宋" w:cs="仿宋"/>
                <w:kern w:val="0"/>
                <w:sz w:val="24"/>
                <w:szCs w:val="24"/>
              </w:rPr>
            </w:pPr>
            <w:r>
              <w:rPr>
                <w:rFonts w:hint="eastAsia" w:ascii="仿宋" w:hAnsi="仿宋" w:eastAsia="仿宋" w:cs="仿宋"/>
                <w:kern w:val="0"/>
                <w:sz w:val="24"/>
                <w:szCs w:val="24"/>
              </w:rPr>
              <w:t>上报前清单审核服务</w:t>
            </w:r>
          </w:p>
        </w:tc>
        <w:tc>
          <w:tcPr>
            <w:tcW w:w="1035" w:type="dxa"/>
            <w:noWrap w:val="0"/>
            <w:vAlign w:val="center"/>
          </w:tcPr>
          <w:p w14:paraId="1EB4E080">
            <w:pPr>
              <w:jc w:val="center"/>
              <w:rPr>
                <w:rFonts w:ascii="仿宋" w:hAnsi="仿宋" w:eastAsia="仿宋" w:cs="仿宋"/>
                <w:kern w:val="0"/>
                <w:sz w:val="24"/>
                <w:szCs w:val="24"/>
              </w:rPr>
            </w:pPr>
            <w:r>
              <w:rPr>
                <w:rFonts w:hint="eastAsia" w:ascii="仿宋" w:hAnsi="仿宋" w:eastAsia="仿宋" w:cs="仿宋"/>
                <w:kern w:val="0"/>
                <w:sz w:val="24"/>
                <w:szCs w:val="24"/>
              </w:rPr>
              <w:t>清单生成</w:t>
            </w:r>
          </w:p>
        </w:tc>
        <w:tc>
          <w:tcPr>
            <w:tcW w:w="7065" w:type="dxa"/>
            <w:noWrap w:val="0"/>
            <w:vAlign w:val="center"/>
          </w:tcPr>
          <w:p w14:paraId="4DD99DF0">
            <w:pPr>
              <w:jc w:val="left"/>
              <w:rPr>
                <w:rFonts w:ascii="仿宋" w:hAnsi="仿宋" w:eastAsia="仿宋" w:cs="仿宋"/>
                <w:kern w:val="0"/>
                <w:sz w:val="24"/>
                <w:szCs w:val="24"/>
              </w:rPr>
            </w:pPr>
            <w:r>
              <w:rPr>
                <w:rFonts w:hint="eastAsia" w:ascii="仿宋" w:hAnsi="仿宋" w:eastAsia="仿宋" w:cs="仿宋"/>
                <w:kern w:val="0"/>
                <w:sz w:val="24"/>
                <w:szCs w:val="24"/>
              </w:rPr>
              <w:t>1) 支持自动获取医院各系统相关数据，生成待审核结算清单，自动对结算清单进行全量质检质控；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支持对血液透析的患者自动生成结算清单，对于母婴同室的婴儿自动拆分结算清单，并提供全量质检质控；</w:t>
            </w:r>
          </w:p>
        </w:tc>
      </w:tr>
      <w:tr w14:paraId="2DE8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3BDFDD33">
            <w:pPr>
              <w:jc w:val="center"/>
              <w:rPr>
                <w:rFonts w:ascii="仿宋" w:hAnsi="仿宋" w:eastAsia="仿宋" w:cs="仿宋"/>
                <w:kern w:val="0"/>
                <w:sz w:val="24"/>
                <w:szCs w:val="24"/>
              </w:rPr>
            </w:pPr>
          </w:p>
        </w:tc>
        <w:tc>
          <w:tcPr>
            <w:tcW w:w="1035" w:type="dxa"/>
            <w:noWrap w:val="0"/>
            <w:vAlign w:val="center"/>
          </w:tcPr>
          <w:p w14:paraId="0DCB8015">
            <w:pPr>
              <w:jc w:val="center"/>
              <w:rPr>
                <w:rFonts w:ascii="仿宋" w:hAnsi="仿宋" w:eastAsia="仿宋" w:cs="仿宋"/>
                <w:kern w:val="0"/>
                <w:sz w:val="24"/>
                <w:szCs w:val="24"/>
              </w:rPr>
            </w:pPr>
            <w:r>
              <w:rPr>
                <w:rFonts w:hint="eastAsia" w:ascii="仿宋" w:hAnsi="仿宋" w:eastAsia="仿宋" w:cs="仿宋"/>
                <w:kern w:val="0"/>
                <w:sz w:val="24"/>
                <w:szCs w:val="24"/>
              </w:rPr>
              <w:t>清单操作</w:t>
            </w:r>
          </w:p>
        </w:tc>
        <w:tc>
          <w:tcPr>
            <w:tcW w:w="7065" w:type="dxa"/>
            <w:noWrap w:val="0"/>
            <w:vAlign w:val="center"/>
          </w:tcPr>
          <w:p w14:paraId="768B7A71">
            <w:pPr>
              <w:jc w:val="left"/>
              <w:rPr>
                <w:rFonts w:ascii="仿宋" w:hAnsi="仿宋" w:eastAsia="仿宋" w:cs="仿宋"/>
                <w:kern w:val="0"/>
                <w:sz w:val="24"/>
                <w:szCs w:val="24"/>
              </w:rPr>
            </w:pPr>
            <w:r>
              <w:rPr>
                <w:rFonts w:hint="eastAsia" w:ascii="仿宋" w:hAnsi="仿宋" w:eastAsia="仿宋" w:cs="仿宋"/>
                <w:kern w:val="0"/>
                <w:sz w:val="24"/>
                <w:szCs w:val="24"/>
              </w:rPr>
              <w:t>1) 支持自定义设置清单列表展示数量，如20条/页、50条/页、100条/页；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支持对清单标记疑问病例，并在列表内进行差异化标识展示，支持搜索查询；</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支持在列表内对于已读清单和未读清单进行差异化展示，支持搜索查询；</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支持对符合再入院条件的患者进行差异化标识展示，支持查看上次住院信息，支持搜索查询；</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支持对与病案首页不一致的清单进行标注，支持查看病案首页与结算清单不一致的具体对比情况；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支持查看每份清单的基本信息，包括患者信息、病案号、住院号、住院医师、入组情况、预计结余、病例类型等信息；支持按费用类型查看费用明细，并展示费用分布情况和费用占比。</w:t>
            </w:r>
            <w:r>
              <w:rPr>
                <w:rFonts w:hint="eastAsia" w:ascii="仿宋" w:hAnsi="仿宋" w:eastAsia="仿宋" w:cs="仿宋"/>
                <w:b/>
                <w:bCs/>
                <w:kern w:val="0"/>
                <w:sz w:val="24"/>
                <w:szCs w:val="24"/>
              </w:rPr>
              <w:t>支持对于入组异常患者展示入组解析。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支持按病组结算和床日结算两种结算方式，对于同时符合两种结算方式的患者支持切换结算方式进行对比查看；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 支持展示清单质检结果，对不同预警级别差异化展示；支持展示诊断手术信息；支持展示清单批注信息并进行操作；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 ▲支持通过大数据分析建立多维度优选策略，在保证清单合规的前提下提供结算更多组合的参考；支持通过大数据对疑似手术缺漏进行提醒，提供对应的优选组合，并对缺漏手术进行差异化标识；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 支持下钻查看清单详情，定位展示对应的质控问题点，支持对诊断、手术信息进行编辑，包括顺序调整、新增、删除、修改；支持在调整清单内容后模拟质检，比对查看新旧分组预测与质控结果信息；支持保存修改后的清单，保存后清单将停止自动刷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11) 支持对已修改的清单，手动开启清单自动更新；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12) 支持对不适用的清单规则进行关闭，并记录关闭理由；支持针对于个别患者无需修改的规则进行关闭，并记录关闭理由；</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13) ▲支持查看清单编辑日志，日志记录所有操作人员、时间、操作内容，可查看修改前后对比，支持查看与初始清单的对比；</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14) 支持对清单发起批注信息，选择发送至指定用户，支持立即发送或暂不发送仅保存；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15) 支持通过调整主次诊断、手术顺序对清单进行模拟入组，比对查看新旧分组预测与质控结果信息，支持将模拟分组结果快捷添加至批注或详情页；</w:t>
            </w:r>
          </w:p>
          <w:p w14:paraId="7410A913">
            <w:pPr>
              <w:jc w:val="left"/>
              <w:rPr>
                <w:rFonts w:ascii="仿宋" w:hAnsi="仿宋" w:eastAsia="仿宋" w:cs="仿宋"/>
                <w:kern w:val="0"/>
                <w:sz w:val="24"/>
                <w:szCs w:val="24"/>
              </w:rPr>
            </w:pPr>
            <w:r>
              <w:rPr>
                <w:rFonts w:hint="eastAsia" w:ascii="仿宋" w:hAnsi="仿宋" w:eastAsia="仿宋" w:cs="仿宋"/>
                <w:kern w:val="0"/>
                <w:sz w:val="24"/>
                <w:szCs w:val="24"/>
              </w:rPr>
              <w:t>16) 支持通过手动刷新HIS实时信息，更新待审核清单数据 。</w:t>
            </w:r>
          </w:p>
        </w:tc>
      </w:tr>
      <w:tr w14:paraId="34CE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30FE9099">
            <w:pPr>
              <w:jc w:val="center"/>
              <w:rPr>
                <w:rFonts w:ascii="仿宋" w:hAnsi="仿宋" w:eastAsia="仿宋" w:cs="仿宋"/>
                <w:kern w:val="0"/>
                <w:sz w:val="24"/>
                <w:szCs w:val="24"/>
              </w:rPr>
            </w:pPr>
          </w:p>
        </w:tc>
        <w:tc>
          <w:tcPr>
            <w:tcW w:w="1035" w:type="dxa"/>
            <w:noWrap w:val="0"/>
            <w:vAlign w:val="center"/>
          </w:tcPr>
          <w:p w14:paraId="0C1E3902">
            <w:pPr>
              <w:jc w:val="center"/>
              <w:rPr>
                <w:rFonts w:ascii="仿宋" w:hAnsi="仿宋" w:eastAsia="仿宋" w:cs="仿宋"/>
                <w:kern w:val="0"/>
                <w:sz w:val="24"/>
                <w:szCs w:val="24"/>
              </w:rPr>
            </w:pPr>
            <w:r>
              <w:rPr>
                <w:rFonts w:hint="eastAsia" w:ascii="仿宋" w:hAnsi="仿宋" w:eastAsia="仿宋" w:cs="仿宋"/>
                <w:kern w:val="0"/>
                <w:sz w:val="24"/>
                <w:szCs w:val="24"/>
              </w:rPr>
              <w:t>我的清单</w:t>
            </w:r>
          </w:p>
        </w:tc>
        <w:tc>
          <w:tcPr>
            <w:tcW w:w="7065" w:type="dxa"/>
            <w:noWrap w:val="0"/>
            <w:vAlign w:val="center"/>
          </w:tcPr>
          <w:p w14:paraId="2D225528">
            <w:pPr>
              <w:numPr>
                <w:ilvl w:val="0"/>
                <w:numId w:val="8"/>
              </w:numPr>
              <w:jc w:val="left"/>
              <w:rPr>
                <w:rFonts w:ascii="仿宋" w:hAnsi="仿宋" w:eastAsia="仿宋" w:cs="仿宋"/>
                <w:kern w:val="0"/>
                <w:sz w:val="24"/>
                <w:szCs w:val="24"/>
              </w:rPr>
            </w:pPr>
            <w:r>
              <w:rPr>
                <w:rFonts w:hint="eastAsia" w:ascii="仿宋" w:hAnsi="仿宋" w:eastAsia="仿宋" w:cs="仿宋"/>
                <w:kern w:val="0"/>
                <w:sz w:val="24"/>
                <w:szCs w:val="24"/>
              </w:rPr>
              <w:t>支持按分配的数据权限，查看本人负责的全部流程节点下的所有结算清单；</w:t>
            </w:r>
          </w:p>
          <w:p w14:paraId="0D9F7B0C">
            <w:pPr>
              <w:numPr>
                <w:ilvl w:val="0"/>
                <w:numId w:val="8"/>
              </w:numPr>
              <w:jc w:val="left"/>
              <w:rPr>
                <w:rFonts w:ascii="仿宋" w:hAnsi="仿宋" w:eastAsia="仿宋" w:cs="仿宋"/>
                <w:kern w:val="0"/>
                <w:sz w:val="24"/>
                <w:szCs w:val="24"/>
              </w:rPr>
            </w:pPr>
            <w:r>
              <w:rPr>
                <w:rFonts w:hint="eastAsia" w:ascii="仿宋" w:hAnsi="仿宋" w:eastAsia="仿宋" w:cs="仿宋"/>
                <w:kern w:val="0"/>
                <w:sz w:val="24"/>
                <w:szCs w:val="24"/>
              </w:rPr>
              <w:t>支持查看结算清单当前审核状态，支持按姓名、住院号、病案号、医生、分组、主诊断、主手术进行搜索，支持下载导出列表。</w:t>
            </w:r>
          </w:p>
          <w:p w14:paraId="5FB392B4">
            <w:pPr>
              <w:numPr>
                <w:ilvl w:val="0"/>
                <w:numId w:val="8"/>
              </w:numPr>
              <w:jc w:val="left"/>
              <w:rPr>
                <w:rFonts w:ascii="仿宋" w:hAnsi="仿宋" w:eastAsia="仿宋" w:cs="仿宋"/>
                <w:kern w:val="0"/>
                <w:sz w:val="24"/>
                <w:szCs w:val="24"/>
              </w:rPr>
            </w:pPr>
            <w:r>
              <w:rPr>
                <w:rFonts w:hint="eastAsia" w:ascii="仿宋" w:hAnsi="仿宋" w:eastAsia="仿宋" w:cs="仿宋"/>
                <w:kern w:val="0"/>
                <w:sz w:val="24"/>
                <w:szCs w:val="24"/>
              </w:rPr>
              <w:t>支持对于重点问题主动进行推送，如已审核清单被退回、收到批注消息、清单数据源头发生变更</w:t>
            </w:r>
          </w:p>
        </w:tc>
      </w:tr>
      <w:tr w14:paraId="17A1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2B05A0BA">
            <w:pPr>
              <w:jc w:val="center"/>
              <w:rPr>
                <w:rFonts w:ascii="仿宋" w:hAnsi="仿宋" w:eastAsia="仿宋" w:cs="仿宋"/>
                <w:kern w:val="0"/>
                <w:sz w:val="24"/>
                <w:szCs w:val="24"/>
              </w:rPr>
            </w:pPr>
          </w:p>
        </w:tc>
        <w:tc>
          <w:tcPr>
            <w:tcW w:w="1035" w:type="dxa"/>
            <w:noWrap w:val="0"/>
            <w:vAlign w:val="center"/>
          </w:tcPr>
          <w:p w14:paraId="6BB05F9B">
            <w:pPr>
              <w:jc w:val="center"/>
              <w:rPr>
                <w:rFonts w:ascii="仿宋" w:hAnsi="仿宋" w:eastAsia="仿宋" w:cs="仿宋"/>
                <w:kern w:val="0"/>
                <w:sz w:val="24"/>
                <w:szCs w:val="24"/>
              </w:rPr>
            </w:pPr>
            <w:r>
              <w:rPr>
                <w:rFonts w:hint="eastAsia" w:ascii="仿宋" w:hAnsi="仿宋" w:eastAsia="仿宋" w:cs="仿宋"/>
                <w:kern w:val="0"/>
                <w:sz w:val="24"/>
                <w:szCs w:val="24"/>
              </w:rPr>
              <w:t>待审核清单</w:t>
            </w:r>
          </w:p>
        </w:tc>
        <w:tc>
          <w:tcPr>
            <w:tcW w:w="7065" w:type="dxa"/>
            <w:noWrap w:val="0"/>
            <w:vAlign w:val="center"/>
          </w:tcPr>
          <w:p w14:paraId="2F4F15FF">
            <w:pPr>
              <w:jc w:val="left"/>
              <w:rPr>
                <w:rFonts w:ascii="仿宋" w:hAnsi="仿宋" w:eastAsia="仿宋" w:cs="仿宋"/>
                <w:kern w:val="0"/>
                <w:sz w:val="24"/>
                <w:szCs w:val="24"/>
              </w:rPr>
            </w:pPr>
            <w:r>
              <w:rPr>
                <w:rFonts w:hint="eastAsia" w:ascii="仿宋" w:hAnsi="仿宋" w:eastAsia="仿宋" w:cs="仿宋"/>
                <w:kern w:val="0"/>
                <w:sz w:val="24"/>
                <w:szCs w:val="24"/>
              </w:rPr>
              <w:t>1) 支持按分配的数据权限，查看本人负责的所有待审核的结算清单；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支持对待审核清单操作审核通过，支持批量勾选操作审核通过，支持一键全部审核通过；已审核通过的清单根据审核流程配置，自动分配进入下一节点审核人员的待审核列表，并自动保存固化清单数据；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支持设置自定义校验条件，对符合条件的清单自动审核通过并进入本人审核通过列表，未通过审核的清单进入待审核列表等待人工处理审核；</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支持对审核不通过的清单进行退回操作，可选择退回至指定流程的待审核列表；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支持下载导出本人所有待审核清单列表。</w:t>
            </w:r>
          </w:p>
        </w:tc>
      </w:tr>
      <w:tr w14:paraId="201A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2D593DC3">
            <w:pPr>
              <w:jc w:val="center"/>
              <w:rPr>
                <w:rFonts w:ascii="仿宋" w:hAnsi="仿宋" w:eastAsia="仿宋" w:cs="仿宋"/>
                <w:kern w:val="0"/>
                <w:sz w:val="24"/>
                <w:szCs w:val="24"/>
              </w:rPr>
            </w:pPr>
          </w:p>
        </w:tc>
        <w:tc>
          <w:tcPr>
            <w:tcW w:w="1035" w:type="dxa"/>
            <w:noWrap w:val="0"/>
            <w:vAlign w:val="center"/>
          </w:tcPr>
          <w:p w14:paraId="215389B9">
            <w:pPr>
              <w:jc w:val="center"/>
              <w:rPr>
                <w:rFonts w:ascii="仿宋" w:hAnsi="仿宋" w:eastAsia="仿宋" w:cs="仿宋"/>
                <w:kern w:val="0"/>
                <w:sz w:val="24"/>
                <w:szCs w:val="24"/>
              </w:rPr>
            </w:pPr>
            <w:r>
              <w:rPr>
                <w:rFonts w:hint="eastAsia" w:ascii="仿宋" w:hAnsi="仿宋" w:eastAsia="仿宋" w:cs="仿宋"/>
                <w:kern w:val="0"/>
                <w:sz w:val="24"/>
                <w:szCs w:val="24"/>
              </w:rPr>
              <w:t>审核通过清单</w:t>
            </w:r>
          </w:p>
        </w:tc>
        <w:tc>
          <w:tcPr>
            <w:tcW w:w="7065" w:type="dxa"/>
            <w:noWrap w:val="0"/>
            <w:vAlign w:val="center"/>
          </w:tcPr>
          <w:p w14:paraId="59E1A5BD">
            <w:pPr>
              <w:jc w:val="left"/>
              <w:rPr>
                <w:rFonts w:ascii="仿宋" w:hAnsi="仿宋" w:eastAsia="仿宋" w:cs="仿宋"/>
                <w:kern w:val="0"/>
                <w:sz w:val="24"/>
                <w:szCs w:val="24"/>
              </w:rPr>
            </w:pPr>
            <w:r>
              <w:rPr>
                <w:rFonts w:hint="eastAsia" w:ascii="仿宋" w:hAnsi="仿宋" w:eastAsia="仿宋" w:cs="仿宋"/>
                <w:kern w:val="0"/>
                <w:sz w:val="24"/>
                <w:szCs w:val="24"/>
              </w:rPr>
              <w:t>1) 支持查看所有本人审核通过的清单；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支持批量勾选撤销本人已审核通过的清单，撤销审核后的清单变为本人待审核状态；</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支持下载导出本人所有审核通过清单列表；</w:t>
            </w:r>
          </w:p>
        </w:tc>
      </w:tr>
      <w:tr w14:paraId="7CE4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26727E25">
            <w:pPr>
              <w:jc w:val="center"/>
              <w:rPr>
                <w:rFonts w:ascii="仿宋" w:hAnsi="仿宋" w:eastAsia="仿宋" w:cs="仿宋"/>
                <w:kern w:val="0"/>
                <w:sz w:val="24"/>
                <w:szCs w:val="24"/>
              </w:rPr>
            </w:pPr>
          </w:p>
        </w:tc>
        <w:tc>
          <w:tcPr>
            <w:tcW w:w="1035" w:type="dxa"/>
            <w:noWrap w:val="0"/>
            <w:vAlign w:val="center"/>
          </w:tcPr>
          <w:p w14:paraId="4E4F293B">
            <w:pPr>
              <w:jc w:val="center"/>
              <w:rPr>
                <w:rFonts w:ascii="仿宋" w:hAnsi="仿宋" w:eastAsia="仿宋" w:cs="仿宋"/>
                <w:kern w:val="0"/>
                <w:sz w:val="24"/>
                <w:szCs w:val="24"/>
              </w:rPr>
            </w:pPr>
            <w:r>
              <w:rPr>
                <w:rFonts w:hint="eastAsia" w:ascii="仿宋" w:hAnsi="仿宋" w:eastAsia="仿宋" w:cs="仿宋"/>
                <w:kern w:val="0"/>
                <w:sz w:val="24"/>
                <w:szCs w:val="24"/>
              </w:rPr>
              <w:t>审核退回清单</w:t>
            </w:r>
          </w:p>
        </w:tc>
        <w:tc>
          <w:tcPr>
            <w:tcW w:w="7065" w:type="dxa"/>
            <w:noWrap w:val="0"/>
            <w:vAlign w:val="center"/>
          </w:tcPr>
          <w:p w14:paraId="42D4EA6E">
            <w:pPr>
              <w:jc w:val="left"/>
              <w:rPr>
                <w:rFonts w:ascii="仿宋" w:hAnsi="仿宋" w:eastAsia="仿宋" w:cs="仿宋"/>
                <w:kern w:val="0"/>
                <w:sz w:val="24"/>
                <w:szCs w:val="24"/>
              </w:rPr>
            </w:pPr>
            <w:r>
              <w:rPr>
                <w:rFonts w:hint="eastAsia" w:ascii="仿宋" w:hAnsi="仿宋" w:eastAsia="仿宋" w:cs="仿宋"/>
                <w:kern w:val="0"/>
                <w:sz w:val="24"/>
                <w:szCs w:val="24"/>
              </w:rPr>
              <w:t>1) 支持查看所有本人被审核退回的清单；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支持重新对清单进行审核通过操作，重新进入下一节点审核人员的待审核列表。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支持下载导出本人所有审核被退回清单列表。</w:t>
            </w:r>
          </w:p>
        </w:tc>
      </w:tr>
      <w:tr w14:paraId="06F4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43973F2A">
            <w:pPr>
              <w:jc w:val="center"/>
              <w:rPr>
                <w:rFonts w:ascii="仿宋" w:hAnsi="仿宋" w:eastAsia="仿宋" w:cs="仿宋"/>
                <w:kern w:val="0"/>
                <w:sz w:val="24"/>
                <w:szCs w:val="24"/>
              </w:rPr>
            </w:pPr>
          </w:p>
        </w:tc>
        <w:tc>
          <w:tcPr>
            <w:tcW w:w="1035" w:type="dxa"/>
            <w:noWrap w:val="0"/>
            <w:vAlign w:val="center"/>
          </w:tcPr>
          <w:p w14:paraId="589EF0D0">
            <w:pPr>
              <w:jc w:val="center"/>
              <w:rPr>
                <w:rFonts w:ascii="仿宋" w:hAnsi="仿宋" w:eastAsia="仿宋" w:cs="仿宋"/>
                <w:kern w:val="0"/>
                <w:sz w:val="24"/>
                <w:szCs w:val="24"/>
              </w:rPr>
            </w:pPr>
            <w:r>
              <w:rPr>
                <w:rFonts w:hint="eastAsia" w:ascii="仿宋" w:hAnsi="仿宋" w:eastAsia="仿宋" w:cs="仿宋"/>
                <w:kern w:val="0"/>
                <w:sz w:val="24"/>
                <w:szCs w:val="24"/>
              </w:rPr>
              <w:t>超时未审核清单</w:t>
            </w:r>
          </w:p>
        </w:tc>
        <w:tc>
          <w:tcPr>
            <w:tcW w:w="7065" w:type="dxa"/>
            <w:noWrap w:val="0"/>
            <w:vAlign w:val="center"/>
          </w:tcPr>
          <w:p w14:paraId="3BAF6785">
            <w:pPr>
              <w:jc w:val="left"/>
              <w:rPr>
                <w:rFonts w:ascii="仿宋" w:hAnsi="仿宋" w:eastAsia="仿宋" w:cs="仿宋"/>
                <w:kern w:val="0"/>
                <w:sz w:val="24"/>
                <w:szCs w:val="24"/>
              </w:rPr>
            </w:pPr>
            <w:r>
              <w:rPr>
                <w:rFonts w:hint="eastAsia" w:ascii="仿宋" w:hAnsi="仿宋" w:eastAsia="仿宋" w:cs="仿宋"/>
                <w:kern w:val="0"/>
                <w:sz w:val="24"/>
                <w:szCs w:val="24"/>
              </w:rPr>
              <w:t>1) 根据每个审核节点设置的时限要求，系统自动将超过时限的清单置为超时未审核；</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支持查看所有本人超时未审核的清单；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支持对清单进行审核通过操作，进入下一节点审核人员的待审核列表。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支持下载导出本人所有超时未审核清单列表。</w:t>
            </w:r>
          </w:p>
        </w:tc>
      </w:tr>
      <w:tr w14:paraId="41C2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0BC444A5">
            <w:pPr>
              <w:jc w:val="center"/>
              <w:rPr>
                <w:rFonts w:ascii="仿宋" w:hAnsi="仿宋" w:eastAsia="仿宋" w:cs="仿宋"/>
                <w:kern w:val="0"/>
                <w:sz w:val="24"/>
                <w:szCs w:val="24"/>
              </w:rPr>
            </w:pPr>
          </w:p>
        </w:tc>
        <w:tc>
          <w:tcPr>
            <w:tcW w:w="1035" w:type="dxa"/>
            <w:noWrap w:val="0"/>
            <w:vAlign w:val="center"/>
          </w:tcPr>
          <w:p w14:paraId="07159E07">
            <w:pPr>
              <w:jc w:val="center"/>
              <w:rPr>
                <w:rFonts w:ascii="仿宋" w:hAnsi="仿宋" w:eastAsia="仿宋" w:cs="仿宋"/>
                <w:kern w:val="0"/>
                <w:sz w:val="24"/>
                <w:szCs w:val="24"/>
              </w:rPr>
            </w:pPr>
            <w:r>
              <w:rPr>
                <w:rFonts w:hint="eastAsia" w:ascii="仿宋" w:hAnsi="仿宋" w:eastAsia="仿宋" w:cs="仿宋"/>
                <w:kern w:val="0"/>
                <w:sz w:val="24"/>
                <w:szCs w:val="24"/>
              </w:rPr>
              <w:t>自定义快捷筛选</w:t>
            </w:r>
          </w:p>
        </w:tc>
        <w:tc>
          <w:tcPr>
            <w:tcW w:w="7065" w:type="dxa"/>
            <w:noWrap w:val="0"/>
            <w:vAlign w:val="center"/>
          </w:tcPr>
          <w:p w14:paraId="5D591DBC">
            <w:pPr>
              <w:jc w:val="left"/>
              <w:rPr>
                <w:rFonts w:ascii="仿宋" w:hAnsi="仿宋" w:eastAsia="仿宋" w:cs="仿宋"/>
                <w:kern w:val="0"/>
                <w:sz w:val="24"/>
                <w:szCs w:val="24"/>
              </w:rPr>
            </w:pPr>
            <w:r>
              <w:rPr>
                <w:rFonts w:hint="eastAsia" w:ascii="仿宋" w:hAnsi="仿宋" w:eastAsia="仿宋" w:cs="仿宋"/>
                <w:kern w:val="0"/>
                <w:sz w:val="24"/>
                <w:szCs w:val="24"/>
              </w:rPr>
              <w:t>1) 支持按照病例类型、质控问题、异常住院、特殊患者、费用相关条件类型，选择对应的指标，组合形成自定义快捷筛类型，针对每个审核环节，筛选出对应的清单列表；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支持对筛选类型进行重命名；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支持自定义添加多个快捷筛选类型；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支持初始化重点问题清单的快捷筛选类型；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支持下载导出快捷筛选类型下的清单列表。</w:t>
            </w:r>
          </w:p>
        </w:tc>
      </w:tr>
      <w:tr w14:paraId="6A06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22E33890">
            <w:pPr>
              <w:jc w:val="center"/>
              <w:rPr>
                <w:rFonts w:ascii="仿宋" w:hAnsi="仿宋" w:eastAsia="仿宋" w:cs="仿宋"/>
                <w:kern w:val="0"/>
                <w:sz w:val="24"/>
                <w:szCs w:val="24"/>
              </w:rPr>
            </w:pPr>
          </w:p>
        </w:tc>
        <w:tc>
          <w:tcPr>
            <w:tcW w:w="1035" w:type="dxa"/>
            <w:noWrap w:val="0"/>
            <w:vAlign w:val="center"/>
          </w:tcPr>
          <w:p w14:paraId="1E15ADCE">
            <w:pPr>
              <w:jc w:val="center"/>
              <w:rPr>
                <w:rFonts w:ascii="仿宋" w:hAnsi="仿宋" w:eastAsia="仿宋" w:cs="仿宋"/>
                <w:kern w:val="0"/>
                <w:sz w:val="24"/>
                <w:szCs w:val="24"/>
              </w:rPr>
            </w:pPr>
            <w:r>
              <w:rPr>
                <w:rFonts w:hint="eastAsia" w:ascii="仿宋" w:hAnsi="仿宋" w:eastAsia="仿宋" w:cs="仿宋"/>
                <w:kern w:val="0"/>
                <w:sz w:val="24"/>
                <w:szCs w:val="24"/>
              </w:rPr>
              <w:t>其他筛选</w:t>
            </w:r>
          </w:p>
        </w:tc>
        <w:tc>
          <w:tcPr>
            <w:tcW w:w="7065" w:type="dxa"/>
            <w:noWrap w:val="0"/>
            <w:vAlign w:val="center"/>
          </w:tcPr>
          <w:p w14:paraId="37DBFCC9">
            <w:pPr>
              <w:jc w:val="left"/>
              <w:rPr>
                <w:rFonts w:ascii="仿宋" w:hAnsi="仿宋" w:eastAsia="仿宋" w:cs="仿宋"/>
                <w:kern w:val="0"/>
                <w:sz w:val="24"/>
                <w:szCs w:val="24"/>
              </w:rPr>
            </w:pPr>
            <w:r>
              <w:rPr>
                <w:rFonts w:hint="eastAsia" w:ascii="仿宋" w:hAnsi="仿宋" w:eastAsia="仿宋" w:cs="仿宋"/>
                <w:kern w:val="0"/>
                <w:sz w:val="24"/>
                <w:szCs w:val="24"/>
              </w:rPr>
              <w:t>1) 支持对未读清单、疑问病例的筛选；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支持筛选与病案首页不一致的清单；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支持筛选与初始清单不一致的清单，区分因数据源变更、清单调整变更原因导致的不一致清单。</w:t>
            </w:r>
          </w:p>
        </w:tc>
      </w:tr>
      <w:tr w14:paraId="05E2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noWrap w:val="0"/>
            <w:vAlign w:val="center"/>
          </w:tcPr>
          <w:p w14:paraId="0EDF269A">
            <w:pPr>
              <w:jc w:val="center"/>
              <w:rPr>
                <w:rFonts w:ascii="仿宋" w:hAnsi="仿宋" w:eastAsia="仿宋" w:cs="仿宋"/>
                <w:kern w:val="0"/>
                <w:sz w:val="24"/>
                <w:szCs w:val="24"/>
              </w:rPr>
            </w:pPr>
            <w:r>
              <w:rPr>
                <w:rFonts w:hint="eastAsia" w:ascii="仿宋" w:hAnsi="仿宋" w:eastAsia="仿宋" w:cs="仿宋"/>
                <w:kern w:val="0"/>
                <w:sz w:val="24"/>
                <w:szCs w:val="24"/>
              </w:rPr>
              <w:t>消息中心服务</w:t>
            </w:r>
          </w:p>
        </w:tc>
        <w:tc>
          <w:tcPr>
            <w:tcW w:w="7065" w:type="dxa"/>
            <w:noWrap w:val="0"/>
            <w:vAlign w:val="center"/>
          </w:tcPr>
          <w:p w14:paraId="5DB82259">
            <w:pPr>
              <w:jc w:val="left"/>
              <w:rPr>
                <w:rFonts w:ascii="仿宋" w:hAnsi="仿宋" w:eastAsia="仿宋" w:cs="仿宋"/>
                <w:kern w:val="0"/>
                <w:sz w:val="24"/>
                <w:szCs w:val="24"/>
              </w:rPr>
            </w:pPr>
            <w:r>
              <w:rPr>
                <w:rFonts w:hint="eastAsia" w:ascii="仿宋" w:hAnsi="仿宋" w:eastAsia="仿宋" w:cs="仿宋"/>
                <w:kern w:val="0"/>
                <w:sz w:val="24"/>
                <w:szCs w:val="24"/>
              </w:rPr>
              <w:t>1) 支持分类查看当前用户收到的、发起的、仅保存的批注，同时支持按照待处理、已接受、不接受进行分类筛选；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支持对于整改批注消息进行处理，选择是否接受，支持填写不接受理由；</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消息列表支持直接打开清单详情页，支持对清单进行编辑与审核操作；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支持在收到批注、批注回复消息时在系统内主动弹窗提示。</w:t>
            </w:r>
          </w:p>
        </w:tc>
      </w:tr>
      <w:tr w14:paraId="3EAA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noWrap w:val="0"/>
            <w:vAlign w:val="center"/>
          </w:tcPr>
          <w:p w14:paraId="0563B489">
            <w:pPr>
              <w:jc w:val="center"/>
              <w:rPr>
                <w:rFonts w:ascii="仿宋" w:hAnsi="仿宋" w:eastAsia="仿宋" w:cs="仿宋"/>
                <w:kern w:val="0"/>
                <w:sz w:val="24"/>
                <w:szCs w:val="24"/>
              </w:rPr>
            </w:pPr>
            <w:r>
              <w:rPr>
                <w:rFonts w:hint="eastAsia" w:ascii="仿宋" w:hAnsi="仿宋" w:eastAsia="仿宋" w:cs="仿宋"/>
                <w:kern w:val="0"/>
                <w:sz w:val="24"/>
                <w:szCs w:val="24"/>
              </w:rPr>
              <w:t>清单质量分析服务</w:t>
            </w:r>
          </w:p>
        </w:tc>
        <w:tc>
          <w:tcPr>
            <w:tcW w:w="1035" w:type="dxa"/>
            <w:noWrap w:val="0"/>
            <w:vAlign w:val="center"/>
          </w:tcPr>
          <w:p w14:paraId="31CF6802">
            <w:pPr>
              <w:jc w:val="center"/>
              <w:rPr>
                <w:rFonts w:ascii="仿宋" w:hAnsi="仿宋" w:eastAsia="仿宋" w:cs="仿宋"/>
                <w:kern w:val="0"/>
                <w:sz w:val="24"/>
                <w:szCs w:val="24"/>
              </w:rPr>
            </w:pPr>
            <w:r>
              <w:rPr>
                <w:rFonts w:hint="eastAsia" w:ascii="仿宋" w:hAnsi="仿宋" w:eastAsia="仿宋" w:cs="仿宋"/>
                <w:kern w:val="0"/>
                <w:sz w:val="24"/>
                <w:szCs w:val="24"/>
              </w:rPr>
              <w:t>问题分布情况</w:t>
            </w:r>
          </w:p>
        </w:tc>
        <w:tc>
          <w:tcPr>
            <w:tcW w:w="7065" w:type="dxa"/>
            <w:noWrap w:val="0"/>
            <w:vAlign w:val="center"/>
          </w:tcPr>
          <w:p w14:paraId="667DC8D7">
            <w:pPr>
              <w:jc w:val="left"/>
              <w:rPr>
                <w:rFonts w:ascii="仿宋" w:hAnsi="仿宋" w:eastAsia="仿宋" w:cs="仿宋"/>
                <w:kern w:val="0"/>
                <w:sz w:val="24"/>
                <w:szCs w:val="24"/>
              </w:rPr>
            </w:pPr>
            <w:r>
              <w:rPr>
                <w:rFonts w:hint="eastAsia" w:ascii="仿宋" w:hAnsi="仿宋" w:eastAsia="仿宋" w:cs="仿宋"/>
                <w:kern w:val="0"/>
                <w:sz w:val="24"/>
                <w:szCs w:val="24"/>
              </w:rPr>
              <w:t>支持以月、季、年为统计区间，按院内结算时间或出院时间、科室、医疗组等维度分析问题清单。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支持按重要性、质控内容、影响范围维度查看问题清单分布概况，包括强制性问题、提示性问题、编码问题、非编码问题、影响入组问题、可能影响入组问题、不影响入组问题清单的数量和占比；</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支持按问题清单类型，查看各科室的分布情况及占比，支持查看科室下对应的清单问题类型分布及占比情况，可下钻查看对应的清单详情；</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支持按主治医师、编码员分析问题清单的数量，可下钻查看对应的清单详情，支持下载导出列表。</w:t>
            </w:r>
          </w:p>
        </w:tc>
      </w:tr>
      <w:tr w14:paraId="45E7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3EC73289">
            <w:pPr>
              <w:jc w:val="center"/>
              <w:rPr>
                <w:rFonts w:ascii="仿宋" w:hAnsi="仿宋" w:eastAsia="仿宋" w:cs="仿宋"/>
                <w:kern w:val="0"/>
                <w:sz w:val="24"/>
                <w:szCs w:val="24"/>
              </w:rPr>
            </w:pPr>
          </w:p>
        </w:tc>
        <w:tc>
          <w:tcPr>
            <w:tcW w:w="1035" w:type="dxa"/>
            <w:noWrap w:val="0"/>
            <w:vAlign w:val="center"/>
          </w:tcPr>
          <w:p w14:paraId="724CCE8D">
            <w:pPr>
              <w:jc w:val="center"/>
              <w:rPr>
                <w:rFonts w:ascii="仿宋" w:hAnsi="仿宋" w:eastAsia="仿宋" w:cs="仿宋"/>
                <w:kern w:val="0"/>
                <w:sz w:val="24"/>
                <w:szCs w:val="24"/>
              </w:rPr>
            </w:pPr>
            <w:r>
              <w:rPr>
                <w:rFonts w:hint="eastAsia" w:ascii="仿宋" w:hAnsi="仿宋" w:eastAsia="仿宋" w:cs="仿宋"/>
                <w:kern w:val="0"/>
                <w:sz w:val="24"/>
                <w:szCs w:val="24"/>
              </w:rPr>
              <w:t>问题清单趋势</w:t>
            </w:r>
          </w:p>
        </w:tc>
        <w:tc>
          <w:tcPr>
            <w:tcW w:w="7065" w:type="dxa"/>
            <w:noWrap w:val="0"/>
            <w:vAlign w:val="center"/>
          </w:tcPr>
          <w:p w14:paraId="7A96625E">
            <w:pPr>
              <w:jc w:val="left"/>
              <w:rPr>
                <w:rFonts w:ascii="仿宋" w:hAnsi="仿宋" w:eastAsia="仿宋" w:cs="仿宋"/>
                <w:kern w:val="0"/>
                <w:sz w:val="24"/>
                <w:szCs w:val="24"/>
              </w:rPr>
            </w:pPr>
            <w:r>
              <w:rPr>
                <w:rFonts w:hint="eastAsia" w:ascii="仿宋" w:hAnsi="仿宋" w:eastAsia="仿宋" w:cs="仿宋"/>
                <w:kern w:val="0"/>
                <w:sz w:val="24"/>
                <w:szCs w:val="24"/>
              </w:rPr>
              <w:t>1) 支持多维度筛选条件，通过图表展示问题清单数量、占比的变化趋势。</w:t>
            </w:r>
          </w:p>
        </w:tc>
      </w:tr>
      <w:tr w14:paraId="5739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noWrap w:val="0"/>
            <w:vAlign w:val="center"/>
          </w:tcPr>
          <w:p w14:paraId="1EF335FC">
            <w:pPr>
              <w:jc w:val="center"/>
              <w:rPr>
                <w:rFonts w:ascii="仿宋" w:hAnsi="仿宋" w:eastAsia="仿宋" w:cs="仿宋"/>
                <w:kern w:val="0"/>
                <w:sz w:val="24"/>
                <w:szCs w:val="24"/>
              </w:rPr>
            </w:pPr>
            <w:r>
              <w:rPr>
                <w:rFonts w:hint="eastAsia" w:ascii="仿宋" w:hAnsi="仿宋" w:eastAsia="仿宋" w:cs="仿宋"/>
                <w:kern w:val="0"/>
                <w:sz w:val="24"/>
                <w:szCs w:val="24"/>
              </w:rPr>
              <w:t>清单成就分析服务</w:t>
            </w:r>
          </w:p>
        </w:tc>
        <w:tc>
          <w:tcPr>
            <w:tcW w:w="1035" w:type="dxa"/>
            <w:noWrap w:val="0"/>
            <w:vAlign w:val="center"/>
          </w:tcPr>
          <w:p w14:paraId="41B98E91">
            <w:pPr>
              <w:jc w:val="center"/>
              <w:rPr>
                <w:rFonts w:ascii="仿宋" w:hAnsi="仿宋" w:eastAsia="仿宋" w:cs="仿宋"/>
                <w:kern w:val="0"/>
                <w:sz w:val="24"/>
                <w:szCs w:val="24"/>
              </w:rPr>
            </w:pPr>
            <w:r>
              <w:rPr>
                <w:rFonts w:hint="eastAsia" w:ascii="仿宋" w:hAnsi="仿宋" w:eastAsia="仿宋" w:cs="仿宋"/>
                <w:kern w:val="0"/>
                <w:sz w:val="24"/>
                <w:szCs w:val="24"/>
              </w:rPr>
              <w:t>清单调整情况</w:t>
            </w:r>
          </w:p>
        </w:tc>
        <w:tc>
          <w:tcPr>
            <w:tcW w:w="7065" w:type="dxa"/>
            <w:noWrap w:val="0"/>
            <w:vAlign w:val="center"/>
          </w:tcPr>
          <w:p w14:paraId="162C16D5">
            <w:pPr>
              <w:jc w:val="left"/>
              <w:rPr>
                <w:rFonts w:ascii="仿宋" w:hAnsi="仿宋" w:eastAsia="仿宋" w:cs="仿宋"/>
                <w:kern w:val="0"/>
                <w:sz w:val="24"/>
                <w:szCs w:val="24"/>
              </w:rPr>
            </w:pPr>
            <w:r>
              <w:rPr>
                <w:rFonts w:hint="eastAsia" w:ascii="仿宋" w:hAnsi="仿宋" w:eastAsia="仿宋" w:cs="仿宋"/>
                <w:kern w:val="0"/>
                <w:sz w:val="24"/>
                <w:szCs w:val="24"/>
              </w:rPr>
              <w:t>支持以月、季、年为统计区间，按院内结算时间或出院时间、科室、医疗组等维度分析清单调整情况。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支持多维度筛选结算清单，可视化展示已调整清单和未调整清单的具体数量及占比。</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支持对已调整清单进行分类筛选，包括调整前后分组不一致、主要诊断不一致、其它诊断不一致、主要手术不一致、其它手术不一致；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支持查看调整清单分类的具体数量及占比，支持查看每一分类下具体科室和病例情况，支持查看具体科室清单调整前后点数差、结余差、修正问题数，支持查看清单调整前后具体对比，支持下载导出列表。</w:t>
            </w:r>
          </w:p>
        </w:tc>
      </w:tr>
      <w:tr w14:paraId="5858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142A58E9">
            <w:pPr>
              <w:jc w:val="center"/>
              <w:rPr>
                <w:rFonts w:ascii="仿宋" w:hAnsi="仿宋" w:eastAsia="仿宋" w:cs="仿宋"/>
                <w:kern w:val="0"/>
                <w:sz w:val="24"/>
                <w:szCs w:val="24"/>
              </w:rPr>
            </w:pPr>
          </w:p>
        </w:tc>
        <w:tc>
          <w:tcPr>
            <w:tcW w:w="1035" w:type="dxa"/>
            <w:noWrap w:val="0"/>
            <w:vAlign w:val="center"/>
          </w:tcPr>
          <w:p w14:paraId="5AFC4E4E">
            <w:pPr>
              <w:jc w:val="center"/>
              <w:rPr>
                <w:rFonts w:ascii="仿宋" w:hAnsi="仿宋" w:eastAsia="仿宋" w:cs="仿宋"/>
                <w:kern w:val="0"/>
                <w:sz w:val="24"/>
                <w:szCs w:val="24"/>
              </w:rPr>
            </w:pPr>
            <w:r>
              <w:rPr>
                <w:rFonts w:hint="eastAsia" w:ascii="仿宋" w:hAnsi="仿宋" w:eastAsia="仿宋" w:cs="仿宋"/>
                <w:kern w:val="0"/>
                <w:sz w:val="24"/>
                <w:szCs w:val="24"/>
              </w:rPr>
              <w:t>清单调整前后对比分析</w:t>
            </w:r>
          </w:p>
        </w:tc>
        <w:tc>
          <w:tcPr>
            <w:tcW w:w="7065" w:type="dxa"/>
            <w:noWrap w:val="0"/>
            <w:vAlign w:val="center"/>
          </w:tcPr>
          <w:p w14:paraId="486ACA40">
            <w:pPr>
              <w:jc w:val="left"/>
              <w:rPr>
                <w:rFonts w:ascii="仿宋" w:hAnsi="仿宋" w:eastAsia="仿宋" w:cs="仿宋"/>
                <w:kern w:val="0"/>
                <w:sz w:val="24"/>
                <w:szCs w:val="24"/>
              </w:rPr>
            </w:pPr>
            <w:r>
              <w:rPr>
                <w:rFonts w:hint="eastAsia" w:ascii="仿宋" w:hAnsi="仿宋" w:eastAsia="仿宋" w:cs="仿宋"/>
                <w:kern w:val="0"/>
                <w:sz w:val="24"/>
                <w:szCs w:val="24"/>
              </w:rPr>
              <w:t>1) 支持多维度筛选条件，通过图表展示清单调整前后结余分析、质控问题分析，支持查看总点数差、结余差、修正问题数。</w:t>
            </w:r>
          </w:p>
        </w:tc>
      </w:tr>
      <w:tr w14:paraId="6B54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restart"/>
            <w:noWrap w:val="0"/>
            <w:vAlign w:val="center"/>
          </w:tcPr>
          <w:p w14:paraId="176CD271">
            <w:pPr>
              <w:jc w:val="center"/>
              <w:rPr>
                <w:rFonts w:ascii="仿宋" w:hAnsi="仿宋" w:eastAsia="仿宋" w:cs="仿宋"/>
                <w:kern w:val="0"/>
                <w:sz w:val="24"/>
                <w:szCs w:val="24"/>
              </w:rPr>
            </w:pPr>
            <w:r>
              <w:rPr>
                <w:rFonts w:hint="eastAsia" w:ascii="仿宋" w:hAnsi="仿宋" w:eastAsia="仿宋" w:cs="仿宋"/>
                <w:kern w:val="0"/>
                <w:sz w:val="24"/>
                <w:szCs w:val="24"/>
              </w:rPr>
              <w:t>系统设置服务</w:t>
            </w:r>
          </w:p>
        </w:tc>
        <w:tc>
          <w:tcPr>
            <w:tcW w:w="1035" w:type="dxa"/>
            <w:noWrap w:val="0"/>
            <w:vAlign w:val="center"/>
          </w:tcPr>
          <w:p w14:paraId="5E2B43E7">
            <w:pPr>
              <w:jc w:val="center"/>
              <w:rPr>
                <w:rFonts w:ascii="仿宋" w:hAnsi="仿宋" w:eastAsia="仿宋" w:cs="仿宋"/>
                <w:kern w:val="0"/>
                <w:sz w:val="24"/>
                <w:szCs w:val="24"/>
              </w:rPr>
            </w:pPr>
            <w:r>
              <w:rPr>
                <w:rFonts w:hint="eastAsia" w:ascii="仿宋" w:hAnsi="仿宋" w:eastAsia="仿宋" w:cs="仿宋"/>
                <w:kern w:val="0"/>
                <w:sz w:val="24"/>
                <w:szCs w:val="24"/>
              </w:rPr>
              <w:t>医保结算清单质控规则</w:t>
            </w:r>
          </w:p>
        </w:tc>
        <w:tc>
          <w:tcPr>
            <w:tcW w:w="7065" w:type="dxa"/>
            <w:noWrap w:val="0"/>
            <w:vAlign w:val="center"/>
          </w:tcPr>
          <w:p w14:paraId="232C17F2">
            <w:pPr>
              <w:jc w:val="left"/>
              <w:rPr>
                <w:rFonts w:ascii="仿宋" w:hAnsi="仿宋" w:eastAsia="仿宋" w:cs="仿宋"/>
                <w:kern w:val="0"/>
                <w:sz w:val="24"/>
                <w:szCs w:val="24"/>
              </w:rPr>
            </w:pPr>
            <w:r>
              <w:rPr>
                <w:rFonts w:hint="eastAsia" w:ascii="仿宋" w:hAnsi="仿宋" w:eastAsia="仿宋" w:cs="仿宋"/>
                <w:kern w:val="0"/>
                <w:sz w:val="24"/>
                <w:szCs w:val="24"/>
              </w:rPr>
              <w:t>1) 系统提供专家知识库规则、DRG专项规则，费用专项规则，通过实时质控保证清单的完整性、逻辑性和准确性；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支持个性化开启/关闭质控规则，支持批量启用/停用；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支持个性化配置质控规则的强制性/提示性属性，强制性规则校验不通过时，不允许提交结算清单。</w:t>
            </w:r>
          </w:p>
        </w:tc>
      </w:tr>
      <w:tr w14:paraId="18A6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Merge w:val="continue"/>
            <w:noWrap w:val="0"/>
            <w:vAlign w:val="center"/>
          </w:tcPr>
          <w:p w14:paraId="20A4CAE7">
            <w:pPr>
              <w:jc w:val="center"/>
              <w:rPr>
                <w:rFonts w:ascii="仿宋" w:hAnsi="仿宋" w:eastAsia="仿宋" w:cs="仿宋"/>
                <w:kern w:val="0"/>
                <w:sz w:val="24"/>
                <w:szCs w:val="24"/>
              </w:rPr>
            </w:pPr>
          </w:p>
        </w:tc>
        <w:tc>
          <w:tcPr>
            <w:tcW w:w="1035" w:type="dxa"/>
            <w:noWrap w:val="0"/>
            <w:vAlign w:val="center"/>
          </w:tcPr>
          <w:p w14:paraId="109EB0B9">
            <w:pPr>
              <w:jc w:val="center"/>
              <w:rPr>
                <w:rFonts w:ascii="仿宋" w:hAnsi="仿宋" w:eastAsia="仿宋" w:cs="仿宋"/>
                <w:kern w:val="0"/>
                <w:sz w:val="24"/>
                <w:szCs w:val="24"/>
              </w:rPr>
            </w:pPr>
            <w:r>
              <w:rPr>
                <w:rFonts w:hint="eastAsia" w:ascii="仿宋" w:hAnsi="仿宋" w:eastAsia="仿宋" w:cs="仿宋"/>
                <w:kern w:val="0"/>
                <w:sz w:val="24"/>
                <w:szCs w:val="24"/>
              </w:rPr>
              <w:t>清单流程设置</w:t>
            </w:r>
          </w:p>
        </w:tc>
        <w:tc>
          <w:tcPr>
            <w:tcW w:w="7065" w:type="dxa"/>
            <w:noWrap w:val="0"/>
            <w:vAlign w:val="center"/>
          </w:tcPr>
          <w:p w14:paraId="43635ABE">
            <w:pPr>
              <w:jc w:val="left"/>
              <w:rPr>
                <w:rFonts w:ascii="仿宋" w:hAnsi="仿宋" w:eastAsia="仿宋" w:cs="仿宋"/>
                <w:kern w:val="0"/>
                <w:sz w:val="24"/>
                <w:szCs w:val="24"/>
              </w:rPr>
            </w:pPr>
            <w:r>
              <w:rPr>
                <w:rFonts w:hint="eastAsia" w:ascii="仿宋" w:hAnsi="仿宋" w:eastAsia="仿宋" w:cs="仿宋"/>
                <w:kern w:val="0"/>
                <w:sz w:val="24"/>
                <w:szCs w:val="24"/>
              </w:rPr>
              <w:t>支持根据医院实际情况，自定义配置结算清单管理流程；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支持个性化配置结算清单管理全流程，例如：生成-初审-上报、生成-初审-复审-上报、生成-初审-复审-终审-上报；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支持在结算清单管理流程节点中配置对应角色和用户；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流程节点支持多种审核类型，包括全量人工审核、人工+条件自动审核、无条件自动审核；</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支持按照患者结算时间、出院时间、上报日期设置审核时限；支持对审核超时的清单配置进入下一流程或保持当前流程；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支持按病例类型、质控问题、异常入院的维度配置自动审核条件；满足校验条件通过的清单可自动进入下一个流程。</w:t>
            </w:r>
          </w:p>
        </w:tc>
      </w:tr>
    </w:tbl>
    <w:p w14:paraId="5EE7746A">
      <w:pPr>
        <w:numPr>
          <w:ilvl w:val="2"/>
          <w:numId w:val="0"/>
        </w:numPr>
        <w:spacing w:line="440" w:lineRule="exact"/>
        <w:outlineLvl w:val="2"/>
        <w:rPr>
          <w:rFonts w:ascii="仿宋" w:hAnsi="仿宋" w:eastAsia="仿宋" w:cs="仿宋"/>
          <w:b/>
          <w:bCs/>
          <w:sz w:val="24"/>
          <w:szCs w:val="24"/>
        </w:rPr>
      </w:pPr>
      <w:r>
        <w:rPr>
          <w:rFonts w:hint="eastAsia" w:ascii="仿宋" w:hAnsi="仿宋" w:eastAsia="仿宋" w:cs="仿宋"/>
          <w:b/>
          <w:bCs/>
          <w:sz w:val="24"/>
          <w:szCs w:val="24"/>
        </w:rPr>
        <w:t>1.1.4.医保结算清单上报接口与上报服务</w:t>
      </w:r>
      <w:bookmarkEnd w:id="55"/>
    </w:p>
    <w:tbl>
      <w:tblPr>
        <w:tblStyle w:val="15"/>
        <w:tblW w:w="51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7886"/>
      </w:tblGrid>
      <w:tr w14:paraId="0D07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1" w:type="pct"/>
            <w:noWrap w:val="0"/>
            <w:vAlign w:val="center"/>
          </w:tcPr>
          <w:p w14:paraId="12B45474">
            <w:pPr>
              <w:jc w:val="center"/>
              <w:rPr>
                <w:rFonts w:ascii="仿宋" w:hAnsi="仿宋" w:eastAsia="仿宋" w:cs="仿宋"/>
                <w:b/>
                <w:bCs/>
                <w:kern w:val="0"/>
                <w:sz w:val="24"/>
                <w:szCs w:val="24"/>
              </w:rPr>
            </w:pPr>
            <w:r>
              <w:rPr>
                <w:rFonts w:hint="eastAsia" w:ascii="仿宋" w:hAnsi="仿宋" w:eastAsia="仿宋" w:cs="仿宋"/>
                <w:b/>
                <w:bCs/>
                <w:kern w:val="0"/>
                <w:sz w:val="24"/>
                <w:szCs w:val="24"/>
              </w:rPr>
              <w:t>模块</w:t>
            </w:r>
          </w:p>
        </w:tc>
        <w:tc>
          <w:tcPr>
            <w:tcW w:w="4338" w:type="pct"/>
            <w:noWrap w:val="0"/>
            <w:vAlign w:val="center"/>
          </w:tcPr>
          <w:p w14:paraId="4D91F79E">
            <w:pPr>
              <w:jc w:val="center"/>
              <w:rPr>
                <w:rFonts w:ascii="仿宋" w:hAnsi="仿宋" w:eastAsia="仿宋" w:cs="仿宋"/>
                <w:b/>
                <w:bCs/>
                <w:kern w:val="0"/>
                <w:sz w:val="24"/>
                <w:szCs w:val="24"/>
              </w:rPr>
            </w:pPr>
            <w:r>
              <w:rPr>
                <w:rFonts w:hint="eastAsia" w:ascii="仿宋" w:hAnsi="仿宋" w:eastAsia="仿宋" w:cs="仿宋"/>
                <w:b/>
                <w:bCs/>
                <w:kern w:val="0"/>
                <w:sz w:val="24"/>
                <w:szCs w:val="24"/>
              </w:rPr>
              <w:t>详细参数</w:t>
            </w:r>
          </w:p>
        </w:tc>
      </w:tr>
      <w:tr w14:paraId="105F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noWrap w:val="0"/>
            <w:vAlign w:val="center"/>
          </w:tcPr>
          <w:p w14:paraId="386D89C4">
            <w:pPr>
              <w:jc w:val="center"/>
              <w:rPr>
                <w:rFonts w:ascii="仿宋" w:hAnsi="仿宋" w:eastAsia="仿宋" w:cs="仿宋"/>
                <w:kern w:val="0"/>
                <w:sz w:val="24"/>
                <w:szCs w:val="24"/>
              </w:rPr>
            </w:pPr>
            <w:r>
              <w:rPr>
                <w:rFonts w:hint="eastAsia" w:ascii="仿宋" w:hAnsi="仿宋" w:eastAsia="仿宋" w:cs="仿宋"/>
                <w:kern w:val="0"/>
                <w:sz w:val="24"/>
                <w:szCs w:val="24"/>
              </w:rPr>
              <w:t>医保上报管理服务</w:t>
            </w:r>
          </w:p>
        </w:tc>
        <w:tc>
          <w:tcPr>
            <w:tcW w:w="4338" w:type="pct"/>
            <w:noWrap w:val="0"/>
            <w:vAlign w:val="center"/>
          </w:tcPr>
          <w:p w14:paraId="0F590D7D">
            <w:pPr>
              <w:jc w:val="left"/>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rPr>
              <w:tab/>
            </w:r>
            <w:r>
              <w:rPr>
                <w:rFonts w:hint="eastAsia" w:ascii="仿宋" w:hAnsi="仿宋" w:eastAsia="仿宋" w:cs="仿宋"/>
                <w:kern w:val="0"/>
                <w:sz w:val="24"/>
                <w:szCs w:val="24"/>
              </w:rPr>
              <w:t>提供清单上传可视化界面，方便医院对清单上报进行管理；</w:t>
            </w:r>
          </w:p>
          <w:p w14:paraId="237E9E54">
            <w:pPr>
              <w:jc w:val="left"/>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rPr>
              <w:tab/>
            </w:r>
            <w:r>
              <w:rPr>
                <w:rFonts w:hint="eastAsia" w:ascii="仿宋" w:hAnsi="仿宋" w:eastAsia="仿宋" w:cs="仿宋"/>
                <w:kern w:val="0"/>
                <w:sz w:val="24"/>
                <w:szCs w:val="24"/>
              </w:rPr>
              <w:t>支持按姓名、住院号、病案号、医生、主诊断、主手术等搜索清单；</w:t>
            </w:r>
          </w:p>
          <w:p w14:paraId="5FB49CF7">
            <w:pPr>
              <w:jc w:val="left"/>
              <w:rPr>
                <w:rFonts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rPr>
              <w:tab/>
            </w:r>
            <w:r>
              <w:rPr>
                <w:rFonts w:hint="eastAsia" w:ascii="仿宋" w:hAnsi="仿宋" w:eastAsia="仿宋" w:cs="仿宋"/>
                <w:kern w:val="0"/>
                <w:sz w:val="24"/>
                <w:szCs w:val="24"/>
              </w:rPr>
              <w:t>支持手动上报和定时自动上报，支持批量一键上报，对自动上传失败的结算清单进行手动上报；</w:t>
            </w:r>
          </w:p>
          <w:p w14:paraId="7525AC6E">
            <w:pPr>
              <w:jc w:val="left"/>
              <w:rPr>
                <w:rFonts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rPr>
              <w:tab/>
            </w:r>
            <w:r>
              <w:rPr>
                <w:rFonts w:hint="eastAsia" w:ascii="仿宋" w:hAnsi="仿宋" w:eastAsia="仿宋" w:cs="仿宋"/>
                <w:kern w:val="0"/>
                <w:sz w:val="24"/>
                <w:szCs w:val="24"/>
              </w:rPr>
              <w:t>支持对未上传清单进行批量退回操作，可选择退回至指定审核流程；</w:t>
            </w:r>
          </w:p>
          <w:p w14:paraId="2B430BC0">
            <w:pPr>
              <w:jc w:val="left"/>
              <w:rPr>
                <w:rFonts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rPr>
              <w:tab/>
            </w:r>
            <w:r>
              <w:rPr>
                <w:rFonts w:hint="eastAsia" w:ascii="仿宋" w:hAnsi="仿宋" w:eastAsia="仿宋" w:cs="仿宋"/>
                <w:kern w:val="0"/>
                <w:sz w:val="24"/>
                <w:szCs w:val="24"/>
              </w:rPr>
              <w:t>支持对已上报的清单，撤销提交后重新进行上报；</w:t>
            </w:r>
          </w:p>
          <w:p w14:paraId="28336CC9">
            <w:pPr>
              <w:jc w:val="left"/>
              <w:rPr>
                <w:rFonts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rPr>
              <w:tab/>
            </w:r>
            <w:r>
              <w:rPr>
                <w:rFonts w:hint="eastAsia" w:ascii="仿宋" w:hAnsi="仿宋" w:eastAsia="仿宋" w:cs="仿宋"/>
                <w:kern w:val="0"/>
                <w:sz w:val="24"/>
                <w:szCs w:val="24"/>
              </w:rPr>
              <w:t>支持查看清单上报日志，包括上报时间、上报结果、接口返回信息；</w:t>
            </w:r>
          </w:p>
          <w:p w14:paraId="7722D4ED">
            <w:pPr>
              <w:jc w:val="left"/>
              <w:rPr>
                <w:rFonts w:ascii="仿宋" w:hAnsi="仿宋" w:eastAsia="仿宋" w:cs="仿宋"/>
                <w:kern w:val="0"/>
                <w:sz w:val="24"/>
                <w:szCs w:val="24"/>
              </w:rPr>
            </w:pPr>
            <w:r>
              <w:rPr>
                <w:rFonts w:hint="eastAsia" w:ascii="仿宋" w:hAnsi="仿宋" w:eastAsia="仿宋" w:cs="仿宋"/>
                <w:kern w:val="0"/>
                <w:sz w:val="24"/>
                <w:szCs w:val="24"/>
              </w:rPr>
              <w:t>7)</w:t>
            </w:r>
            <w:r>
              <w:rPr>
                <w:rFonts w:hint="eastAsia" w:ascii="仿宋" w:hAnsi="仿宋" w:eastAsia="仿宋" w:cs="仿宋"/>
                <w:kern w:val="0"/>
                <w:sz w:val="24"/>
                <w:szCs w:val="24"/>
              </w:rPr>
              <w:tab/>
            </w:r>
            <w:r>
              <w:rPr>
                <w:rFonts w:hint="eastAsia" w:ascii="仿宋" w:hAnsi="仿宋" w:eastAsia="仿宋" w:cs="仿宋"/>
                <w:kern w:val="0"/>
                <w:sz w:val="24"/>
                <w:szCs w:val="24"/>
              </w:rPr>
              <w:t>支持筛选查看自定义时间范围内上报的结算清单和对应诊断的统计情况；</w:t>
            </w:r>
          </w:p>
          <w:p w14:paraId="043278B5">
            <w:pPr>
              <w:jc w:val="left"/>
              <w:rPr>
                <w:rFonts w:ascii="仿宋" w:hAnsi="仿宋" w:eastAsia="仿宋" w:cs="仿宋"/>
                <w:kern w:val="0"/>
                <w:sz w:val="24"/>
                <w:szCs w:val="24"/>
              </w:rPr>
            </w:pPr>
            <w:r>
              <w:rPr>
                <w:rFonts w:hint="eastAsia" w:ascii="仿宋" w:hAnsi="仿宋" w:eastAsia="仿宋" w:cs="仿宋"/>
                <w:kern w:val="0"/>
                <w:sz w:val="24"/>
                <w:szCs w:val="24"/>
              </w:rPr>
              <w:t>8)</w:t>
            </w:r>
            <w:r>
              <w:rPr>
                <w:rFonts w:hint="eastAsia" w:ascii="仿宋" w:hAnsi="仿宋" w:eastAsia="仿宋" w:cs="仿宋"/>
                <w:kern w:val="0"/>
                <w:sz w:val="24"/>
                <w:szCs w:val="24"/>
              </w:rPr>
              <w:tab/>
            </w:r>
            <w:r>
              <w:rPr>
                <w:rFonts w:hint="eastAsia" w:ascii="仿宋" w:hAnsi="仿宋" w:eastAsia="仿宋" w:cs="仿宋"/>
                <w:kern w:val="0"/>
                <w:sz w:val="24"/>
                <w:szCs w:val="24"/>
              </w:rPr>
              <w:t>支持预览结算清单，支持下载导出pdf版结算清单，可选择默认模板和紧凑模板。</w:t>
            </w:r>
          </w:p>
        </w:tc>
      </w:tr>
      <w:tr w14:paraId="0612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noWrap w:val="0"/>
            <w:vAlign w:val="center"/>
          </w:tcPr>
          <w:p w14:paraId="48AC46CB">
            <w:pPr>
              <w:jc w:val="center"/>
              <w:rPr>
                <w:rFonts w:ascii="仿宋" w:hAnsi="仿宋" w:eastAsia="仿宋" w:cs="仿宋"/>
                <w:kern w:val="0"/>
                <w:sz w:val="24"/>
                <w:szCs w:val="24"/>
              </w:rPr>
            </w:pPr>
            <w:r>
              <w:rPr>
                <w:rFonts w:hint="eastAsia" w:ascii="仿宋" w:hAnsi="仿宋" w:eastAsia="仿宋" w:cs="仿宋"/>
                <w:kern w:val="0"/>
                <w:sz w:val="24"/>
                <w:szCs w:val="24"/>
              </w:rPr>
              <w:t>医保结算清单上报接口服务</w:t>
            </w:r>
          </w:p>
        </w:tc>
        <w:tc>
          <w:tcPr>
            <w:tcW w:w="4338" w:type="pct"/>
            <w:noWrap w:val="0"/>
            <w:vAlign w:val="center"/>
          </w:tcPr>
          <w:p w14:paraId="6EF747C0">
            <w:pPr>
              <w:jc w:val="left"/>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rPr>
              <w:tab/>
            </w:r>
            <w:r>
              <w:rPr>
                <w:rFonts w:hint="eastAsia" w:ascii="仿宋" w:hAnsi="仿宋" w:eastAsia="仿宋" w:cs="仿宋"/>
                <w:kern w:val="0"/>
                <w:sz w:val="24"/>
                <w:szCs w:val="24"/>
              </w:rPr>
              <w:t>支持适配医保局端加密对接方式，适配签到接口，完成上报前的身份验证；</w:t>
            </w:r>
          </w:p>
          <w:p w14:paraId="1093BD16">
            <w:pPr>
              <w:jc w:val="left"/>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rPr>
              <w:tab/>
            </w:r>
            <w:r>
              <w:rPr>
                <w:rFonts w:hint="eastAsia" w:ascii="仿宋" w:hAnsi="仿宋" w:eastAsia="仿宋" w:cs="仿宋"/>
                <w:kern w:val="0"/>
                <w:sz w:val="24"/>
                <w:szCs w:val="24"/>
              </w:rPr>
              <w:t>支持对接医保局端医疗保障基金结算清单信息上传接口，支持将所有完成审核的清单上传至医保局；</w:t>
            </w:r>
          </w:p>
          <w:p w14:paraId="11B7AD49">
            <w:pPr>
              <w:jc w:val="left"/>
              <w:rPr>
                <w:rFonts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rPr>
              <w:tab/>
            </w:r>
            <w:r>
              <w:rPr>
                <w:rFonts w:hint="eastAsia" w:ascii="仿宋" w:hAnsi="仿宋" w:eastAsia="仿宋" w:cs="仿宋"/>
                <w:kern w:val="0"/>
                <w:sz w:val="24"/>
                <w:szCs w:val="24"/>
              </w:rPr>
              <w:t>支持对接医保局端医疗保障基金结算清单信息状态修改接口，修改结算清单提交状态；</w:t>
            </w:r>
          </w:p>
          <w:p w14:paraId="2F77CEE0">
            <w:pPr>
              <w:jc w:val="left"/>
              <w:rPr>
                <w:rFonts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rPr>
              <w:tab/>
            </w:r>
            <w:r>
              <w:rPr>
                <w:rFonts w:hint="eastAsia" w:ascii="仿宋" w:hAnsi="仿宋" w:eastAsia="仿宋" w:cs="仿宋"/>
                <w:kern w:val="0"/>
                <w:sz w:val="24"/>
                <w:szCs w:val="24"/>
              </w:rPr>
              <w:t>支持对接医保局端医疗保障基金结算清单信息查询接口，获取医保局端返回的上报结果；</w:t>
            </w:r>
          </w:p>
          <w:p w14:paraId="6269180C">
            <w:pPr>
              <w:jc w:val="left"/>
              <w:rPr>
                <w:rFonts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rPr>
              <w:tab/>
            </w:r>
            <w:r>
              <w:rPr>
                <w:rFonts w:hint="eastAsia" w:ascii="仿宋" w:hAnsi="仿宋" w:eastAsia="仿宋" w:cs="仿宋"/>
                <w:kern w:val="0"/>
                <w:sz w:val="24"/>
                <w:szCs w:val="24"/>
              </w:rPr>
              <w:t>支持对不同院区配置不同的上报参数，使用不同的定点医疗机构编码、定点医疗机构名称、就医地医保区划，完成不同院区数据的上报。</w:t>
            </w:r>
          </w:p>
        </w:tc>
      </w:tr>
      <w:tr w14:paraId="6332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noWrap w:val="0"/>
            <w:vAlign w:val="center"/>
          </w:tcPr>
          <w:p w14:paraId="2A89FA88">
            <w:pPr>
              <w:jc w:val="center"/>
              <w:rPr>
                <w:rFonts w:ascii="仿宋" w:hAnsi="仿宋" w:eastAsia="仿宋" w:cs="仿宋"/>
                <w:kern w:val="0"/>
                <w:sz w:val="24"/>
                <w:szCs w:val="24"/>
              </w:rPr>
            </w:pPr>
            <w:r>
              <w:rPr>
                <w:rFonts w:hint="eastAsia" w:ascii="仿宋" w:hAnsi="仿宋" w:eastAsia="仿宋" w:cs="仿宋"/>
                <w:kern w:val="0"/>
                <w:sz w:val="24"/>
                <w:szCs w:val="24"/>
              </w:rPr>
              <w:t>医保结算清单上报服务服务</w:t>
            </w:r>
          </w:p>
        </w:tc>
        <w:tc>
          <w:tcPr>
            <w:tcW w:w="4338" w:type="pct"/>
            <w:noWrap w:val="0"/>
            <w:vAlign w:val="center"/>
          </w:tcPr>
          <w:p w14:paraId="023FBF28">
            <w:pPr>
              <w:jc w:val="left"/>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rPr>
              <w:tab/>
            </w:r>
            <w:r>
              <w:rPr>
                <w:rFonts w:hint="eastAsia" w:ascii="仿宋" w:hAnsi="仿宋" w:eastAsia="仿宋" w:cs="仿宋"/>
                <w:kern w:val="0"/>
                <w:sz w:val="24"/>
                <w:szCs w:val="24"/>
              </w:rPr>
              <w:t>根据医保局结算清单上传要求，为医院提供在要求的时限内完成结算清单上传至医保局的全流程上传服务；</w:t>
            </w:r>
          </w:p>
          <w:p w14:paraId="4A11BFED">
            <w:pPr>
              <w:jc w:val="left"/>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rPr>
              <w:tab/>
            </w:r>
            <w:r>
              <w:rPr>
                <w:rFonts w:hint="eastAsia" w:ascii="仿宋" w:hAnsi="仿宋" w:eastAsia="仿宋" w:cs="仿宋"/>
                <w:kern w:val="0"/>
                <w:sz w:val="24"/>
                <w:szCs w:val="24"/>
              </w:rPr>
              <w:t>支持对清单上传过程中发生的问题进行自动化识别，分派任务至指定服务工程师进行及时处理，可视化跟踪问题处理进度和完成情况；</w:t>
            </w:r>
          </w:p>
          <w:p w14:paraId="36C2E36D">
            <w:pPr>
              <w:jc w:val="left"/>
              <w:rPr>
                <w:rFonts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rPr>
              <w:tab/>
            </w:r>
            <w:r>
              <w:rPr>
                <w:rFonts w:hint="eastAsia" w:ascii="仿宋" w:hAnsi="仿宋" w:eastAsia="仿宋" w:cs="仿宋"/>
                <w:kern w:val="0"/>
                <w:sz w:val="24"/>
                <w:szCs w:val="24"/>
              </w:rPr>
              <w:t>提供因患者或其他非技术原因，需要医院重新生成清单并上传的处理服务，如：自费转医保、医保反交易、跨月冲销等情况；</w:t>
            </w:r>
          </w:p>
          <w:p w14:paraId="7FB88247">
            <w:pPr>
              <w:jc w:val="left"/>
              <w:rPr>
                <w:rFonts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rPr>
              <w:tab/>
            </w:r>
            <w:r>
              <w:rPr>
                <w:rFonts w:hint="eastAsia" w:ascii="仿宋" w:hAnsi="仿宋" w:eastAsia="仿宋" w:cs="仿宋"/>
                <w:kern w:val="0"/>
                <w:sz w:val="24"/>
                <w:szCs w:val="24"/>
              </w:rPr>
              <w:t>提供上传失败清单的问题定位、协调处理、重新上传、补传服务，确保每一份有效清单均成功上传至医保局。</w:t>
            </w:r>
          </w:p>
        </w:tc>
      </w:tr>
    </w:tbl>
    <w:p w14:paraId="0D9C2A6A">
      <w:pPr>
        <w:widowControl/>
        <w:snapToGrid w:val="0"/>
        <w:spacing w:line="380" w:lineRule="exact"/>
        <w:rPr>
          <w:rFonts w:ascii="仿宋" w:eastAsia="仿宋"/>
          <w:b/>
          <w:bCs/>
          <w:sz w:val="24"/>
        </w:rPr>
      </w:pPr>
      <w:r>
        <w:rPr>
          <w:rFonts w:hint="eastAsia" w:ascii="仿宋" w:eastAsia="仿宋"/>
          <w:b/>
          <w:bCs/>
          <w:sz w:val="24"/>
          <w:lang w:eastAsia="zh-CN"/>
        </w:rPr>
        <w:t>三</w:t>
      </w:r>
      <w:r>
        <w:rPr>
          <w:rFonts w:hint="eastAsia" w:ascii="仿宋" w:eastAsia="仿宋"/>
          <w:b/>
          <w:bCs/>
          <w:sz w:val="24"/>
        </w:rPr>
        <w:t>、系统接口要求</w:t>
      </w:r>
    </w:p>
    <w:p w14:paraId="52B460F5">
      <w:pPr>
        <w:widowControl/>
        <w:snapToGrid w:val="0"/>
        <w:spacing w:line="380" w:lineRule="exact"/>
        <w:rPr>
          <w:rFonts w:ascii="仿宋" w:eastAsia="仿宋"/>
          <w:sz w:val="24"/>
        </w:rPr>
      </w:pPr>
      <w:r>
        <w:rPr>
          <w:rFonts w:hint="eastAsia" w:ascii="仿宋" w:eastAsia="仿宋"/>
          <w:sz w:val="24"/>
        </w:rPr>
        <w:t>★中标人须负责独立完成与本次实施系统相关的所有第三方软件系统接口(包括但不限于HIS、病案、电子病历等)集成工作，所需支付的全部费用包含在此项目中，并在合同实施期内完成。</w:t>
      </w:r>
    </w:p>
    <w:p w14:paraId="10C04572">
      <w:pPr>
        <w:widowControl/>
        <w:snapToGrid w:val="0"/>
        <w:spacing w:line="380" w:lineRule="exact"/>
        <w:rPr>
          <w:rFonts w:ascii="仿宋" w:eastAsia="仿宋"/>
          <w:b/>
          <w:bCs/>
          <w:sz w:val="24"/>
        </w:rPr>
      </w:pPr>
      <w:r>
        <w:rPr>
          <w:rFonts w:hint="eastAsia" w:ascii="仿宋" w:eastAsia="仿宋"/>
          <w:b/>
          <w:bCs/>
          <w:sz w:val="24"/>
          <w:lang w:eastAsia="zh-CN"/>
        </w:rPr>
        <w:t>四</w:t>
      </w:r>
      <w:r>
        <w:rPr>
          <w:rFonts w:hint="eastAsia" w:ascii="仿宋" w:eastAsia="仿宋"/>
          <w:b/>
          <w:bCs/>
          <w:sz w:val="24"/>
        </w:rPr>
        <w:t>、其他要求</w:t>
      </w:r>
    </w:p>
    <w:p w14:paraId="5C282066">
      <w:pPr>
        <w:widowControl/>
        <w:snapToGrid w:val="0"/>
        <w:spacing w:line="380" w:lineRule="exact"/>
        <w:rPr>
          <w:rFonts w:ascii="仿宋" w:eastAsia="仿宋"/>
          <w:sz w:val="24"/>
        </w:rPr>
      </w:pPr>
      <w:r>
        <w:rPr>
          <w:rFonts w:hint="eastAsia" w:ascii="仿宋" w:eastAsia="仿宋"/>
          <w:sz w:val="24"/>
          <w:lang w:val="en-US" w:eastAsia="zh-CN"/>
        </w:rPr>
        <w:t>4</w:t>
      </w:r>
      <w:r>
        <w:rPr>
          <w:rFonts w:hint="eastAsia" w:ascii="仿宋" w:eastAsia="仿宋"/>
          <w:sz w:val="24"/>
        </w:rPr>
        <w:t>.1项目管理、实施、验收、培训要求：</w:t>
      </w:r>
    </w:p>
    <w:p w14:paraId="51929F20">
      <w:pPr>
        <w:widowControl/>
        <w:snapToGrid w:val="0"/>
        <w:spacing w:line="380" w:lineRule="exact"/>
        <w:rPr>
          <w:rFonts w:ascii="仿宋" w:eastAsia="仿宋"/>
          <w:sz w:val="24"/>
        </w:rPr>
      </w:pPr>
      <w:r>
        <w:rPr>
          <w:rFonts w:hint="eastAsia" w:ascii="仿宋" w:eastAsia="仿宋"/>
          <w:sz w:val="24"/>
        </w:rPr>
        <w:t>1）投标人应充分考虑满足投标项目的建设要求，提出完整的项目管理方案。</w:t>
      </w:r>
    </w:p>
    <w:p w14:paraId="734E478D">
      <w:pPr>
        <w:widowControl/>
        <w:snapToGrid w:val="0"/>
        <w:spacing w:line="380" w:lineRule="exact"/>
        <w:rPr>
          <w:rFonts w:ascii="仿宋" w:eastAsia="仿宋"/>
          <w:sz w:val="24"/>
        </w:rPr>
      </w:pPr>
      <w:r>
        <w:rPr>
          <w:rFonts w:hint="eastAsia" w:ascii="仿宋" w:eastAsia="仿宋"/>
          <w:sz w:val="24"/>
        </w:rPr>
        <w:t>2）投标人应书面明确实施投标项目的人员配置管理计划，包括组织结构、项目负责人、组成人员及分工职责。中标人应派经招标人认可的有经验和能力、具有相应资质的技术人员，负责系统调试、设备安装工作。</w:t>
      </w:r>
    </w:p>
    <w:p w14:paraId="7B3B38CE">
      <w:pPr>
        <w:widowControl/>
        <w:snapToGrid w:val="0"/>
        <w:spacing w:line="380" w:lineRule="exact"/>
        <w:rPr>
          <w:rFonts w:ascii="仿宋" w:eastAsia="仿宋"/>
          <w:sz w:val="24"/>
        </w:rPr>
      </w:pPr>
      <w:r>
        <w:rPr>
          <w:rFonts w:hint="eastAsia" w:ascii="仿宋" w:eastAsia="仿宋"/>
          <w:sz w:val="24"/>
        </w:rPr>
        <w:t>3）中标人应成立实施小组负责完成各自承担的工作，及时向项目领导小组汇报项目进展情况，并按各自单位的项目管理办法做好项目管理工作；项目领导小组根据项目实施进展，在一般情况下每周召开一次项目例会，商讨、协调、通报项目实施过程中的各类事项，编制项目进展通报；项目领导小组根据项目的需要，在必要的情况下，召开会议对项目的重要事项进行决策。</w:t>
      </w:r>
    </w:p>
    <w:p w14:paraId="25635DAA">
      <w:pPr>
        <w:widowControl/>
        <w:snapToGrid w:val="0"/>
        <w:spacing w:line="380" w:lineRule="exact"/>
        <w:rPr>
          <w:rFonts w:ascii="仿宋" w:eastAsia="仿宋"/>
          <w:sz w:val="24"/>
        </w:rPr>
      </w:pPr>
      <w:r>
        <w:rPr>
          <w:rFonts w:hint="eastAsia" w:ascii="仿宋" w:eastAsia="仿宋"/>
          <w:sz w:val="24"/>
        </w:rPr>
        <w:t>4）本项目为“一揽子工程”，投标方应充分理解与满足招标文件中的需求与目标，如投标方对本项目理解有误或方案设计存在偏差等，导致项目在实施过程中发现遗漏工程的，弥补的项目费用全部由投标方承担，招标方不再另行支付其他费用。</w:t>
      </w:r>
    </w:p>
    <w:p w14:paraId="57466BFC">
      <w:pPr>
        <w:widowControl/>
        <w:snapToGrid w:val="0"/>
        <w:spacing w:line="380" w:lineRule="exact"/>
        <w:rPr>
          <w:rFonts w:ascii="仿宋" w:eastAsia="仿宋"/>
          <w:sz w:val="24"/>
        </w:rPr>
      </w:pPr>
      <w:r>
        <w:rPr>
          <w:rFonts w:hint="eastAsia" w:ascii="仿宋" w:eastAsia="仿宋"/>
          <w:sz w:val="24"/>
        </w:rPr>
        <w:t>5）投入试运行后正常运行1个月（并完成相关培训），提请正式验收，验收合格，提交全部报告材料，出具终验报告，正式交付使用，进入维护期。</w:t>
      </w:r>
    </w:p>
    <w:p w14:paraId="0E1CA8B0">
      <w:pPr>
        <w:widowControl/>
        <w:snapToGrid w:val="0"/>
        <w:spacing w:line="380" w:lineRule="exact"/>
        <w:rPr>
          <w:rFonts w:ascii="仿宋" w:eastAsia="仿宋"/>
          <w:sz w:val="24"/>
        </w:rPr>
      </w:pPr>
      <w:r>
        <w:rPr>
          <w:rFonts w:hint="eastAsia" w:ascii="仿宋" w:eastAsia="仿宋"/>
          <w:sz w:val="24"/>
        </w:rPr>
        <w:t>项目验收应提交的成果和电子文档，包括但不限于：需求分析报告；系统测试方案；系统测试分析报告；安装维护手册；使用操作手册；培训资料；数据结构说明文档等。</w:t>
      </w:r>
    </w:p>
    <w:p w14:paraId="6CE2DF9E">
      <w:pPr>
        <w:pStyle w:val="4"/>
      </w:pPr>
      <w:bookmarkStart w:id="56" w:name="_Toc83838336"/>
      <w:r>
        <w:rPr>
          <w:rFonts w:hint="eastAsia"/>
        </w:rPr>
        <w:t>二、商务要求</w:t>
      </w:r>
      <w:bookmarkEnd w:id="56"/>
    </w:p>
    <w:p w14:paraId="4AF0641B">
      <w:pPr>
        <w:widowControl/>
        <w:snapToGrid w:val="0"/>
        <w:spacing w:line="440" w:lineRule="exact"/>
        <w:ind w:firstLine="0" w:firstLineChars="0"/>
        <w:rPr>
          <w:rFonts w:ascii="仿宋" w:hAnsi="仿宋" w:eastAsia="仿宋" w:cs="仿宋"/>
          <w:kern w:val="0"/>
          <w:sz w:val="24"/>
          <w:szCs w:val="24"/>
        </w:rPr>
      </w:pPr>
      <w:r>
        <w:rPr>
          <w:rFonts w:hint="eastAsia" w:ascii="仿宋" w:hAnsi="仿宋" w:eastAsia="仿宋" w:cs="仿宋"/>
          <w:b/>
          <w:bCs/>
          <w:kern w:val="0"/>
          <w:sz w:val="24"/>
          <w:szCs w:val="24"/>
        </w:rPr>
        <w:t>2.1服务期限</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rPr>
        <w:t>1年</w:t>
      </w:r>
      <w:r>
        <w:rPr>
          <w:rFonts w:ascii="仿宋" w:hAnsi="仿宋" w:eastAsia="仿宋" w:cs="仿宋"/>
          <w:kern w:val="0"/>
          <w:sz w:val="24"/>
          <w:szCs w:val="24"/>
        </w:rPr>
        <w:t>。</w:t>
      </w:r>
    </w:p>
    <w:p w14:paraId="480DF6E9">
      <w:pPr>
        <w:widowControl/>
        <w:snapToGrid w:val="0"/>
        <w:spacing w:line="440" w:lineRule="exact"/>
        <w:rPr>
          <w:rFonts w:ascii="仿宋" w:hAnsi="仿宋" w:eastAsia="仿宋" w:cs="仿宋"/>
          <w:b/>
          <w:bCs/>
          <w:kern w:val="0"/>
          <w:sz w:val="24"/>
          <w:szCs w:val="24"/>
        </w:rPr>
      </w:pPr>
      <w:r>
        <w:rPr>
          <w:rFonts w:hint="eastAsia" w:ascii="仿宋" w:hAnsi="仿宋" w:eastAsia="仿宋" w:cs="仿宋"/>
          <w:b/>
          <w:bCs/>
          <w:kern w:val="0"/>
          <w:sz w:val="24"/>
          <w:szCs w:val="24"/>
        </w:rPr>
        <w:t>2.2数量调整</w:t>
      </w:r>
    </w:p>
    <w:p w14:paraId="7D4A103D">
      <w:pPr>
        <w:widowControl/>
        <w:snapToGrid w:val="0"/>
        <w:spacing w:line="440" w:lineRule="exact"/>
        <w:ind w:firstLine="475" w:firstLineChars="198"/>
        <w:rPr>
          <w:rFonts w:ascii="仿宋" w:hAnsi="仿宋" w:eastAsia="仿宋" w:cs="仿宋"/>
          <w:kern w:val="0"/>
          <w:sz w:val="24"/>
          <w:szCs w:val="24"/>
        </w:rPr>
      </w:pPr>
      <w:r>
        <w:rPr>
          <w:rFonts w:hint="eastAsia" w:ascii="仿宋" w:hAnsi="仿宋" w:eastAsia="仿宋" w:cs="仿宋"/>
          <w:kern w:val="0"/>
          <w:sz w:val="24"/>
          <w:szCs w:val="24"/>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的10%。</w:t>
      </w:r>
    </w:p>
    <w:p w14:paraId="7E1CA7B1">
      <w:pPr>
        <w:widowControl/>
        <w:snapToGrid w:val="0"/>
        <w:spacing w:line="440" w:lineRule="exact"/>
        <w:rPr>
          <w:rFonts w:ascii="仿宋" w:hAnsi="仿宋" w:eastAsia="仿宋" w:cs="仿宋"/>
          <w:b/>
          <w:bCs/>
          <w:kern w:val="0"/>
          <w:sz w:val="24"/>
          <w:szCs w:val="24"/>
        </w:rPr>
      </w:pPr>
      <w:r>
        <w:rPr>
          <w:rFonts w:hint="eastAsia" w:ascii="仿宋" w:hAnsi="仿宋" w:eastAsia="仿宋" w:cs="仿宋"/>
          <w:b/>
          <w:bCs/>
          <w:kern w:val="0"/>
          <w:sz w:val="24"/>
          <w:szCs w:val="24"/>
        </w:rPr>
        <w:t>2.3验收</w:t>
      </w:r>
    </w:p>
    <w:p w14:paraId="65EECE1F">
      <w:pPr>
        <w:widowControl/>
        <w:snapToGrid w:val="0"/>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验收按国家有关规范标准（</w:t>
      </w:r>
      <w:r>
        <w:rPr>
          <w:rFonts w:hint="eastAsia" w:ascii="仿宋" w:hAnsi="仿宋" w:eastAsia="仿宋" w:cs="仿宋"/>
          <w:sz w:val="24"/>
          <w:szCs w:val="24"/>
        </w:rPr>
        <w:t>国家无验收规范标准的按双方合同规定的要求</w:t>
      </w:r>
      <w:r>
        <w:rPr>
          <w:rFonts w:hint="eastAsia" w:ascii="仿宋" w:hAnsi="仿宋" w:eastAsia="仿宋" w:cs="仿宋"/>
          <w:kern w:val="0"/>
          <w:sz w:val="24"/>
          <w:szCs w:val="24"/>
        </w:rPr>
        <w:t>）进行。采购人保留邀请参加本项目的其他投标人或者第三方机构或相关技术专家参与验收的权利。参与验收的投标人或者第三方机构的意见作为验收书的参考资料一并存档。</w:t>
      </w:r>
    </w:p>
    <w:p w14:paraId="0698C3CC">
      <w:pPr>
        <w:widowControl/>
        <w:snapToGrid w:val="0"/>
        <w:spacing w:line="440" w:lineRule="exact"/>
        <w:rPr>
          <w:rFonts w:ascii="仿宋" w:hAnsi="仿宋" w:eastAsia="仿宋" w:cs="仿宋"/>
          <w:b/>
          <w:bCs/>
          <w:kern w:val="0"/>
          <w:sz w:val="24"/>
          <w:szCs w:val="24"/>
        </w:rPr>
      </w:pPr>
      <w:r>
        <w:rPr>
          <w:rFonts w:hint="eastAsia" w:ascii="仿宋" w:hAnsi="仿宋" w:eastAsia="仿宋" w:cs="仿宋"/>
          <w:b/>
          <w:bCs/>
          <w:kern w:val="0"/>
          <w:sz w:val="24"/>
          <w:szCs w:val="24"/>
        </w:rPr>
        <w:t>2.4付款方式</w:t>
      </w:r>
    </w:p>
    <w:p w14:paraId="3BD200FC">
      <w:pPr>
        <w:spacing w:line="440" w:lineRule="exact"/>
        <w:ind w:firstLine="480" w:firstLineChars="200"/>
        <w:rPr>
          <w:rFonts w:ascii="仿宋" w:hAnsi="仿宋" w:eastAsia="仿宋"/>
          <w:b/>
          <w:bCs/>
          <w:sz w:val="24"/>
        </w:rPr>
      </w:pPr>
      <w:r>
        <w:rPr>
          <w:rFonts w:hint="eastAsia" w:ascii="仿宋" w:hAnsi="仿宋" w:eastAsia="仿宋"/>
          <w:sz w:val="24"/>
        </w:rPr>
        <w:t>合同签订后15日内采购人向中标人支付合同总额的40%的预付款；系统完成安装调试、投入运行、并经验收通过后，采购人向中标人支付合同价60%的尾款。</w:t>
      </w:r>
      <w:r>
        <w:rPr>
          <w:rFonts w:hint="eastAsia" w:ascii="仿宋" w:hAnsi="仿宋" w:eastAsia="仿宋"/>
          <w:sz w:val="24"/>
        </w:rPr>
        <w:br w:type="textWrapping"/>
      </w:r>
      <w:r>
        <w:rPr>
          <w:rFonts w:hint="eastAsia" w:ascii="仿宋" w:hAnsi="仿宋" w:eastAsia="仿宋"/>
          <w:b/>
          <w:bCs/>
          <w:sz w:val="24"/>
        </w:rPr>
        <w:t>2.5其他要求</w:t>
      </w:r>
    </w:p>
    <w:p w14:paraId="1A0EF70C">
      <w:pPr>
        <w:spacing w:line="440" w:lineRule="exact"/>
        <w:rPr>
          <w:rFonts w:ascii="仿宋" w:hAnsi="仿宋" w:eastAsia="仿宋" w:cs="仿宋"/>
          <w:sz w:val="24"/>
          <w:szCs w:val="24"/>
        </w:rPr>
      </w:pPr>
      <w:r>
        <w:rPr>
          <w:rFonts w:hint="eastAsia" w:ascii="仿宋" w:hAnsi="仿宋" w:eastAsia="仿宋" w:cs="仿宋"/>
          <w:sz w:val="24"/>
          <w:szCs w:val="24"/>
        </w:rPr>
        <w:t>2.5.1售后服务</w:t>
      </w:r>
    </w:p>
    <w:p w14:paraId="089E458A">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2.5.1.1从验收通过后起算1年。</w:t>
      </w:r>
    </w:p>
    <w:p w14:paraId="7AF90DB4">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2.5.1.2投标人的服务内容应包括：服务能力、服务时间、人员配备、系统故障响应、诊断、应急处理等。</w:t>
      </w:r>
    </w:p>
    <w:p w14:paraId="4D42DFF2">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2.5.1.3在系统的服务期内，投标人应确保系统的正常使用。在接到用户服务要求后应立即做出回应，并在承诺的服务时间内实施服务。</w:t>
      </w:r>
    </w:p>
    <w:p w14:paraId="72FC3C88">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2.5.1.4  7×24小时的免费上门保修服务半小时内响应，4小时内到达现场，24小时内解决故障。</w:t>
      </w:r>
    </w:p>
    <w:p w14:paraId="7582AECA">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2.5.1.5热线电话服务提供技术咨询、故障诊断、故障排除、以及现场支持等具体的技术支持工作，并对客户投诉做出相应处理。</w:t>
      </w:r>
    </w:p>
    <w:p w14:paraId="00D064B0">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2.5.1.6定期巡检与调优系统，确保系统始终处于高效率运行状态。</w:t>
      </w:r>
    </w:p>
    <w:p w14:paraId="4C125A3B">
      <w:pPr>
        <w:spacing w:line="440" w:lineRule="exact"/>
        <w:rPr>
          <w:rFonts w:ascii="仿宋" w:hAnsi="仿宋" w:eastAsia="仿宋" w:cs="仿宋"/>
          <w:sz w:val="24"/>
          <w:szCs w:val="24"/>
        </w:rPr>
      </w:pPr>
      <w:r>
        <w:rPr>
          <w:rFonts w:hint="eastAsia" w:ascii="仿宋" w:hAnsi="仿宋" w:eastAsia="仿宋" w:cs="仿宋"/>
          <w:sz w:val="24"/>
          <w:szCs w:val="24"/>
        </w:rPr>
        <w:t>2.5.2培训</w:t>
      </w:r>
    </w:p>
    <w:p w14:paraId="1A0C8A8F">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2.5.2.1培训：投标人应制定详细的培训计划，对使用人员进行操作及相关技术培训。投标人负责用户的现场技术培训，包括产品的功能、部署条件、部署步骤和注意事项、产品升级、日常维护事项等方面，使用户达到能独立进行管理、维护测试和故障处理等工作，以使所提供的软件产品能够正常、安全的运行。</w:t>
      </w:r>
    </w:p>
    <w:p w14:paraId="47FB17AB">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2.5.2.2所有的培训费用必须计入投标总价。</w:t>
      </w:r>
    </w:p>
    <w:p w14:paraId="2AB1C517">
      <w:pPr>
        <w:spacing w:line="440" w:lineRule="exact"/>
        <w:rPr>
          <w:rFonts w:ascii="仿宋" w:hAnsi="仿宋" w:eastAsia="仿宋" w:cs="仿宋"/>
          <w:sz w:val="24"/>
          <w:szCs w:val="24"/>
        </w:rPr>
      </w:pPr>
      <w:r>
        <w:rPr>
          <w:rFonts w:hint="eastAsia" w:ascii="仿宋" w:hAnsi="仿宋" w:eastAsia="仿宋" w:cs="仿宋"/>
          <w:sz w:val="24"/>
          <w:szCs w:val="24"/>
        </w:rPr>
        <w:t>2.5.3交货及安装调试</w:t>
      </w:r>
    </w:p>
    <w:p w14:paraId="7F74A37F">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2.5.3.1安装地点：医院指定地点。</w:t>
      </w:r>
    </w:p>
    <w:p w14:paraId="07B2776E">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2.5.3.2实施周期：合同签订后1个月内(因医院硬件环境准备、第三方系统接口对接、政策文件未下发等造成的工期延迟不计算在内)，软件系统到货、安装完成。如在规定的时间内由于投标商的原因不能完成安装和调试，投标商应承担由此给用户造成的损失。</w:t>
      </w:r>
    </w:p>
    <w:p w14:paraId="4A68090B">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2.5.3.3安装标准：符合我国国家有关技术规范要求和技术标准。</w:t>
      </w:r>
    </w:p>
    <w:p w14:paraId="02B6DD77">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2.5.3.4安装调试过程中发生的费用由投标商负责。</w:t>
      </w:r>
    </w:p>
    <w:p w14:paraId="3CDF38D5">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2.5.3.5在项目实施过程中，向医院提供齐全的电子版和书面的操作说明等文档。</w:t>
      </w:r>
    </w:p>
    <w:p w14:paraId="45234AFD">
      <w:pPr>
        <w:spacing w:line="440" w:lineRule="exact"/>
        <w:rPr>
          <w:rFonts w:ascii="仿宋" w:hAnsi="仿宋" w:eastAsia="仿宋" w:cs="仿宋"/>
          <w:sz w:val="24"/>
          <w:szCs w:val="24"/>
        </w:rPr>
      </w:pPr>
      <w:r>
        <w:rPr>
          <w:rFonts w:hint="eastAsia" w:ascii="仿宋" w:hAnsi="仿宋" w:eastAsia="仿宋" w:cs="仿宋"/>
          <w:sz w:val="24"/>
          <w:szCs w:val="24"/>
        </w:rPr>
        <w:t>2.5.4报价方式</w:t>
      </w:r>
    </w:p>
    <w:p w14:paraId="30D8D100">
      <w:pPr>
        <w:widowControl/>
        <w:snapToGrid w:val="0"/>
        <w:spacing w:line="440" w:lineRule="exact"/>
        <w:rPr>
          <w:rFonts w:ascii="仿宋" w:hAnsi="仿宋" w:eastAsia="仿宋" w:cs="仿宋"/>
          <w:kern w:val="0"/>
          <w:sz w:val="24"/>
          <w:szCs w:val="24"/>
        </w:rPr>
      </w:pPr>
      <w:r>
        <w:rPr>
          <w:rFonts w:hint="eastAsia" w:ascii="仿宋" w:hAnsi="仿宋" w:eastAsia="仿宋" w:cs="仿宋"/>
          <w:sz w:val="24"/>
          <w:szCs w:val="24"/>
        </w:rPr>
        <w:t>所有报价为到医院人民币价（含一切税费、安装调试费、相关接口费用）</w:t>
      </w:r>
      <w:r>
        <w:rPr>
          <w:rFonts w:hint="eastAsia" w:ascii="仿宋" w:hAnsi="仿宋" w:eastAsia="仿宋" w:cs="仿宋"/>
          <w:kern w:val="0"/>
          <w:sz w:val="24"/>
          <w:szCs w:val="24"/>
        </w:rPr>
        <w:t>。</w:t>
      </w:r>
    </w:p>
    <w:p w14:paraId="4B31DB05">
      <w:pPr>
        <w:widowControl/>
        <w:snapToGrid w:val="0"/>
        <w:spacing w:line="480" w:lineRule="exact"/>
        <w:ind w:firstLine="480" w:firstLineChars="200"/>
        <w:rPr>
          <w:rFonts w:ascii="仿宋" w:hAnsi="仿宋" w:eastAsia="仿宋" w:cs="仿宋"/>
          <w:kern w:val="0"/>
          <w:sz w:val="24"/>
          <w:szCs w:val="24"/>
        </w:rPr>
      </w:pPr>
    </w:p>
    <w:p w14:paraId="4BE33D4B">
      <w:pPr>
        <w:spacing w:line="360" w:lineRule="auto"/>
        <w:ind w:firstLine="480" w:firstLineChars="200"/>
        <w:rPr>
          <w:rFonts w:ascii="仿宋" w:hAnsi="仿宋" w:eastAsia="仿宋" w:cs="仿宋"/>
          <w:sz w:val="24"/>
          <w:szCs w:val="24"/>
        </w:rPr>
      </w:pPr>
    </w:p>
    <w:p w14:paraId="09CCDB31">
      <w:pPr>
        <w:rPr>
          <w:rFonts w:ascii="仿宋" w:hAnsi="仿宋" w:eastAsia="仿宋" w:cs="仿宋"/>
          <w:bCs/>
          <w:sz w:val="24"/>
          <w:szCs w:val="24"/>
        </w:rPr>
      </w:pPr>
      <w:r>
        <w:rPr>
          <w:rFonts w:hint="eastAsia" w:ascii="仿宋" w:hAnsi="仿宋" w:eastAsia="仿宋" w:cs="仿宋"/>
          <w:bCs/>
          <w:sz w:val="24"/>
          <w:szCs w:val="24"/>
        </w:rPr>
        <w:br w:type="page"/>
      </w:r>
    </w:p>
    <w:p w14:paraId="4DF01128">
      <w:pPr>
        <w:pStyle w:val="3"/>
        <w:rPr>
          <w:rFonts w:ascii="仿宋"/>
        </w:rPr>
      </w:pPr>
      <w:r>
        <w:rPr>
          <w:rFonts w:hint="eastAsia" w:ascii="仿宋"/>
        </w:rPr>
        <w:t>第四章  拟签订合同的主要条款</w:t>
      </w:r>
      <w:bookmarkEnd w:id="42"/>
    </w:p>
    <w:p w14:paraId="1547F9D3">
      <w:pPr>
        <w:widowControl/>
        <w:snapToGrid w:val="0"/>
        <w:spacing w:line="480" w:lineRule="exact"/>
        <w:rPr>
          <w:rFonts w:ascii="仿宋" w:eastAsia="仿宋"/>
          <w:b/>
          <w:bCs/>
          <w:kern w:val="0"/>
          <w:sz w:val="24"/>
          <w:u w:val="single"/>
        </w:rPr>
      </w:pPr>
      <w:r>
        <w:rPr>
          <w:rFonts w:hint="eastAsia" w:ascii="仿宋" w:eastAsia="仿宋"/>
          <w:b/>
          <w:bCs/>
          <w:kern w:val="0"/>
          <w:sz w:val="24"/>
          <w:u w:val="single"/>
        </w:rPr>
        <w:t>（合同按采购文件及中标供应商投标文件的内容制定，以下仅为部分主要条款）</w:t>
      </w:r>
    </w:p>
    <w:p w14:paraId="6975E696">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14:paraId="3DAF2C5B">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14:paraId="486A9E3D">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43E13C80">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1EA42DA2">
      <w:pPr>
        <w:widowControl/>
        <w:snapToGrid w:val="0"/>
        <w:spacing w:line="480" w:lineRule="exact"/>
        <w:ind w:firstLine="480" w:firstLineChars="200"/>
        <w:rPr>
          <w:rFonts w:ascii="仿宋" w:eastAsia="仿宋"/>
          <w:kern w:val="0"/>
          <w:sz w:val="24"/>
        </w:rPr>
      </w:pPr>
    </w:p>
    <w:p w14:paraId="6183DACE">
      <w:pPr>
        <w:widowControl/>
        <w:snapToGrid w:val="0"/>
        <w:spacing w:line="44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项目编号为</w:t>
      </w:r>
      <w:r>
        <w:rPr>
          <w:rFonts w:hint="eastAsia" w:ascii="仿宋" w:eastAsia="仿宋"/>
          <w:kern w:val="0"/>
          <w:sz w:val="24"/>
          <w:u w:val="single"/>
        </w:rPr>
        <w:t xml:space="preserve">      </w:t>
      </w:r>
      <w:r>
        <w:rPr>
          <w:rFonts w:hint="eastAsia" w:ascii="仿宋" w:eastAsia="仿宋"/>
          <w:kern w:val="0"/>
          <w:sz w:val="24"/>
        </w:rPr>
        <w:t>的</w:t>
      </w:r>
      <w:r>
        <w:rPr>
          <w:rFonts w:hint="eastAsia" w:ascii="仿宋" w:eastAsia="仿宋"/>
          <w:kern w:val="0"/>
          <w:sz w:val="24"/>
          <w:u w:val="single"/>
        </w:rPr>
        <w:t>（标项及名称）</w:t>
      </w:r>
      <w:r>
        <w:rPr>
          <w:rFonts w:hint="eastAsia" w:ascii="仿宋" w:eastAsia="仿宋"/>
          <w:kern w:val="0"/>
          <w:sz w:val="24"/>
        </w:rPr>
        <w:t>项目的政府采购交易结果，签署本合同。</w:t>
      </w:r>
    </w:p>
    <w:p w14:paraId="455597CE">
      <w:pPr>
        <w:widowControl/>
        <w:numPr>
          <w:ilvl w:val="0"/>
          <w:numId w:val="9"/>
        </w:numPr>
        <w:snapToGrid w:val="0"/>
        <w:spacing w:line="440" w:lineRule="exact"/>
        <w:rPr>
          <w:rFonts w:ascii="仿宋" w:eastAsia="仿宋"/>
          <w:b/>
          <w:bCs/>
          <w:kern w:val="0"/>
          <w:sz w:val="24"/>
        </w:rPr>
      </w:pPr>
      <w:r>
        <w:rPr>
          <w:rFonts w:hint="eastAsia" w:ascii="仿宋" w:eastAsia="仿宋"/>
          <w:b/>
          <w:bCs/>
          <w:kern w:val="0"/>
          <w:sz w:val="24"/>
        </w:rPr>
        <w:t>服务内容及标准</w:t>
      </w:r>
    </w:p>
    <w:p w14:paraId="20C057C2">
      <w:pPr>
        <w:widowControl/>
        <w:snapToGrid w:val="0"/>
        <w:spacing w:line="440" w:lineRule="exact"/>
        <w:ind w:left="480"/>
        <w:rPr>
          <w:rFonts w:ascii="仿宋" w:eastAsia="仿宋"/>
          <w:kern w:val="0"/>
          <w:sz w:val="24"/>
        </w:rPr>
      </w:pPr>
      <w:r>
        <w:rPr>
          <w:rFonts w:hint="eastAsia" w:ascii="仿宋" w:eastAsia="仿宋"/>
          <w:kern w:val="0"/>
          <w:sz w:val="24"/>
        </w:rPr>
        <w:t>（按采购需求及投标文件的内容填写）</w:t>
      </w:r>
    </w:p>
    <w:p w14:paraId="12CC0BA3">
      <w:pPr>
        <w:widowControl/>
        <w:numPr>
          <w:ilvl w:val="0"/>
          <w:numId w:val="9"/>
        </w:numPr>
        <w:snapToGrid w:val="0"/>
        <w:spacing w:line="440" w:lineRule="exact"/>
        <w:rPr>
          <w:rFonts w:ascii="仿宋" w:eastAsia="仿宋"/>
          <w:b/>
          <w:bCs/>
          <w:kern w:val="0"/>
          <w:sz w:val="24"/>
        </w:rPr>
      </w:pPr>
      <w:r>
        <w:rPr>
          <w:rFonts w:hint="eastAsia" w:ascii="仿宋" w:eastAsia="仿宋"/>
          <w:b/>
          <w:bCs/>
          <w:kern w:val="0"/>
          <w:sz w:val="24"/>
        </w:rPr>
        <w:t>服务价格</w:t>
      </w:r>
    </w:p>
    <w:p w14:paraId="25C717B0">
      <w:pPr>
        <w:widowControl/>
        <w:snapToGrid w:val="0"/>
        <w:spacing w:line="440" w:lineRule="exact"/>
        <w:ind w:left="480"/>
        <w:rPr>
          <w:rFonts w:ascii="仿宋" w:eastAsia="仿宋"/>
          <w:kern w:val="0"/>
          <w:sz w:val="24"/>
        </w:rPr>
      </w:pPr>
      <w:r>
        <w:rPr>
          <w:rFonts w:hint="eastAsia" w:ascii="仿宋" w:eastAsia="仿宋"/>
          <w:kern w:val="0"/>
          <w:sz w:val="24"/>
        </w:rPr>
        <w:t>（有服务分项的，需报分项价格和总价）</w:t>
      </w:r>
    </w:p>
    <w:p w14:paraId="0ADA3367">
      <w:pPr>
        <w:widowControl/>
        <w:snapToGrid w:val="0"/>
        <w:spacing w:line="440" w:lineRule="exact"/>
        <w:ind w:firstLine="482" w:firstLineChars="200"/>
        <w:rPr>
          <w:rFonts w:ascii="仿宋" w:eastAsia="仿宋"/>
          <w:b/>
          <w:bCs/>
          <w:kern w:val="0"/>
          <w:sz w:val="24"/>
        </w:rPr>
      </w:pPr>
      <w:r>
        <w:rPr>
          <w:rFonts w:hint="eastAsia" w:ascii="仿宋" w:eastAsia="仿宋"/>
          <w:b/>
          <w:bCs/>
          <w:kern w:val="0"/>
          <w:sz w:val="24"/>
        </w:rPr>
        <w:t>三、技术资料</w:t>
      </w:r>
    </w:p>
    <w:p w14:paraId="211FCE64">
      <w:pPr>
        <w:widowControl/>
        <w:snapToGrid w:val="0"/>
        <w:spacing w:line="440" w:lineRule="exact"/>
        <w:ind w:firstLine="480" w:firstLineChars="200"/>
        <w:rPr>
          <w:rFonts w:ascii="仿宋" w:eastAsia="仿宋"/>
          <w:kern w:val="0"/>
          <w:sz w:val="24"/>
        </w:rPr>
      </w:pPr>
      <w:r>
        <w:rPr>
          <w:rFonts w:hint="eastAsia" w:ascii="仿宋" w:eastAsia="仿宋"/>
          <w:kern w:val="0"/>
          <w:sz w:val="24"/>
        </w:rPr>
        <w:t>1.乙方应按采购文件规定的时间向甲方提供与本项目有关的技术资料。</w:t>
      </w:r>
    </w:p>
    <w:p w14:paraId="0DAF62DB">
      <w:pPr>
        <w:widowControl/>
        <w:snapToGrid w:val="0"/>
        <w:spacing w:line="44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D72D69">
      <w:pPr>
        <w:widowControl/>
        <w:snapToGrid w:val="0"/>
        <w:spacing w:line="440" w:lineRule="exact"/>
        <w:ind w:firstLine="482" w:firstLineChars="200"/>
        <w:rPr>
          <w:rFonts w:ascii="仿宋" w:eastAsia="仿宋"/>
          <w:b/>
          <w:bCs/>
          <w:kern w:val="0"/>
          <w:sz w:val="24"/>
        </w:rPr>
      </w:pPr>
      <w:r>
        <w:rPr>
          <w:rFonts w:hint="eastAsia" w:ascii="仿宋" w:eastAsia="仿宋"/>
          <w:b/>
          <w:bCs/>
          <w:kern w:val="0"/>
          <w:sz w:val="24"/>
        </w:rPr>
        <w:t>四、知识产权</w:t>
      </w:r>
    </w:p>
    <w:p w14:paraId="5066791C">
      <w:pPr>
        <w:widowControl/>
        <w:snapToGrid w:val="0"/>
        <w:spacing w:line="440" w:lineRule="exact"/>
        <w:ind w:firstLine="480" w:firstLineChars="200"/>
        <w:rPr>
          <w:rFonts w:ascii="仿宋" w:eastAsia="仿宋"/>
          <w:kern w:val="0"/>
          <w:sz w:val="24"/>
        </w:rPr>
      </w:pPr>
      <w:r>
        <w:rPr>
          <w:rFonts w:hint="eastAsia" w:ascii="仿宋" w:eastAsia="仿宋"/>
          <w:kern w:val="0"/>
          <w:sz w:val="24"/>
        </w:rPr>
        <w:t>1、乙方应保证所提供的货物与服务均不会侵犯任何第三方的知识产权。</w:t>
      </w:r>
    </w:p>
    <w:p w14:paraId="39311320">
      <w:pPr>
        <w:widowControl/>
        <w:snapToGrid w:val="0"/>
        <w:spacing w:line="440" w:lineRule="exact"/>
        <w:ind w:firstLine="480" w:firstLineChars="200"/>
        <w:rPr>
          <w:rFonts w:ascii="仿宋" w:eastAsia="仿宋"/>
          <w:kern w:val="0"/>
          <w:sz w:val="24"/>
        </w:rPr>
      </w:pPr>
      <w:r>
        <w:rPr>
          <w:rFonts w:hint="eastAsia" w:ascii="仿宋" w:eastAsia="仿宋"/>
          <w:kern w:val="0"/>
          <w:sz w:val="24"/>
        </w:rPr>
        <w:t>2、乙方保证所交付的服务的所有权完全属于乙方且无任何抵押、查封等产权瑕疵。</w:t>
      </w:r>
    </w:p>
    <w:p w14:paraId="37355F7C">
      <w:pPr>
        <w:widowControl/>
        <w:snapToGrid w:val="0"/>
        <w:spacing w:line="440" w:lineRule="exact"/>
        <w:ind w:firstLine="482" w:firstLineChars="200"/>
        <w:rPr>
          <w:rFonts w:ascii="仿宋" w:eastAsia="仿宋"/>
          <w:b/>
          <w:bCs/>
          <w:kern w:val="0"/>
          <w:sz w:val="24"/>
        </w:rPr>
      </w:pPr>
      <w:r>
        <w:rPr>
          <w:rFonts w:hint="eastAsia" w:ascii="仿宋" w:eastAsia="仿宋"/>
          <w:b/>
          <w:bCs/>
          <w:kern w:val="0"/>
          <w:sz w:val="24"/>
        </w:rPr>
        <w:t>五、转包或分包</w:t>
      </w:r>
    </w:p>
    <w:p w14:paraId="79D5B537">
      <w:pPr>
        <w:widowControl/>
        <w:snapToGrid w:val="0"/>
        <w:spacing w:line="440" w:lineRule="exact"/>
        <w:ind w:firstLine="480" w:firstLineChars="200"/>
        <w:rPr>
          <w:rFonts w:ascii="仿宋" w:eastAsia="仿宋"/>
          <w:kern w:val="0"/>
          <w:sz w:val="24"/>
        </w:rPr>
      </w:pPr>
      <w:r>
        <w:rPr>
          <w:rFonts w:hint="eastAsia" w:ascii="仿宋" w:eastAsia="仿宋"/>
          <w:kern w:val="0"/>
          <w:sz w:val="24"/>
        </w:rPr>
        <w:t>不允许转包。</w:t>
      </w:r>
    </w:p>
    <w:p w14:paraId="324AE6B2">
      <w:pPr>
        <w:widowControl/>
        <w:snapToGrid w:val="0"/>
        <w:spacing w:line="440" w:lineRule="exact"/>
        <w:ind w:firstLine="480" w:firstLineChars="200"/>
        <w:rPr>
          <w:rFonts w:ascii="仿宋" w:eastAsia="仿宋"/>
          <w:kern w:val="0"/>
          <w:sz w:val="24"/>
        </w:rPr>
      </w:pPr>
      <w:r>
        <w:rPr>
          <w:rFonts w:hint="eastAsia" w:ascii="仿宋" w:eastAsia="仿宋"/>
          <w:kern w:val="0"/>
          <w:sz w:val="24"/>
        </w:rPr>
        <w:t>允许分包部分</w:t>
      </w:r>
      <w:r>
        <w:rPr>
          <w:rFonts w:hint="eastAsia" w:ascii="仿宋" w:eastAsia="仿宋"/>
          <w:kern w:val="0"/>
          <w:sz w:val="24"/>
          <w:u w:val="single"/>
        </w:rPr>
        <w:t xml:space="preserve">               </w:t>
      </w:r>
      <w:r>
        <w:rPr>
          <w:rFonts w:hint="eastAsia" w:ascii="仿宋" w:eastAsia="仿宋"/>
          <w:kern w:val="0"/>
          <w:sz w:val="24"/>
        </w:rPr>
        <w:t>。</w:t>
      </w:r>
    </w:p>
    <w:p w14:paraId="7DFFDB4A">
      <w:pPr>
        <w:widowControl/>
        <w:snapToGrid w:val="0"/>
        <w:spacing w:line="440" w:lineRule="exact"/>
        <w:ind w:firstLine="480" w:firstLineChars="200"/>
        <w:rPr>
          <w:rFonts w:ascii="仿宋" w:eastAsia="仿宋"/>
          <w:kern w:val="0"/>
          <w:sz w:val="24"/>
        </w:rPr>
      </w:pPr>
      <w:r>
        <w:rPr>
          <w:rFonts w:hint="eastAsia" w:ascii="仿宋" w:eastAsia="仿宋"/>
          <w:kern w:val="0"/>
          <w:sz w:val="24"/>
        </w:rPr>
        <w:t>如乙方将项目转包或将不允许分包部分进行了分包，甲方有权解除合同，没收履约保证金并追究乙方的违约责任。</w:t>
      </w:r>
    </w:p>
    <w:p w14:paraId="719C68C5">
      <w:pPr>
        <w:widowControl/>
        <w:snapToGrid w:val="0"/>
        <w:spacing w:line="440" w:lineRule="exact"/>
        <w:ind w:firstLine="482" w:firstLineChars="200"/>
        <w:rPr>
          <w:rFonts w:ascii="仿宋" w:eastAsia="仿宋"/>
          <w:b/>
          <w:bCs/>
          <w:kern w:val="0"/>
          <w:sz w:val="24"/>
        </w:rPr>
      </w:pPr>
      <w:r>
        <w:rPr>
          <w:rFonts w:hint="eastAsia" w:ascii="仿宋" w:eastAsia="仿宋"/>
          <w:b/>
          <w:bCs/>
          <w:kern w:val="0"/>
          <w:sz w:val="24"/>
        </w:rPr>
        <w:t>六、履约保证金</w:t>
      </w:r>
    </w:p>
    <w:p w14:paraId="2B233A0F">
      <w:pPr>
        <w:widowControl/>
        <w:snapToGrid w:val="0"/>
        <w:spacing w:line="440" w:lineRule="exact"/>
        <w:ind w:firstLine="480" w:firstLineChars="200"/>
        <w:rPr>
          <w:rFonts w:ascii="仿宋" w:eastAsia="仿宋"/>
          <w:kern w:val="0"/>
          <w:sz w:val="24"/>
        </w:rPr>
      </w:pPr>
      <w:r>
        <w:rPr>
          <w:rFonts w:hint="eastAsia" w:ascii="仿宋" w:eastAsia="仿宋"/>
          <w:kern w:val="0"/>
          <w:sz w:val="24"/>
        </w:rPr>
        <w:t>1.履约保证金</w:t>
      </w:r>
      <w:r>
        <w:rPr>
          <w:rFonts w:hint="eastAsia" w:ascii="仿宋" w:eastAsia="仿宋"/>
          <w:kern w:val="0"/>
          <w:sz w:val="24"/>
          <w:u w:val="single"/>
        </w:rPr>
        <w:t xml:space="preserve">     </w:t>
      </w:r>
      <w:r>
        <w:rPr>
          <w:rFonts w:hint="eastAsia" w:ascii="仿宋" w:eastAsia="仿宋"/>
          <w:kern w:val="0"/>
          <w:sz w:val="24"/>
        </w:rPr>
        <w:t>元。[履约保证金交至采购人处，服务完成</w:t>
      </w:r>
      <w:r>
        <w:rPr>
          <w:rFonts w:ascii="仿宋" w:eastAsia="仿宋"/>
          <w:kern w:val="0"/>
          <w:sz w:val="24"/>
        </w:rPr>
        <w:t>并验收通过</w:t>
      </w:r>
      <w:r>
        <w:rPr>
          <w:rFonts w:hint="eastAsia" w:ascii="仿宋" w:eastAsia="仿宋"/>
          <w:kern w:val="0"/>
          <w:sz w:val="24"/>
        </w:rPr>
        <w:t>后（   ）个工作日内无息退还</w:t>
      </w:r>
      <w:r>
        <w:rPr>
          <w:rFonts w:ascii="仿宋" w:eastAsia="仿宋"/>
          <w:kern w:val="0"/>
          <w:sz w:val="24"/>
        </w:rPr>
        <w:t>。</w:t>
      </w:r>
      <w:r>
        <w:rPr>
          <w:rFonts w:hint="eastAsia" w:ascii="仿宋" w:eastAsia="仿宋"/>
          <w:kern w:val="0"/>
          <w:sz w:val="24"/>
        </w:rPr>
        <w:t>]</w:t>
      </w:r>
    </w:p>
    <w:p w14:paraId="70A6B630">
      <w:pPr>
        <w:widowControl/>
        <w:snapToGrid w:val="0"/>
        <w:spacing w:line="440" w:lineRule="exact"/>
        <w:ind w:firstLine="482" w:firstLineChars="200"/>
        <w:rPr>
          <w:rFonts w:ascii="仿宋" w:eastAsia="仿宋"/>
          <w:b/>
          <w:bCs/>
          <w:kern w:val="0"/>
          <w:sz w:val="24"/>
        </w:rPr>
      </w:pPr>
      <w:r>
        <w:rPr>
          <w:rFonts w:hint="eastAsia" w:ascii="仿宋" w:eastAsia="仿宋"/>
          <w:b/>
          <w:bCs/>
          <w:kern w:val="0"/>
          <w:sz w:val="24"/>
        </w:rPr>
        <w:t>七、项目服务期限及实施地点</w:t>
      </w:r>
    </w:p>
    <w:p w14:paraId="2B4F6B19">
      <w:pPr>
        <w:widowControl/>
        <w:snapToGrid w:val="0"/>
        <w:spacing w:line="440" w:lineRule="exact"/>
        <w:ind w:firstLine="480" w:firstLineChars="200"/>
        <w:rPr>
          <w:rFonts w:ascii="仿宋" w:eastAsia="仿宋"/>
          <w:kern w:val="0"/>
          <w:sz w:val="24"/>
        </w:rPr>
      </w:pPr>
      <w:r>
        <w:rPr>
          <w:rFonts w:hint="eastAsia" w:ascii="仿宋" w:eastAsia="仿宋"/>
          <w:kern w:val="0"/>
          <w:sz w:val="24"/>
        </w:rPr>
        <w:t>1.服务期限：</w:t>
      </w:r>
    </w:p>
    <w:p w14:paraId="33E732D3">
      <w:pPr>
        <w:widowControl/>
        <w:snapToGrid w:val="0"/>
        <w:spacing w:line="440" w:lineRule="exact"/>
        <w:ind w:firstLine="480" w:firstLineChars="200"/>
        <w:rPr>
          <w:rFonts w:ascii="仿宋" w:eastAsia="仿宋"/>
          <w:kern w:val="0"/>
          <w:sz w:val="24"/>
        </w:rPr>
      </w:pPr>
      <w:r>
        <w:rPr>
          <w:rFonts w:hint="eastAsia" w:ascii="仿宋" w:eastAsia="仿宋"/>
          <w:kern w:val="0"/>
          <w:sz w:val="24"/>
        </w:rPr>
        <w:t>2.实施地点：</w:t>
      </w:r>
    </w:p>
    <w:p w14:paraId="7B5FF5A0">
      <w:pPr>
        <w:widowControl/>
        <w:snapToGrid w:val="0"/>
        <w:spacing w:line="440" w:lineRule="exact"/>
        <w:ind w:firstLine="482" w:firstLineChars="200"/>
        <w:rPr>
          <w:rFonts w:ascii="仿宋" w:eastAsia="仿宋"/>
          <w:b/>
          <w:bCs/>
          <w:kern w:val="0"/>
          <w:sz w:val="24"/>
        </w:rPr>
      </w:pPr>
      <w:r>
        <w:rPr>
          <w:rFonts w:hint="eastAsia" w:ascii="仿宋" w:eastAsia="仿宋"/>
          <w:b/>
          <w:bCs/>
          <w:kern w:val="0"/>
          <w:sz w:val="24"/>
        </w:rPr>
        <w:t>八、付款</w:t>
      </w:r>
    </w:p>
    <w:p w14:paraId="5162B22F">
      <w:pPr>
        <w:widowControl/>
        <w:snapToGrid w:val="0"/>
        <w:spacing w:line="440" w:lineRule="exact"/>
        <w:ind w:firstLine="480" w:firstLineChars="200"/>
        <w:rPr>
          <w:rFonts w:ascii="仿宋" w:eastAsia="仿宋"/>
          <w:kern w:val="0"/>
          <w:sz w:val="24"/>
        </w:rPr>
      </w:pPr>
      <w:r>
        <w:rPr>
          <w:rFonts w:hint="eastAsia" w:ascii="仿宋" w:eastAsia="仿宋"/>
          <w:kern w:val="0"/>
          <w:sz w:val="24"/>
        </w:rPr>
        <w:t>付款方式：</w:t>
      </w:r>
    </w:p>
    <w:p w14:paraId="446659DC">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784F0C33">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37575D10">
      <w:pPr>
        <w:widowControl/>
        <w:snapToGrid w:val="0"/>
        <w:spacing w:line="440" w:lineRule="exact"/>
        <w:ind w:firstLine="482" w:firstLineChars="200"/>
        <w:rPr>
          <w:rFonts w:ascii="仿宋" w:eastAsia="仿宋"/>
          <w:b/>
          <w:bCs/>
          <w:kern w:val="0"/>
          <w:sz w:val="24"/>
        </w:rPr>
      </w:pPr>
      <w:r>
        <w:rPr>
          <w:rFonts w:ascii="仿宋" w:eastAsia="仿宋"/>
          <w:b/>
          <w:bCs/>
          <w:kern w:val="0"/>
          <w:sz w:val="24"/>
        </w:rPr>
        <w:t>十</w:t>
      </w:r>
      <w:r>
        <w:rPr>
          <w:rFonts w:hint="eastAsia" w:ascii="仿宋" w:eastAsia="仿宋"/>
          <w:b/>
          <w:bCs/>
          <w:kern w:val="0"/>
          <w:sz w:val="24"/>
        </w:rPr>
        <w:t>、税费</w:t>
      </w:r>
    </w:p>
    <w:p w14:paraId="69282A5A">
      <w:pPr>
        <w:widowControl/>
        <w:snapToGrid w:val="0"/>
        <w:spacing w:line="44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14:paraId="1C6659C6">
      <w:pPr>
        <w:widowControl/>
        <w:snapToGrid w:val="0"/>
        <w:spacing w:line="44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一</w:t>
      </w:r>
      <w:r>
        <w:rPr>
          <w:rFonts w:hint="eastAsia" w:ascii="仿宋" w:eastAsia="仿宋"/>
          <w:b/>
          <w:bCs/>
          <w:kern w:val="0"/>
          <w:sz w:val="24"/>
        </w:rPr>
        <w:t>、违约责任</w:t>
      </w:r>
    </w:p>
    <w:p w14:paraId="3D3851B0">
      <w:pPr>
        <w:widowControl/>
        <w:snapToGrid w:val="0"/>
        <w:spacing w:line="440" w:lineRule="exact"/>
        <w:ind w:firstLine="480" w:firstLineChars="200"/>
        <w:rPr>
          <w:rFonts w:ascii="仿宋" w:eastAsia="仿宋"/>
          <w:kern w:val="0"/>
          <w:sz w:val="24"/>
        </w:rPr>
      </w:pPr>
      <w:r>
        <w:rPr>
          <w:rFonts w:hint="eastAsia" w:ascii="仿宋" w:eastAsia="仿宋"/>
          <w:kern w:val="0"/>
          <w:sz w:val="24"/>
        </w:rPr>
        <w:t>1.甲方无正当理由拒绝验收项目的，甲方向乙方偿付拒收合同总价的百分之五违约金。</w:t>
      </w:r>
    </w:p>
    <w:p w14:paraId="50CDDF41">
      <w:pPr>
        <w:widowControl/>
        <w:snapToGrid w:val="0"/>
        <w:spacing w:line="440" w:lineRule="exact"/>
        <w:ind w:firstLine="480" w:firstLineChars="200"/>
        <w:rPr>
          <w:rFonts w:ascii="仿宋" w:eastAsia="仿宋"/>
          <w:kern w:val="0"/>
          <w:sz w:val="24"/>
        </w:rPr>
      </w:pPr>
      <w:r>
        <w:rPr>
          <w:rFonts w:hint="eastAsia" w:ascii="仿宋" w:eastAsia="仿宋"/>
          <w:kern w:val="0"/>
          <w:sz w:val="24"/>
        </w:rPr>
        <w:t>2.甲方无故逾期验收和办理合同款项支付手续的,甲方应按逾期付款总额每日万分之五向乙方支付违约金。</w:t>
      </w:r>
    </w:p>
    <w:p w14:paraId="406A39C3">
      <w:pPr>
        <w:widowControl/>
        <w:snapToGrid w:val="0"/>
        <w:spacing w:line="440" w:lineRule="exact"/>
        <w:ind w:firstLine="480" w:firstLineChars="200"/>
        <w:rPr>
          <w:rFonts w:ascii="仿宋" w:eastAsia="仿宋"/>
          <w:kern w:val="0"/>
          <w:sz w:val="24"/>
        </w:rPr>
      </w:pPr>
      <w:r>
        <w:rPr>
          <w:rFonts w:hint="eastAsia" w:ascii="仿宋" w:eastAsia="仿宋"/>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CE521FC">
      <w:pPr>
        <w:widowControl/>
        <w:snapToGrid w:val="0"/>
        <w:spacing w:line="440" w:lineRule="exact"/>
        <w:ind w:firstLine="480" w:firstLineChars="200"/>
        <w:rPr>
          <w:rFonts w:ascii="仿宋" w:eastAsia="仿宋"/>
          <w:kern w:val="0"/>
          <w:sz w:val="24"/>
        </w:rPr>
      </w:pPr>
      <w:r>
        <w:rPr>
          <w:rFonts w:hint="eastAsia" w:ascii="仿宋" w:eastAsia="仿宋"/>
          <w:kern w:val="0"/>
          <w:sz w:val="24"/>
        </w:rPr>
        <w:t>4.乙方所履行的服务质量或服务数量不符合合同规定及采购文件规定的，甲方有权中止接受服务，单方面解除合同，且相关损失由乙方承担。</w:t>
      </w:r>
    </w:p>
    <w:p w14:paraId="10B9A0A9">
      <w:pPr>
        <w:widowControl/>
        <w:snapToGrid w:val="0"/>
        <w:spacing w:line="440" w:lineRule="exact"/>
        <w:ind w:firstLine="480" w:firstLineChars="200"/>
        <w:rPr>
          <w:rFonts w:ascii="仿宋" w:eastAsia="仿宋"/>
          <w:kern w:val="0"/>
          <w:sz w:val="24"/>
        </w:rPr>
      </w:pPr>
      <w:r>
        <w:rPr>
          <w:rFonts w:hint="eastAsia" w:ascii="仿宋" w:eastAsia="仿宋"/>
          <w:kern w:val="0"/>
          <w:sz w:val="24"/>
        </w:rPr>
        <w:t>5.解除合同应向财政备案。</w:t>
      </w:r>
    </w:p>
    <w:p w14:paraId="658B8E6F">
      <w:pPr>
        <w:widowControl/>
        <w:snapToGrid w:val="0"/>
        <w:spacing w:line="44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二</w:t>
      </w:r>
      <w:r>
        <w:rPr>
          <w:rFonts w:hint="eastAsia" w:ascii="仿宋" w:eastAsia="仿宋"/>
          <w:b/>
          <w:bCs/>
          <w:kern w:val="0"/>
          <w:sz w:val="24"/>
        </w:rPr>
        <w:t>、不可抗力事件处理</w:t>
      </w:r>
    </w:p>
    <w:p w14:paraId="25941DC6">
      <w:pPr>
        <w:widowControl/>
        <w:snapToGrid w:val="0"/>
        <w:spacing w:line="44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14:paraId="6FD603DA">
      <w:pPr>
        <w:widowControl/>
        <w:snapToGrid w:val="0"/>
        <w:spacing w:line="44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14:paraId="09B57DB9">
      <w:pPr>
        <w:widowControl/>
        <w:snapToGrid w:val="0"/>
        <w:spacing w:line="44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14:paraId="1F0AF699">
      <w:pPr>
        <w:widowControl/>
        <w:snapToGrid w:val="0"/>
        <w:spacing w:line="44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三</w:t>
      </w:r>
      <w:r>
        <w:rPr>
          <w:rFonts w:hint="eastAsia" w:ascii="仿宋" w:eastAsia="仿宋"/>
          <w:b/>
          <w:bCs/>
          <w:kern w:val="0"/>
          <w:sz w:val="24"/>
        </w:rPr>
        <w:t>、诉讼</w:t>
      </w:r>
    </w:p>
    <w:p w14:paraId="5B8CE407">
      <w:pPr>
        <w:widowControl/>
        <w:snapToGrid w:val="0"/>
        <w:spacing w:line="44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14:paraId="4A5E022A">
      <w:pPr>
        <w:widowControl/>
        <w:snapToGrid w:val="0"/>
        <w:spacing w:line="440" w:lineRule="exact"/>
        <w:ind w:firstLine="482" w:firstLineChars="200"/>
        <w:rPr>
          <w:rFonts w:ascii="仿宋" w:eastAsia="仿宋"/>
          <w:b/>
          <w:bCs/>
          <w:kern w:val="0"/>
          <w:sz w:val="24"/>
        </w:rPr>
      </w:pPr>
      <w:r>
        <w:rPr>
          <w:rFonts w:hint="eastAsia" w:ascii="仿宋" w:eastAsia="仿宋"/>
          <w:b/>
          <w:bCs/>
          <w:kern w:val="0"/>
          <w:sz w:val="24"/>
        </w:rPr>
        <w:t>十</w:t>
      </w:r>
      <w:r>
        <w:rPr>
          <w:rFonts w:ascii="仿宋" w:eastAsia="仿宋"/>
          <w:b/>
          <w:bCs/>
          <w:kern w:val="0"/>
          <w:sz w:val="24"/>
        </w:rPr>
        <w:t>四</w:t>
      </w:r>
      <w:r>
        <w:rPr>
          <w:rFonts w:hint="eastAsia" w:ascii="仿宋" w:eastAsia="仿宋"/>
          <w:b/>
          <w:bCs/>
          <w:kern w:val="0"/>
          <w:sz w:val="24"/>
        </w:rPr>
        <w:t>、合同生效及其他</w:t>
      </w:r>
    </w:p>
    <w:p w14:paraId="7DD1A4CC">
      <w:pPr>
        <w:widowControl/>
        <w:snapToGrid w:val="0"/>
        <w:spacing w:line="44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14:paraId="58BD807C">
      <w:pPr>
        <w:widowControl/>
        <w:snapToGrid w:val="0"/>
        <w:spacing w:line="440" w:lineRule="exact"/>
        <w:ind w:firstLine="480" w:firstLineChars="200"/>
        <w:rPr>
          <w:rFonts w:ascii="仿宋" w:eastAsia="仿宋"/>
          <w:kern w:val="0"/>
          <w:sz w:val="24"/>
        </w:rPr>
      </w:pPr>
      <w:r>
        <w:rPr>
          <w:rFonts w:hint="eastAsia" w:ascii="仿宋" w:eastAsia="仿宋"/>
          <w:kern w:val="0"/>
          <w:sz w:val="24"/>
        </w:rPr>
        <w:t>2.合同执行中涉及采购资金和采购内容修改或补充的，须经财政部门审批，并签书面补充协议，经报政府采购监督管理部门备案后，方可作为主合同不可分割的一部分。</w:t>
      </w:r>
    </w:p>
    <w:p w14:paraId="1CC30B4A">
      <w:pPr>
        <w:widowControl/>
        <w:snapToGrid w:val="0"/>
        <w:spacing w:line="440" w:lineRule="exact"/>
        <w:ind w:firstLine="480" w:firstLineChars="200"/>
        <w:rPr>
          <w:rFonts w:ascii="仿宋" w:eastAsia="仿宋"/>
          <w:kern w:val="0"/>
          <w:sz w:val="24"/>
        </w:rPr>
      </w:pPr>
      <w:r>
        <w:rPr>
          <w:rFonts w:hint="eastAsia" w:ascii="仿宋" w:eastAsia="仿宋"/>
          <w:kern w:val="0"/>
          <w:sz w:val="24"/>
        </w:rPr>
        <w:t>3.采购文件、投标文件与本合同具有同等法律效力。</w:t>
      </w:r>
    </w:p>
    <w:p w14:paraId="4E587387">
      <w:pPr>
        <w:widowControl/>
        <w:snapToGrid w:val="0"/>
        <w:spacing w:line="440" w:lineRule="exact"/>
        <w:ind w:firstLine="480" w:firstLineChars="200"/>
        <w:rPr>
          <w:rFonts w:ascii="仿宋" w:eastAsia="仿宋"/>
          <w:kern w:val="0"/>
          <w:sz w:val="24"/>
        </w:rPr>
      </w:pPr>
      <w:r>
        <w:rPr>
          <w:rFonts w:hint="eastAsia" w:ascii="仿宋" w:eastAsia="仿宋"/>
          <w:kern w:val="0"/>
          <w:sz w:val="24"/>
        </w:rPr>
        <w:t>4.本合同未尽事宜，遵照《民法典》有关条文执行。</w:t>
      </w:r>
    </w:p>
    <w:p w14:paraId="4EDB6489">
      <w:pPr>
        <w:widowControl/>
        <w:snapToGrid w:val="0"/>
        <w:spacing w:line="440" w:lineRule="exact"/>
        <w:ind w:firstLine="480" w:firstLineChars="200"/>
        <w:rPr>
          <w:rFonts w:ascii="仿宋" w:eastAsia="仿宋"/>
          <w:kern w:val="0"/>
          <w:sz w:val="24"/>
        </w:rPr>
      </w:pPr>
      <w:r>
        <w:rPr>
          <w:rFonts w:hint="eastAsia" w:ascii="仿宋" w:eastAsia="仿宋"/>
          <w:kern w:val="0"/>
          <w:sz w:val="24"/>
        </w:rPr>
        <w:t>5.本合同一式五份，具有同等法律效力，甲、乙双方各执二份，采购代理机构一份。</w:t>
      </w:r>
    </w:p>
    <w:p w14:paraId="32FF2C71">
      <w:pPr>
        <w:widowControl/>
        <w:snapToGrid w:val="0"/>
        <w:spacing w:line="480" w:lineRule="exact"/>
        <w:ind w:firstLine="480" w:firstLineChars="200"/>
        <w:rPr>
          <w:rFonts w:ascii="仿宋" w:eastAsia="仿宋"/>
          <w:kern w:val="0"/>
          <w:sz w:val="24"/>
        </w:rPr>
      </w:pPr>
    </w:p>
    <w:p w14:paraId="40E38532">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14:paraId="48ECA3B0">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6A6C06B4">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14:paraId="7E5EBCB8">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14:paraId="31E7012D">
      <w:pPr>
        <w:widowControl/>
        <w:snapToGrid w:val="0"/>
        <w:spacing w:line="480" w:lineRule="exact"/>
        <w:ind w:firstLine="480" w:firstLineChars="200"/>
        <w:rPr>
          <w:rFonts w:ascii="仿宋" w:eastAsia="仿宋"/>
          <w:kern w:val="0"/>
          <w:sz w:val="24"/>
        </w:rPr>
      </w:pPr>
    </w:p>
    <w:p w14:paraId="13942CD2">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14:paraId="2E7BE896">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26D6BF95">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14:paraId="60245C37">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14:paraId="2AB7A39C">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14:paraId="55E54480">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p>
    <w:p w14:paraId="29964049">
      <w:pPr>
        <w:keepNext/>
        <w:keepLines/>
        <w:jc w:val="center"/>
        <w:rPr>
          <w:rFonts w:ascii="仿宋"/>
        </w:rPr>
      </w:pPr>
      <w:bookmarkStart w:id="57" w:name="_Toc14424"/>
      <w:r>
        <w:rPr>
          <w:rFonts w:hint="eastAsia" w:ascii="仿宋"/>
        </w:rPr>
        <w:br w:type="page"/>
      </w:r>
    </w:p>
    <w:p w14:paraId="7463F0F5">
      <w:pPr>
        <w:pStyle w:val="3"/>
        <w:rPr>
          <w:rFonts w:ascii="仿宋"/>
        </w:rPr>
      </w:pPr>
      <w:r>
        <w:rPr>
          <w:rFonts w:hint="eastAsia" w:ascii="仿宋"/>
        </w:rPr>
        <w:t>第五章  评标办法及标准</w:t>
      </w:r>
      <w:bookmarkEnd w:id="57"/>
    </w:p>
    <w:p w14:paraId="7FEE0107">
      <w:pPr>
        <w:spacing w:line="440" w:lineRule="exact"/>
        <w:jc w:val="left"/>
        <w:rPr>
          <w:rFonts w:ascii="仿宋" w:eastAsia="仿宋"/>
          <w:b/>
          <w:sz w:val="24"/>
        </w:rPr>
      </w:pPr>
      <w:r>
        <w:rPr>
          <w:rFonts w:hint="eastAsia" w:ascii="仿宋" w:eastAsia="仿宋"/>
          <w:b/>
          <w:sz w:val="24"/>
        </w:rPr>
        <w:t>特别条款：</w:t>
      </w:r>
    </w:p>
    <w:p w14:paraId="7D74C793">
      <w:pPr>
        <w:spacing w:line="440" w:lineRule="exact"/>
        <w:ind w:firstLine="472" w:firstLineChars="196"/>
        <w:jc w:val="left"/>
        <w:rPr>
          <w:rFonts w:ascii="仿宋" w:eastAsia="仿宋"/>
          <w:b/>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9F7F3CD">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0984E69A">
      <w:pPr>
        <w:spacing w:line="440" w:lineRule="exact"/>
        <w:jc w:val="left"/>
        <w:rPr>
          <w:rFonts w:ascii="仿宋" w:eastAsia="仿宋"/>
          <w:b/>
          <w:sz w:val="24"/>
        </w:rPr>
      </w:pPr>
      <w:r>
        <w:rPr>
          <w:rFonts w:hint="eastAsia" w:ascii="仿宋" w:eastAsia="仿宋"/>
          <w:b/>
          <w:sz w:val="24"/>
        </w:rPr>
        <w:t>1、评标方法：</w:t>
      </w:r>
    </w:p>
    <w:p w14:paraId="447B16DB">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305E1120">
      <w:pPr>
        <w:widowControl/>
        <w:snapToGrid w:val="0"/>
        <w:spacing w:line="440" w:lineRule="exact"/>
        <w:rPr>
          <w:rFonts w:ascii="仿宋" w:eastAsia="仿宋"/>
          <w:kern w:val="0"/>
          <w:sz w:val="24"/>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70</w:t>
      </w:r>
      <w:r>
        <w:rPr>
          <w:rFonts w:hint="eastAsia" w:ascii="仿宋" w:eastAsia="仿宋"/>
          <w:sz w:val="24"/>
        </w:rPr>
        <w:t>分，价格分</w:t>
      </w:r>
      <w:r>
        <w:rPr>
          <w:rFonts w:hint="eastAsia" w:ascii="仿宋" w:eastAsia="仿宋"/>
          <w:sz w:val="24"/>
          <w:u w:val="single"/>
        </w:rPr>
        <w:t>30</w:t>
      </w:r>
      <w:r>
        <w:rPr>
          <w:rFonts w:hint="eastAsia" w:ascii="仿宋" w:eastAsia="仿宋"/>
          <w:sz w:val="24"/>
        </w:rPr>
        <w:t>分。下述所列为评分依据，分值如下（计算分值时，按其算术平均值保留小数2位）。</w:t>
      </w:r>
    </w:p>
    <w:p w14:paraId="065D2231">
      <w:pPr>
        <w:widowControl/>
        <w:snapToGrid w:val="0"/>
        <w:spacing w:line="440" w:lineRule="exact"/>
        <w:rPr>
          <w:rFonts w:ascii="仿宋" w:eastAsia="仿宋"/>
          <w:b/>
          <w:bCs/>
          <w:kern w:val="0"/>
          <w:sz w:val="24"/>
        </w:rPr>
      </w:pPr>
      <w:r>
        <w:rPr>
          <w:rFonts w:hint="eastAsia" w:ascii="仿宋" w:eastAsia="仿宋"/>
          <w:b/>
          <w:bCs/>
          <w:sz w:val="24"/>
          <w:bdr w:val="single" w:color="auto" w:sz="4" w:space="0"/>
        </w:rPr>
        <w:t>01标</w:t>
      </w:r>
      <w:r>
        <w:rPr>
          <w:rFonts w:hint="eastAsia" w:ascii="仿宋" w:eastAsia="仿宋"/>
          <w:b/>
          <w:bCs/>
          <w:kern w:val="0"/>
          <w:sz w:val="24"/>
        </w:rPr>
        <w:t>商务技术分：</w:t>
      </w:r>
    </w:p>
    <w:tbl>
      <w:tblPr>
        <w:tblStyle w:val="1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07"/>
        <w:gridCol w:w="6500"/>
        <w:gridCol w:w="773"/>
      </w:tblGrid>
      <w:tr w14:paraId="568A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6A528844">
            <w:pPr>
              <w:spacing w:line="44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1207" w:type="dxa"/>
            <w:noWrap w:val="0"/>
            <w:vAlign w:val="center"/>
          </w:tcPr>
          <w:p w14:paraId="774D5BBC">
            <w:pPr>
              <w:spacing w:line="440" w:lineRule="exact"/>
              <w:jc w:val="center"/>
              <w:rPr>
                <w:rFonts w:ascii="仿宋" w:hAnsi="仿宋" w:eastAsia="仿宋" w:cs="仿宋"/>
                <w:sz w:val="24"/>
                <w:szCs w:val="24"/>
              </w:rPr>
            </w:pPr>
            <w:r>
              <w:rPr>
                <w:rFonts w:ascii="仿宋" w:hAnsi="仿宋" w:eastAsia="仿宋" w:cs="仿宋"/>
                <w:sz w:val="24"/>
                <w:szCs w:val="24"/>
              </w:rPr>
              <w:t>评审内容</w:t>
            </w:r>
          </w:p>
        </w:tc>
        <w:tc>
          <w:tcPr>
            <w:tcW w:w="6500" w:type="dxa"/>
            <w:noWrap w:val="0"/>
            <w:vAlign w:val="center"/>
          </w:tcPr>
          <w:p w14:paraId="36F1F357">
            <w:pPr>
              <w:spacing w:line="440" w:lineRule="exact"/>
              <w:jc w:val="center"/>
              <w:rPr>
                <w:rFonts w:ascii="仿宋" w:hAnsi="仿宋" w:eastAsia="仿宋" w:cs="仿宋"/>
                <w:sz w:val="24"/>
                <w:szCs w:val="24"/>
              </w:rPr>
            </w:pPr>
            <w:r>
              <w:rPr>
                <w:rFonts w:hint="eastAsia" w:ascii="仿宋" w:hAnsi="仿宋" w:eastAsia="仿宋" w:cs="仿宋"/>
                <w:sz w:val="24"/>
                <w:szCs w:val="24"/>
              </w:rPr>
              <w:t>评分标准说明</w:t>
            </w:r>
          </w:p>
        </w:tc>
        <w:tc>
          <w:tcPr>
            <w:tcW w:w="773" w:type="dxa"/>
            <w:noWrap w:val="0"/>
            <w:vAlign w:val="center"/>
          </w:tcPr>
          <w:p w14:paraId="0D0850F1">
            <w:pPr>
              <w:spacing w:line="440" w:lineRule="exact"/>
              <w:jc w:val="center"/>
              <w:rPr>
                <w:rFonts w:ascii="仿宋" w:hAnsi="仿宋" w:eastAsia="仿宋" w:cs="仿宋"/>
                <w:sz w:val="24"/>
                <w:szCs w:val="24"/>
              </w:rPr>
            </w:pPr>
            <w:r>
              <w:rPr>
                <w:rFonts w:hint="eastAsia" w:ascii="仿宋" w:hAnsi="仿宋" w:eastAsia="仿宋" w:cs="仿宋"/>
                <w:sz w:val="24"/>
                <w:szCs w:val="24"/>
              </w:rPr>
              <w:t>分值</w:t>
            </w:r>
          </w:p>
        </w:tc>
      </w:tr>
      <w:tr w14:paraId="7DC3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noWrap w:val="0"/>
            <w:vAlign w:val="center"/>
          </w:tcPr>
          <w:p w14:paraId="29860B62">
            <w:pPr>
              <w:spacing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1207" w:type="dxa"/>
            <w:vMerge w:val="restart"/>
            <w:noWrap w:val="0"/>
            <w:vAlign w:val="center"/>
          </w:tcPr>
          <w:p w14:paraId="460EADDE">
            <w:pPr>
              <w:spacing w:line="440" w:lineRule="exact"/>
              <w:jc w:val="center"/>
              <w:rPr>
                <w:rFonts w:ascii="仿宋" w:hAnsi="仿宋" w:eastAsia="仿宋" w:cs="仿宋"/>
                <w:sz w:val="24"/>
                <w:szCs w:val="24"/>
              </w:rPr>
            </w:pPr>
            <w:r>
              <w:rPr>
                <w:rFonts w:hint="eastAsia" w:ascii="仿宋" w:hAnsi="仿宋" w:eastAsia="仿宋" w:cs="仿宋"/>
                <w:sz w:val="24"/>
                <w:szCs w:val="24"/>
              </w:rPr>
              <w:t>企业资信（13分）</w:t>
            </w:r>
          </w:p>
        </w:tc>
        <w:tc>
          <w:tcPr>
            <w:tcW w:w="6500" w:type="dxa"/>
            <w:noWrap w:val="0"/>
            <w:vAlign w:val="center"/>
          </w:tcPr>
          <w:p w14:paraId="63B3BB1C">
            <w:pPr>
              <w:spacing w:line="440" w:lineRule="exact"/>
              <w:rPr>
                <w:rFonts w:ascii="仿宋" w:hAnsi="仿宋" w:eastAsia="仿宋" w:cs="仿宋"/>
                <w:sz w:val="24"/>
                <w:szCs w:val="24"/>
              </w:rPr>
            </w:pPr>
            <w:r>
              <w:rPr>
                <w:rFonts w:hint="eastAsia" w:ascii="仿宋" w:hAnsi="仿宋" w:eastAsia="仿宋" w:cs="仿宋"/>
                <w:sz w:val="24"/>
                <w:szCs w:val="24"/>
              </w:rPr>
              <w:t>投标人软件著作权证书及安全测评报告：</w:t>
            </w:r>
          </w:p>
          <w:p w14:paraId="0D03CA95">
            <w:pPr>
              <w:spacing w:line="440" w:lineRule="exact"/>
              <w:rPr>
                <w:rFonts w:ascii="仿宋" w:hAnsi="仿宋" w:eastAsia="仿宋" w:cs="仿宋"/>
                <w:sz w:val="24"/>
                <w:szCs w:val="24"/>
              </w:rPr>
            </w:pPr>
            <w:r>
              <w:rPr>
                <w:rFonts w:hint="eastAsia" w:ascii="仿宋" w:hAnsi="仿宋" w:eastAsia="仿宋" w:cs="仿宋"/>
                <w:sz w:val="24"/>
                <w:szCs w:val="24"/>
              </w:rPr>
              <w:t>（1）同时具有医保结算清单管理系统软件著作权证书及安全测评报告的得2分，否则不得分。</w:t>
            </w:r>
          </w:p>
          <w:p w14:paraId="255E6B93">
            <w:pPr>
              <w:spacing w:line="440" w:lineRule="exact"/>
              <w:rPr>
                <w:rFonts w:ascii="仿宋" w:hAnsi="仿宋" w:eastAsia="仿宋" w:cs="仿宋"/>
                <w:sz w:val="24"/>
                <w:szCs w:val="24"/>
              </w:rPr>
            </w:pPr>
            <w:r>
              <w:rPr>
                <w:rFonts w:hint="eastAsia" w:ascii="仿宋" w:hAnsi="仿宋" w:eastAsia="仿宋" w:cs="仿宋"/>
                <w:sz w:val="24"/>
                <w:szCs w:val="24"/>
              </w:rPr>
              <w:t>（2）具有（医生在院助手、医保DRG医院智慧运营、DRGs结算管理、医保结算清单质控软件系统）软件著作权证书，每提供1个得1分，最多得4分。</w:t>
            </w:r>
          </w:p>
          <w:p w14:paraId="25C48C5D">
            <w:pPr>
              <w:spacing w:line="440" w:lineRule="exact"/>
              <w:rPr>
                <w:rFonts w:ascii="仿宋" w:hAnsi="仿宋" w:eastAsia="仿宋" w:cs="仿宋"/>
                <w:sz w:val="24"/>
                <w:szCs w:val="24"/>
              </w:rPr>
            </w:pPr>
            <w:r>
              <w:rPr>
                <w:rFonts w:hint="eastAsia" w:ascii="仿宋" w:hAnsi="仿宋" w:eastAsia="仿宋" w:cs="仿宋"/>
                <w:b/>
                <w:bCs/>
                <w:sz w:val="24"/>
                <w:szCs w:val="24"/>
              </w:rPr>
              <w:t>注：提供相关证书复印件并加盖投标人公章，未提供不得分。</w:t>
            </w:r>
          </w:p>
        </w:tc>
        <w:tc>
          <w:tcPr>
            <w:tcW w:w="773" w:type="dxa"/>
            <w:noWrap w:val="0"/>
            <w:vAlign w:val="center"/>
          </w:tcPr>
          <w:p w14:paraId="184DB81B">
            <w:pPr>
              <w:spacing w:line="440" w:lineRule="exact"/>
              <w:jc w:val="center"/>
              <w:rPr>
                <w:rFonts w:ascii="仿宋" w:hAnsi="仿宋" w:eastAsia="仿宋" w:cs="仿宋"/>
                <w:sz w:val="24"/>
                <w:szCs w:val="24"/>
              </w:rPr>
            </w:pPr>
            <w:r>
              <w:rPr>
                <w:rFonts w:hint="eastAsia" w:ascii="仿宋" w:hAnsi="仿宋" w:eastAsia="仿宋" w:cs="仿宋"/>
                <w:sz w:val="24"/>
                <w:szCs w:val="24"/>
              </w:rPr>
              <w:t>6</w:t>
            </w:r>
          </w:p>
        </w:tc>
      </w:tr>
      <w:tr w14:paraId="40B4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47B97198">
            <w:pPr>
              <w:spacing w:line="440" w:lineRule="exact"/>
              <w:jc w:val="center"/>
              <w:rPr>
                <w:rFonts w:ascii="仿宋" w:hAnsi="仿宋" w:eastAsia="仿宋" w:cs="仿宋"/>
                <w:sz w:val="24"/>
                <w:szCs w:val="24"/>
              </w:rPr>
            </w:pPr>
          </w:p>
        </w:tc>
        <w:tc>
          <w:tcPr>
            <w:tcW w:w="1207" w:type="dxa"/>
            <w:vMerge w:val="continue"/>
            <w:noWrap w:val="0"/>
            <w:vAlign w:val="center"/>
          </w:tcPr>
          <w:p w14:paraId="5811440C">
            <w:pPr>
              <w:spacing w:line="440" w:lineRule="exact"/>
              <w:jc w:val="center"/>
              <w:rPr>
                <w:rFonts w:ascii="仿宋" w:hAnsi="仿宋" w:eastAsia="仿宋" w:cs="仿宋"/>
                <w:sz w:val="24"/>
                <w:szCs w:val="24"/>
              </w:rPr>
            </w:pPr>
          </w:p>
        </w:tc>
        <w:tc>
          <w:tcPr>
            <w:tcW w:w="6500" w:type="dxa"/>
            <w:noWrap w:val="0"/>
            <w:vAlign w:val="center"/>
          </w:tcPr>
          <w:p w14:paraId="73CB289D">
            <w:pPr>
              <w:spacing w:line="440" w:lineRule="exact"/>
              <w:jc w:val="left"/>
              <w:rPr>
                <w:rFonts w:ascii="仿宋" w:hAnsi="仿宋" w:eastAsia="仿宋" w:cs="仿宋"/>
                <w:sz w:val="24"/>
                <w:szCs w:val="24"/>
              </w:rPr>
            </w:pPr>
            <w:r>
              <w:rPr>
                <w:rFonts w:hint="eastAsia" w:ascii="仿宋" w:hAnsi="仿宋" w:eastAsia="仿宋" w:cs="仿宋"/>
                <w:color w:val="000000"/>
                <w:spacing w:val="-6"/>
                <w:sz w:val="24"/>
                <w:szCs w:val="24"/>
              </w:rPr>
              <w:t>（1）</w:t>
            </w:r>
            <w:r>
              <w:rPr>
                <w:rFonts w:hint="eastAsia" w:ascii="仿宋" w:hAnsi="仿宋" w:eastAsia="仿宋" w:cs="仿宋"/>
                <w:sz w:val="24"/>
                <w:szCs w:val="24"/>
              </w:rPr>
              <w:t>投标人具有知识产权合规管理体系认证证书的得2分，认证范围需包含“医保DRG、结算清单”关键字眼，否则此项不得分。</w:t>
            </w:r>
          </w:p>
          <w:p w14:paraId="0B46A214">
            <w:pPr>
              <w:spacing w:line="440" w:lineRule="exact"/>
              <w:jc w:val="left"/>
              <w:rPr>
                <w:rFonts w:ascii="仿宋" w:hAnsi="仿宋" w:eastAsia="仿宋" w:cs="仿宋"/>
                <w:sz w:val="24"/>
                <w:szCs w:val="24"/>
              </w:rPr>
            </w:pPr>
            <w:r>
              <w:rPr>
                <w:rFonts w:hint="eastAsia" w:ascii="仿宋" w:hAnsi="仿宋" w:eastAsia="仿宋" w:cs="仿宋"/>
                <w:color w:val="000000"/>
                <w:spacing w:val="-6"/>
                <w:sz w:val="24"/>
                <w:szCs w:val="24"/>
              </w:rPr>
              <w:t>（2）</w:t>
            </w:r>
            <w:r>
              <w:rPr>
                <w:rFonts w:hint="eastAsia" w:ascii="仿宋" w:hAnsi="仿宋" w:eastAsia="仿宋" w:cs="仿宋"/>
                <w:sz w:val="24"/>
                <w:szCs w:val="24"/>
              </w:rPr>
              <w:t>投标人具有信息系统安全等级保护证明（三级或以上）得1分。</w:t>
            </w:r>
          </w:p>
          <w:p w14:paraId="6D5016E0">
            <w:pPr>
              <w:spacing w:line="440" w:lineRule="exact"/>
              <w:jc w:val="left"/>
              <w:rPr>
                <w:rFonts w:ascii="仿宋" w:hAnsi="仿宋" w:eastAsia="仿宋" w:cs="仿宋"/>
                <w:sz w:val="24"/>
                <w:szCs w:val="24"/>
              </w:rPr>
            </w:pPr>
            <w:r>
              <w:rPr>
                <w:rFonts w:hint="eastAsia" w:ascii="仿宋" w:hAnsi="仿宋" w:eastAsia="仿宋" w:cs="仿宋"/>
                <w:sz w:val="24"/>
                <w:szCs w:val="24"/>
              </w:rPr>
              <w:t>（3）投标人具有信息安全服务资质认证证书（三级或以上）的得1分。须提供相关证明材料，否则不得分。</w:t>
            </w:r>
          </w:p>
          <w:p w14:paraId="04E4EF53">
            <w:pPr>
              <w:pStyle w:val="2"/>
              <w:snapToGrid w:val="0"/>
              <w:spacing w:line="440" w:lineRule="exact"/>
              <w:jc w:val="left"/>
              <w:rPr>
                <w:rFonts w:ascii="仿宋" w:hAnsi="仿宋" w:eastAsia="仿宋" w:cs="仿宋"/>
                <w:color w:val="000000"/>
                <w:spacing w:val="-6"/>
                <w:szCs w:val="24"/>
              </w:rPr>
            </w:pPr>
            <w:r>
              <w:rPr>
                <w:rFonts w:hint="eastAsia" w:ascii="仿宋" w:hAnsi="仿宋" w:eastAsia="仿宋" w:cs="仿宋"/>
                <w:b/>
                <w:bCs/>
                <w:szCs w:val="24"/>
              </w:rPr>
              <w:t>注：提供有效期内的证书复印件加盖投标人公章。</w:t>
            </w:r>
          </w:p>
        </w:tc>
        <w:tc>
          <w:tcPr>
            <w:tcW w:w="773" w:type="dxa"/>
            <w:noWrap w:val="0"/>
            <w:vAlign w:val="center"/>
          </w:tcPr>
          <w:p w14:paraId="5760EBBA">
            <w:pPr>
              <w:spacing w:line="440" w:lineRule="exact"/>
              <w:jc w:val="center"/>
              <w:rPr>
                <w:rFonts w:ascii="仿宋" w:hAnsi="仿宋" w:eastAsia="仿宋" w:cs="仿宋"/>
                <w:sz w:val="24"/>
                <w:szCs w:val="24"/>
              </w:rPr>
            </w:pPr>
            <w:r>
              <w:rPr>
                <w:rFonts w:hint="eastAsia" w:ascii="仿宋" w:hAnsi="仿宋" w:eastAsia="仿宋" w:cs="仿宋"/>
                <w:sz w:val="24"/>
                <w:szCs w:val="24"/>
              </w:rPr>
              <w:t>4</w:t>
            </w:r>
          </w:p>
        </w:tc>
      </w:tr>
      <w:tr w14:paraId="493D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6128B0DF">
            <w:pPr>
              <w:spacing w:line="440" w:lineRule="exact"/>
              <w:jc w:val="center"/>
              <w:rPr>
                <w:rFonts w:ascii="仿宋" w:hAnsi="仿宋" w:eastAsia="仿宋" w:cs="仿宋"/>
                <w:sz w:val="24"/>
                <w:szCs w:val="24"/>
              </w:rPr>
            </w:pPr>
          </w:p>
        </w:tc>
        <w:tc>
          <w:tcPr>
            <w:tcW w:w="1207" w:type="dxa"/>
            <w:vMerge w:val="continue"/>
            <w:noWrap w:val="0"/>
            <w:vAlign w:val="center"/>
          </w:tcPr>
          <w:p w14:paraId="1A9A8C88">
            <w:pPr>
              <w:spacing w:line="440" w:lineRule="exact"/>
              <w:jc w:val="center"/>
              <w:rPr>
                <w:rFonts w:ascii="仿宋" w:hAnsi="仿宋" w:eastAsia="仿宋" w:cs="仿宋"/>
                <w:sz w:val="24"/>
                <w:szCs w:val="24"/>
              </w:rPr>
            </w:pPr>
          </w:p>
        </w:tc>
        <w:tc>
          <w:tcPr>
            <w:tcW w:w="6500" w:type="dxa"/>
            <w:noWrap w:val="0"/>
            <w:vAlign w:val="center"/>
          </w:tcPr>
          <w:p w14:paraId="0A19031F">
            <w:pPr>
              <w:spacing w:line="440" w:lineRule="exact"/>
              <w:rPr>
                <w:rFonts w:ascii="仿宋" w:hAnsi="仿宋" w:eastAsia="仿宋" w:cs="仿宋"/>
                <w:sz w:val="24"/>
                <w:szCs w:val="24"/>
              </w:rPr>
            </w:pPr>
            <w:r>
              <w:rPr>
                <w:rFonts w:hint="eastAsia" w:ascii="仿宋" w:hAnsi="仿宋" w:eastAsia="仿宋" w:cs="仿宋"/>
                <w:sz w:val="24"/>
                <w:szCs w:val="24"/>
              </w:rPr>
              <w:t>投标人投标产品数据库兼容性认证：</w:t>
            </w:r>
          </w:p>
          <w:p w14:paraId="6216EE84">
            <w:pPr>
              <w:spacing w:line="440" w:lineRule="exact"/>
              <w:rPr>
                <w:rFonts w:ascii="仿宋" w:hAnsi="仿宋" w:eastAsia="仿宋" w:cs="仿宋"/>
                <w:sz w:val="24"/>
                <w:szCs w:val="24"/>
              </w:rPr>
            </w:pPr>
            <w:r>
              <w:rPr>
                <w:rFonts w:hint="eastAsia" w:ascii="仿宋" w:hAnsi="仿宋" w:eastAsia="仿宋" w:cs="仿宋"/>
                <w:sz w:val="24"/>
                <w:szCs w:val="24"/>
              </w:rPr>
              <w:t>1、投标人所提供的产品具有国产化服务器兼容性互认证书的得1分，须提供证书复印件并加盖投标人公章，未提供不得分。</w:t>
            </w:r>
          </w:p>
          <w:p w14:paraId="3BD3B9D9">
            <w:pPr>
              <w:spacing w:line="440" w:lineRule="exact"/>
              <w:rPr>
                <w:rFonts w:ascii="仿宋" w:hAnsi="仿宋" w:eastAsia="仿宋" w:cs="仿宋"/>
                <w:sz w:val="24"/>
                <w:szCs w:val="24"/>
              </w:rPr>
            </w:pPr>
            <w:r>
              <w:rPr>
                <w:rFonts w:hint="eastAsia" w:ascii="仿宋" w:hAnsi="仿宋" w:eastAsia="仿宋" w:cs="仿宋"/>
                <w:sz w:val="24"/>
                <w:szCs w:val="24"/>
              </w:rPr>
              <w:t>2、投标人所提供的产品具有国产化操作系统兼容性互认证书的得1分，须提供证书复印件并加盖投标人公章，未提供不得分。</w:t>
            </w:r>
          </w:p>
          <w:p w14:paraId="1943F7DE">
            <w:pPr>
              <w:spacing w:line="440" w:lineRule="exact"/>
              <w:rPr>
                <w:rFonts w:ascii="仿宋" w:hAnsi="仿宋" w:eastAsia="仿宋" w:cs="仿宋"/>
                <w:color w:val="000000"/>
                <w:spacing w:val="-6"/>
                <w:szCs w:val="24"/>
              </w:rPr>
            </w:pPr>
            <w:r>
              <w:rPr>
                <w:rFonts w:hint="eastAsia" w:ascii="仿宋" w:hAnsi="仿宋" w:eastAsia="仿宋" w:cs="仿宋"/>
                <w:sz w:val="24"/>
                <w:szCs w:val="24"/>
              </w:rPr>
              <w:t>3、投标人所提供的产品具有国产化数据库兼容性互认证书的得1分，须提供证书复印件并加盖投标人公章，未提供不得分。</w:t>
            </w:r>
          </w:p>
        </w:tc>
        <w:tc>
          <w:tcPr>
            <w:tcW w:w="773" w:type="dxa"/>
            <w:noWrap w:val="0"/>
            <w:vAlign w:val="center"/>
          </w:tcPr>
          <w:p w14:paraId="1A9CD7D4">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r>
      <w:tr w14:paraId="4B02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59DAEEBD">
            <w:pPr>
              <w:spacing w:line="440" w:lineRule="exact"/>
              <w:jc w:val="center"/>
              <w:rPr>
                <w:rFonts w:ascii="仿宋" w:hAnsi="仿宋" w:eastAsia="仿宋" w:cs="仿宋"/>
                <w:sz w:val="24"/>
                <w:szCs w:val="24"/>
              </w:rPr>
            </w:pPr>
            <w:r>
              <w:rPr>
                <w:rFonts w:hint="eastAsia" w:ascii="仿宋" w:hAnsi="仿宋" w:eastAsia="仿宋" w:cs="仿宋"/>
                <w:sz w:val="24"/>
                <w:szCs w:val="24"/>
              </w:rPr>
              <w:t>2</w:t>
            </w:r>
          </w:p>
        </w:tc>
        <w:tc>
          <w:tcPr>
            <w:tcW w:w="1207" w:type="dxa"/>
            <w:noWrap w:val="0"/>
            <w:vAlign w:val="center"/>
          </w:tcPr>
          <w:p w14:paraId="4F2C32C5">
            <w:pPr>
              <w:spacing w:line="440" w:lineRule="exact"/>
              <w:jc w:val="center"/>
              <w:rPr>
                <w:rFonts w:ascii="仿宋" w:hAnsi="仿宋" w:eastAsia="仿宋" w:cs="仿宋"/>
                <w:sz w:val="24"/>
                <w:szCs w:val="24"/>
              </w:rPr>
            </w:pPr>
            <w:r>
              <w:rPr>
                <w:rFonts w:hint="eastAsia" w:ascii="仿宋" w:hAnsi="仿宋" w:eastAsia="仿宋" w:cs="仿宋"/>
                <w:sz w:val="24"/>
                <w:szCs w:val="24"/>
              </w:rPr>
              <w:t>同类项目业绩（2分）</w:t>
            </w:r>
          </w:p>
        </w:tc>
        <w:tc>
          <w:tcPr>
            <w:tcW w:w="6500" w:type="dxa"/>
            <w:noWrap w:val="0"/>
            <w:vAlign w:val="center"/>
          </w:tcPr>
          <w:p w14:paraId="1CD6BCAE">
            <w:pPr>
              <w:spacing w:line="440" w:lineRule="exact"/>
              <w:rPr>
                <w:rFonts w:ascii="仿宋" w:hAnsi="仿宋" w:eastAsia="仿宋" w:cs="仿宋"/>
                <w:sz w:val="24"/>
                <w:szCs w:val="24"/>
              </w:rPr>
            </w:pPr>
            <w:r>
              <w:rPr>
                <w:rFonts w:hint="eastAsia" w:ascii="仿宋" w:hAnsi="仿宋" w:eastAsia="仿宋" w:cs="仿宋"/>
                <w:sz w:val="24"/>
                <w:szCs w:val="24"/>
              </w:rPr>
              <w:t>投标人提供2022年1月1日（以合同签订时间为准）以来医疗机构的同类业绩。每提供1个得1分，最多得2分。同一家单位只计一份。</w:t>
            </w:r>
          </w:p>
          <w:p w14:paraId="1152CE7D">
            <w:pPr>
              <w:spacing w:line="440" w:lineRule="exact"/>
              <w:rPr>
                <w:rFonts w:ascii="仿宋" w:hAnsi="仿宋" w:eastAsia="仿宋" w:cs="仿宋"/>
                <w:color w:val="000000"/>
                <w:spacing w:val="-6"/>
                <w:sz w:val="24"/>
                <w:szCs w:val="24"/>
              </w:rPr>
            </w:pPr>
            <w:r>
              <w:rPr>
                <w:rFonts w:hint="eastAsia" w:ascii="仿宋" w:hAnsi="仿宋" w:eastAsia="仿宋" w:cs="仿宋"/>
                <w:b/>
                <w:bCs/>
                <w:sz w:val="24"/>
                <w:szCs w:val="24"/>
              </w:rPr>
              <w:t>注：提供项目中标通知书、合同、验收报告复印件并加盖投标人公章，未提供不得分。</w:t>
            </w:r>
          </w:p>
        </w:tc>
        <w:tc>
          <w:tcPr>
            <w:tcW w:w="773" w:type="dxa"/>
            <w:noWrap w:val="0"/>
            <w:vAlign w:val="center"/>
          </w:tcPr>
          <w:p w14:paraId="0074877F">
            <w:pPr>
              <w:spacing w:line="440" w:lineRule="exact"/>
              <w:jc w:val="center"/>
              <w:rPr>
                <w:rFonts w:ascii="仿宋" w:hAnsi="仿宋" w:eastAsia="仿宋" w:cs="仿宋"/>
                <w:sz w:val="24"/>
                <w:szCs w:val="24"/>
              </w:rPr>
            </w:pPr>
            <w:r>
              <w:rPr>
                <w:rFonts w:hint="eastAsia" w:ascii="仿宋" w:hAnsi="仿宋" w:eastAsia="仿宋" w:cs="仿宋"/>
                <w:sz w:val="24"/>
                <w:szCs w:val="24"/>
              </w:rPr>
              <w:t>2</w:t>
            </w:r>
          </w:p>
        </w:tc>
      </w:tr>
      <w:tr w14:paraId="7052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7453DA9D">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c>
          <w:tcPr>
            <w:tcW w:w="1207" w:type="dxa"/>
            <w:noWrap w:val="0"/>
            <w:vAlign w:val="center"/>
          </w:tcPr>
          <w:p w14:paraId="75A6E7A3">
            <w:pPr>
              <w:spacing w:line="440" w:lineRule="exact"/>
              <w:jc w:val="center"/>
              <w:rPr>
                <w:rFonts w:ascii="仿宋" w:hAnsi="仿宋" w:eastAsia="仿宋" w:cs="仿宋"/>
                <w:sz w:val="24"/>
                <w:szCs w:val="24"/>
              </w:rPr>
            </w:pPr>
            <w:r>
              <w:rPr>
                <w:rFonts w:hint="eastAsia" w:ascii="仿宋" w:hAnsi="仿宋" w:eastAsia="仿宋" w:cs="仿宋"/>
                <w:sz w:val="24"/>
                <w:szCs w:val="24"/>
              </w:rPr>
              <w:t>产品性能、技术指标（20分）</w:t>
            </w:r>
          </w:p>
        </w:tc>
        <w:tc>
          <w:tcPr>
            <w:tcW w:w="6500" w:type="dxa"/>
            <w:noWrap w:val="0"/>
            <w:vAlign w:val="center"/>
          </w:tcPr>
          <w:p w14:paraId="4BD65FE2">
            <w:pPr>
              <w:spacing w:line="440" w:lineRule="exact"/>
              <w:rPr>
                <w:rFonts w:ascii="仿宋" w:hAnsi="仿宋" w:eastAsia="仿宋" w:cs="仿宋"/>
                <w:sz w:val="24"/>
                <w:szCs w:val="24"/>
              </w:rPr>
            </w:pPr>
            <w:r>
              <w:rPr>
                <w:rFonts w:hint="eastAsia" w:ascii="仿宋" w:hAnsi="仿宋" w:eastAsia="仿宋" w:cs="仿宋"/>
                <w:sz w:val="24"/>
                <w:szCs w:val="24"/>
              </w:rPr>
              <w:t>完全满足招标文件技术参数配置要求的得20分，打“▲”号的指标为主要功能、配置，每有一项负偏离的扣2分；一般指标每有一项负偏离的扣0.2分，扣完为止。</w:t>
            </w:r>
          </w:p>
          <w:p w14:paraId="468552A6">
            <w:pPr>
              <w:spacing w:line="440" w:lineRule="exact"/>
              <w:rPr>
                <w:rFonts w:ascii="仿宋" w:hAnsi="仿宋" w:eastAsia="仿宋" w:cs="仿宋"/>
                <w:color w:val="000000"/>
                <w:spacing w:val="-6"/>
                <w:sz w:val="24"/>
                <w:szCs w:val="24"/>
              </w:rPr>
            </w:pPr>
            <w:r>
              <w:rPr>
                <w:rFonts w:hint="eastAsia" w:ascii="仿宋" w:hAnsi="仿宋" w:eastAsia="仿宋" w:cs="仿宋"/>
                <w:b/>
                <w:bCs/>
                <w:sz w:val="24"/>
                <w:szCs w:val="24"/>
              </w:rPr>
              <w:t>注：打“▲”号的指标需提供系统功能截图并加盖投标人公章。</w:t>
            </w:r>
          </w:p>
        </w:tc>
        <w:tc>
          <w:tcPr>
            <w:tcW w:w="773" w:type="dxa"/>
            <w:noWrap w:val="0"/>
            <w:vAlign w:val="center"/>
          </w:tcPr>
          <w:p w14:paraId="24D04425">
            <w:pPr>
              <w:spacing w:line="440" w:lineRule="exact"/>
              <w:jc w:val="center"/>
              <w:rPr>
                <w:rFonts w:ascii="仿宋" w:hAnsi="仿宋" w:eastAsia="仿宋" w:cs="仿宋"/>
                <w:sz w:val="24"/>
                <w:szCs w:val="24"/>
              </w:rPr>
            </w:pPr>
            <w:r>
              <w:rPr>
                <w:rFonts w:hint="eastAsia" w:ascii="仿宋" w:hAnsi="仿宋" w:eastAsia="仿宋" w:cs="仿宋"/>
                <w:sz w:val="24"/>
                <w:szCs w:val="24"/>
              </w:rPr>
              <w:t>20</w:t>
            </w:r>
          </w:p>
        </w:tc>
      </w:tr>
      <w:tr w14:paraId="6822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6" w:type="dxa"/>
            <w:vMerge w:val="restart"/>
            <w:noWrap w:val="0"/>
            <w:vAlign w:val="center"/>
          </w:tcPr>
          <w:p w14:paraId="5C47AB3B">
            <w:pPr>
              <w:spacing w:line="440" w:lineRule="exact"/>
              <w:jc w:val="center"/>
              <w:rPr>
                <w:rFonts w:ascii="仿宋" w:hAnsi="仿宋" w:eastAsia="仿宋" w:cs="仿宋"/>
                <w:sz w:val="24"/>
                <w:szCs w:val="24"/>
              </w:rPr>
            </w:pPr>
            <w:r>
              <w:rPr>
                <w:rFonts w:hint="eastAsia" w:ascii="仿宋" w:hAnsi="仿宋" w:eastAsia="仿宋" w:cs="仿宋"/>
                <w:sz w:val="24"/>
                <w:szCs w:val="24"/>
              </w:rPr>
              <w:t>4</w:t>
            </w:r>
          </w:p>
        </w:tc>
        <w:tc>
          <w:tcPr>
            <w:tcW w:w="1207" w:type="dxa"/>
            <w:vMerge w:val="restart"/>
            <w:noWrap w:val="0"/>
            <w:vAlign w:val="center"/>
          </w:tcPr>
          <w:p w14:paraId="68764075">
            <w:pPr>
              <w:spacing w:line="440" w:lineRule="exact"/>
              <w:jc w:val="center"/>
              <w:rPr>
                <w:rFonts w:ascii="仿宋" w:hAnsi="仿宋" w:eastAsia="仿宋" w:cs="仿宋"/>
                <w:sz w:val="24"/>
                <w:szCs w:val="24"/>
              </w:rPr>
            </w:pPr>
            <w:r>
              <w:rPr>
                <w:rFonts w:hint="eastAsia" w:ascii="仿宋" w:hAnsi="仿宋" w:eastAsia="仿宋" w:cs="仿宋"/>
                <w:sz w:val="24"/>
                <w:szCs w:val="24"/>
              </w:rPr>
              <w:t>技术方案（14分）</w:t>
            </w:r>
          </w:p>
        </w:tc>
        <w:tc>
          <w:tcPr>
            <w:tcW w:w="6500" w:type="dxa"/>
            <w:noWrap w:val="0"/>
            <w:vAlign w:val="center"/>
          </w:tcPr>
          <w:p w14:paraId="5318B2AF">
            <w:pPr>
              <w:spacing w:line="440" w:lineRule="exact"/>
              <w:rPr>
                <w:rFonts w:ascii="仿宋" w:hAnsi="仿宋" w:eastAsia="仿宋" w:cs="仿宋"/>
                <w:sz w:val="24"/>
                <w:szCs w:val="24"/>
              </w:rPr>
            </w:pPr>
            <w:r>
              <w:rPr>
                <w:rFonts w:hint="eastAsia" w:ascii="仿宋" w:hAnsi="仿宋" w:eastAsia="仿宋" w:cs="仿宋"/>
                <w:sz w:val="24"/>
                <w:szCs w:val="24"/>
              </w:rPr>
              <w:t>技术方案：对总体设计、数据中心、业务通用能力设计、接口方案、数据安全方案等做详细阐述，0-4分。方案总体设计科学合理的得3.1-4.0分，方案总体设计基本合理的得2.1-3.0分，方案总体设计一般得0.1-2.0，不提供或提供的方案不清晰的不得分。</w:t>
            </w:r>
          </w:p>
        </w:tc>
        <w:tc>
          <w:tcPr>
            <w:tcW w:w="773" w:type="dxa"/>
            <w:noWrap w:val="0"/>
            <w:vAlign w:val="center"/>
          </w:tcPr>
          <w:p w14:paraId="35D4E99F">
            <w:pPr>
              <w:spacing w:line="440" w:lineRule="exact"/>
              <w:jc w:val="center"/>
              <w:rPr>
                <w:rFonts w:ascii="仿宋" w:hAnsi="仿宋" w:eastAsia="仿宋" w:cs="仿宋"/>
                <w:sz w:val="24"/>
                <w:szCs w:val="24"/>
              </w:rPr>
            </w:pPr>
            <w:r>
              <w:rPr>
                <w:rFonts w:hint="eastAsia" w:ascii="仿宋" w:hAnsi="仿宋" w:eastAsia="仿宋" w:cs="仿宋"/>
                <w:sz w:val="24"/>
                <w:szCs w:val="24"/>
              </w:rPr>
              <w:t>4</w:t>
            </w:r>
          </w:p>
        </w:tc>
      </w:tr>
      <w:tr w14:paraId="0077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68F8C40A">
            <w:pPr>
              <w:spacing w:line="440" w:lineRule="exact"/>
              <w:jc w:val="center"/>
              <w:rPr>
                <w:rFonts w:ascii="仿宋" w:hAnsi="仿宋" w:eastAsia="仿宋" w:cs="仿宋"/>
                <w:sz w:val="24"/>
                <w:szCs w:val="24"/>
              </w:rPr>
            </w:pPr>
          </w:p>
        </w:tc>
        <w:tc>
          <w:tcPr>
            <w:tcW w:w="1207" w:type="dxa"/>
            <w:vMerge w:val="continue"/>
            <w:noWrap w:val="0"/>
            <w:vAlign w:val="center"/>
          </w:tcPr>
          <w:p w14:paraId="6FCAC119">
            <w:pPr>
              <w:spacing w:line="440" w:lineRule="exact"/>
              <w:jc w:val="center"/>
              <w:rPr>
                <w:rFonts w:ascii="仿宋" w:hAnsi="仿宋" w:eastAsia="仿宋" w:cs="仿宋"/>
                <w:sz w:val="24"/>
                <w:szCs w:val="24"/>
              </w:rPr>
            </w:pPr>
          </w:p>
        </w:tc>
        <w:tc>
          <w:tcPr>
            <w:tcW w:w="6500" w:type="dxa"/>
            <w:noWrap w:val="0"/>
            <w:vAlign w:val="center"/>
          </w:tcPr>
          <w:p w14:paraId="4345D698">
            <w:pPr>
              <w:spacing w:line="440" w:lineRule="exact"/>
              <w:rPr>
                <w:rFonts w:ascii="仿宋" w:hAnsi="仿宋" w:eastAsia="仿宋" w:cs="仿宋"/>
                <w:sz w:val="24"/>
                <w:szCs w:val="24"/>
              </w:rPr>
            </w:pPr>
            <w:r>
              <w:rPr>
                <w:rFonts w:hint="eastAsia" w:ascii="仿宋" w:hAnsi="仿宋" w:eastAsia="仿宋" w:cs="仿宋"/>
                <w:sz w:val="24"/>
                <w:szCs w:val="24"/>
              </w:rPr>
              <w:t>建设方案：对项目整体需求分析、系统功能设计情况做详细阐述，0-4分。方案总体设计科学合理的得3.1-4.0分，方案总体设计基本合理的得2.1-3.0分，方案总体设计一般得0.1-2.0，不提供或提供的方案不清晰的不得分。</w:t>
            </w:r>
          </w:p>
        </w:tc>
        <w:tc>
          <w:tcPr>
            <w:tcW w:w="773" w:type="dxa"/>
            <w:noWrap w:val="0"/>
            <w:vAlign w:val="center"/>
          </w:tcPr>
          <w:p w14:paraId="77EAE6E2">
            <w:pPr>
              <w:spacing w:line="440" w:lineRule="exact"/>
              <w:jc w:val="center"/>
              <w:rPr>
                <w:rFonts w:ascii="仿宋" w:hAnsi="仿宋" w:eastAsia="仿宋" w:cs="仿宋"/>
                <w:sz w:val="24"/>
                <w:szCs w:val="24"/>
              </w:rPr>
            </w:pPr>
            <w:r>
              <w:rPr>
                <w:rFonts w:hint="eastAsia" w:ascii="仿宋" w:hAnsi="仿宋" w:eastAsia="仿宋" w:cs="仿宋"/>
                <w:sz w:val="24"/>
                <w:szCs w:val="24"/>
              </w:rPr>
              <w:t>4</w:t>
            </w:r>
          </w:p>
        </w:tc>
      </w:tr>
      <w:tr w14:paraId="7BC5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7065E997">
            <w:pPr>
              <w:spacing w:line="440" w:lineRule="exact"/>
              <w:jc w:val="center"/>
              <w:rPr>
                <w:rFonts w:ascii="仿宋" w:hAnsi="仿宋" w:eastAsia="仿宋" w:cs="仿宋"/>
                <w:sz w:val="24"/>
                <w:szCs w:val="24"/>
              </w:rPr>
            </w:pPr>
          </w:p>
        </w:tc>
        <w:tc>
          <w:tcPr>
            <w:tcW w:w="1207" w:type="dxa"/>
            <w:vMerge w:val="continue"/>
            <w:noWrap w:val="0"/>
            <w:vAlign w:val="center"/>
          </w:tcPr>
          <w:p w14:paraId="134E3FA9">
            <w:pPr>
              <w:spacing w:line="440" w:lineRule="exact"/>
              <w:jc w:val="center"/>
              <w:rPr>
                <w:rFonts w:ascii="仿宋" w:hAnsi="仿宋" w:eastAsia="仿宋" w:cs="仿宋"/>
                <w:sz w:val="24"/>
                <w:szCs w:val="24"/>
              </w:rPr>
            </w:pPr>
          </w:p>
        </w:tc>
        <w:tc>
          <w:tcPr>
            <w:tcW w:w="6500" w:type="dxa"/>
            <w:noWrap w:val="0"/>
            <w:vAlign w:val="center"/>
          </w:tcPr>
          <w:p w14:paraId="764C8DDE">
            <w:pPr>
              <w:spacing w:line="440" w:lineRule="exact"/>
              <w:rPr>
                <w:rFonts w:hint="eastAsia" w:ascii="仿宋" w:hAnsi="仿宋" w:eastAsia="仿宋" w:cs="仿宋"/>
                <w:sz w:val="24"/>
                <w:szCs w:val="24"/>
                <w:lang w:val="en-US" w:eastAsia="zh-CN"/>
              </w:rPr>
            </w:pPr>
            <w:r>
              <w:rPr>
                <w:rFonts w:hint="eastAsia" w:ascii="仿宋" w:hAnsi="仿宋" w:eastAsia="仿宋" w:cs="仿宋"/>
                <w:sz w:val="24"/>
                <w:szCs w:val="24"/>
              </w:rPr>
              <w:t>投标人的技术方案中是否有独立的数据中心的数据模型，要求不能直接引用当前业务系统模型或消息模型。要通过ETL技术对原始业务数据进行抽取、转换、清洗并转存到CDR数据模型中，形成集中存储的数据集，0-3分。</w:t>
            </w:r>
            <w:r>
              <w:rPr>
                <w:rFonts w:hint="eastAsia" w:ascii="仿宋" w:hAnsi="仿宋" w:eastAsia="仿宋" w:cs="仿宋"/>
                <w:sz w:val="24"/>
                <w:szCs w:val="24"/>
                <w:lang w:eastAsia="zh-CN"/>
              </w:rPr>
              <w:t>所提供</w:t>
            </w:r>
            <w:r>
              <w:rPr>
                <w:rFonts w:hint="eastAsia" w:ascii="仿宋" w:hAnsi="仿宋" w:eastAsia="仿宋" w:cs="仿宋"/>
                <w:sz w:val="24"/>
                <w:szCs w:val="24"/>
              </w:rPr>
              <w:t>数据模型</w:t>
            </w:r>
            <w:r>
              <w:rPr>
                <w:rFonts w:hint="eastAsia" w:ascii="仿宋" w:hAnsi="仿宋" w:eastAsia="仿宋" w:cs="仿宋"/>
                <w:sz w:val="24"/>
                <w:szCs w:val="24"/>
                <w:lang w:eastAsia="zh-CN"/>
              </w:rPr>
              <w:t>技术方案</w:t>
            </w:r>
            <w:r>
              <w:rPr>
                <w:rFonts w:hint="eastAsia" w:ascii="仿宋" w:hAnsi="仿宋" w:eastAsia="仿宋" w:cs="仿宋"/>
                <w:sz w:val="24"/>
                <w:szCs w:val="24"/>
              </w:rPr>
              <w:t>总体设计科学合理</w:t>
            </w:r>
            <w:r>
              <w:rPr>
                <w:rFonts w:hint="eastAsia" w:ascii="仿宋" w:hAnsi="仿宋" w:eastAsia="仿宋" w:cs="仿宋"/>
                <w:sz w:val="24"/>
                <w:szCs w:val="24"/>
                <w:lang w:eastAsia="zh-CN"/>
              </w:rPr>
              <w:t>可行</w:t>
            </w:r>
            <w:r>
              <w:rPr>
                <w:rFonts w:hint="eastAsia" w:ascii="仿宋" w:hAnsi="仿宋" w:eastAsia="仿宋" w:cs="仿宋"/>
                <w:sz w:val="24"/>
                <w:szCs w:val="24"/>
              </w:rPr>
              <w:t>的得3.1-4.0分，方案总体设计基本合理</w:t>
            </w:r>
            <w:r>
              <w:rPr>
                <w:rFonts w:hint="eastAsia" w:ascii="仿宋" w:hAnsi="仿宋" w:eastAsia="仿宋" w:cs="仿宋"/>
                <w:sz w:val="24"/>
                <w:szCs w:val="24"/>
                <w:lang w:eastAsia="zh-CN"/>
              </w:rPr>
              <w:t>可行</w:t>
            </w:r>
            <w:r>
              <w:rPr>
                <w:rFonts w:hint="eastAsia" w:ascii="仿宋" w:hAnsi="仿宋" w:eastAsia="仿宋" w:cs="仿宋"/>
                <w:sz w:val="24"/>
                <w:szCs w:val="24"/>
              </w:rPr>
              <w:t>的得2.1-3.0分，方案总体设计一般得0.1-2.0，不提供或提供的方案不清晰的不得分。</w:t>
            </w:r>
          </w:p>
        </w:tc>
        <w:tc>
          <w:tcPr>
            <w:tcW w:w="773" w:type="dxa"/>
            <w:noWrap w:val="0"/>
            <w:vAlign w:val="center"/>
          </w:tcPr>
          <w:p w14:paraId="7E02CD36">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r>
      <w:tr w14:paraId="5EB7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32525A4F">
            <w:pPr>
              <w:spacing w:line="440" w:lineRule="exact"/>
              <w:jc w:val="center"/>
              <w:rPr>
                <w:rFonts w:ascii="仿宋" w:hAnsi="仿宋" w:eastAsia="仿宋" w:cs="仿宋"/>
                <w:sz w:val="24"/>
                <w:szCs w:val="24"/>
              </w:rPr>
            </w:pPr>
          </w:p>
        </w:tc>
        <w:tc>
          <w:tcPr>
            <w:tcW w:w="1207" w:type="dxa"/>
            <w:vMerge w:val="continue"/>
            <w:noWrap w:val="0"/>
            <w:vAlign w:val="center"/>
          </w:tcPr>
          <w:p w14:paraId="34E15856">
            <w:pPr>
              <w:spacing w:line="440" w:lineRule="exact"/>
              <w:jc w:val="center"/>
              <w:rPr>
                <w:rFonts w:ascii="仿宋" w:hAnsi="仿宋" w:eastAsia="仿宋" w:cs="仿宋"/>
                <w:sz w:val="24"/>
                <w:szCs w:val="24"/>
              </w:rPr>
            </w:pPr>
          </w:p>
        </w:tc>
        <w:tc>
          <w:tcPr>
            <w:tcW w:w="6500" w:type="dxa"/>
            <w:noWrap w:val="0"/>
            <w:vAlign w:val="center"/>
          </w:tcPr>
          <w:p w14:paraId="1FD505DA">
            <w:pPr>
              <w:spacing w:line="440" w:lineRule="exact"/>
              <w:rPr>
                <w:rFonts w:ascii="仿宋" w:hAnsi="仿宋" w:eastAsia="仿宋" w:cs="仿宋"/>
                <w:sz w:val="24"/>
                <w:szCs w:val="24"/>
              </w:rPr>
            </w:pPr>
            <w:r>
              <w:rPr>
                <w:rFonts w:hint="eastAsia" w:ascii="仿宋" w:hAnsi="仿宋" w:eastAsia="仿宋" w:cs="仿宋"/>
                <w:sz w:val="24"/>
                <w:szCs w:val="24"/>
              </w:rPr>
              <w:t>投标人是否有提供配套的数据仓库技术工具（ETL工具），提供所需接口，可确保各种临床和管理应用效果的配置扩展实现。投标人所采用的应用工具具有相应的资质证书或专利权。</w:t>
            </w:r>
          </w:p>
          <w:p w14:paraId="367ED995">
            <w:pPr>
              <w:spacing w:line="440" w:lineRule="exact"/>
              <w:rPr>
                <w:rFonts w:ascii="仿宋" w:hAnsi="仿宋" w:eastAsia="仿宋" w:cs="仿宋"/>
                <w:sz w:val="24"/>
                <w:szCs w:val="24"/>
              </w:rPr>
            </w:pPr>
            <w:r>
              <w:rPr>
                <w:rFonts w:hint="eastAsia" w:ascii="仿宋" w:hAnsi="仿宋" w:eastAsia="仿宋" w:cs="仿宋"/>
                <w:sz w:val="24"/>
                <w:szCs w:val="24"/>
              </w:rPr>
              <w:t>提供医疗数据ETL系统和ETL管理工具软件的资质证书或软著，每提供1个得1.5分，最多得3分，未提供不得分。</w:t>
            </w:r>
          </w:p>
        </w:tc>
        <w:tc>
          <w:tcPr>
            <w:tcW w:w="773" w:type="dxa"/>
            <w:noWrap w:val="0"/>
            <w:vAlign w:val="center"/>
          </w:tcPr>
          <w:p w14:paraId="62560257">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r>
      <w:tr w14:paraId="5444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59A05D5A">
            <w:pPr>
              <w:spacing w:line="440" w:lineRule="exact"/>
              <w:jc w:val="center"/>
              <w:rPr>
                <w:rFonts w:ascii="仿宋" w:hAnsi="仿宋" w:eastAsia="仿宋" w:cs="仿宋"/>
                <w:sz w:val="24"/>
                <w:szCs w:val="24"/>
              </w:rPr>
            </w:pPr>
            <w:r>
              <w:rPr>
                <w:rFonts w:hint="eastAsia" w:ascii="仿宋" w:hAnsi="仿宋" w:eastAsia="仿宋" w:cs="仿宋"/>
                <w:sz w:val="24"/>
                <w:szCs w:val="24"/>
              </w:rPr>
              <w:t>5</w:t>
            </w:r>
          </w:p>
        </w:tc>
        <w:tc>
          <w:tcPr>
            <w:tcW w:w="1207" w:type="dxa"/>
            <w:noWrap w:val="0"/>
            <w:vAlign w:val="center"/>
          </w:tcPr>
          <w:p w14:paraId="56F05A7E">
            <w:pPr>
              <w:spacing w:line="440" w:lineRule="exact"/>
              <w:jc w:val="center"/>
              <w:rPr>
                <w:rFonts w:ascii="仿宋" w:hAnsi="仿宋" w:eastAsia="仿宋" w:cs="仿宋"/>
                <w:sz w:val="24"/>
                <w:szCs w:val="24"/>
              </w:rPr>
            </w:pPr>
            <w:r>
              <w:rPr>
                <w:rFonts w:hint="eastAsia" w:ascii="仿宋" w:hAnsi="仿宋" w:eastAsia="仿宋" w:cs="仿宋"/>
                <w:sz w:val="24"/>
                <w:szCs w:val="24"/>
              </w:rPr>
              <w:t>实施方案（5分）</w:t>
            </w:r>
          </w:p>
        </w:tc>
        <w:tc>
          <w:tcPr>
            <w:tcW w:w="6500" w:type="dxa"/>
            <w:noWrap w:val="0"/>
            <w:vAlign w:val="center"/>
          </w:tcPr>
          <w:p w14:paraId="7CD2FEBB">
            <w:pPr>
              <w:spacing w:line="440" w:lineRule="exact"/>
              <w:rPr>
                <w:rFonts w:ascii="仿宋" w:hAnsi="仿宋" w:eastAsia="仿宋" w:cs="仿宋"/>
                <w:sz w:val="24"/>
                <w:szCs w:val="24"/>
              </w:rPr>
            </w:pPr>
            <w:r>
              <w:rPr>
                <w:rFonts w:hint="eastAsia" w:ascii="仿宋" w:hAnsi="仿宋" w:eastAsia="仿宋" w:cs="仿宋"/>
                <w:sz w:val="24"/>
                <w:szCs w:val="24"/>
              </w:rPr>
              <w:t>根据招标文件中的功能需求，是否有提供完整的实施方案，涵盖系统需求分析、测试、试运行、验收、进度安排等，其项目管理制度及管理方案是否具有科学性、合理性和可执行性。</w:t>
            </w:r>
          </w:p>
          <w:p w14:paraId="3B2C6C77">
            <w:pPr>
              <w:spacing w:line="440" w:lineRule="exact"/>
              <w:rPr>
                <w:rFonts w:ascii="仿宋" w:hAnsi="仿宋" w:eastAsia="仿宋" w:cs="仿宋"/>
                <w:sz w:val="24"/>
                <w:szCs w:val="24"/>
              </w:rPr>
            </w:pPr>
            <w:r>
              <w:rPr>
                <w:rFonts w:hint="eastAsia" w:ascii="仿宋" w:hAnsi="仿宋" w:eastAsia="仿宋" w:cs="仿宋"/>
                <w:sz w:val="24"/>
                <w:szCs w:val="24"/>
              </w:rPr>
              <w:t>（1）实施方案需求分析步骤清晰，测试、试运行、验收、进度安排科学、合理的得3.1-5.0分；</w:t>
            </w:r>
          </w:p>
          <w:p w14:paraId="6A9F64D2">
            <w:pPr>
              <w:spacing w:line="440" w:lineRule="exact"/>
              <w:rPr>
                <w:rFonts w:ascii="仿宋" w:hAnsi="仿宋" w:eastAsia="仿宋" w:cs="仿宋"/>
                <w:sz w:val="24"/>
                <w:szCs w:val="24"/>
              </w:rPr>
            </w:pPr>
            <w:r>
              <w:rPr>
                <w:rFonts w:hint="eastAsia" w:ascii="仿宋" w:hAnsi="仿宋" w:eastAsia="仿宋" w:cs="仿宋"/>
                <w:sz w:val="24"/>
                <w:szCs w:val="24"/>
              </w:rPr>
              <w:t>（2）实施方案需求分析步骤较清晰，测试、试运行、验收、进度安排较科学、合理的得1.1-3.0分；</w:t>
            </w:r>
          </w:p>
          <w:p w14:paraId="59ABDAC3">
            <w:pPr>
              <w:spacing w:line="440" w:lineRule="exact"/>
              <w:rPr>
                <w:rFonts w:ascii="仿宋" w:hAnsi="仿宋" w:eastAsia="仿宋" w:cs="仿宋"/>
                <w:sz w:val="24"/>
                <w:szCs w:val="24"/>
              </w:rPr>
            </w:pPr>
            <w:r>
              <w:rPr>
                <w:rFonts w:hint="eastAsia" w:ascii="仿宋" w:hAnsi="仿宋" w:eastAsia="仿宋" w:cs="仿宋"/>
                <w:sz w:val="24"/>
                <w:szCs w:val="24"/>
              </w:rPr>
              <w:t>（3）实施方案需求分析步骤一般，测试、试运行、验收、进度安排一般的得0.1-1.0分；</w:t>
            </w:r>
          </w:p>
          <w:p w14:paraId="2EB339BB">
            <w:pPr>
              <w:spacing w:line="440" w:lineRule="exact"/>
              <w:rPr>
                <w:rFonts w:ascii="仿宋" w:hAnsi="仿宋" w:eastAsia="仿宋" w:cs="仿宋"/>
                <w:sz w:val="24"/>
                <w:szCs w:val="24"/>
              </w:rPr>
            </w:pPr>
            <w:r>
              <w:rPr>
                <w:rFonts w:hint="eastAsia" w:ascii="仿宋" w:hAnsi="仿宋" w:eastAsia="仿宋" w:cs="仿宋"/>
                <w:sz w:val="24"/>
                <w:szCs w:val="24"/>
              </w:rPr>
              <w:t>（4）不提供或提供的实施方案不清晰的不得分。</w:t>
            </w:r>
          </w:p>
        </w:tc>
        <w:tc>
          <w:tcPr>
            <w:tcW w:w="773" w:type="dxa"/>
            <w:noWrap w:val="0"/>
            <w:vAlign w:val="center"/>
          </w:tcPr>
          <w:p w14:paraId="411DB95A">
            <w:pPr>
              <w:spacing w:line="440" w:lineRule="exact"/>
              <w:jc w:val="center"/>
              <w:rPr>
                <w:rFonts w:ascii="仿宋" w:hAnsi="仿宋" w:eastAsia="仿宋" w:cs="仿宋"/>
                <w:sz w:val="24"/>
                <w:szCs w:val="24"/>
              </w:rPr>
            </w:pPr>
            <w:r>
              <w:rPr>
                <w:rFonts w:hint="eastAsia" w:ascii="仿宋" w:hAnsi="仿宋" w:eastAsia="仿宋" w:cs="仿宋"/>
                <w:sz w:val="24"/>
                <w:szCs w:val="24"/>
              </w:rPr>
              <w:t>5</w:t>
            </w:r>
          </w:p>
        </w:tc>
      </w:tr>
      <w:tr w14:paraId="513B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10483164">
            <w:pPr>
              <w:spacing w:line="440" w:lineRule="exact"/>
              <w:jc w:val="center"/>
              <w:rPr>
                <w:rFonts w:ascii="仿宋" w:hAnsi="仿宋" w:eastAsia="仿宋" w:cs="仿宋"/>
                <w:sz w:val="24"/>
                <w:szCs w:val="24"/>
              </w:rPr>
            </w:pPr>
            <w:r>
              <w:rPr>
                <w:rFonts w:hint="eastAsia" w:ascii="仿宋" w:hAnsi="仿宋" w:eastAsia="仿宋" w:cs="仿宋"/>
                <w:sz w:val="24"/>
                <w:szCs w:val="24"/>
              </w:rPr>
              <w:t>6</w:t>
            </w:r>
          </w:p>
        </w:tc>
        <w:tc>
          <w:tcPr>
            <w:tcW w:w="1207" w:type="dxa"/>
            <w:noWrap w:val="0"/>
            <w:vAlign w:val="center"/>
          </w:tcPr>
          <w:p w14:paraId="1220067B">
            <w:pPr>
              <w:spacing w:line="440" w:lineRule="exact"/>
              <w:jc w:val="center"/>
              <w:rPr>
                <w:rFonts w:ascii="仿宋" w:hAnsi="仿宋" w:eastAsia="仿宋" w:cs="仿宋"/>
                <w:sz w:val="24"/>
                <w:szCs w:val="24"/>
              </w:rPr>
            </w:pPr>
            <w:r>
              <w:rPr>
                <w:rFonts w:hint="eastAsia" w:ascii="仿宋" w:hAnsi="仿宋" w:eastAsia="仿宋" w:cs="仿宋"/>
                <w:sz w:val="24"/>
                <w:szCs w:val="24"/>
              </w:rPr>
              <w:t>项目团队（6分）</w:t>
            </w:r>
          </w:p>
        </w:tc>
        <w:tc>
          <w:tcPr>
            <w:tcW w:w="6500" w:type="dxa"/>
            <w:noWrap w:val="0"/>
            <w:vAlign w:val="center"/>
          </w:tcPr>
          <w:p w14:paraId="4CFF9892">
            <w:pPr>
              <w:spacing w:line="440" w:lineRule="exact"/>
              <w:rPr>
                <w:rFonts w:ascii="仿宋" w:hAnsi="仿宋" w:eastAsia="仿宋" w:cs="仿宋"/>
                <w:sz w:val="24"/>
                <w:szCs w:val="24"/>
              </w:rPr>
            </w:pPr>
            <w:r>
              <w:rPr>
                <w:rFonts w:hint="eastAsia" w:ascii="仿宋" w:hAnsi="仿宋" w:eastAsia="仿宋" w:cs="仿宋"/>
                <w:sz w:val="24"/>
                <w:szCs w:val="24"/>
              </w:rPr>
              <w:t>（1）项目负责人同时具有高级信息项目管理师证书、软件设计师、数据库系统工程师（中级或以上的）的得3分，否则不得分；</w:t>
            </w:r>
          </w:p>
          <w:p w14:paraId="1B9163A7">
            <w:pPr>
              <w:spacing w:line="440" w:lineRule="exact"/>
              <w:rPr>
                <w:rFonts w:ascii="仿宋" w:hAnsi="仿宋" w:eastAsia="仿宋" w:cs="仿宋"/>
                <w:sz w:val="24"/>
                <w:szCs w:val="24"/>
              </w:rPr>
            </w:pPr>
            <w:r>
              <w:rPr>
                <w:rFonts w:hint="eastAsia" w:ascii="仿宋" w:hAnsi="仿宋" w:eastAsia="仿宋" w:cs="仿宋"/>
                <w:sz w:val="24"/>
                <w:szCs w:val="24"/>
              </w:rPr>
              <w:t>（2）项目组成员具有卫生专业技术资格证书（中级及以上）的得1分，最高得1分；</w:t>
            </w:r>
          </w:p>
          <w:p w14:paraId="6AEFD796">
            <w:pPr>
              <w:spacing w:line="440" w:lineRule="exact"/>
              <w:rPr>
                <w:rFonts w:ascii="仿宋" w:hAnsi="仿宋" w:eastAsia="仿宋" w:cs="仿宋"/>
                <w:sz w:val="24"/>
                <w:szCs w:val="24"/>
              </w:rPr>
            </w:pPr>
            <w:r>
              <w:rPr>
                <w:rFonts w:hint="eastAsia" w:ascii="仿宋" w:hAnsi="仿宋" w:eastAsia="仿宋" w:cs="仿宋"/>
                <w:sz w:val="24"/>
                <w:szCs w:val="24"/>
              </w:rPr>
              <w:t>（3）项目组成员具有统计专业技术资格证书（中级及以上）的得1分，最高得1分；</w:t>
            </w:r>
          </w:p>
          <w:p w14:paraId="7F5B2D8C">
            <w:pPr>
              <w:spacing w:line="440" w:lineRule="exact"/>
              <w:rPr>
                <w:rFonts w:ascii="仿宋" w:hAnsi="仿宋" w:eastAsia="仿宋" w:cs="仿宋"/>
                <w:sz w:val="24"/>
                <w:szCs w:val="24"/>
              </w:rPr>
            </w:pPr>
            <w:r>
              <w:rPr>
                <w:rFonts w:hint="eastAsia" w:ascii="仿宋" w:hAnsi="仿宋" w:eastAsia="仿宋" w:cs="仿宋"/>
                <w:sz w:val="24"/>
                <w:szCs w:val="24"/>
              </w:rPr>
              <w:t>（4）项目组成员具有软件设计师证书的得1分，最高得1分。</w:t>
            </w:r>
          </w:p>
          <w:p w14:paraId="7C9EF9F7">
            <w:pPr>
              <w:spacing w:line="440" w:lineRule="exact"/>
              <w:rPr>
                <w:rFonts w:ascii="仿宋" w:hAnsi="仿宋" w:eastAsia="仿宋" w:cs="仿宋"/>
                <w:color w:val="000000"/>
                <w:spacing w:val="-6"/>
                <w:sz w:val="24"/>
                <w:szCs w:val="24"/>
              </w:rPr>
            </w:pPr>
            <w:r>
              <w:rPr>
                <w:rFonts w:hint="eastAsia" w:ascii="仿宋" w:hAnsi="仿宋" w:eastAsia="仿宋" w:cs="仿宋"/>
                <w:b/>
                <w:bCs/>
                <w:sz w:val="24"/>
                <w:szCs w:val="24"/>
              </w:rPr>
              <w:t>注：提供符合上述要求人员的相关资质证书复印件及近三个月内任意一个月在本单位参保的社保缴费证明复印件，相同人员的证书不重复计分。</w:t>
            </w:r>
          </w:p>
        </w:tc>
        <w:tc>
          <w:tcPr>
            <w:tcW w:w="773" w:type="dxa"/>
            <w:noWrap w:val="0"/>
            <w:vAlign w:val="center"/>
          </w:tcPr>
          <w:p w14:paraId="52E86D27">
            <w:pPr>
              <w:spacing w:line="440" w:lineRule="exact"/>
              <w:jc w:val="center"/>
              <w:rPr>
                <w:rFonts w:ascii="仿宋" w:hAnsi="仿宋" w:eastAsia="仿宋" w:cs="仿宋"/>
                <w:sz w:val="24"/>
                <w:szCs w:val="24"/>
              </w:rPr>
            </w:pPr>
            <w:r>
              <w:rPr>
                <w:rFonts w:hint="eastAsia" w:ascii="仿宋" w:hAnsi="仿宋" w:eastAsia="仿宋" w:cs="仿宋"/>
                <w:sz w:val="24"/>
                <w:szCs w:val="24"/>
              </w:rPr>
              <w:t>6</w:t>
            </w:r>
          </w:p>
        </w:tc>
      </w:tr>
      <w:tr w14:paraId="0DC5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46BA43A3">
            <w:pPr>
              <w:spacing w:line="440" w:lineRule="exact"/>
              <w:jc w:val="center"/>
              <w:rPr>
                <w:rFonts w:ascii="仿宋" w:hAnsi="仿宋" w:eastAsia="仿宋" w:cs="仿宋"/>
                <w:sz w:val="24"/>
                <w:szCs w:val="24"/>
              </w:rPr>
            </w:pPr>
            <w:r>
              <w:rPr>
                <w:rFonts w:hint="eastAsia" w:ascii="仿宋" w:hAnsi="仿宋" w:eastAsia="仿宋" w:cs="仿宋"/>
                <w:sz w:val="24"/>
                <w:szCs w:val="24"/>
              </w:rPr>
              <w:t>7</w:t>
            </w:r>
          </w:p>
        </w:tc>
        <w:tc>
          <w:tcPr>
            <w:tcW w:w="1207" w:type="dxa"/>
            <w:noWrap w:val="0"/>
            <w:vAlign w:val="center"/>
          </w:tcPr>
          <w:p w14:paraId="151532BA">
            <w:pPr>
              <w:spacing w:line="440" w:lineRule="exact"/>
              <w:jc w:val="center"/>
              <w:rPr>
                <w:rFonts w:ascii="仿宋" w:hAnsi="仿宋" w:eastAsia="仿宋" w:cs="仿宋"/>
                <w:sz w:val="24"/>
                <w:szCs w:val="24"/>
              </w:rPr>
            </w:pPr>
            <w:r>
              <w:rPr>
                <w:rFonts w:hint="eastAsia" w:ascii="仿宋" w:hAnsi="仿宋" w:eastAsia="仿宋" w:cs="仿宋"/>
                <w:sz w:val="24"/>
                <w:szCs w:val="24"/>
              </w:rPr>
              <w:t>验收方案</w:t>
            </w:r>
          </w:p>
          <w:p w14:paraId="29452896">
            <w:pPr>
              <w:spacing w:line="440" w:lineRule="exact"/>
              <w:jc w:val="center"/>
              <w:rPr>
                <w:rFonts w:ascii="仿宋" w:hAnsi="仿宋" w:eastAsia="仿宋" w:cs="仿宋"/>
                <w:sz w:val="24"/>
                <w:szCs w:val="24"/>
              </w:rPr>
            </w:pPr>
            <w:r>
              <w:rPr>
                <w:rFonts w:hint="eastAsia" w:ascii="仿宋" w:hAnsi="仿宋" w:eastAsia="仿宋" w:cs="仿宋"/>
                <w:sz w:val="24"/>
                <w:szCs w:val="24"/>
              </w:rPr>
              <w:t>（3分）</w:t>
            </w:r>
          </w:p>
        </w:tc>
        <w:tc>
          <w:tcPr>
            <w:tcW w:w="6500" w:type="dxa"/>
            <w:noWrap w:val="0"/>
            <w:vAlign w:val="center"/>
          </w:tcPr>
          <w:p w14:paraId="52BBA094">
            <w:pPr>
              <w:spacing w:line="440" w:lineRule="exact"/>
              <w:rPr>
                <w:rFonts w:ascii="仿宋" w:hAnsi="仿宋" w:eastAsia="仿宋" w:cs="仿宋"/>
                <w:sz w:val="24"/>
                <w:szCs w:val="24"/>
              </w:rPr>
            </w:pPr>
            <w:r>
              <w:rPr>
                <w:rFonts w:hint="eastAsia" w:ascii="仿宋" w:hAnsi="仿宋" w:eastAsia="仿宋" w:cs="仿宋"/>
                <w:sz w:val="24"/>
                <w:szCs w:val="24"/>
              </w:rPr>
              <w:t>验收方案应详细阐述项目验收前提条件、验收程序、验收依据，以及验收的内容与标准等，方案应尽可能全面、详尽、合理、科学, 方案设计全面、详尽、合理、科学的得2.1-3.0分，方案设计基本合理、较详尽的得1.1-2.0分，方案设计一般得0.1-2.0，不提供或提供的方案不清晰的不得分。</w:t>
            </w:r>
          </w:p>
        </w:tc>
        <w:tc>
          <w:tcPr>
            <w:tcW w:w="773" w:type="dxa"/>
            <w:noWrap w:val="0"/>
            <w:vAlign w:val="center"/>
          </w:tcPr>
          <w:p w14:paraId="4F3022B9">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r>
      <w:tr w14:paraId="3070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4248A3C2">
            <w:pPr>
              <w:spacing w:line="440" w:lineRule="exact"/>
              <w:jc w:val="center"/>
              <w:rPr>
                <w:rFonts w:ascii="仿宋" w:hAnsi="仿宋" w:eastAsia="仿宋" w:cs="仿宋"/>
                <w:sz w:val="24"/>
                <w:szCs w:val="24"/>
              </w:rPr>
            </w:pPr>
            <w:r>
              <w:rPr>
                <w:rFonts w:hint="eastAsia" w:ascii="仿宋" w:hAnsi="仿宋" w:eastAsia="仿宋" w:cs="仿宋"/>
                <w:sz w:val="24"/>
                <w:szCs w:val="24"/>
              </w:rPr>
              <w:t>8</w:t>
            </w:r>
          </w:p>
        </w:tc>
        <w:tc>
          <w:tcPr>
            <w:tcW w:w="1207" w:type="dxa"/>
            <w:noWrap w:val="0"/>
            <w:vAlign w:val="center"/>
          </w:tcPr>
          <w:p w14:paraId="5658CAD4">
            <w:pPr>
              <w:spacing w:line="440" w:lineRule="exact"/>
              <w:jc w:val="center"/>
              <w:rPr>
                <w:rFonts w:ascii="仿宋" w:hAnsi="仿宋" w:eastAsia="仿宋" w:cs="仿宋"/>
                <w:sz w:val="24"/>
                <w:szCs w:val="24"/>
              </w:rPr>
            </w:pPr>
            <w:r>
              <w:rPr>
                <w:rFonts w:hint="eastAsia" w:ascii="仿宋" w:hAnsi="仿宋" w:eastAsia="仿宋" w:cs="仿宋"/>
                <w:sz w:val="24"/>
                <w:szCs w:val="24"/>
              </w:rPr>
              <w:t>培训方案（3分）</w:t>
            </w:r>
          </w:p>
        </w:tc>
        <w:tc>
          <w:tcPr>
            <w:tcW w:w="6500" w:type="dxa"/>
            <w:noWrap w:val="0"/>
            <w:vAlign w:val="center"/>
          </w:tcPr>
          <w:p w14:paraId="6841E222">
            <w:pPr>
              <w:spacing w:line="440" w:lineRule="exact"/>
              <w:rPr>
                <w:rFonts w:ascii="仿宋" w:hAnsi="仿宋" w:eastAsia="仿宋" w:cs="仿宋"/>
                <w:sz w:val="24"/>
                <w:szCs w:val="24"/>
              </w:rPr>
            </w:pPr>
            <w:r>
              <w:rPr>
                <w:rFonts w:hint="eastAsia" w:ascii="仿宋" w:hAnsi="仿宋" w:eastAsia="仿宋" w:cs="仿宋"/>
                <w:sz w:val="24"/>
                <w:szCs w:val="24"/>
              </w:rPr>
              <w:t>培训计划：包括培训内容、时间、地点、人次，费用计入总报价；系统计算机管理人员培训，重点培训为软件的安装、维护、调试、配置及使用技能；业务人员培训，重点对相应应用的操作、使用，0-3分。方案设计全面、详尽、合理、科学的得2.1-3.0分，方案设计基本合理、较详尽的得1.1-2.0分，方案设计一般得0.1-2.0，不提供或提供的方案不清晰的不得分。</w:t>
            </w:r>
          </w:p>
        </w:tc>
        <w:tc>
          <w:tcPr>
            <w:tcW w:w="773" w:type="dxa"/>
            <w:noWrap w:val="0"/>
            <w:vAlign w:val="center"/>
          </w:tcPr>
          <w:p w14:paraId="25FD6172">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r>
      <w:tr w14:paraId="7AF6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6699DCA9">
            <w:pPr>
              <w:spacing w:line="440" w:lineRule="exact"/>
              <w:jc w:val="center"/>
              <w:rPr>
                <w:rFonts w:ascii="仿宋" w:hAnsi="仿宋" w:eastAsia="仿宋" w:cs="仿宋"/>
                <w:sz w:val="24"/>
                <w:szCs w:val="24"/>
              </w:rPr>
            </w:pPr>
            <w:r>
              <w:rPr>
                <w:rFonts w:hint="eastAsia" w:ascii="仿宋" w:hAnsi="仿宋" w:eastAsia="仿宋" w:cs="仿宋"/>
                <w:sz w:val="24"/>
                <w:szCs w:val="24"/>
              </w:rPr>
              <w:t>9</w:t>
            </w:r>
          </w:p>
        </w:tc>
        <w:tc>
          <w:tcPr>
            <w:tcW w:w="1207" w:type="dxa"/>
            <w:noWrap w:val="0"/>
            <w:vAlign w:val="center"/>
          </w:tcPr>
          <w:p w14:paraId="6026A77B">
            <w:pPr>
              <w:spacing w:line="440" w:lineRule="exact"/>
              <w:jc w:val="center"/>
              <w:rPr>
                <w:rFonts w:ascii="仿宋" w:hAnsi="仿宋" w:eastAsia="仿宋" w:cs="仿宋"/>
                <w:sz w:val="24"/>
                <w:szCs w:val="24"/>
              </w:rPr>
            </w:pPr>
            <w:r>
              <w:rPr>
                <w:rFonts w:hint="eastAsia" w:ascii="仿宋" w:hAnsi="仿宋" w:eastAsia="仿宋" w:cs="仿宋"/>
                <w:sz w:val="24"/>
                <w:szCs w:val="24"/>
              </w:rPr>
              <w:t>售后服务方案</w:t>
            </w:r>
            <w:r>
              <w:rPr>
                <w:rFonts w:hint="eastAsia" w:ascii="仿宋" w:hAnsi="仿宋" w:eastAsia="仿宋" w:cs="仿宋"/>
                <w:sz w:val="24"/>
                <w:szCs w:val="24"/>
              </w:rPr>
              <w:br w:type="textWrapping"/>
            </w:r>
            <w:r>
              <w:rPr>
                <w:rFonts w:hint="eastAsia" w:ascii="仿宋" w:hAnsi="仿宋" w:eastAsia="仿宋" w:cs="仿宋"/>
                <w:sz w:val="24"/>
                <w:szCs w:val="24"/>
              </w:rPr>
              <w:t>（4分）</w:t>
            </w:r>
          </w:p>
        </w:tc>
        <w:tc>
          <w:tcPr>
            <w:tcW w:w="6500" w:type="dxa"/>
            <w:noWrap w:val="0"/>
            <w:vAlign w:val="center"/>
          </w:tcPr>
          <w:p w14:paraId="4AC2E62C">
            <w:pPr>
              <w:spacing w:line="440" w:lineRule="exact"/>
              <w:rPr>
                <w:rFonts w:ascii="仿宋" w:hAnsi="仿宋" w:eastAsia="仿宋" w:cs="仿宋"/>
                <w:sz w:val="24"/>
                <w:szCs w:val="24"/>
              </w:rPr>
            </w:pPr>
            <w:r>
              <w:rPr>
                <w:rFonts w:hint="eastAsia" w:ascii="仿宋" w:hAnsi="仿宋" w:eastAsia="仿宋" w:cs="仿宋"/>
                <w:sz w:val="24"/>
                <w:szCs w:val="24"/>
              </w:rPr>
              <w:t>投标人提供的售后服务方案，包括但不限于售后服务承诺、服务保障措施、故障排除流程及维护期内外的后续技术支持和维护能力方案等内容，0-4分。方案设计全面、详尽、合理、科学的得3.1-4.0分，方案设计基本合理、较详尽的得2.1-3.0分，方案设计一般得0.1-2.0，不提供或提供的方案不清晰的不得分。</w:t>
            </w:r>
          </w:p>
        </w:tc>
        <w:tc>
          <w:tcPr>
            <w:tcW w:w="773" w:type="dxa"/>
            <w:noWrap w:val="0"/>
            <w:vAlign w:val="center"/>
          </w:tcPr>
          <w:p w14:paraId="043BEE39">
            <w:pPr>
              <w:spacing w:line="440" w:lineRule="exact"/>
              <w:jc w:val="center"/>
              <w:rPr>
                <w:rFonts w:ascii="仿宋" w:hAnsi="仿宋" w:eastAsia="仿宋" w:cs="仿宋"/>
                <w:sz w:val="24"/>
                <w:szCs w:val="24"/>
              </w:rPr>
            </w:pPr>
            <w:r>
              <w:rPr>
                <w:rFonts w:hint="eastAsia" w:ascii="仿宋" w:hAnsi="仿宋" w:eastAsia="仿宋" w:cs="仿宋"/>
                <w:sz w:val="24"/>
                <w:szCs w:val="24"/>
              </w:rPr>
              <w:t>4</w:t>
            </w:r>
          </w:p>
        </w:tc>
      </w:tr>
    </w:tbl>
    <w:p w14:paraId="21156C47">
      <w:pPr>
        <w:spacing w:line="500" w:lineRule="exact"/>
        <w:jc w:val="left"/>
        <w:rPr>
          <w:rFonts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4AD0D1CF">
      <w:pPr>
        <w:spacing w:line="400" w:lineRule="exact"/>
        <w:rPr>
          <w:rFonts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14:paraId="79455940">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69854171">
      <w:pPr>
        <w:spacing w:line="400" w:lineRule="exact"/>
        <w:rPr>
          <w:rFonts w:ascii="仿宋" w:eastAsia="仿宋"/>
          <w:bCs/>
          <w:iCs/>
          <w:sz w:val="24"/>
        </w:rPr>
      </w:pPr>
      <w:r>
        <w:rPr>
          <w:rFonts w:hint="eastAsia" w:ascii="仿宋" w:eastAsia="仿宋"/>
          <w:bCs/>
          <w:iCs/>
          <w:sz w:val="24"/>
        </w:rPr>
        <w:t>2.2.2其他投标人的价格分统一按照下列公式计算：</w:t>
      </w:r>
    </w:p>
    <w:p w14:paraId="2F37C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14:paraId="688423EF">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30</w:t>
      </w:r>
    </w:p>
    <w:p w14:paraId="67E41589">
      <w:pPr>
        <w:widowControl/>
        <w:snapToGrid w:val="0"/>
        <w:spacing w:line="480" w:lineRule="exact"/>
        <w:rPr>
          <w:rFonts w:ascii="仿宋" w:eastAsia="仿宋"/>
          <w:bCs/>
          <w:iCs/>
          <w:sz w:val="24"/>
          <w:u w:val="single"/>
        </w:rPr>
      </w:pPr>
    </w:p>
    <w:p w14:paraId="61AA99FF">
      <w:pPr>
        <w:pStyle w:val="3"/>
        <w:rPr>
          <w:rFonts w:ascii="仿宋"/>
        </w:rPr>
      </w:pPr>
      <w:bookmarkStart w:id="58" w:name="_Toc15148"/>
    </w:p>
    <w:p w14:paraId="03B64769">
      <w:pPr>
        <w:keepNext/>
        <w:keepLines/>
        <w:jc w:val="center"/>
        <w:rPr>
          <w:rFonts w:ascii="仿宋"/>
        </w:rPr>
      </w:pPr>
      <w:r>
        <w:rPr>
          <w:rFonts w:hint="eastAsia" w:ascii="仿宋"/>
        </w:rPr>
        <w:br w:type="page"/>
      </w:r>
    </w:p>
    <w:p w14:paraId="4D72411F">
      <w:pPr>
        <w:pStyle w:val="3"/>
        <w:rPr>
          <w:rFonts w:ascii="仿宋"/>
        </w:rPr>
      </w:pPr>
      <w:r>
        <w:rPr>
          <w:rFonts w:hint="eastAsia" w:ascii="仿宋"/>
        </w:rPr>
        <w:t>第六章  投标文件格式附件</w:t>
      </w:r>
      <w:bookmarkEnd w:id="58"/>
    </w:p>
    <w:p w14:paraId="3B93E734">
      <w:pPr>
        <w:widowControl/>
        <w:snapToGrid w:val="0"/>
        <w:spacing w:line="480" w:lineRule="exact"/>
        <w:ind w:firstLine="480" w:firstLineChars="200"/>
        <w:rPr>
          <w:rFonts w:ascii="仿宋" w:eastAsia="仿宋"/>
          <w:kern w:val="0"/>
          <w:sz w:val="24"/>
        </w:rPr>
      </w:pPr>
      <w:r>
        <w:rPr>
          <w:rFonts w:hint="eastAsia" w:ascii="仿宋" w:eastAsia="仿宋"/>
          <w:kern w:val="0"/>
          <w:sz w:val="24"/>
        </w:rPr>
        <w:t>投标文件制作请按照本采购文件“第二章 投标人须知”第三部分“投标文件”的规定制作，有关格式附件如下：</w:t>
      </w:r>
    </w:p>
    <w:p w14:paraId="713FF165">
      <w:pPr>
        <w:jc w:val="left"/>
        <w:rPr>
          <w:rFonts w:ascii="仿宋" w:eastAsia="仿宋"/>
          <w:b/>
          <w:bCs/>
          <w:sz w:val="30"/>
          <w:szCs w:val="30"/>
        </w:rPr>
      </w:pPr>
      <w:r>
        <w:rPr>
          <w:rFonts w:hint="eastAsia" w:ascii="仿宋" w:eastAsia="仿宋"/>
          <w:b/>
          <w:bCs/>
          <w:sz w:val="30"/>
          <w:szCs w:val="30"/>
        </w:rPr>
        <w:br w:type="page"/>
      </w:r>
    </w:p>
    <w:p w14:paraId="0FE91CA8">
      <w:pPr>
        <w:snapToGrid w:val="0"/>
        <w:spacing w:before="156"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47F37678">
      <w:pPr>
        <w:snapToGrid w:val="0"/>
        <w:spacing w:before="156" w:beforeLines="50" w:after="50"/>
        <w:jc w:val="right"/>
        <w:rPr>
          <w:rFonts w:ascii="仿宋" w:eastAsia="仿宋"/>
          <w:b/>
          <w:sz w:val="30"/>
          <w:szCs w:val="30"/>
        </w:rPr>
      </w:pPr>
    </w:p>
    <w:p w14:paraId="3073A808">
      <w:pPr>
        <w:snapToGrid w:val="0"/>
        <w:spacing w:before="156" w:beforeLines="50" w:after="50"/>
        <w:jc w:val="right"/>
        <w:rPr>
          <w:rFonts w:ascii="仿宋" w:eastAsia="仿宋"/>
          <w:bCs/>
          <w:sz w:val="30"/>
          <w:szCs w:val="30"/>
        </w:rPr>
      </w:pPr>
    </w:p>
    <w:p w14:paraId="74E6D9DD">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51AB0445">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031692C2">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57599CB9">
      <w:pPr>
        <w:spacing w:line="1200" w:lineRule="exact"/>
        <w:ind w:right="6"/>
        <w:jc w:val="center"/>
        <w:rPr>
          <w:rFonts w:ascii="仿宋" w:eastAsia="仿宋"/>
          <w:sz w:val="72"/>
          <w:szCs w:val="72"/>
        </w:rPr>
      </w:pPr>
    </w:p>
    <w:p w14:paraId="7BC8C7A0">
      <w:pPr>
        <w:spacing w:line="1200" w:lineRule="exact"/>
        <w:ind w:right="6"/>
        <w:jc w:val="center"/>
        <w:rPr>
          <w:rFonts w:ascii="仿宋" w:eastAsia="仿宋"/>
          <w:sz w:val="72"/>
          <w:szCs w:val="72"/>
        </w:rPr>
      </w:pPr>
    </w:p>
    <w:p w14:paraId="6050C771">
      <w:pPr>
        <w:spacing w:line="1200" w:lineRule="exact"/>
        <w:ind w:right="6"/>
        <w:jc w:val="center"/>
        <w:rPr>
          <w:rFonts w:ascii="仿宋" w:eastAsia="仿宋"/>
          <w:sz w:val="72"/>
          <w:szCs w:val="72"/>
        </w:rPr>
      </w:pPr>
      <w:r>
        <w:rPr>
          <w:rFonts w:hint="eastAsia" w:ascii="仿宋" w:eastAsia="仿宋"/>
          <w:sz w:val="72"/>
          <w:szCs w:val="72"/>
        </w:rPr>
        <w:t>资</w:t>
      </w:r>
    </w:p>
    <w:p w14:paraId="3F0B4A04">
      <w:pPr>
        <w:spacing w:line="1200" w:lineRule="exact"/>
        <w:ind w:right="6"/>
        <w:jc w:val="center"/>
        <w:rPr>
          <w:rFonts w:ascii="仿宋" w:eastAsia="仿宋"/>
          <w:sz w:val="72"/>
          <w:szCs w:val="72"/>
        </w:rPr>
      </w:pPr>
      <w:r>
        <w:rPr>
          <w:rFonts w:hint="eastAsia" w:ascii="仿宋" w:eastAsia="仿宋"/>
          <w:sz w:val="72"/>
          <w:szCs w:val="72"/>
        </w:rPr>
        <w:t>格</w:t>
      </w:r>
    </w:p>
    <w:p w14:paraId="27EEABB3">
      <w:pPr>
        <w:spacing w:line="1200" w:lineRule="exact"/>
        <w:ind w:right="6"/>
        <w:jc w:val="center"/>
        <w:rPr>
          <w:rFonts w:ascii="仿宋" w:eastAsia="仿宋"/>
          <w:sz w:val="72"/>
          <w:szCs w:val="72"/>
        </w:rPr>
      </w:pPr>
      <w:r>
        <w:rPr>
          <w:rFonts w:hint="eastAsia" w:ascii="仿宋" w:eastAsia="仿宋"/>
          <w:sz w:val="72"/>
          <w:szCs w:val="72"/>
        </w:rPr>
        <w:t>文</w:t>
      </w:r>
    </w:p>
    <w:p w14:paraId="4472CF46">
      <w:pPr>
        <w:spacing w:line="1200" w:lineRule="exact"/>
        <w:ind w:right="6"/>
        <w:jc w:val="center"/>
        <w:rPr>
          <w:rFonts w:ascii="仿宋" w:eastAsia="仿宋"/>
          <w:sz w:val="72"/>
          <w:szCs w:val="72"/>
        </w:rPr>
      </w:pPr>
      <w:r>
        <w:rPr>
          <w:rFonts w:hint="eastAsia" w:ascii="仿宋" w:eastAsia="仿宋"/>
          <w:sz w:val="72"/>
          <w:szCs w:val="72"/>
        </w:rPr>
        <w:t>件</w:t>
      </w:r>
    </w:p>
    <w:p w14:paraId="373821D4">
      <w:pPr>
        <w:spacing w:line="1200" w:lineRule="exact"/>
        <w:ind w:right="6"/>
        <w:jc w:val="center"/>
        <w:rPr>
          <w:rFonts w:ascii="仿宋" w:eastAsia="仿宋"/>
          <w:sz w:val="72"/>
          <w:szCs w:val="72"/>
        </w:rPr>
      </w:pPr>
    </w:p>
    <w:p w14:paraId="2A72EEC9">
      <w:pPr>
        <w:spacing w:line="500" w:lineRule="exact"/>
        <w:ind w:right="7"/>
        <w:jc w:val="center"/>
        <w:rPr>
          <w:rFonts w:ascii="仿宋" w:eastAsia="仿宋"/>
          <w:sz w:val="36"/>
          <w:szCs w:val="36"/>
        </w:rPr>
      </w:pPr>
    </w:p>
    <w:p w14:paraId="67833FEB">
      <w:pPr>
        <w:spacing w:line="500" w:lineRule="exact"/>
        <w:ind w:right="7"/>
        <w:jc w:val="center"/>
        <w:rPr>
          <w:rFonts w:ascii="仿宋" w:eastAsia="仿宋"/>
          <w:sz w:val="36"/>
          <w:szCs w:val="36"/>
        </w:rPr>
      </w:pPr>
    </w:p>
    <w:p w14:paraId="4B85E966">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341E1760">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6A7E6406">
      <w:pPr>
        <w:spacing w:line="400" w:lineRule="exact"/>
        <w:ind w:right="-110"/>
        <w:rPr>
          <w:rFonts w:ascii="仿宋" w:eastAsia="仿宋"/>
          <w:spacing w:val="40"/>
          <w:sz w:val="30"/>
          <w:szCs w:val="30"/>
        </w:rPr>
      </w:pPr>
      <w:r>
        <w:rPr>
          <w:rFonts w:hint="eastAsia" w:ascii="仿宋" w:eastAsia="仿宋"/>
          <w:spacing w:val="40"/>
          <w:sz w:val="30"/>
          <w:szCs w:val="30"/>
        </w:rPr>
        <w:t>日    期：</w:t>
      </w:r>
    </w:p>
    <w:p w14:paraId="500008AB">
      <w:pPr>
        <w:snapToGrid w:val="0"/>
        <w:spacing w:before="156" w:beforeLines="50" w:after="50"/>
        <w:jc w:val="left"/>
        <w:rPr>
          <w:rFonts w:ascii="仿宋" w:eastAsia="仿宋"/>
          <w:b/>
          <w:bCs/>
          <w:sz w:val="30"/>
          <w:szCs w:val="30"/>
        </w:rPr>
      </w:pPr>
      <w:r>
        <w:rPr>
          <w:rFonts w:hint="eastAsia" w:ascii="仿宋" w:eastAsia="仿宋"/>
          <w:b/>
          <w:bCs/>
          <w:sz w:val="30"/>
          <w:szCs w:val="30"/>
        </w:rPr>
        <w:t>附件2：资格文件目录</w:t>
      </w:r>
    </w:p>
    <w:p w14:paraId="33EF9D8B">
      <w:pPr>
        <w:snapToGrid w:val="0"/>
        <w:spacing w:before="156" w:beforeLines="50" w:after="50"/>
        <w:jc w:val="center"/>
        <w:rPr>
          <w:rFonts w:ascii="仿宋" w:eastAsia="仿宋" w:cs="仿宋_GB2312"/>
          <w:sz w:val="30"/>
          <w:szCs w:val="30"/>
        </w:rPr>
      </w:pPr>
      <w:bookmarkStart w:id="59" w:name="_Toc64369786"/>
      <w:r>
        <w:rPr>
          <w:rFonts w:hint="eastAsia" w:ascii="仿宋" w:eastAsia="仿宋" w:cs="仿宋_GB2312"/>
          <w:sz w:val="30"/>
          <w:szCs w:val="30"/>
        </w:rPr>
        <w:t>目 录</w:t>
      </w:r>
      <w:bookmarkEnd w:id="59"/>
    </w:p>
    <w:p w14:paraId="0994E931">
      <w:pPr>
        <w:pStyle w:val="19"/>
        <w:spacing w:line="360" w:lineRule="auto"/>
        <w:ind w:firstLine="0" w:firstLineChars="0"/>
        <w:jc w:val="left"/>
        <w:rPr>
          <w:rFonts w:ascii="仿宋" w:eastAsia="仿宋" w:cs="仿宋_GB2312"/>
        </w:rPr>
      </w:pPr>
      <w:r>
        <w:rPr>
          <w:rFonts w:hint="eastAsia" w:ascii="仿宋" w:eastAsia="仿宋" w:cs="仿宋_GB2312"/>
        </w:rPr>
        <w:t>1.投标声明函 …………………………………………………………………（页码）</w:t>
      </w:r>
    </w:p>
    <w:p w14:paraId="2766023A">
      <w:pPr>
        <w:pStyle w:val="19"/>
        <w:spacing w:line="360" w:lineRule="auto"/>
        <w:ind w:firstLine="0" w:firstLineChars="0"/>
        <w:jc w:val="left"/>
        <w:rPr>
          <w:rFonts w:ascii="仿宋" w:eastAsia="仿宋" w:cs="仿宋_GB2312"/>
        </w:rPr>
      </w:pPr>
      <w:r>
        <w:rPr>
          <w:rFonts w:hint="eastAsia" w:ascii="仿宋" w:eastAsia="仿宋" w:cs="仿宋_GB2312"/>
        </w:rPr>
        <w:t>2.联合体协议书（如有）……………………………………………………（页码）</w:t>
      </w:r>
    </w:p>
    <w:p w14:paraId="4E6AA0C4">
      <w:pPr>
        <w:pStyle w:val="19"/>
        <w:spacing w:line="360" w:lineRule="auto"/>
        <w:ind w:firstLine="0" w:firstLineChars="0"/>
        <w:jc w:val="left"/>
        <w:rPr>
          <w:rFonts w:ascii="仿宋" w:eastAsia="仿宋" w:cs="仿宋_GB2312"/>
        </w:rPr>
      </w:pPr>
      <w:r>
        <w:rPr>
          <w:rFonts w:hint="eastAsia" w:ascii="仿宋" w:eastAsia="仿宋" w:cs="仿宋_GB2312"/>
        </w:rPr>
        <w:t>3.分包意向协议（如有）………………………………………………………（页码）</w:t>
      </w:r>
    </w:p>
    <w:p w14:paraId="23CC5F3E">
      <w:pPr>
        <w:pStyle w:val="19"/>
        <w:spacing w:line="360" w:lineRule="auto"/>
        <w:ind w:firstLine="0" w:firstLineChars="0"/>
        <w:jc w:val="left"/>
        <w:rPr>
          <w:rFonts w:ascii="仿宋" w:eastAsia="仿宋" w:cs="仿宋_GB2312"/>
        </w:rPr>
      </w:pPr>
      <w:r>
        <w:rPr>
          <w:rFonts w:hint="eastAsia" w:ascii="仿宋" w:eastAsia="仿宋" w:cs="仿宋_GB2312"/>
        </w:rPr>
        <w:t>4.法定代表人授权委托书……………………………………………………（页码）</w:t>
      </w:r>
    </w:p>
    <w:p w14:paraId="39BB26B6">
      <w:pPr>
        <w:pStyle w:val="19"/>
        <w:spacing w:line="360" w:lineRule="auto"/>
        <w:ind w:firstLine="0" w:firstLineChars="0"/>
        <w:jc w:val="left"/>
        <w:rPr>
          <w:rFonts w:ascii="仿宋" w:eastAsia="仿宋" w:cs="仿宋_GB2312"/>
        </w:rPr>
      </w:pPr>
      <w:r>
        <w:rPr>
          <w:rFonts w:hint="eastAsia" w:ascii="仿宋" w:eastAsia="仿宋" w:cs="仿宋_GB2312"/>
        </w:rPr>
        <w:t>5.法定代表人及其授权代表身份证…………………………………………（页码）</w:t>
      </w:r>
    </w:p>
    <w:p w14:paraId="643EB7E8">
      <w:pPr>
        <w:pStyle w:val="19"/>
        <w:spacing w:line="360" w:lineRule="auto"/>
        <w:ind w:firstLine="0" w:firstLineChars="0"/>
        <w:jc w:val="left"/>
        <w:rPr>
          <w:rFonts w:ascii="仿宋" w:eastAsia="仿宋" w:cs="仿宋_GB2312"/>
        </w:rPr>
      </w:pPr>
      <w:r>
        <w:rPr>
          <w:rFonts w:hint="eastAsia" w:ascii="仿宋" w:eastAsia="仿宋" w:cs="仿宋_GB2312"/>
        </w:rPr>
        <w:t>6.资格条件证明材料</w:t>
      </w:r>
    </w:p>
    <w:p w14:paraId="6467C461">
      <w:pPr>
        <w:pStyle w:val="19"/>
        <w:spacing w:line="360" w:lineRule="auto"/>
        <w:ind w:firstLine="240" w:firstLineChars="100"/>
        <w:jc w:val="left"/>
        <w:rPr>
          <w:rFonts w:ascii="仿宋" w:eastAsia="仿宋" w:cs="仿宋_GB2312"/>
        </w:rPr>
      </w:pPr>
      <w:bookmarkStart w:id="60" w:name="_Toc64369787"/>
      <w:r>
        <w:rPr>
          <w:rFonts w:hint="eastAsia" w:ascii="仿宋" w:eastAsia="仿宋" w:cs="仿宋_GB2312"/>
        </w:rPr>
        <w:t>6.1营业执照(或事业法人登记证书)………………………………………（页码）</w:t>
      </w:r>
      <w:bookmarkEnd w:id="60"/>
    </w:p>
    <w:p w14:paraId="1DED111B">
      <w:pPr>
        <w:pStyle w:val="19"/>
        <w:spacing w:line="360" w:lineRule="auto"/>
        <w:ind w:firstLine="240" w:firstLineChars="100"/>
        <w:jc w:val="left"/>
        <w:rPr>
          <w:rFonts w:ascii="仿宋" w:eastAsia="仿宋" w:cs="仿宋_GB2312"/>
        </w:rPr>
      </w:pPr>
      <w:r>
        <w:rPr>
          <w:rFonts w:hint="eastAsia" w:ascii="仿宋" w:eastAsia="仿宋" w:cs="仿宋_GB2312"/>
        </w:rPr>
        <w:t>6.2</w:t>
      </w:r>
      <w:bookmarkStart w:id="61" w:name="_Toc64369788"/>
      <w:r>
        <w:rPr>
          <w:rFonts w:hint="eastAsia" w:ascii="仿宋" w:eastAsia="仿宋" w:cs="仿宋_GB2312"/>
        </w:rPr>
        <w:t>特定资格条件的有关证明材料（如有）………………………………（页码）</w:t>
      </w:r>
      <w:bookmarkEnd w:id="61"/>
    </w:p>
    <w:p w14:paraId="1D78EB8E">
      <w:pPr>
        <w:pStyle w:val="19"/>
        <w:spacing w:line="360" w:lineRule="auto"/>
        <w:ind w:firstLine="0" w:firstLineChars="0"/>
        <w:jc w:val="left"/>
        <w:rPr>
          <w:rFonts w:ascii="仿宋" w:eastAsia="仿宋" w:cs="仿宋_GB2312"/>
        </w:rPr>
      </w:pPr>
      <w:r>
        <w:rPr>
          <w:rFonts w:hint="eastAsia" w:ascii="仿宋" w:eastAsia="仿宋" w:cs="仿宋_GB2312"/>
        </w:rPr>
        <w:t>7.中小企业声明函</w:t>
      </w:r>
      <w:bookmarkStart w:id="62" w:name="OLE_LINK1"/>
      <w:r>
        <w:rPr>
          <w:rFonts w:hint="eastAsia" w:ascii="仿宋" w:eastAsia="仿宋" w:cs="仿宋_GB2312"/>
        </w:rPr>
        <w:t>……………</w:t>
      </w:r>
      <w:bookmarkEnd w:id="62"/>
      <w:r>
        <w:rPr>
          <w:rFonts w:hint="eastAsia" w:ascii="仿宋" w:eastAsia="仿宋" w:cs="仿宋_GB2312"/>
        </w:rPr>
        <w:t>…………………………………………………（页码）</w:t>
      </w:r>
    </w:p>
    <w:p w14:paraId="4B033EC1">
      <w:pPr>
        <w:pStyle w:val="19"/>
        <w:spacing w:line="360" w:lineRule="auto"/>
        <w:ind w:firstLine="0" w:firstLineChars="0"/>
        <w:jc w:val="left"/>
        <w:rPr>
          <w:rFonts w:ascii="仿宋" w:eastAsia="仿宋" w:cs="仿宋_GB2312"/>
        </w:rPr>
      </w:pPr>
      <w:r>
        <w:rPr>
          <w:rFonts w:hint="eastAsia" w:ascii="仿宋" w:eastAsia="仿宋" w:cs="仿宋_GB2312"/>
        </w:rPr>
        <w:t>8.残疾人福利性单位声明函（如有）………………………………………（页码）</w:t>
      </w:r>
    </w:p>
    <w:p w14:paraId="2908D666">
      <w:pPr>
        <w:spacing w:line="360" w:lineRule="auto"/>
        <w:jc w:val="left"/>
        <w:rPr>
          <w:rFonts w:ascii="仿宋" w:eastAsia="仿宋" w:cs="仿宋_GB2312"/>
          <w:b/>
          <w:bCs/>
          <w:sz w:val="24"/>
        </w:rPr>
      </w:pPr>
    </w:p>
    <w:p w14:paraId="63FADDAA">
      <w:pPr>
        <w:spacing w:line="360" w:lineRule="auto"/>
        <w:jc w:val="left"/>
        <w:rPr>
          <w:rFonts w:ascii="仿宋" w:eastAsia="仿宋" w:cs="仿宋_GB2312"/>
          <w:b/>
          <w:bCs/>
          <w:sz w:val="24"/>
        </w:rPr>
      </w:pPr>
      <w:r>
        <w:rPr>
          <w:rFonts w:hint="eastAsia" w:ascii="仿宋" w:eastAsia="仿宋" w:cs="仿宋_GB2312"/>
          <w:b/>
          <w:bCs/>
          <w:sz w:val="24"/>
        </w:rPr>
        <w:t>注：“资格文件”需按采购文件要求的内容制作，复印件需加盖供应商公章，未按要求签署、盖章或内容实质性偏离的，资格审查不通过</w:t>
      </w:r>
    </w:p>
    <w:p w14:paraId="7755E780">
      <w:pPr>
        <w:pageBreakBefore/>
        <w:rPr>
          <w:rFonts w:ascii="仿宋" w:eastAsia="仿宋"/>
          <w:b/>
          <w:sz w:val="28"/>
          <w:szCs w:val="28"/>
        </w:rPr>
      </w:pPr>
      <w:r>
        <w:rPr>
          <w:rFonts w:hint="eastAsia" w:ascii="仿宋" w:eastAsia="仿宋"/>
          <w:b/>
          <w:sz w:val="28"/>
          <w:szCs w:val="28"/>
        </w:rPr>
        <w:t>附件3：投标声明函</w:t>
      </w:r>
    </w:p>
    <w:p w14:paraId="4A20BB74">
      <w:pPr>
        <w:pStyle w:val="22"/>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32FA7E98">
      <w:pPr>
        <w:pStyle w:val="22"/>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08A9092E">
      <w:pPr>
        <w:pStyle w:val="22"/>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14:paraId="716351FE">
      <w:pPr>
        <w:pStyle w:val="5"/>
        <w:spacing w:afterLines="0" w:line="440" w:lineRule="exact"/>
        <w:ind w:left="0" w:firstLine="420" w:firstLineChars="200"/>
        <w:rPr>
          <w:rFonts w:ascii="仿宋" w:eastAsia="仿宋"/>
          <w:szCs w:val="24"/>
        </w:rPr>
      </w:pPr>
      <w:r>
        <w:rPr>
          <w:rFonts w:hint="eastAsia" w:ascii="仿宋" w:eastAsia="仿宋"/>
          <w:szCs w:val="24"/>
        </w:rPr>
        <w:t>2.若我方中标，承诺按采购文件、投标文件和合同的规定履行责任和义务。</w:t>
      </w:r>
    </w:p>
    <w:p w14:paraId="201902D5">
      <w:pPr>
        <w:pStyle w:val="22"/>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失信主体、政府采购严重违法失信行为记录名单。</w:t>
      </w:r>
    </w:p>
    <w:p w14:paraId="050DA262">
      <w:pPr>
        <w:pStyle w:val="22"/>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1C4B29F">
      <w:pPr>
        <w:pStyle w:val="22"/>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14:paraId="3B3A56B7">
      <w:pPr>
        <w:pStyle w:val="5"/>
        <w:spacing w:afterLines="0" w:line="440" w:lineRule="exact"/>
        <w:ind w:left="0" w:firstLine="42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26E55B46">
      <w:pPr>
        <w:pStyle w:val="22"/>
        <w:spacing w:afterLines="0" w:line="440" w:lineRule="exact"/>
        <w:ind w:firstLine="480"/>
        <w:rPr>
          <w:rFonts w:ascii="仿宋" w:eastAsia="仿宋"/>
          <w:szCs w:val="24"/>
        </w:rPr>
      </w:pPr>
      <w:r>
        <w:rPr>
          <w:rFonts w:hint="eastAsia" w:ascii="仿宋" w:eastAsia="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4AAE4E76">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14:paraId="518CA8D3">
      <w:pPr>
        <w:pStyle w:val="22"/>
        <w:spacing w:afterLines="0" w:line="440" w:lineRule="exact"/>
        <w:ind w:firstLine="480"/>
        <w:rPr>
          <w:rFonts w:ascii="仿宋" w:eastAsia="仿宋"/>
          <w:szCs w:val="24"/>
        </w:rPr>
      </w:pPr>
    </w:p>
    <w:p w14:paraId="331EE6B9">
      <w:pPr>
        <w:pStyle w:val="22"/>
        <w:spacing w:afterLines="0" w:line="440" w:lineRule="exact"/>
        <w:ind w:firstLine="480"/>
        <w:rPr>
          <w:rFonts w:ascii="仿宋" w:eastAsia="仿宋"/>
          <w:szCs w:val="24"/>
        </w:rPr>
      </w:pPr>
      <w:r>
        <w:rPr>
          <w:rFonts w:hint="eastAsia" w:ascii="仿宋" w:eastAsia="仿宋"/>
          <w:szCs w:val="24"/>
        </w:rPr>
        <w:t>法定代表人或其授权代表(签字或签章)：</w:t>
      </w:r>
    </w:p>
    <w:p w14:paraId="63CB9F17">
      <w:pPr>
        <w:pStyle w:val="22"/>
        <w:spacing w:afterLines="0" w:line="440" w:lineRule="exact"/>
        <w:ind w:firstLine="480"/>
        <w:rPr>
          <w:rFonts w:ascii="仿宋" w:eastAsia="仿宋"/>
          <w:szCs w:val="24"/>
        </w:rPr>
      </w:pPr>
    </w:p>
    <w:p w14:paraId="688D589D">
      <w:pPr>
        <w:pStyle w:val="22"/>
        <w:spacing w:afterLines="0" w:line="440" w:lineRule="exact"/>
        <w:ind w:firstLine="480"/>
        <w:rPr>
          <w:rFonts w:ascii="仿宋" w:eastAsia="仿宋"/>
          <w:szCs w:val="24"/>
        </w:rPr>
      </w:pPr>
      <w:r>
        <w:rPr>
          <w:rFonts w:hint="eastAsia" w:ascii="仿宋" w:eastAsia="仿宋"/>
          <w:szCs w:val="24"/>
        </w:rPr>
        <w:t xml:space="preserve">投标人(盖章)：　　　　　　　　　　　　　　　　　　　　日期：     </w:t>
      </w:r>
    </w:p>
    <w:p w14:paraId="7970197D">
      <w:pPr>
        <w:pStyle w:val="22"/>
        <w:spacing w:afterLines="0" w:line="440" w:lineRule="exact"/>
        <w:ind w:firstLine="480"/>
        <w:rPr>
          <w:rFonts w:ascii="仿宋" w:eastAsia="仿宋"/>
          <w:szCs w:val="24"/>
        </w:rPr>
      </w:pPr>
    </w:p>
    <w:p w14:paraId="59D32F94">
      <w:pPr>
        <w:pStyle w:val="22"/>
        <w:spacing w:afterLines="0" w:line="440" w:lineRule="exact"/>
        <w:ind w:firstLine="480"/>
        <w:rPr>
          <w:rFonts w:ascii="仿宋" w:eastAsia="仿宋"/>
          <w:szCs w:val="24"/>
        </w:rPr>
      </w:pPr>
    </w:p>
    <w:p w14:paraId="33A19928">
      <w:pPr>
        <w:pStyle w:val="22"/>
        <w:spacing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14:paraId="165C026A">
      <w:pPr>
        <w:pStyle w:val="7"/>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14:paraId="093BDE97">
      <w:pPr>
        <w:pStyle w:val="7"/>
        <w:overflowPunct w:val="0"/>
        <w:spacing w:line="460" w:lineRule="exact"/>
        <w:ind w:firstLine="513" w:firstLineChars="214"/>
        <w:rPr>
          <w:rFonts w:ascii="仿宋" w:eastAsia="仿宋"/>
          <w:sz w:val="24"/>
          <w:szCs w:val="24"/>
        </w:rPr>
      </w:pPr>
      <w:r>
        <w:rPr>
          <w:rFonts w:hint="eastAsia" w:ascii="仿宋" w:eastAsia="仿宋"/>
          <w:sz w:val="24"/>
          <w:szCs w:val="24"/>
        </w:rPr>
        <w:t>甲方：</w:t>
      </w:r>
    </w:p>
    <w:p w14:paraId="715FD928">
      <w:pPr>
        <w:pStyle w:val="7"/>
        <w:overflowPunct w:val="0"/>
        <w:spacing w:line="460" w:lineRule="exact"/>
        <w:ind w:firstLine="513" w:firstLineChars="214"/>
        <w:rPr>
          <w:rFonts w:ascii="仿宋" w:eastAsia="仿宋"/>
          <w:sz w:val="24"/>
          <w:szCs w:val="24"/>
        </w:rPr>
      </w:pPr>
      <w:r>
        <w:rPr>
          <w:rFonts w:hint="eastAsia" w:ascii="仿宋" w:eastAsia="仿宋"/>
          <w:sz w:val="24"/>
          <w:szCs w:val="24"/>
        </w:rPr>
        <w:t>乙方：</w:t>
      </w:r>
    </w:p>
    <w:p w14:paraId="64E52D4B">
      <w:pPr>
        <w:pStyle w:val="7"/>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14:paraId="466D518B">
      <w:pPr>
        <w:pStyle w:val="7"/>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64DD8312">
      <w:pPr>
        <w:pStyle w:val="7"/>
        <w:numPr>
          <w:ilvl w:val="0"/>
          <w:numId w:val="10"/>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14:paraId="6CE054D0">
      <w:pPr>
        <w:pStyle w:val="7"/>
        <w:numPr>
          <w:ilvl w:val="0"/>
          <w:numId w:val="10"/>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2812E993">
      <w:pPr>
        <w:pStyle w:val="7"/>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692FCFC1">
      <w:pPr>
        <w:pStyle w:val="7"/>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14ACA124">
      <w:pPr>
        <w:pStyle w:val="7"/>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7BEFA1D9">
      <w:pPr>
        <w:pStyle w:val="7"/>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六、如果中标，联合体各方在项目实施过程中承担的货物和服务为：</w:t>
      </w:r>
    </w:p>
    <w:p w14:paraId="090D803C">
      <w:pPr>
        <w:pStyle w:val="7"/>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5CE15F66">
      <w:pPr>
        <w:pStyle w:val="7"/>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3BBE35A6">
      <w:pPr>
        <w:pStyle w:val="7"/>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3EBDE3EE">
      <w:pPr>
        <w:pStyle w:val="7"/>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14:paraId="0A34D63B">
      <w:pPr>
        <w:pStyle w:val="7"/>
        <w:overflowPunct w:val="0"/>
        <w:spacing w:line="460" w:lineRule="exact"/>
        <w:ind w:firstLine="513" w:firstLineChars="214"/>
        <w:rPr>
          <w:rFonts w:ascii="仿宋" w:eastAsia="仿宋"/>
          <w:sz w:val="24"/>
          <w:szCs w:val="24"/>
        </w:rPr>
      </w:pPr>
      <w:r>
        <w:rPr>
          <w:rFonts w:hint="eastAsia" w:ascii="仿宋" w:eastAsia="仿宋"/>
          <w:sz w:val="24"/>
          <w:szCs w:val="24"/>
        </w:rPr>
        <w:t>…</w:t>
      </w:r>
    </w:p>
    <w:p w14:paraId="30559541">
      <w:pPr>
        <w:pStyle w:val="7"/>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14:paraId="40D38C2C">
      <w:pPr>
        <w:pStyle w:val="7"/>
        <w:overflowPunct w:val="0"/>
        <w:spacing w:line="460" w:lineRule="exact"/>
        <w:ind w:firstLine="513" w:firstLineChars="214"/>
        <w:rPr>
          <w:rFonts w:ascii="仿宋" w:eastAsia="仿宋"/>
          <w:sz w:val="24"/>
          <w:szCs w:val="24"/>
        </w:rPr>
      </w:pPr>
    </w:p>
    <w:p w14:paraId="59F576E3">
      <w:pPr>
        <w:pStyle w:val="7"/>
        <w:overflowPunct w:val="0"/>
        <w:spacing w:line="460" w:lineRule="exact"/>
        <w:ind w:firstLine="513" w:firstLineChars="214"/>
        <w:rPr>
          <w:rFonts w:ascii="仿宋" w:eastAsia="仿宋"/>
          <w:sz w:val="24"/>
          <w:szCs w:val="24"/>
        </w:rPr>
      </w:pPr>
    </w:p>
    <w:tbl>
      <w:tblPr>
        <w:tblStyle w:val="15"/>
        <w:tblW w:w="0" w:type="auto"/>
        <w:jc w:val="center"/>
        <w:tblLayout w:type="fixed"/>
        <w:tblCellMar>
          <w:top w:w="0" w:type="dxa"/>
          <w:left w:w="108" w:type="dxa"/>
          <w:bottom w:w="0" w:type="dxa"/>
          <w:right w:w="108" w:type="dxa"/>
        </w:tblCellMar>
      </w:tblPr>
      <w:tblGrid>
        <w:gridCol w:w="4264"/>
        <w:gridCol w:w="4264"/>
      </w:tblGrid>
      <w:tr w14:paraId="0EFAE9F6">
        <w:tblPrEx>
          <w:tblCellMar>
            <w:top w:w="0" w:type="dxa"/>
            <w:left w:w="108" w:type="dxa"/>
            <w:bottom w:w="0" w:type="dxa"/>
            <w:right w:w="108" w:type="dxa"/>
          </w:tblCellMar>
        </w:tblPrEx>
        <w:trPr>
          <w:jc w:val="center"/>
        </w:trPr>
        <w:tc>
          <w:tcPr>
            <w:tcW w:w="4264" w:type="dxa"/>
            <w:tcBorders>
              <w:top w:val="nil"/>
              <w:left w:val="nil"/>
              <w:bottom w:val="nil"/>
              <w:right w:val="nil"/>
            </w:tcBorders>
            <w:noWrap/>
            <w:vAlign w:val="top"/>
          </w:tcPr>
          <w:p w14:paraId="629CCA90">
            <w:pPr>
              <w:pStyle w:val="7"/>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14:paraId="2794393F">
            <w:pPr>
              <w:pStyle w:val="7"/>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5E3EEB77">
            <w:pPr>
              <w:pStyle w:val="7"/>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vAlign w:val="top"/>
          </w:tcPr>
          <w:p w14:paraId="0DDCA8F5">
            <w:pPr>
              <w:pStyle w:val="7"/>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14:paraId="1E45D2AA">
            <w:pPr>
              <w:pStyle w:val="7"/>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14:paraId="43FD7B5C">
            <w:pPr>
              <w:pStyle w:val="7"/>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14:paraId="3A849E80">
      <w:pPr>
        <w:pStyle w:val="22"/>
        <w:spacing w:afterLines="0" w:line="440" w:lineRule="exact"/>
        <w:ind w:firstLine="0" w:firstLineChars="0"/>
        <w:rPr>
          <w:rFonts w:ascii="仿宋" w:eastAsia="仿宋"/>
          <w:b/>
          <w:bCs/>
          <w:sz w:val="28"/>
          <w:szCs w:val="28"/>
        </w:rPr>
      </w:pPr>
      <w:r>
        <w:rPr>
          <w:rFonts w:hint="eastAsia" w:ascii="仿宋" w:eastAsia="仿宋"/>
          <w:b/>
          <w:bCs/>
          <w:sz w:val="28"/>
          <w:szCs w:val="28"/>
        </w:rPr>
        <w:t>附件5：分包意向协议（如有）</w:t>
      </w:r>
    </w:p>
    <w:p w14:paraId="5AF4769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271E025B">
      <w:pPr>
        <w:pStyle w:val="7"/>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若成为</w:t>
      </w:r>
      <w:r>
        <w:rPr>
          <w:rFonts w:hint="eastAsia" w:ascii="仿宋" w:eastAsia="仿宋"/>
          <w:sz w:val="24"/>
          <w:szCs w:val="24"/>
          <w:u w:val="single"/>
        </w:rPr>
        <w:t>（项目名称     ）(项目编号：   ）</w:t>
      </w:r>
      <w:r>
        <w:rPr>
          <w:rFonts w:hint="eastAsia" w:ascii="仿宋" w:eastAsia="仿宋"/>
          <w:sz w:val="24"/>
          <w:szCs w:val="24"/>
          <w:lang w:val="zh-CN"/>
        </w:rPr>
        <w:t>的中标（成交）供应商，将依法采取分包方式履行合同。</w:t>
      </w:r>
      <w:r>
        <w:rPr>
          <w:rFonts w:hint="eastAsia" w:ascii="仿宋" w:eastAsia="仿宋"/>
          <w:sz w:val="24"/>
          <w:szCs w:val="24"/>
          <w:u w:val="single"/>
        </w:rPr>
        <w:t>（填写投标供应商名称    ）</w:t>
      </w:r>
      <w:r>
        <w:rPr>
          <w:rFonts w:hint="eastAsia" w:ascii="仿宋" w:eastAsia="仿宋"/>
          <w:sz w:val="24"/>
          <w:szCs w:val="24"/>
        </w:rPr>
        <w:t>与</w:t>
      </w:r>
      <w:r>
        <w:rPr>
          <w:rFonts w:hint="eastAsia" w:ascii="仿宋" w:eastAsia="仿宋"/>
          <w:sz w:val="24"/>
          <w:szCs w:val="24"/>
          <w:u w:val="single"/>
        </w:rPr>
        <w:t>（所有分包供应商名称    ）</w:t>
      </w:r>
      <w:r>
        <w:rPr>
          <w:rFonts w:hint="eastAsia" w:ascii="仿宋" w:eastAsia="仿宋"/>
          <w:sz w:val="24"/>
          <w:szCs w:val="24"/>
        </w:rPr>
        <w:t>达成分包意向协议</w:t>
      </w:r>
      <w:r>
        <w:rPr>
          <w:rFonts w:hint="eastAsia" w:ascii="仿宋" w:eastAsia="仿宋"/>
          <w:sz w:val="24"/>
          <w:szCs w:val="24"/>
          <w:lang w:val="zh-CN"/>
        </w:rPr>
        <w:t xml:space="preserve">。 </w:t>
      </w:r>
      <w:r>
        <w:rPr>
          <w:rFonts w:hint="eastAsia" w:ascii="仿宋" w:eastAsia="仿宋"/>
          <w:sz w:val="24"/>
          <w:szCs w:val="24"/>
          <w:u w:val="single"/>
        </w:rPr>
        <w:t>（填写投标供应商名称    ）</w:t>
      </w:r>
      <w:r>
        <w:rPr>
          <w:rFonts w:hint="eastAsia" w:ascii="仿宋" w:eastAsia="仿宋"/>
          <w:sz w:val="24"/>
          <w:szCs w:val="24"/>
        </w:rPr>
        <w:t>负责签署投标文件，其所有承诺均认为代表了</w:t>
      </w:r>
      <w:r>
        <w:rPr>
          <w:rFonts w:hint="eastAsia" w:ascii="仿宋" w:eastAsia="仿宋"/>
          <w:sz w:val="24"/>
          <w:szCs w:val="24"/>
          <w:u w:val="single"/>
        </w:rPr>
        <w:t>（填写所有分包供应商名称       ）</w:t>
      </w:r>
      <w:r>
        <w:rPr>
          <w:rFonts w:hint="eastAsia" w:ascii="仿宋" w:eastAsia="仿宋"/>
          <w:sz w:val="24"/>
          <w:szCs w:val="24"/>
        </w:rPr>
        <w:t>意愿。</w:t>
      </w:r>
    </w:p>
    <w:p w14:paraId="28A21936">
      <w:pPr>
        <w:pStyle w:val="7"/>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一、分包内容在采购文件分包要求的范围内，并符合相关法律规定等</w:t>
      </w:r>
    </w:p>
    <w:p w14:paraId="2BDB5B9C">
      <w:pPr>
        <w:pStyle w:val="7"/>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二、分包标的及合同占比</w:t>
      </w:r>
    </w:p>
    <w:p w14:paraId="5E654E10">
      <w:pPr>
        <w:pStyle w:val="7"/>
        <w:overflowPunct w:val="0"/>
        <w:spacing w:line="460" w:lineRule="exact"/>
        <w:ind w:firstLine="513" w:firstLineChars="214"/>
        <w:rPr>
          <w:rFonts w:ascii="仿宋" w:eastAsia="仿宋"/>
          <w:sz w:val="24"/>
          <w:szCs w:val="24"/>
          <w:lang w:val="zh-CN"/>
        </w:rPr>
      </w:pP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工作内容1   </w:t>
      </w:r>
      <w:r>
        <w:rPr>
          <w:rFonts w:hint="eastAsia" w:ascii="仿宋" w:eastAsia="仿宋"/>
          <w:sz w:val="24"/>
          <w:szCs w:val="24"/>
        </w:rPr>
        <w:t>分包给（填写分包供应商1名称      ）</w:t>
      </w:r>
      <w:r>
        <w:rPr>
          <w:rFonts w:hint="eastAsia" w:ascii="仿宋" w:eastAsia="仿宋"/>
          <w:sz w:val="24"/>
          <w:szCs w:val="24"/>
          <w:lang w:val="zh-CN"/>
        </w:rPr>
        <w:t>，</w:t>
      </w:r>
      <w:r>
        <w:rPr>
          <w:rFonts w:hint="eastAsia" w:ascii="仿宋" w:eastAsia="仿宋"/>
          <w:sz w:val="24"/>
          <w:szCs w:val="24"/>
          <w:u w:val="single"/>
        </w:rPr>
        <w:t>（填写分包供应商1名称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14:paraId="6C46B6F7">
      <w:pPr>
        <w:pStyle w:val="7"/>
        <w:overflowPunct w:val="0"/>
        <w:spacing w:line="460" w:lineRule="exact"/>
        <w:ind w:firstLine="513" w:firstLineChars="214"/>
        <w:rPr>
          <w:rFonts w:ascii="仿宋" w:eastAsia="仿宋"/>
          <w:sz w:val="24"/>
          <w:szCs w:val="24"/>
          <w:lang w:val="zh-CN"/>
        </w:rPr>
      </w:pPr>
      <w:r>
        <w:rPr>
          <w:rFonts w:hint="eastAsia" w:ascii="仿宋" w:eastAsia="仿宋"/>
          <w:sz w:val="24"/>
          <w:szCs w:val="24"/>
        </w:rPr>
        <w:t xml:space="preserve"> </w:t>
      </w:r>
      <w:r>
        <w:rPr>
          <w:rFonts w:hint="eastAsia" w:ascii="仿宋" w:eastAsia="仿宋"/>
          <w:sz w:val="24"/>
          <w:szCs w:val="24"/>
          <w:u w:val="single"/>
        </w:rPr>
        <w:t>（填写投标供应商名称    ）</w:t>
      </w:r>
      <w:r>
        <w:rPr>
          <w:rFonts w:hint="eastAsia" w:ascii="仿宋" w:eastAsia="仿宋"/>
          <w:sz w:val="24"/>
          <w:szCs w:val="24"/>
          <w:lang w:val="zh-CN"/>
        </w:rPr>
        <w:t>将</w:t>
      </w:r>
      <w:r>
        <w:rPr>
          <w:rFonts w:hint="eastAsia" w:ascii="仿宋" w:eastAsia="仿宋"/>
          <w:sz w:val="24"/>
          <w:szCs w:val="24"/>
          <w:u w:val="single"/>
        </w:rPr>
        <w:t xml:space="preserve">   工作内容2   </w:t>
      </w:r>
      <w:r>
        <w:rPr>
          <w:rFonts w:hint="eastAsia" w:ascii="仿宋" w:eastAsia="仿宋"/>
          <w:sz w:val="24"/>
          <w:szCs w:val="24"/>
        </w:rPr>
        <w:t>分包给（填写分包供应商2名称      ）</w:t>
      </w:r>
      <w:r>
        <w:rPr>
          <w:rFonts w:hint="eastAsia" w:ascii="仿宋" w:eastAsia="仿宋"/>
          <w:sz w:val="24"/>
          <w:szCs w:val="24"/>
          <w:lang w:val="zh-CN"/>
        </w:rPr>
        <w:t>，</w:t>
      </w:r>
      <w:r>
        <w:rPr>
          <w:rFonts w:hint="eastAsia" w:ascii="仿宋" w:eastAsia="仿宋"/>
          <w:sz w:val="24"/>
          <w:szCs w:val="24"/>
          <w:u w:val="single"/>
        </w:rPr>
        <w:t>（填写分包供应商2名称       ）</w:t>
      </w:r>
      <w:r>
        <w:rPr>
          <w:rFonts w:hint="eastAsia" w:ascii="仿宋" w:eastAsia="仿宋"/>
          <w:sz w:val="24"/>
          <w:szCs w:val="24"/>
          <w:lang w:val="zh-CN"/>
        </w:rPr>
        <w:t>具备承</w:t>
      </w:r>
      <w:r>
        <w:rPr>
          <w:rFonts w:hint="eastAsia" w:ascii="仿宋" w:eastAsia="仿宋"/>
          <w:sz w:val="24"/>
          <w:szCs w:val="24"/>
        </w:rPr>
        <w:t>担</w:t>
      </w:r>
      <w:r>
        <w:rPr>
          <w:rFonts w:hint="eastAsia" w:ascii="仿宋" w:eastAsia="仿宋"/>
          <w:sz w:val="24"/>
          <w:szCs w:val="24"/>
          <w:lang w:val="zh-CN"/>
        </w:rPr>
        <w:t xml:space="preserve">该工作内容的相应资质条件且不再次分包，分包合同份额占到合同总金额 </w:t>
      </w:r>
      <w:r>
        <w:rPr>
          <w:rFonts w:hint="eastAsia" w:ascii="仿宋" w:eastAsia="仿宋"/>
          <w:sz w:val="24"/>
          <w:szCs w:val="24"/>
          <w:u w:val="single"/>
          <w:lang w:val="zh-CN"/>
        </w:rPr>
        <w:t xml:space="preserve">    </w:t>
      </w:r>
      <w:r>
        <w:rPr>
          <w:rFonts w:hint="eastAsia" w:ascii="仿宋" w:eastAsia="仿宋"/>
          <w:sz w:val="24"/>
          <w:szCs w:val="24"/>
          <w:lang w:val="zh-CN"/>
        </w:rPr>
        <w:t>%。</w:t>
      </w:r>
    </w:p>
    <w:p w14:paraId="32A006F8">
      <w:pPr>
        <w:pStyle w:val="7"/>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lang w:val="zh-CN"/>
        </w:rPr>
        <w:t>……</w:t>
      </w:r>
      <w:r>
        <w:rPr>
          <w:rFonts w:hint="eastAsia" w:ascii="仿宋" w:eastAsia="仿宋"/>
          <w:sz w:val="24"/>
          <w:szCs w:val="24"/>
        </w:rPr>
        <w:t xml:space="preserve">   </w:t>
      </w:r>
    </w:p>
    <w:p w14:paraId="2055544C">
      <w:pPr>
        <w:pStyle w:val="7"/>
        <w:overflowPunct w:val="0"/>
        <w:spacing w:line="460" w:lineRule="exact"/>
        <w:ind w:left="479" w:leftChars="228" w:firstLine="31" w:firstLineChars="13"/>
        <w:jc w:val="left"/>
        <w:rPr>
          <w:rFonts w:ascii="仿宋" w:eastAsia="仿宋"/>
          <w:sz w:val="24"/>
          <w:szCs w:val="24"/>
        </w:rPr>
      </w:pPr>
      <w:r>
        <w:rPr>
          <w:rFonts w:hint="eastAsia" w:ascii="仿宋" w:eastAsia="仿宋"/>
          <w:sz w:val="24"/>
          <w:szCs w:val="24"/>
        </w:rPr>
        <w:t>以上所有分包合同份额合计占到合同总金额的</w:t>
      </w:r>
      <w:r>
        <w:rPr>
          <w:rFonts w:hint="eastAsia" w:ascii="仿宋" w:eastAsia="仿宋"/>
          <w:sz w:val="24"/>
          <w:szCs w:val="24"/>
          <w:u w:val="single"/>
          <w:lang w:val="zh-CN"/>
        </w:rPr>
        <w:t xml:space="preserve">    </w:t>
      </w:r>
      <w:r>
        <w:rPr>
          <w:rFonts w:hint="eastAsia" w:ascii="仿宋" w:eastAsia="仿宋"/>
          <w:sz w:val="24"/>
          <w:szCs w:val="24"/>
          <w:lang w:val="zh-CN"/>
        </w:rPr>
        <w:t>%</w:t>
      </w:r>
    </w:p>
    <w:p w14:paraId="37F299C8">
      <w:pPr>
        <w:pStyle w:val="7"/>
        <w:overflowPunct w:val="0"/>
        <w:spacing w:line="460" w:lineRule="exact"/>
        <w:ind w:left="479" w:leftChars="228" w:firstLine="31" w:firstLineChars="13"/>
        <w:jc w:val="left"/>
        <w:rPr>
          <w:rFonts w:ascii="仿宋" w:eastAsia="仿宋"/>
          <w:sz w:val="24"/>
          <w:szCs w:val="24"/>
          <w:lang w:val="zh-CN"/>
        </w:rPr>
      </w:pPr>
      <w:r>
        <w:rPr>
          <w:rFonts w:hint="eastAsia" w:ascii="仿宋" w:eastAsia="仿宋"/>
          <w:sz w:val="24"/>
          <w:szCs w:val="24"/>
          <w:lang w:val="zh-CN"/>
        </w:rPr>
        <w:t>三、特别约定</w:t>
      </w:r>
    </w:p>
    <w:p w14:paraId="5D9EBCEC">
      <w:pPr>
        <w:pStyle w:val="7"/>
        <w:overflowPunct w:val="0"/>
        <w:spacing w:line="460" w:lineRule="exact"/>
        <w:ind w:firstLine="0"/>
        <w:rPr>
          <w:rFonts w:ascii="仿宋" w:eastAsia="仿宋"/>
          <w:sz w:val="24"/>
          <w:szCs w:val="24"/>
        </w:rPr>
      </w:pPr>
      <w:r>
        <w:rPr>
          <w:rFonts w:hint="eastAsia" w:ascii="仿宋" w:eastAsia="仿宋"/>
          <w:sz w:val="24"/>
          <w:szCs w:val="24"/>
        </w:rPr>
        <w:t xml:space="preserve">    本协议为意向协议，正式协议待中标（成交）后签署，正式协议不再对分包标的和合同占比进行调整。</w:t>
      </w:r>
    </w:p>
    <w:p w14:paraId="4031C60A">
      <w:pPr>
        <w:pStyle w:val="7"/>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w:t>
      </w:r>
    </w:p>
    <w:p w14:paraId="6A893D41">
      <w:pPr>
        <w:pStyle w:val="7"/>
        <w:overflowPunct w:val="0"/>
        <w:spacing w:line="460" w:lineRule="exact"/>
        <w:ind w:firstLine="513" w:firstLineChars="214"/>
        <w:rPr>
          <w:rFonts w:ascii="仿宋" w:eastAsia="仿宋"/>
          <w:sz w:val="24"/>
          <w:szCs w:val="24"/>
          <w:lang w:val="zh-CN"/>
        </w:rPr>
      </w:pPr>
      <w:r>
        <w:rPr>
          <w:rFonts w:hint="eastAsia" w:ascii="仿宋" w:eastAsia="仿宋"/>
          <w:sz w:val="24"/>
          <w:szCs w:val="24"/>
        </w:rPr>
        <w:t>投标供应商名称</w:t>
      </w:r>
      <w:r>
        <w:rPr>
          <w:rFonts w:hint="eastAsia" w:ascii="仿宋" w:eastAsia="仿宋"/>
          <w:sz w:val="24"/>
          <w:szCs w:val="24"/>
          <w:lang w:val="zh-CN"/>
        </w:rPr>
        <w:t>(</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16D22BB4">
      <w:pPr>
        <w:pStyle w:val="7"/>
        <w:overflowPunct w:val="0"/>
        <w:spacing w:line="460" w:lineRule="exact"/>
        <w:ind w:firstLine="513" w:firstLineChars="214"/>
        <w:rPr>
          <w:rFonts w:ascii="仿宋" w:eastAsia="仿宋"/>
          <w:sz w:val="24"/>
          <w:szCs w:val="24"/>
          <w:lang w:val="zh-CN"/>
        </w:rPr>
      </w:pPr>
    </w:p>
    <w:p w14:paraId="14EEE0D2">
      <w:pPr>
        <w:pStyle w:val="7"/>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1</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78E5F98C">
      <w:pPr>
        <w:pStyle w:val="7"/>
        <w:overflowPunct w:val="0"/>
        <w:spacing w:line="460" w:lineRule="exact"/>
        <w:ind w:firstLine="513" w:firstLineChars="214"/>
        <w:rPr>
          <w:rFonts w:ascii="仿宋" w:eastAsia="仿宋"/>
          <w:sz w:val="24"/>
          <w:szCs w:val="24"/>
          <w:lang w:val="zh-CN"/>
        </w:rPr>
      </w:pPr>
    </w:p>
    <w:p w14:paraId="4932AE59">
      <w:pPr>
        <w:pStyle w:val="7"/>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分包供应商</w:t>
      </w:r>
      <w:r>
        <w:rPr>
          <w:rFonts w:hint="eastAsia" w:ascii="仿宋" w:eastAsia="仿宋"/>
          <w:sz w:val="24"/>
          <w:szCs w:val="24"/>
        </w:rPr>
        <w:t>2</w:t>
      </w:r>
      <w:r>
        <w:rPr>
          <w:rFonts w:hint="eastAsia" w:ascii="仿宋" w:eastAsia="仿宋"/>
          <w:sz w:val="24"/>
          <w:szCs w:val="24"/>
          <w:lang w:val="zh-CN"/>
        </w:rPr>
        <w:t>名称（</w:t>
      </w:r>
      <w:r>
        <w:rPr>
          <w:rFonts w:hint="eastAsia" w:ascii="仿宋" w:eastAsia="仿宋"/>
          <w:sz w:val="24"/>
          <w:szCs w:val="24"/>
        </w:rPr>
        <w:t>盖公章</w:t>
      </w:r>
      <w:r>
        <w:rPr>
          <w:rFonts w:hint="eastAsia" w:ascii="仿宋" w:eastAsia="仿宋"/>
          <w:sz w:val="24"/>
          <w:szCs w:val="24"/>
          <w:lang w:val="zh-CN"/>
        </w:rPr>
        <w:t>）：</w:t>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r>
        <w:rPr>
          <w:rFonts w:hint="eastAsia" w:ascii="仿宋" w:eastAsia="仿宋"/>
          <w:sz w:val="24"/>
          <w:szCs w:val="24"/>
          <w:lang w:val="zh-CN"/>
        </w:rPr>
        <w:tab/>
      </w:r>
    </w:p>
    <w:p w14:paraId="6BCC97D9">
      <w:pPr>
        <w:pStyle w:val="7"/>
        <w:overflowPunct w:val="0"/>
        <w:spacing w:line="460" w:lineRule="exact"/>
        <w:ind w:firstLine="513" w:firstLineChars="214"/>
        <w:rPr>
          <w:rFonts w:ascii="仿宋" w:eastAsia="仿宋"/>
          <w:sz w:val="24"/>
          <w:szCs w:val="24"/>
        </w:rPr>
      </w:pPr>
      <w:r>
        <w:rPr>
          <w:rFonts w:hint="eastAsia" w:ascii="仿宋" w:eastAsia="仿宋"/>
          <w:sz w:val="24"/>
          <w:szCs w:val="24"/>
          <w:lang w:val="zh-CN"/>
        </w:rPr>
        <w:t>…………</w:t>
      </w:r>
    </w:p>
    <w:p w14:paraId="78F145B6">
      <w:pPr>
        <w:pStyle w:val="7"/>
        <w:overflowPunct w:val="0"/>
        <w:spacing w:line="460" w:lineRule="exact"/>
        <w:ind w:firstLine="513" w:firstLineChars="214"/>
        <w:rPr>
          <w:rFonts w:ascii="仿宋" w:eastAsia="仿宋"/>
          <w:sz w:val="24"/>
          <w:szCs w:val="24"/>
          <w:lang w:val="zh-CN"/>
        </w:rPr>
      </w:pPr>
      <w:r>
        <w:rPr>
          <w:rFonts w:hint="eastAsia" w:ascii="仿宋" w:eastAsia="仿宋"/>
          <w:sz w:val="24"/>
          <w:szCs w:val="24"/>
          <w:lang w:val="zh-CN"/>
        </w:rPr>
        <w:t xml:space="preserve">                                 日期：  年  月   日</w:t>
      </w:r>
    </w:p>
    <w:p w14:paraId="10775375">
      <w:pPr>
        <w:pStyle w:val="7"/>
        <w:overflowPunct w:val="0"/>
        <w:spacing w:line="460" w:lineRule="exact"/>
        <w:ind w:firstLine="513" w:firstLineChars="214"/>
        <w:rPr>
          <w:rFonts w:ascii="仿宋" w:eastAsia="仿宋"/>
          <w:sz w:val="24"/>
          <w:szCs w:val="24"/>
          <w:lang w:val="zh-CN"/>
        </w:rPr>
      </w:pPr>
    </w:p>
    <w:p w14:paraId="24D21318">
      <w:pPr>
        <w:pStyle w:val="7"/>
        <w:overflowPunct w:val="0"/>
        <w:spacing w:line="460" w:lineRule="exact"/>
        <w:ind w:firstLine="513" w:firstLineChars="214"/>
        <w:rPr>
          <w:rFonts w:ascii="仿宋" w:eastAsia="仿宋"/>
          <w:sz w:val="24"/>
          <w:szCs w:val="24"/>
          <w:lang w:val="zh-CN"/>
        </w:rPr>
      </w:pPr>
    </w:p>
    <w:p w14:paraId="65DEE501">
      <w:pPr>
        <w:pStyle w:val="22"/>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14:paraId="41EC30BC">
      <w:pPr>
        <w:snapToGrid w:val="0"/>
        <w:spacing w:before="50" w:after="50"/>
        <w:jc w:val="center"/>
        <w:rPr>
          <w:rFonts w:ascii="仿宋" w:eastAsia="仿宋"/>
          <w:b/>
          <w:sz w:val="36"/>
          <w:szCs w:val="36"/>
        </w:rPr>
      </w:pPr>
    </w:p>
    <w:p w14:paraId="355BF861">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14:paraId="6062121B">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2A7ADC8C">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6D0B106A">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0E1273C">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14:paraId="5A3193B1">
      <w:pPr>
        <w:snapToGrid w:val="0"/>
        <w:spacing w:before="156" w:beforeLines="50" w:after="50" w:line="460" w:lineRule="exact"/>
        <w:ind w:firstLine="480"/>
        <w:rPr>
          <w:rFonts w:ascii="仿宋" w:eastAsia="仿宋"/>
          <w:sz w:val="24"/>
          <w:szCs w:val="24"/>
        </w:rPr>
      </w:pPr>
    </w:p>
    <w:p w14:paraId="16F43CDF">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14:paraId="06296762">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03DC25B7">
      <w:pPr>
        <w:snapToGrid w:val="0"/>
        <w:spacing w:before="156" w:beforeLines="50" w:after="50" w:line="460" w:lineRule="exact"/>
        <w:rPr>
          <w:rFonts w:ascii="仿宋" w:eastAsia="仿宋"/>
          <w:sz w:val="24"/>
          <w:szCs w:val="24"/>
        </w:rPr>
      </w:pPr>
    </w:p>
    <w:p w14:paraId="5E049007">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14:paraId="6864EAE0">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143B6D7C">
      <w:pPr>
        <w:snapToGrid w:val="0"/>
        <w:spacing w:before="156" w:beforeLines="50" w:after="50" w:line="460" w:lineRule="exact"/>
        <w:rPr>
          <w:rFonts w:ascii="仿宋" w:eastAsia="仿宋"/>
          <w:sz w:val="24"/>
          <w:szCs w:val="24"/>
        </w:rPr>
      </w:pPr>
    </w:p>
    <w:p w14:paraId="628F90C7">
      <w:pPr>
        <w:snapToGrid w:val="0"/>
        <w:spacing w:before="156" w:beforeLines="50" w:after="50" w:line="460" w:lineRule="exact"/>
        <w:rPr>
          <w:rFonts w:ascii="仿宋" w:eastAsia="仿宋"/>
          <w:sz w:val="24"/>
          <w:szCs w:val="24"/>
        </w:rPr>
      </w:pPr>
      <w:r>
        <w:rPr>
          <w:rFonts w:hint="eastAsia" w:ascii="仿宋" w:eastAsia="仿宋"/>
          <w:sz w:val="24"/>
          <w:szCs w:val="24"/>
        </w:rPr>
        <w:t xml:space="preserve">                                     </w:t>
      </w:r>
    </w:p>
    <w:p w14:paraId="33FEEDD4">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3D195C42">
      <w:pPr>
        <w:widowControl/>
        <w:jc w:val="left"/>
        <w:rPr>
          <w:rFonts w:ascii="仿宋" w:eastAsia="仿宋"/>
          <w:sz w:val="24"/>
          <w:szCs w:val="24"/>
          <w:u w:val="single"/>
        </w:rPr>
      </w:pPr>
    </w:p>
    <w:p w14:paraId="00307D65">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240519C0">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0BB4B2BD">
      <w:pPr>
        <w:snapToGrid w:val="0"/>
        <w:spacing w:before="50" w:after="50"/>
        <w:jc w:val="left"/>
        <w:rPr>
          <w:rFonts w:ascii="仿宋" w:eastAsia="仿宋"/>
          <w:b/>
          <w:sz w:val="36"/>
          <w:szCs w:val="36"/>
        </w:rPr>
      </w:pPr>
    </w:p>
    <w:p w14:paraId="6F67A54E">
      <w:pPr>
        <w:snapToGrid w:val="0"/>
        <w:spacing w:before="50" w:after="50"/>
        <w:jc w:val="left"/>
        <w:rPr>
          <w:rFonts w:ascii="仿宋" w:eastAsia="仿宋"/>
          <w:b/>
          <w:sz w:val="36"/>
          <w:szCs w:val="36"/>
        </w:rPr>
      </w:pPr>
    </w:p>
    <w:p w14:paraId="1378F9F5">
      <w:pPr>
        <w:pStyle w:val="22"/>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14:paraId="2CA07ADA">
      <w:pPr>
        <w:pStyle w:val="22"/>
        <w:spacing w:afterLines="0" w:line="440" w:lineRule="exact"/>
        <w:ind w:firstLine="0" w:firstLineChars="0"/>
        <w:rPr>
          <w:rFonts w:ascii="仿宋" w:eastAsia="仿宋"/>
          <w:b/>
          <w:bCs/>
          <w:sz w:val="28"/>
          <w:szCs w:val="28"/>
        </w:rPr>
      </w:pPr>
    </w:p>
    <w:p w14:paraId="725DDD61">
      <w:pPr>
        <w:pStyle w:val="22"/>
        <w:spacing w:afterLines="0" w:line="440" w:lineRule="exact"/>
        <w:ind w:firstLine="0" w:firstLineChars="0"/>
        <w:rPr>
          <w:rFonts w:ascii="仿宋" w:eastAsia="仿宋"/>
          <w:b/>
          <w:bCs/>
          <w:sz w:val="28"/>
          <w:szCs w:val="28"/>
        </w:rPr>
      </w:pPr>
    </w:p>
    <w:p w14:paraId="2E303AD6">
      <w:pPr>
        <w:pStyle w:val="22"/>
        <w:spacing w:afterLines="0" w:line="440" w:lineRule="exact"/>
        <w:ind w:firstLine="0" w:firstLineChars="0"/>
        <w:rPr>
          <w:rFonts w:ascii="仿宋" w:eastAsia="仿宋"/>
          <w:sz w:val="28"/>
          <w:szCs w:val="28"/>
        </w:rPr>
      </w:pPr>
      <w:r>
        <w:rPr>
          <w:rFonts w:hint="eastAsia" w:ascii="仿宋" w:eastAsia="仿宋"/>
          <w:sz w:val="28"/>
          <w:szCs w:val="28"/>
        </w:rPr>
        <w:t>制作说明：</w:t>
      </w:r>
    </w:p>
    <w:p w14:paraId="1B7C90AC">
      <w:pPr>
        <w:pStyle w:val="22"/>
        <w:numPr>
          <w:ilvl w:val="0"/>
          <w:numId w:val="11"/>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提供身份证原件正反两面的彩色图片，内容清晰可辨，加盖单位公章，否则视为无效投标。</w:t>
      </w:r>
    </w:p>
    <w:p w14:paraId="2AE6679E">
      <w:pPr>
        <w:pStyle w:val="22"/>
        <w:numPr>
          <w:ilvl w:val="0"/>
          <w:numId w:val="11"/>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14:paraId="7B5623C3">
      <w:pPr>
        <w:pStyle w:val="22"/>
        <w:numPr>
          <w:ilvl w:val="0"/>
          <w:numId w:val="11"/>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14:paraId="7AAA0C5E">
      <w:pPr>
        <w:pStyle w:val="22"/>
        <w:spacing w:afterLines="0" w:line="440" w:lineRule="exact"/>
        <w:ind w:firstLine="0" w:firstLineChars="0"/>
        <w:rPr>
          <w:rFonts w:ascii="仿宋" w:eastAsia="仿宋"/>
          <w:sz w:val="28"/>
          <w:szCs w:val="28"/>
        </w:rPr>
      </w:pPr>
    </w:p>
    <w:p w14:paraId="650169F8">
      <w:pPr>
        <w:pStyle w:val="22"/>
        <w:spacing w:afterLines="0" w:line="440" w:lineRule="exact"/>
        <w:ind w:firstLine="0" w:firstLineChars="0"/>
        <w:rPr>
          <w:rFonts w:ascii="仿宋" w:eastAsia="仿宋"/>
          <w:sz w:val="28"/>
          <w:szCs w:val="28"/>
        </w:rPr>
      </w:pPr>
    </w:p>
    <w:p w14:paraId="0F002D97">
      <w:pPr>
        <w:pStyle w:val="22"/>
        <w:spacing w:afterLines="0" w:line="440" w:lineRule="exact"/>
        <w:ind w:firstLine="0" w:firstLineChars="0"/>
        <w:rPr>
          <w:rFonts w:ascii="仿宋" w:eastAsia="仿宋"/>
          <w:sz w:val="28"/>
          <w:szCs w:val="28"/>
        </w:rPr>
      </w:pPr>
    </w:p>
    <w:p w14:paraId="5CAE87C5">
      <w:pPr>
        <w:pStyle w:val="22"/>
        <w:spacing w:afterLines="0" w:line="440" w:lineRule="exact"/>
        <w:ind w:firstLine="0" w:firstLineChars="0"/>
        <w:rPr>
          <w:rFonts w:ascii="仿宋" w:eastAsia="仿宋"/>
          <w:sz w:val="28"/>
          <w:szCs w:val="28"/>
        </w:rPr>
      </w:pPr>
    </w:p>
    <w:p w14:paraId="0D042158">
      <w:pPr>
        <w:pStyle w:val="22"/>
        <w:spacing w:afterLines="0" w:line="440" w:lineRule="exact"/>
        <w:ind w:firstLine="0" w:firstLineChars="0"/>
        <w:rPr>
          <w:rFonts w:ascii="仿宋" w:eastAsia="仿宋"/>
          <w:sz w:val="28"/>
          <w:szCs w:val="28"/>
        </w:rPr>
      </w:pPr>
    </w:p>
    <w:p w14:paraId="413246E5">
      <w:pPr>
        <w:pStyle w:val="22"/>
        <w:spacing w:afterLines="0" w:line="440" w:lineRule="exact"/>
        <w:ind w:firstLine="0" w:firstLineChars="0"/>
        <w:rPr>
          <w:rFonts w:ascii="仿宋" w:eastAsia="仿宋"/>
          <w:sz w:val="28"/>
          <w:szCs w:val="28"/>
        </w:rPr>
      </w:pPr>
    </w:p>
    <w:p w14:paraId="5AC7AE29">
      <w:pPr>
        <w:pStyle w:val="22"/>
        <w:spacing w:afterLines="0" w:line="440" w:lineRule="exact"/>
        <w:ind w:firstLine="0" w:firstLineChars="0"/>
        <w:rPr>
          <w:rFonts w:ascii="仿宋" w:eastAsia="仿宋"/>
          <w:sz w:val="28"/>
          <w:szCs w:val="28"/>
        </w:rPr>
      </w:pPr>
    </w:p>
    <w:p w14:paraId="1EA29605">
      <w:pPr>
        <w:pStyle w:val="22"/>
        <w:spacing w:afterLines="0" w:line="440" w:lineRule="exact"/>
        <w:ind w:firstLine="0" w:firstLineChars="0"/>
        <w:rPr>
          <w:rFonts w:ascii="仿宋" w:eastAsia="仿宋"/>
          <w:sz w:val="28"/>
          <w:szCs w:val="28"/>
        </w:rPr>
      </w:pPr>
    </w:p>
    <w:p w14:paraId="539E6061">
      <w:pPr>
        <w:pStyle w:val="22"/>
        <w:spacing w:afterLines="0" w:line="440" w:lineRule="exact"/>
        <w:ind w:firstLine="0" w:firstLineChars="0"/>
        <w:rPr>
          <w:rFonts w:ascii="仿宋" w:eastAsia="仿宋"/>
          <w:sz w:val="28"/>
          <w:szCs w:val="28"/>
        </w:rPr>
      </w:pPr>
    </w:p>
    <w:p w14:paraId="0AE75FB9">
      <w:pPr>
        <w:pStyle w:val="22"/>
        <w:spacing w:afterLines="0" w:line="440" w:lineRule="exact"/>
        <w:ind w:firstLine="0" w:firstLineChars="0"/>
        <w:rPr>
          <w:rFonts w:ascii="仿宋" w:eastAsia="仿宋"/>
          <w:sz w:val="28"/>
          <w:szCs w:val="28"/>
        </w:rPr>
      </w:pPr>
    </w:p>
    <w:p w14:paraId="28ACB164">
      <w:pPr>
        <w:pStyle w:val="22"/>
        <w:spacing w:afterLines="0" w:line="440" w:lineRule="exact"/>
        <w:ind w:firstLine="0" w:firstLineChars="0"/>
        <w:rPr>
          <w:rFonts w:ascii="仿宋" w:eastAsia="仿宋"/>
          <w:sz w:val="28"/>
          <w:szCs w:val="28"/>
        </w:rPr>
      </w:pPr>
    </w:p>
    <w:p w14:paraId="73F65750">
      <w:pPr>
        <w:pStyle w:val="22"/>
        <w:spacing w:afterLines="0" w:line="440" w:lineRule="exact"/>
        <w:ind w:firstLine="0" w:firstLineChars="0"/>
        <w:rPr>
          <w:rFonts w:ascii="仿宋" w:eastAsia="仿宋"/>
          <w:sz w:val="28"/>
          <w:szCs w:val="28"/>
        </w:rPr>
      </w:pPr>
    </w:p>
    <w:p w14:paraId="01BFCB2A">
      <w:pPr>
        <w:pStyle w:val="22"/>
        <w:spacing w:afterLines="0" w:line="440" w:lineRule="exact"/>
        <w:ind w:firstLine="0" w:firstLineChars="0"/>
        <w:rPr>
          <w:rFonts w:ascii="仿宋" w:eastAsia="仿宋"/>
          <w:sz w:val="28"/>
          <w:szCs w:val="28"/>
        </w:rPr>
      </w:pPr>
    </w:p>
    <w:p w14:paraId="5874F59B">
      <w:pPr>
        <w:pStyle w:val="22"/>
        <w:spacing w:afterLines="0" w:line="440" w:lineRule="exact"/>
        <w:ind w:firstLine="0" w:firstLineChars="0"/>
        <w:rPr>
          <w:rFonts w:ascii="仿宋" w:eastAsia="仿宋"/>
          <w:sz w:val="28"/>
          <w:szCs w:val="28"/>
        </w:rPr>
      </w:pPr>
    </w:p>
    <w:p w14:paraId="1C76BACD">
      <w:pPr>
        <w:pStyle w:val="22"/>
        <w:spacing w:afterLines="0" w:line="440" w:lineRule="exact"/>
        <w:ind w:firstLine="0" w:firstLineChars="0"/>
        <w:rPr>
          <w:rFonts w:ascii="仿宋" w:eastAsia="仿宋"/>
          <w:sz w:val="28"/>
          <w:szCs w:val="28"/>
        </w:rPr>
      </w:pPr>
    </w:p>
    <w:p w14:paraId="300F532A">
      <w:pPr>
        <w:pStyle w:val="22"/>
        <w:spacing w:afterLines="0" w:line="440" w:lineRule="exact"/>
        <w:ind w:firstLine="0" w:firstLineChars="0"/>
        <w:rPr>
          <w:rFonts w:ascii="仿宋" w:eastAsia="仿宋"/>
          <w:sz w:val="28"/>
          <w:szCs w:val="28"/>
        </w:rPr>
      </w:pPr>
    </w:p>
    <w:p w14:paraId="298ED95A">
      <w:pPr>
        <w:pStyle w:val="22"/>
        <w:spacing w:afterLines="0" w:line="440" w:lineRule="exact"/>
        <w:ind w:firstLine="0" w:firstLineChars="0"/>
        <w:rPr>
          <w:rFonts w:ascii="仿宋" w:eastAsia="仿宋"/>
          <w:sz w:val="28"/>
          <w:szCs w:val="28"/>
        </w:rPr>
      </w:pPr>
    </w:p>
    <w:p w14:paraId="4BC8E97E">
      <w:pPr>
        <w:pStyle w:val="22"/>
        <w:spacing w:afterLines="0" w:line="440" w:lineRule="exact"/>
        <w:ind w:firstLine="0" w:firstLineChars="0"/>
        <w:rPr>
          <w:rFonts w:ascii="仿宋" w:eastAsia="仿宋"/>
          <w:sz w:val="28"/>
          <w:szCs w:val="28"/>
        </w:rPr>
      </w:pPr>
    </w:p>
    <w:p w14:paraId="318E2369">
      <w:pPr>
        <w:pStyle w:val="22"/>
        <w:spacing w:afterLines="0" w:line="440" w:lineRule="exact"/>
        <w:ind w:firstLine="0" w:firstLineChars="0"/>
        <w:rPr>
          <w:rFonts w:ascii="仿宋" w:eastAsia="仿宋"/>
          <w:sz w:val="28"/>
          <w:szCs w:val="28"/>
        </w:rPr>
      </w:pPr>
    </w:p>
    <w:p w14:paraId="6D1BB39A">
      <w:pPr>
        <w:snapToGrid w:val="0"/>
        <w:spacing w:before="50" w:after="50"/>
        <w:jc w:val="left"/>
        <w:rPr>
          <w:rFonts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附件8：</w:t>
      </w:r>
    </w:p>
    <w:p w14:paraId="4ED2D4FB">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5CF617C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6F1920C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18971888">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109B658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7A62359F">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7FBE973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7BF71E0C">
      <w:pPr>
        <w:snapToGrid w:val="0"/>
        <w:spacing w:before="50" w:after="50" w:line="360" w:lineRule="auto"/>
        <w:ind w:firstLine="480" w:firstLineChars="200"/>
        <w:jc w:val="left"/>
        <w:rPr>
          <w:rFonts w:ascii="仿宋" w:eastAsia="仿宋"/>
          <w:sz w:val="24"/>
          <w:szCs w:val="24"/>
        </w:rPr>
      </w:pPr>
    </w:p>
    <w:p w14:paraId="66DEAE1B">
      <w:pPr>
        <w:snapToGrid w:val="0"/>
        <w:spacing w:before="50" w:after="50" w:line="360" w:lineRule="auto"/>
        <w:ind w:firstLine="480" w:firstLineChars="200"/>
        <w:jc w:val="left"/>
        <w:rPr>
          <w:rFonts w:ascii="仿宋" w:eastAsia="仿宋"/>
          <w:sz w:val="24"/>
          <w:szCs w:val="24"/>
        </w:rPr>
      </w:pPr>
    </w:p>
    <w:p w14:paraId="312CE7C3">
      <w:pPr>
        <w:snapToGrid w:val="0"/>
        <w:spacing w:before="50" w:after="50" w:line="360" w:lineRule="auto"/>
        <w:ind w:firstLine="480" w:firstLineChars="200"/>
        <w:jc w:val="left"/>
        <w:rPr>
          <w:rFonts w:ascii="仿宋" w:eastAsia="仿宋"/>
          <w:sz w:val="24"/>
          <w:szCs w:val="24"/>
        </w:rPr>
      </w:pPr>
    </w:p>
    <w:p w14:paraId="4A08E03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7670EEE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76B20064">
      <w:pPr>
        <w:snapToGrid w:val="0"/>
        <w:spacing w:before="50" w:after="50"/>
        <w:jc w:val="left"/>
        <w:rPr>
          <w:rFonts w:ascii="仿宋" w:eastAsia="仿宋"/>
          <w:b/>
          <w:bCs/>
          <w:sz w:val="24"/>
          <w:szCs w:val="24"/>
        </w:rPr>
      </w:pPr>
      <w:r>
        <w:rPr>
          <w:rFonts w:ascii="仿宋" w:eastAsia="仿宋"/>
          <w:b/>
          <w:bCs/>
          <w:sz w:val="24"/>
          <w:szCs w:val="24"/>
        </w:rPr>
        <w:t>备注：</w:t>
      </w:r>
    </w:p>
    <w:p w14:paraId="32BD7B02">
      <w:pPr>
        <w:numPr>
          <w:ilvl w:val="0"/>
          <w:numId w:val="12"/>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20D24C01">
      <w:pPr>
        <w:numPr>
          <w:ilvl w:val="0"/>
          <w:numId w:val="12"/>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2246386C">
      <w:pPr>
        <w:numPr>
          <w:ilvl w:val="0"/>
          <w:numId w:val="12"/>
        </w:numPr>
        <w:snapToGrid w:val="0"/>
        <w:spacing w:before="50" w:after="50"/>
        <w:jc w:val="left"/>
        <w:rPr>
          <w:rFonts w:ascii="仿宋" w:eastAsia="仿宋"/>
          <w:b/>
          <w:bCs/>
          <w:sz w:val="24"/>
          <w:szCs w:val="24"/>
        </w:rPr>
      </w:pPr>
      <w:r>
        <w:rPr>
          <w:rFonts w:hint="eastAsia" w:ascii="仿宋" w:eastAsia="仿宋" w:cs="仿宋_GB2312"/>
          <w:b/>
          <w:bCs/>
          <w:sz w:val="24"/>
          <w:u w:val="single"/>
        </w:rPr>
        <w:t>“标的名称”、“所属行业”按前附表所列填写，有实质性偏离的将资格审查不通过。</w:t>
      </w:r>
    </w:p>
    <w:p w14:paraId="429F1429">
      <w:pPr>
        <w:numPr>
          <w:ilvl w:val="0"/>
          <w:numId w:val="12"/>
        </w:numPr>
        <w:snapToGrid w:val="0"/>
        <w:spacing w:before="50" w:after="50"/>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79878078">
      <w:pPr>
        <w:spacing w:line="588" w:lineRule="exact"/>
        <w:rPr>
          <w:rFonts w:ascii="仿宋" w:eastAsia="仿宋"/>
          <w:b/>
          <w:spacing w:val="6"/>
          <w:sz w:val="30"/>
          <w:szCs w:val="30"/>
        </w:rPr>
      </w:pPr>
      <w:bookmarkStart w:id="63" w:name="_Hlk523382353"/>
      <w:r>
        <w:rPr>
          <w:rFonts w:hint="eastAsia" w:ascii="仿宋" w:eastAsia="仿宋"/>
          <w:b/>
          <w:spacing w:val="6"/>
          <w:sz w:val="30"/>
          <w:szCs w:val="30"/>
        </w:rPr>
        <w:t>附件9（如有）：</w:t>
      </w:r>
    </w:p>
    <w:bookmarkEnd w:id="63"/>
    <w:p w14:paraId="6A8724A9">
      <w:pPr>
        <w:spacing w:line="588" w:lineRule="exact"/>
        <w:ind w:firstLine="667"/>
        <w:jc w:val="center"/>
        <w:rPr>
          <w:rFonts w:ascii="仿宋" w:eastAsia="仿宋"/>
          <w:b/>
          <w:spacing w:val="6"/>
          <w:sz w:val="32"/>
          <w:szCs w:val="32"/>
        </w:rPr>
      </w:pPr>
    </w:p>
    <w:p w14:paraId="3E0D9A1C">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14:paraId="2335C378">
      <w:pPr>
        <w:spacing w:line="588" w:lineRule="exact"/>
        <w:ind w:firstLine="626"/>
        <w:rPr>
          <w:rFonts w:ascii="仿宋" w:eastAsia="仿宋"/>
          <w:b/>
          <w:spacing w:val="6"/>
          <w:sz w:val="30"/>
          <w:szCs w:val="30"/>
        </w:rPr>
      </w:pPr>
    </w:p>
    <w:p w14:paraId="66ED026A">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37AE84B5">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14:paraId="52310B97">
      <w:pPr>
        <w:spacing w:line="588" w:lineRule="exact"/>
        <w:ind w:firstLine="480"/>
        <w:rPr>
          <w:rFonts w:ascii="仿宋" w:eastAsia="仿宋" w:cs="仿宋_GB2312"/>
          <w:sz w:val="24"/>
        </w:rPr>
      </w:pPr>
    </w:p>
    <w:p w14:paraId="2015016A">
      <w:pPr>
        <w:spacing w:line="588" w:lineRule="exact"/>
        <w:ind w:firstLine="480"/>
        <w:rPr>
          <w:rFonts w:ascii="仿宋" w:eastAsia="仿宋" w:cs="仿宋_GB2312"/>
          <w:sz w:val="24"/>
        </w:rPr>
      </w:pPr>
    </w:p>
    <w:p w14:paraId="167363B1">
      <w:pPr>
        <w:spacing w:line="588" w:lineRule="exact"/>
        <w:ind w:firstLine="480"/>
        <w:rPr>
          <w:rFonts w:ascii="仿宋" w:eastAsia="仿宋" w:cs="仿宋_GB2312"/>
          <w:sz w:val="24"/>
        </w:rPr>
      </w:pPr>
    </w:p>
    <w:p w14:paraId="4643753C">
      <w:pPr>
        <w:spacing w:line="588" w:lineRule="exact"/>
        <w:ind w:firstLine="480"/>
        <w:rPr>
          <w:rFonts w:ascii="仿宋" w:eastAsia="仿宋" w:cs="仿宋_GB2312"/>
          <w:sz w:val="24"/>
        </w:rPr>
      </w:pPr>
    </w:p>
    <w:p w14:paraId="2A2E3BCD">
      <w:pPr>
        <w:spacing w:line="588" w:lineRule="exact"/>
        <w:ind w:firstLine="480"/>
        <w:rPr>
          <w:rFonts w:ascii="仿宋" w:eastAsia="仿宋" w:cs="仿宋_GB2312"/>
          <w:sz w:val="24"/>
        </w:rPr>
      </w:pPr>
    </w:p>
    <w:p w14:paraId="7C2EB227">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14:paraId="237AA6DF">
      <w:pPr>
        <w:spacing w:line="480" w:lineRule="exact"/>
        <w:ind w:firstLine="480" w:firstLineChars="200"/>
        <w:jc w:val="right"/>
        <w:rPr>
          <w:rFonts w:ascii="仿宋" w:eastAsia="仿宋"/>
          <w:sz w:val="24"/>
        </w:rPr>
      </w:pPr>
      <w:r>
        <w:rPr>
          <w:rFonts w:hint="eastAsia" w:ascii="仿宋" w:eastAsia="仿宋"/>
          <w:sz w:val="24"/>
        </w:rPr>
        <w:t>日期：    年    月    日</w:t>
      </w:r>
    </w:p>
    <w:p w14:paraId="50282B2B">
      <w:pPr>
        <w:ind w:firstLine="480"/>
        <w:rPr>
          <w:rFonts w:ascii="仿宋" w:eastAsia="仿宋" w:cs="仿宋_GB2312"/>
          <w:sz w:val="24"/>
        </w:rPr>
      </w:pPr>
    </w:p>
    <w:p w14:paraId="61325D98">
      <w:pPr>
        <w:ind w:firstLine="420"/>
        <w:rPr>
          <w:rFonts w:ascii="仿宋" w:eastAsia="仿宋"/>
        </w:rPr>
      </w:pPr>
    </w:p>
    <w:p w14:paraId="1B8F7592">
      <w:pPr>
        <w:ind w:firstLine="420"/>
        <w:rPr>
          <w:rFonts w:ascii="仿宋" w:eastAsia="仿宋"/>
        </w:rPr>
      </w:pPr>
    </w:p>
    <w:p w14:paraId="24B0BD08">
      <w:pPr>
        <w:ind w:firstLine="420"/>
        <w:rPr>
          <w:rFonts w:ascii="仿宋" w:eastAsia="仿宋"/>
        </w:rPr>
      </w:pPr>
    </w:p>
    <w:p w14:paraId="611DBCFE">
      <w:pPr>
        <w:ind w:firstLine="420"/>
        <w:rPr>
          <w:rFonts w:ascii="仿宋" w:eastAsia="仿宋"/>
        </w:rPr>
      </w:pPr>
    </w:p>
    <w:p w14:paraId="4055FEFE">
      <w:pPr>
        <w:ind w:firstLine="420"/>
        <w:rPr>
          <w:rFonts w:ascii="仿宋" w:eastAsia="仿宋"/>
        </w:rPr>
      </w:pPr>
    </w:p>
    <w:p w14:paraId="25BB1E98">
      <w:pPr>
        <w:ind w:firstLine="420"/>
        <w:rPr>
          <w:rFonts w:ascii="仿宋" w:eastAsia="仿宋"/>
        </w:rPr>
      </w:pPr>
    </w:p>
    <w:p w14:paraId="1F285009">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24C96119">
      <w:pPr>
        <w:ind w:firstLine="420"/>
        <w:rPr>
          <w:rFonts w:ascii="仿宋" w:eastAsia="仿宋"/>
        </w:rPr>
      </w:pPr>
    </w:p>
    <w:p w14:paraId="66A580D5">
      <w:pPr>
        <w:snapToGrid w:val="0"/>
        <w:spacing w:before="156" w:beforeLines="50" w:after="50"/>
        <w:jc w:val="left"/>
        <w:rPr>
          <w:rFonts w:ascii="仿宋" w:eastAsia="仿宋"/>
          <w:b/>
          <w:sz w:val="30"/>
          <w:szCs w:val="30"/>
        </w:rPr>
      </w:pPr>
      <w:r>
        <w:rPr>
          <w:rFonts w:hint="eastAsia" w:ascii="仿宋" w:eastAsia="仿宋"/>
          <w:b/>
          <w:bCs/>
          <w:sz w:val="30"/>
          <w:szCs w:val="30"/>
        </w:rPr>
        <w:t>附件10</w:t>
      </w:r>
      <w:r>
        <w:rPr>
          <w:rFonts w:hint="eastAsia" w:ascii="仿宋" w:eastAsia="仿宋"/>
          <w:b/>
          <w:sz w:val="30"/>
          <w:szCs w:val="30"/>
        </w:rPr>
        <w:t>：商务和技术文件封面</w:t>
      </w:r>
    </w:p>
    <w:p w14:paraId="5D049F0E">
      <w:pPr>
        <w:snapToGrid w:val="0"/>
        <w:spacing w:before="156" w:beforeLines="50" w:after="50"/>
        <w:jc w:val="center"/>
        <w:rPr>
          <w:rFonts w:ascii="仿宋" w:eastAsia="仿宋"/>
          <w:b/>
          <w:sz w:val="30"/>
          <w:szCs w:val="30"/>
        </w:rPr>
      </w:pPr>
    </w:p>
    <w:p w14:paraId="0B80DDC3">
      <w:pPr>
        <w:snapToGrid w:val="0"/>
        <w:spacing w:before="156" w:beforeLines="50" w:after="50"/>
        <w:jc w:val="right"/>
        <w:rPr>
          <w:rFonts w:ascii="仿宋" w:eastAsia="仿宋"/>
          <w:bCs/>
          <w:sz w:val="30"/>
          <w:szCs w:val="30"/>
        </w:rPr>
      </w:pPr>
    </w:p>
    <w:p w14:paraId="2DFB631A">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626DA9E3">
      <w:pPr>
        <w:spacing w:before="312" w:beforeLines="100" w:line="400" w:lineRule="exact"/>
        <w:rPr>
          <w:rFonts w:ascii="仿宋" w:eastAsia="仿宋"/>
          <w:sz w:val="30"/>
          <w:szCs w:val="30"/>
          <w:u w:val="single"/>
        </w:rPr>
      </w:pPr>
      <w:r>
        <w:rPr>
          <w:rFonts w:hint="eastAsia" w:ascii="仿宋" w:eastAsia="仿宋"/>
          <w:sz w:val="30"/>
          <w:szCs w:val="30"/>
        </w:rPr>
        <w:t>项目编号：</w:t>
      </w:r>
    </w:p>
    <w:p w14:paraId="38587258">
      <w:pPr>
        <w:spacing w:before="312" w:beforeLines="100" w:line="400" w:lineRule="exact"/>
        <w:rPr>
          <w:rFonts w:ascii="仿宋" w:eastAsia="仿宋"/>
          <w:sz w:val="30"/>
          <w:szCs w:val="30"/>
        </w:rPr>
      </w:pPr>
      <w:r>
        <w:rPr>
          <w:rFonts w:hint="eastAsia" w:ascii="仿宋" w:eastAsia="仿宋"/>
          <w:sz w:val="30"/>
          <w:szCs w:val="30"/>
        </w:rPr>
        <w:t>标项：</w:t>
      </w:r>
    </w:p>
    <w:p w14:paraId="3A455D3D">
      <w:pPr>
        <w:spacing w:line="1200" w:lineRule="exact"/>
        <w:ind w:right="6"/>
        <w:jc w:val="center"/>
        <w:rPr>
          <w:rFonts w:ascii="仿宋" w:eastAsia="仿宋"/>
          <w:sz w:val="72"/>
          <w:szCs w:val="72"/>
        </w:rPr>
      </w:pPr>
      <w:r>
        <w:rPr>
          <w:rFonts w:hint="eastAsia" w:ascii="仿宋" w:eastAsia="仿宋"/>
          <w:sz w:val="72"/>
          <w:szCs w:val="72"/>
        </w:rPr>
        <w:t>商</w:t>
      </w:r>
    </w:p>
    <w:p w14:paraId="21352B6C">
      <w:pPr>
        <w:spacing w:line="1200" w:lineRule="exact"/>
        <w:ind w:right="6"/>
        <w:jc w:val="center"/>
        <w:rPr>
          <w:rFonts w:ascii="仿宋" w:eastAsia="仿宋"/>
          <w:sz w:val="72"/>
          <w:szCs w:val="72"/>
        </w:rPr>
      </w:pPr>
      <w:r>
        <w:rPr>
          <w:rFonts w:hint="eastAsia" w:ascii="仿宋" w:eastAsia="仿宋"/>
          <w:sz w:val="72"/>
          <w:szCs w:val="72"/>
        </w:rPr>
        <w:t>务</w:t>
      </w:r>
    </w:p>
    <w:p w14:paraId="179CF5CE">
      <w:pPr>
        <w:spacing w:line="1200" w:lineRule="exact"/>
        <w:ind w:right="6"/>
        <w:jc w:val="center"/>
        <w:rPr>
          <w:rFonts w:ascii="仿宋" w:eastAsia="仿宋"/>
          <w:sz w:val="72"/>
          <w:szCs w:val="72"/>
        </w:rPr>
      </w:pPr>
      <w:r>
        <w:rPr>
          <w:rFonts w:hint="eastAsia" w:ascii="仿宋" w:eastAsia="仿宋"/>
          <w:sz w:val="72"/>
          <w:szCs w:val="72"/>
        </w:rPr>
        <w:t>和</w:t>
      </w:r>
    </w:p>
    <w:p w14:paraId="22A25381">
      <w:pPr>
        <w:spacing w:line="1200" w:lineRule="exact"/>
        <w:ind w:right="6"/>
        <w:jc w:val="center"/>
        <w:rPr>
          <w:rFonts w:ascii="仿宋" w:eastAsia="仿宋"/>
          <w:sz w:val="72"/>
          <w:szCs w:val="72"/>
        </w:rPr>
      </w:pPr>
      <w:r>
        <w:rPr>
          <w:rFonts w:hint="eastAsia" w:ascii="仿宋" w:eastAsia="仿宋"/>
          <w:sz w:val="72"/>
          <w:szCs w:val="72"/>
        </w:rPr>
        <w:t>技</w:t>
      </w:r>
    </w:p>
    <w:p w14:paraId="2AA0CA75">
      <w:pPr>
        <w:spacing w:line="1200" w:lineRule="exact"/>
        <w:ind w:right="6"/>
        <w:jc w:val="center"/>
        <w:rPr>
          <w:rFonts w:ascii="仿宋" w:eastAsia="仿宋"/>
          <w:sz w:val="72"/>
          <w:szCs w:val="72"/>
        </w:rPr>
      </w:pPr>
      <w:r>
        <w:rPr>
          <w:rFonts w:hint="eastAsia" w:ascii="仿宋" w:eastAsia="仿宋"/>
          <w:sz w:val="72"/>
          <w:szCs w:val="72"/>
        </w:rPr>
        <w:t>术</w:t>
      </w:r>
    </w:p>
    <w:p w14:paraId="4229C92E">
      <w:pPr>
        <w:spacing w:line="1200" w:lineRule="exact"/>
        <w:ind w:right="6"/>
        <w:jc w:val="center"/>
        <w:rPr>
          <w:rFonts w:ascii="仿宋" w:eastAsia="仿宋"/>
          <w:sz w:val="72"/>
          <w:szCs w:val="72"/>
        </w:rPr>
      </w:pPr>
      <w:r>
        <w:rPr>
          <w:rFonts w:hint="eastAsia" w:ascii="仿宋" w:eastAsia="仿宋"/>
          <w:sz w:val="72"/>
          <w:szCs w:val="72"/>
        </w:rPr>
        <w:t>文</w:t>
      </w:r>
    </w:p>
    <w:p w14:paraId="0728A145">
      <w:pPr>
        <w:spacing w:line="1200" w:lineRule="exact"/>
        <w:ind w:right="6"/>
        <w:jc w:val="center"/>
        <w:rPr>
          <w:rFonts w:ascii="仿宋" w:eastAsia="仿宋"/>
          <w:sz w:val="72"/>
          <w:szCs w:val="72"/>
        </w:rPr>
      </w:pPr>
      <w:r>
        <w:rPr>
          <w:rFonts w:hint="eastAsia" w:ascii="仿宋" w:eastAsia="仿宋"/>
          <w:sz w:val="72"/>
          <w:szCs w:val="72"/>
        </w:rPr>
        <w:t>件</w:t>
      </w:r>
    </w:p>
    <w:p w14:paraId="302D3794">
      <w:pPr>
        <w:spacing w:line="500" w:lineRule="exact"/>
        <w:ind w:right="7"/>
        <w:jc w:val="center"/>
        <w:rPr>
          <w:rFonts w:ascii="仿宋" w:eastAsia="仿宋"/>
          <w:sz w:val="36"/>
          <w:szCs w:val="36"/>
        </w:rPr>
      </w:pPr>
    </w:p>
    <w:p w14:paraId="7E61DB69">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0BBF79E8">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215BA504">
      <w:pPr>
        <w:spacing w:line="400" w:lineRule="exact"/>
        <w:ind w:right="-110"/>
        <w:rPr>
          <w:rFonts w:ascii="仿宋" w:eastAsia="仿宋"/>
          <w:spacing w:val="40"/>
          <w:sz w:val="30"/>
          <w:szCs w:val="30"/>
        </w:rPr>
      </w:pPr>
      <w:r>
        <w:rPr>
          <w:rFonts w:hint="eastAsia" w:ascii="仿宋" w:eastAsia="仿宋"/>
          <w:spacing w:val="40"/>
          <w:sz w:val="30"/>
          <w:szCs w:val="30"/>
        </w:rPr>
        <w:t>日期：</w:t>
      </w:r>
    </w:p>
    <w:p w14:paraId="763D428B">
      <w:pPr>
        <w:snapToGrid w:val="0"/>
        <w:spacing w:before="156"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1：商务和技术文件目录</w:t>
      </w:r>
    </w:p>
    <w:p w14:paraId="01514CE2">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14:paraId="729FDA27">
      <w:pPr>
        <w:pStyle w:val="19"/>
        <w:spacing w:line="360" w:lineRule="auto"/>
        <w:ind w:firstLine="0" w:firstLineChars="0"/>
        <w:jc w:val="left"/>
        <w:rPr>
          <w:rFonts w:ascii="仿宋" w:eastAsia="仿宋" w:cs="仿宋_GB2312"/>
        </w:rPr>
      </w:pPr>
      <w:bookmarkStart w:id="64"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64"/>
    </w:p>
    <w:p w14:paraId="1ACFBDD8">
      <w:pPr>
        <w:pStyle w:val="19"/>
        <w:spacing w:line="360" w:lineRule="auto"/>
        <w:ind w:firstLine="0" w:firstLineChars="0"/>
        <w:jc w:val="left"/>
        <w:rPr>
          <w:rFonts w:ascii="仿宋" w:eastAsia="仿宋" w:cs="仿宋_GB2312"/>
        </w:rPr>
      </w:pPr>
      <w:bookmarkStart w:id="65" w:name="_Toc64369790"/>
      <w:r>
        <w:rPr>
          <w:rFonts w:hint="eastAsia" w:ascii="仿宋" w:eastAsia="仿宋" w:cs="仿宋_GB2312"/>
        </w:rPr>
        <w:t>2.技术响应表…………………………………………………………………（页码）</w:t>
      </w:r>
      <w:bookmarkEnd w:id="65"/>
    </w:p>
    <w:p w14:paraId="473753BD">
      <w:pPr>
        <w:pStyle w:val="19"/>
        <w:spacing w:line="360" w:lineRule="auto"/>
        <w:ind w:firstLine="0" w:firstLineChars="0"/>
        <w:jc w:val="left"/>
        <w:rPr>
          <w:rFonts w:ascii="仿宋" w:eastAsia="仿宋" w:cs="仿宋_GB2312"/>
        </w:rPr>
      </w:pPr>
      <w:bookmarkStart w:id="66" w:name="_Toc64369791"/>
      <w:r>
        <w:rPr>
          <w:rFonts w:hint="eastAsia" w:ascii="仿宋" w:eastAsia="仿宋" w:cs="仿宋_GB2312"/>
        </w:rPr>
        <w:t>3.商务响应表…………………………………………………………………（页码）</w:t>
      </w:r>
      <w:bookmarkEnd w:id="66"/>
    </w:p>
    <w:p w14:paraId="0D3399FC">
      <w:pPr>
        <w:pStyle w:val="19"/>
        <w:spacing w:line="360" w:lineRule="auto"/>
        <w:ind w:firstLine="0" w:firstLineChars="0"/>
        <w:jc w:val="left"/>
        <w:rPr>
          <w:rFonts w:ascii="仿宋" w:eastAsia="仿宋" w:cs="仿宋_GB2312"/>
        </w:rPr>
      </w:pPr>
      <w:bookmarkStart w:id="67"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67"/>
    </w:p>
    <w:p w14:paraId="173F2F13">
      <w:pPr>
        <w:pStyle w:val="19"/>
        <w:spacing w:line="360" w:lineRule="auto"/>
        <w:ind w:firstLine="0" w:firstLineChars="0"/>
        <w:jc w:val="left"/>
        <w:rPr>
          <w:rFonts w:ascii="仿宋" w:eastAsia="仿宋" w:cs="仿宋_GB2312"/>
        </w:rPr>
      </w:pPr>
      <w:bookmarkStart w:id="68"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68"/>
    </w:p>
    <w:p w14:paraId="74A310E6">
      <w:pPr>
        <w:pStyle w:val="19"/>
        <w:spacing w:line="360" w:lineRule="auto"/>
        <w:ind w:firstLine="0" w:firstLineChars="0"/>
        <w:jc w:val="left"/>
        <w:rPr>
          <w:rFonts w:ascii="仿宋" w:eastAsia="仿宋" w:cs="仿宋_GB2312"/>
        </w:rPr>
      </w:pPr>
      <w:bookmarkStart w:id="69" w:name="_Toc64369796"/>
      <w:r>
        <w:rPr>
          <w:rFonts w:hint="eastAsia" w:ascii="仿宋" w:eastAsia="仿宋" w:cs="仿宋_GB2312"/>
        </w:rPr>
        <w:t>6.类似业绩一览表（附业绩证明材料）</w:t>
      </w:r>
      <w:r>
        <w:rPr>
          <w:rFonts w:ascii="仿宋" w:eastAsia="仿宋" w:cs="仿宋_GB2312"/>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9"/>
    </w:p>
    <w:p w14:paraId="5601B06D">
      <w:pPr>
        <w:pStyle w:val="20"/>
        <w:numPr>
          <w:ilvl w:val="0"/>
          <w:numId w:val="0"/>
        </w:numPr>
        <w:rPr>
          <w:rFonts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62FC63F5">
      <w:pPr>
        <w:pStyle w:val="19"/>
        <w:spacing w:line="360" w:lineRule="auto"/>
        <w:ind w:firstLine="0" w:firstLineChars="0"/>
        <w:jc w:val="left"/>
        <w:rPr>
          <w:rFonts w:ascii="仿宋" w:eastAsia="仿宋" w:cs="仿宋_GB2312"/>
        </w:rPr>
      </w:pPr>
      <w:bookmarkStart w:id="70"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0"/>
    </w:p>
    <w:p w14:paraId="5771F59C">
      <w:pPr>
        <w:pStyle w:val="19"/>
        <w:spacing w:line="360" w:lineRule="auto"/>
        <w:ind w:firstLine="0" w:firstLineChars="0"/>
        <w:jc w:val="left"/>
        <w:rPr>
          <w:rFonts w:ascii="仿宋" w:eastAsia="仿宋" w:cs="仿宋_GB2312"/>
          <w:lang w:val="zh-CN"/>
        </w:rPr>
      </w:pPr>
      <w:r>
        <w:rPr>
          <w:rFonts w:ascii="仿宋" w:eastAsia="仿宋" w:cs="仿宋_GB2312"/>
          <w:lang w:val="zh-CN"/>
        </w:rPr>
        <w:t>9</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031F876A">
      <w:pPr>
        <w:pStyle w:val="19"/>
        <w:spacing w:line="360" w:lineRule="auto"/>
        <w:ind w:firstLine="0" w:firstLineChars="0"/>
        <w:jc w:val="left"/>
        <w:rPr>
          <w:rFonts w:ascii="仿宋" w:eastAsia="仿宋" w:cs="仿宋_GB2312"/>
        </w:rPr>
      </w:pPr>
      <w:bookmarkStart w:id="71"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1"/>
    </w:p>
    <w:p w14:paraId="31641715">
      <w:pPr>
        <w:pStyle w:val="20"/>
        <w:numPr>
          <w:ilvl w:val="0"/>
          <w:numId w:val="0"/>
        </w:numPr>
        <w:rPr>
          <w:rFonts w:ascii="仿宋" w:eastAsia="仿宋"/>
        </w:rPr>
      </w:pPr>
    </w:p>
    <w:p w14:paraId="4DC2D291">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w:t>
      </w:r>
    </w:p>
    <w:p w14:paraId="366CC31C">
      <w:pPr>
        <w:rPr>
          <w:rFonts w:ascii="仿宋" w:eastAsia="仿宋"/>
        </w:rPr>
      </w:pPr>
    </w:p>
    <w:p w14:paraId="742100A7">
      <w:pPr>
        <w:rPr>
          <w:rFonts w:ascii="仿宋" w:eastAsia="仿宋"/>
        </w:rPr>
      </w:pPr>
    </w:p>
    <w:p w14:paraId="40E40898">
      <w:pPr>
        <w:rPr>
          <w:rFonts w:ascii="仿宋" w:eastAsia="仿宋"/>
        </w:rPr>
      </w:pPr>
    </w:p>
    <w:p w14:paraId="2BD64EDF">
      <w:pPr>
        <w:rPr>
          <w:rFonts w:ascii="仿宋" w:eastAsia="仿宋"/>
        </w:rPr>
      </w:pPr>
    </w:p>
    <w:p w14:paraId="7DDAF922">
      <w:pPr>
        <w:rPr>
          <w:rFonts w:ascii="仿宋" w:eastAsia="仿宋"/>
        </w:rPr>
      </w:pPr>
    </w:p>
    <w:p w14:paraId="23154634">
      <w:pPr>
        <w:rPr>
          <w:rFonts w:ascii="仿宋" w:eastAsia="仿宋"/>
        </w:rPr>
      </w:pPr>
    </w:p>
    <w:p w14:paraId="119CF7C3">
      <w:pPr>
        <w:rPr>
          <w:rFonts w:ascii="仿宋" w:eastAsia="仿宋"/>
        </w:rPr>
      </w:pPr>
    </w:p>
    <w:p w14:paraId="221DEC55">
      <w:pPr>
        <w:rPr>
          <w:rFonts w:ascii="仿宋" w:eastAsia="仿宋"/>
        </w:rPr>
      </w:pPr>
    </w:p>
    <w:p w14:paraId="75714B46">
      <w:pPr>
        <w:rPr>
          <w:rFonts w:ascii="仿宋" w:eastAsia="仿宋"/>
        </w:rPr>
      </w:pPr>
    </w:p>
    <w:p w14:paraId="27207BF7">
      <w:pPr>
        <w:rPr>
          <w:rFonts w:ascii="仿宋" w:eastAsia="仿宋"/>
        </w:rPr>
      </w:pPr>
    </w:p>
    <w:p w14:paraId="089885EB">
      <w:pPr>
        <w:rPr>
          <w:rFonts w:ascii="仿宋" w:eastAsia="仿宋"/>
        </w:rPr>
      </w:pPr>
    </w:p>
    <w:p w14:paraId="3341408C">
      <w:pPr>
        <w:rPr>
          <w:rFonts w:ascii="仿宋" w:eastAsia="仿宋"/>
        </w:rPr>
      </w:pPr>
    </w:p>
    <w:p w14:paraId="6174B31D">
      <w:pPr>
        <w:rPr>
          <w:rFonts w:ascii="仿宋" w:eastAsia="仿宋"/>
        </w:rPr>
      </w:pPr>
    </w:p>
    <w:p w14:paraId="5EA4430E">
      <w:pPr>
        <w:rPr>
          <w:rFonts w:ascii="仿宋" w:eastAsia="仿宋"/>
        </w:rPr>
      </w:pPr>
    </w:p>
    <w:p w14:paraId="315A440F">
      <w:pPr>
        <w:rPr>
          <w:rFonts w:ascii="仿宋" w:eastAsia="仿宋"/>
        </w:rPr>
      </w:pPr>
    </w:p>
    <w:p w14:paraId="4F380BD8">
      <w:pPr>
        <w:rPr>
          <w:rFonts w:ascii="仿宋" w:eastAsia="仿宋"/>
        </w:rPr>
      </w:pPr>
    </w:p>
    <w:p w14:paraId="7C9D0DF9">
      <w:pPr>
        <w:rPr>
          <w:rFonts w:ascii="仿宋" w:eastAsia="仿宋"/>
        </w:rPr>
      </w:pPr>
    </w:p>
    <w:p w14:paraId="65BE83E8">
      <w:pPr>
        <w:rPr>
          <w:rFonts w:ascii="仿宋" w:eastAsia="仿宋"/>
        </w:rPr>
      </w:pPr>
    </w:p>
    <w:p w14:paraId="3333D06A">
      <w:pPr>
        <w:rPr>
          <w:rFonts w:ascii="仿宋" w:eastAsia="仿宋"/>
        </w:rPr>
      </w:pPr>
    </w:p>
    <w:p w14:paraId="299FE99E">
      <w:pPr>
        <w:rPr>
          <w:rFonts w:ascii="仿宋" w:eastAsia="仿宋"/>
        </w:rPr>
      </w:pPr>
    </w:p>
    <w:p w14:paraId="2A967857">
      <w:pPr>
        <w:rPr>
          <w:rFonts w:ascii="仿宋" w:eastAsia="仿宋"/>
        </w:rPr>
      </w:pPr>
    </w:p>
    <w:p w14:paraId="0509BC2F">
      <w:pPr>
        <w:rPr>
          <w:rFonts w:ascii="仿宋" w:eastAsia="仿宋"/>
        </w:rPr>
      </w:pPr>
    </w:p>
    <w:p w14:paraId="08EA0E93">
      <w:pPr>
        <w:rPr>
          <w:rFonts w:ascii="仿宋" w:eastAsia="仿宋"/>
        </w:rPr>
      </w:pPr>
    </w:p>
    <w:p w14:paraId="4172B31C">
      <w:pPr>
        <w:rPr>
          <w:rFonts w:ascii="仿宋" w:eastAsia="仿宋"/>
        </w:rPr>
      </w:pPr>
    </w:p>
    <w:p w14:paraId="1EBA0F61">
      <w:pPr>
        <w:pStyle w:val="22"/>
        <w:spacing w:afterLines="0" w:line="440" w:lineRule="exact"/>
        <w:ind w:firstLine="0" w:firstLineChars="0"/>
        <w:rPr>
          <w:rFonts w:ascii="仿宋" w:eastAsia="仿宋"/>
          <w:b/>
          <w:bCs/>
          <w:sz w:val="28"/>
          <w:szCs w:val="28"/>
        </w:rPr>
      </w:pPr>
      <w:r>
        <w:rPr>
          <w:rFonts w:hint="eastAsia" w:ascii="仿宋" w:eastAsia="仿宋"/>
          <w:b/>
          <w:bCs/>
          <w:sz w:val="28"/>
          <w:szCs w:val="28"/>
        </w:rPr>
        <w:t>附件12：项目明细清单</w:t>
      </w:r>
    </w:p>
    <w:p w14:paraId="54A3E41C">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14:paraId="297E6374">
      <w:pPr>
        <w:snapToGrid w:val="0"/>
        <w:spacing w:before="50" w:after="156" w:afterLines="50"/>
        <w:jc w:val="center"/>
        <w:rPr>
          <w:rFonts w:ascii="仿宋" w:eastAsia="仿宋"/>
          <w:b/>
          <w:spacing w:val="40"/>
          <w:kern w:val="0"/>
          <w:sz w:val="36"/>
          <w:szCs w:val="36"/>
        </w:rPr>
      </w:pPr>
    </w:p>
    <w:p w14:paraId="18071A01">
      <w:pPr>
        <w:pStyle w:val="8"/>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795A2AFE">
      <w:pPr>
        <w:snapToGrid w:val="0"/>
        <w:spacing w:before="156" w:beforeLines="50"/>
        <w:rPr>
          <w:rFonts w:ascii="仿宋" w:eastAsia="仿宋"/>
          <w:sz w:val="30"/>
          <w:szCs w:val="30"/>
        </w:rPr>
      </w:pPr>
      <w:r>
        <w:rPr>
          <w:rFonts w:hint="eastAsia" w:ascii="仿宋" w:eastAsia="仿宋"/>
          <w:sz w:val="30"/>
          <w:szCs w:val="30"/>
        </w:rPr>
        <w:t>服务部分</w:t>
      </w:r>
    </w:p>
    <w:tbl>
      <w:tblPr>
        <w:tblStyle w:val="1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4E298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9106D57">
            <w:pPr>
              <w:snapToGrid w:val="0"/>
              <w:spacing w:before="50" w:after="50"/>
              <w:jc w:val="center"/>
              <w:rPr>
                <w:rFonts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7679081B">
            <w:pPr>
              <w:snapToGrid w:val="0"/>
              <w:spacing w:before="50" w:after="50"/>
              <w:jc w:val="center"/>
              <w:rPr>
                <w:rFonts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BEA8936">
            <w:pPr>
              <w:snapToGrid w:val="0"/>
              <w:spacing w:before="50" w:after="50"/>
              <w:jc w:val="center"/>
              <w:rPr>
                <w:rFonts w:ascii="仿宋" w:eastAsia="仿宋"/>
                <w:sz w:val="30"/>
                <w:szCs w:val="30"/>
              </w:rPr>
            </w:pPr>
            <w:r>
              <w:rPr>
                <w:rFonts w:hint="eastAsia" w:ascii="仿宋" w:eastAsia="仿宋"/>
                <w:sz w:val="30"/>
                <w:szCs w:val="30"/>
              </w:rPr>
              <w:t>服务人员</w:t>
            </w:r>
          </w:p>
          <w:p w14:paraId="12257558">
            <w:pPr>
              <w:snapToGrid w:val="0"/>
              <w:spacing w:before="50" w:after="50"/>
              <w:jc w:val="center"/>
              <w:rPr>
                <w:rFonts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345357F8">
            <w:pPr>
              <w:snapToGrid w:val="0"/>
              <w:spacing w:before="50" w:after="50"/>
              <w:jc w:val="center"/>
              <w:rPr>
                <w:rFonts w:ascii="仿宋" w:eastAsia="仿宋"/>
                <w:sz w:val="30"/>
                <w:szCs w:val="30"/>
              </w:rPr>
            </w:pPr>
            <w:r>
              <w:rPr>
                <w:rFonts w:hint="eastAsia" w:ascii="仿宋" w:eastAsia="仿宋"/>
                <w:sz w:val="30"/>
                <w:szCs w:val="30"/>
              </w:rPr>
              <w:t>服务内容</w:t>
            </w:r>
          </w:p>
        </w:tc>
      </w:tr>
      <w:tr w14:paraId="6170A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96A18AC">
            <w:pPr>
              <w:snapToGrid w:val="0"/>
              <w:spacing w:before="50" w:after="50"/>
              <w:jc w:val="center"/>
              <w:rPr>
                <w:rFonts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4D6DAD0E">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E9C8D53">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3909805">
            <w:pPr>
              <w:snapToGrid w:val="0"/>
              <w:spacing w:before="50" w:after="50"/>
              <w:jc w:val="center"/>
              <w:rPr>
                <w:rFonts w:ascii="仿宋" w:eastAsia="仿宋"/>
                <w:sz w:val="30"/>
                <w:szCs w:val="30"/>
              </w:rPr>
            </w:pPr>
          </w:p>
        </w:tc>
      </w:tr>
      <w:tr w14:paraId="14D61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917ECB8">
            <w:pPr>
              <w:snapToGrid w:val="0"/>
              <w:spacing w:before="50" w:after="50"/>
              <w:jc w:val="center"/>
              <w:rPr>
                <w:rFonts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49A8F3D9">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0099A1A">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4646C64">
            <w:pPr>
              <w:snapToGrid w:val="0"/>
              <w:spacing w:before="50" w:after="50"/>
              <w:jc w:val="center"/>
              <w:rPr>
                <w:rFonts w:ascii="仿宋" w:eastAsia="仿宋"/>
                <w:sz w:val="30"/>
                <w:szCs w:val="30"/>
              </w:rPr>
            </w:pPr>
          </w:p>
        </w:tc>
      </w:tr>
      <w:tr w14:paraId="06B32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37D3643">
            <w:pPr>
              <w:snapToGrid w:val="0"/>
              <w:spacing w:before="50" w:after="50"/>
              <w:jc w:val="center"/>
              <w:rPr>
                <w:rFonts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1C76E4A3">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4F3A3EA">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8CB38A0">
            <w:pPr>
              <w:snapToGrid w:val="0"/>
              <w:spacing w:before="50" w:after="50"/>
              <w:jc w:val="center"/>
              <w:rPr>
                <w:rFonts w:ascii="仿宋" w:eastAsia="仿宋"/>
                <w:sz w:val="30"/>
                <w:szCs w:val="30"/>
              </w:rPr>
            </w:pPr>
          </w:p>
        </w:tc>
      </w:tr>
    </w:tbl>
    <w:p w14:paraId="4E4B23EF">
      <w:pPr>
        <w:pStyle w:val="8"/>
        <w:snapToGrid w:val="0"/>
        <w:rPr>
          <w:rFonts w:ascii="仿宋" w:eastAsia="仿宋"/>
          <w:sz w:val="30"/>
          <w:szCs w:val="30"/>
        </w:rPr>
      </w:pPr>
      <w:r>
        <w:rPr>
          <w:rFonts w:hint="eastAsia" w:ascii="仿宋" w:eastAsia="仿宋"/>
          <w:sz w:val="30"/>
          <w:szCs w:val="30"/>
        </w:rPr>
        <w:t>货物部分（如有）</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BBDD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CB4630A">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741D109">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0FBCF72">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9FC87AD">
            <w:pPr>
              <w:snapToGrid w:val="0"/>
              <w:spacing w:before="50" w:after="50"/>
              <w:jc w:val="center"/>
              <w:rPr>
                <w:rFonts w:ascii="仿宋" w:eastAsia="仿宋"/>
                <w:sz w:val="30"/>
                <w:szCs w:val="30"/>
              </w:rPr>
            </w:pPr>
            <w:r>
              <w:rPr>
                <w:rFonts w:hint="eastAsia" w:ascii="仿宋" w:eastAsia="仿宋"/>
                <w:sz w:val="30"/>
                <w:szCs w:val="30"/>
              </w:rPr>
              <w:t>规格</w:t>
            </w:r>
          </w:p>
          <w:p w14:paraId="399E6C1A">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B0E55C6">
            <w:pPr>
              <w:snapToGrid w:val="0"/>
              <w:spacing w:before="50" w:after="50"/>
              <w:jc w:val="center"/>
              <w:rPr>
                <w:rFonts w:ascii="仿宋" w:eastAsia="仿宋"/>
                <w:sz w:val="30"/>
                <w:szCs w:val="30"/>
              </w:rPr>
            </w:pPr>
            <w:r>
              <w:rPr>
                <w:rFonts w:hint="eastAsia" w:ascii="仿宋" w:eastAsia="仿宋"/>
                <w:sz w:val="30"/>
                <w:szCs w:val="30"/>
              </w:rPr>
              <w:t>单位及</w:t>
            </w:r>
          </w:p>
          <w:p w14:paraId="5B9E3EC9">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4548261">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436E382">
            <w:pPr>
              <w:snapToGrid w:val="0"/>
              <w:spacing w:before="50" w:after="50"/>
              <w:jc w:val="center"/>
              <w:rPr>
                <w:rFonts w:ascii="仿宋" w:eastAsia="仿宋"/>
                <w:sz w:val="30"/>
                <w:szCs w:val="30"/>
              </w:rPr>
            </w:pPr>
            <w:r>
              <w:rPr>
                <w:rFonts w:hint="eastAsia" w:ascii="仿宋" w:eastAsia="仿宋"/>
                <w:sz w:val="30"/>
                <w:szCs w:val="30"/>
              </w:rPr>
              <w:t>产地</w:t>
            </w:r>
          </w:p>
        </w:tc>
      </w:tr>
      <w:tr w14:paraId="51B55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2853E05">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25390078">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31E284B">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37E74A1">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080E6AD">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DCA5611">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146E4BD">
            <w:pPr>
              <w:snapToGrid w:val="0"/>
              <w:spacing w:before="50" w:after="50"/>
              <w:jc w:val="center"/>
              <w:rPr>
                <w:rFonts w:ascii="仿宋" w:eastAsia="仿宋"/>
                <w:sz w:val="30"/>
                <w:szCs w:val="30"/>
              </w:rPr>
            </w:pPr>
          </w:p>
        </w:tc>
      </w:tr>
      <w:tr w14:paraId="1933D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5333889">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7C51FD96">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EEDA4DD">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ADB82CE">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BEC5743">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D6C11FE">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9E9AFDF">
            <w:pPr>
              <w:snapToGrid w:val="0"/>
              <w:spacing w:before="50" w:after="50"/>
              <w:jc w:val="center"/>
              <w:rPr>
                <w:rFonts w:ascii="仿宋" w:eastAsia="仿宋"/>
                <w:sz w:val="30"/>
                <w:szCs w:val="30"/>
              </w:rPr>
            </w:pPr>
          </w:p>
        </w:tc>
      </w:tr>
      <w:tr w14:paraId="4CC0C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DAC695A">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4AABD7A">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7B3B21A">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784CF8">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2CE925D">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7DBDB7F">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616EA59">
            <w:pPr>
              <w:snapToGrid w:val="0"/>
              <w:spacing w:before="50" w:after="50"/>
              <w:jc w:val="center"/>
              <w:rPr>
                <w:rFonts w:ascii="仿宋" w:eastAsia="仿宋"/>
                <w:sz w:val="30"/>
                <w:szCs w:val="30"/>
              </w:rPr>
            </w:pPr>
          </w:p>
        </w:tc>
      </w:tr>
    </w:tbl>
    <w:p w14:paraId="1A8F1F4C">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0F454CA4">
      <w:pPr>
        <w:snapToGrid w:val="0"/>
        <w:spacing w:before="156" w:beforeLines="50"/>
        <w:rPr>
          <w:rFonts w:ascii="仿宋" w:eastAsia="仿宋"/>
          <w:sz w:val="30"/>
          <w:szCs w:val="30"/>
        </w:rPr>
      </w:pPr>
    </w:p>
    <w:p w14:paraId="5B534280">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14:paraId="7673576F">
      <w:pPr>
        <w:snapToGrid w:val="0"/>
        <w:spacing w:before="156" w:beforeLines="50"/>
        <w:rPr>
          <w:rFonts w:ascii="仿宋" w:eastAsia="仿宋"/>
          <w:sz w:val="30"/>
          <w:szCs w:val="30"/>
        </w:rPr>
      </w:pPr>
      <w:r>
        <w:rPr>
          <w:rFonts w:hint="eastAsia" w:ascii="仿宋" w:eastAsia="仿宋"/>
          <w:sz w:val="30"/>
          <w:szCs w:val="30"/>
        </w:rPr>
        <w:t xml:space="preserve">日期： </w:t>
      </w:r>
    </w:p>
    <w:p w14:paraId="40850893">
      <w:pPr>
        <w:snapToGrid w:val="0"/>
        <w:spacing w:before="50" w:after="50"/>
        <w:rPr>
          <w:rFonts w:ascii="仿宋" w:eastAsia="仿宋"/>
          <w:spacing w:val="20"/>
          <w:sz w:val="30"/>
          <w:szCs w:val="30"/>
        </w:rPr>
      </w:pPr>
    </w:p>
    <w:p w14:paraId="25A598FA">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3：技术响应表</w:t>
      </w:r>
    </w:p>
    <w:p w14:paraId="75C7DF16">
      <w:pPr>
        <w:snapToGrid w:val="0"/>
        <w:spacing w:before="50" w:after="50"/>
        <w:rPr>
          <w:rFonts w:ascii="仿宋" w:eastAsia="仿宋"/>
          <w:b/>
          <w:bCs/>
          <w:sz w:val="30"/>
          <w:szCs w:val="30"/>
        </w:rPr>
      </w:pPr>
    </w:p>
    <w:p w14:paraId="02D0B5DB">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14:paraId="1CE113F9">
      <w:pPr>
        <w:snapToGrid w:val="0"/>
        <w:spacing w:before="50" w:after="156" w:afterLines="50"/>
        <w:jc w:val="center"/>
        <w:rPr>
          <w:rFonts w:ascii="仿宋" w:eastAsia="仿宋"/>
          <w:b/>
          <w:spacing w:val="40"/>
          <w:kern w:val="0"/>
          <w:sz w:val="36"/>
          <w:szCs w:val="36"/>
        </w:rPr>
      </w:pPr>
    </w:p>
    <w:p w14:paraId="3078E88F">
      <w:pPr>
        <w:pStyle w:val="8"/>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69E5C4F0">
      <w:pPr>
        <w:pStyle w:val="8"/>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1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278E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1D2D794D">
            <w:pPr>
              <w:snapToGrid w:val="0"/>
              <w:spacing w:before="50" w:after="50"/>
              <w:rPr>
                <w:rFonts w:ascii="仿宋" w:eastAsia="仿宋"/>
                <w:spacing w:val="20"/>
                <w:sz w:val="24"/>
                <w:szCs w:val="24"/>
              </w:rPr>
            </w:pPr>
            <w:bookmarkStart w:id="72" w:name="_Toc64369807"/>
            <w:r>
              <w:rPr>
                <w:rFonts w:hint="eastAsia" w:ascii="仿宋" w:eastAsia="仿宋"/>
                <w:spacing w:val="20"/>
                <w:sz w:val="24"/>
                <w:szCs w:val="24"/>
              </w:rPr>
              <w:t>服务部分</w:t>
            </w:r>
            <w:bookmarkEnd w:id="72"/>
          </w:p>
        </w:tc>
      </w:tr>
      <w:tr w14:paraId="0AA16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B51797F">
            <w:pPr>
              <w:snapToGrid w:val="0"/>
              <w:spacing w:before="50" w:after="50"/>
              <w:jc w:val="center"/>
              <w:rPr>
                <w:rFonts w:ascii="仿宋" w:eastAsia="仿宋"/>
                <w:spacing w:val="20"/>
                <w:sz w:val="24"/>
                <w:szCs w:val="24"/>
              </w:rPr>
            </w:pPr>
            <w:bookmarkStart w:id="73" w:name="_Toc64369800"/>
            <w:r>
              <w:rPr>
                <w:rFonts w:hint="eastAsia" w:ascii="仿宋" w:eastAsia="仿宋"/>
                <w:spacing w:val="20"/>
                <w:sz w:val="24"/>
                <w:szCs w:val="24"/>
              </w:rPr>
              <w:t>序号</w:t>
            </w:r>
            <w:bookmarkEnd w:id="73"/>
          </w:p>
        </w:tc>
        <w:tc>
          <w:tcPr>
            <w:tcW w:w="1861" w:type="dxa"/>
            <w:tcBorders>
              <w:top w:val="single" w:color="auto" w:sz="4" w:space="0"/>
              <w:left w:val="single" w:color="auto" w:sz="4" w:space="0"/>
              <w:bottom w:val="single" w:color="auto" w:sz="4" w:space="0"/>
              <w:right w:val="single" w:color="auto" w:sz="4" w:space="0"/>
            </w:tcBorders>
            <w:noWrap/>
            <w:vAlign w:val="center"/>
          </w:tcPr>
          <w:p w14:paraId="59F7D84D">
            <w:pPr>
              <w:snapToGrid w:val="0"/>
              <w:spacing w:before="50" w:after="50"/>
              <w:jc w:val="center"/>
              <w:rPr>
                <w:rFonts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0E10A42">
            <w:pPr>
              <w:snapToGrid w:val="0"/>
              <w:spacing w:before="50" w:after="50"/>
              <w:jc w:val="center"/>
              <w:rPr>
                <w:rFonts w:ascii="仿宋" w:eastAsia="仿宋"/>
                <w:spacing w:val="20"/>
                <w:sz w:val="24"/>
                <w:szCs w:val="24"/>
              </w:rPr>
            </w:pPr>
            <w:bookmarkStart w:id="74" w:name="_Toc64369801"/>
            <w:bookmarkStart w:id="75" w:name="_Toc64369802"/>
            <w:r>
              <w:rPr>
                <w:rFonts w:hint="eastAsia" w:ascii="仿宋" w:eastAsia="仿宋"/>
                <w:spacing w:val="20"/>
                <w:sz w:val="24"/>
                <w:szCs w:val="24"/>
              </w:rPr>
              <w:t>采购文件</w:t>
            </w:r>
          </w:p>
          <w:p w14:paraId="19914D11">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74"/>
          </w:p>
        </w:tc>
        <w:tc>
          <w:tcPr>
            <w:tcW w:w="2105" w:type="dxa"/>
            <w:tcBorders>
              <w:top w:val="single" w:color="auto" w:sz="4" w:space="0"/>
              <w:left w:val="single" w:color="auto" w:sz="4" w:space="0"/>
              <w:bottom w:val="single" w:color="auto" w:sz="4" w:space="0"/>
              <w:right w:val="single" w:color="auto" w:sz="4" w:space="0"/>
            </w:tcBorders>
            <w:noWrap/>
            <w:vAlign w:val="center"/>
          </w:tcPr>
          <w:p w14:paraId="769CFFFC">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05EFFE0B">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75"/>
          </w:p>
        </w:tc>
        <w:tc>
          <w:tcPr>
            <w:tcW w:w="1396" w:type="dxa"/>
            <w:tcBorders>
              <w:top w:val="single" w:color="auto" w:sz="4" w:space="0"/>
              <w:left w:val="single" w:color="auto" w:sz="4" w:space="0"/>
              <w:bottom w:val="single" w:color="auto" w:sz="4" w:space="0"/>
              <w:right w:val="single" w:color="auto" w:sz="4" w:space="0"/>
            </w:tcBorders>
            <w:noWrap/>
            <w:vAlign w:val="center"/>
          </w:tcPr>
          <w:p w14:paraId="643B9915">
            <w:pPr>
              <w:snapToGrid w:val="0"/>
              <w:spacing w:before="50" w:after="50"/>
              <w:jc w:val="center"/>
              <w:rPr>
                <w:rFonts w:ascii="仿宋" w:eastAsia="仿宋"/>
                <w:spacing w:val="20"/>
                <w:sz w:val="24"/>
                <w:szCs w:val="24"/>
              </w:rPr>
            </w:pPr>
            <w:bookmarkStart w:id="76" w:name="_Toc64369803"/>
            <w:r>
              <w:rPr>
                <w:rFonts w:hint="eastAsia" w:ascii="仿宋" w:eastAsia="仿宋"/>
                <w:spacing w:val="20"/>
                <w:sz w:val="24"/>
                <w:szCs w:val="24"/>
              </w:rPr>
              <w:t>偏离</w:t>
            </w:r>
          </w:p>
          <w:p w14:paraId="77574D11">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76"/>
          </w:p>
        </w:tc>
      </w:tr>
      <w:tr w14:paraId="4DB61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18F0B0A">
            <w:pPr>
              <w:snapToGrid w:val="0"/>
              <w:spacing w:before="50" w:after="50"/>
              <w:rPr>
                <w:rFonts w:ascii="仿宋" w:eastAsia="仿宋"/>
                <w:spacing w:val="20"/>
                <w:sz w:val="24"/>
                <w:szCs w:val="24"/>
              </w:rPr>
            </w:pPr>
            <w:bookmarkStart w:id="77" w:name="_Toc64369804"/>
            <w:r>
              <w:rPr>
                <w:rFonts w:hint="eastAsia" w:ascii="仿宋" w:eastAsia="仿宋"/>
                <w:spacing w:val="20"/>
                <w:sz w:val="24"/>
                <w:szCs w:val="24"/>
              </w:rPr>
              <w:t>1</w:t>
            </w:r>
            <w:bookmarkEnd w:id="77"/>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E39418A">
            <w:pPr>
              <w:snapToGrid w:val="0"/>
              <w:spacing w:before="50" w:after="50"/>
              <w:rPr>
                <w:rFonts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63B4B22">
            <w:pPr>
              <w:snapToGrid w:val="0"/>
              <w:spacing w:before="50" w:after="50"/>
              <w:rPr>
                <w:rFonts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vAlign w:val="top"/>
          </w:tcPr>
          <w:p w14:paraId="2289EF83">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vAlign w:val="top"/>
          </w:tcPr>
          <w:p w14:paraId="74E99F55">
            <w:pPr>
              <w:snapToGrid w:val="0"/>
              <w:spacing w:before="50" w:after="50"/>
              <w:rPr>
                <w:rFonts w:ascii="仿宋" w:eastAsia="仿宋"/>
                <w:spacing w:val="20"/>
                <w:sz w:val="24"/>
                <w:szCs w:val="24"/>
              </w:rPr>
            </w:pPr>
          </w:p>
        </w:tc>
      </w:tr>
      <w:tr w14:paraId="1D2C8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4FD5D1">
            <w:pPr>
              <w:snapToGrid w:val="0"/>
              <w:spacing w:before="50" w:after="50"/>
              <w:rPr>
                <w:rFonts w:ascii="仿宋" w:eastAsia="仿宋"/>
                <w:spacing w:val="20"/>
                <w:sz w:val="24"/>
                <w:szCs w:val="24"/>
              </w:rPr>
            </w:pPr>
            <w:bookmarkStart w:id="78" w:name="_Toc64369805"/>
            <w:r>
              <w:rPr>
                <w:rFonts w:hint="eastAsia" w:ascii="仿宋" w:eastAsia="仿宋"/>
                <w:spacing w:val="20"/>
                <w:sz w:val="24"/>
                <w:szCs w:val="24"/>
              </w:rPr>
              <w:t>2</w:t>
            </w:r>
            <w:bookmarkEnd w:id="78"/>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8AB0A43"/>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049A7E0">
            <w:pPr>
              <w:snapToGrid w:val="0"/>
              <w:spacing w:before="50" w:after="50"/>
              <w:rPr>
                <w:rFonts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vAlign w:val="top"/>
          </w:tcPr>
          <w:p w14:paraId="2C4211E0">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vAlign w:val="top"/>
          </w:tcPr>
          <w:p w14:paraId="67609EFE">
            <w:pPr>
              <w:snapToGrid w:val="0"/>
              <w:spacing w:before="50" w:after="50"/>
              <w:rPr>
                <w:rFonts w:ascii="仿宋" w:eastAsia="仿宋"/>
                <w:spacing w:val="20"/>
                <w:sz w:val="24"/>
                <w:szCs w:val="24"/>
              </w:rPr>
            </w:pPr>
          </w:p>
        </w:tc>
      </w:tr>
      <w:tr w14:paraId="6C05B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113DC26">
            <w:pPr>
              <w:snapToGrid w:val="0"/>
              <w:spacing w:before="50" w:after="50"/>
              <w:rPr>
                <w:rFonts w:ascii="仿宋" w:eastAsia="仿宋"/>
                <w:spacing w:val="20"/>
                <w:sz w:val="24"/>
                <w:szCs w:val="24"/>
              </w:rPr>
            </w:pPr>
            <w:bookmarkStart w:id="79" w:name="_Toc64369806"/>
            <w:bookmarkEnd w:id="79"/>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5139A3E"/>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F5278D9">
            <w:pPr>
              <w:snapToGrid w:val="0"/>
              <w:spacing w:before="50" w:after="50"/>
              <w:rPr>
                <w:rFonts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vAlign w:val="top"/>
          </w:tcPr>
          <w:p w14:paraId="2038082C">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vAlign w:val="top"/>
          </w:tcPr>
          <w:p w14:paraId="716FA61E">
            <w:pPr>
              <w:snapToGrid w:val="0"/>
              <w:spacing w:before="50" w:after="50"/>
              <w:rPr>
                <w:rFonts w:ascii="仿宋" w:eastAsia="仿宋"/>
                <w:spacing w:val="20"/>
                <w:sz w:val="24"/>
                <w:szCs w:val="24"/>
              </w:rPr>
            </w:pPr>
          </w:p>
        </w:tc>
      </w:tr>
      <w:tr w14:paraId="14546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6E3E1A0">
            <w:pPr>
              <w:snapToGrid w:val="0"/>
              <w:spacing w:before="50" w:after="50"/>
              <w:rPr>
                <w:rFonts w:ascii="仿宋" w:eastAsia="仿宋"/>
                <w:spacing w:val="20"/>
                <w:sz w:val="24"/>
                <w:szCs w:val="24"/>
              </w:rPr>
            </w:pPr>
            <w:bookmarkStart w:id="80"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CF948D3"/>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A18163E">
            <w:pPr>
              <w:snapToGrid w:val="0"/>
              <w:spacing w:before="50" w:after="50"/>
              <w:rPr>
                <w:rFonts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vAlign w:val="top"/>
          </w:tcPr>
          <w:p w14:paraId="38DEDC62">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vAlign w:val="top"/>
          </w:tcPr>
          <w:p w14:paraId="34091A33">
            <w:pPr>
              <w:snapToGrid w:val="0"/>
              <w:spacing w:before="50" w:after="50"/>
              <w:rPr>
                <w:rFonts w:ascii="仿宋" w:eastAsia="仿宋"/>
                <w:spacing w:val="20"/>
                <w:sz w:val="24"/>
                <w:szCs w:val="24"/>
              </w:rPr>
            </w:pPr>
          </w:p>
        </w:tc>
      </w:tr>
      <w:tr w14:paraId="4EADB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4930014">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9AF4657"/>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F9D764D">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vAlign w:val="top"/>
          </w:tcPr>
          <w:p w14:paraId="0E21934C">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vAlign w:val="top"/>
          </w:tcPr>
          <w:p w14:paraId="440F281C">
            <w:pPr>
              <w:snapToGrid w:val="0"/>
              <w:spacing w:before="50" w:after="50"/>
              <w:rPr>
                <w:rFonts w:ascii="仿宋" w:eastAsia="仿宋"/>
                <w:spacing w:val="20"/>
                <w:sz w:val="24"/>
                <w:szCs w:val="24"/>
              </w:rPr>
            </w:pPr>
          </w:p>
        </w:tc>
      </w:tr>
      <w:tr w14:paraId="2355E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A81ACC2">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9D9AFBB">
            <w:pPr>
              <w:snapToGrid w:val="0"/>
              <w:spacing w:before="50" w:after="50"/>
              <w:rPr>
                <w:rFonts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AC48747">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vAlign w:val="top"/>
          </w:tcPr>
          <w:p w14:paraId="794F2731">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vAlign w:val="top"/>
          </w:tcPr>
          <w:p w14:paraId="43D4446D">
            <w:pPr>
              <w:snapToGrid w:val="0"/>
              <w:spacing w:before="50" w:after="50"/>
              <w:rPr>
                <w:rFonts w:ascii="仿宋" w:eastAsia="仿宋"/>
                <w:spacing w:val="20"/>
                <w:sz w:val="24"/>
                <w:szCs w:val="24"/>
              </w:rPr>
            </w:pPr>
          </w:p>
        </w:tc>
      </w:tr>
      <w:tr w14:paraId="7F8C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ECAEB5A">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4C8F944">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BB436FC">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vAlign w:val="top"/>
          </w:tcPr>
          <w:p w14:paraId="27A5957C">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vAlign w:val="top"/>
          </w:tcPr>
          <w:p w14:paraId="6DFE32BA">
            <w:pPr>
              <w:snapToGrid w:val="0"/>
              <w:spacing w:before="50" w:after="50"/>
              <w:rPr>
                <w:rFonts w:ascii="仿宋" w:eastAsia="仿宋"/>
                <w:spacing w:val="20"/>
                <w:sz w:val="24"/>
                <w:szCs w:val="24"/>
              </w:rPr>
            </w:pPr>
          </w:p>
        </w:tc>
      </w:tr>
      <w:tr w14:paraId="6FEE6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1635D176">
            <w:pPr>
              <w:snapToGrid w:val="0"/>
              <w:spacing w:before="50" w:after="50"/>
              <w:rPr>
                <w:rFonts w:ascii="仿宋" w:eastAsia="仿宋"/>
                <w:spacing w:val="20"/>
                <w:sz w:val="24"/>
                <w:szCs w:val="24"/>
              </w:rPr>
            </w:pPr>
            <w:r>
              <w:rPr>
                <w:rFonts w:hint="eastAsia" w:ascii="仿宋" w:eastAsia="仿宋"/>
                <w:spacing w:val="20"/>
                <w:sz w:val="24"/>
                <w:szCs w:val="24"/>
              </w:rPr>
              <w:t>货物部分</w:t>
            </w:r>
            <w:bookmarkEnd w:id="80"/>
            <w:r>
              <w:rPr>
                <w:rFonts w:hint="eastAsia" w:ascii="仿宋" w:eastAsia="仿宋"/>
                <w:spacing w:val="20"/>
                <w:sz w:val="24"/>
                <w:szCs w:val="24"/>
              </w:rPr>
              <w:t>（如有）</w:t>
            </w:r>
          </w:p>
        </w:tc>
      </w:tr>
      <w:tr w14:paraId="46A26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238FF46">
            <w:pPr>
              <w:snapToGrid w:val="0"/>
              <w:spacing w:before="50" w:after="50"/>
              <w:jc w:val="center"/>
              <w:rPr>
                <w:rFonts w:ascii="仿宋" w:eastAsia="仿宋"/>
                <w:spacing w:val="20"/>
                <w:sz w:val="24"/>
                <w:szCs w:val="24"/>
              </w:rPr>
            </w:pPr>
            <w:bookmarkStart w:id="81" w:name="_Toc64369808"/>
            <w:r>
              <w:rPr>
                <w:rFonts w:hint="eastAsia" w:ascii="仿宋" w:eastAsia="仿宋"/>
                <w:spacing w:val="20"/>
                <w:sz w:val="24"/>
                <w:szCs w:val="24"/>
              </w:rPr>
              <w:t>序号</w:t>
            </w:r>
            <w:bookmarkEnd w:id="81"/>
          </w:p>
        </w:tc>
        <w:tc>
          <w:tcPr>
            <w:tcW w:w="1861" w:type="dxa"/>
            <w:tcBorders>
              <w:top w:val="single" w:color="auto" w:sz="4" w:space="0"/>
              <w:left w:val="single" w:color="auto" w:sz="4" w:space="0"/>
              <w:bottom w:val="single" w:color="auto" w:sz="4" w:space="0"/>
              <w:right w:val="single" w:color="auto" w:sz="4" w:space="0"/>
            </w:tcBorders>
            <w:noWrap/>
            <w:vAlign w:val="center"/>
          </w:tcPr>
          <w:p w14:paraId="24E78B9F">
            <w:pPr>
              <w:snapToGrid w:val="0"/>
              <w:spacing w:before="50" w:after="50"/>
              <w:jc w:val="center"/>
              <w:rPr>
                <w:rFonts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44B54381">
            <w:pPr>
              <w:snapToGrid w:val="0"/>
              <w:spacing w:before="50" w:after="50"/>
              <w:jc w:val="center"/>
              <w:rPr>
                <w:rFonts w:ascii="仿宋" w:eastAsia="仿宋"/>
                <w:spacing w:val="20"/>
                <w:sz w:val="24"/>
                <w:szCs w:val="24"/>
              </w:rPr>
            </w:pPr>
            <w:bookmarkStart w:id="82" w:name="_Toc64369809"/>
            <w:bookmarkStart w:id="83" w:name="_Toc64369810"/>
            <w:r>
              <w:rPr>
                <w:rFonts w:hint="eastAsia" w:ascii="仿宋" w:eastAsia="仿宋"/>
                <w:spacing w:val="20"/>
                <w:sz w:val="24"/>
                <w:szCs w:val="24"/>
              </w:rPr>
              <w:t>采购文件</w:t>
            </w:r>
          </w:p>
          <w:p w14:paraId="5E581BF2">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82"/>
          </w:p>
        </w:tc>
        <w:tc>
          <w:tcPr>
            <w:tcW w:w="2105" w:type="dxa"/>
            <w:tcBorders>
              <w:top w:val="single" w:color="auto" w:sz="4" w:space="0"/>
              <w:left w:val="single" w:color="auto" w:sz="4" w:space="0"/>
              <w:bottom w:val="single" w:color="auto" w:sz="4" w:space="0"/>
              <w:right w:val="single" w:color="auto" w:sz="4" w:space="0"/>
            </w:tcBorders>
            <w:noWrap/>
            <w:vAlign w:val="top"/>
          </w:tcPr>
          <w:p w14:paraId="6DAFF939">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6EAB2D49">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83"/>
          </w:p>
        </w:tc>
        <w:tc>
          <w:tcPr>
            <w:tcW w:w="1396" w:type="dxa"/>
            <w:tcBorders>
              <w:top w:val="single" w:color="auto" w:sz="4" w:space="0"/>
              <w:left w:val="single" w:color="auto" w:sz="4" w:space="0"/>
              <w:bottom w:val="single" w:color="auto" w:sz="4" w:space="0"/>
              <w:right w:val="single" w:color="auto" w:sz="4" w:space="0"/>
            </w:tcBorders>
            <w:noWrap/>
            <w:vAlign w:val="top"/>
          </w:tcPr>
          <w:p w14:paraId="646C4E15">
            <w:pPr>
              <w:snapToGrid w:val="0"/>
              <w:spacing w:before="50" w:after="50"/>
              <w:jc w:val="center"/>
              <w:rPr>
                <w:rFonts w:ascii="仿宋" w:eastAsia="仿宋"/>
                <w:spacing w:val="20"/>
                <w:sz w:val="24"/>
                <w:szCs w:val="24"/>
              </w:rPr>
            </w:pPr>
            <w:bookmarkStart w:id="84" w:name="_Toc64369811"/>
            <w:r>
              <w:rPr>
                <w:rFonts w:hint="eastAsia" w:ascii="仿宋" w:eastAsia="仿宋"/>
                <w:spacing w:val="20"/>
                <w:sz w:val="24"/>
                <w:szCs w:val="24"/>
              </w:rPr>
              <w:t>偏离</w:t>
            </w:r>
          </w:p>
          <w:p w14:paraId="74BB96CB">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84"/>
          </w:p>
        </w:tc>
      </w:tr>
      <w:tr w14:paraId="2F9A5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BBA973D">
            <w:pPr>
              <w:snapToGrid w:val="0"/>
              <w:spacing w:before="50" w:after="50"/>
              <w:rPr>
                <w:rFonts w:ascii="仿宋" w:eastAsia="仿宋"/>
                <w:spacing w:val="20"/>
                <w:sz w:val="24"/>
                <w:szCs w:val="24"/>
              </w:rPr>
            </w:pPr>
            <w:bookmarkStart w:id="85" w:name="_Toc64369814"/>
            <w:r>
              <w:rPr>
                <w:rFonts w:hint="eastAsia" w:ascii="仿宋" w:eastAsia="仿宋"/>
                <w:spacing w:val="20"/>
                <w:sz w:val="24"/>
                <w:szCs w:val="24"/>
              </w:rPr>
              <w:t>…</w:t>
            </w:r>
            <w:bookmarkEnd w:id="85"/>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672790E">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049DAF7">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vAlign w:val="top"/>
          </w:tcPr>
          <w:p w14:paraId="4BF1BB0C">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vAlign w:val="top"/>
          </w:tcPr>
          <w:p w14:paraId="3296D4C4">
            <w:pPr>
              <w:snapToGrid w:val="0"/>
              <w:spacing w:before="50" w:after="50"/>
              <w:rPr>
                <w:rFonts w:ascii="仿宋" w:eastAsia="仿宋"/>
                <w:spacing w:val="20"/>
                <w:sz w:val="24"/>
                <w:szCs w:val="24"/>
              </w:rPr>
            </w:pPr>
          </w:p>
        </w:tc>
      </w:tr>
    </w:tbl>
    <w:p w14:paraId="6A340419">
      <w:pPr>
        <w:pStyle w:val="9"/>
        <w:rPr>
          <w:rFonts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4B500320">
      <w:pPr>
        <w:snapToGrid w:val="0"/>
        <w:spacing w:before="50" w:after="50"/>
        <w:rPr>
          <w:rFonts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3E50E569">
      <w:pPr>
        <w:snapToGrid w:val="0"/>
        <w:spacing w:before="50" w:after="50"/>
        <w:rPr>
          <w:rFonts w:ascii="仿宋" w:eastAsia="仿宋"/>
          <w:spacing w:val="20"/>
          <w:sz w:val="30"/>
          <w:szCs w:val="30"/>
        </w:rPr>
      </w:pPr>
    </w:p>
    <w:p w14:paraId="45F4A046">
      <w:pPr>
        <w:snapToGrid w:val="0"/>
        <w:spacing w:before="50" w:after="50"/>
        <w:rPr>
          <w:rFonts w:ascii="仿宋" w:eastAsia="仿宋"/>
          <w:spacing w:val="20"/>
          <w:sz w:val="30"/>
          <w:szCs w:val="30"/>
        </w:rPr>
      </w:pPr>
    </w:p>
    <w:p w14:paraId="210A7E33">
      <w:pPr>
        <w:snapToGrid w:val="0"/>
        <w:spacing w:before="156" w:beforeLines="50"/>
        <w:rPr>
          <w:rFonts w:ascii="仿宋" w:eastAsia="仿宋"/>
          <w:sz w:val="24"/>
          <w:szCs w:val="24"/>
        </w:rPr>
      </w:pPr>
      <w:r>
        <w:rPr>
          <w:rFonts w:hint="eastAsia" w:ascii="仿宋" w:eastAsia="仿宋"/>
          <w:sz w:val="24"/>
          <w:szCs w:val="24"/>
        </w:rPr>
        <w:t xml:space="preserve">法定代表人或其授权代表（签字或盖章）：          </w:t>
      </w:r>
    </w:p>
    <w:p w14:paraId="3BFD314F">
      <w:pPr>
        <w:snapToGrid w:val="0"/>
        <w:spacing w:before="156" w:beforeLines="50"/>
        <w:rPr>
          <w:rFonts w:ascii="仿宋" w:eastAsia="仿宋"/>
          <w:sz w:val="24"/>
          <w:szCs w:val="24"/>
        </w:rPr>
      </w:pPr>
      <w:r>
        <w:rPr>
          <w:rFonts w:hint="eastAsia" w:ascii="仿宋" w:eastAsia="仿宋"/>
          <w:sz w:val="24"/>
          <w:szCs w:val="24"/>
        </w:rPr>
        <w:t xml:space="preserve">日期： </w:t>
      </w:r>
    </w:p>
    <w:p w14:paraId="36146702">
      <w:pPr>
        <w:snapToGrid w:val="0"/>
        <w:spacing w:before="156" w:beforeLines="50"/>
        <w:rPr>
          <w:rFonts w:ascii="仿宋" w:eastAsia="仿宋"/>
          <w:sz w:val="24"/>
          <w:szCs w:val="24"/>
        </w:rPr>
      </w:pPr>
    </w:p>
    <w:p w14:paraId="6D1FEF8B">
      <w:pPr>
        <w:snapToGrid w:val="0"/>
        <w:spacing w:before="156" w:beforeLines="50"/>
        <w:rPr>
          <w:rFonts w:ascii="仿宋" w:eastAsia="仿宋"/>
          <w:sz w:val="24"/>
          <w:szCs w:val="24"/>
        </w:rPr>
      </w:pPr>
    </w:p>
    <w:p w14:paraId="22FEC7EE">
      <w:pPr>
        <w:snapToGrid w:val="0"/>
        <w:spacing w:before="50" w:after="50"/>
        <w:rPr>
          <w:rFonts w:ascii="仿宋" w:eastAsia="仿宋"/>
          <w:b/>
          <w:bCs/>
          <w:sz w:val="30"/>
          <w:szCs w:val="30"/>
        </w:rPr>
      </w:pPr>
      <w:r>
        <w:rPr>
          <w:rFonts w:hint="eastAsia" w:ascii="仿宋" w:eastAsia="仿宋"/>
          <w:b/>
          <w:bCs/>
          <w:sz w:val="30"/>
          <w:szCs w:val="30"/>
        </w:rPr>
        <w:t>附件14：商务响应表</w:t>
      </w:r>
    </w:p>
    <w:p w14:paraId="4EED6605">
      <w:pPr>
        <w:snapToGrid w:val="0"/>
        <w:spacing w:before="50" w:after="156" w:afterLines="50"/>
        <w:jc w:val="center"/>
        <w:rPr>
          <w:rFonts w:ascii="仿宋" w:eastAsia="仿宋"/>
          <w:b/>
          <w:spacing w:val="40"/>
          <w:kern w:val="0"/>
          <w:sz w:val="36"/>
          <w:szCs w:val="36"/>
        </w:rPr>
      </w:pPr>
    </w:p>
    <w:p w14:paraId="00941CCB">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14:paraId="28A2E076">
      <w:pPr>
        <w:snapToGrid w:val="0"/>
        <w:spacing w:before="50" w:after="156" w:afterLines="50"/>
        <w:jc w:val="center"/>
        <w:rPr>
          <w:rFonts w:ascii="仿宋" w:eastAsia="仿宋"/>
          <w:b/>
          <w:sz w:val="32"/>
          <w:szCs w:val="32"/>
        </w:rPr>
      </w:pPr>
    </w:p>
    <w:p w14:paraId="31ECF7E1">
      <w:pPr>
        <w:pStyle w:val="8"/>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22AEA67">
      <w:pPr>
        <w:pStyle w:val="8"/>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1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5E976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E796235">
            <w:pPr>
              <w:snapToGrid w:val="0"/>
              <w:spacing w:before="50" w:after="50"/>
              <w:jc w:val="center"/>
              <w:rPr>
                <w:rFonts w:ascii="仿宋" w:eastAsia="仿宋" w:cs="仿宋_GB2312"/>
                <w:spacing w:val="20"/>
                <w:sz w:val="28"/>
                <w:szCs w:val="28"/>
              </w:rPr>
            </w:pPr>
            <w:bookmarkStart w:id="86" w:name="_Toc64369815"/>
            <w:r>
              <w:rPr>
                <w:rFonts w:hint="eastAsia" w:ascii="仿宋" w:eastAsia="仿宋" w:cs="仿宋_GB2312"/>
                <w:spacing w:val="20"/>
                <w:sz w:val="28"/>
                <w:szCs w:val="28"/>
              </w:rPr>
              <w:t>类别</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14:paraId="4B58E835">
            <w:pPr>
              <w:snapToGrid w:val="0"/>
              <w:spacing w:before="156" w:beforeLines="50" w:after="50"/>
              <w:jc w:val="center"/>
              <w:rPr>
                <w:rFonts w:ascii="仿宋" w:eastAsia="仿宋" w:cs="仿宋_GB2312"/>
                <w:sz w:val="30"/>
                <w:szCs w:val="30"/>
              </w:rPr>
            </w:pPr>
            <w:bookmarkStart w:id="87" w:name="_Toc64369816"/>
            <w:r>
              <w:rPr>
                <w:rFonts w:hint="eastAsia" w:ascii="仿宋" w:eastAsia="仿宋" w:cs="仿宋_GB2312"/>
                <w:sz w:val="30"/>
                <w:szCs w:val="30"/>
              </w:rPr>
              <w:t>采购文件要求</w:t>
            </w:r>
            <w:bookmarkEnd w:id="87"/>
          </w:p>
        </w:tc>
        <w:tc>
          <w:tcPr>
            <w:tcW w:w="2737" w:type="dxa"/>
            <w:tcBorders>
              <w:top w:val="single" w:color="auto" w:sz="4" w:space="0"/>
              <w:left w:val="single" w:color="auto" w:sz="4" w:space="0"/>
              <w:bottom w:val="single" w:color="auto" w:sz="4" w:space="0"/>
              <w:right w:val="single" w:color="auto" w:sz="4" w:space="0"/>
            </w:tcBorders>
            <w:noWrap/>
            <w:vAlign w:val="center"/>
          </w:tcPr>
          <w:p w14:paraId="2937356C">
            <w:pPr>
              <w:snapToGrid w:val="0"/>
              <w:spacing w:before="156" w:beforeLines="50" w:after="50"/>
              <w:jc w:val="center"/>
              <w:rPr>
                <w:rFonts w:ascii="仿宋" w:eastAsia="仿宋" w:cs="仿宋_GB2312"/>
                <w:sz w:val="30"/>
                <w:szCs w:val="30"/>
              </w:rPr>
            </w:pPr>
            <w:bookmarkStart w:id="88" w:name="_Toc64369817"/>
            <w:r>
              <w:rPr>
                <w:rFonts w:hint="eastAsia" w:ascii="仿宋" w:eastAsia="仿宋" w:cs="仿宋_GB2312"/>
                <w:sz w:val="30"/>
                <w:szCs w:val="30"/>
              </w:rPr>
              <w:t>投标文件响应</w:t>
            </w:r>
            <w:bookmarkEnd w:id="88"/>
          </w:p>
        </w:tc>
        <w:tc>
          <w:tcPr>
            <w:tcW w:w="1886" w:type="dxa"/>
            <w:tcBorders>
              <w:top w:val="single" w:color="auto" w:sz="4" w:space="0"/>
              <w:left w:val="single" w:color="auto" w:sz="4" w:space="0"/>
              <w:bottom w:val="single" w:color="auto" w:sz="4" w:space="0"/>
              <w:right w:val="single" w:color="auto" w:sz="4" w:space="0"/>
            </w:tcBorders>
            <w:noWrap/>
            <w:vAlign w:val="center"/>
          </w:tcPr>
          <w:p w14:paraId="62506D75">
            <w:pPr>
              <w:snapToGrid w:val="0"/>
              <w:spacing w:before="156" w:beforeLines="50" w:after="50"/>
              <w:jc w:val="center"/>
              <w:rPr>
                <w:rFonts w:ascii="仿宋" w:eastAsia="仿宋" w:cs="仿宋_GB2312"/>
                <w:sz w:val="30"/>
                <w:szCs w:val="30"/>
              </w:rPr>
            </w:pPr>
            <w:bookmarkStart w:id="89" w:name="_Toc64369818"/>
            <w:r>
              <w:rPr>
                <w:rFonts w:hint="eastAsia" w:ascii="仿宋" w:eastAsia="仿宋" w:cs="仿宋_GB2312"/>
                <w:sz w:val="30"/>
                <w:szCs w:val="30"/>
              </w:rPr>
              <w:t>偏离情况</w:t>
            </w:r>
            <w:bookmarkEnd w:id="89"/>
          </w:p>
        </w:tc>
      </w:tr>
      <w:tr w14:paraId="237B5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CD75594">
            <w:pPr>
              <w:snapToGrid w:val="0"/>
              <w:spacing w:before="50" w:after="50"/>
              <w:rPr>
                <w:rFonts w:ascii="仿宋" w:eastAsia="仿宋"/>
                <w:spacing w:val="20"/>
                <w:sz w:val="28"/>
                <w:szCs w:val="28"/>
              </w:rPr>
            </w:pPr>
            <w:bookmarkStart w:id="90" w:name="_Toc64369823"/>
            <w:bookmarkStart w:id="91" w:name="_Toc64369819"/>
            <w:r>
              <w:rPr>
                <w:rFonts w:hint="eastAsia" w:ascii="仿宋" w:eastAsia="仿宋"/>
                <w:spacing w:val="20"/>
                <w:sz w:val="28"/>
                <w:szCs w:val="28"/>
              </w:rPr>
              <w:t>付款方式</w:t>
            </w:r>
            <w:bookmarkEnd w:id="90"/>
            <w:bookmarkEnd w:id="91"/>
          </w:p>
        </w:tc>
        <w:tc>
          <w:tcPr>
            <w:tcW w:w="2626" w:type="dxa"/>
            <w:tcBorders>
              <w:top w:val="single" w:color="auto" w:sz="4" w:space="0"/>
              <w:left w:val="single" w:color="auto" w:sz="4" w:space="0"/>
              <w:bottom w:val="single" w:color="auto" w:sz="4" w:space="0"/>
              <w:right w:val="single" w:color="auto" w:sz="4" w:space="0"/>
            </w:tcBorders>
            <w:noWrap/>
            <w:vAlign w:val="center"/>
          </w:tcPr>
          <w:p w14:paraId="053B0940">
            <w:pPr>
              <w:pStyle w:val="10"/>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vAlign w:val="top"/>
          </w:tcPr>
          <w:p w14:paraId="2E95397E">
            <w:pPr>
              <w:pStyle w:val="10"/>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vAlign w:val="top"/>
          </w:tcPr>
          <w:p w14:paraId="4A3B365A">
            <w:pPr>
              <w:pStyle w:val="10"/>
              <w:snapToGrid w:val="0"/>
              <w:spacing w:before="120" w:after="120"/>
              <w:outlineLvl w:val="0"/>
              <w:rPr>
                <w:rFonts w:ascii="仿宋" w:eastAsia="仿宋"/>
                <w:sz w:val="28"/>
                <w:szCs w:val="28"/>
              </w:rPr>
            </w:pPr>
          </w:p>
        </w:tc>
      </w:tr>
      <w:tr w14:paraId="71B20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04B56C1">
            <w:pPr>
              <w:snapToGrid w:val="0"/>
              <w:spacing w:before="50" w:after="50"/>
              <w:rPr>
                <w:rFonts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7152A008">
            <w:pPr>
              <w:pStyle w:val="10"/>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vAlign w:val="top"/>
          </w:tcPr>
          <w:p w14:paraId="6CD0721E">
            <w:pPr>
              <w:pStyle w:val="10"/>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vAlign w:val="top"/>
          </w:tcPr>
          <w:p w14:paraId="2D12AB9B">
            <w:pPr>
              <w:pStyle w:val="10"/>
              <w:snapToGrid w:val="0"/>
              <w:spacing w:before="120" w:after="120"/>
              <w:outlineLvl w:val="0"/>
              <w:rPr>
                <w:rFonts w:ascii="仿宋" w:eastAsia="仿宋"/>
                <w:sz w:val="28"/>
                <w:szCs w:val="28"/>
              </w:rPr>
            </w:pPr>
          </w:p>
        </w:tc>
      </w:tr>
      <w:tr w14:paraId="08AEA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6920955">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FA59395">
            <w:pPr>
              <w:pStyle w:val="10"/>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vAlign w:val="top"/>
          </w:tcPr>
          <w:p w14:paraId="7C574876">
            <w:pPr>
              <w:pStyle w:val="10"/>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vAlign w:val="top"/>
          </w:tcPr>
          <w:p w14:paraId="70E168B9">
            <w:pPr>
              <w:pStyle w:val="10"/>
              <w:snapToGrid w:val="0"/>
              <w:spacing w:before="120" w:after="120"/>
              <w:outlineLvl w:val="0"/>
              <w:rPr>
                <w:rFonts w:ascii="仿宋" w:eastAsia="仿宋"/>
                <w:sz w:val="28"/>
                <w:szCs w:val="28"/>
              </w:rPr>
            </w:pPr>
          </w:p>
        </w:tc>
      </w:tr>
      <w:tr w14:paraId="2E4C4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7E1EAE7">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1781A5D">
            <w:pPr>
              <w:pStyle w:val="10"/>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vAlign w:val="top"/>
          </w:tcPr>
          <w:p w14:paraId="43F03C16">
            <w:pPr>
              <w:pStyle w:val="10"/>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vAlign w:val="top"/>
          </w:tcPr>
          <w:p w14:paraId="43BEC6F8">
            <w:pPr>
              <w:pStyle w:val="10"/>
              <w:snapToGrid w:val="0"/>
              <w:spacing w:before="120" w:after="120"/>
              <w:outlineLvl w:val="0"/>
              <w:rPr>
                <w:rFonts w:ascii="仿宋" w:eastAsia="仿宋"/>
                <w:sz w:val="28"/>
                <w:szCs w:val="28"/>
              </w:rPr>
            </w:pPr>
          </w:p>
        </w:tc>
      </w:tr>
    </w:tbl>
    <w:p w14:paraId="2FB6EFBB">
      <w:pPr>
        <w:pStyle w:val="9"/>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6105628D">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14:paraId="4D473040">
      <w:pPr>
        <w:snapToGrid w:val="0"/>
        <w:spacing w:before="50" w:after="50"/>
        <w:rPr>
          <w:rFonts w:ascii="仿宋" w:eastAsia="仿宋"/>
          <w:spacing w:val="20"/>
          <w:sz w:val="28"/>
          <w:szCs w:val="28"/>
        </w:rPr>
      </w:pPr>
    </w:p>
    <w:p w14:paraId="55DD907A">
      <w:pPr>
        <w:snapToGrid w:val="0"/>
        <w:spacing w:before="50" w:after="50"/>
        <w:rPr>
          <w:rFonts w:ascii="仿宋" w:eastAsia="仿宋"/>
          <w:spacing w:val="20"/>
          <w:sz w:val="28"/>
          <w:szCs w:val="28"/>
        </w:rPr>
      </w:pPr>
    </w:p>
    <w:p w14:paraId="58D3F90D">
      <w:pPr>
        <w:snapToGrid w:val="0"/>
        <w:spacing w:before="50" w:after="50"/>
        <w:rPr>
          <w:rFonts w:ascii="仿宋" w:eastAsia="仿宋"/>
          <w:spacing w:val="20"/>
          <w:sz w:val="28"/>
          <w:szCs w:val="28"/>
        </w:rPr>
      </w:pPr>
    </w:p>
    <w:p w14:paraId="53789A66">
      <w:pPr>
        <w:snapToGrid w:val="0"/>
        <w:spacing w:before="50" w:after="50"/>
        <w:rPr>
          <w:rFonts w:ascii="仿宋" w:eastAsia="仿宋"/>
          <w:spacing w:val="20"/>
          <w:sz w:val="28"/>
          <w:szCs w:val="28"/>
        </w:rPr>
      </w:pPr>
    </w:p>
    <w:p w14:paraId="0D079C46">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5D7A1DDF">
      <w:pPr>
        <w:snapToGrid w:val="0"/>
        <w:spacing w:before="156" w:beforeLines="50"/>
        <w:rPr>
          <w:rFonts w:ascii="仿宋" w:eastAsia="仿宋"/>
          <w:sz w:val="28"/>
          <w:szCs w:val="28"/>
        </w:rPr>
      </w:pPr>
      <w:r>
        <w:rPr>
          <w:rFonts w:hint="eastAsia" w:ascii="仿宋" w:eastAsia="仿宋"/>
          <w:sz w:val="28"/>
          <w:szCs w:val="28"/>
        </w:rPr>
        <w:t xml:space="preserve">日期： </w:t>
      </w:r>
    </w:p>
    <w:p w14:paraId="0B037C80">
      <w:pPr>
        <w:snapToGrid w:val="0"/>
        <w:spacing w:before="156" w:beforeLines="50"/>
        <w:rPr>
          <w:rFonts w:ascii="仿宋" w:eastAsia="仿宋"/>
          <w:sz w:val="28"/>
          <w:szCs w:val="28"/>
        </w:rPr>
      </w:pPr>
    </w:p>
    <w:p w14:paraId="13A59842">
      <w:pPr>
        <w:snapToGrid w:val="0"/>
        <w:spacing w:before="156" w:beforeLines="50"/>
        <w:rPr>
          <w:rFonts w:ascii="仿宋" w:eastAsia="仿宋"/>
          <w:sz w:val="28"/>
          <w:szCs w:val="28"/>
        </w:rPr>
      </w:pPr>
    </w:p>
    <w:p w14:paraId="40773F87">
      <w:pPr>
        <w:snapToGrid w:val="0"/>
        <w:spacing w:before="50" w:after="50"/>
        <w:jc w:val="left"/>
        <w:rPr>
          <w:rFonts w:ascii="仿宋" w:eastAsia="仿宋"/>
          <w:b/>
          <w:bCs/>
          <w:sz w:val="30"/>
          <w:szCs w:val="30"/>
        </w:rPr>
      </w:pPr>
      <w:r>
        <w:rPr>
          <w:rFonts w:hint="eastAsia" w:ascii="仿宋" w:eastAsia="仿宋"/>
          <w:b/>
          <w:bCs/>
          <w:sz w:val="30"/>
          <w:szCs w:val="30"/>
        </w:rPr>
        <w:t>附件15：项目实施人员清单</w:t>
      </w:r>
    </w:p>
    <w:p w14:paraId="228698A8">
      <w:pPr>
        <w:snapToGrid w:val="0"/>
        <w:spacing w:before="50" w:after="156" w:afterLines="50"/>
        <w:jc w:val="center"/>
        <w:rPr>
          <w:rFonts w:ascii="仿宋" w:eastAsia="仿宋"/>
          <w:b/>
          <w:kern w:val="0"/>
          <w:sz w:val="36"/>
          <w:szCs w:val="36"/>
        </w:rPr>
      </w:pPr>
    </w:p>
    <w:p w14:paraId="365A5D35">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14:paraId="5DBF8F6A">
      <w:pPr>
        <w:pStyle w:val="8"/>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30AD4A67">
      <w:pPr>
        <w:pStyle w:val="8"/>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1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6DA5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5E56208C">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87D626F">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04AC7757">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14:paraId="289A415C">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10FDFD0">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14:paraId="49AC1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14:paraId="457581F3">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vAlign w:val="top"/>
          </w:tcPr>
          <w:p w14:paraId="1CA0B529">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vAlign w:val="top"/>
          </w:tcPr>
          <w:p w14:paraId="5FC67D1D">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vAlign w:val="top"/>
          </w:tcPr>
          <w:p w14:paraId="6BC2B36F">
            <w:pPr>
              <w:snapToGrid w:val="0"/>
              <w:spacing w:before="156" w:beforeLines="50" w:after="50" w:line="460" w:lineRule="exact"/>
              <w:rPr>
                <w:rFonts w:ascii="仿宋" w:eastAsia="仿宋"/>
                <w:sz w:val="28"/>
                <w:szCs w:val="28"/>
              </w:rPr>
            </w:pPr>
          </w:p>
        </w:tc>
      </w:tr>
      <w:tr w14:paraId="54C7A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14:paraId="17C0B26A">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vAlign w:val="top"/>
          </w:tcPr>
          <w:p w14:paraId="10B8E0FD">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vAlign w:val="top"/>
          </w:tcPr>
          <w:p w14:paraId="798199A9">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vAlign w:val="top"/>
          </w:tcPr>
          <w:p w14:paraId="0C273D6C">
            <w:pPr>
              <w:snapToGrid w:val="0"/>
              <w:spacing w:before="156" w:beforeLines="50" w:after="50" w:line="460" w:lineRule="exact"/>
              <w:rPr>
                <w:rFonts w:ascii="仿宋" w:eastAsia="仿宋"/>
                <w:sz w:val="28"/>
                <w:szCs w:val="28"/>
              </w:rPr>
            </w:pPr>
          </w:p>
        </w:tc>
      </w:tr>
      <w:tr w14:paraId="24D9A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14:paraId="48845979">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vAlign w:val="top"/>
          </w:tcPr>
          <w:p w14:paraId="03714A72">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vAlign w:val="top"/>
          </w:tcPr>
          <w:p w14:paraId="37E24B95">
            <w:pPr>
              <w:pStyle w:val="11"/>
              <w:snapToGrid w:val="0"/>
              <w:spacing w:before="156"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vAlign w:val="top"/>
          </w:tcPr>
          <w:p w14:paraId="6AE588B7">
            <w:pPr>
              <w:snapToGrid w:val="0"/>
              <w:spacing w:before="156" w:beforeLines="50" w:after="50" w:line="460" w:lineRule="exact"/>
              <w:rPr>
                <w:rFonts w:ascii="仿宋" w:eastAsia="仿宋"/>
                <w:sz w:val="28"/>
                <w:szCs w:val="28"/>
              </w:rPr>
            </w:pPr>
          </w:p>
        </w:tc>
      </w:tr>
      <w:tr w14:paraId="1B9DB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14:paraId="07DF05A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vAlign w:val="top"/>
          </w:tcPr>
          <w:p w14:paraId="10F6475B">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vAlign w:val="top"/>
          </w:tcPr>
          <w:p w14:paraId="3AA44AE3">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vAlign w:val="top"/>
          </w:tcPr>
          <w:p w14:paraId="7C128DAE">
            <w:pPr>
              <w:snapToGrid w:val="0"/>
              <w:spacing w:before="156" w:beforeLines="50" w:after="50" w:line="460" w:lineRule="exact"/>
              <w:rPr>
                <w:rFonts w:ascii="仿宋" w:eastAsia="仿宋"/>
                <w:sz w:val="28"/>
                <w:szCs w:val="28"/>
              </w:rPr>
            </w:pPr>
          </w:p>
        </w:tc>
      </w:tr>
      <w:tr w14:paraId="0020D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14:paraId="4D458523">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vAlign w:val="top"/>
          </w:tcPr>
          <w:p w14:paraId="4E68AB2D">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vAlign w:val="top"/>
          </w:tcPr>
          <w:p w14:paraId="5593080D">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vAlign w:val="top"/>
          </w:tcPr>
          <w:p w14:paraId="6B96CF42">
            <w:pPr>
              <w:snapToGrid w:val="0"/>
              <w:spacing w:before="156" w:beforeLines="50" w:after="50" w:line="460" w:lineRule="exact"/>
              <w:rPr>
                <w:rFonts w:ascii="仿宋" w:eastAsia="仿宋"/>
                <w:sz w:val="28"/>
                <w:szCs w:val="28"/>
              </w:rPr>
            </w:pPr>
          </w:p>
        </w:tc>
      </w:tr>
      <w:tr w14:paraId="10744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14:paraId="77456A7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vAlign w:val="top"/>
          </w:tcPr>
          <w:p w14:paraId="1838AA59">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vAlign w:val="top"/>
          </w:tcPr>
          <w:p w14:paraId="60F7B27B">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vAlign w:val="top"/>
          </w:tcPr>
          <w:p w14:paraId="75D944E3">
            <w:pPr>
              <w:snapToGrid w:val="0"/>
              <w:spacing w:before="156" w:beforeLines="50" w:after="50" w:line="460" w:lineRule="exact"/>
              <w:rPr>
                <w:rFonts w:ascii="仿宋" w:eastAsia="仿宋"/>
                <w:sz w:val="28"/>
                <w:szCs w:val="28"/>
              </w:rPr>
            </w:pPr>
          </w:p>
        </w:tc>
      </w:tr>
      <w:tr w14:paraId="47713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14:paraId="6479AF89">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vAlign w:val="top"/>
          </w:tcPr>
          <w:p w14:paraId="412208B8">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vAlign w:val="top"/>
          </w:tcPr>
          <w:p w14:paraId="546FA49B">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vAlign w:val="top"/>
          </w:tcPr>
          <w:p w14:paraId="6E352428">
            <w:pPr>
              <w:snapToGrid w:val="0"/>
              <w:spacing w:before="156" w:beforeLines="50" w:after="50" w:line="460" w:lineRule="exact"/>
              <w:rPr>
                <w:rFonts w:ascii="仿宋" w:eastAsia="仿宋"/>
                <w:sz w:val="28"/>
                <w:szCs w:val="28"/>
              </w:rPr>
            </w:pPr>
          </w:p>
        </w:tc>
      </w:tr>
      <w:tr w14:paraId="7D727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14:paraId="58C6727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vAlign w:val="top"/>
          </w:tcPr>
          <w:p w14:paraId="0E95D068">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vAlign w:val="top"/>
          </w:tcPr>
          <w:p w14:paraId="4BF2D3E5">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vAlign w:val="top"/>
          </w:tcPr>
          <w:p w14:paraId="1F6328EE">
            <w:pPr>
              <w:snapToGrid w:val="0"/>
              <w:spacing w:before="156" w:beforeLines="50" w:after="50" w:line="460" w:lineRule="exact"/>
              <w:rPr>
                <w:rFonts w:ascii="仿宋" w:eastAsia="仿宋"/>
                <w:sz w:val="28"/>
                <w:szCs w:val="28"/>
              </w:rPr>
            </w:pPr>
          </w:p>
        </w:tc>
      </w:tr>
      <w:tr w14:paraId="29E9C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14:paraId="7F8634B5">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vAlign w:val="top"/>
          </w:tcPr>
          <w:p w14:paraId="19DB9725">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vAlign w:val="top"/>
          </w:tcPr>
          <w:p w14:paraId="1283E839">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vAlign w:val="top"/>
          </w:tcPr>
          <w:p w14:paraId="372E19BC">
            <w:pPr>
              <w:snapToGrid w:val="0"/>
              <w:spacing w:before="156" w:beforeLines="50" w:after="50" w:line="460" w:lineRule="exact"/>
              <w:rPr>
                <w:rFonts w:ascii="仿宋" w:eastAsia="仿宋"/>
                <w:sz w:val="28"/>
                <w:szCs w:val="28"/>
              </w:rPr>
            </w:pPr>
          </w:p>
        </w:tc>
      </w:tr>
    </w:tbl>
    <w:p w14:paraId="1218D609">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6805D121">
      <w:pPr>
        <w:snapToGrid w:val="0"/>
        <w:spacing w:before="50" w:after="156" w:afterLines="50" w:line="460" w:lineRule="exact"/>
        <w:jc w:val="left"/>
        <w:rPr>
          <w:rFonts w:ascii="仿宋" w:eastAsia="仿宋"/>
          <w:sz w:val="28"/>
          <w:szCs w:val="28"/>
        </w:rPr>
      </w:pPr>
    </w:p>
    <w:p w14:paraId="68DFE461">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4A80FAB2">
      <w:pPr>
        <w:snapToGrid w:val="0"/>
        <w:spacing w:before="156" w:beforeLines="50"/>
        <w:rPr>
          <w:rFonts w:ascii="仿宋" w:eastAsia="仿宋"/>
          <w:sz w:val="28"/>
          <w:szCs w:val="28"/>
        </w:rPr>
      </w:pPr>
      <w:r>
        <w:rPr>
          <w:rFonts w:hint="eastAsia" w:ascii="仿宋" w:eastAsia="仿宋"/>
          <w:sz w:val="28"/>
          <w:szCs w:val="28"/>
        </w:rPr>
        <w:t xml:space="preserve">日期： </w:t>
      </w:r>
    </w:p>
    <w:p w14:paraId="2526AE63">
      <w:pPr>
        <w:snapToGrid w:val="0"/>
        <w:spacing w:before="50" w:after="156" w:afterLines="50" w:line="460" w:lineRule="exact"/>
        <w:jc w:val="left"/>
        <w:rPr>
          <w:rFonts w:ascii="仿宋" w:eastAsia="仿宋"/>
          <w:sz w:val="28"/>
          <w:szCs w:val="28"/>
        </w:rPr>
      </w:pPr>
    </w:p>
    <w:p w14:paraId="7B76F818">
      <w:pPr>
        <w:rPr>
          <w:rFonts w:ascii="仿宋" w:eastAsia="仿宋"/>
          <w:sz w:val="28"/>
          <w:szCs w:val="28"/>
        </w:rPr>
      </w:pPr>
    </w:p>
    <w:p w14:paraId="23D210FC">
      <w:pPr>
        <w:snapToGrid w:val="0"/>
        <w:spacing w:before="50" w:after="50"/>
        <w:jc w:val="left"/>
        <w:rPr>
          <w:rFonts w:ascii="仿宋" w:eastAsia="仿宋"/>
          <w:b/>
          <w:bCs/>
          <w:sz w:val="30"/>
          <w:szCs w:val="30"/>
        </w:rPr>
      </w:pPr>
      <w:r>
        <w:rPr>
          <w:rFonts w:hint="eastAsia" w:ascii="仿宋" w:eastAsia="仿宋"/>
          <w:b/>
          <w:bCs/>
          <w:sz w:val="30"/>
          <w:szCs w:val="30"/>
        </w:rPr>
        <w:t>附件16：类似业绩一览表</w:t>
      </w:r>
      <w:r>
        <w:rPr>
          <w:rFonts w:ascii="仿宋" w:eastAsia="仿宋"/>
          <w:b/>
          <w:bCs/>
          <w:sz w:val="30"/>
          <w:szCs w:val="30"/>
        </w:rPr>
        <w:t>（如有）</w:t>
      </w:r>
    </w:p>
    <w:p w14:paraId="34BAFA05">
      <w:pPr>
        <w:snapToGrid w:val="0"/>
        <w:spacing w:before="50" w:after="50"/>
        <w:jc w:val="left"/>
        <w:rPr>
          <w:rFonts w:ascii="仿宋" w:eastAsia="仿宋"/>
          <w:sz w:val="30"/>
          <w:szCs w:val="30"/>
        </w:rPr>
      </w:pPr>
    </w:p>
    <w:p w14:paraId="2F9FA8CC">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14:paraId="5EE52C49">
      <w:pPr>
        <w:pStyle w:val="8"/>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0D8B9FE3">
      <w:pPr>
        <w:pStyle w:val="8"/>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27E003C3">
      <w:pPr>
        <w:rPr>
          <w:rFonts w:ascii="仿宋" w:eastAsia="仿宋"/>
        </w:rPr>
      </w:pPr>
    </w:p>
    <w:tbl>
      <w:tblPr>
        <w:tblStyle w:val="1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6D4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0F95589">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7197CDF6">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9D6A08A">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0D10DA07">
            <w:pPr>
              <w:jc w:val="center"/>
              <w:rPr>
                <w:rFonts w:ascii="仿宋" w:eastAsia="仿宋"/>
                <w:sz w:val="24"/>
              </w:rPr>
            </w:pPr>
            <w:r>
              <w:rPr>
                <w:rFonts w:hint="eastAsia" w:ascii="仿宋" w:eastAsia="仿宋"/>
                <w:sz w:val="24"/>
              </w:rPr>
              <w:t>合同</w:t>
            </w:r>
          </w:p>
          <w:p w14:paraId="07D0D0C4">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A041AD5">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02249CB8">
            <w:pPr>
              <w:jc w:val="center"/>
              <w:rPr>
                <w:rFonts w:ascii="仿宋" w:eastAsia="仿宋"/>
                <w:sz w:val="24"/>
              </w:rPr>
            </w:pPr>
            <w:r>
              <w:rPr>
                <w:rFonts w:hint="eastAsia" w:ascii="仿宋" w:eastAsia="仿宋"/>
                <w:sz w:val="24"/>
              </w:rPr>
              <w:t>验收报告</w:t>
            </w:r>
          </w:p>
          <w:p w14:paraId="56F4D17D">
            <w:pPr>
              <w:jc w:val="center"/>
              <w:rPr>
                <w:rFonts w:ascii="仿宋" w:eastAsia="仿宋"/>
                <w:sz w:val="24"/>
              </w:rPr>
            </w:pPr>
            <w:r>
              <w:rPr>
                <w:rFonts w:hint="eastAsia" w:ascii="仿宋" w:eastAsia="仿宋"/>
                <w:sz w:val="24"/>
              </w:rPr>
              <w:t>（有/无）</w:t>
            </w:r>
          </w:p>
        </w:tc>
      </w:tr>
      <w:tr w14:paraId="7981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8513813">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2089CEA0">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8D18C87">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2CB9761">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5D82AD2">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850A041">
            <w:pPr>
              <w:jc w:val="center"/>
              <w:rPr>
                <w:rFonts w:ascii="仿宋" w:eastAsia="仿宋"/>
                <w:sz w:val="24"/>
              </w:rPr>
            </w:pPr>
          </w:p>
        </w:tc>
      </w:tr>
      <w:tr w14:paraId="7802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17A84FF">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DF3DBDD">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E201530">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440FD11">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4D49F75">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464BA9F">
            <w:pPr>
              <w:jc w:val="center"/>
              <w:rPr>
                <w:rFonts w:ascii="仿宋" w:eastAsia="仿宋"/>
                <w:sz w:val="24"/>
              </w:rPr>
            </w:pPr>
          </w:p>
        </w:tc>
      </w:tr>
      <w:tr w14:paraId="44B6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44848CE">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192D8DFA">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194CA7">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B1CC3E5">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3793EBD">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1C6E664">
            <w:pPr>
              <w:jc w:val="center"/>
              <w:rPr>
                <w:rFonts w:ascii="仿宋" w:eastAsia="仿宋"/>
                <w:sz w:val="24"/>
              </w:rPr>
            </w:pPr>
          </w:p>
        </w:tc>
      </w:tr>
    </w:tbl>
    <w:p w14:paraId="051A0BB8">
      <w:pPr>
        <w:rPr>
          <w:rFonts w:ascii="仿宋" w:eastAsia="仿宋"/>
          <w:sz w:val="24"/>
        </w:rPr>
      </w:pPr>
      <w:r>
        <w:rPr>
          <w:rFonts w:hint="eastAsia" w:ascii="仿宋" w:eastAsia="仿宋"/>
          <w:sz w:val="24"/>
        </w:rPr>
        <w:t>备注：</w:t>
      </w:r>
    </w:p>
    <w:p w14:paraId="54790FF9">
      <w:pPr>
        <w:numPr>
          <w:ilvl w:val="0"/>
          <w:numId w:val="13"/>
        </w:numPr>
        <w:rPr>
          <w:rFonts w:ascii="仿宋" w:eastAsia="仿宋"/>
          <w:sz w:val="24"/>
        </w:rPr>
      </w:pPr>
      <w:r>
        <w:rPr>
          <w:rFonts w:hint="eastAsia" w:ascii="仿宋" w:eastAsia="仿宋"/>
          <w:sz w:val="24"/>
        </w:rPr>
        <w:t>请在此表后附上类似业绩的合同、验收报告原件扫描件或彩色图片（如有）。</w:t>
      </w:r>
    </w:p>
    <w:p w14:paraId="171BABE1">
      <w:pPr>
        <w:numPr>
          <w:ilvl w:val="0"/>
          <w:numId w:val="13"/>
        </w:numPr>
        <w:rPr>
          <w:rFonts w:ascii="仿宋" w:eastAsia="仿宋"/>
          <w:sz w:val="24"/>
        </w:rPr>
      </w:pPr>
      <w:r>
        <w:rPr>
          <w:rFonts w:hint="eastAsia" w:ascii="仿宋" w:eastAsia="仿宋"/>
          <w:sz w:val="24"/>
        </w:rPr>
        <w:t>供应商所投核心产品</w:t>
      </w:r>
      <w:r>
        <w:rPr>
          <w:rFonts w:ascii="仿宋" w:eastAsia="仿宋"/>
          <w:sz w:val="24"/>
        </w:rPr>
        <w:t>中有</w:t>
      </w:r>
      <w:r>
        <w:rPr>
          <w:rFonts w:hint="eastAsia" w:ascii="仿宋" w:eastAsia="仿宋"/>
          <w:sz w:val="24"/>
        </w:rPr>
        <w:t>被省级及省级以上主管部门认定为“首台套产品”或“制造精品”的，自认定之日起2年内视同已具备相应销售业绩，参加政府采购活动时该供应商的业绩分为满分。</w:t>
      </w:r>
      <w:r>
        <w:rPr>
          <w:rFonts w:ascii="仿宋" w:eastAsia="仿宋"/>
          <w:sz w:val="24"/>
        </w:rPr>
        <w:t>提供相关证明文件彩色扫描件或图片。</w:t>
      </w:r>
    </w:p>
    <w:p w14:paraId="10D33D81">
      <w:pPr>
        <w:rPr>
          <w:rFonts w:ascii="仿宋" w:eastAsia="仿宋"/>
          <w:sz w:val="24"/>
        </w:rPr>
      </w:pPr>
    </w:p>
    <w:p w14:paraId="7837B3BB">
      <w:pPr>
        <w:rPr>
          <w:rFonts w:ascii="仿宋" w:eastAsia="仿宋"/>
          <w:sz w:val="24"/>
        </w:rPr>
      </w:pPr>
    </w:p>
    <w:p w14:paraId="415CC1DB">
      <w:pPr>
        <w:rPr>
          <w:rFonts w:ascii="仿宋" w:eastAsia="仿宋"/>
          <w:sz w:val="24"/>
        </w:rPr>
      </w:pPr>
    </w:p>
    <w:p w14:paraId="7BAE4B69">
      <w:pPr>
        <w:rPr>
          <w:rFonts w:ascii="仿宋" w:eastAsia="仿宋"/>
          <w:sz w:val="24"/>
        </w:rPr>
      </w:pPr>
    </w:p>
    <w:p w14:paraId="69D46C36">
      <w:pPr>
        <w:rPr>
          <w:rFonts w:ascii="仿宋" w:eastAsia="仿宋"/>
          <w:sz w:val="24"/>
        </w:rPr>
      </w:pPr>
    </w:p>
    <w:p w14:paraId="45D152F2">
      <w:pPr>
        <w:rPr>
          <w:rFonts w:ascii="仿宋" w:eastAsia="仿宋"/>
          <w:sz w:val="24"/>
        </w:rPr>
      </w:pPr>
    </w:p>
    <w:p w14:paraId="63D407EA">
      <w:pPr>
        <w:rPr>
          <w:rFonts w:ascii="仿宋" w:eastAsia="仿宋"/>
          <w:sz w:val="24"/>
        </w:rPr>
      </w:pPr>
    </w:p>
    <w:p w14:paraId="65CC8662">
      <w:pPr>
        <w:rPr>
          <w:rFonts w:ascii="仿宋" w:eastAsia="仿宋"/>
          <w:sz w:val="24"/>
        </w:rPr>
      </w:pPr>
    </w:p>
    <w:p w14:paraId="1D807203">
      <w:pPr>
        <w:rPr>
          <w:rFonts w:ascii="仿宋" w:eastAsia="仿宋"/>
          <w:sz w:val="24"/>
        </w:rPr>
      </w:pPr>
    </w:p>
    <w:p w14:paraId="631B62D0">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75A9AD28">
      <w:pPr>
        <w:snapToGrid w:val="0"/>
        <w:spacing w:before="156" w:beforeLines="50"/>
        <w:rPr>
          <w:rFonts w:ascii="仿宋" w:eastAsia="仿宋"/>
          <w:sz w:val="28"/>
          <w:szCs w:val="28"/>
        </w:rPr>
      </w:pPr>
      <w:r>
        <w:rPr>
          <w:rFonts w:hint="eastAsia" w:ascii="仿宋" w:eastAsia="仿宋"/>
          <w:sz w:val="28"/>
          <w:szCs w:val="28"/>
        </w:rPr>
        <w:t xml:space="preserve">日期： </w:t>
      </w:r>
    </w:p>
    <w:p w14:paraId="353438FA">
      <w:pPr>
        <w:rPr>
          <w:rFonts w:ascii="仿宋" w:eastAsia="仿宋"/>
          <w:sz w:val="24"/>
        </w:rPr>
      </w:pPr>
    </w:p>
    <w:p w14:paraId="41192566">
      <w:pPr>
        <w:rPr>
          <w:rFonts w:ascii="仿宋" w:eastAsia="仿宋"/>
          <w:sz w:val="24"/>
        </w:rPr>
      </w:pPr>
    </w:p>
    <w:p w14:paraId="57D7351A">
      <w:pPr>
        <w:snapToGrid w:val="0"/>
        <w:spacing w:before="50" w:after="50" w:line="360" w:lineRule="auto"/>
        <w:jc w:val="left"/>
        <w:rPr>
          <w:rFonts w:ascii="仿宋" w:eastAsia="仿宋"/>
          <w:b/>
          <w:bCs/>
          <w:sz w:val="30"/>
          <w:szCs w:val="30"/>
        </w:rPr>
      </w:pPr>
      <w:r>
        <w:rPr>
          <w:rFonts w:hint="eastAsia" w:ascii="仿宋" w:eastAsia="仿宋"/>
          <w:b/>
          <w:bCs/>
          <w:sz w:val="30"/>
          <w:szCs w:val="30"/>
        </w:rPr>
        <w:t>附件17（如有）：</w:t>
      </w:r>
    </w:p>
    <w:p w14:paraId="4679D6F2">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14:paraId="414295E3">
      <w:pPr>
        <w:pStyle w:val="10"/>
        <w:spacing w:line="360" w:lineRule="auto"/>
        <w:rPr>
          <w:rFonts w:ascii="仿宋" w:eastAsia="仿宋"/>
          <w:b/>
          <w:bCs/>
          <w:sz w:val="24"/>
          <w:szCs w:val="24"/>
        </w:rPr>
      </w:pPr>
      <w:r>
        <w:rPr>
          <w:rFonts w:hint="eastAsia" w:ascii="仿宋" w:eastAsia="仿宋"/>
          <w:b/>
          <w:bCs/>
          <w:sz w:val="24"/>
          <w:szCs w:val="24"/>
        </w:rPr>
        <w:t>投标人名称：</w:t>
      </w:r>
    </w:p>
    <w:p w14:paraId="794CD1FA">
      <w:pPr>
        <w:spacing w:line="360" w:lineRule="auto"/>
        <w:rPr>
          <w:rFonts w:ascii="仿宋" w:eastAsia="仿宋"/>
          <w:b/>
          <w:bCs/>
          <w:sz w:val="24"/>
          <w:szCs w:val="24"/>
        </w:rPr>
      </w:pPr>
      <w:r>
        <w:rPr>
          <w:rFonts w:hint="eastAsia" w:ascii="仿宋" w:eastAsia="仿宋"/>
          <w:b/>
          <w:bCs/>
          <w:sz w:val="24"/>
          <w:szCs w:val="24"/>
        </w:rPr>
        <w:t>项目编号：</w:t>
      </w:r>
    </w:p>
    <w:tbl>
      <w:tblPr>
        <w:tblStyle w:val="1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4CFA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3541EA0">
            <w:pPr>
              <w:pStyle w:val="2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A16B72">
            <w:pPr>
              <w:pStyle w:val="23"/>
              <w:tabs>
                <w:tab w:val="left" w:pos="1260"/>
              </w:tabs>
              <w:snapToGrid w:val="0"/>
              <w:jc w:val="center"/>
              <w:rPr>
                <w:rFonts w:ascii="仿宋" w:eastAsia="仿宋"/>
                <w:sz w:val="24"/>
                <w:lang w:val="en-GB"/>
              </w:rPr>
            </w:pPr>
            <w:r>
              <w:rPr>
                <w:rFonts w:hint="eastAsia" w:ascii="仿宋" w:eastAsia="仿宋"/>
                <w:sz w:val="24"/>
                <w:lang w:val="en-GB"/>
              </w:rPr>
              <w:t>核心产品</w:t>
            </w:r>
          </w:p>
          <w:p w14:paraId="5DA7DFB3">
            <w:pPr>
              <w:pStyle w:val="23"/>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A9DB46">
            <w:pPr>
              <w:pStyle w:val="23"/>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106A142">
            <w:pPr>
              <w:pStyle w:val="23"/>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14:paraId="5D48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A13D6C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1D7904">
            <w:pPr>
              <w:pStyle w:val="23"/>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222A37">
            <w:pPr>
              <w:pStyle w:val="23"/>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9897924">
            <w:pPr>
              <w:pStyle w:val="23"/>
              <w:tabs>
                <w:tab w:val="left" w:pos="1260"/>
              </w:tabs>
              <w:snapToGrid w:val="0"/>
              <w:spacing w:line="360" w:lineRule="auto"/>
              <w:jc w:val="center"/>
              <w:rPr>
                <w:rFonts w:ascii="仿宋" w:eastAsia="仿宋"/>
                <w:sz w:val="24"/>
              </w:rPr>
            </w:pPr>
          </w:p>
        </w:tc>
      </w:tr>
      <w:tr w14:paraId="4CCC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9C29787"/>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A85BB84">
            <w:pPr>
              <w:pStyle w:val="23"/>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805EC6">
            <w:pPr>
              <w:pStyle w:val="23"/>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B8CAA1E">
            <w:pPr>
              <w:pStyle w:val="23"/>
              <w:tabs>
                <w:tab w:val="left" w:pos="1260"/>
              </w:tabs>
              <w:snapToGrid w:val="0"/>
              <w:spacing w:line="360" w:lineRule="auto"/>
              <w:jc w:val="center"/>
              <w:rPr>
                <w:rFonts w:ascii="仿宋" w:eastAsia="仿宋"/>
                <w:sz w:val="24"/>
              </w:rPr>
            </w:pPr>
          </w:p>
        </w:tc>
      </w:tr>
      <w:tr w14:paraId="51BB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4A2E096">
            <w:pPr>
              <w:pStyle w:val="23"/>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63E108">
            <w:pPr>
              <w:pStyle w:val="23"/>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885183">
            <w:pPr>
              <w:pStyle w:val="23"/>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96A57AB">
            <w:pPr>
              <w:pStyle w:val="23"/>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5EA0F4B">
            <w:pPr>
              <w:pStyle w:val="23"/>
              <w:tabs>
                <w:tab w:val="left" w:pos="1260"/>
              </w:tabs>
              <w:snapToGrid w:val="0"/>
              <w:jc w:val="center"/>
              <w:rPr>
                <w:rFonts w:ascii="仿宋" w:eastAsia="仿宋"/>
                <w:sz w:val="24"/>
                <w:lang w:val="en-GB"/>
              </w:rPr>
            </w:pPr>
            <w:r>
              <w:rPr>
                <w:rFonts w:hint="eastAsia" w:ascii="仿宋" w:eastAsia="仿宋"/>
                <w:sz w:val="24"/>
                <w:lang w:val="en-GB"/>
              </w:rPr>
              <w:t>节能认证</w:t>
            </w:r>
          </w:p>
          <w:p w14:paraId="3F7D0EDD">
            <w:pPr>
              <w:pStyle w:val="23"/>
              <w:tabs>
                <w:tab w:val="left" w:pos="1260"/>
              </w:tabs>
              <w:snapToGrid w:val="0"/>
              <w:jc w:val="center"/>
              <w:rPr>
                <w:rFonts w:ascii="仿宋" w:eastAsia="仿宋"/>
                <w:sz w:val="24"/>
                <w:lang w:val="en-GB"/>
              </w:rPr>
            </w:pPr>
            <w:r>
              <w:rPr>
                <w:rFonts w:hint="eastAsia" w:ascii="仿宋" w:eastAsia="仿宋"/>
                <w:sz w:val="24"/>
                <w:lang w:val="en-GB"/>
              </w:rPr>
              <w:t>证书编号</w:t>
            </w:r>
          </w:p>
        </w:tc>
      </w:tr>
      <w:tr w14:paraId="7D92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5399370"/>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E77911">
            <w:pPr>
              <w:pStyle w:val="2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443229">
            <w:pPr>
              <w:pStyle w:val="2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52724CB">
            <w:pPr>
              <w:pStyle w:val="2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25AAB59">
            <w:pPr>
              <w:pStyle w:val="23"/>
              <w:tabs>
                <w:tab w:val="left" w:pos="1260"/>
              </w:tabs>
              <w:snapToGrid w:val="0"/>
              <w:spacing w:line="360" w:lineRule="auto"/>
              <w:jc w:val="center"/>
              <w:rPr>
                <w:rFonts w:ascii="仿宋" w:eastAsia="仿宋"/>
                <w:sz w:val="24"/>
                <w:lang w:val="en-GB"/>
              </w:rPr>
            </w:pPr>
          </w:p>
        </w:tc>
      </w:tr>
      <w:tr w14:paraId="3382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675B2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51AC2E6">
            <w:pPr>
              <w:pStyle w:val="2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DC934AC">
            <w:pPr>
              <w:pStyle w:val="2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32984C9">
            <w:pPr>
              <w:pStyle w:val="2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D2120F0">
            <w:pPr>
              <w:pStyle w:val="23"/>
              <w:tabs>
                <w:tab w:val="left" w:pos="1260"/>
              </w:tabs>
              <w:snapToGrid w:val="0"/>
              <w:spacing w:line="360" w:lineRule="auto"/>
              <w:jc w:val="center"/>
              <w:rPr>
                <w:rFonts w:ascii="仿宋" w:eastAsia="仿宋"/>
                <w:sz w:val="24"/>
                <w:lang w:val="en-GB"/>
              </w:rPr>
            </w:pPr>
          </w:p>
        </w:tc>
      </w:tr>
      <w:tr w14:paraId="08A8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C5E63AA">
            <w:pPr>
              <w:pStyle w:val="23"/>
              <w:tabs>
                <w:tab w:val="left" w:pos="1260"/>
              </w:tabs>
              <w:snapToGrid w:val="0"/>
              <w:jc w:val="center"/>
              <w:rPr>
                <w:rFonts w:ascii="仿宋" w:eastAsia="仿宋"/>
                <w:sz w:val="24"/>
                <w:lang w:val="en-GB"/>
              </w:rPr>
            </w:pPr>
            <w:r>
              <w:rPr>
                <w:rFonts w:hint="eastAsia" w:ascii="仿宋" w:eastAsia="仿宋"/>
                <w:sz w:val="24"/>
                <w:lang w:val="en-GB"/>
              </w:rPr>
              <w:t>环境标</w:t>
            </w:r>
          </w:p>
          <w:p w14:paraId="42F2C211">
            <w:pPr>
              <w:pStyle w:val="23"/>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DB2C397">
            <w:pPr>
              <w:pStyle w:val="23"/>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32EE6F">
            <w:pPr>
              <w:pStyle w:val="23"/>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2C89429">
            <w:pPr>
              <w:pStyle w:val="23"/>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B302E97">
            <w:pPr>
              <w:pStyle w:val="23"/>
              <w:tabs>
                <w:tab w:val="left" w:pos="1260"/>
              </w:tabs>
              <w:snapToGrid w:val="0"/>
              <w:jc w:val="center"/>
              <w:rPr>
                <w:rFonts w:ascii="仿宋" w:eastAsia="仿宋"/>
                <w:sz w:val="24"/>
                <w:lang w:val="en-GB"/>
              </w:rPr>
            </w:pPr>
            <w:r>
              <w:rPr>
                <w:rFonts w:hint="eastAsia" w:ascii="仿宋" w:eastAsia="仿宋"/>
                <w:sz w:val="24"/>
                <w:lang w:val="en-GB"/>
              </w:rPr>
              <w:t>环境标志认</w:t>
            </w:r>
          </w:p>
          <w:p w14:paraId="7B16CA13">
            <w:pPr>
              <w:pStyle w:val="23"/>
              <w:tabs>
                <w:tab w:val="left" w:pos="1260"/>
              </w:tabs>
              <w:snapToGrid w:val="0"/>
              <w:jc w:val="center"/>
              <w:rPr>
                <w:rFonts w:ascii="仿宋" w:eastAsia="仿宋"/>
                <w:sz w:val="24"/>
                <w:lang w:val="en-GB"/>
              </w:rPr>
            </w:pPr>
            <w:r>
              <w:rPr>
                <w:rFonts w:hint="eastAsia" w:ascii="仿宋" w:eastAsia="仿宋"/>
                <w:sz w:val="24"/>
                <w:lang w:val="en-GB"/>
              </w:rPr>
              <w:t>证证书编号</w:t>
            </w:r>
          </w:p>
        </w:tc>
      </w:tr>
      <w:tr w14:paraId="17ED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AEEA7BA"/>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5B8A2B4">
            <w:pPr>
              <w:pStyle w:val="2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88052C9">
            <w:pPr>
              <w:pStyle w:val="2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E1853E4">
            <w:pPr>
              <w:pStyle w:val="2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5086C9B">
            <w:pPr>
              <w:pStyle w:val="23"/>
              <w:tabs>
                <w:tab w:val="left" w:pos="1260"/>
              </w:tabs>
              <w:snapToGrid w:val="0"/>
              <w:spacing w:line="360" w:lineRule="auto"/>
              <w:jc w:val="center"/>
              <w:rPr>
                <w:rFonts w:ascii="仿宋" w:eastAsia="仿宋"/>
                <w:sz w:val="24"/>
                <w:lang w:val="en-GB"/>
              </w:rPr>
            </w:pPr>
          </w:p>
        </w:tc>
      </w:tr>
      <w:tr w14:paraId="491C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92FE29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D73B37">
            <w:pPr>
              <w:pStyle w:val="23"/>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3736E5">
            <w:pPr>
              <w:pStyle w:val="23"/>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FDDBE93">
            <w:pPr>
              <w:pStyle w:val="23"/>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8690C7">
            <w:pPr>
              <w:pStyle w:val="23"/>
              <w:tabs>
                <w:tab w:val="left" w:pos="1260"/>
              </w:tabs>
              <w:snapToGrid w:val="0"/>
              <w:spacing w:line="360" w:lineRule="auto"/>
              <w:jc w:val="center"/>
              <w:rPr>
                <w:rFonts w:ascii="仿宋" w:eastAsia="仿宋"/>
                <w:sz w:val="24"/>
                <w:lang w:val="en-GB"/>
              </w:rPr>
            </w:pPr>
          </w:p>
        </w:tc>
      </w:tr>
    </w:tbl>
    <w:p w14:paraId="53679458">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2615EC94">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7E02D60F">
      <w:pPr>
        <w:pStyle w:val="10"/>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1B2E3D0F">
      <w:pPr>
        <w:rPr>
          <w:rFonts w:ascii="仿宋" w:eastAsia="仿宋"/>
          <w:spacing w:val="20"/>
          <w:sz w:val="24"/>
          <w:szCs w:val="24"/>
        </w:rPr>
      </w:pPr>
    </w:p>
    <w:p w14:paraId="1CC8D088">
      <w:pPr>
        <w:rPr>
          <w:rFonts w:ascii="仿宋" w:eastAsia="仿宋"/>
          <w:spacing w:val="20"/>
          <w:sz w:val="24"/>
          <w:szCs w:val="24"/>
        </w:rPr>
      </w:pPr>
    </w:p>
    <w:p w14:paraId="64AEC6BA">
      <w:pPr>
        <w:rPr>
          <w:rFonts w:ascii="仿宋" w:eastAsia="仿宋"/>
          <w:spacing w:val="20"/>
          <w:sz w:val="24"/>
          <w:szCs w:val="24"/>
        </w:rPr>
      </w:pPr>
    </w:p>
    <w:p w14:paraId="34565880">
      <w:pPr>
        <w:rPr>
          <w:rFonts w:ascii="仿宋" w:eastAsia="仿宋"/>
          <w:spacing w:val="20"/>
          <w:sz w:val="24"/>
          <w:szCs w:val="24"/>
        </w:rPr>
      </w:pPr>
    </w:p>
    <w:p w14:paraId="4A516BEB">
      <w:pPr>
        <w:rPr>
          <w:rFonts w:ascii="仿宋" w:eastAsia="仿宋"/>
          <w:spacing w:val="20"/>
          <w:sz w:val="24"/>
          <w:szCs w:val="24"/>
        </w:rPr>
      </w:pPr>
    </w:p>
    <w:p w14:paraId="3238C59E">
      <w:pPr>
        <w:rPr>
          <w:rFonts w:ascii="仿宋" w:eastAsia="仿宋"/>
          <w:spacing w:val="20"/>
          <w:sz w:val="24"/>
          <w:szCs w:val="24"/>
        </w:rPr>
      </w:pPr>
    </w:p>
    <w:p w14:paraId="2BEFE9F0">
      <w:pPr>
        <w:rPr>
          <w:rFonts w:ascii="仿宋" w:eastAsia="仿宋"/>
          <w:spacing w:val="20"/>
          <w:sz w:val="24"/>
          <w:szCs w:val="24"/>
        </w:rPr>
      </w:pPr>
    </w:p>
    <w:p w14:paraId="05B33669">
      <w:pPr>
        <w:rPr>
          <w:rFonts w:ascii="仿宋" w:eastAsia="仿宋"/>
          <w:spacing w:val="20"/>
          <w:sz w:val="24"/>
          <w:szCs w:val="24"/>
        </w:rPr>
      </w:pPr>
    </w:p>
    <w:p w14:paraId="3B6E21E3">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7DC482C8">
      <w:pPr>
        <w:rPr>
          <w:rFonts w:ascii="仿宋" w:eastAsia="仿宋"/>
          <w:spacing w:val="20"/>
          <w:sz w:val="24"/>
          <w:szCs w:val="24"/>
        </w:rPr>
      </w:pPr>
    </w:p>
    <w:p w14:paraId="2F466638">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3CDE4414">
      <w:pPr>
        <w:rPr>
          <w:rFonts w:ascii="仿宋" w:eastAsia="仿宋"/>
          <w:spacing w:val="20"/>
          <w:sz w:val="24"/>
          <w:szCs w:val="24"/>
          <w:u w:val="single"/>
        </w:rPr>
      </w:pPr>
    </w:p>
    <w:p w14:paraId="30CE2EA2">
      <w:pPr>
        <w:snapToGrid w:val="0"/>
        <w:spacing w:before="156" w:beforeLines="50" w:after="50"/>
        <w:jc w:val="left"/>
        <w:rPr>
          <w:rFonts w:ascii="仿宋" w:eastAsia="仿宋"/>
          <w:b/>
          <w:bCs/>
          <w:sz w:val="30"/>
          <w:szCs w:val="30"/>
        </w:rPr>
      </w:pPr>
      <w:r>
        <w:rPr>
          <w:rFonts w:hint="eastAsia" w:ascii="仿宋" w:eastAsia="仿宋"/>
          <w:b/>
          <w:bCs/>
          <w:sz w:val="30"/>
          <w:szCs w:val="30"/>
        </w:rPr>
        <w:t>附件18：报价文件封面</w:t>
      </w:r>
    </w:p>
    <w:p w14:paraId="2D40C5C3">
      <w:pPr>
        <w:snapToGrid w:val="0"/>
        <w:spacing w:before="156" w:beforeLines="50" w:after="50"/>
        <w:jc w:val="right"/>
        <w:rPr>
          <w:rFonts w:ascii="仿宋" w:eastAsia="仿宋"/>
          <w:b/>
          <w:sz w:val="30"/>
          <w:szCs w:val="30"/>
        </w:rPr>
      </w:pPr>
    </w:p>
    <w:p w14:paraId="2E9D8FF3">
      <w:pPr>
        <w:snapToGrid w:val="0"/>
        <w:spacing w:before="156" w:beforeLines="50" w:after="50"/>
        <w:jc w:val="right"/>
        <w:rPr>
          <w:rFonts w:ascii="仿宋" w:eastAsia="仿宋"/>
          <w:bCs/>
          <w:sz w:val="30"/>
          <w:szCs w:val="30"/>
        </w:rPr>
      </w:pPr>
    </w:p>
    <w:p w14:paraId="199098E3">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1D8EBA58">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590326BD">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26C80BA5">
      <w:pPr>
        <w:spacing w:line="1200" w:lineRule="exact"/>
        <w:ind w:right="6"/>
        <w:jc w:val="center"/>
        <w:rPr>
          <w:rFonts w:ascii="仿宋" w:eastAsia="仿宋"/>
          <w:sz w:val="72"/>
          <w:szCs w:val="72"/>
        </w:rPr>
      </w:pPr>
    </w:p>
    <w:p w14:paraId="13493E08">
      <w:pPr>
        <w:spacing w:line="1200" w:lineRule="exact"/>
        <w:ind w:right="6"/>
        <w:jc w:val="center"/>
        <w:rPr>
          <w:rFonts w:ascii="仿宋" w:eastAsia="仿宋"/>
          <w:sz w:val="72"/>
          <w:szCs w:val="72"/>
        </w:rPr>
      </w:pPr>
      <w:r>
        <w:rPr>
          <w:rFonts w:hint="eastAsia" w:ascii="仿宋" w:eastAsia="仿宋"/>
          <w:sz w:val="72"/>
          <w:szCs w:val="72"/>
        </w:rPr>
        <w:t>报</w:t>
      </w:r>
    </w:p>
    <w:p w14:paraId="5C160192">
      <w:pPr>
        <w:spacing w:line="1200" w:lineRule="exact"/>
        <w:ind w:right="6"/>
        <w:jc w:val="center"/>
        <w:rPr>
          <w:rFonts w:ascii="仿宋" w:eastAsia="仿宋"/>
          <w:sz w:val="72"/>
          <w:szCs w:val="72"/>
        </w:rPr>
      </w:pPr>
      <w:r>
        <w:rPr>
          <w:rFonts w:hint="eastAsia" w:ascii="仿宋" w:eastAsia="仿宋"/>
          <w:sz w:val="72"/>
          <w:szCs w:val="72"/>
        </w:rPr>
        <w:t>价</w:t>
      </w:r>
    </w:p>
    <w:p w14:paraId="1296E577">
      <w:pPr>
        <w:spacing w:line="1200" w:lineRule="exact"/>
        <w:ind w:right="6"/>
        <w:jc w:val="center"/>
        <w:rPr>
          <w:rFonts w:ascii="仿宋" w:eastAsia="仿宋"/>
          <w:sz w:val="72"/>
          <w:szCs w:val="72"/>
        </w:rPr>
      </w:pPr>
      <w:r>
        <w:rPr>
          <w:rFonts w:hint="eastAsia" w:ascii="仿宋" w:eastAsia="仿宋"/>
          <w:sz w:val="72"/>
          <w:szCs w:val="72"/>
        </w:rPr>
        <w:t>文</w:t>
      </w:r>
    </w:p>
    <w:p w14:paraId="1D27CD0B">
      <w:pPr>
        <w:spacing w:line="1200" w:lineRule="exact"/>
        <w:ind w:right="6"/>
        <w:jc w:val="center"/>
        <w:rPr>
          <w:rFonts w:ascii="仿宋" w:eastAsia="仿宋"/>
          <w:sz w:val="72"/>
          <w:szCs w:val="72"/>
        </w:rPr>
      </w:pPr>
      <w:r>
        <w:rPr>
          <w:rFonts w:hint="eastAsia" w:ascii="仿宋" w:eastAsia="仿宋"/>
          <w:sz w:val="72"/>
          <w:szCs w:val="72"/>
        </w:rPr>
        <w:t>件</w:t>
      </w:r>
    </w:p>
    <w:p w14:paraId="2C06409A">
      <w:pPr>
        <w:spacing w:line="1200" w:lineRule="exact"/>
        <w:ind w:right="6"/>
        <w:jc w:val="center"/>
        <w:rPr>
          <w:rFonts w:ascii="仿宋" w:eastAsia="仿宋"/>
          <w:sz w:val="72"/>
          <w:szCs w:val="72"/>
        </w:rPr>
      </w:pPr>
    </w:p>
    <w:p w14:paraId="765A3D0C">
      <w:pPr>
        <w:spacing w:line="1200" w:lineRule="exact"/>
        <w:ind w:right="6"/>
        <w:jc w:val="center"/>
        <w:rPr>
          <w:rFonts w:ascii="仿宋" w:eastAsia="仿宋"/>
          <w:sz w:val="72"/>
          <w:szCs w:val="72"/>
        </w:rPr>
      </w:pPr>
    </w:p>
    <w:p w14:paraId="719684A1">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14:paraId="6BA08831">
      <w:pPr>
        <w:spacing w:line="360" w:lineRule="auto"/>
        <w:ind w:right="-110"/>
        <w:rPr>
          <w:rFonts w:ascii="仿宋" w:eastAsia="仿宋"/>
          <w:spacing w:val="40"/>
          <w:sz w:val="30"/>
          <w:szCs w:val="30"/>
        </w:rPr>
      </w:pPr>
      <w:r>
        <w:rPr>
          <w:rFonts w:hint="eastAsia" w:ascii="仿宋" w:eastAsia="仿宋"/>
          <w:spacing w:val="40"/>
          <w:sz w:val="30"/>
          <w:szCs w:val="30"/>
        </w:rPr>
        <w:t>地    址：</w:t>
      </w:r>
    </w:p>
    <w:p w14:paraId="03FB7468">
      <w:pPr>
        <w:spacing w:line="360" w:lineRule="auto"/>
        <w:ind w:right="-110"/>
        <w:rPr>
          <w:rFonts w:ascii="仿宋" w:eastAsia="仿宋"/>
          <w:spacing w:val="40"/>
          <w:sz w:val="30"/>
          <w:szCs w:val="30"/>
        </w:rPr>
      </w:pPr>
      <w:r>
        <w:rPr>
          <w:rFonts w:hint="eastAsia" w:ascii="仿宋" w:eastAsia="仿宋"/>
          <w:spacing w:val="40"/>
          <w:sz w:val="30"/>
          <w:szCs w:val="30"/>
        </w:rPr>
        <w:t>日    期：</w:t>
      </w:r>
    </w:p>
    <w:p w14:paraId="5656E82C">
      <w:pPr>
        <w:rPr>
          <w:rFonts w:ascii="仿宋" w:eastAsia="仿宋"/>
          <w:sz w:val="24"/>
        </w:rPr>
      </w:pPr>
    </w:p>
    <w:p w14:paraId="3D3E3338">
      <w:pPr>
        <w:snapToGrid w:val="0"/>
        <w:spacing w:before="156" w:beforeLines="50" w:after="50"/>
        <w:jc w:val="left"/>
        <w:rPr>
          <w:rFonts w:ascii="仿宋" w:eastAsia="仿宋"/>
          <w:b/>
          <w:bCs/>
          <w:sz w:val="30"/>
          <w:szCs w:val="30"/>
        </w:rPr>
      </w:pPr>
      <w:r>
        <w:rPr>
          <w:rFonts w:hint="eastAsia" w:ascii="仿宋" w:eastAsia="仿宋"/>
          <w:b/>
          <w:bCs/>
          <w:sz w:val="30"/>
          <w:szCs w:val="30"/>
        </w:rPr>
        <w:t>附件19：报价文件目录</w:t>
      </w:r>
    </w:p>
    <w:p w14:paraId="6BFC7608">
      <w:pPr>
        <w:snapToGrid w:val="0"/>
        <w:spacing w:before="156" w:beforeLines="50" w:after="50"/>
        <w:jc w:val="left"/>
        <w:rPr>
          <w:rFonts w:ascii="仿宋" w:eastAsia="仿宋"/>
          <w:sz w:val="30"/>
          <w:szCs w:val="30"/>
        </w:rPr>
      </w:pPr>
    </w:p>
    <w:p w14:paraId="36A4E47B">
      <w:pPr>
        <w:pStyle w:val="19"/>
        <w:spacing w:line="360" w:lineRule="auto"/>
        <w:ind w:firstLine="0" w:firstLineChars="0"/>
        <w:jc w:val="center"/>
        <w:rPr>
          <w:rFonts w:ascii="仿宋" w:eastAsia="仿宋" w:cs="仿宋_GB2312"/>
        </w:rPr>
      </w:pPr>
      <w:bookmarkStart w:id="92" w:name="_Toc64369825"/>
      <w:r>
        <w:rPr>
          <w:rFonts w:hint="eastAsia" w:ascii="仿宋" w:eastAsia="仿宋" w:cs="仿宋_GB2312"/>
        </w:rPr>
        <w:t>目 录</w:t>
      </w:r>
      <w:bookmarkEnd w:id="92"/>
    </w:p>
    <w:p w14:paraId="10B23175">
      <w:pPr>
        <w:pStyle w:val="19"/>
        <w:spacing w:line="360" w:lineRule="auto"/>
        <w:ind w:firstLine="0" w:firstLineChars="0"/>
        <w:jc w:val="left"/>
        <w:rPr>
          <w:rFonts w:ascii="仿宋" w:eastAsia="仿宋" w:cs="仿宋_GB2312"/>
        </w:rPr>
      </w:pPr>
      <w:r>
        <w:rPr>
          <w:rFonts w:hint="eastAsia" w:ascii="仿宋" w:eastAsia="仿宋" w:cs="仿宋_GB2312"/>
        </w:rPr>
        <w:t>1.开标一览表 …………………………………………………………………（页码）</w:t>
      </w:r>
    </w:p>
    <w:p w14:paraId="59291B80">
      <w:pPr>
        <w:pStyle w:val="19"/>
        <w:spacing w:line="360" w:lineRule="auto"/>
        <w:ind w:firstLine="0" w:firstLineChars="0"/>
        <w:jc w:val="left"/>
        <w:rPr>
          <w:rFonts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13A0126D">
      <w:pPr>
        <w:snapToGrid w:val="0"/>
        <w:spacing w:before="50" w:after="50"/>
        <w:jc w:val="left"/>
        <w:rPr>
          <w:rFonts w:ascii="仿宋" w:eastAsia="仿宋"/>
          <w:b/>
          <w:sz w:val="36"/>
          <w:szCs w:val="36"/>
        </w:rPr>
      </w:pPr>
    </w:p>
    <w:p w14:paraId="1C72F4A0">
      <w:pPr>
        <w:snapToGrid w:val="0"/>
        <w:spacing w:before="50" w:after="50"/>
        <w:jc w:val="left"/>
        <w:rPr>
          <w:rFonts w:ascii="仿宋" w:eastAsia="仿宋"/>
          <w:b/>
          <w:sz w:val="36"/>
          <w:szCs w:val="36"/>
        </w:rPr>
      </w:pPr>
    </w:p>
    <w:p w14:paraId="102170E1">
      <w:pPr>
        <w:snapToGrid w:val="0"/>
        <w:spacing w:before="50" w:after="50"/>
        <w:jc w:val="left"/>
        <w:rPr>
          <w:rFonts w:ascii="仿宋" w:eastAsia="仿宋"/>
          <w:b/>
          <w:sz w:val="36"/>
          <w:szCs w:val="36"/>
        </w:rPr>
      </w:pPr>
    </w:p>
    <w:p w14:paraId="78B7597C">
      <w:pPr>
        <w:snapToGrid w:val="0"/>
        <w:spacing w:before="50" w:after="50"/>
        <w:jc w:val="left"/>
        <w:rPr>
          <w:rFonts w:ascii="仿宋" w:eastAsia="仿宋"/>
          <w:b/>
          <w:sz w:val="36"/>
          <w:szCs w:val="36"/>
        </w:rPr>
      </w:pPr>
    </w:p>
    <w:p w14:paraId="27F12EC7">
      <w:pPr>
        <w:snapToGrid w:val="0"/>
        <w:spacing w:before="50" w:after="50"/>
        <w:jc w:val="left"/>
        <w:rPr>
          <w:rFonts w:ascii="仿宋" w:eastAsia="仿宋"/>
          <w:b/>
          <w:sz w:val="36"/>
          <w:szCs w:val="36"/>
        </w:rPr>
      </w:pPr>
    </w:p>
    <w:p w14:paraId="1462A5F0">
      <w:pPr>
        <w:snapToGrid w:val="0"/>
        <w:spacing w:before="50" w:after="50"/>
        <w:jc w:val="left"/>
        <w:rPr>
          <w:rFonts w:ascii="仿宋" w:eastAsia="仿宋"/>
          <w:b/>
          <w:sz w:val="36"/>
          <w:szCs w:val="36"/>
        </w:rPr>
      </w:pPr>
    </w:p>
    <w:p w14:paraId="30E9C146">
      <w:pPr>
        <w:snapToGrid w:val="0"/>
        <w:spacing w:before="50" w:after="50"/>
        <w:jc w:val="left"/>
        <w:rPr>
          <w:rFonts w:ascii="仿宋" w:eastAsia="仿宋"/>
          <w:b/>
          <w:sz w:val="36"/>
          <w:szCs w:val="36"/>
        </w:rPr>
      </w:pPr>
    </w:p>
    <w:p w14:paraId="65E1A472">
      <w:pPr>
        <w:snapToGrid w:val="0"/>
        <w:spacing w:before="50" w:after="50"/>
        <w:jc w:val="left"/>
        <w:rPr>
          <w:rFonts w:ascii="仿宋" w:eastAsia="仿宋"/>
          <w:b/>
          <w:sz w:val="36"/>
          <w:szCs w:val="36"/>
        </w:rPr>
      </w:pPr>
    </w:p>
    <w:p w14:paraId="2292497A">
      <w:pPr>
        <w:snapToGrid w:val="0"/>
        <w:spacing w:before="50" w:after="50"/>
        <w:jc w:val="left"/>
        <w:rPr>
          <w:rFonts w:ascii="仿宋" w:eastAsia="仿宋"/>
          <w:b/>
          <w:sz w:val="36"/>
          <w:szCs w:val="36"/>
        </w:rPr>
      </w:pPr>
    </w:p>
    <w:p w14:paraId="0468781D">
      <w:pPr>
        <w:snapToGrid w:val="0"/>
        <w:spacing w:before="50" w:after="50"/>
        <w:jc w:val="left"/>
        <w:rPr>
          <w:rFonts w:ascii="仿宋" w:eastAsia="仿宋"/>
          <w:b/>
          <w:sz w:val="36"/>
          <w:szCs w:val="36"/>
        </w:rPr>
      </w:pPr>
    </w:p>
    <w:p w14:paraId="3FEA7A33">
      <w:pPr>
        <w:rPr>
          <w:rFonts w:ascii="仿宋" w:eastAsia="仿宋"/>
          <w:b/>
          <w:sz w:val="36"/>
          <w:szCs w:val="36"/>
        </w:rPr>
      </w:pPr>
      <w:r>
        <w:rPr>
          <w:rFonts w:hint="eastAsia" w:ascii="仿宋" w:eastAsia="仿宋"/>
          <w:b/>
          <w:sz w:val="36"/>
          <w:szCs w:val="36"/>
        </w:rPr>
        <w:br w:type="page"/>
      </w:r>
    </w:p>
    <w:p w14:paraId="751CF0B7">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1301C4F4">
      <w:pPr>
        <w:snapToGrid w:val="0"/>
        <w:spacing w:before="50" w:after="50"/>
        <w:jc w:val="left"/>
        <w:rPr>
          <w:rFonts w:ascii="仿宋" w:eastAsia="仿宋"/>
          <w:b/>
          <w:bCs/>
          <w:sz w:val="30"/>
          <w:szCs w:val="30"/>
        </w:rPr>
      </w:pPr>
      <w:r>
        <w:rPr>
          <w:rFonts w:hint="eastAsia" w:ascii="仿宋" w:eastAsia="仿宋"/>
          <w:b/>
          <w:bCs/>
          <w:sz w:val="30"/>
          <w:szCs w:val="30"/>
        </w:rPr>
        <w:t>附件20：</w:t>
      </w:r>
    </w:p>
    <w:p w14:paraId="5C3AAA26">
      <w:pPr>
        <w:snapToGrid w:val="0"/>
        <w:spacing w:before="50" w:after="50"/>
        <w:jc w:val="center"/>
        <w:rPr>
          <w:rFonts w:ascii="仿宋" w:eastAsia="仿宋"/>
          <w:b/>
          <w:sz w:val="36"/>
          <w:szCs w:val="36"/>
        </w:rPr>
      </w:pPr>
      <w:r>
        <w:rPr>
          <w:rFonts w:hint="eastAsia" w:ascii="仿宋" w:eastAsia="仿宋"/>
          <w:b/>
          <w:sz w:val="36"/>
          <w:szCs w:val="36"/>
        </w:rPr>
        <w:t>开标一览表</w:t>
      </w:r>
    </w:p>
    <w:p w14:paraId="0EED4255">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6533A052">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1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6839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05FD707">
            <w:pPr>
              <w:snapToGrid w:val="0"/>
              <w:spacing w:before="50" w:after="50"/>
              <w:jc w:val="center"/>
              <w:rPr>
                <w:rFonts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40F219DD">
            <w:pPr>
              <w:snapToGrid w:val="0"/>
              <w:spacing w:before="50" w:after="50"/>
              <w:jc w:val="center"/>
              <w:rPr>
                <w:rFonts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B1212C9">
            <w:pPr>
              <w:snapToGrid w:val="0"/>
              <w:spacing w:before="50" w:after="50"/>
              <w:jc w:val="center"/>
              <w:rPr>
                <w:rFonts w:ascii="仿宋" w:eastAsia="仿宋"/>
                <w:b/>
                <w:sz w:val="24"/>
                <w:szCs w:val="24"/>
              </w:rPr>
            </w:pPr>
            <w:r>
              <w:rPr>
                <w:rFonts w:hint="eastAsia" w:ascii="仿宋" w:eastAsia="仿宋"/>
                <w:b/>
                <w:sz w:val="24"/>
                <w:szCs w:val="24"/>
              </w:rPr>
              <w:t>单价</w:t>
            </w:r>
          </w:p>
          <w:p w14:paraId="0D9403AF">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670FD376">
            <w:pPr>
              <w:snapToGrid w:val="0"/>
              <w:spacing w:before="50" w:after="50"/>
              <w:jc w:val="center"/>
              <w:rPr>
                <w:rFonts w:ascii="仿宋" w:eastAsia="仿宋"/>
                <w:b/>
                <w:sz w:val="24"/>
                <w:szCs w:val="24"/>
              </w:rPr>
            </w:pPr>
            <w:r>
              <w:rPr>
                <w:rFonts w:hint="eastAsia" w:ascii="仿宋" w:eastAsia="仿宋"/>
                <w:b/>
                <w:sz w:val="24"/>
                <w:szCs w:val="24"/>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5C31904D">
            <w:pPr>
              <w:snapToGrid w:val="0"/>
              <w:spacing w:before="50" w:after="50"/>
              <w:jc w:val="center"/>
              <w:rPr>
                <w:rFonts w:ascii="仿宋" w:eastAsia="仿宋"/>
                <w:b/>
                <w:sz w:val="24"/>
                <w:szCs w:val="24"/>
              </w:rPr>
            </w:pPr>
            <w:r>
              <w:rPr>
                <w:rFonts w:hint="eastAsia" w:ascii="仿宋" w:eastAsia="仿宋"/>
                <w:b/>
                <w:sz w:val="24"/>
                <w:szCs w:val="24"/>
              </w:rPr>
              <w:t>金额</w:t>
            </w:r>
          </w:p>
          <w:p w14:paraId="2E82BEF9">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2D73AA6A">
            <w:pPr>
              <w:snapToGrid w:val="0"/>
              <w:spacing w:before="50" w:after="50"/>
              <w:jc w:val="center"/>
              <w:rPr>
                <w:rFonts w:ascii="仿宋" w:eastAsia="仿宋"/>
                <w:b/>
                <w:sz w:val="24"/>
                <w:szCs w:val="24"/>
              </w:rPr>
            </w:pPr>
            <w:r>
              <w:rPr>
                <w:rFonts w:hint="eastAsia" w:ascii="仿宋" w:eastAsia="仿宋"/>
                <w:b/>
                <w:sz w:val="24"/>
                <w:szCs w:val="24"/>
              </w:rPr>
              <w:t>备注</w:t>
            </w:r>
          </w:p>
        </w:tc>
      </w:tr>
      <w:tr w14:paraId="168E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C160A77">
            <w:pPr>
              <w:snapToGrid w:val="0"/>
              <w:spacing w:before="50" w:after="50"/>
              <w:jc w:val="center"/>
              <w:rPr>
                <w:rFonts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vAlign w:val="top"/>
          </w:tcPr>
          <w:p w14:paraId="7D6A61C9">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vAlign w:val="top"/>
          </w:tcPr>
          <w:p w14:paraId="0361865C">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vAlign w:val="top"/>
          </w:tcPr>
          <w:p w14:paraId="68EC2DF4">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vAlign w:val="top"/>
          </w:tcPr>
          <w:p w14:paraId="202E554E">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vAlign w:val="top"/>
          </w:tcPr>
          <w:p w14:paraId="045FC4C2">
            <w:pPr>
              <w:snapToGrid w:val="0"/>
              <w:spacing w:before="50" w:after="50"/>
              <w:jc w:val="left"/>
              <w:rPr>
                <w:rFonts w:ascii="仿宋" w:eastAsia="仿宋"/>
                <w:b/>
                <w:sz w:val="24"/>
                <w:szCs w:val="24"/>
              </w:rPr>
            </w:pPr>
          </w:p>
        </w:tc>
      </w:tr>
      <w:tr w14:paraId="1C52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AC55936">
            <w:pPr>
              <w:snapToGrid w:val="0"/>
              <w:spacing w:before="50" w:after="50"/>
              <w:jc w:val="center"/>
              <w:rPr>
                <w:rFonts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vAlign w:val="top"/>
          </w:tcPr>
          <w:p w14:paraId="6A67C522">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vAlign w:val="top"/>
          </w:tcPr>
          <w:p w14:paraId="18E4056A">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vAlign w:val="top"/>
          </w:tcPr>
          <w:p w14:paraId="10196FAD">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vAlign w:val="top"/>
          </w:tcPr>
          <w:p w14:paraId="14B47CFF">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vAlign w:val="top"/>
          </w:tcPr>
          <w:p w14:paraId="774937D5">
            <w:pPr>
              <w:snapToGrid w:val="0"/>
              <w:spacing w:before="50" w:after="50"/>
              <w:jc w:val="left"/>
              <w:rPr>
                <w:rFonts w:ascii="仿宋" w:eastAsia="仿宋"/>
                <w:b/>
                <w:sz w:val="24"/>
                <w:szCs w:val="24"/>
              </w:rPr>
            </w:pPr>
          </w:p>
        </w:tc>
      </w:tr>
      <w:tr w14:paraId="1966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232C0A4">
            <w:pPr>
              <w:snapToGrid w:val="0"/>
              <w:spacing w:before="50" w:after="50"/>
              <w:jc w:val="center"/>
              <w:rPr>
                <w:rFonts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vAlign w:val="top"/>
          </w:tcPr>
          <w:p w14:paraId="15C7EF92">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vAlign w:val="top"/>
          </w:tcPr>
          <w:p w14:paraId="456B948E">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vAlign w:val="top"/>
          </w:tcPr>
          <w:p w14:paraId="216CBD14">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vAlign w:val="top"/>
          </w:tcPr>
          <w:p w14:paraId="1748DC06">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vAlign w:val="top"/>
          </w:tcPr>
          <w:p w14:paraId="1EA3907D">
            <w:pPr>
              <w:snapToGrid w:val="0"/>
              <w:spacing w:before="50" w:after="50"/>
              <w:jc w:val="left"/>
              <w:rPr>
                <w:rFonts w:ascii="仿宋" w:eastAsia="仿宋"/>
                <w:b/>
                <w:sz w:val="24"/>
                <w:szCs w:val="24"/>
              </w:rPr>
            </w:pPr>
          </w:p>
        </w:tc>
      </w:tr>
      <w:tr w14:paraId="596D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4C92E1E">
            <w:pPr>
              <w:snapToGrid w:val="0"/>
              <w:spacing w:before="50" w:after="50"/>
              <w:jc w:val="center"/>
              <w:rPr>
                <w:rFonts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vAlign w:val="top"/>
          </w:tcPr>
          <w:p w14:paraId="44823DC8">
            <w:pPr>
              <w:snapToGrid w:val="0"/>
              <w:spacing w:before="50" w:after="50"/>
              <w:jc w:val="left"/>
              <w:rPr>
                <w:rFonts w:ascii="仿宋" w:eastAsia="仿宋"/>
                <w:b/>
                <w:sz w:val="24"/>
                <w:szCs w:val="24"/>
              </w:rPr>
            </w:pPr>
            <w:r>
              <w:rPr>
                <w:rFonts w:hint="eastAsia" w:ascii="仿宋" w:eastAsia="仿宋"/>
                <w:b/>
                <w:sz w:val="24"/>
                <w:szCs w:val="24"/>
              </w:rPr>
              <w:t>大写：</w:t>
            </w:r>
          </w:p>
        </w:tc>
      </w:tr>
      <w:tr w14:paraId="5DE1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0ACCC85"/>
        </w:tc>
        <w:tc>
          <w:tcPr>
            <w:tcW w:w="11645" w:type="dxa"/>
            <w:gridSpan w:val="5"/>
            <w:tcBorders>
              <w:top w:val="single" w:color="auto" w:sz="4" w:space="0"/>
              <w:left w:val="single" w:color="auto" w:sz="4" w:space="0"/>
              <w:bottom w:val="single" w:color="auto" w:sz="4" w:space="0"/>
              <w:right w:val="single" w:color="auto" w:sz="4" w:space="0"/>
            </w:tcBorders>
            <w:noWrap/>
            <w:vAlign w:val="top"/>
          </w:tcPr>
          <w:p w14:paraId="7F4990BE">
            <w:pPr>
              <w:snapToGrid w:val="0"/>
              <w:spacing w:before="50" w:after="50"/>
              <w:jc w:val="left"/>
              <w:rPr>
                <w:rFonts w:ascii="仿宋" w:eastAsia="仿宋"/>
                <w:b/>
                <w:sz w:val="24"/>
                <w:szCs w:val="24"/>
              </w:rPr>
            </w:pPr>
            <w:r>
              <w:rPr>
                <w:rFonts w:hint="eastAsia" w:ascii="仿宋" w:eastAsia="仿宋"/>
                <w:b/>
                <w:sz w:val="24"/>
                <w:szCs w:val="24"/>
              </w:rPr>
              <w:t>小写：</w:t>
            </w:r>
          </w:p>
        </w:tc>
      </w:tr>
    </w:tbl>
    <w:p w14:paraId="49D8A597">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7F47B44C">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56D2FE7B">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64AC83C4">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7A299600">
      <w:pPr>
        <w:ind w:firstLine="482" w:firstLineChars="200"/>
        <w:rPr>
          <w:rFonts w:ascii="仿宋" w:eastAsia="仿宋"/>
          <w:b/>
          <w:kern w:val="0"/>
          <w:sz w:val="24"/>
          <w:u w:val="single"/>
          <w:lang w:val="zh-CN"/>
        </w:rPr>
      </w:pPr>
    </w:p>
    <w:p w14:paraId="162D828B">
      <w:pPr>
        <w:snapToGrid w:val="0"/>
        <w:ind w:firstLine="480" w:firstLineChars="200"/>
        <w:jc w:val="left"/>
        <w:rPr>
          <w:rFonts w:ascii="仿宋" w:eastAsia="仿宋"/>
          <w:sz w:val="24"/>
        </w:rPr>
      </w:pPr>
      <w:bookmarkStart w:id="93" w:name="_Toc64369826"/>
      <w:r>
        <w:rPr>
          <w:rFonts w:hint="eastAsia" w:ascii="仿宋" w:eastAsia="仿宋"/>
          <w:sz w:val="24"/>
        </w:rPr>
        <w:t xml:space="preserve">法定代表人或其授权代表签字（或盖章）：            </w:t>
      </w:r>
      <w:bookmarkEnd w:id="93"/>
    </w:p>
    <w:p w14:paraId="603727E9">
      <w:pPr>
        <w:spacing w:line="360" w:lineRule="auto"/>
        <w:jc w:val="left"/>
        <w:outlineLvl w:val="0"/>
        <w:rPr>
          <w:rFonts w:ascii="仿宋" w:eastAsia="仿宋"/>
          <w:sz w:val="24"/>
        </w:rPr>
      </w:pPr>
    </w:p>
    <w:p w14:paraId="77194665">
      <w:pPr>
        <w:snapToGrid w:val="0"/>
        <w:ind w:firstLine="480" w:firstLineChars="200"/>
        <w:jc w:val="left"/>
        <w:rPr>
          <w:rFonts w:ascii="仿宋" w:eastAsia="仿宋"/>
          <w:sz w:val="24"/>
        </w:rPr>
      </w:pPr>
      <w:bookmarkStart w:id="94" w:name="_Toc64369827"/>
      <w:r>
        <w:rPr>
          <w:rFonts w:hint="eastAsia" w:ascii="仿宋" w:eastAsia="仿宋"/>
          <w:sz w:val="24"/>
        </w:rPr>
        <w:t>日期：    年   月   日</w:t>
      </w:r>
      <w:bookmarkEnd w:id="94"/>
    </w:p>
    <w:p w14:paraId="5906840E">
      <w:pPr>
        <w:snapToGrid w:val="0"/>
        <w:ind w:firstLine="480" w:firstLineChars="200"/>
        <w:jc w:val="left"/>
        <w:rPr>
          <w:rFonts w:ascii="仿宋" w:eastAsia="仿宋"/>
          <w:sz w:val="24"/>
        </w:rPr>
        <w:sectPr>
          <w:pgSz w:w="16840" w:h="11907" w:orient="landscape"/>
          <w:pgMar w:top="1803" w:right="1440" w:bottom="1236" w:left="1440" w:header="851" w:footer="992" w:gutter="0"/>
          <w:cols w:space="720" w:num="1"/>
          <w:docGrid w:type="lines" w:linePitch="312" w:charSpace="0"/>
        </w:sectPr>
      </w:pPr>
    </w:p>
    <w:p w14:paraId="7BCD3456">
      <w:pPr>
        <w:pStyle w:val="3"/>
        <w:rPr>
          <w:rFonts w:ascii="仿宋"/>
        </w:rPr>
      </w:pPr>
      <w:bookmarkStart w:id="95" w:name="_Toc16291"/>
      <w:r>
        <w:rPr>
          <w:rFonts w:hint="eastAsia" w:ascii="仿宋"/>
        </w:rPr>
        <w:t>第七章  询问、质疑及投诉</w:t>
      </w:r>
      <w:bookmarkEnd w:id="95"/>
    </w:p>
    <w:p w14:paraId="4D712FA9">
      <w:pPr>
        <w:pStyle w:val="10"/>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4038798">
      <w:pPr>
        <w:pStyle w:val="4"/>
        <w:rPr>
          <w:rFonts w:ascii="仿宋"/>
        </w:rPr>
      </w:pPr>
      <w:bookmarkStart w:id="96" w:name="_Toc31383"/>
      <w:r>
        <w:rPr>
          <w:rFonts w:hint="eastAsia" w:ascii="仿宋"/>
        </w:rPr>
        <w:t>一、供应商询问</w:t>
      </w:r>
      <w:bookmarkEnd w:id="96"/>
    </w:p>
    <w:p w14:paraId="5C3264C6">
      <w:pPr>
        <w:pStyle w:val="10"/>
        <w:spacing w:line="360" w:lineRule="auto"/>
        <w:rPr>
          <w:rFonts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的，可以向采购机构提出询问</w:t>
      </w:r>
      <w:r>
        <w:rPr>
          <w:rFonts w:ascii="仿宋" w:eastAsia="仿宋"/>
          <w:sz w:val="24"/>
        </w:rPr>
        <w:t>（加盖单位</w:t>
      </w:r>
      <w:r>
        <w:rPr>
          <w:rFonts w:hint="eastAsia" w:ascii="仿宋" w:eastAsia="仿宋"/>
          <w:sz w:val="24"/>
        </w:rPr>
        <w:t>公</w:t>
      </w:r>
      <w:r>
        <w:rPr>
          <w:rFonts w:ascii="仿宋" w:eastAsia="仿宋"/>
          <w:sz w:val="24"/>
        </w:rPr>
        <w:t>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3F79C43C">
      <w:pPr>
        <w:pStyle w:val="10"/>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141B139E">
      <w:pPr>
        <w:pStyle w:val="4"/>
        <w:rPr>
          <w:rFonts w:ascii="仿宋"/>
        </w:rPr>
      </w:pPr>
      <w:bookmarkStart w:id="97" w:name="_Toc25373"/>
      <w:r>
        <w:rPr>
          <w:rFonts w:hint="eastAsia" w:ascii="仿宋"/>
        </w:rPr>
        <w:t>二、供应商质疑</w:t>
      </w:r>
      <w:bookmarkEnd w:id="97"/>
    </w:p>
    <w:p w14:paraId="7B8C8654">
      <w:pPr>
        <w:pStyle w:val="10"/>
        <w:spacing w:line="360" w:lineRule="auto"/>
        <w:rPr>
          <w:rFonts w:ascii="仿宋" w:eastAsia="仿宋"/>
          <w:b/>
          <w:bCs/>
          <w:sz w:val="24"/>
        </w:rPr>
      </w:pPr>
      <w:r>
        <w:rPr>
          <w:rFonts w:hint="eastAsia" w:ascii="仿宋" w:eastAsia="仿宋"/>
          <w:b/>
          <w:bCs/>
          <w:sz w:val="24"/>
        </w:rPr>
        <w:t>2.1质疑有效期：</w:t>
      </w:r>
    </w:p>
    <w:p w14:paraId="339EF5B9">
      <w:pPr>
        <w:pStyle w:val="10"/>
        <w:spacing w:line="360" w:lineRule="auto"/>
        <w:ind w:firstLine="480" w:firstLineChars="200"/>
        <w:rPr>
          <w:rFonts w:ascii="仿宋" w:eastAsia="仿宋"/>
          <w:sz w:val="24"/>
        </w:rPr>
      </w:pPr>
      <w:r>
        <w:rPr>
          <w:rFonts w:hint="eastAsia" w:ascii="仿宋" w:eastAsia="仿宋"/>
          <w:sz w:val="24"/>
        </w:rPr>
        <w:t>供应商可以在知道或者应知其权益受到损害之日起七个工作日内，以加盖供应商公章的数据电文形式</w:t>
      </w:r>
      <w:r>
        <w:rPr>
          <w:rFonts w:ascii="仿宋" w:eastAsia="仿宋"/>
          <w:sz w:val="24"/>
        </w:rPr>
        <w:t>，</w:t>
      </w:r>
      <w:r>
        <w:rPr>
          <w:rFonts w:hint="eastAsia" w:ascii="仿宋" w:eastAsia="仿宋"/>
          <w:sz w:val="24"/>
        </w:rPr>
        <w:t>向采购机构提出</w:t>
      </w:r>
      <w:r>
        <w:rPr>
          <w:rFonts w:ascii="仿宋" w:eastAsia="仿宋"/>
          <w:sz w:val="24"/>
        </w:rPr>
        <w:t>在线</w:t>
      </w:r>
      <w:r>
        <w:rPr>
          <w:rFonts w:hint="eastAsia" w:ascii="仿宋" w:eastAsia="仿宋"/>
          <w:sz w:val="24"/>
        </w:rPr>
        <w:t>质疑</w:t>
      </w:r>
      <w:r>
        <w:rPr>
          <w:rFonts w:ascii="仿宋" w:eastAsia="仿宋"/>
          <w:sz w:val="24"/>
        </w:rPr>
        <w:t>：</w:t>
      </w:r>
    </w:p>
    <w:p w14:paraId="5D4D1F4A">
      <w:pPr>
        <w:pStyle w:val="10"/>
        <w:spacing w:line="360" w:lineRule="auto"/>
        <w:ind w:firstLine="480" w:firstLineChars="200"/>
        <w:rPr>
          <w:rFonts w:ascii="仿宋" w:eastAsia="仿宋"/>
          <w:sz w:val="24"/>
        </w:rPr>
      </w:pPr>
      <w:r>
        <w:rPr>
          <w:rFonts w:ascii="仿宋" w:eastAsia="仿宋"/>
          <w:sz w:val="24"/>
        </w:rPr>
        <w:t>（1）</w:t>
      </w:r>
      <w:r>
        <w:rPr>
          <w:rFonts w:hint="eastAsia" w:ascii="仿宋" w:eastAsia="仿宋"/>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11C9FCBD">
      <w:pPr>
        <w:pStyle w:val="10"/>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C7B28A9">
      <w:pPr>
        <w:pStyle w:val="10"/>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384A11B7">
      <w:pPr>
        <w:pStyle w:val="10"/>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23A6ACEC">
      <w:pPr>
        <w:pStyle w:val="10"/>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176BDC5C">
      <w:pPr>
        <w:pStyle w:val="10"/>
        <w:spacing w:line="360" w:lineRule="auto"/>
        <w:rPr>
          <w:rFonts w:ascii="仿宋" w:eastAsia="仿宋"/>
          <w:b/>
          <w:bCs/>
          <w:sz w:val="24"/>
        </w:rPr>
      </w:pPr>
      <w:r>
        <w:rPr>
          <w:rFonts w:hint="eastAsia" w:ascii="仿宋" w:eastAsia="仿宋"/>
          <w:b/>
          <w:bCs/>
          <w:sz w:val="24"/>
        </w:rPr>
        <w:t>2.2质疑主体的有效性：</w:t>
      </w:r>
    </w:p>
    <w:p w14:paraId="7B05AA99">
      <w:pPr>
        <w:pStyle w:val="10"/>
        <w:spacing w:line="360" w:lineRule="auto"/>
        <w:rPr>
          <w:rFonts w:ascii="仿宋" w:eastAsia="仿宋"/>
          <w:sz w:val="24"/>
        </w:rPr>
      </w:pPr>
      <w:r>
        <w:rPr>
          <w:rFonts w:hint="eastAsia" w:ascii="仿宋" w:eastAsia="仿宋"/>
          <w:sz w:val="24"/>
        </w:rPr>
        <w:t>2.2.1提出质疑的供应商应当是参与所质疑项目采购活动的供应商。</w:t>
      </w:r>
    </w:p>
    <w:p w14:paraId="31FD4151">
      <w:pPr>
        <w:pStyle w:val="10"/>
        <w:spacing w:line="360" w:lineRule="auto"/>
        <w:rPr>
          <w:rFonts w:ascii="仿宋" w:eastAsia="仿宋"/>
          <w:sz w:val="24"/>
        </w:rPr>
      </w:pPr>
      <w:r>
        <w:rPr>
          <w:rFonts w:hint="eastAsia" w:ascii="仿宋" w:eastAsia="仿宋"/>
          <w:sz w:val="24"/>
        </w:rPr>
        <w:t>2.2.2质疑人应当与质疑事项存在利害关系,不得提出“自杀式质疑”。</w:t>
      </w:r>
    </w:p>
    <w:p w14:paraId="13D235A0">
      <w:pPr>
        <w:pStyle w:val="10"/>
        <w:spacing w:line="360" w:lineRule="auto"/>
        <w:rPr>
          <w:rFonts w:ascii="仿宋" w:eastAsia="仿宋"/>
          <w:b/>
          <w:bCs/>
          <w:sz w:val="24"/>
        </w:rPr>
      </w:pPr>
      <w:r>
        <w:rPr>
          <w:rFonts w:hint="eastAsia" w:ascii="仿宋" w:eastAsia="仿宋"/>
          <w:b/>
          <w:bCs/>
          <w:sz w:val="24"/>
        </w:rPr>
        <w:t>2.3质疑的答复</w:t>
      </w:r>
    </w:p>
    <w:p w14:paraId="782717C8">
      <w:pPr>
        <w:pStyle w:val="10"/>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04ADE35D">
      <w:pPr>
        <w:pStyle w:val="10"/>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14:paraId="69130FFC">
      <w:pPr>
        <w:pStyle w:val="10"/>
        <w:spacing w:line="360" w:lineRule="auto"/>
        <w:rPr>
          <w:rFonts w:ascii="仿宋" w:eastAsia="仿宋"/>
          <w:b/>
          <w:bCs/>
          <w:sz w:val="24"/>
        </w:rPr>
      </w:pPr>
      <w:r>
        <w:rPr>
          <w:rFonts w:hint="eastAsia" w:ascii="仿宋" w:eastAsia="仿宋"/>
          <w:b/>
          <w:bCs/>
          <w:sz w:val="24"/>
        </w:rPr>
        <w:t>2.4质疑的撤回</w:t>
      </w:r>
    </w:p>
    <w:p w14:paraId="2EB650A3">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供应商可以撤回已经被受理的质疑书。</w:t>
      </w:r>
    </w:p>
    <w:p w14:paraId="1DA3B969">
      <w:pPr>
        <w:pStyle w:val="4"/>
        <w:rPr>
          <w:rFonts w:ascii="仿宋"/>
        </w:rPr>
      </w:pPr>
      <w:bookmarkStart w:id="98" w:name="_Toc17941"/>
      <w:r>
        <w:rPr>
          <w:rFonts w:hint="eastAsia" w:ascii="仿宋"/>
        </w:rPr>
        <w:t>三、供应商投诉</w:t>
      </w:r>
      <w:bookmarkEnd w:id="98"/>
    </w:p>
    <w:p w14:paraId="7E9E3F03">
      <w:pPr>
        <w:widowControl/>
        <w:snapToGrid w:val="0"/>
        <w:spacing w:line="480" w:lineRule="exact"/>
        <w:rPr>
          <w:rFonts w:ascii="仿宋" w:eastAsia="仿宋"/>
          <w:b/>
          <w:bCs/>
          <w:kern w:val="0"/>
          <w:sz w:val="24"/>
        </w:rPr>
      </w:pPr>
      <w:r>
        <w:rPr>
          <w:rFonts w:hint="eastAsia" w:ascii="仿宋" w:eastAsia="仿宋"/>
          <w:b/>
          <w:bCs/>
          <w:kern w:val="0"/>
          <w:sz w:val="24"/>
        </w:rPr>
        <w:t>3.1投诉有效期</w:t>
      </w:r>
    </w:p>
    <w:p w14:paraId="03EC9412">
      <w:pPr>
        <w:widowControl/>
        <w:snapToGrid w:val="0"/>
        <w:spacing w:line="480" w:lineRule="exact"/>
        <w:ind w:firstLine="480" w:firstLineChars="200"/>
        <w:rPr>
          <w:rFonts w:ascii="仿宋" w:eastAsia="仿宋"/>
          <w:kern w:val="0"/>
          <w:sz w:val="24"/>
        </w:rPr>
      </w:pPr>
      <w:r>
        <w:rPr>
          <w:rFonts w:hint="eastAsia" w:ascii="仿宋" w:eastAsia="仿宋"/>
          <w:kern w:val="0"/>
          <w:sz w:val="24"/>
        </w:rPr>
        <w:t>质疑供应商对采购人、采购代理机构的答复不满意，或者采购人、采购代理机构未在规定时间内作出答复的，可以在答复期满后 15 个工作日内向采购监督部门提起投诉。</w:t>
      </w:r>
    </w:p>
    <w:p w14:paraId="52922EE7">
      <w:pPr>
        <w:widowControl/>
        <w:snapToGrid w:val="0"/>
        <w:spacing w:line="480" w:lineRule="exact"/>
        <w:rPr>
          <w:rFonts w:ascii="仿宋" w:eastAsia="仿宋"/>
          <w:b/>
          <w:bCs/>
          <w:kern w:val="0"/>
          <w:sz w:val="24"/>
          <w:u w:val="single"/>
        </w:rPr>
      </w:pPr>
      <w:r>
        <w:rPr>
          <w:rFonts w:hint="eastAsia" w:ascii="仿宋" w:eastAsia="仿宋"/>
          <w:b/>
          <w:bCs/>
          <w:kern w:val="0"/>
          <w:sz w:val="24"/>
          <w:u w:val="single"/>
        </w:rPr>
        <w:t>特别提醒：质疑是投诉的前置程序，供应商必须先质疑后投诉。</w:t>
      </w:r>
    </w:p>
    <w:p w14:paraId="20C4CD3D">
      <w:pPr>
        <w:widowControl/>
        <w:snapToGrid w:val="0"/>
        <w:spacing w:line="480" w:lineRule="exact"/>
        <w:rPr>
          <w:rFonts w:ascii="仿宋" w:eastAsia="仿宋"/>
          <w:b/>
          <w:bCs/>
          <w:kern w:val="0"/>
          <w:sz w:val="24"/>
        </w:rPr>
      </w:pPr>
      <w:r>
        <w:rPr>
          <w:rFonts w:hint="eastAsia" w:ascii="仿宋" w:eastAsia="仿宋"/>
          <w:b/>
          <w:bCs/>
          <w:kern w:val="0"/>
          <w:sz w:val="24"/>
        </w:rPr>
        <w:t>3.2投诉内容</w:t>
      </w:r>
    </w:p>
    <w:p w14:paraId="43C5516F">
      <w:pPr>
        <w:widowControl/>
        <w:snapToGrid w:val="0"/>
        <w:spacing w:line="480" w:lineRule="exact"/>
        <w:ind w:firstLine="480" w:firstLineChars="200"/>
        <w:rPr>
          <w:rFonts w:ascii="仿宋" w:eastAsia="仿宋"/>
          <w:kern w:val="0"/>
          <w:sz w:val="24"/>
        </w:rPr>
      </w:pPr>
      <w:r>
        <w:rPr>
          <w:rFonts w:hint="eastAsia" w:ascii="仿宋" w:eastAsia="仿宋"/>
          <w:kern w:val="0"/>
          <w:sz w:val="24"/>
        </w:rPr>
        <w:t>供应商投诉的事项不得超出已质疑事项的范围，但基于质疑答复内容提出的投诉事项除外。</w:t>
      </w:r>
    </w:p>
    <w:p w14:paraId="6D6A8089">
      <w:pPr>
        <w:widowControl/>
        <w:snapToGrid w:val="0"/>
        <w:spacing w:line="480" w:lineRule="exact"/>
        <w:rPr>
          <w:rFonts w:ascii="仿宋" w:eastAsia="仿宋"/>
          <w:kern w:val="0"/>
          <w:sz w:val="24"/>
        </w:rPr>
      </w:pPr>
      <w:r>
        <w:rPr>
          <w:rFonts w:hint="eastAsia" w:ascii="仿宋" w:eastAsia="仿宋"/>
          <w:kern w:val="0"/>
          <w:sz w:val="24"/>
        </w:rPr>
        <w:t xml:space="preserve">    投诉书需包括以下内容：</w:t>
      </w:r>
    </w:p>
    <w:p w14:paraId="5B4A6DE9">
      <w:pPr>
        <w:widowControl/>
        <w:snapToGrid w:val="0"/>
        <w:spacing w:line="480" w:lineRule="exact"/>
        <w:rPr>
          <w:rFonts w:ascii="仿宋" w:eastAsia="仿宋"/>
          <w:kern w:val="0"/>
          <w:sz w:val="24"/>
        </w:rPr>
      </w:pPr>
      <w:r>
        <w:rPr>
          <w:rFonts w:hint="eastAsia" w:ascii="仿宋" w:eastAsia="仿宋"/>
          <w:kern w:val="0"/>
          <w:sz w:val="24"/>
        </w:rPr>
        <w:t>（一）投诉人和被投诉人的姓名或者名称、通讯地址、邮编、联系人及联系电话；</w:t>
      </w:r>
    </w:p>
    <w:p w14:paraId="30D5F0EE">
      <w:pPr>
        <w:widowControl/>
        <w:snapToGrid w:val="0"/>
        <w:spacing w:line="480" w:lineRule="exact"/>
        <w:rPr>
          <w:rFonts w:ascii="仿宋" w:eastAsia="仿宋"/>
          <w:kern w:val="0"/>
          <w:sz w:val="24"/>
        </w:rPr>
      </w:pPr>
      <w:r>
        <w:rPr>
          <w:rFonts w:hint="eastAsia" w:ascii="仿宋" w:eastAsia="仿宋"/>
          <w:kern w:val="0"/>
          <w:sz w:val="24"/>
        </w:rPr>
        <w:t>（二）质疑和质疑答复情况说明及相关证明材料；</w:t>
      </w:r>
    </w:p>
    <w:p w14:paraId="546E2C02">
      <w:pPr>
        <w:widowControl/>
        <w:snapToGrid w:val="0"/>
        <w:spacing w:line="480" w:lineRule="exact"/>
        <w:rPr>
          <w:rFonts w:ascii="仿宋" w:eastAsia="仿宋"/>
          <w:kern w:val="0"/>
          <w:sz w:val="24"/>
        </w:rPr>
      </w:pPr>
      <w:r>
        <w:rPr>
          <w:rFonts w:hint="eastAsia" w:ascii="仿宋" w:eastAsia="仿宋"/>
          <w:kern w:val="0"/>
          <w:sz w:val="24"/>
        </w:rPr>
        <w:t>（三）具体、明确的投诉事项和与投诉事项相关的投诉请求；</w:t>
      </w:r>
    </w:p>
    <w:p w14:paraId="0AA0E356">
      <w:pPr>
        <w:widowControl/>
        <w:snapToGrid w:val="0"/>
        <w:spacing w:line="480" w:lineRule="exact"/>
        <w:rPr>
          <w:rFonts w:ascii="仿宋" w:eastAsia="仿宋"/>
          <w:kern w:val="0"/>
          <w:sz w:val="24"/>
        </w:rPr>
      </w:pPr>
      <w:r>
        <w:rPr>
          <w:rFonts w:hint="eastAsia" w:ascii="仿宋" w:eastAsia="仿宋"/>
          <w:kern w:val="0"/>
          <w:sz w:val="24"/>
        </w:rPr>
        <w:t>（四）事实依据；</w:t>
      </w:r>
    </w:p>
    <w:p w14:paraId="283EE0EF">
      <w:pPr>
        <w:widowControl/>
        <w:snapToGrid w:val="0"/>
        <w:spacing w:line="480" w:lineRule="exact"/>
        <w:rPr>
          <w:rFonts w:ascii="仿宋" w:eastAsia="仿宋"/>
          <w:kern w:val="0"/>
          <w:sz w:val="24"/>
        </w:rPr>
      </w:pPr>
      <w:r>
        <w:rPr>
          <w:rFonts w:hint="eastAsia" w:ascii="仿宋" w:eastAsia="仿宋"/>
          <w:kern w:val="0"/>
          <w:sz w:val="24"/>
        </w:rPr>
        <w:t>（五）法律依据；</w:t>
      </w:r>
    </w:p>
    <w:p w14:paraId="21D08852">
      <w:pPr>
        <w:widowControl/>
        <w:snapToGrid w:val="0"/>
        <w:spacing w:line="480" w:lineRule="exact"/>
        <w:rPr>
          <w:rFonts w:ascii="仿宋" w:eastAsia="仿宋"/>
          <w:kern w:val="0"/>
          <w:sz w:val="24"/>
        </w:rPr>
      </w:pPr>
      <w:r>
        <w:rPr>
          <w:rFonts w:hint="eastAsia" w:ascii="仿宋" w:eastAsia="仿宋"/>
          <w:kern w:val="0"/>
          <w:sz w:val="24"/>
        </w:rPr>
        <w:t>（六）提起投诉的日期。</w:t>
      </w:r>
    </w:p>
    <w:p w14:paraId="783A739E">
      <w:pPr>
        <w:widowControl/>
        <w:snapToGrid w:val="0"/>
        <w:spacing w:line="480" w:lineRule="exact"/>
        <w:ind w:firstLine="480" w:firstLineChars="200"/>
        <w:rPr>
          <w:rFonts w:ascii="仿宋" w:eastAsia="仿宋"/>
          <w:kern w:val="0"/>
          <w:sz w:val="24"/>
        </w:rPr>
      </w:pPr>
      <w:r>
        <w:rPr>
          <w:rFonts w:hint="eastAsia" w:ascii="仿宋" w:eastAsia="仿宋"/>
          <w:kern w:val="0"/>
          <w:sz w:val="24"/>
        </w:rPr>
        <w:t>投诉人为自然人的，应当由本人签字；投诉人为法人或者其他组织的，应当由法定代表人、主要负责人，或者其授权代表签字或者盖章，并加盖公章。</w:t>
      </w:r>
    </w:p>
    <w:p w14:paraId="62D56EBB">
      <w:pPr>
        <w:widowControl/>
        <w:snapToGrid w:val="0"/>
        <w:spacing w:line="480" w:lineRule="exact"/>
        <w:rPr>
          <w:rFonts w:ascii="仿宋" w:eastAsia="仿宋"/>
          <w:kern w:val="0"/>
          <w:sz w:val="24"/>
        </w:rPr>
      </w:pPr>
    </w:p>
    <w:p w14:paraId="00569EB3">
      <w:pPr>
        <w:widowControl/>
        <w:snapToGrid w:val="0"/>
        <w:spacing w:line="480" w:lineRule="exact"/>
        <w:rPr>
          <w:rFonts w:ascii="仿宋" w:eastAsia="仿宋"/>
          <w:kern w:val="0"/>
          <w:sz w:val="24"/>
        </w:rPr>
      </w:pPr>
    </w:p>
    <w:p w14:paraId="5B4EF773">
      <w:pPr>
        <w:widowControl/>
        <w:snapToGrid w:val="0"/>
        <w:spacing w:line="480" w:lineRule="exact"/>
        <w:rPr>
          <w:rFonts w:ascii="仿宋" w:eastAsia="仿宋"/>
          <w:kern w:val="0"/>
          <w:sz w:val="24"/>
        </w:rPr>
      </w:pPr>
    </w:p>
    <w:p w14:paraId="6C26AC77">
      <w:pPr>
        <w:widowControl/>
        <w:snapToGrid w:val="0"/>
        <w:spacing w:line="480" w:lineRule="exact"/>
        <w:rPr>
          <w:rFonts w:ascii="仿宋" w:eastAsia="仿宋"/>
          <w:kern w:val="0"/>
          <w:sz w:val="24"/>
        </w:rPr>
      </w:pPr>
    </w:p>
    <w:p w14:paraId="69C527DE">
      <w:pPr>
        <w:widowControl/>
        <w:snapToGrid w:val="0"/>
        <w:spacing w:line="480" w:lineRule="exact"/>
        <w:rPr>
          <w:rFonts w:ascii="仿宋" w:eastAsia="仿宋"/>
          <w:kern w:val="0"/>
          <w:sz w:val="24"/>
        </w:rPr>
      </w:pPr>
    </w:p>
    <w:p w14:paraId="403DDA06">
      <w:pPr>
        <w:widowControl/>
        <w:snapToGrid w:val="0"/>
        <w:spacing w:line="480" w:lineRule="exact"/>
        <w:rPr>
          <w:rFonts w:ascii="仿宋" w:eastAsia="仿宋"/>
          <w:kern w:val="0"/>
          <w:sz w:val="24"/>
        </w:rPr>
      </w:pPr>
    </w:p>
    <w:p w14:paraId="71891060">
      <w:pPr>
        <w:widowControl/>
        <w:snapToGrid w:val="0"/>
        <w:spacing w:line="480" w:lineRule="exact"/>
        <w:rPr>
          <w:rFonts w:ascii="仿宋" w:eastAsia="仿宋"/>
          <w:kern w:val="0"/>
          <w:sz w:val="24"/>
        </w:rPr>
      </w:pPr>
    </w:p>
    <w:p w14:paraId="5537B55D">
      <w:pPr>
        <w:widowControl/>
        <w:snapToGrid w:val="0"/>
        <w:spacing w:line="480" w:lineRule="exact"/>
        <w:rPr>
          <w:rFonts w:ascii="仿宋" w:eastAsia="仿宋"/>
          <w:kern w:val="0"/>
          <w:sz w:val="24"/>
        </w:rPr>
      </w:pPr>
    </w:p>
    <w:p w14:paraId="49641AE9">
      <w:pPr>
        <w:widowControl/>
        <w:snapToGrid w:val="0"/>
        <w:spacing w:line="480" w:lineRule="exact"/>
        <w:rPr>
          <w:rFonts w:ascii="仿宋" w:eastAsia="仿宋"/>
          <w:kern w:val="0"/>
          <w:sz w:val="24"/>
        </w:rPr>
      </w:pPr>
    </w:p>
    <w:p w14:paraId="7FC0E481">
      <w:pPr>
        <w:widowControl/>
        <w:snapToGrid w:val="0"/>
        <w:spacing w:line="480" w:lineRule="exact"/>
        <w:rPr>
          <w:rFonts w:ascii="仿宋" w:eastAsia="仿宋"/>
          <w:kern w:val="0"/>
          <w:sz w:val="24"/>
        </w:rPr>
      </w:pPr>
    </w:p>
    <w:p w14:paraId="51CCE44A">
      <w:pPr>
        <w:widowControl/>
        <w:snapToGrid w:val="0"/>
        <w:spacing w:line="480" w:lineRule="exact"/>
        <w:rPr>
          <w:rFonts w:ascii="仿宋" w:eastAsia="仿宋"/>
          <w:kern w:val="0"/>
          <w:sz w:val="24"/>
        </w:rPr>
      </w:pPr>
    </w:p>
    <w:p w14:paraId="52BDA44B">
      <w:pPr>
        <w:widowControl/>
        <w:snapToGrid w:val="0"/>
        <w:spacing w:line="480" w:lineRule="exact"/>
        <w:rPr>
          <w:rFonts w:ascii="仿宋" w:eastAsia="仿宋"/>
          <w:kern w:val="0"/>
          <w:sz w:val="24"/>
        </w:rPr>
      </w:pPr>
    </w:p>
    <w:p w14:paraId="25251187">
      <w:pPr>
        <w:widowControl/>
        <w:snapToGrid w:val="0"/>
        <w:spacing w:line="480" w:lineRule="exact"/>
        <w:rPr>
          <w:rFonts w:ascii="仿宋" w:eastAsia="仿宋"/>
          <w:kern w:val="0"/>
          <w:sz w:val="24"/>
        </w:rPr>
      </w:pPr>
    </w:p>
    <w:p w14:paraId="4EFD9273">
      <w:pPr>
        <w:widowControl/>
        <w:snapToGrid w:val="0"/>
        <w:spacing w:line="480" w:lineRule="exact"/>
        <w:rPr>
          <w:rFonts w:ascii="仿宋" w:eastAsia="仿宋"/>
          <w:kern w:val="0"/>
          <w:sz w:val="24"/>
        </w:rPr>
      </w:pPr>
    </w:p>
    <w:p w14:paraId="12F7DFCD">
      <w:pPr>
        <w:widowControl/>
        <w:snapToGrid w:val="0"/>
        <w:spacing w:line="480" w:lineRule="exact"/>
        <w:rPr>
          <w:rFonts w:ascii="仿宋" w:eastAsia="仿宋"/>
          <w:kern w:val="0"/>
          <w:sz w:val="24"/>
        </w:rPr>
      </w:pPr>
    </w:p>
    <w:p w14:paraId="3FE58D67">
      <w:pPr>
        <w:widowControl/>
        <w:snapToGrid w:val="0"/>
        <w:spacing w:line="480" w:lineRule="exact"/>
        <w:rPr>
          <w:rFonts w:ascii="仿宋" w:eastAsia="仿宋"/>
          <w:kern w:val="0"/>
          <w:sz w:val="24"/>
        </w:rPr>
      </w:pPr>
    </w:p>
    <w:p w14:paraId="0DD239E2">
      <w:pPr>
        <w:widowControl/>
        <w:snapToGrid w:val="0"/>
        <w:spacing w:line="480" w:lineRule="exact"/>
        <w:rPr>
          <w:rFonts w:ascii="仿宋" w:eastAsia="仿宋"/>
          <w:kern w:val="0"/>
          <w:sz w:val="24"/>
        </w:rPr>
      </w:pPr>
    </w:p>
    <w:p w14:paraId="59A04D6D">
      <w:pPr>
        <w:widowControl/>
        <w:snapToGrid w:val="0"/>
        <w:spacing w:line="480" w:lineRule="exact"/>
        <w:rPr>
          <w:rFonts w:ascii="仿宋" w:eastAsia="仿宋"/>
          <w:kern w:val="0"/>
          <w:sz w:val="24"/>
        </w:rPr>
      </w:pPr>
    </w:p>
    <w:p w14:paraId="695397B4">
      <w:pPr>
        <w:widowControl/>
        <w:snapToGrid w:val="0"/>
        <w:spacing w:line="480" w:lineRule="exact"/>
        <w:rPr>
          <w:rFonts w:ascii="仿宋" w:eastAsia="仿宋"/>
          <w:kern w:val="0"/>
          <w:sz w:val="24"/>
        </w:rPr>
      </w:pPr>
    </w:p>
    <w:p w14:paraId="419149A6">
      <w:pPr>
        <w:widowControl/>
        <w:snapToGrid w:val="0"/>
        <w:spacing w:line="480" w:lineRule="exact"/>
        <w:rPr>
          <w:rFonts w:ascii="仿宋" w:eastAsia="仿宋"/>
          <w:kern w:val="0"/>
          <w:sz w:val="24"/>
        </w:rPr>
      </w:pPr>
    </w:p>
    <w:p w14:paraId="24719553">
      <w:pPr>
        <w:widowControl/>
        <w:snapToGrid w:val="0"/>
        <w:spacing w:line="480" w:lineRule="exact"/>
        <w:rPr>
          <w:rFonts w:ascii="仿宋" w:eastAsia="仿宋"/>
          <w:kern w:val="0"/>
          <w:sz w:val="24"/>
        </w:rPr>
      </w:pPr>
    </w:p>
    <w:p w14:paraId="7A0BB0FC">
      <w:pPr>
        <w:widowControl/>
        <w:snapToGrid w:val="0"/>
        <w:spacing w:line="480" w:lineRule="exact"/>
        <w:rPr>
          <w:rFonts w:ascii="仿宋" w:eastAsia="仿宋"/>
          <w:kern w:val="0"/>
          <w:sz w:val="24"/>
        </w:rPr>
      </w:pPr>
    </w:p>
    <w:p w14:paraId="1A2B4A2C">
      <w:pPr>
        <w:widowControl/>
        <w:snapToGrid w:val="0"/>
        <w:spacing w:line="480" w:lineRule="exact"/>
        <w:rPr>
          <w:rFonts w:ascii="仿宋" w:eastAsia="仿宋"/>
          <w:kern w:val="0"/>
          <w:sz w:val="24"/>
        </w:rPr>
      </w:pPr>
    </w:p>
    <w:p w14:paraId="463CD27B">
      <w:pPr>
        <w:widowControl/>
        <w:snapToGrid w:val="0"/>
        <w:spacing w:line="480" w:lineRule="exact"/>
        <w:rPr>
          <w:rFonts w:ascii="仿宋" w:eastAsia="仿宋"/>
          <w:kern w:val="0"/>
          <w:sz w:val="24"/>
        </w:rPr>
      </w:pPr>
    </w:p>
    <w:p w14:paraId="0603A74B">
      <w:pPr>
        <w:widowControl/>
        <w:snapToGrid w:val="0"/>
        <w:spacing w:line="480" w:lineRule="exact"/>
        <w:rPr>
          <w:rFonts w:ascii="仿宋" w:eastAsia="仿宋"/>
          <w:kern w:val="0"/>
          <w:sz w:val="24"/>
        </w:rPr>
      </w:pPr>
    </w:p>
    <w:p w14:paraId="429078B9">
      <w:pPr>
        <w:widowControl/>
        <w:snapToGrid w:val="0"/>
        <w:spacing w:line="480" w:lineRule="exact"/>
        <w:rPr>
          <w:rFonts w:ascii="仿宋" w:eastAsia="仿宋"/>
          <w:kern w:val="0"/>
          <w:sz w:val="24"/>
        </w:rPr>
      </w:pPr>
    </w:p>
    <w:p w14:paraId="188F80F0">
      <w:pPr>
        <w:widowControl/>
        <w:snapToGrid w:val="0"/>
        <w:spacing w:line="480" w:lineRule="exact"/>
        <w:rPr>
          <w:rFonts w:ascii="仿宋" w:eastAsia="仿宋"/>
          <w:kern w:val="0"/>
          <w:sz w:val="24"/>
        </w:rPr>
      </w:pPr>
    </w:p>
    <w:p w14:paraId="07A3960B">
      <w:pPr>
        <w:widowControl/>
        <w:snapToGrid w:val="0"/>
        <w:spacing w:line="480" w:lineRule="exact"/>
        <w:rPr>
          <w:rFonts w:ascii="仿宋" w:eastAsia="仿宋" w:cs="宋体"/>
          <w:b/>
          <w:bCs/>
          <w:kern w:val="0"/>
          <w:sz w:val="24"/>
          <w:szCs w:val="24"/>
        </w:rPr>
      </w:pPr>
      <w:r>
        <w:rPr>
          <w:rFonts w:hint="eastAsia" w:ascii="仿宋" w:eastAsia="仿宋" w:cs="宋体"/>
          <w:b/>
          <w:bCs/>
          <w:kern w:val="0"/>
          <w:sz w:val="24"/>
          <w:szCs w:val="24"/>
        </w:rPr>
        <w:t>附件：质疑函范本</w:t>
      </w:r>
    </w:p>
    <w:p w14:paraId="3296D410">
      <w:pPr>
        <w:jc w:val="center"/>
        <w:rPr>
          <w:rFonts w:ascii="仿宋" w:eastAsia="仿宋" w:cs="仿宋"/>
          <w:b/>
          <w:bCs/>
          <w:sz w:val="24"/>
          <w:szCs w:val="24"/>
        </w:rPr>
      </w:pPr>
      <w:r>
        <w:rPr>
          <w:rFonts w:hint="eastAsia" w:ascii="仿宋" w:eastAsia="仿宋" w:cs="仿宋"/>
          <w:b/>
          <w:bCs/>
          <w:sz w:val="24"/>
          <w:szCs w:val="24"/>
        </w:rPr>
        <w:t>质疑函</w:t>
      </w:r>
    </w:p>
    <w:p w14:paraId="7717F9B2">
      <w:pPr>
        <w:adjustRightInd w:val="0"/>
        <w:snapToGrid w:val="0"/>
        <w:spacing w:before="312" w:beforeLines="100" w:line="360" w:lineRule="auto"/>
        <w:rPr>
          <w:rFonts w:ascii="仿宋" w:eastAsia="仿宋" w:cs="仿宋"/>
          <w:bCs/>
          <w:sz w:val="24"/>
          <w:szCs w:val="24"/>
        </w:rPr>
      </w:pPr>
      <w:r>
        <w:rPr>
          <w:rFonts w:hint="eastAsia" w:ascii="仿宋" w:eastAsia="仿宋" w:cs="仿宋"/>
          <w:bCs/>
          <w:sz w:val="24"/>
          <w:szCs w:val="24"/>
        </w:rPr>
        <w:t>一、质疑供应商基本信息</w:t>
      </w:r>
    </w:p>
    <w:p w14:paraId="5657B695">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111C8ABC">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3B7C5D06">
      <w:pPr>
        <w:adjustRightInd w:val="0"/>
        <w:snapToGrid w:val="0"/>
        <w:spacing w:line="360" w:lineRule="auto"/>
        <w:rPr>
          <w:rFonts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18234DC2">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6FD50A1C">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14:paraId="1ACC534C">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15847671">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7183ECC3">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55EB8769">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41F89B35">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14:paraId="44D0EBB3">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78738E45">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074EA80F">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428F70AE">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14:paraId="2BB72756">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6C18E2C3">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14:paraId="7BD874B2">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65188B6C">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2BA0AF2B">
      <w:pPr>
        <w:adjustRightInd w:val="0"/>
        <w:snapToGrid w:val="0"/>
        <w:spacing w:line="360" w:lineRule="auto"/>
        <w:rPr>
          <w:rFonts w:ascii="仿宋" w:eastAsia="仿宋" w:cs="仿宋"/>
          <w:sz w:val="24"/>
          <w:szCs w:val="24"/>
        </w:rPr>
      </w:pPr>
      <w:r>
        <w:rPr>
          <w:rFonts w:hint="eastAsia" w:ascii="仿宋" w:eastAsia="仿宋" w:cs="仿宋"/>
          <w:sz w:val="24"/>
          <w:szCs w:val="24"/>
        </w:rPr>
        <w:t>……</w:t>
      </w:r>
    </w:p>
    <w:p w14:paraId="74A0AD69">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3686BE44">
      <w:pPr>
        <w:adjustRightInd w:val="0"/>
        <w:snapToGrid w:val="0"/>
        <w:spacing w:line="360" w:lineRule="auto"/>
        <w:rPr>
          <w:rFonts w:ascii="仿宋" w:eastAsia="仿宋" w:cs="仿宋"/>
          <w:b/>
          <w:bCs/>
          <w:sz w:val="24"/>
          <w:szCs w:val="24"/>
          <w:u w:val="double"/>
        </w:rPr>
      </w:pPr>
      <w:r>
        <w:rPr>
          <w:rFonts w:hint="eastAsia" w:ascii="仿宋" w:eastAsia="仿宋" w:cs="仿宋"/>
          <w:b/>
          <w:bCs/>
          <w:sz w:val="24"/>
          <w:szCs w:val="24"/>
          <w:u w:val="double"/>
        </w:rPr>
        <w:t>（需附供应商法定代表人的授权委托书，以委托授权代表提出质疑，格式自拟）</w:t>
      </w:r>
    </w:p>
    <w:p w14:paraId="39111BFD">
      <w:pPr>
        <w:adjustRightInd w:val="0"/>
        <w:snapToGrid w:val="0"/>
        <w:spacing w:line="360" w:lineRule="auto"/>
        <w:rPr>
          <w:rFonts w:ascii="仿宋" w:eastAsia="仿宋" w:cs="仿宋"/>
          <w:sz w:val="24"/>
          <w:szCs w:val="24"/>
          <w:u w:val="dotted"/>
        </w:rPr>
      </w:pPr>
    </w:p>
    <w:p w14:paraId="6A7A494B">
      <w:pPr>
        <w:rPr>
          <w:rFonts w:ascii="仿宋" w:eastAsia="仿宋"/>
          <w:sz w:val="24"/>
          <w:szCs w:val="24"/>
        </w:rPr>
      </w:pPr>
      <w:r>
        <w:rPr>
          <w:rFonts w:hint="eastAsia" w:ascii="仿宋" w:eastAsia="仿宋"/>
          <w:sz w:val="24"/>
          <w:szCs w:val="24"/>
        </w:rPr>
        <w:t xml:space="preserve">授权代表签字(签章)：                 投标人签章：                      </w:t>
      </w:r>
    </w:p>
    <w:p w14:paraId="3A6E827B">
      <w:pPr>
        <w:rPr>
          <w:rFonts w:ascii="仿宋" w:eastAsia="仿宋"/>
          <w:sz w:val="24"/>
          <w:szCs w:val="24"/>
        </w:rPr>
      </w:pPr>
      <w:r>
        <w:rPr>
          <w:rFonts w:hint="eastAsia" w:ascii="仿宋" w:eastAsia="仿宋"/>
          <w:sz w:val="24"/>
          <w:szCs w:val="24"/>
        </w:rPr>
        <w:t xml:space="preserve">日期：    </w:t>
      </w:r>
    </w:p>
    <w:p w14:paraId="2E8B8AE8">
      <w:pPr>
        <w:adjustRightInd w:val="0"/>
        <w:snapToGrid w:val="0"/>
        <w:spacing w:line="360" w:lineRule="auto"/>
        <w:rPr>
          <w:rFonts w:ascii="仿宋" w:eastAsia="仿宋" w:cs="仿宋"/>
          <w:sz w:val="24"/>
          <w:szCs w:val="24"/>
        </w:rPr>
      </w:pPr>
    </w:p>
    <w:p w14:paraId="41353B85">
      <w:pPr>
        <w:adjustRightInd w:val="0"/>
        <w:snapToGrid w:val="0"/>
        <w:spacing w:line="360" w:lineRule="auto"/>
        <w:rPr>
          <w:rFonts w:ascii="仿宋" w:eastAsia="仿宋" w:cs="宋体"/>
          <w:kern w:val="0"/>
          <w:sz w:val="24"/>
          <w:szCs w:val="24"/>
        </w:rPr>
      </w:pPr>
    </w:p>
    <w:p w14:paraId="324EE01B">
      <w:pPr>
        <w:adjustRightInd w:val="0"/>
        <w:snapToGrid w:val="0"/>
        <w:spacing w:line="360" w:lineRule="auto"/>
        <w:rPr>
          <w:rFonts w:ascii="仿宋" w:eastAsia="仿宋" w:cs="宋体"/>
          <w:kern w:val="0"/>
          <w:sz w:val="24"/>
          <w:szCs w:val="24"/>
        </w:rPr>
      </w:pPr>
    </w:p>
    <w:p w14:paraId="50C4FC5F"/>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CA99D">
    <w:pPr>
      <w:pStyle w:val="12"/>
      <w:framePr w:wrap="around" w:vAnchor="text" w:hAnchor="margin" w:xAlign="center" w:y="1"/>
    </w:pPr>
    <w:r>
      <w:rPr>
        <w:rStyle w:val="18"/>
      </w:rPr>
      <w:fldChar w:fldCharType="begin"/>
    </w:r>
    <w:r>
      <w:rPr>
        <w:rStyle w:val="18"/>
      </w:rPr>
      <w:instrText xml:space="preserve">Page</w:instrText>
    </w:r>
    <w:r>
      <w:rPr>
        <w:rStyle w:val="18"/>
      </w:rPr>
      <w:fldChar w:fldCharType="separate"/>
    </w:r>
    <w:r>
      <w:rPr>
        <w:rStyle w:val="18"/>
      </w:rPr>
      <w:t>1</w:t>
    </w:r>
    <w:r>
      <w:rPr>
        <w:rStyle w:val="18"/>
      </w:rPr>
      <w:fldChar w:fldCharType="end"/>
    </w:r>
  </w:p>
  <w:p w14:paraId="7D123129">
    <w:pPr>
      <w:pStyle w:val="12"/>
      <w:framePr w:wrap="around" w:vAnchor="text" w:hAnchor="margin" w:xAlign="center" w:y="1"/>
    </w:pPr>
    <w:r>
      <w:rPr>
        <w:rStyle w:val="18"/>
      </w:rPr>
      <w:fldChar w:fldCharType="begin"/>
    </w:r>
    <w:r>
      <w:rPr>
        <w:rStyle w:val="18"/>
      </w:rPr>
      <w:instrText xml:space="preserve">Page</w:instrText>
    </w:r>
    <w:r>
      <w:rPr>
        <w:rStyle w:val="18"/>
      </w:rPr>
      <w:fldChar w:fldCharType="separate"/>
    </w:r>
    <w:r>
      <w:rPr>
        <w:rStyle w:val="18"/>
      </w:rPr>
      <w:t>1</w:t>
    </w:r>
    <w:r>
      <w:rPr>
        <w:rStyle w:val="18"/>
      </w:rPr>
      <w:fldChar w:fldCharType="end"/>
    </w:r>
  </w:p>
  <w:p w14:paraId="09A43B3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1CEC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74591">
    <w:pPr>
      <w:pStyle w:val="12"/>
      <w:framePr w:wrap="around" w:vAnchor="text" w:hAnchor="margin" w:xAlign="center" w:y="1"/>
    </w:pPr>
    <w:r>
      <w:rPr>
        <w:rStyle w:val="18"/>
      </w:rPr>
      <w:fldChar w:fldCharType="begin"/>
    </w:r>
    <w:r>
      <w:rPr>
        <w:rStyle w:val="18"/>
      </w:rPr>
      <w:instrText xml:space="preserve">Page</w:instrText>
    </w:r>
    <w:r>
      <w:rPr>
        <w:rStyle w:val="18"/>
      </w:rPr>
      <w:fldChar w:fldCharType="separate"/>
    </w:r>
    <w:r>
      <w:rPr>
        <w:rStyle w:val="18"/>
      </w:rPr>
      <w:t>36</w:t>
    </w:r>
    <w:r>
      <w:rPr>
        <w:rStyle w:val="18"/>
      </w:rPr>
      <w:fldChar w:fldCharType="end"/>
    </w:r>
  </w:p>
  <w:p w14:paraId="36F388F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2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01B5EDF"/>
    <w:multiLevelType w:val="singleLevel"/>
    <w:tmpl w:val="D01B5EDF"/>
    <w:lvl w:ilvl="0" w:tentative="0">
      <w:start w:val="1"/>
      <w:numFmt w:val="decimal"/>
      <w:suff w:val="space"/>
      <w:lvlText w:val="%1)"/>
      <w:lvlJc w:val="left"/>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00000004"/>
    <w:multiLevelType w:val="multilevel"/>
    <w:tmpl w:val="00000004"/>
    <w:lvl w:ilvl="0" w:tentative="0">
      <w:start w:val="1"/>
      <w:numFmt w:val="decimal"/>
      <w:lvlText w:val="%1."/>
      <w:lvlJc w:val="left"/>
      <w:pPr>
        <w:ind w:left="900" w:hanging="480"/>
      </w:pPr>
      <w:rPr>
        <w:rFonts w:hint="default"/>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7">
    <w:nsid w:val="115C28C8"/>
    <w:multiLevelType w:val="singleLevel"/>
    <w:tmpl w:val="115C28C8"/>
    <w:lvl w:ilvl="0" w:tentative="0">
      <w:start w:val="2"/>
      <w:numFmt w:val="decimal"/>
      <w:suff w:val="nothing"/>
      <w:lvlText w:val="%1．"/>
      <w:lvlJc w:val="left"/>
    </w:lvl>
  </w:abstractNum>
  <w:abstractNum w:abstractNumId="8">
    <w:nsid w:val="20CF8869"/>
    <w:multiLevelType w:val="singleLevel"/>
    <w:tmpl w:val="20CF8869"/>
    <w:lvl w:ilvl="0" w:tentative="0">
      <w:start w:val="1"/>
      <w:numFmt w:val="decimal"/>
      <w:pStyle w:val="5"/>
      <w:lvlText w:val="%1."/>
      <w:lvlJc w:val="left"/>
      <w:pPr>
        <w:tabs>
          <w:tab w:val="left" w:pos="780"/>
        </w:tabs>
        <w:ind w:left="780" w:hanging="360"/>
      </w:pPr>
    </w:lvl>
  </w:abstractNum>
  <w:abstractNum w:abstractNumId="9">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0">
    <w:nsid w:val="54061F08"/>
    <w:multiLevelType w:val="singleLevel"/>
    <w:tmpl w:val="54061F08"/>
    <w:lvl w:ilvl="0" w:tentative="0">
      <w:start w:val="1"/>
      <w:numFmt w:val="decimal"/>
      <w:pStyle w:val="6"/>
      <w:lvlText w:val="%1."/>
      <w:lvlJc w:val="left"/>
      <w:pPr>
        <w:tabs>
          <w:tab w:val="left" w:pos="360"/>
        </w:tabs>
        <w:ind w:left="360" w:hanging="360"/>
      </w:pPr>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8"/>
  </w:num>
  <w:num w:numId="2">
    <w:abstractNumId w:val="10"/>
  </w:num>
  <w:num w:numId="3">
    <w:abstractNumId w:val="2"/>
  </w:num>
  <w:num w:numId="4">
    <w:abstractNumId w:val="1"/>
  </w:num>
  <w:num w:numId="5">
    <w:abstractNumId w:val="11"/>
  </w:num>
  <w:num w:numId="6">
    <w:abstractNumId w:val="7"/>
  </w:num>
  <w:num w:numId="7">
    <w:abstractNumId w:val="6"/>
  </w:num>
  <w:num w:numId="8">
    <w:abstractNumId w:val="3"/>
  </w:num>
  <w:num w:numId="9">
    <w:abstractNumId w:val="4"/>
  </w:num>
  <w:num w:numId="10">
    <w:abstractNumId w:val="5"/>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9574D"/>
    <w:rsid w:val="1059574D"/>
    <w:rsid w:val="259D260F"/>
    <w:rsid w:val="320E50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5">
    <w:name w:val="List Number 2"/>
    <w:basedOn w:val="1"/>
    <w:uiPriority w:val="0"/>
    <w:pPr>
      <w:numPr>
        <w:ilvl w:val="0"/>
        <w:numId w:val="1"/>
      </w:numPr>
    </w:pPr>
  </w:style>
  <w:style w:type="paragraph" w:styleId="6">
    <w:name w:val="List Number"/>
    <w:basedOn w:val="1"/>
    <w:uiPriority w:val="0"/>
    <w:pPr>
      <w:numPr>
        <w:ilvl w:val="0"/>
        <w:numId w:val="2"/>
      </w:numPr>
    </w:pPr>
  </w:style>
  <w:style w:type="paragraph" w:styleId="7">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8">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9">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0">
    <w:name w:val="Plain Text"/>
    <w:basedOn w:val="1"/>
    <w:qFormat/>
    <w:uiPriority w:val="0"/>
    <w:rPr>
      <w:rFonts w:ascii="宋体"/>
    </w:rPr>
  </w:style>
  <w:style w:type="paragraph" w:styleId="11">
    <w:name w:val="Date"/>
    <w:basedOn w:val="1"/>
    <w:next w:val="1"/>
    <w:qFormat/>
    <w:uiPriority w:val="0"/>
    <w:pPr>
      <w:ind w:left="2500" w:leftChars="2500"/>
    </w:pPr>
  </w:style>
  <w:style w:type="paragraph" w:styleId="12">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3">
    <w:name w:val="toc 1"/>
    <w:basedOn w:val="1"/>
    <w:next w:val="1"/>
    <w:qFormat/>
    <w:uiPriority w:val="0"/>
  </w:style>
  <w:style w:type="paragraph" w:styleId="14">
    <w:name w:val="toc 2"/>
    <w:basedOn w:val="1"/>
    <w:next w:val="1"/>
    <w:qFormat/>
    <w:uiPriority w:val="0"/>
    <w:pPr>
      <w:ind w:left="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样式5"/>
    <w:next w:val="2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20">
    <w:name w:val="正文文字 8"/>
    <w:basedOn w:val="1"/>
    <w:next w:val="1"/>
    <w:qFormat/>
    <w:uiPriority w:val="0"/>
    <w:pPr>
      <w:numPr>
        <w:ilvl w:val="1"/>
        <w:numId w:val="3"/>
      </w:numPr>
      <w:ind w:left="805"/>
    </w:pPr>
    <w:rPr>
      <w:sz w:val="16"/>
    </w:rPr>
  </w:style>
  <w:style w:type="paragraph" w:customStyle="1" w:styleId="21">
    <w:name w:val="列表段落1"/>
    <w:basedOn w:val="1"/>
    <w:qFormat/>
    <w:uiPriority w:val="0"/>
    <w:pPr>
      <w:ind w:firstLine="420" w:firstLineChars="200"/>
    </w:pPr>
    <w:rPr>
      <w:kern w:val="0"/>
      <w:sz w:val="20"/>
    </w:rPr>
  </w:style>
  <w:style w:type="paragraph" w:customStyle="1" w:styleId="22">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23">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12355</Words>
  <Characters>13424</Characters>
  <Lines>0</Lines>
  <Paragraphs>0</Paragraphs>
  <TotalTime>0</TotalTime>
  <ScaleCrop>false</ScaleCrop>
  <LinksUpToDate>false</LinksUpToDate>
  <CharactersWithSpaces>13596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2025-07-16T07:06:00Z</dcterms:created>
  <dc:creator>Administrator</dc:creator>
  <cp:lastModifiedBy>-</cp:lastModifiedBy>
  <dcterms:modified xsi:type="dcterms:W3CDTF">2025-07-17T04:05:17Z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9D2DF115326849C7943958C414A93E34</vt:lpwstr>
  </property>
  <property fmtid="{D5CDD505-2E9C-101B-9397-08002B2CF9AE}" pid="4" name="KSOTemplateDocerSaveRecord">
    <vt:lpwstr>eyJoZGlkIjoiMmRkNjE2MWI5Y2M5NjAwMjNkZDFiNzQwYmM2ZWVmN2MiLCJ1c2VySWQiOiI1NzQyMTYyODcifQ==</vt:lpwstr>
  </property>
</Properties>
</file>