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12270">
      <w:pPr>
        <w:spacing w:line="360" w:lineRule="auto"/>
        <w:jc w:val="center"/>
        <w:rPr>
          <w:rFonts w:hint="eastAsia" w:asciiTheme="minorEastAsia" w:hAnsiTheme="minorEastAsia" w:eastAsiaTheme="minorEastAsia" w:cstheme="minorEastAsia"/>
          <w:sz w:val="44"/>
          <w:szCs w:val="44"/>
          <w:highlight w:val="none"/>
          <w:u w:val="single"/>
        </w:rPr>
      </w:pPr>
      <w:bookmarkStart w:id="0" w:name="_Toc20384570"/>
    </w:p>
    <w:p w14:paraId="7AF321FD">
      <w:pPr>
        <w:spacing w:line="360" w:lineRule="auto"/>
        <w:jc w:val="center"/>
        <w:rPr>
          <w:rFonts w:hint="eastAsia" w:asciiTheme="minorEastAsia" w:hAnsiTheme="minorEastAsia" w:eastAsiaTheme="minorEastAsia" w:cstheme="minorEastAsia"/>
          <w:sz w:val="48"/>
          <w:szCs w:val="48"/>
          <w:highlight w:val="none"/>
        </w:rPr>
      </w:pPr>
    </w:p>
    <w:p w14:paraId="5C6BD820">
      <w:pPr>
        <w:spacing w:line="360" w:lineRule="auto"/>
        <w:jc w:val="center"/>
        <w:rPr>
          <w:rFonts w:hint="eastAsia" w:asciiTheme="minorEastAsia" w:hAnsiTheme="minorEastAsia" w:eastAsiaTheme="minorEastAsia" w:cstheme="minorEastAsia"/>
          <w:sz w:val="48"/>
          <w:szCs w:val="48"/>
          <w:highlight w:val="none"/>
        </w:rPr>
      </w:pPr>
    </w:p>
    <w:p w14:paraId="304F2F26">
      <w:pPr>
        <w:spacing w:line="360" w:lineRule="auto"/>
        <w:jc w:val="center"/>
        <w:rPr>
          <w:rFonts w:hint="eastAsia" w:asciiTheme="minorEastAsia" w:hAnsiTheme="minorEastAsia" w:eastAsiaTheme="minorEastAsia" w:cstheme="minorEastAsia"/>
          <w:sz w:val="52"/>
          <w:szCs w:val="52"/>
          <w:highlight w:val="none"/>
        </w:rPr>
      </w:pPr>
      <w:r>
        <w:rPr>
          <w:rFonts w:hint="eastAsia" w:asciiTheme="minorEastAsia" w:hAnsiTheme="minorEastAsia" w:eastAsiaTheme="minorEastAsia" w:cstheme="minorEastAsia"/>
          <w:sz w:val="52"/>
          <w:szCs w:val="52"/>
          <w:highlight w:val="none"/>
        </w:rPr>
        <w:t>政府采购项目</w:t>
      </w:r>
    </w:p>
    <w:p w14:paraId="68D09161">
      <w:pPr>
        <w:spacing w:line="360" w:lineRule="auto"/>
        <w:jc w:val="center"/>
        <w:rPr>
          <w:rFonts w:hint="eastAsia" w:asciiTheme="minorEastAsia" w:hAnsiTheme="minorEastAsia" w:eastAsiaTheme="minorEastAsia" w:cstheme="minorEastAsia"/>
          <w:sz w:val="52"/>
          <w:szCs w:val="52"/>
          <w:highlight w:val="none"/>
        </w:rPr>
      </w:pPr>
      <w:r>
        <w:rPr>
          <w:rFonts w:hint="eastAsia" w:asciiTheme="minorEastAsia" w:hAnsiTheme="minorEastAsia" w:eastAsiaTheme="minorEastAsia" w:cstheme="minorEastAsia"/>
          <w:sz w:val="52"/>
          <w:szCs w:val="52"/>
          <w:highlight w:val="none"/>
        </w:rPr>
        <w:t>采购需求</w:t>
      </w:r>
    </w:p>
    <w:p w14:paraId="24662882">
      <w:pPr>
        <w:spacing w:line="360" w:lineRule="auto"/>
        <w:jc w:val="center"/>
        <w:rPr>
          <w:rFonts w:hint="eastAsia" w:asciiTheme="minorEastAsia" w:hAnsiTheme="minorEastAsia" w:eastAsiaTheme="minorEastAsia" w:cstheme="minorEastAsia"/>
          <w:sz w:val="32"/>
          <w:szCs w:val="32"/>
          <w:highlight w:val="none"/>
        </w:rPr>
      </w:pPr>
    </w:p>
    <w:p w14:paraId="7E2CB6C6">
      <w:pPr>
        <w:spacing w:line="360" w:lineRule="auto"/>
        <w:jc w:val="center"/>
        <w:rPr>
          <w:rFonts w:hint="eastAsia" w:asciiTheme="minorEastAsia" w:hAnsiTheme="minorEastAsia" w:eastAsiaTheme="minorEastAsia" w:cstheme="minorEastAsia"/>
          <w:sz w:val="44"/>
          <w:szCs w:val="44"/>
          <w:highlight w:val="none"/>
        </w:rPr>
      </w:pPr>
    </w:p>
    <w:p w14:paraId="146CC8F0">
      <w:pPr>
        <w:spacing w:line="360" w:lineRule="auto"/>
        <w:jc w:val="center"/>
        <w:rPr>
          <w:rFonts w:hint="eastAsia" w:asciiTheme="minorEastAsia" w:hAnsiTheme="minorEastAsia" w:eastAsiaTheme="minorEastAsia" w:cstheme="minorEastAsia"/>
          <w:sz w:val="44"/>
          <w:szCs w:val="44"/>
          <w:highlight w:val="none"/>
        </w:rPr>
      </w:pPr>
    </w:p>
    <w:p w14:paraId="2C654E2B">
      <w:pPr>
        <w:spacing w:line="360" w:lineRule="auto"/>
        <w:jc w:val="center"/>
        <w:rPr>
          <w:rFonts w:hint="eastAsia" w:asciiTheme="minorEastAsia" w:hAnsiTheme="minorEastAsia" w:eastAsiaTheme="minorEastAsia" w:cstheme="minorEastAsia"/>
          <w:sz w:val="44"/>
          <w:szCs w:val="44"/>
          <w:highlight w:val="none"/>
        </w:rPr>
      </w:pPr>
    </w:p>
    <w:p w14:paraId="45749D30">
      <w:pPr>
        <w:spacing w:line="360" w:lineRule="auto"/>
        <w:ind w:left="420" w:leftChars="200" w:firstLine="1260" w:firstLineChars="45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采购单位：浙江省杭州生态环境监测中心</w:t>
      </w:r>
    </w:p>
    <w:p w14:paraId="25BF24EA">
      <w:pPr>
        <w:spacing w:line="360" w:lineRule="auto"/>
        <w:ind w:left="420" w:leftChars="200" w:firstLine="1260" w:firstLineChars="4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项目名称：</w:t>
      </w:r>
      <w:bookmarkStart w:id="1" w:name="_Hlk201139158"/>
      <w:r>
        <w:rPr>
          <w:rFonts w:hint="eastAsia" w:asciiTheme="minorEastAsia" w:hAnsiTheme="minorEastAsia" w:eastAsiaTheme="minorEastAsia" w:cstheme="minorEastAsia"/>
          <w:sz w:val="28"/>
          <w:szCs w:val="28"/>
          <w:highlight w:val="none"/>
        </w:rPr>
        <w:t>2025年度杭州市温室气体监测系统运维及碳排</w:t>
      </w:r>
    </w:p>
    <w:p w14:paraId="30F7DCC1">
      <w:pPr>
        <w:spacing w:line="360" w:lineRule="auto"/>
        <w:ind w:left="420" w:leftChars="200" w:firstLine="2660" w:firstLineChars="95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放反演与通量核算项目</w:t>
      </w:r>
    </w:p>
    <w:bookmarkEnd w:id="1"/>
    <w:p w14:paraId="2FDCB759">
      <w:pPr>
        <w:spacing w:line="360" w:lineRule="auto"/>
        <w:ind w:left="420" w:leftChars="200" w:firstLine="1260" w:firstLineChars="45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编制单位：浙江省杭州生态环境监测中心</w:t>
      </w:r>
    </w:p>
    <w:p w14:paraId="4172A600">
      <w:pPr>
        <w:spacing w:line="360" w:lineRule="auto"/>
        <w:ind w:left="420" w:leftChars="200" w:firstLine="1260" w:firstLineChars="45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编制时间：2025年6月</w:t>
      </w:r>
    </w:p>
    <w:p w14:paraId="66573194">
      <w:pPr>
        <w:spacing w:line="360" w:lineRule="auto"/>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32"/>
          <w:szCs w:val="32"/>
          <w:highlight w:val="none"/>
        </w:rPr>
        <w:br w:type="page"/>
      </w:r>
      <w:r>
        <w:rPr>
          <w:rFonts w:hint="eastAsia" w:asciiTheme="minorEastAsia" w:hAnsiTheme="minorEastAsia" w:eastAsiaTheme="minorEastAsia" w:cstheme="minorEastAsia"/>
          <w:b/>
          <w:sz w:val="28"/>
          <w:szCs w:val="28"/>
          <w:highlight w:val="none"/>
        </w:rPr>
        <w:t>一、需求调查情况</w:t>
      </w:r>
    </w:p>
    <w:p w14:paraId="3A15E3F7">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（一）本项目是否需要开展需求调查：</w:t>
      </w:r>
      <w:r>
        <w:rPr>
          <w:rFonts w:hint="eastAsia" w:asciiTheme="minorEastAsia" w:hAnsiTheme="minorEastAsia" w:eastAsiaTheme="minorEastAsia" w:cstheme="minorEastAsia"/>
          <w:sz w:val="24"/>
          <w:highlight w:val="none"/>
        </w:rPr>
        <w:sym w:font="Wingdings 2" w:char="0052"/>
      </w:r>
      <w:r>
        <w:rPr>
          <w:rFonts w:hint="eastAsia" w:asciiTheme="minorEastAsia" w:hAnsiTheme="minorEastAsia" w:eastAsiaTheme="minorEastAsia" w:cstheme="minorEastAsia"/>
          <w:sz w:val="24"/>
          <w:highlight w:val="none"/>
        </w:rPr>
        <w:t xml:space="preserve">是  </w:t>
      </w:r>
      <w:r>
        <w:rPr>
          <w:rFonts w:hint="eastAsia" w:asciiTheme="minorEastAsia" w:hAnsiTheme="minorEastAsia" w:eastAsiaTheme="minorEastAsia" w:cstheme="minorEastAsia"/>
          <w:sz w:val="24"/>
          <w:highlight w:val="none"/>
        </w:rPr>
        <w:sym w:font="Wingdings" w:char="00A8"/>
      </w:r>
      <w:r>
        <w:rPr>
          <w:rFonts w:hint="eastAsia" w:asciiTheme="minorEastAsia" w:hAnsiTheme="minorEastAsia" w:eastAsiaTheme="minorEastAsia" w:cstheme="minorEastAsia"/>
          <w:sz w:val="24"/>
          <w:highlight w:val="none"/>
        </w:rPr>
        <w:t>否</w:t>
      </w:r>
    </w:p>
    <w:p w14:paraId="74D75577">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（二）本项目是否属于可以不再重复开展需求调查情形：</w:t>
      </w:r>
      <w:r>
        <w:rPr>
          <w:rFonts w:hint="eastAsia" w:asciiTheme="minorEastAsia" w:hAnsiTheme="minorEastAsia" w:eastAsiaTheme="minorEastAsia" w:cstheme="minorEastAsia"/>
          <w:sz w:val="24"/>
          <w:highlight w:val="none"/>
        </w:rPr>
        <w:sym w:font="Wingdings 2" w:char="0052"/>
      </w:r>
      <w:r>
        <w:rPr>
          <w:rFonts w:hint="eastAsia" w:asciiTheme="minorEastAsia" w:hAnsiTheme="minorEastAsia" w:eastAsiaTheme="minorEastAsia" w:cstheme="minorEastAsia"/>
          <w:sz w:val="24"/>
          <w:highlight w:val="none"/>
        </w:rPr>
        <w:t xml:space="preserve">是  </w:t>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否</w:t>
      </w:r>
    </w:p>
    <w:p w14:paraId="03F6B52A">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（三）需求调查方式</w:t>
      </w:r>
    </w:p>
    <w:p w14:paraId="2A90B459">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2" w:char="0052"/>
      </w:r>
      <w:r>
        <w:rPr>
          <w:rFonts w:hint="eastAsia" w:asciiTheme="minorEastAsia" w:hAnsiTheme="minorEastAsia" w:eastAsiaTheme="minorEastAsia" w:cstheme="minorEastAsia"/>
          <w:sz w:val="24"/>
          <w:highlight w:val="none"/>
        </w:rPr>
        <w:t xml:space="preserve">咨询      </w:t>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 xml:space="preserve">论证     </w:t>
      </w:r>
      <w:r>
        <w:rPr>
          <w:rFonts w:hint="eastAsia" w:asciiTheme="minorEastAsia" w:hAnsiTheme="minorEastAsia" w:eastAsiaTheme="minorEastAsia" w:cstheme="minorEastAsia"/>
          <w:sz w:val="24"/>
          <w:highlight w:val="none"/>
        </w:rPr>
        <w:sym w:font="Wingdings 2" w:char="0052"/>
      </w:r>
      <w:r>
        <w:rPr>
          <w:rFonts w:hint="eastAsia" w:asciiTheme="minorEastAsia" w:hAnsiTheme="minorEastAsia" w:eastAsiaTheme="minorEastAsia" w:cstheme="minorEastAsia"/>
          <w:sz w:val="24"/>
          <w:highlight w:val="none"/>
        </w:rPr>
        <w:t xml:space="preserve">问卷调查      </w:t>
      </w:r>
      <w:r>
        <w:rPr>
          <w:rFonts w:hint="eastAsia" w:asciiTheme="minorEastAsia" w:hAnsiTheme="minorEastAsia" w:eastAsiaTheme="minorEastAsia" w:cstheme="minorEastAsia"/>
          <w:sz w:val="24"/>
          <w:highlight w:val="none"/>
        </w:rPr>
        <w:sym w:font="Wingdings 2" w:char="0052"/>
      </w:r>
      <w:r>
        <w:rPr>
          <w:rFonts w:hint="eastAsia" w:asciiTheme="minorEastAsia" w:hAnsiTheme="minorEastAsia" w:eastAsiaTheme="minorEastAsia" w:cstheme="minorEastAsia"/>
          <w:sz w:val="24"/>
          <w:highlight w:val="none"/>
        </w:rPr>
        <w:t>其他方式（</w:t>
      </w:r>
      <w:r>
        <w:rPr>
          <w:rFonts w:asciiTheme="minorEastAsia" w:hAnsiTheme="minorEastAsia" w:eastAsiaTheme="minorEastAsia" w:cstheme="minorEastAsia"/>
          <w:sz w:val="24"/>
          <w:highlight w:val="none"/>
        </w:rPr>
        <w:t>网上调查</w:t>
      </w:r>
      <w:r>
        <w:rPr>
          <w:rFonts w:hint="eastAsia" w:asciiTheme="minorEastAsia" w:hAnsiTheme="minorEastAsia" w:eastAsiaTheme="minorEastAsia" w:cstheme="minorEastAsia"/>
          <w:sz w:val="24"/>
          <w:highlight w:val="none"/>
        </w:rPr>
        <w:t xml:space="preserve">） </w:t>
      </w:r>
    </w:p>
    <w:p w14:paraId="0C6374A1">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（四）需求调查对象</w:t>
      </w:r>
    </w:p>
    <w:p w14:paraId="5E7E041A">
      <w:pPr>
        <w:spacing w:line="360" w:lineRule="auto"/>
        <w:ind w:firstLine="420"/>
        <w:jc w:val="left"/>
        <w:rPr>
          <w:sz w:val="24"/>
          <w:highlight w:val="none"/>
          <w:u w:val="single"/>
        </w:rPr>
      </w:pPr>
      <w:r>
        <w:rPr>
          <w:rFonts w:hint="eastAsia"/>
          <w:sz w:val="24"/>
          <w:highlight w:val="none"/>
          <w:u w:val="single"/>
        </w:rPr>
        <w:t>标项一：</w:t>
      </w:r>
      <w:r>
        <w:rPr>
          <w:rFonts w:hint="eastAsia" w:ascii="宋体" w:hAnsi="宋体" w:cs="宋体"/>
          <w:sz w:val="24"/>
          <w:highlight w:val="none"/>
          <w:u w:val="single"/>
        </w:rPr>
        <w:t>杭州市温室气体监测系统运维项目</w:t>
      </w:r>
    </w:p>
    <w:p w14:paraId="23703B74">
      <w:pPr>
        <w:spacing w:line="360" w:lineRule="auto"/>
        <w:ind w:firstLine="420"/>
        <w:jc w:val="left"/>
        <w:rPr>
          <w:sz w:val="24"/>
          <w:highlight w:val="none"/>
          <w:u w:val="single"/>
        </w:rPr>
      </w:pPr>
      <w:r>
        <w:rPr>
          <w:rFonts w:hint="eastAsia"/>
          <w:sz w:val="24"/>
          <w:highlight w:val="none"/>
          <w:u w:val="single"/>
        </w:rPr>
        <w:t>浙江省环境科技股份有限公司、北京尚洋东方环境科技有限公司、</w:t>
      </w:r>
      <w:r>
        <w:rPr>
          <w:sz w:val="24"/>
          <w:highlight w:val="none"/>
          <w:u w:val="single"/>
        </w:rPr>
        <w:t>杭州谱育科技发展有限公司</w:t>
      </w:r>
      <w:r>
        <w:rPr>
          <w:rFonts w:hint="eastAsia"/>
          <w:sz w:val="24"/>
          <w:highlight w:val="none"/>
          <w:u w:val="single"/>
        </w:rPr>
        <w:t>、南京创蓝科技有限公司、</w:t>
      </w:r>
      <w:r>
        <w:rPr>
          <w:sz w:val="24"/>
          <w:highlight w:val="none"/>
          <w:u w:val="single"/>
        </w:rPr>
        <w:t>北京世纪朝阳科技发展有限公司</w:t>
      </w:r>
      <w:r>
        <w:rPr>
          <w:rFonts w:hint="eastAsia"/>
          <w:sz w:val="24"/>
          <w:highlight w:val="none"/>
          <w:u w:val="single"/>
        </w:rPr>
        <w:t>、国科大杭州高等研究院</w:t>
      </w:r>
    </w:p>
    <w:p w14:paraId="23A59B19">
      <w:pPr>
        <w:spacing w:line="360" w:lineRule="auto"/>
        <w:ind w:firstLine="420"/>
        <w:jc w:val="left"/>
        <w:rPr>
          <w:sz w:val="24"/>
          <w:highlight w:val="none"/>
          <w:u w:val="single"/>
        </w:rPr>
      </w:pPr>
      <w:r>
        <w:rPr>
          <w:rFonts w:hint="eastAsia"/>
          <w:sz w:val="24"/>
          <w:highlight w:val="none"/>
          <w:u w:val="single"/>
        </w:rPr>
        <w:t>标项二：杭州市碳排放反演与通量核算项目</w:t>
      </w:r>
    </w:p>
    <w:p w14:paraId="233BCC46">
      <w:pPr>
        <w:spacing w:line="360" w:lineRule="auto"/>
        <w:ind w:firstLine="420"/>
        <w:jc w:val="left"/>
        <w:rPr>
          <w:sz w:val="24"/>
          <w:highlight w:val="none"/>
          <w:u w:val="single"/>
        </w:rPr>
      </w:pPr>
      <w:r>
        <w:rPr>
          <w:rFonts w:hint="eastAsia"/>
          <w:sz w:val="24"/>
          <w:highlight w:val="none"/>
          <w:u w:val="single"/>
        </w:rPr>
        <w:t>浙江省环境科技股份有限公司、北京尚洋东方环境科技有限公司、</w:t>
      </w:r>
      <w:r>
        <w:rPr>
          <w:sz w:val="24"/>
          <w:highlight w:val="none"/>
          <w:u w:val="single"/>
        </w:rPr>
        <w:t>杭州谱育科技发展有限公司</w:t>
      </w:r>
      <w:r>
        <w:rPr>
          <w:rFonts w:hint="eastAsia"/>
          <w:sz w:val="24"/>
          <w:highlight w:val="none"/>
          <w:u w:val="single"/>
        </w:rPr>
        <w:t>、南京创蓝科技有限公司、</w:t>
      </w:r>
      <w:r>
        <w:rPr>
          <w:sz w:val="24"/>
          <w:highlight w:val="none"/>
          <w:u w:val="single"/>
        </w:rPr>
        <w:t>北京世纪朝阳科技发展有限公司</w:t>
      </w:r>
      <w:r>
        <w:rPr>
          <w:rFonts w:hint="eastAsia"/>
          <w:sz w:val="24"/>
          <w:highlight w:val="none"/>
          <w:u w:val="single"/>
        </w:rPr>
        <w:t>、国科大杭州高等研究院</w:t>
      </w:r>
    </w:p>
    <w:p w14:paraId="48186A21">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（五）需求调查结果</w:t>
      </w:r>
    </w:p>
    <w:p w14:paraId="6BAC3F83">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1.相关产业发展情况</w:t>
      </w:r>
    </w:p>
    <w:p w14:paraId="4A0D8863">
      <w:pPr>
        <w:spacing w:line="360" w:lineRule="auto"/>
        <w:ind w:firstLine="420"/>
        <w:jc w:val="left"/>
        <w:rPr>
          <w:sz w:val="24"/>
          <w:highlight w:val="none"/>
          <w:u w:val="single"/>
        </w:rPr>
      </w:pPr>
      <w:r>
        <w:rPr>
          <w:rFonts w:hint="eastAsia"/>
          <w:sz w:val="24"/>
          <w:highlight w:val="none"/>
          <w:u w:val="single"/>
        </w:rPr>
        <w:t>标项一：</w:t>
      </w:r>
      <w:r>
        <w:rPr>
          <w:rFonts w:hint="eastAsia" w:ascii="宋体" w:hAnsi="宋体" w:cs="宋体"/>
          <w:sz w:val="24"/>
          <w:highlight w:val="none"/>
          <w:u w:val="single"/>
        </w:rPr>
        <w:t>杭州市温室气体监测系统运维项目</w:t>
      </w:r>
    </w:p>
    <w:p w14:paraId="04362B4A">
      <w:pPr>
        <w:spacing w:line="360" w:lineRule="auto"/>
        <w:ind w:firstLine="420"/>
        <w:jc w:val="left"/>
        <w:rPr>
          <w:sz w:val="24"/>
          <w:highlight w:val="none"/>
          <w:u w:val="single"/>
        </w:rPr>
      </w:pPr>
      <w:r>
        <w:rPr>
          <w:rFonts w:hint="eastAsia"/>
          <w:sz w:val="24"/>
          <w:highlight w:val="none"/>
          <w:u w:val="single"/>
        </w:rPr>
        <w:t>过去</w:t>
      </w:r>
      <w:r>
        <w:rPr>
          <w:sz w:val="24"/>
          <w:highlight w:val="none"/>
          <w:u w:val="single"/>
        </w:rPr>
        <w:t>在</w:t>
      </w:r>
      <w:r>
        <w:rPr>
          <w:rFonts w:hint="eastAsia"/>
          <w:sz w:val="24"/>
          <w:highlight w:val="none"/>
          <w:u w:val="single"/>
        </w:rPr>
        <w:t>高精度温室气体监测设备领域，以美国 Picarro、ABB 为代表的仪器公司开发了基于高性能的光腔衰荡光谱技术（CRDS）的监测设备，在国内温室气体高精度监测需求领域占据了较大市场份额。此类设备监测精度高、仪器结构复杂、运维难度大，对于运维单位和运维技术人员的要求</w:t>
      </w:r>
      <w:r>
        <w:rPr>
          <w:sz w:val="24"/>
          <w:highlight w:val="none"/>
          <w:u w:val="single"/>
        </w:rPr>
        <w:t>苛刻</w:t>
      </w:r>
      <w:r>
        <w:rPr>
          <w:rFonts w:hint="eastAsia"/>
          <w:sz w:val="24"/>
          <w:highlight w:val="none"/>
          <w:u w:val="single"/>
        </w:rPr>
        <w:t>，因此设备运维服务大都由设备品牌国内授权代理公司提供</w:t>
      </w:r>
      <w:r>
        <w:rPr>
          <w:sz w:val="24"/>
          <w:highlight w:val="none"/>
          <w:u w:val="single"/>
        </w:rPr>
        <w:t>。从行业应用看，生态环境监测领域2022开始开展试点监测，处于行业初期，是由大型企业推动市场发展。整个随着</w:t>
      </w:r>
      <w:r>
        <w:rPr>
          <w:rFonts w:hint="eastAsia"/>
          <w:sz w:val="24"/>
          <w:highlight w:val="none"/>
          <w:u w:val="single"/>
        </w:rPr>
        <w:t>国家“双碳”战略以及相关环保政策的</w:t>
      </w:r>
      <w:r>
        <w:rPr>
          <w:sz w:val="24"/>
          <w:highlight w:val="none"/>
          <w:u w:val="single"/>
        </w:rPr>
        <w:t>深入推进</w:t>
      </w:r>
      <w:r>
        <w:rPr>
          <w:rFonts w:hint="eastAsia"/>
          <w:sz w:val="24"/>
          <w:highlight w:val="none"/>
          <w:u w:val="single"/>
        </w:rPr>
        <w:t>，国内此类监测设备的市场需求不断增加，国产设备</w:t>
      </w:r>
      <w:r>
        <w:rPr>
          <w:sz w:val="24"/>
          <w:highlight w:val="none"/>
          <w:u w:val="single"/>
        </w:rPr>
        <w:t>技术</w:t>
      </w:r>
      <w:r>
        <w:rPr>
          <w:rFonts w:hint="eastAsia"/>
          <w:sz w:val="24"/>
          <w:highlight w:val="none"/>
          <w:u w:val="single"/>
        </w:rPr>
        <w:t>取得</w:t>
      </w:r>
      <w:r>
        <w:rPr>
          <w:sz w:val="24"/>
          <w:highlight w:val="none"/>
          <w:u w:val="single"/>
        </w:rPr>
        <w:t>显著突破</w:t>
      </w:r>
      <w:r>
        <w:rPr>
          <w:rFonts w:hint="eastAsia"/>
          <w:sz w:val="24"/>
          <w:highlight w:val="none"/>
          <w:u w:val="single"/>
        </w:rPr>
        <w:t>，同</w:t>
      </w:r>
      <w:r>
        <w:rPr>
          <w:sz w:val="24"/>
          <w:highlight w:val="none"/>
          <w:u w:val="single"/>
        </w:rPr>
        <w:t>时</w:t>
      </w:r>
      <w:r>
        <w:rPr>
          <w:rFonts w:hint="eastAsia"/>
          <w:sz w:val="24"/>
          <w:highlight w:val="none"/>
          <w:u w:val="single"/>
        </w:rPr>
        <w:t>带动了运维</w:t>
      </w:r>
      <w:r>
        <w:rPr>
          <w:sz w:val="24"/>
          <w:highlight w:val="none"/>
          <w:u w:val="single"/>
        </w:rPr>
        <w:t>服务</w:t>
      </w:r>
      <w:r>
        <w:rPr>
          <w:rFonts w:hint="eastAsia"/>
          <w:sz w:val="24"/>
          <w:highlight w:val="none"/>
          <w:u w:val="single"/>
        </w:rPr>
        <w:t>产业的</w:t>
      </w:r>
      <w:r>
        <w:rPr>
          <w:sz w:val="24"/>
          <w:highlight w:val="none"/>
          <w:u w:val="single"/>
        </w:rPr>
        <w:t>快速</w:t>
      </w:r>
      <w:r>
        <w:rPr>
          <w:rFonts w:hint="eastAsia"/>
          <w:sz w:val="24"/>
          <w:highlight w:val="none"/>
          <w:u w:val="single"/>
        </w:rPr>
        <w:t>发展，不断加强运维团队的建设，提高运维人员的专业素质，以提供及时、高效、优质的运维服务，满足客户的需求</w:t>
      </w:r>
      <w:r>
        <w:rPr>
          <w:sz w:val="24"/>
          <w:highlight w:val="none"/>
          <w:u w:val="single"/>
        </w:rPr>
        <w:t>，</w:t>
      </w:r>
      <w:r>
        <w:rPr>
          <w:rFonts w:hint="eastAsia"/>
          <w:sz w:val="24"/>
          <w:highlight w:val="none"/>
          <w:u w:val="single"/>
        </w:rPr>
        <w:t>比如聚光科技(杭州)股份有限公司、中国华云气象科技集团有限公司</w:t>
      </w:r>
      <w:r>
        <w:rPr>
          <w:sz w:val="24"/>
          <w:highlight w:val="none"/>
          <w:u w:val="single"/>
        </w:rPr>
        <w:t>、浙江生态环境集团有限公司</w:t>
      </w:r>
      <w:r>
        <w:rPr>
          <w:rFonts w:hint="eastAsia"/>
          <w:sz w:val="24"/>
          <w:highlight w:val="none"/>
          <w:u w:val="single"/>
        </w:rPr>
        <w:t>等大型企业均有能力承担</w:t>
      </w:r>
      <w:r>
        <w:rPr>
          <w:sz w:val="24"/>
          <w:highlight w:val="none"/>
          <w:u w:val="single"/>
        </w:rPr>
        <w:t>此类</w:t>
      </w:r>
      <w:r>
        <w:rPr>
          <w:rFonts w:hint="eastAsia"/>
          <w:sz w:val="24"/>
          <w:highlight w:val="none"/>
          <w:u w:val="single"/>
        </w:rPr>
        <w:t>高精度温室气体监测设备运维</w:t>
      </w:r>
      <w:bookmarkStart w:id="18" w:name="_GoBack"/>
      <w:bookmarkEnd w:id="18"/>
      <w:r>
        <w:rPr>
          <w:rFonts w:hint="eastAsia"/>
          <w:sz w:val="24"/>
          <w:highlight w:val="none"/>
          <w:u w:val="single"/>
        </w:rPr>
        <w:t>工作。</w:t>
      </w:r>
    </w:p>
    <w:p w14:paraId="2D2769E2">
      <w:pPr>
        <w:adjustRightInd w:val="0"/>
        <w:snapToGrid w:val="0"/>
        <w:spacing w:line="360" w:lineRule="auto"/>
        <w:ind w:firstLine="420"/>
        <w:rPr>
          <w:sz w:val="24"/>
          <w:highlight w:val="none"/>
          <w:u w:val="single"/>
        </w:rPr>
      </w:pPr>
      <w:r>
        <w:rPr>
          <w:rFonts w:hint="eastAsia"/>
          <w:sz w:val="24"/>
          <w:highlight w:val="none"/>
          <w:u w:val="single"/>
        </w:rPr>
        <w:t>标项二：杭州市碳排放反演与通量核算项目</w:t>
      </w:r>
    </w:p>
    <w:p w14:paraId="5C15DF30">
      <w:pPr>
        <w:adjustRightInd w:val="0"/>
        <w:snapToGrid w:val="0"/>
        <w:spacing w:line="360" w:lineRule="auto"/>
        <w:ind w:firstLine="420"/>
        <w:rPr>
          <w:sz w:val="24"/>
          <w:highlight w:val="none"/>
          <w:u w:val="single"/>
        </w:rPr>
      </w:pPr>
      <w:r>
        <w:rPr>
          <w:rFonts w:hint="eastAsia"/>
          <w:sz w:val="24"/>
          <w:highlight w:val="none"/>
          <w:u w:val="single"/>
        </w:rPr>
        <w:t>2021年12月，生态环境部印发《“十四五”生态环境监测规划》，提出，推进碳监测评估试点，提标升级国家大气背景站温室气体监测功能，建立多尺度碳同化反演系统，研究碳源汇评估。面对生态文明建设新形势新任务新要求，立足于碳监测、碳反演、碳源汇评估等前沿技术的深度应用是当前碳监测数据应用市场的主趋势，在“双碳”战略目标背景下，切实发挥碳监测数据的支撑作用，碳监测数据应用的市场需求将持续增加。</w:t>
      </w:r>
    </w:p>
    <w:p w14:paraId="4E201758">
      <w:pPr>
        <w:spacing w:line="360" w:lineRule="auto"/>
        <w:ind w:firstLine="420"/>
        <w:jc w:val="left"/>
        <w:rPr>
          <w:rFonts w:hint="eastAsia" w:asciiTheme="minorEastAsia" w:hAnsiTheme="minorEastAsia" w:cstheme="minorEastAsia"/>
          <w:sz w:val="24"/>
          <w:highlight w:val="none"/>
          <w:u w:val="single"/>
        </w:rPr>
      </w:pPr>
      <w:r>
        <w:rPr>
          <w:rFonts w:hint="eastAsia"/>
          <w:sz w:val="24"/>
          <w:highlight w:val="none"/>
          <w:u w:val="single"/>
        </w:rPr>
        <w:t>2023年9月，生态环境部印发《深化碳监测评估试点工作方案》，提出试点城市（注：杭州市属试点城市）优先完成地面高精度监测网络建设、高时空分辨率清单编制和本地同化反演模型构建等基础性工作。有条件的试点城市，可进一步丰富监测网络、完善高时空分辨率温室气体清单、对比使用多种碳同化反演模型，融合“自下而上”方法与“自上而下”方法，提供更精细化城市碳排放量核算结果。通过同化反演技术，可深度运用碳监测数据开展碳排放评估，实现监测评估技术路线和应用场景探索和完善，进一步做好碳监测评估试点工作，更好的发挥试点的引领示范作用。</w:t>
      </w:r>
      <w:r>
        <w:rPr>
          <w:sz w:val="24"/>
          <w:highlight w:val="none"/>
          <w:u w:val="single"/>
        </w:rPr>
        <w:t>因此整个碳反演工作属于试点性质的,以高校等事业单位为实施主体。</w:t>
      </w:r>
    </w:p>
    <w:p w14:paraId="402C5BD1">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2.市场供给情况</w:t>
      </w:r>
    </w:p>
    <w:p w14:paraId="00CB3A65">
      <w:pPr>
        <w:spacing w:line="360" w:lineRule="auto"/>
        <w:ind w:firstLine="420"/>
        <w:jc w:val="left"/>
        <w:rPr>
          <w:sz w:val="24"/>
          <w:highlight w:val="none"/>
          <w:u w:val="single"/>
        </w:rPr>
      </w:pPr>
      <w:r>
        <w:rPr>
          <w:rFonts w:hint="eastAsia"/>
          <w:sz w:val="24"/>
          <w:highlight w:val="none"/>
          <w:u w:val="single"/>
        </w:rPr>
        <w:t>标项一：</w:t>
      </w:r>
      <w:r>
        <w:rPr>
          <w:rFonts w:hint="eastAsia" w:ascii="宋体" w:hAnsi="宋体" w:cs="宋体"/>
          <w:sz w:val="24"/>
          <w:highlight w:val="none"/>
          <w:u w:val="single"/>
        </w:rPr>
        <w:t>杭州市温室气体监测系统运维项目</w:t>
      </w:r>
    </w:p>
    <w:p w14:paraId="0F8BE386">
      <w:pPr>
        <w:spacing w:line="360" w:lineRule="auto"/>
        <w:ind w:firstLine="420"/>
        <w:jc w:val="left"/>
        <w:rPr>
          <w:sz w:val="24"/>
          <w:highlight w:val="none"/>
          <w:u w:val="single"/>
        </w:rPr>
      </w:pPr>
      <w:r>
        <w:rPr>
          <w:sz w:val="24"/>
          <w:highlight w:val="none"/>
          <w:u w:val="single"/>
        </w:rPr>
        <w:t>本次运维项目涉及的高精度温室气体监测系统、碳汇监测系统组成复杂，运维难度大，经调研，目前市场上各有3家</w:t>
      </w:r>
      <w:r>
        <w:rPr>
          <w:rFonts w:hint="eastAsia"/>
          <w:sz w:val="24"/>
          <w:highlight w:val="none"/>
          <w:u w:val="single"/>
        </w:rPr>
        <w:t>以上</w:t>
      </w:r>
      <w:r>
        <w:rPr>
          <w:sz w:val="24"/>
          <w:highlight w:val="none"/>
          <w:u w:val="single"/>
        </w:rPr>
        <w:t>提供温室气体或碳通量监测网络运行维护服务的单位，其中提供高精度温室气体监测系统运维的有上海建科环境技术有限公司、</w:t>
      </w:r>
      <w:bookmarkStart w:id="2" w:name="OLE_LINK8"/>
      <w:r>
        <w:rPr>
          <w:sz w:val="24"/>
          <w:highlight w:val="none"/>
          <w:u w:val="single"/>
        </w:rPr>
        <w:t>浙江环信环境自动检测有限公司</w:t>
      </w:r>
      <w:bookmarkEnd w:id="2"/>
      <w:r>
        <w:rPr>
          <w:sz w:val="24"/>
          <w:highlight w:val="none"/>
          <w:u w:val="single"/>
        </w:rPr>
        <w:t>、杭州绿洁科技股份有限公司等；提供</w:t>
      </w:r>
      <w:r>
        <w:rPr>
          <w:rFonts w:hint="eastAsia"/>
          <w:sz w:val="24"/>
          <w:highlight w:val="none"/>
          <w:u w:val="single"/>
        </w:rPr>
        <w:t>碳汇监测系统</w:t>
      </w:r>
      <w:r>
        <w:rPr>
          <w:sz w:val="24"/>
          <w:highlight w:val="none"/>
          <w:u w:val="single"/>
        </w:rPr>
        <w:t>运维的有</w:t>
      </w:r>
      <w:r>
        <w:rPr>
          <w:rFonts w:hint="eastAsia"/>
          <w:sz w:val="24"/>
          <w:highlight w:val="none"/>
          <w:u w:val="single"/>
        </w:rPr>
        <w:t>南京南测仪器技术有限公司、北京萨维福特科技有限公司、北京天诺基业科技有限公司等。</w:t>
      </w:r>
    </w:p>
    <w:p w14:paraId="04A45351">
      <w:pPr>
        <w:adjustRightInd w:val="0"/>
        <w:snapToGrid w:val="0"/>
        <w:spacing w:line="360" w:lineRule="auto"/>
        <w:ind w:firstLine="420"/>
        <w:rPr>
          <w:sz w:val="24"/>
          <w:highlight w:val="none"/>
          <w:u w:val="single"/>
        </w:rPr>
      </w:pPr>
      <w:bookmarkStart w:id="3" w:name="_Hlk199489376"/>
      <w:r>
        <w:rPr>
          <w:rFonts w:hint="eastAsia"/>
          <w:sz w:val="24"/>
          <w:highlight w:val="none"/>
          <w:u w:val="single"/>
        </w:rPr>
        <w:t>为进一步科学合理设置项目采购需求的技术参数和商务要求，我们通过问卷调查的方式征求了 浙江省环境科技股份有限公司、北京尚洋东方环境科技有限公司、杭州谱育科技发展有限公司、南京创蓝科技有限公司、北京世纪朝阳科技发展有限公司、国科大杭州高等研究院等单位，各单位均认为需求设置合理。</w:t>
      </w:r>
    </w:p>
    <w:bookmarkEnd w:id="3"/>
    <w:p w14:paraId="2F1CFBEB">
      <w:pPr>
        <w:spacing w:line="360" w:lineRule="auto"/>
        <w:ind w:firstLine="420"/>
        <w:jc w:val="left"/>
        <w:rPr>
          <w:sz w:val="24"/>
          <w:highlight w:val="none"/>
          <w:u w:val="single"/>
        </w:rPr>
      </w:pPr>
      <w:r>
        <w:rPr>
          <w:rFonts w:hint="eastAsia"/>
          <w:sz w:val="24"/>
          <w:highlight w:val="none"/>
          <w:u w:val="single"/>
        </w:rPr>
        <w:t>标项二：杭州市碳排放反演与通量核算项目</w:t>
      </w:r>
    </w:p>
    <w:p w14:paraId="05F92C05">
      <w:pPr>
        <w:spacing w:line="360" w:lineRule="auto"/>
        <w:ind w:firstLine="420"/>
        <w:jc w:val="left"/>
        <w:rPr>
          <w:sz w:val="24"/>
          <w:highlight w:val="none"/>
          <w:u w:val="single"/>
        </w:rPr>
      </w:pPr>
      <w:r>
        <w:rPr>
          <w:rFonts w:hint="eastAsia"/>
          <w:sz w:val="24"/>
          <w:highlight w:val="none"/>
          <w:u w:val="single"/>
        </w:rPr>
        <w:t>本次项目采购的杭州市温室气体监测评估分析及排放反演核算校验服务专业技术要求高，经调研，目前市场上采购的温室气体监测评估分析、碳排放同化反演核算等相关服务，起初主要以中国环境监测总站、生态环境部卫星环境应用中心等环境领域事业单位供应服务，随技术成熟度不断提升，南京创蓝科技有限公司、雪城数智（河南）科技公司等中小企业通过合作研发、独立承接等方式，也逐步进入该类市场。</w:t>
      </w:r>
    </w:p>
    <w:p w14:paraId="431A7C24">
      <w:pPr>
        <w:adjustRightInd w:val="0"/>
        <w:snapToGrid w:val="0"/>
        <w:spacing w:line="360" w:lineRule="auto"/>
        <w:ind w:firstLine="420"/>
        <w:rPr>
          <w:sz w:val="24"/>
          <w:highlight w:val="none"/>
          <w:u w:val="single"/>
        </w:rPr>
      </w:pPr>
      <w:r>
        <w:rPr>
          <w:rFonts w:hint="eastAsia"/>
          <w:sz w:val="24"/>
          <w:highlight w:val="none"/>
          <w:u w:val="single"/>
        </w:rPr>
        <w:t>为进一步科学合理设置项目采购需求的技术参数和商务要求，我们通过问卷调查的方式征求了 浙江省环境科技股份有限公司、北京尚洋东方环境科技有限公司、杭州谱育科技发展有限公司、南京创蓝科技有限公司、北京世纪朝阳科技发展有限公司、国科大杭州高等研究院等单位，各单位均认为需求设置合理。</w:t>
      </w:r>
    </w:p>
    <w:p w14:paraId="6A195BBC">
      <w:pPr>
        <w:adjustRightInd w:val="0"/>
        <w:snapToGrid w:val="0"/>
        <w:spacing w:line="360" w:lineRule="auto"/>
        <w:ind w:firstLine="420"/>
        <w:rPr>
          <w:sz w:val="24"/>
          <w:highlight w:val="none"/>
          <w:u w:val="single"/>
        </w:rPr>
      </w:pPr>
      <w:r>
        <w:rPr>
          <w:sz w:val="24"/>
          <w:highlight w:val="none"/>
          <w:u w:val="single"/>
        </w:rPr>
        <w:t>生态环境监测领域温室气体监测和评估工作2022才开始开展试点，行业总体发展时间较短，技术上未定型，不是十分成熟。目前</w:t>
      </w:r>
      <w:r>
        <w:rPr>
          <w:rFonts w:hint="eastAsia"/>
          <w:sz w:val="24"/>
          <w:highlight w:val="none"/>
          <w:u w:val="single"/>
        </w:rPr>
        <w:t>温室气体监测设备监测精度高、仪器结构复杂、运维难度大，以美国 Picarro、ABB 为代表的</w:t>
      </w:r>
      <w:r>
        <w:rPr>
          <w:sz w:val="24"/>
          <w:highlight w:val="none"/>
          <w:u w:val="single"/>
        </w:rPr>
        <w:t>大型</w:t>
      </w:r>
      <w:r>
        <w:rPr>
          <w:rFonts w:hint="eastAsia"/>
          <w:sz w:val="24"/>
          <w:highlight w:val="none"/>
          <w:u w:val="single"/>
        </w:rPr>
        <w:t>仪器公司开发</w:t>
      </w:r>
      <w:r>
        <w:rPr>
          <w:sz w:val="24"/>
          <w:highlight w:val="none"/>
          <w:u w:val="single"/>
        </w:rPr>
        <w:t>的</w:t>
      </w:r>
      <w:r>
        <w:rPr>
          <w:rFonts w:hint="eastAsia"/>
          <w:sz w:val="24"/>
          <w:highlight w:val="none"/>
          <w:u w:val="single"/>
        </w:rPr>
        <w:t>光腔衰荡光谱技术（CRDS）的设备在国内温室气体高精度监测需求领域占据了</w:t>
      </w:r>
      <w:r>
        <w:rPr>
          <w:sz w:val="24"/>
          <w:highlight w:val="none"/>
          <w:u w:val="single"/>
        </w:rPr>
        <w:t>绝对的</w:t>
      </w:r>
      <w:r>
        <w:rPr>
          <w:rFonts w:hint="eastAsia"/>
          <w:sz w:val="24"/>
          <w:highlight w:val="none"/>
          <w:u w:val="single"/>
        </w:rPr>
        <w:t>市场份额</w:t>
      </w:r>
      <w:r>
        <w:rPr>
          <w:sz w:val="24"/>
          <w:highlight w:val="none"/>
          <w:u w:val="single"/>
        </w:rPr>
        <w:t>，此类设备</w:t>
      </w:r>
      <w:r>
        <w:rPr>
          <w:rFonts w:hint="eastAsia"/>
          <w:sz w:val="24"/>
          <w:highlight w:val="none"/>
          <w:u w:val="single"/>
        </w:rPr>
        <w:t>对于运维单位和运维技术人员的要求苛刻，中小微企业在相关监测能力和人员储备等方面较为不足</w:t>
      </w:r>
      <w:r>
        <w:rPr>
          <w:sz w:val="24"/>
          <w:highlight w:val="none"/>
          <w:u w:val="single"/>
        </w:rPr>
        <w:t>，行业层面多数以团标和技术指南来指导运维工作，仪器设备维护技术上需要进一步探索和总结</w:t>
      </w:r>
      <w:r>
        <w:rPr>
          <w:rFonts w:hint="eastAsia"/>
          <w:sz w:val="24"/>
          <w:highlight w:val="none"/>
          <w:u w:val="single"/>
        </w:rPr>
        <w:t>。</w:t>
      </w:r>
      <w:r>
        <w:rPr>
          <w:sz w:val="24"/>
          <w:highlight w:val="none"/>
          <w:u w:val="single"/>
        </w:rPr>
        <w:t>另外</w:t>
      </w:r>
      <w:r>
        <w:rPr>
          <w:rFonts w:hint="eastAsia"/>
          <w:sz w:val="24"/>
          <w:highlight w:val="none"/>
          <w:u w:val="single"/>
        </w:rPr>
        <w:t>碳通量核算和反演工作技术难度大，需要开发相应的反演模型，目前只有少量高校和科研机构具备反演能力。</w:t>
      </w:r>
      <w:r>
        <w:rPr>
          <w:sz w:val="24"/>
          <w:highlight w:val="none"/>
          <w:u w:val="single"/>
        </w:rPr>
        <w:t>因此像浙江省生态环境集团和上海建科集团股份有限公司等大型企业及其关联企业在高精度温室</w:t>
      </w:r>
      <w:r>
        <w:rPr>
          <w:rFonts w:hint="eastAsia" w:ascii="宋体" w:hAnsi="宋体" w:cs="宋体"/>
          <w:sz w:val="24"/>
          <w:highlight w:val="none"/>
          <w:u w:val="single"/>
        </w:rPr>
        <w:t>气体监测系统运维项目</w:t>
      </w:r>
      <w:r>
        <w:rPr>
          <w:rFonts w:ascii="宋体" w:hAnsi="宋体" w:cs="宋体"/>
          <w:sz w:val="24"/>
          <w:highlight w:val="none"/>
          <w:u w:val="single"/>
        </w:rPr>
        <w:t>上，</w:t>
      </w:r>
      <w:r>
        <w:rPr>
          <w:rFonts w:hint="eastAsia"/>
          <w:sz w:val="24"/>
          <w:highlight w:val="none"/>
          <w:u w:val="single"/>
        </w:rPr>
        <w:t>中国环境监测总站、生态环境部卫星环境应用中心等事业单位</w:t>
      </w:r>
      <w:r>
        <w:rPr>
          <w:sz w:val="24"/>
          <w:highlight w:val="none"/>
          <w:u w:val="single"/>
        </w:rPr>
        <w:t>在</w:t>
      </w:r>
      <w:r>
        <w:rPr>
          <w:rFonts w:hint="eastAsia"/>
          <w:sz w:val="24"/>
          <w:highlight w:val="none"/>
          <w:u w:val="single"/>
        </w:rPr>
        <w:t>排放反演与通量核算</w:t>
      </w:r>
      <w:r>
        <w:rPr>
          <w:sz w:val="24"/>
          <w:highlight w:val="none"/>
          <w:u w:val="single"/>
        </w:rPr>
        <w:t>上技术发展上和市场层面起到主导方面。</w:t>
      </w:r>
      <w:r>
        <w:rPr>
          <w:rFonts w:hint="eastAsia"/>
          <w:sz w:val="24"/>
          <w:highlight w:val="none"/>
          <w:u w:val="single"/>
        </w:rPr>
        <w:t>因此，</w:t>
      </w:r>
      <w:r>
        <w:rPr>
          <w:sz w:val="24"/>
          <w:highlight w:val="none"/>
          <w:u w:val="single"/>
        </w:rPr>
        <w:t>本</w:t>
      </w:r>
      <w:r>
        <w:rPr>
          <w:rFonts w:hint="eastAsia"/>
          <w:sz w:val="24"/>
          <w:highlight w:val="none"/>
          <w:u w:val="single"/>
        </w:rPr>
        <w:t>采购不专门面向中小企业。</w:t>
      </w:r>
    </w:p>
    <w:p w14:paraId="69E13DF8">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3.同类采购项目历史成交信息情况</w:t>
      </w:r>
    </w:p>
    <w:p w14:paraId="01134AE9">
      <w:pPr>
        <w:adjustRightInd w:val="0"/>
        <w:snapToGrid w:val="0"/>
        <w:spacing w:line="360" w:lineRule="auto"/>
        <w:ind w:firstLine="480" w:firstLineChars="200"/>
        <w:rPr>
          <w:sz w:val="24"/>
          <w:highlight w:val="none"/>
          <w:u w:val="single"/>
        </w:rPr>
      </w:pPr>
      <w:r>
        <w:rPr>
          <w:rFonts w:hint="eastAsia"/>
          <w:sz w:val="24"/>
          <w:highlight w:val="none"/>
          <w:u w:val="single"/>
        </w:rPr>
        <w:t>标项一：</w:t>
      </w:r>
      <w:r>
        <w:rPr>
          <w:rFonts w:hint="eastAsia" w:ascii="宋体" w:hAnsi="宋体" w:cs="宋体"/>
          <w:sz w:val="24"/>
          <w:highlight w:val="none"/>
          <w:u w:val="single"/>
        </w:rPr>
        <w:t>杭州市温室气体监测系统运维项目</w:t>
      </w:r>
    </w:p>
    <w:p w14:paraId="5C2D6AC4">
      <w:pPr>
        <w:adjustRightInd w:val="0"/>
        <w:snapToGrid w:val="0"/>
        <w:spacing w:line="360" w:lineRule="auto"/>
        <w:ind w:firstLine="480" w:firstLineChars="200"/>
        <w:rPr>
          <w:sz w:val="24"/>
          <w:highlight w:val="none"/>
          <w:u w:val="single"/>
        </w:rPr>
      </w:pPr>
      <w:r>
        <w:rPr>
          <w:sz w:val="24"/>
          <w:highlight w:val="none"/>
          <w:u w:val="single"/>
        </w:rPr>
        <w:t>（1）2024年6月，采购人浙江省宁波生态环境监测中心，公开招标，碳监测运维服务项目，服务内容包括宁波市8套环境空气高精度温室气体自动监测站、1套高精度温室气体移动监测分析仪、1个机载温室气体监测分析仪、14CO2手工温室气体样品的采样及分析服务和辅助设备（含数采系统等）的运维和维修，供应商宁波艾可艾环境设备有限公司，合同金额2195000元。</w:t>
      </w:r>
    </w:p>
    <w:p w14:paraId="5565BBCB">
      <w:pPr>
        <w:adjustRightInd w:val="0"/>
        <w:snapToGrid w:val="0"/>
        <w:spacing w:line="360" w:lineRule="auto"/>
        <w:ind w:firstLine="480" w:firstLineChars="200"/>
        <w:rPr>
          <w:sz w:val="24"/>
          <w:highlight w:val="none"/>
          <w:u w:val="single"/>
        </w:rPr>
      </w:pPr>
      <w:r>
        <w:rPr>
          <w:sz w:val="24"/>
          <w:highlight w:val="none"/>
          <w:u w:val="single"/>
        </w:rPr>
        <w:t>（2）2024年9月，采购人浙江省生态环境监测中心，公开招标，浙江省碳监测能力建设(一期)项目运维与技术服务项目，服务内容包括省中心示范站1套高精度CO2/CH4监测系统、1套高精度N</w:t>
      </w:r>
      <w:r>
        <w:rPr>
          <w:sz w:val="24"/>
          <w:highlight w:val="none"/>
          <w:u w:val="single"/>
          <w:vertAlign w:val="subscript"/>
        </w:rPr>
        <w:t>2</w:t>
      </w:r>
      <w:r>
        <w:rPr>
          <w:sz w:val="24"/>
          <w:highlight w:val="none"/>
          <w:u w:val="single"/>
        </w:rPr>
        <w:t>O/CO监测系统、1套生态系统CO2/CH4通量监测系统、1套含氟温室气体监测系统、1套中精度CO2/CH4监测系统、分析服务、辅助设备（含数采系统等）及省内10个中精度CO2/CH4监测系统的运维和维修服务等，供应商浙江环信环境自动检测有限公司，合同金额1135000元。</w:t>
      </w:r>
    </w:p>
    <w:p w14:paraId="3AE230D7">
      <w:pPr>
        <w:adjustRightInd w:val="0"/>
        <w:snapToGrid w:val="0"/>
        <w:spacing w:line="360" w:lineRule="auto"/>
        <w:ind w:firstLine="480" w:firstLineChars="200"/>
        <w:rPr>
          <w:sz w:val="24"/>
          <w:highlight w:val="none"/>
          <w:u w:val="single"/>
        </w:rPr>
      </w:pPr>
      <w:r>
        <w:rPr>
          <w:sz w:val="24"/>
          <w:highlight w:val="none"/>
          <w:u w:val="single"/>
        </w:rPr>
        <w:t>（3）2025年1月，采购人四川发展环境科学技术研究院有限公司，公开招标，高精度温室气体站点运维服务采购项目，服务内容包括对巴中、达州、遂宁、乐山、宜宾等5个站点进行运维，供应商四川典筑科技有限公司，合同金额1300000元。</w:t>
      </w:r>
    </w:p>
    <w:p w14:paraId="127876A2">
      <w:pPr>
        <w:adjustRightInd w:val="0"/>
        <w:snapToGrid w:val="0"/>
        <w:spacing w:line="360" w:lineRule="auto"/>
        <w:ind w:firstLine="480" w:firstLineChars="200"/>
        <w:rPr>
          <w:sz w:val="24"/>
          <w:highlight w:val="none"/>
          <w:u w:val="single"/>
        </w:rPr>
      </w:pPr>
      <w:r>
        <w:rPr>
          <w:bCs/>
          <w:sz w:val="24"/>
          <w:highlight w:val="none"/>
          <w:u w:val="single"/>
        </w:rPr>
        <w:t>（4）2024年10月，采购人</w:t>
      </w:r>
      <w:r>
        <w:rPr>
          <w:rFonts w:hint="eastAsia"/>
          <w:bCs/>
          <w:sz w:val="24"/>
          <w:highlight w:val="none"/>
          <w:u w:val="single"/>
        </w:rPr>
        <w:t>江苏省地质调查研究院，公开招标，“数字赋能与智慧监管项目”林地、湿地生态系统碳通量及SIF自动监测建设运营维护服务项目，服务内容包括对2套生态系统碳通量及SIF自动监测设备进行运维，周期5年，</w:t>
      </w:r>
      <w:r>
        <w:rPr>
          <w:sz w:val="24"/>
          <w:highlight w:val="none"/>
          <w:u w:val="single"/>
        </w:rPr>
        <w:t>供应商</w:t>
      </w:r>
      <w:r>
        <w:rPr>
          <w:rFonts w:hint="eastAsia"/>
          <w:sz w:val="24"/>
          <w:highlight w:val="none"/>
          <w:u w:val="single"/>
        </w:rPr>
        <w:t>南京南测仪器技术有限公司</w:t>
      </w:r>
      <w:r>
        <w:rPr>
          <w:sz w:val="24"/>
          <w:highlight w:val="none"/>
          <w:u w:val="single"/>
        </w:rPr>
        <w:t>，合同金额4419000元。</w:t>
      </w:r>
    </w:p>
    <w:p w14:paraId="326BE61E">
      <w:pPr>
        <w:spacing w:line="360" w:lineRule="auto"/>
        <w:ind w:firstLine="420"/>
        <w:jc w:val="left"/>
        <w:rPr>
          <w:bCs/>
          <w:sz w:val="24"/>
          <w:highlight w:val="none"/>
          <w:u w:val="single"/>
        </w:rPr>
      </w:pPr>
      <w:r>
        <w:rPr>
          <w:bCs/>
          <w:sz w:val="24"/>
          <w:highlight w:val="none"/>
          <w:u w:val="single"/>
        </w:rPr>
        <w:t>（</w:t>
      </w:r>
      <w:r>
        <w:rPr>
          <w:rFonts w:hint="eastAsia"/>
          <w:bCs/>
          <w:sz w:val="24"/>
          <w:highlight w:val="none"/>
          <w:u w:val="single"/>
        </w:rPr>
        <w:t>5</w:t>
      </w:r>
      <w:r>
        <w:rPr>
          <w:bCs/>
          <w:sz w:val="24"/>
          <w:highlight w:val="none"/>
          <w:u w:val="single"/>
        </w:rPr>
        <w:t>）</w:t>
      </w:r>
      <w:r>
        <w:rPr>
          <w:rFonts w:hint="eastAsia"/>
          <w:bCs/>
          <w:sz w:val="24"/>
          <w:highlight w:val="none"/>
          <w:u w:val="single"/>
        </w:rPr>
        <w:t>2</w:t>
      </w:r>
      <w:r>
        <w:rPr>
          <w:bCs/>
          <w:sz w:val="24"/>
          <w:highlight w:val="none"/>
          <w:u w:val="single"/>
        </w:rPr>
        <w:t>021年</w:t>
      </w:r>
      <w:r>
        <w:rPr>
          <w:rFonts w:hint="eastAsia"/>
          <w:bCs/>
          <w:sz w:val="24"/>
          <w:highlight w:val="none"/>
          <w:u w:val="single"/>
        </w:rPr>
        <w:t>1</w:t>
      </w:r>
      <w:r>
        <w:rPr>
          <w:bCs/>
          <w:sz w:val="24"/>
          <w:highlight w:val="none"/>
          <w:u w:val="single"/>
        </w:rPr>
        <w:t>0月，采购人北京师范大学</w:t>
      </w:r>
      <w:r>
        <w:rPr>
          <w:rFonts w:hint="eastAsia"/>
          <w:bCs/>
          <w:sz w:val="24"/>
          <w:highlight w:val="none"/>
          <w:u w:val="single"/>
        </w:rPr>
        <w:t>，公开招标，黑河上游生态观测设备维护服务，服务内容包括对1套生态系统碳通量系统进行远程数据查看和现场维护，汇总全年数据，为期1年，</w:t>
      </w:r>
      <w:r>
        <w:rPr>
          <w:sz w:val="24"/>
          <w:highlight w:val="none"/>
          <w:u w:val="single"/>
        </w:rPr>
        <w:t>供应商</w:t>
      </w:r>
      <w:r>
        <w:rPr>
          <w:rFonts w:hint="eastAsia"/>
          <w:sz w:val="24"/>
          <w:highlight w:val="none"/>
          <w:u w:val="single"/>
        </w:rPr>
        <w:t>北京萨维福特科技有限公司</w:t>
      </w:r>
      <w:r>
        <w:rPr>
          <w:sz w:val="24"/>
          <w:highlight w:val="none"/>
          <w:u w:val="single"/>
        </w:rPr>
        <w:t>，</w:t>
      </w:r>
      <w:r>
        <w:rPr>
          <w:rFonts w:hint="eastAsia"/>
          <w:bCs/>
          <w:sz w:val="24"/>
          <w:highlight w:val="none"/>
          <w:u w:val="single"/>
        </w:rPr>
        <w:t>合同金额6</w:t>
      </w:r>
      <w:r>
        <w:rPr>
          <w:bCs/>
          <w:sz w:val="24"/>
          <w:highlight w:val="none"/>
          <w:u w:val="single"/>
        </w:rPr>
        <w:t>9600元。</w:t>
      </w:r>
    </w:p>
    <w:p w14:paraId="7067C864">
      <w:pPr>
        <w:adjustRightInd w:val="0"/>
        <w:snapToGrid w:val="0"/>
        <w:spacing w:line="360" w:lineRule="auto"/>
        <w:ind w:firstLine="480" w:firstLineChars="200"/>
        <w:rPr>
          <w:sz w:val="24"/>
          <w:highlight w:val="none"/>
          <w:u w:val="single"/>
        </w:rPr>
      </w:pPr>
      <w:r>
        <w:rPr>
          <w:rFonts w:hint="eastAsia"/>
          <w:sz w:val="24"/>
          <w:highlight w:val="none"/>
          <w:u w:val="single"/>
        </w:rPr>
        <w:t>标项二：杭州市碳排放反演与通量核算项目</w:t>
      </w:r>
    </w:p>
    <w:p w14:paraId="587F86B5">
      <w:pPr>
        <w:adjustRightInd w:val="0"/>
        <w:snapToGrid w:val="0"/>
        <w:spacing w:line="360" w:lineRule="auto"/>
        <w:ind w:firstLine="480" w:firstLineChars="200"/>
        <w:rPr>
          <w:sz w:val="24"/>
          <w:highlight w:val="none"/>
          <w:u w:val="single"/>
        </w:rPr>
      </w:pPr>
      <w:r>
        <w:rPr>
          <w:sz w:val="24"/>
          <w:highlight w:val="none"/>
          <w:u w:val="single"/>
        </w:rPr>
        <w:t>（1）20</w:t>
      </w:r>
      <w:r>
        <w:rPr>
          <w:rFonts w:hint="eastAsia"/>
          <w:sz w:val="24"/>
          <w:highlight w:val="none"/>
          <w:u w:val="single"/>
        </w:rPr>
        <w:t>22</w:t>
      </w:r>
      <w:r>
        <w:rPr>
          <w:sz w:val="24"/>
          <w:highlight w:val="none"/>
          <w:u w:val="single"/>
        </w:rPr>
        <w:t>年</w:t>
      </w:r>
      <w:r>
        <w:rPr>
          <w:rFonts w:hint="eastAsia"/>
          <w:sz w:val="24"/>
          <w:highlight w:val="none"/>
          <w:u w:val="single"/>
        </w:rPr>
        <w:t>12</w:t>
      </w:r>
      <w:r>
        <w:rPr>
          <w:sz w:val="24"/>
          <w:highlight w:val="none"/>
          <w:u w:val="single"/>
        </w:rPr>
        <w:t>月，采购人</w:t>
      </w:r>
      <w:r>
        <w:rPr>
          <w:rFonts w:hint="eastAsia"/>
          <w:sz w:val="24"/>
          <w:highlight w:val="none"/>
          <w:u w:val="single"/>
        </w:rPr>
        <w:t>唐山市生态环境局</w:t>
      </w:r>
      <w:r>
        <w:rPr>
          <w:sz w:val="24"/>
          <w:highlight w:val="none"/>
          <w:u w:val="single"/>
        </w:rPr>
        <w:t>，公开招标，</w:t>
      </w:r>
      <w:r>
        <w:rPr>
          <w:rFonts w:hint="eastAsia"/>
          <w:sz w:val="24"/>
          <w:highlight w:val="none"/>
          <w:u w:val="single"/>
        </w:rPr>
        <w:t>唐山市碳监测评估试点项目——清单编制同化反演手工监测及评估服务</w:t>
      </w:r>
      <w:r>
        <w:rPr>
          <w:sz w:val="24"/>
          <w:highlight w:val="none"/>
          <w:u w:val="single"/>
        </w:rPr>
        <w:t>，主要采购的</w:t>
      </w:r>
      <w:r>
        <w:rPr>
          <w:rFonts w:hint="eastAsia"/>
          <w:sz w:val="24"/>
          <w:highlight w:val="none"/>
          <w:u w:val="single"/>
        </w:rPr>
        <w:t>服务</w:t>
      </w:r>
      <w:r>
        <w:rPr>
          <w:sz w:val="24"/>
          <w:highlight w:val="none"/>
          <w:u w:val="single"/>
        </w:rPr>
        <w:t>包括</w:t>
      </w:r>
      <w:r>
        <w:rPr>
          <w:rFonts w:hint="eastAsia"/>
          <w:sz w:val="24"/>
          <w:highlight w:val="none"/>
          <w:u w:val="single"/>
        </w:rPr>
        <w:t>高时空温室气体排放清单编制</w:t>
      </w:r>
      <w:r>
        <w:rPr>
          <w:sz w:val="24"/>
          <w:highlight w:val="none"/>
          <w:u w:val="single"/>
        </w:rPr>
        <w:t>、</w:t>
      </w:r>
      <w:r>
        <w:rPr>
          <w:rFonts w:hint="eastAsia"/>
          <w:sz w:val="24"/>
          <w:highlight w:val="none"/>
          <w:u w:val="single"/>
        </w:rPr>
        <w:t>碳排放量同化反演</w:t>
      </w:r>
      <w:r>
        <w:rPr>
          <w:sz w:val="24"/>
          <w:highlight w:val="none"/>
          <w:u w:val="single"/>
        </w:rPr>
        <w:t>、</w:t>
      </w:r>
      <w:r>
        <w:rPr>
          <w:rFonts w:hint="eastAsia"/>
          <w:sz w:val="24"/>
          <w:highlight w:val="none"/>
          <w:u w:val="single"/>
        </w:rPr>
        <w:t>碳同位素(</w:t>
      </w:r>
      <w:r>
        <w:rPr>
          <w:rFonts w:hint="eastAsia"/>
          <w:sz w:val="24"/>
          <w:highlight w:val="none"/>
          <w:u w:val="single"/>
          <w:vertAlign w:val="superscript"/>
        </w:rPr>
        <w:t>14</w:t>
      </w:r>
      <w:r>
        <w:rPr>
          <w:rFonts w:hint="eastAsia"/>
          <w:sz w:val="24"/>
          <w:highlight w:val="none"/>
          <w:u w:val="single"/>
        </w:rPr>
        <w:t>CO</w:t>
      </w:r>
      <w:r>
        <w:rPr>
          <w:rFonts w:hint="eastAsia"/>
          <w:sz w:val="24"/>
          <w:highlight w:val="none"/>
          <w:u w:val="single"/>
          <w:vertAlign w:val="subscript"/>
        </w:rPr>
        <w:t>2</w:t>
      </w:r>
      <w:r>
        <w:rPr>
          <w:rFonts w:hint="eastAsia"/>
          <w:sz w:val="24"/>
          <w:highlight w:val="none"/>
          <w:u w:val="single"/>
        </w:rPr>
        <w:t>)采样和分析费用</w:t>
      </w:r>
      <w:r>
        <w:rPr>
          <w:sz w:val="24"/>
          <w:highlight w:val="none"/>
          <w:u w:val="single"/>
        </w:rPr>
        <w:t>、</w:t>
      </w:r>
      <w:r>
        <w:rPr>
          <w:rFonts w:hint="eastAsia"/>
          <w:sz w:val="24"/>
          <w:highlight w:val="none"/>
          <w:u w:val="single"/>
        </w:rPr>
        <w:t>温室气体监测评估技术服务</w:t>
      </w:r>
      <w:r>
        <w:rPr>
          <w:sz w:val="24"/>
          <w:highlight w:val="none"/>
          <w:u w:val="single"/>
        </w:rPr>
        <w:t>等</w:t>
      </w:r>
      <w:r>
        <w:rPr>
          <w:rFonts w:hint="eastAsia"/>
          <w:sz w:val="24"/>
          <w:highlight w:val="none"/>
          <w:u w:val="single"/>
        </w:rPr>
        <w:t>，</w:t>
      </w:r>
      <w:r>
        <w:rPr>
          <w:sz w:val="24"/>
          <w:highlight w:val="none"/>
          <w:u w:val="single"/>
        </w:rPr>
        <w:t>供应商</w:t>
      </w:r>
      <w:r>
        <w:rPr>
          <w:rFonts w:hint="eastAsia"/>
          <w:sz w:val="24"/>
          <w:highlight w:val="none"/>
          <w:u w:val="single"/>
        </w:rPr>
        <w:t>中国环境监测总站</w:t>
      </w:r>
      <w:r>
        <w:rPr>
          <w:sz w:val="24"/>
          <w:highlight w:val="none"/>
          <w:u w:val="single"/>
        </w:rPr>
        <w:t>，合同金额</w:t>
      </w:r>
      <w:r>
        <w:rPr>
          <w:rFonts w:hint="eastAsia"/>
          <w:sz w:val="24"/>
          <w:highlight w:val="none"/>
          <w:u w:val="single"/>
        </w:rPr>
        <w:t>7600000</w:t>
      </w:r>
      <w:r>
        <w:rPr>
          <w:sz w:val="24"/>
          <w:highlight w:val="none"/>
          <w:u w:val="single"/>
        </w:rPr>
        <w:t>元。</w:t>
      </w:r>
    </w:p>
    <w:p w14:paraId="2F5FBAA0">
      <w:pPr>
        <w:adjustRightInd w:val="0"/>
        <w:snapToGrid w:val="0"/>
        <w:spacing w:line="360" w:lineRule="auto"/>
        <w:ind w:firstLine="480" w:firstLineChars="200"/>
        <w:rPr>
          <w:sz w:val="24"/>
          <w:highlight w:val="none"/>
          <w:u w:val="single"/>
        </w:rPr>
      </w:pPr>
      <w:r>
        <w:rPr>
          <w:sz w:val="24"/>
          <w:highlight w:val="none"/>
          <w:u w:val="single"/>
        </w:rPr>
        <w:t>（2）2022年12月，采购人</w:t>
      </w:r>
      <w:r>
        <w:rPr>
          <w:rFonts w:hint="eastAsia"/>
          <w:sz w:val="24"/>
          <w:highlight w:val="none"/>
          <w:u w:val="single"/>
        </w:rPr>
        <w:t>济南市生态环境局</w:t>
      </w:r>
      <w:r>
        <w:rPr>
          <w:sz w:val="24"/>
          <w:highlight w:val="none"/>
          <w:u w:val="single"/>
        </w:rPr>
        <w:t>，公开招标，</w:t>
      </w:r>
      <w:r>
        <w:rPr>
          <w:rFonts w:hint="eastAsia"/>
          <w:sz w:val="24"/>
          <w:highlight w:val="none"/>
          <w:u w:val="single"/>
        </w:rPr>
        <w:t>济南市碳监测评估试点项目，F包 温室气体卫星遥感、无人机、地基监测服务</w:t>
      </w:r>
      <w:r>
        <w:rPr>
          <w:sz w:val="24"/>
          <w:highlight w:val="none"/>
          <w:u w:val="single"/>
        </w:rPr>
        <w:t>，主要</w:t>
      </w:r>
      <w:r>
        <w:rPr>
          <w:rFonts w:hint="eastAsia"/>
          <w:sz w:val="24"/>
          <w:highlight w:val="none"/>
          <w:u w:val="single"/>
        </w:rPr>
        <w:t>采购的服务</w:t>
      </w:r>
      <w:r>
        <w:rPr>
          <w:sz w:val="24"/>
          <w:highlight w:val="none"/>
          <w:u w:val="single"/>
        </w:rPr>
        <w:t>包括</w:t>
      </w:r>
      <w:r>
        <w:rPr>
          <w:rFonts w:hint="eastAsia"/>
          <w:sz w:val="24"/>
          <w:highlight w:val="none"/>
          <w:u w:val="single"/>
        </w:rPr>
        <w:t>开展碳同位素手工监测、卫星遥感监测、无人机飞行监测、地基遥感监测，基于多源监测数据，探索“自上而下”同化反演温室气体排放的方法，为济南市碳排放的核查校验提供数据支撑，</w:t>
      </w:r>
      <w:r>
        <w:rPr>
          <w:sz w:val="24"/>
          <w:highlight w:val="none"/>
          <w:u w:val="single"/>
        </w:rPr>
        <w:t>供应商</w:t>
      </w:r>
      <w:r>
        <w:rPr>
          <w:rFonts w:hint="eastAsia"/>
          <w:sz w:val="24"/>
          <w:highlight w:val="none"/>
          <w:u w:val="single"/>
        </w:rPr>
        <w:t>生态环境部卫星环境应用中心</w:t>
      </w:r>
      <w:r>
        <w:rPr>
          <w:sz w:val="24"/>
          <w:highlight w:val="none"/>
          <w:u w:val="single"/>
        </w:rPr>
        <w:t>，合同金额5</w:t>
      </w:r>
      <w:r>
        <w:rPr>
          <w:rFonts w:hint="eastAsia"/>
          <w:sz w:val="24"/>
          <w:highlight w:val="none"/>
          <w:u w:val="single"/>
        </w:rPr>
        <w:t>250</w:t>
      </w:r>
      <w:r>
        <w:rPr>
          <w:sz w:val="24"/>
          <w:highlight w:val="none"/>
          <w:u w:val="single"/>
        </w:rPr>
        <w:t>000元。</w:t>
      </w:r>
    </w:p>
    <w:p w14:paraId="0687630C">
      <w:pPr>
        <w:adjustRightInd w:val="0"/>
        <w:snapToGrid w:val="0"/>
        <w:spacing w:line="360" w:lineRule="auto"/>
        <w:ind w:firstLine="480" w:firstLineChars="200"/>
        <w:rPr>
          <w:sz w:val="24"/>
          <w:highlight w:val="none"/>
          <w:u w:val="single"/>
        </w:rPr>
      </w:pPr>
      <w:r>
        <w:rPr>
          <w:sz w:val="24"/>
          <w:highlight w:val="none"/>
          <w:u w:val="single"/>
        </w:rPr>
        <w:t>（3）2023年6月，采购人</w:t>
      </w:r>
      <w:r>
        <w:rPr>
          <w:rFonts w:hint="eastAsia"/>
          <w:sz w:val="24"/>
          <w:highlight w:val="none"/>
          <w:u w:val="single"/>
        </w:rPr>
        <w:t>浙江省宁波生态环境监测中心</w:t>
      </w:r>
      <w:r>
        <w:rPr>
          <w:sz w:val="24"/>
          <w:highlight w:val="none"/>
          <w:u w:val="single"/>
        </w:rPr>
        <w:t>，公开招标，</w:t>
      </w:r>
      <w:r>
        <w:rPr>
          <w:rFonts w:hint="eastAsia"/>
          <w:sz w:val="24"/>
          <w:highlight w:val="none"/>
          <w:u w:val="single"/>
        </w:rPr>
        <w:t>碳监测数据反演应用项目</w:t>
      </w:r>
      <w:r>
        <w:rPr>
          <w:sz w:val="24"/>
          <w:highlight w:val="none"/>
          <w:u w:val="single"/>
        </w:rPr>
        <w:t>，主要</w:t>
      </w:r>
      <w:r>
        <w:rPr>
          <w:rFonts w:hint="eastAsia"/>
          <w:sz w:val="24"/>
          <w:highlight w:val="none"/>
          <w:u w:val="single"/>
        </w:rPr>
        <w:t>采购内容</w:t>
      </w:r>
      <w:r>
        <w:rPr>
          <w:sz w:val="24"/>
          <w:highlight w:val="none"/>
          <w:u w:val="single"/>
        </w:rPr>
        <w:t>包括</w:t>
      </w:r>
      <w:r>
        <w:rPr>
          <w:rFonts w:hint="eastAsia"/>
          <w:sz w:val="24"/>
          <w:highlight w:val="none"/>
          <w:u w:val="single"/>
        </w:rPr>
        <w:t>卫星与高精度温室气体监测数据集成、应用，高精度碳排放源清单网格化反演应用，重点污染源碳排放反演应用，碳源(汇)同化反演及通量核算产品应用，碳同位素反演应用及分析和宁波市碳监测试点综合应用与评估，</w:t>
      </w:r>
      <w:r>
        <w:rPr>
          <w:sz w:val="24"/>
          <w:highlight w:val="none"/>
          <w:u w:val="single"/>
        </w:rPr>
        <w:t>供应商</w:t>
      </w:r>
      <w:r>
        <w:rPr>
          <w:rFonts w:hint="eastAsia"/>
          <w:sz w:val="24"/>
          <w:highlight w:val="none"/>
          <w:u w:val="single"/>
        </w:rPr>
        <w:t>南京创蓝科技有限公司</w:t>
      </w:r>
      <w:r>
        <w:rPr>
          <w:sz w:val="24"/>
          <w:highlight w:val="none"/>
          <w:u w:val="single"/>
        </w:rPr>
        <w:t>，合同金额</w:t>
      </w:r>
      <w:r>
        <w:rPr>
          <w:rFonts w:hint="eastAsia"/>
          <w:sz w:val="24"/>
          <w:highlight w:val="none"/>
          <w:u w:val="single"/>
        </w:rPr>
        <w:t>2286000</w:t>
      </w:r>
      <w:r>
        <w:rPr>
          <w:sz w:val="24"/>
          <w:highlight w:val="none"/>
          <w:u w:val="single"/>
        </w:rPr>
        <w:t>元。</w:t>
      </w:r>
    </w:p>
    <w:p w14:paraId="12EF6B73">
      <w:pPr>
        <w:spacing w:line="360" w:lineRule="auto"/>
        <w:ind w:firstLine="420"/>
        <w:jc w:val="left"/>
        <w:rPr>
          <w:rFonts w:hint="eastAsia" w:asciiTheme="minorEastAsia" w:hAnsiTheme="minorEastAsia" w:eastAsiaTheme="minorEastAsia" w:cstheme="minorEastAsia"/>
          <w:sz w:val="24"/>
          <w:highlight w:val="none"/>
          <w:u w:val="single"/>
        </w:rPr>
      </w:pPr>
      <w:r>
        <w:rPr>
          <w:sz w:val="24"/>
          <w:highlight w:val="none"/>
          <w:u w:val="single"/>
        </w:rPr>
        <w:t>（</w:t>
      </w:r>
      <w:r>
        <w:rPr>
          <w:rFonts w:hint="eastAsia"/>
          <w:sz w:val="24"/>
          <w:highlight w:val="none"/>
          <w:u w:val="single"/>
        </w:rPr>
        <w:t>4</w:t>
      </w:r>
      <w:r>
        <w:rPr>
          <w:sz w:val="24"/>
          <w:highlight w:val="none"/>
          <w:u w:val="single"/>
        </w:rPr>
        <w:t>）202</w:t>
      </w:r>
      <w:r>
        <w:rPr>
          <w:rFonts w:hint="eastAsia"/>
          <w:sz w:val="24"/>
          <w:highlight w:val="none"/>
          <w:u w:val="single"/>
        </w:rPr>
        <w:t>3</w:t>
      </w:r>
      <w:r>
        <w:rPr>
          <w:sz w:val="24"/>
          <w:highlight w:val="none"/>
          <w:u w:val="single"/>
        </w:rPr>
        <w:t>年</w:t>
      </w:r>
      <w:r>
        <w:rPr>
          <w:rFonts w:hint="eastAsia"/>
          <w:sz w:val="24"/>
          <w:highlight w:val="none"/>
          <w:u w:val="single"/>
        </w:rPr>
        <w:t>12</w:t>
      </w:r>
      <w:r>
        <w:rPr>
          <w:sz w:val="24"/>
          <w:highlight w:val="none"/>
          <w:u w:val="single"/>
        </w:rPr>
        <w:t>月，采购人</w:t>
      </w:r>
      <w:r>
        <w:rPr>
          <w:rFonts w:hint="eastAsia"/>
          <w:sz w:val="24"/>
          <w:highlight w:val="none"/>
          <w:u w:val="single"/>
        </w:rPr>
        <w:t>郑州市生态环境局</w:t>
      </w:r>
      <w:r>
        <w:rPr>
          <w:sz w:val="24"/>
          <w:highlight w:val="none"/>
          <w:u w:val="single"/>
        </w:rPr>
        <w:t>，公开招标，</w:t>
      </w:r>
      <w:r>
        <w:rPr>
          <w:rFonts w:hint="eastAsia"/>
          <w:sz w:val="24"/>
          <w:highlight w:val="none"/>
          <w:u w:val="single"/>
        </w:rPr>
        <w:t>郑州市生态环境局郑州市城市大气温室气体综合监测评估项目</w:t>
      </w:r>
      <w:r>
        <w:rPr>
          <w:sz w:val="24"/>
          <w:highlight w:val="none"/>
          <w:u w:val="single"/>
        </w:rPr>
        <w:t>，</w:t>
      </w:r>
      <w:r>
        <w:rPr>
          <w:rFonts w:hint="eastAsia"/>
          <w:sz w:val="24"/>
          <w:highlight w:val="none"/>
          <w:u w:val="single"/>
        </w:rPr>
        <w:t>主要采购内容</w:t>
      </w:r>
      <w:r>
        <w:rPr>
          <w:sz w:val="24"/>
          <w:highlight w:val="none"/>
          <w:u w:val="single"/>
        </w:rPr>
        <w:t>包括</w:t>
      </w:r>
      <w:r>
        <w:rPr>
          <w:rFonts w:hint="eastAsia"/>
          <w:sz w:val="24"/>
          <w:highlight w:val="none"/>
          <w:u w:val="single"/>
        </w:rPr>
        <w:t>构建碳同化反演模式系统和建设碳监测综合管理平台</w:t>
      </w:r>
      <w:r>
        <w:rPr>
          <w:sz w:val="24"/>
          <w:highlight w:val="none"/>
          <w:u w:val="single"/>
        </w:rPr>
        <w:t>，供应商</w:t>
      </w:r>
      <w:r>
        <w:rPr>
          <w:rFonts w:hint="eastAsia"/>
          <w:sz w:val="24"/>
          <w:highlight w:val="none"/>
          <w:u w:val="single"/>
        </w:rPr>
        <w:t>雪城数智科技（河南）有限公司</w:t>
      </w:r>
      <w:r>
        <w:rPr>
          <w:sz w:val="24"/>
          <w:highlight w:val="none"/>
          <w:u w:val="single"/>
        </w:rPr>
        <w:t>，合同金额</w:t>
      </w:r>
      <w:r>
        <w:rPr>
          <w:rFonts w:hint="eastAsia"/>
          <w:sz w:val="24"/>
          <w:highlight w:val="none"/>
          <w:u w:val="single"/>
        </w:rPr>
        <w:t>3379000</w:t>
      </w:r>
      <w:r>
        <w:rPr>
          <w:sz w:val="24"/>
          <w:highlight w:val="none"/>
          <w:u w:val="single"/>
        </w:rPr>
        <w:t>元。</w:t>
      </w:r>
    </w:p>
    <w:p w14:paraId="05F9D513">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4.可能涉及的运行维护、升级更新、备品备件、耗材等后续采购情况</w:t>
      </w:r>
    </w:p>
    <w:p w14:paraId="5C6FF984">
      <w:pPr>
        <w:spacing w:line="360" w:lineRule="auto"/>
        <w:ind w:firstLine="420"/>
        <w:jc w:val="left"/>
        <w:rPr>
          <w:sz w:val="24"/>
          <w:highlight w:val="none"/>
          <w:u w:val="single"/>
        </w:rPr>
      </w:pPr>
      <w:r>
        <w:rPr>
          <w:rFonts w:hint="eastAsia"/>
          <w:sz w:val="24"/>
          <w:highlight w:val="none"/>
          <w:u w:val="single"/>
        </w:rPr>
        <w:t>标项一：</w:t>
      </w:r>
      <w:r>
        <w:rPr>
          <w:rFonts w:hint="eastAsia" w:ascii="宋体" w:hAnsi="宋体" w:cs="宋体"/>
          <w:sz w:val="24"/>
          <w:highlight w:val="none"/>
          <w:u w:val="single"/>
        </w:rPr>
        <w:t>杭州市温室气体监测系统运维项目</w:t>
      </w:r>
    </w:p>
    <w:p w14:paraId="4EC41EF5">
      <w:pPr>
        <w:spacing w:line="360" w:lineRule="auto"/>
        <w:ind w:firstLine="420"/>
        <w:jc w:val="left"/>
        <w:rPr>
          <w:rFonts w:hint="eastAsia" w:asciiTheme="minorEastAsia" w:hAnsiTheme="minorEastAsia" w:eastAsiaTheme="minorEastAsia" w:cstheme="minorEastAsia"/>
          <w:sz w:val="24"/>
          <w:highlight w:val="none"/>
          <w:u w:val="single"/>
        </w:rPr>
      </w:pPr>
      <w:r>
        <w:rPr>
          <w:sz w:val="24"/>
          <w:highlight w:val="none"/>
          <w:u w:val="single"/>
        </w:rPr>
        <w:t>在服务期内，仪器故障由投标人负责修复，所有服务及配件费用包含在合同总价中。</w:t>
      </w:r>
    </w:p>
    <w:p w14:paraId="54E48D52">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5.其他相关情况</w:t>
      </w:r>
    </w:p>
    <w:p w14:paraId="5F0E6757">
      <w:pPr>
        <w:adjustRightInd w:val="0"/>
        <w:snapToGrid w:val="0"/>
        <w:spacing w:line="360" w:lineRule="auto"/>
        <w:ind w:firstLine="480" w:firstLineChars="200"/>
        <w:rPr>
          <w:sz w:val="24"/>
          <w:highlight w:val="none"/>
          <w:u w:val="single"/>
        </w:rPr>
      </w:pPr>
      <w:r>
        <w:rPr>
          <w:sz w:val="24"/>
          <w:highlight w:val="none"/>
          <w:u w:val="single"/>
        </w:rPr>
        <w:t>无。</w:t>
      </w:r>
    </w:p>
    <w:p w14:paraId="469F6BAB">
      <w:pPr>
        <w:spacing w:before="312" w:beforeLines="100" w:line="360" w:lineRule="auto"/>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二、采购需求内容</w:t>
      </w:r>
    </w:p>
    <w:p w14:paraId="6CF24AA5">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（一）项目概况</w:t>
      </w:r>
    </w:p>
    <w:p w14:paraId="26269FBE">
      <w:pPr>
        <w:tabs>
          <w:tab w:val="center" w:pos="4139"/>
        </w:tabs>
        <w:adjustRightInd w:val="0"/>
        <w:snapToGrid w:val="0"/>
        <w:spacing w:line="360" w:lineRule="auto"/>
        <w:ind w:firstLine="480" w:firstLineChars="200"/>
        <w:outlineLvl w:val="1"/>
        <w:rPr>
          <w:sz w:val="24"/>
          <w:highlight w:val="none"/>
          <w:u w:val="single"/>
        </w:rPr>
      </w:pPr>
      <w:r>
        <w:rPr>
          <w:rFonts w:hint="eastAsia"/>
          <w:sz w:val="24"/>
          <w:highlight w:val="none"/>
          <w:u w:val="single"/>
        </w:rPr>
        <w:t>2025年度杭州市温室气体监测系统运维及碳排放反演与通量核算项目，主要分2个标项，分别为：标项一：</w:t>
      </w:r>
      <w:r>
        <w:rPr>
          <w:rFonts w:hint="eastAsia" w:ascii="宋体" w:hAnsi="宋体" w:cs="宋体"/>
          <w:sz w:val="24"/>
          <w:highlight w:val="none"/>
          <w:u w:val="single"/>
        </w:rPr>
        <w:t>杭州市温室气体监测系统运维项目</w:t>
      </w:r>
      <w:r>
        <w:rPr>
          <w:rFonts w:hint="eastAsia"/>
          <w:sz w:val="24"/>
          <w:highlight w:val="none"/>
          <w:u w:val="single"/>
        </w:rPr>
        <w:t>，标项二：杭州市碳排放反演与通量核算项目。</w:t>
      </w:r>
    </w:p>
    <w:p w14:paraId="32CB02FB">
      <w:pPr>
        <w:tabs>
          <w:tab w:val="center" w:pos="4139"/>
        </w:tabs>
        <w:adjustRightInd w:val="0"/>
        <w:snapToGrid w:val="0"/>
        <w:spacing w:line="360" w:lineRule="auto"/>
        <w:ind w:firstLine="480" w:firstLineChars="200"/>
        <w:outlineLvl w:val="1"/>
        <w:rPr>
          <w:sz w:val="24"/>
          <w:highlight w:val="none"/>
          <w:u w:val="single"/>
        </w:rPr>
      </w:pPr>
      <w:r>
        <w:rPr>
          <w:rFonts w:hint="eastAsia"/>
          <w:sz w:val="24"/>
          <w:highlight w:val="none"/>
          <w:u w:val="single"/>
        </w:rPr>
        <w:t>标项一：</w:t>
      </w:r>
      <w:bookmarkStart w:id="4" w:name="_Hlk201137759"/>
      <w:r>
        <w:rPr>
          <w:rFonts w:hint="eastAsia" w:ascii="宋体" w:hAnsi="宋体" w:cs="宋体"/>
          <w:sz w:val="24"/>
          <w:highlight w:val="none"/>
          <w:u w:val="single"/>
        </w:rPr>
        <w:t>杭州市温室气体监测系统运维项目</w:t>
      </w:r>
      <w:bookmarkEnd w:id="4"/>
      <w:r>
        <w:rPr>
          <w:rFonts w:hint="eastAsia"/>
          <w:sz w:val="24"/>
          <w:highlight w:val="none"/>
          <w:u w:val="single"/>
        </w:rPr>
        <w:t>，</w:t>
      </w:r>
      <w:r>
        <w:rPr>
          <w:sz w:val="24"/>
          <w:highlight w:val="none"/>
          <w:u w:val="single"/>
        </w:rPr>
        <w:t>运维服务范围包括：</w:t>
      </w:r>
      <w:bookmarkStart w:id="5" w:name="OLE_LINK4"/>
      <w:r>
        <w:rPr>
          <w:sz w:val="24"/>
          <w:highlight w:val="none"/>
          <w:u w:val="single"/>
        </w:rPr>
        <w:t>承担6个高精度温室气体监测站点和1个碳汇监测站点所有监测仪器、气象仪器、质控设备、数据采集与传输设备、辅助设备等基础设施的日常维护工作，承担环境管理、站房巡检管理、站房维护维修、系统运行管理、质量控制、仪器维修和数据审核等工作，承担由此产生的</w:t>
      </w:r>
      <w:r>
        <w:rPr>
          <w:rFonts w:hint="eastAsia"/>
          <w:sz w:val="24"/>
          <w:highlight w:val="none"/>
          <w:u w:val="single"/>
        </w:rPr>
        <w:t>运维期内</w:t>
      </w:r>
      <w:r>
        <w:rPr>
          <w:sz w:val="24"/>
          <w:highlight w:val="none"/>
          <w:u w:val="single"/>
        </w:rPr>
        <w:t>耗材、标气、人工、水电、网络、站房租用、铁塔挂塔费用及其安全相关、设备维修维护所需配件、工具、车辆等费用，</w:t>
      </w:r>
      <w:r>
        <w:rPr>
          <w:rFonts w:hint="eastAsia"/>
          <w:sz w:val="24"/>
          <w:highlight w:val="none"/>
          <w:u w:val="single"/>
        </w:rPr>
        <w:t>并完成碳通量数据分析；</w:t>
      </w:r>
      <w:r>
        <w:rPr>
          <w:sz w:val="24"/>
          <w:highlight w:val="none"/>
          <w:u w:val="single"/>
        </w:rPr>
        <w:t>项目含</w:t>
      </w:r>
      <w:r>
        <w:rPr>
          <w:rFonts w:hint="eastAsia"/>
          <w:sz w:val="24"/>
          <w:highlight w:val="none"/>
          <w:u w:val="single"/>
        </w:rPr>
        <w:t>2025年1月1日至合同签定日内的</w:t>
      </w:r>
      <w:r>
        <w:rPr>
          <w:sz w:val="24"/>
          <w:highlight w:val="none"/>
          <w:u w:val="single"/>
        </w:rPr>
        <w:t>水电、网络、站房租用</w:t>
      </w:r>
      <w:r>
        <w:rPr>
          <w:rFonts w:hint="eastAsia"/>
          <w:sz w:val="24"/>
          <w:highlight w:val="none"/>
          <w:u w:val="single"/>
        </w:rPr>
        <w:t>(含</w:t>
      </w:r>
      <w:r>
        <w:rPr>
          <w:sz w:val="24"/>
          <w:highlight w:val="none"/>
          <w:u w:val="single"/>
        </w:rPr>
        <w:t>铁塔挂塔</w:t>
      </w:r>
      <w:r>
        <w:rPr>
          <w:rFonts w:hint="eastAsia"/>
          <w:sz w:val="24"/>
          <w:highlight w:val="none"/>
          <w:u w:val="single"/>
        </w:rPr>
        <w:t>成本)</w:t>
      </w:r>
      <w:r>
        <w:rPr>
          <w:sz w:val="24"/>
          <w:highlight w:val="none"/>
          <w:u w:val="single"/>
        </w:rPr>
        <w:t>、标气</w:t>
      </w:r>
      <w:r>
        <w:rPr>
          <w:rFonts w:hint="eastAsia"/>
          <w:sz w:val="24"/>
          <w:highlight w:val="none"/>
          <w:u w:val="single"/>
        </w:rPr>
        <w:t>等费用。</w:t>
      </w:r>
      <w:bookmarkEnd w:id="5"/>
    </w:p>
    <w:p w14:paraId="313E318C">
      <w:pPr>
        <w:tabs>
          <w:tab w:val="center" w:pos="4139"/>
        </w:tabs>
        <w:adjustRightInd w:val="0"/>
        <w:snapToGrid w:val="0"/>
        <w:spacing w:line="360" w:lineRule="auto"/>
        <w:ind w:firstLine="480" w:firstLineChars="200"/>
        <w:outlineLvl w:val="1"/>
        <w:rPr>
          <w:rFonts w:hint="eastAsia" w:asciiTheme="minorEastAsia" w:hAnsiTheme="minorEastAsia" w:eastAsiaTheme="minorEastAsia" w:cstheme="minorEastAsia"/>
          <w:sz w:val="24"/>
          <w:highlight w:val="none"/>
          <w:u w:val="single"/>
        </w:rPr>
      </w:pPr>
      <w:bookmarkStart w:id="6" w:name="OLE_LINK2"/>
      <w:r>
        <w:rPr>
          <w:rFonts w:hint="eastAsia"/>
          <w:sz w:val="24"/>
          <w:highlight w:val="none"/>
          <w:u w:val="single"/>
        </w:rPr>
        <w:t>标项二：杭州市碳排放反演与通量核算项目</w:t>
      </w:r>
      <w:bookmarkEnd w:id="6"/>
      <w:r>
        <w:rPr>
          <w:rFonts w:hint="eastAsia"/>
          <w:sz w:val="24"/>
          <w:highlight w:val="none"/>
          <w:u w:val="single"/>
        </w:rPr>
        <w:t>，根据生态环境部下发的《碳监测评估试点工作方案》、《深化碳监测评估试点工作方案》等文件的要求，利用二氧化碳和甲烷观测数据，分析区域碳浓度分布和传输特征，结合温室气体同化反演核算方法，开展碳同化反演分析工作。主要针对杭州市CO</w:t>
      </w:r>
      <w:r>
        <w:rPr>
          <w:rFonts w:hint="eastAsia"/>
          <w:sz w:val="24"/>
          <w:highlight w:val="none"/>
          <w:u w:val="single"/>
          <w:vertAlign w:val="subscript"/>
        </w:rPr>
        <w:t>2</w:t>
      </w:r>
      <w:r>
        <w:rPr>
          <w:rFonts w:hint="eastAsia"/>
          <w:sz w:val="24"/>
          <w:highlight w:val="none"/>
          <w:u w:val="single"/>
        </w:rPr>
        <w:t>、CH</w:t>
      </w:r>
      <w:r>
        <w:rPr>
          <w:rFonts w:hint="eastAsia"/>
          <w:sz w:val="24"/>
          <w:highlight w:val="none"/>
          <w:u w:val="single"/>
          <w:vertAlign w:val="subscript"/>
        </w:rPr>
        <w:t>4</w:t>
      </w:r>
      <w:r>
        <w:rPr>
          <w:rFonts w:hint="eastAsia"/>
          <w:sz w:val="24"/>
          <w:highlight w:val="none"/>
          <w:u w:val="single"/>
        </w:rPr>
        <w:t>监测数据分析及排放反演评估服务。</w:t>
      </w:r>
    </w:p>
    <w:p w14:paraId="39FFA3F2">
      <w:pPr>
        <w:spacing w:line="360" w:lineRule="auto"/>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（二）预算金额（元）：1220000.00</w:t>
      </w:r>
    </w:p>
    <w:p w14:paraId="1F415DD2">
      <w:pPr>
        <w:spacing w:line="360" w:lineRule="auto"/>
        <w:ind w:firstLine="720" w:firstLineChars="3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标项一：910000.00；标项二：310000.00</w:t>
      </w:r>
    </w:p>
    <w:p w14:paraId="29B91223">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（三）需满足的政府采购政策目标和具体支持对象</w:t>
      </w:r>
    </w:p>
    <w:p w14:paraId="3BF9A22E">
      <w:pPr>
        <w:spacing w:line="360" w:lineRule="auto"/>
        <w:ind w:firstLine="720" w:firstLineChars="3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 xml:space="preserve"> 扶持中小企业        </w:t>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 xml:space="preserve">节能环保      </w:t>
      </w: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其他</w:t>
      </w:r>
      <w:r>
        <w:rPr>
          <w:rFonts w:asciiTheme="minorEastAsia" w:hAnsiTheme="minorEastAsia" w:eastAsiaTheme="minorEastAsia" w:cstheme="minorEastAsia"/>
          <w:sz w:val="24"/>
          <w:highlight w:val="none"/>
        </w:rPr>
        <w:t>：不专门面向中小企业</w:t>
      </w:r>
    </w:p>
    <w:p w14:paraId="72CF93E7">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（四）采购标的是否进口产品： </w:t>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 xml:space="preserve">进口          </w:t>
      </w: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国产</w:t>
      </w:r>
    </w:p>
    <w:p w14:paraId="2069F2EA">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（五）拟采购标的的技术要求</w:t>
      </w:r>
    </w:p>
    <w:p w14:paraId="1B98C75D">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拟采购标的（1）</w:t>
      </w:r>
    </w:p>
    <w:tbl>
      <w:tblPr>
        <w:tblStyle w:val="15"/>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0FA5875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4F24F1C8">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标的内容</w:t>
            </w:r>
          </w:p>
        </w:tc>
        <w:tc>
          <w:tcPr>
            <w:tcW w:w="6804" w:type="dxa"/>
            <w:gridSpan w:val="3"/>
            <w:shd w:val="clear" w:color="auto" w:fill="auto"/>
            <w:vAlign w:val="center"/>
          </w:tcPr>
          <w:p w14:paraId="575C6BEF">
            <w:pPr>
              <w:spacing w:line="360" w:lineRule="auto"/>
              <w:jc w:val="center"/>
              <w:rPr>
                <w:rFonts w:hint="eastAsia" w:asciiTheme="minorEastAsia" w:hAnsiTheme="minorEastAsia" w:eastAsiaTheme="minorEastAsia" w:cstheme="minorEastAsia"/>
                <w:sz w:val="24"/>
                <w:highlight w:val="none"/>
              </w:rPr>
            </w:pPr>
            <w:r>
              <w:rPr>
                <w:rFonts w:hint="eastAsia" w:ascii="宋体" w:hAnsi="宋体" w:cs="宋体"/>
                <w:sz w:val="24"/>
                <w:highlight w:val="none"/>
              </w:rPr>
              <w:t>杭州市温室气体监测系统运维项目</w:t>
            </w:r>
          </w:p>
        </w:tc>
      </w:tr>
      <w:tr w14:paraId="61DF3C4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5C45F470">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数量</w:t>
            </w:r>
          </w:p>
        </w:tc>
        <w:tc>
          <w:tcPr>
            <w:tcW w:w="2409" w:type="dxa"/>
            <w:shd w:val="clear" w:color="auto" w:fill="auto"/>
            <w:vAlign w:val="center"/>
          </w:tcPr>
          <w:p w14:paraId="02BF52BE">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360" w:type="dxa"/>
            <w:shd w:val="clear" w:color="auto" w:fill="auto"/>
            <w:vAlign w:val="center"/>
          </w:tcPr>
          <w:p w14:paraId="00D605A4">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单位</w:t>
            </w:r>
          </w:p>
        </w:tc>
        <w:tc>
          <w:tcPr>
            <w:tcW w:w="3035" w:type="dxa"/>
            <w:shd w:val="clear" w:color="auto" w:fill="auto"/>
            <w:vAlign w:val="center"/>
          </w:tcPr>
          <w:p w14:paraId="2DA3040D">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w:t>
            </w:r>
          </w:p>
        </w:tc>
      </w:tr>
      <w:tr w14:paraId="605457A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4C1893D9">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功能和质量</w:t>
            </w:r>
          </w:p>
          <w:p w14:paraId="65ECCD63">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要求</w:t>
            </w:r>
          </w:p>
        </w:tc>
        <w:tc>
          <w:tcPr>
            <w:tcW w:w="6804" w:type="dxa"/>
            <w:gridSpan w:val="3"/>
            <w:shd w:val="clear" w:color="auto" w:fill="auto"/>
          </w:tcPr>
          <w:p w14:paraId="48903BD6">
            <w:pPr>
              <w:tabs>
                <w:tab w:val="center" w:pos="4139"/>
              </w:tabs>
              <w:adjustRightInd w:val="0"/>
              <w:snapToGrid w:val="0"/>
              <w:spacing w:line="360" w:lineRule="auto"/>
              <w:ind w:firstLine="480" w:firstLineChars="200"/>
              <w:jc w:val="left"/>
              <w:outlineLvl w:val="1"/>
              <w:rPr>
                <w:rFonts w:hint="eastAsia" w:asciiTheme="minorEastAsia" w:hAnsiTheme="minorEastAsia" w:eastAsiaTheme="minorEastAsia" w:cstheme="minorEastAsia"/>
                <w:sz w:val="24"/>
                <w:highlight w:val="none"/>
              </w:rPr>
            </w:pPr>
            <w:r>
              <w:rPr>
                <w:rFonts w:hint="eastAsia"/>
                <w:sz w:val="24"/>
                <w:highlight w:val="none"/>
              </w:rPr>
              <w:t>本项目采购的服务包括6个高精度温室气体监测站点和1个碳汇监测站点所有监测仪器、气象仪器、质控设备、数据采集与传输设备、辅助设备等基础设施的日常维护工作，承担环境管理、站房巡检管理、站房维护维修、系统运行管理、质量控制、仪器维修和数据审核等工作，承担由此产生的耗材、标气、人工、水电、网络、站房租用、铁塔挂塔费用及其安全相关、设备维修维护所需配件、工具、车辆等费用，并完成碳通量数据分析。项目含2025年1月1日至合同签定日内的电、网络、站房租用</w:t>
            </w:r>
            <w:r>
              <w:rPr>
                <w:rFonts w:hint="eastAsia"/>
                <w:sz w:val="24"/>
                <w:highlight w:val="none"/>
                <w:lang w:eastAsia="zh-CN"/>
              </w:rPr>
              <w:t>（</w:t>
            </w:r>
            <w:r>
              <w:rPr>
                <w:rFonts w:hint="eastAsia"/>
                <w:sz w:val="24"/>
                <w:highlight w:val="none"/>
              </w:rPr>
              <w:t>含铁塔挂塔成本</w:t>
            </w:r>
            <w:r>
              <w:rPr>
                <w:rFonts w:hint="eastAsia"/>
                <w:sz w:val="24"/>
                <w:highlight w:val="none"/>
                <w:lang w:eastAsia="zh-CN"/>
              </w:rPr>
              <w:t>）</w:t>
            </w:r>
            <w:r>
              <w:rPr>
                <w:rFonts w:hint="eastAsia"/>
                <w:sz w:val="24"/>
                <w:highlight w:val="none"/>
              </w:rPr>
              <w:t>、标气费用。</w:t>
            </w:r>
          </w:p>
        </w:tc>
      </w:tr>
    </w:tbl>
    <w:p w14:paraId="1EB3BCD9">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拟采购标的（2）</w:t>
      </w:r>
    </w:p>
    <w:tbl>
      <w:tblPr>
        <w:tblStyle w:val="15"/>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484366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70608B20">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标的内容</w:t>
            </w:r>
          </w:p>
        </w:tc>
        <w:tc>
          <w:tcPr>
            <w:tcW w:w="6804" w:type="dxa"/>
            <w:gridSpan w:val="3"/>
            <w:shd w:val="clear" w:color="auto" w:fill="auto"/>
            <w:vAlign w:val="center"/>
          </w:tcPr>
          <w:p w14:paraId="42C6309A">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杭州市碳排放反演与通量核算项目</w:t>
            </w:r>
          </w:p>
        </w:tc>
      </w:tr>
      <w:tr w14:paraId="202823C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5CADEB77">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数量</w:t>
            </w:r>
          </w:p>
        </w:tc>
        <w:tc>
          <w:tcPr>
            <w:tcW w:w="2409" w:type="dxa"/>
            <w:shd w:val="clear" w:color="auto" w:fill="auto"/>
            <w:vAlign w:val="center"/>
          </w:tcPr>
          <w:p w14:paraId="172F14AA">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360" w:type="dxa"/>
            <w:shd w:val="clear" w:color="auto" w:fill="auto"/>
            <w:vAlign w:val="center"/>
          </w:tcPr>
          <w:p w14:paraId="04388ED6">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单位</w:t>
            </w:r>
          </w:p>
        </w:tc>
        <w:tc>
          <w:tcPr>
            <w:tcW w:w="3035" w:type="dxa"/>
            <w:shd w:val="clear" w:color="auto" w:fill="auto"/>
            <w:vAlign w:val="center"/>
          </w:tcPr>
          <w:p w14:paraId="08CC4964">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w:t>
            </w:r>
          </w:p>
        </w:tc>
      </w:tr>
      <w:tr w14:paraId="7E87541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3EF211DD">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功能和质量</w:t>
            </w:r>
          </w:p>
          <w:p w14:paraId="67A4336F">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要求</w:t>
            </w:r>
          </w:p>
        </w:tc>
        <w:tc>
          <w:tcPr>
            <w:tcW w:w="6804" w:type="dxa"/>
            <w:gridSpan w:val="3"/>
            <w:shd w:val="clear" w:color="auto" w:fill="auto"/>
          </w:tcPr>
          <w:p w14:paraId="21561599">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sz w:val="24"/>
                <w:highlight w:val="none"/>
              </w:rPr>
              <w:t>委托第三方对杭州市高精度地面温室气体观测数据进行分析，并基于全球及区域同化算法、数值模型等手段，定期开展杭州市温室气体（CO</w:t>
            </w:r>
            <w:r>
              <w:rPr>
                <w:rFonts w:hint="eastAsia"/>
                <w:sz w:val="24"/>
                <w:highlight w:val="none"/>
                <w:vertAlign w:val="subscript"/>
              </w:rPr>
              <w:t>2</w:t>
            </w:r>
            <w:r>
              <w:rPr>
                <w:rFonts w:hint="eastAsia"/>
                <w:sz w:val="24"/>
                <w:highlight w:val="none"/>
              </w:rPr>
              <w:t>、CH</w:t>
            </w:r>
            <w:r>
              <w:rPr>
                <w:rFonts w:hint="eastAsia"/>
                <w:sz w:val="24"/>
                <w:highlight w:val="none"/>
                <w:vertAlign w:val="subscript"/>
              </w:rPr>
              <w:t>4</w:t>
            </w:r>
            <w:r>
              <w:rPr>
                <w:rFonts w:hint="eastAsia"/>
                <w:sz w:val="24"/>
                <w:highlight w:val="none"/>
              </w:rPr>
              <w:t>）融合分析及同化反演评估工作，助力杭州市减污降碳工作。详见附件。</w:t>
            </w:r>
          </w:p>
        </w:tc>
      </w:tr>
    </w:tbl>
    <w:p w14:paraId="28B2CBF5">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（六）拟采购标的的商务要求</w:t>
      </w:r>
    </w:p>
    <w:p w14:paraId="6E472D60">
      <w:pPr>
        <w:spacing w:line="360" w:lineRule="auto"/>
        <w:ind w:left="210" w:left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1.交付（实施）的时间（期限）：</w:t>
      </w:r>
      <w:r>
        <w:rPr>
          <w:rFonts w:hint="eastAsia" w:asciiTheme="minorEastAsia" w:hAnsiTheme="minorEastAsia" w:eastAsiaTheme="minorEastAsia" w:cstheme="minorEastAsia"/>
          <w:sz w:val="24"/>
          <w:highlight w:val="none"/>
          <w:u w:val="single"/>
        </w:rPr>
        <w:t xml:space="preserve">  </w:t>
      </w:r>
      <w:bookmarkStart w:id="7" w:name="_Hlk201148646"/>
      <w:r>
        <w:rPr>
          <w:rFonts w:hint="eastAsia" w:asciiTheme="minorEastAsia" w:hAnsiTheme="minorEastAsia" w:eastAsiaTheme="minorEastAsia" w:cstheme="minorEastAsia"/>
          <w:sz w:val="24"/>
          <w:highlight w:val="none"/>
          <w:u w:val="single"/>
        </w:rPr>
        <w:t>标项一合同签订之日起后五个月</w:t>
      </w:r>
      <w:r>
        <w:rPr>
          <w:rFonts w:hint="eastAsia" w:asciiTheme="minorEastAsia" w:hAnsiTheme="minorEastAsia" w:eastAsiaTheme="minorEastAsia" w:cstheme="minorEastAsia"/>
          <w:sz w:val="24"/>
          <w:highlight w:val="none"/>
          <w:u w:val="single"/>
          <w:lang w:eastAsia="zh-CN"/>
        </w:rPr>
        <w:t>、</w:t>
      </w:r>
      <w:r>
        <w:rPr>
          <w:rFonts w:hint="eastAsia" w:asciiTheme="minorEastAsia" w:hAnsiTheme="minorEastAsia" w:eastAsiaTheme="minorEastAsia" w:cstheme="minorEastAsia"/>
          <w:sz w:val="24"/>
          <w:highlight w:val="none"/>
          <w:u w:val="single"/>
        </w:rPr>
        <w:t xml:space="preserve">标项二反演数据时间段为2025年1月-11月 </w:t>
      </w:r>
    </w:p>
    <w:bookmarkEnd w:id="7"/>
    <w:p w14:paraId="3BA49EA2">
      <w:pPr>
        <w:spacing w:line="360" w:lineRule="auto"/>
        <w:ind w:left="210" w:left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2.交付（实施）的地点（范围）：</w:t>
      </w:r>
      <w:r>
        <w:rPr>
          <w:rFonts w:hint="eastAsia" w:asciiTheme="minorEastAsia" w:hAnsiTheme="minorEastAsia" w:eastAsiaTheme="minorEastAsia" w:cstheme="minorEastAsia"/>
          <w:sz w:val="24"/>
          <w:highlight w:val="none"/>
          <w:u w:val="single"/>
        </w:rPr>
        <w:t xml:space="preserve">  标项一：</w:t>
      </w:r>
      <w:r>
        <w:rPr>
          <w:sz w:val="24"/>
          <w:highlight w:val="none"/>
          <w:u w:val="single"/>
        </w:rPr>
        <w:t>杭州各温室气体监测站点</w:t>
      </w:r>
      <w:r>
        <w:rPr>
          <w:rFonts w:hint="eastAsia" w:asciiTheme="minorEastAsia" w:hAnsiTheme="minorEastAsia" w:eastAsiaTheme="minorEastAsia" w:cstheme="minorEastAsia"/>
          <w:sz w:val="24"/>
          <w:highlight w:val="none"/>
          <w:u w:val="single"/>
        </w:rPr>
        <w:t>；标项二：</w:t>
      </w:r>
      <w:r>
        <w:rPr>
          <w:sz w:val="24"/>
          <w:highlight w:val="none"/>
          <w:u w:val="single"/>
        </w:rPr>
        <w:t>杭州市</w:t>
      </w:r>
    </w:p>
    <w:p w14:paraId="35666FEA">
      <w:pPr>
        <w:spacing w:line="360" w:lineRule="auto"/>
        <w:ind w:left="210" w:left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3.付款条件（进度和方式）</w:t>
      </w:r>
    </w:p>
    <w:p w14:paraId="35E02D4A">
      <w:pPr>
        <w:pStyle w:val="2"/>
        <w:ind w:firstLine="480" w:firstLineChars="200"/>
        <w:rPr>
          <w:rFonts w:eastAsiaTheme="minorEastAsia"/>
          <w:highlight w:val="none"/>
        </w:rPr>
      </w:pPr>
      <w:r>
        <w:rPr>
          <w:rFonts w:hint="eastAsia" w:asciiTheme="minorEastAsia" w:hAnsiTheme="minorEastAsia" w:eastAsiaTheme="minorEastAsia" w:cstheme="minorEastAsia"/>
          <w:sz w:val="24"/>
          <w:highlight w:val="none"/>
        </w:rPr>
        <w:t>标项一：</w:t>
      </w:r>
    </w:p>
    <w:tbl>
      <w:tblPr>
        <w:tblStyle w:val="15"/>
        <w:tblW w:w="8290" w:type="dxa"/>
        <w:tblInd w:w="25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45"/>
        <w:gridCol w:w="1673"/>
        <w:gridCol w:w="5472"/>
      </w:tblGrid>
      <w:tr w14:paraId="1C0F2F5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45" w:type="dxa"/>
            <w:vAlign w:val="center"/>
          </w:tcPr>
          <w:p w14:paraId="74363C15">
            <w:pPr>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1673" w:type="dxa"/>
            <w:vAlign w:val="center"/>
          </w:tcPr>
          <w:p w14:paraId="5FABE76A">
            <w:pPr>
              <w:spacing w:line="360" w:lineRule="auto"/>
              <w:jc w:val="center"/>
              <w:rPr>
                <w:rFonts w:hint="eastAsia" w:ascii="宋体" w:hAnsi="宋体" w:cs="宋体"/>
                <w:sz w:val="24"/>
                <w:highlight w:val="none"/>
              </w:rPr>
            </w:pPr>
            <w:r>
              <w:rPr>
                <w:rFonts w:hint="eastAsia" w:ascii="宋体" w:hAnsi="宋体" w:cs="宋体"/>
                <w:sz w:val="24"/>
                <w:highlight w:val="none"/>
              </w:rPr>
              <w:t>付款比例（%）</w:t>
            </w:r>
          </w:p>
        </w:tc>
        <w:tc>
          <w:tcPr>
            <w:tcW w:w="5472" w:type="dxa"/>
            <w:vAlign w:val="center"/>
          </w:tcPr>
          <w:p w14:paraId="60D9BC06">
            <w:pPr>
              <w:spacing w:line="360" w:lineRule="auto"/>
              <w:jc w:val="center"/>
              <w:rPr>
                <w:rFonts w:hint="eastAsia" w:ascii="宋体" w:hAnsi="宋体" w:cs="宋体"/>
                <w:sz w:val="24"/>
                <w:highlight w:val="none"/>
              </w:rPr>
            </w:pPr>
            <w:r>
              <w:rPr>
                <w:rFonts w:hint="eastAsia" w:ascii="宋体" w:hAnsi="宋体" w:cs="宋体"/>
                <w:sz w:val="24"/>
                <w:highlight w:val="none"/>
              </w:rPr>
              <w:t>付款方式</w:t>
            </w:r>
          </w:p>
        </w:tc>
      </w:tr>
      <w:tr w14:paraId="437F60A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45" w:type="dxa"/>
            <w:vAlign w:val="center"/>
          </w:tcPr>
          <w:p w14:paraId="0D96D094">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673" w:type="dxa"/>
            <w:vAlign w:val="center"/>
          </w:tcPr>
          <w:p w14:paraId="6DCC804D">
            <w:pPr>
              <w:spacing w:line="360" w:lineRule="auto"/>
              <w:jc w:val="center"/>
              <w:rPr>
                <w:rFonts w:hint="eastAsia" w:ascii="宋体" w:hAnsi="宋体" w:cs="宋体"/>
                <w:sz w:val="24"/>
                <w:highlight w:val="none"/>
              </w:rPr>
            </w:pPr>
            <w:r>
              <w:rPr>
                <w:rFonts w:ascii="宋体" w:hAnsi="宋体" w:cs="宋体"/>
                <w:sz w:val="24"/>
                <w:highlight w:val="none"/>
              </w:rPr>
              <w:t>50</w:t>
            </w:r>
          </w:p>
        </w:tc>
        <w:tc>
          <w:tcPr>
            <w:tcW w:w="5472" w:type="dxa"/>
            <w:vAlign w:val="center"/>
          </w:tcPr>
          <w:p w14:paraId="5962EF33">
            <w:pPr>
              <w:adjustRightInd w:val="0"/>
              <w:snapToGrid w:val="0"/>
              <w:spacing w:line="360" w:lineRule="exact"/>
              <w:jc w:val="center"/>
              <w:rPr>
                <w:rFonts w:hint="eastAsia" w:ascii="宋体" w:hAnsi="宋体" w:cs="宋体"/>
                <w:sz w:val="24"/>
                <w:highlight w:val="none"/>
              </w:rPr>
            </w:pPr>
            <w:r>
              <w:rPr>
                <w:rFonts w:hint="eastAsia" w:ascii="宋体" w:hAnsi="宋体" w:cs="宋体"/>
                <w:sz w:val="24"/>
                <w:highlight w:val="none"/>
              </w:rPr>
              <w:t>预付款，合同签订且财政资金到位后5个工作日内，转账</w:t>
            </w:r>
          </w:p>
        </w:tc>
      </w:tr>
      <w:tr w14:paraId="67EE2D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45" w:type="dxa"/>
            <w:vAlign w:val="center"/>
          </w:tcPr>
          <w:p w14:paraId="08ABBA71">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673" w:type="dxa"/>
            <w:vAlign w:val="center"/>
          </w:tcPr>
          <w:p w14:paraId="3F1C3760">
            <w:pPr>
              <w:jc w:val="center"/>
              <w:rPr>
                <w:rFonts w:hint="eastAsia" w:ascii="宋体" w:hAnsi="宋体" w:cs="宋体"/>
                <w:highlight w:val="none"/>
              </w:rPr>
            </w:pPr>
            <w:r>
              <w:rPr>
                <w:rFonts w:ascii="宋体" w:hAnsi="宋体" w:cs="宋体"/>
                <w:highlight w:val="none"/>
              </w:rPr>
              <w:t>50</w:t>
            </w:r>
          </w:p>
        </w:tc>
        <w:tc>
          <w:tcPr>
            <w:tcW w:w="5472" w:type="dxa"/>
            <w:vAlign w:val="center"/>
          </w:tcPr>
          <w:p w14:paraId="38852BCD">
            <w:pPr>
              <w:adjustRightInd w:val="0"/>
              <w:snapToGrid w:val="0"/>
              <w:spacing w:line="360" w:lineRule="exact"/>
              <w:jc w:val="center"/>
              <w:rPr>
                <w:rFonts w:hint="eastAsia" w:ascii="宋体" w:hAnsi="宋体" w:cs="宋体"/>
                <w:sz w:val="24"/>
                <w:highlight w:val="none"/>
              </w:rPr>
            </w:pPr>
            <w:r>
              <w:rPr>
                <w:rFonts w:hint="eastAsia"/>
                <w:sz w:val="24"/>
                <w:highlight w:val="none"/>
              </w:rPr>
              <w:t>项目考核合格后，支付尾款，转账</w:t>
            </w:r>
          </w:p>
        </w:tc>
      </w:tr>
    </w:tbl>
    <w:p w14:paraId="375CA1F1">
      <w:pPr>
        <w:pStyle w:val="4"/>
        <w:ind w:left="0" w:firstLine="480" w:firstLineChars="200"/>
        <w:rPr>
          <w:rFonts w:hint="eastAsia" w:asciiTheme="minorEastAsia" w:hAnsiTheme="minorEastAsia" w:eastAsiaTheme="minorEastAsia" w:cstheme="minorEastAsia"/>
          <w:b w:val="0"/>
          <w:bCs w:val="0"/>
          <w:highlight w:val="none"/>
          <w:lang w:val="en-US"/>
        </w:rPr>
      </w:pPr>
      <w:r>
        <w:rPr>
          <w:rFonts w:hint="eastAsia" w:asciiTheme="minorEastAsia" w:hAnsiTheme="minorEastAsia" w:eastAsiaTheme="minorEastAsia" w:cstheme="minorEastAsia"/>
          <w:b w:val="0"/>
          <w:bCs w:val="0"/>
          <w:highlight w:val="none"/>
          <w:lang w:val="en-US"/>
        </w:rPr>
        <w:t>标项二：</w:t>
      </w:r>
    </w:p>
    <w:tbl>
      <w:tblPr>
        <w:tblStyle w:val="15"/>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1711"/>
        <w:gridCol w:w="5427"/>
      </w:tblGrid>
      <w:tr w14:paraId="4249D08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14:paraId="77BD79EE">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1711" w:type="dxa"/>
            <w:shd w:val="clear" w:color="auto" w:fill="auto"/>
            <w:vAlign w:val="center"/>
          </w:tcPr>
          <w:p w14:paraId="3AFBA86E">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付款比例（%）</w:t>
            </w:r>
          </w:p>
        </w:tc>
        <w:tc>
          <w:tcPr>
            <w:tcW w:w="5427" w:type="dxa"/>
            <w:shd w:val="clear" w:color="auto" w:fill="auto"/>
            <w:vAlign w:val="center"/>
          </w:tcPr>
          <w:p w14:paraId="63795F4C">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付款方式</w:t>
            </w:r>
          </w:p>
        </w:tc>
      </w:tr>
      <w:tr w14:paraId="0BED91E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24D2D1A5">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711" w:type="dxa"/>
            <w:shd w:val="clear" w:color="auto" w:fill="auto"/>
            <w:vAlign w:val="center"/>
          </w:tcPr>
          <w:p w14:paraId="46C17CA9">
            <w:pPr>
              <w:spacing w:line="360" w:lineRule="auto"/>
              <w:jc w:val="center"/>
              <w:rPr>
                <w:rFonts w:hint="eastAsia" w:asciiTheme="minorEastAsia" w:hAnsiTheme="minorEastAsia" w:eastAsiaTheme="minorEastAsia" w:cstheme="minorEastAsia"/>
                <w:sz w:val="24"/>
                <w:highlight w:val="none"/>
              </w:rPr>
            </w:pPr>
            <w:r>
              <w:rPr>
                <w:rFonts w:hint="eastAsia"/>
                <w:sz w:val="24"/>
                <w:highlight w:val="none"/>
              </w:rPr>
              <w:t>50</w:t>
            </w:r>
          </w:p>
        </w:tc>
        <w:tc>
          <w:tcPr>
            <w:tcW w:w="5427" w:type="dxa"/>
            <w:shd w:val="clear" w:color="auto" w:fill="auto"/>
            <w:vAlign w:val="center"/>
          </w:tcPr>
          <w:p w14:paraId="07D83172">
            <w:pPr>
              <w:spacing w:line="360" w:lineRule="auto"/>
              <w:jc w:val="center"/>
              <w:rPr>
                <w:rFonts w:hint="eastAsia" w:asciiTheme="minorEastAsia" w:hAnsiTheme="minorEastAsia" w:eastAsiaTheme="minorEastAsia" w:cstheme="minorEastAsia"/>
                <w:sz w:val="24"/>
                <w:highlight w:val="none"/>
              </w:rPr>
            </w:pPr>
            <w:r>
              <w:rPr>
                <w:rFonts w:hint="eastAsia"/>
                <w:sz w:val="24"/>
                <w:highlight w:val="none"/>
              </w:rPr>
              <w:t>预付款，合同签订</w:t>
            </w:r>
            <w:r>
              <w:rPr>
                <w:rFonts w:hint="eastAsia" w:ascii="宋体" w:hAnsi="宋体" w:cs="宋体"/>
                <w:sz w:val="24"/>
                <w:highlight w:val="none"/>
              </w:rPr>
              <w:t>且财政资金到位</w:t>
            </w:r>
            <w:r>
              <w:rPr>
                <w:rFonts w:hint="eastAsia"/>
                <w:sz w:val="24"/>
                <w:highlight w:val="none"/>
              </w:rPr>
              <w:t>后5个工作日内，转账</w:t>
            </w:r>
          </w:p>
        </w:tc>
      </w:tr>
      <w:tr w14:paraId="23CDD3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3403C45B">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711" w:type="dxa"/>
            <w:shd w:val="clear" w:color="auto" w:fill="auto"/>
            <w:vAlign w:val="center"/>
          </w:tcPr>
          <w:p w14:paraId="0F90A4B0">
            <w:pPr>
              <w:spacing w:line="360" w:lineRule="auto"/>
              <w:jc w:val="center"/>
              <w:rPr>
                <w:rFonts w:hint="eastAsia" w:asciiTheme="minorEastAsia" w:hAnsiTheme="minorEastAsia" w:eastAsiaTheme="minorEastAsia" w:cstheme="minorEastAsia"/>
                <w:sz w:val="24"/>
                <w:highlight w:val="none"/>
              </w:rPr>
            </w:pPr>
            <w:r>
              <w:rPr>
                <w:rFonts w:hint="eastAsia"/>
                <w:sz w:val="24"/>
                <w:highlight w:val="none"/>
              </w:rPr>
              <w:t>50</w:t>
            </w:r>
          </w:p>
        </w:tc>
        <w:tc>
          <w:tcPr>
            <w:tcW w:w="5427" w:type="dxa"/>
            <w:shd w:val="clear" w:color="auto" w:fill="auto"/>
            <w:vAlign w:val="center"/>
          </w:tcPr>
          <w:p w14:paraId="3B0AAE4F">
            <w:pPr>
              <w:spacing w:line="360" w:lineRule="auto"/>
              <w:jc w:val="center"/>
              <w:rPr>
                <w:rFonts w:hint="eastAsia" w:asciiTheme="minorEastAsia" w:hAnsiTheme="minorEastAsia" w:eastAsiaTheme="minorEastAsia" w:cstheme="minorEastAsia"/>
                <w:sz w:val="24"/>
                <w:highlight w:val="none"/>
              </w:rPr>
            </w:pPr>
            <w:r>
              <w:rPr>
                <w:rFonts w:hint="eastAsia"/>
                <w:sz w:val="24"/>
                <w:highlight w:val="none"/>
              </w:rPr>
              <w:t>项目考核合格后，支付尾款，转账</w:t>
            </w:r>
          </w:p>
        </w:tc>
      </w:tr>
    </w:tbl>
    <w:p w14:paraId="2A2F4F0B">
      <w:pPr>
        <w:spacing w:line="360" w:lineRule="auto"/>
        <w:ind w:left="210" w:left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4.售后服务要求</w:t>
      </w:r>
    </w:p>
    <w:p w14:paraId="73F82352">
      <w:pPr>
        <w:spacing w:line="360" w:lineRule="auto"/>
        <w:ind w:firstLine="480" w:firstLineChars="20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 xml:space="preserve"> </w:t>
      </w:r>
      <w:r>
        <w:rPr>
          <w:sz w:val="24"/>
          <w:highlight w:val="none"/>
          <w:u w:val="single"/>
        </w:rPr>
        <w:t>详见附件</w:t>
      </w:r>
    </w:p>
    <w:p w14:paraId="11700830">
      <w:pPr>
        <w:spacing w:line="360" w:lineRule="auto"/>
        <w:ind w:left="210" w:left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5.其他商务要求（包装和运输、保险等）</w:t>
      </w:r>
    </w:p>
    <w:p w14:paraId="11F6D59C">
      <w:pPr>
        <w:spacing w:line="360" w:lineRule="auto"/>
        <w:ind w:firstLine="420"/>
        <w:jc w:val="left"/>
        <w:rPr>
          <w:rFonts w:hint="eastAsia" w:asciiTheme="minorEastAsia" w:hAnsiTheme="minorEastAsia" w:cstheme="minorEastAsia"/>
          <w:sz w:val="24"/>
          <w:highlight w:val="none"/>
          <w:u w:val="single"/>
        </w:rPr>
      </w:pPr>
      <w:r>
        <w:rPr>
          <w:rFonts w:hint="eastAsia" w:asciiTheme="minorEastAsia" w:hAnsiTheme="minorEastAsia" w:eastAsiaTheme="minorEastAsia" w:cstheme="minorEastAsia"/>
          <w:sz w:val="24"/>
          <w:highlight w:val="none"/>
          <w:u w:val="single"/>
        </w:rPr>
        <w:t xml:space="preserve"> </w:t>
      </w:r>
      <w:r>
        <w:rPr>
          <w:sz w:val="24"/>
          <w:highlight w:val="none"/>
          <w:u w:val="single"/>
        </w:rPr>
        <w:t>无</w:t>
      </w:r>
      <w:r>
        <w:rPr>
          <w:rFonts w:hint="eastAsia"/>
          <w:sz w:val="24"/>
          <w:highlight w:val="none"/>
          <w:u w:val="single"/>
        </w:rPr>
        <w:t xml:space="preserve">  </w:t>
      </w:r>
    </w:p>
    <w:p w14:paraId="456D6FAE">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（七）采购项目的其他要求</w:t>
      </w:r>
    </w:p>
    <w:p w14:paraId="12622DEC">
      <w:pPr>
        <w:spacing w:line="360" w:lineRule="auto"/>
        <w:ind w:firstLine="42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 xml:space="preserve">  无   </w:t>
      </w:r>
    </w:p>
    <w:bookmarkEnd w:id="0"/>
    <w:p w14:paraId="5B8863B1">
      <w:pPr>
        <w:spacing w:before="312" w:beforeLines="100" w:line="360" w:lineRule="auto"/>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三、合同订立安排</w:t>
      </w:r>
    </w:p>
    <w:p w14:paraId="1A65568B">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（一）采购项目预（概）算（元）：</w:t>
      </w:r>
      <w:r>
        <w:rPr>
          <w:rFonts w:hint="eastAsia" w:asciiTheme="minorEastAsia" w:hAnsiTheme="minorEastAsia" w:eastAsiaTheme="minorEastAsia" w:cstheme="minorEastAsia"/>
          <w:sz w:val="24"/>
          <w:highlight w:val="none"/>
          <w:u w:val="single"/>
        </w:rPr>
        <w:t xml:space="preserve">  1220000.00  </w:t>
      </w:r>
      <w:r>
        <w:rPr>
          <w:rFonts w:hint="eastAsia" w:asciiTheme="minorEastAsia" w:hAnsiTheme="minorEastAsia" w:eastAsiaTheme="minorEastAsia" w:cstheme="minorEastAsia"/>
          <w:sz w:val="24"/>
          <w:highlight w:val="none"/>
        </w:rPr>
        <w:t>，最高限价（元）：</w:t>
      </w:r>
      <w:r>
        <w:rPr>
          <w:rFonts w:hint="eastAsia" w:asciiTheme="minorEastAsia" w:hAnsiTheme="minorEastAsia" w:eastAsiaTheme="minorEastAsia" w:cstheme="minorEastAsia"/>
          <w:sz w:val="24"/>
          <w:highlight w:val="none"/>
          <w:u w:val="single"/>
        </w:rPr>
        <w:t xml:space="preserve">  1220000.00    </w:t>
      </w:r>
    </w:p>
    <w:p w14:paraId="3CB5D2C9">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（二）开展采购活动的时间安排：</w:t>
      </w:r>
      <w:r>
        <w:rPr>
          <w:rFonts w:hint="eastAsia" w:asciiTheme="minorEastAsia" w:hAnsiTheme="minorEastAsia" w:eastAsiaTheme="minorEastAsia" w:cstheme="minorEastAsia"/>
          <w:sz w:val="24"/>
          <w:highlight w:val="none"/>
          <w:u w:val="single"/>
        </w:rPr>
        <w:t xml:space="preserve">   2025年7月     </w:t>
      </w:r>
    </w:p>
    <w:p w14:paraId="26643D04">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（三）采购组织形式：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集中采购</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 xml:space="preserve">分散采购 </w:t>
      </w:r>
    </w:p>
    <w:p w14:paraId="6E858DAE">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（四）委托代理安排</w:t>
      </w:r>
    </w:p>
    <w:p w14:paraId="14993424">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集中采购机构</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部门集中采购机构</w:t>
      </w:r>
    </w:p>
    <w:p w14:paraId="5471FA28">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采购代理机构</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自行采购（含电子卖场）</w:t>
      </w:r>
    </w:p>
    <w:p w14:paraId="3396A966">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（五）采购包划分：</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52"/>
      </w:r>
      <w:r>
        <w:rPr>
          <w:rFonts w:hint="eastAsia" w:asciiTheme="minorEastAsia" w:hAnsiTheme="minorEastAsia" w:eastAsiaTheme="minorEastAsia" w:cstheme="minorEastAsia"/>
          <w:sz w:val="24"/>
          <w:highlight w:val="none"/>
        </w:rPr>
        <w:t>分标项</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00A8"/>
      </w:r>
      <w:r>
        <w:rPr>
          <w:rFonts w:hint="eastAsia" w:asciiTheme="minorEastAsia" w:hAnsiTheme="minorEastAsia" w:eastAsiaTheme="minorEastAsia" w:cstheme="minorEastAsia"/>
          <w:sz w:val="24"/>
          <w:highlight w:val="none"/>
        </w:rPr>
        <w:t xml:space="preserve">不分标项 </w:t>
      </w:r>
    </w:p>
    <w:p w14:paraId="35ED71DE">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（六）合同分包：</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 xml:space="preserve">允许分包    </w:t>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不允许分包</w:t>
      </w:r>
    </w:p>
    <w:p w14:paraId="713613E2">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（七）供应商资格条件</w:t>
      </w:r>
    </w:p>
    <w:p w14:paraId="42A5B4D2">
      <w:pPr>
        <w:spacing w:line="360" w:lineRule="auto"/>
        <w:ind w:firstLine="420"/>
        <w:rPr>
          <w:sz w:val="24"/>
          <w:highlight w:val="none"/>
          <w:u w:val="single"/>
        </w:rPr>
      </w:pPr>
      <w:r>
        <w:rPr>
          <w:sz w:val="24"/>
          <w:highlight w:val="none"/>
          <w:u w:val="single"/>
        </w:rPr>
        <w:t>1. 满足《中华人民共和国政府采购法》第二十二条规定；未被“信用中国”（www.creditchina.gov.cn)、中国政府采购网（www.ccgp.gov.cn）列入失信被执行人、重大税收违法案件当事人名单、政府采购严重违法失信行为记录名单。</w:t>
      </w:r>
    </w:p>
    <w:p w14:paraId="6A16AF88">
      <w:pPr>
        <w:spacing w:line="560" w:lineRule="exact"/>
        <w:ind w:firstLine="420"/>
        <w:rPr>
          <w:sz w:val="24"/>
          <w:highlight w:val="none"/>
          <w:u w:val="single"/>
        </w:rPr>
      </w:pPr>
      <w:r>
        <w:rPr>
          <w:sz w:val="24"/>
          <w:highlight w:val="none"/>
          <w:u w:val="single"/>
        </w:rPr>
        <w:t>2. 与招标人存在利害关系可能影响招标公正性的法人、其他组织或者个人，不得参加投标。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58ED0B">
      <w:pPr>
        <w:spacing w:line="560" w:lineRule="exact"/>
        <w:ind w:firstLine="420"/>
        <w:rPr>
          <w:color w:val="000000" w:themeColor="text1"/>
          <w:sz w:val="24"/>
          <w:highlight w:val="none"/>
          <w:u w:val="single"/>
          <w14:textFill>
            <w14:solidFill>
              <w14:schemeClr w14:val="tx1"/>
            </w14:solidFill>
          </w14:textFill>
        </w:rPr>
      </w:pPr>
      <w:r>
        <w:rPr>
          <w:color w:val="000000" w:themeColor="text1"/>
          <w:sz w:val="24"/>
          <w:highlight w:val="none"/>
          <w:u w:val="single"/>
          <w14:textFill>
            <w14:solidFill>
              <w14:schemeClr w14:val="tx1"/>
            </w14:solidFill>
          </w14:textFill>
        </w:rPr>
        <w:t>3</w:t>
      </w:r>
      <w:r>
        <w:rPr>
          <w:rFonts w:hint="eastAsia"/>
          <w:color w:val="000000" w:themeColor="text1"/>
          <w:sz w:val="24"/>
          <w:highlight w:val="none"/>
          <w:u w:val="single"/>
          <w14:textFill>
            <w14:solidFill>
              <w14:schemeClr w14:val="tx1"/>
            </w14:solidFill>
          </w14:textFill>
        </w:rPr>
        <w:t>.落实政府采购政策需满足的资格要求：无；</w:t>
      </w:r>
    </w:p>
    <w:p w14:paraId="058A8369">
      <w:pPr>
        <w:spacing w:line="560" w:lineRule="exact"/>
        <w:ind w:firstLine="42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4.本项目的特定资格要求：截至投标日三年内未受到生态环境主管部门作出的行政处罚，由投标人提供承诺函。该特定条件的法律法规依据：《浙江省生态环境保护条例》第六十五条第二款规定：“依照前款规定对生态环境服务机构作出行政处罚的，自作出行政处罚决定之日起三年内禁止该机构参与政府采购的生态环境服务项目。” 。</w:t>
      </w:r>
    </w:p>
    <w:p w14:paraId="2DE00067">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（八）采购方式</w:t>
      </w:r>
    </w:p>
    <w:p w14:paraId="057C3E2C">
      <w:pPr>
        <w:spacing w:line="360" w:lineRule="auto"/>
        <w:ind w:firstLine="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公开招标</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□邀请招标</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□竞争性谈判</w:t>
      </w:r>
    </w:p>
    <w:p w14:paraId="0A69CDCB">
      <w:pPr>
        <w:spacing w:line="360" w:lineRule="auto"/>
        <w:ind w:firstLine="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竞争性磋商</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询价</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□单一来源采购</w:t>
      </w:r>
    </w:p>
    <w:p w14:paraId="180893E1">
      <w:pPr>
        <w:spacing w:line="360" w:lineRule="auto"/>
        <w:ind w:firstLine="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□电子卖场</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□其他采购方式 （）</w:t>
      </w:r>
    </w:p>
    <w:p w14:paraId="1C1DDBE2">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（九）选择采购方式的理由</w:t>
      </w:r>
    </w:p>
    <w:p w14:paraId="408928F8">
      <w:pPr>
        <w:spacing w:line="360" w:lineRule="auto"/>
        <w:ind w:firstLine="480" w:firstLineChars="200"/>
        <w:jc w:val="left"/>
        <w:rPr>
          <w:sz w:val="24"/>
          <w:highlight w:val="none"/>
          <w:u w:val="single"/>
        </w:rPr>
      </w:pPr>
      <w:r>
        <w:rPr>
          <w:sz w:val="24"/>
          <w:highlight w:val="none"/>
          <w:u w:val="single"/>
        </w:rPr>
        <w:t>公开招标为政府采购的主要招标方式且项目预算达到依法公开招标限额。</w:t>
      </w:r>
    </w:p>
    <w:p w14:paraId="68F590F3">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（十）竞争范围：</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公开发布</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电子卖场</w:t>
      </w:r>
    </w:p>
    <w:p w14:paraId="2FC6B8D5">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（十一）评审规则：</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综合评分</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最低价中标</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 xml:space="preserve">其他（） </w:t>
      </w:r>
    </w:p>
    <w:p w14:paraId="75AD9533">
      <w:pPr>
        <w:spacing w:before="312" w:beforeLines="100" w:line="360" w:lineRule="auto"/>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二、合同管理安排</w:t>
      </w:r>
    </w:p>
    <w:p w14:paraId="1F41ACDB">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（一）合同类型</w:t>
      </w:r>
    </w:p>
    <w:p w14:paraId="3591139E">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 xml:space="preserve">货物合同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52"/>
      </w:r>
      <w:r>
        <w:rPr>
          <w:rFonts w:hint="eastAsia" w:asciiTheme="minorEastAsia" w:hAnsiTheme="minorEastAsia" w:eastAsiaTheme="minorEastAsia" w:cstheme="minorEastAsia"/>
          <w:sz w:val="24"/>
          <w:highlight w:val="none"/>
        </w:rPr>
        <w:t>服务合同</w:t>
      </w:r>
    </w:p>
    <w:p w14:paraId="19AA67DF">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建设工程合同</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□其他 （）</w:t>
      </w:r>
    </w:p>
    <w:p w14:paraId="395F96D3">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（二）定价方式</w:t>
      </w:r>
    </w:p>
    <w:p w14:paraId="2329FB10">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2" w:char="0052"/>
      </w:r>
      <w:r>
        <w:rPr>
          <w:rFonts w:hint="eastAsia" w:asciiTheme="minorEastAsia" w:hAnsiTheme="minorEastAsia" w:eastAsiaTheme="minorEastAsia" w:cstheme="minorEastAsia"/>
          <w:sz w:val="24"/>
          <w:highlight w:val="none"/>
        </w:rPr>
        <w:t>固定总价</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固定单价</w:t>
      </w:r>
    </w:p>
    <w:p w14:paraId="1C91698F">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成本补偿</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绩效激励</w:t>
      </w:r>
    </w:p>
    <w:p w14:paraId="118B5723">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（三）合同文本的主要条款</w:t>
      </w:r>
    </w:p>
    <w:p w14:paraId="299A986E">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1.合同主要标的</w:t>
      </w:r>
    </w:p>
    <w:tbl>
      <w:tblPr>
        <w:tblStyle w:val="15"/>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7E9A43F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2AD68F13">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标的内容1</w:t>
            </w:r>
          </w:p>
        </w:tc>
        <w:tc>
          <w:tcPr>
            <w:tcW w:w="6804" w:type="dxa"/>
            <w:gridSpan w:val="3"/>
            <w:shd w:val="clear" w:color="auto" w:fill="auto"/>
            <w:vAlign w:val="center"/>
          </w:tcPr>
          <w:p w14:paraId="043BA0F3">
            <w:pPr>
              <w:pStyle w:val="3"/>
              <w:rPr>
                <w:rFonts w:hint="eastAsia" w:asciiTheme="minorEastAsia" w:hAnsiTheme="minorEastAsia" w:eastAsiaTheme="minorEastAsia" w:cstheme="minorEastAsia"/>
                <w:highlight w:val="none"/>
              </w:rPr>
            </w:pPr>
            <w:r>
              <w:rPr>
                <w:rFonts w:hint="eastAsia" w:ascii="宋体" w:hAnsi="宋体" w:eastAsia="宋体"/>
                <w:b w:val="0"/>
                <w:bCs/>
                <w:sz w:val="24"/>
                <w:szCs w:val="24"/>
                <w:highlight w:val="none"/>
              </w:rPr>
              <w:t>杭州市温室气体监测系统运维项目</w:t>
            </w:r>
          </w:p>
        </w:tc>
      </w:tr>
      <w:tr w14:paraId="3C6948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7F2E7C0C">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数量</w:t>
            </w:r>
          </w:p>
        </w:tc>
        <w:tc>
          <w:tcPr>
            <w:tcW w:w="2409" w:type="dxa"/>
            <w:shd w:val="clear" w:color="auto" w:fill="auto"/>
            <w:vAlign w:val="center"/>
          </w:tcPr>
          <w:p w14:paraId="3559DB69">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360" w:type="dxa"/>
            <w:shd w:val="clear" w:color="auto" w:fill="auto"/>
            <w:vAlign w:val="center"/>
          </w:tcPr>
          <w:p w14:paraId="53431925">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单位</w:t>
            </w:r>
          </w:p>
        </w:tc>
        <w:tc>
          <w:tcPr>
            <w:tcW w:w="3035" w:type="dxa"/>
            <w:shd w:val="clear" w:color="auto" w:fill="auto"/>
            <w:vAlign w:val="center"/>
          </w:tcPr>
          <w:p w14:paraId="50287DA7">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w:t>
            </w:r>
          </w:p>
        </w:tc>
      </w:tr>
      <w:tr w14:paraId="6D2F40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2DFC547D">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功能和质量</w:t>
            </w:r>
          </w:p>
          <w:p w14:paraId="4441F822">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要求</w:t>
            </w:r>
          </w:p>
        </w:tc>
        <w:tc>
          <w:tcPr>
            <w:tcW w:w="6804" w:type="dxa"/>
            <w:gridSpan w:val="3"/>
            <w:shd w:val="clear" w:color="auto" w:fill="auto"/>
          </w:tcPr>
          <w:p w14:paraId="6B8BCC73">
            <w:pPr>
              <w:tabs>
                <w:tab w:val="center" w:pos="4139"/>
              </w:tabs>
              <w:adjustRightInd w:val="0"/>
              <w:snapToGrid w:val="0"/>
              <w:spacing w:line="360" w:lineRule="auto"/>
              <w:ind w:firstLine="480" w:firstLineChars="200"/>
              <w:outlineLvl w:val="1"/>
              <w:rPr>
                <w:sz w:val="24"/>
                <w:highlight w:val="none"/>
              </w:rPr>
            </w:pPr>
            <w:r>
              <w:rPr>
                <w:rFonts w:hint="eastAsia"/>
                <w:sz w:val="24"/>
                <w:highlight w:val="none"/>
              </w:rPr>
              <w:t>本项目采购的服务包括6个高精度温室气体监测站点和1个碳汇监测站点所有监测仪器、气象仪器、质控设备、数据采集与传输设备、辅助设备等基础设施的日常维护工作，承担环境管理、站房巡检管理、站房维护维修、系统运行管理、质量控制、仪器维修和数据审核等工作，承担由此产生的耗材、标气、人工、水电、网络、站房租用、铁塔挂塔费用及其安全相关、设备维修维护所需配件、工具、车辆等费用，并完成碳通量数据分析。项目含2025年1月1日至合同签定日内的水电、网络、站房租用</w:t>
            </w:r>
            <w:r>
              <w:rPr>
                <w:rFonts w:hint="eastAsia"/>
                <w:sz w:val="24"/>
                <w:highlight w:val="none"/>
                <w:lang w:eastAsia="zh-CN"/>
              </w:rPr>
              <w:t>（</w:t>
            </w:r>
            <w:r>
              <w:rPr>
                <w:rFonts w:hint="eastAsia"/>
                <w:sz w:val="24"/>
                <w:highlight w:val="none"/>
              </w:rPr>
              <w:t>含铁塔挂塔成本</w:t>
            </w:r>
            <w:r>
              <w:rPr>
                <w:rFonts w:hint="eastAsia"/>
                <w:sz w:val="24"/>
                <w:highlight w:val="none"/>
                <w:lang w:eastAsia="zh-CN"/>
              </w:rPr>
              <w:t>）</w:t>
            </w:r>
            <w:r>
              <w:rPr>
                <w:rFonts w:hint="eastAsia"/>
                <w:sz w:val="24"/>
                <w:highlight w:val="none"/>
              </w:rPr>
              <w:t>、标气等费用。</w:t>
            </w:r>
          </w:p>
        </w:tc>
      </w:tr>
    </w:tbl>
    <w:p w14:paraId="48BFD300">
      <w:pPr>
        <w:spacing w:line="360" w:lineRule="auto"/>
        <w:jc w:val="left"/>
        <w:rPr>
          <w:rFonts w:hint="eastAsia" w:asciiTheme="minorEastAsia" w:hAnsiTheme="minorEastAsia" w:eastAsiaTheme="minorEastAsia" w:cstheme="minorEastAsia"/>
          <w:sz w:val="24"/>
          <w:highlight w:val="none"/>
        </w:rPr>
      </w:pPr>
    </w:p>
    <w:tbl>
      <w:tblPr>
        <w:tblStyle w:val="15"/>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14F579F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020E906E">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标的内容2</w:t>
            </w:r>
          </w:p>
        </w:tc>
        <w:tc>
          <w:tcPr>
            <w:tcW w:w="6804" w:type="dxa"/>
            <w:gridSpan w:val="3"/>
            <w:shd w:val="clear" w:color="auto" w:fill="auto"/>
            <w:vAlign w:val="center"/>
          </w:tcPr>
          <w:p w14:paraId="03C76EE2">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杭州市碳排放反演与通量核算项目</w:t>
            </w:r>
          </w:p>
        </w:tc>
      </w:tr>
      <w:tr w14:paraId="3895DD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2853F8F8">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数量</w:t>
            </w:r>
          </w:p>
        </w:tc>
        <w:tc>
          <w:tcPr>
            <w:tcW w:w="2409" w:type="dxa"/>
            <w:shd w:val="clear" w:color="auto" w:fill="auto"/>
            <w:vAlign w:val="center"/>
          </w:tcPr>
          <w:p w14:paraId="3883184D">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360" w:type="dxa"/>
            <w:shd w:val="clear" w:color="auto" w:fill="auto"/>
            <w:vAlign w:val="center"/>
          </w:tcPr>
          <w:p w14:paraId="184807C5">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单位</w:t>
            </w:r>
          </w:p>
        </w:tc>
        <w:tc>
          <w:tcPr>
            <w:tcW w:w="3035" w:type="dxa"/>
            <w:shd w:val="clear" w:color="auto" w:fill="auto"/>
            <w:vAlign w:val="center"/>
          </w:tcPr>
          <w:p w14:paraId="1E5EDECB">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w:t>
            </w:r>
          </w:p>
        </w:tc>
      </w:tr>
      <w:tr w14:paraId="1424D4C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685F437A">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功能和质量</w:t>
            </w:r>
          </w:p>
          <w:p w14:paraId="29AC8034">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要求</w:t>
            </w:r>
          </w:p>
        </w:tc>
        <w:tc>
          <w:tcPr>
            <w:tcW w:w="6804" w:type="dxa"/>
            <w:gridSpan w:val="3"/>
            <w:shd w:val="clear" w:color="auto" w:fill="auto"/>
          </w:tcPr>
          <w:p w14:paraId="59BF1F69">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委托第三方对杭州市高精度地面温室气体观测数据进行分析，并基于全球及区域同化算法、数值模型等手段，定期开展杭州市温室气体（CO</w:t>
            </w:r>
            <w:r>
              <w:rPr>
                <w:rFonts w:hint="eastAsia" w:asciiTheme="minorEastAsia" w:hAnsiTheme="minorEastAsia" w:eastAsiaTheme="minorEastAsia" w:cstheme="minorEastAsia"/>
                <w:sz w:val="24"/>
                <w:highlight w:val="none"/>
                <w:vertAlign w:val="subscript"/>
              </w:rPr>
              <w:t>2</w:t>
            </w:r>
            <w:r>
              <w:rPr>
                <w:rFonts w:hint="eastAsia" w:asciiTheme="minorEastAsia" w:hAnsiTheme="minorEastAsia" w:eastAsiaTheme="minorEastAsia" w:cstheme="minorEastAsia"/>
                <w:sz w:val="24"/>
                <w:highlight w:val="none"/>
              </w:rPr>
              <w:t>、CH</w:t>
            </w:r>
            <w:r>
              <w:rPr>
                <w:rFonts w:hint="eastAsia" w:asciiTheme="minorEastAsia" w:hAnsiTheme="minorEastAsia" w:eastAsiaTheme="minorEastAsia" w:cstheme="minorEastAsia"/>
                <w:sz w:val="24"/>
                <w:highlight w:val="none"/>
                <w:vertAlign w:val="subscript"/>
              </w:rPr>
              <w:t>4</w:t>
            </w:r>
            <w:r>
              <w:rPr>
                <w:rFonts w:hint="eastAsia" w:asciiTheme="minorEastAsia" w:hAnsiTheme="minorEastAsia" w:eastAsiaTheme="minorEastAsia" w:cstheme="minorEastAsia"/>
                <w:sz w:val="24"/>
                <w:highlight w:val="none"/>
              </w:rPr>
              <w:t>）融合分析及同化反演评估工作，助力杭州市减污降碳工作。</w:t>
            </w:r>
          </w:p>
        </w:tc>
      </w:tr>
    </w:tbl>
    <w:p w14:paraId="64041476">
      <w:pPr>
        <w:spacing w:line="360" w:lineRule="auto"/>
        <w:ind w:firstLine="480" w:firstLineChars="200"/>
        <w:jc w:val="left"/>
        <w:rPr>
          <w:rFonts w:hint="eastAsia"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iCs/>
          <w:sz w:val="24"/>
          <w:highlight w:val="none"/>
        </w:rPr>
        <w:t>2.履行时间（期限）：</w:t>
      </w:r>
      <w:r>
        <w:rPr>
          <w:rFonts w:hint="eastAsia" w:asciiTheme="minorEastAsia" w:hAnsiTheme="minorEastAsia" w:eastAsiaTheme="minorEastAsia" w:cstheme="minorEastAsia"/>
          <w:sz w:val="24"/>
          <w:highlight w:val="none"/>
          <w:u w:val="single"/>
        </w:rPr>
        <w:t xml:space="preserve"> 标项一合同签订之日起后五个月、标项二反演数据时间段为2025年1月-11月    </w:t>
      </w:r>
    </w:p>
    <w:p w14:paraId="0B91CCDC">
      <w:pPr>
        <w:spacing w:line="360" w:lineRule="auto"/>
        <w:ind w:firstLine="480" w:firstLineChars="200"/>
        <w:jc w:val="left"/>
        <w:rPr>
          <w:rFonts w:hint="eastAsia"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iCs/>
          <w:sz w:val="24"/>
          <w:highlight w:val="none"/>
        </w:rPr>
        <w:t>3.履约地点和方式：</w:t>
      </w:r>
      <w:r>
        <w:rPr>
          <w:rFonts w:hint="eastAsia" w:asciiTheme="minorEastAsia" w:hAnsiTheme="minorEastAsia" w:eastAsiaTheme="minorEastAsia" w:cstheme="minorEastAsia"/>
          <w:iCs/>
          <w:sz w:val="24"/>
          <w:highlight w:val="none"/>
          <w:u w:val="single"/>
        </w:rPr>
        <w:t xml:space="preserve">  </w:t>
      </w:r>
      <w:r>
        <w:rPr>
          <w:rFonts w:hint="eastAsia" w:asciiTheme="minorEastAsia" w:hAnsiTheme="minorEastAsia" w:eastAsiaTheme="minorEastAsia" w:cstheme="minorEastAsia"/>
          <w:sz w:val="24"/>
          <w:highlight w:val="none"/>
          <w:u w:val="single"/>
        </w:rPr>
        <w:t>标项一：</w:t>
      </w:r>
      <w:r>
        <w:rPr>
          <w:sz w:val="24"/>
          <w:highlight w:val="none"/>
          <w:u w:val="single"/>
        </w:rPr>
        <w:t>杭州各温室气体监测站点</w:t>
      </w:r>
      <w:r>
        <w:rPr>
          <w:rFonts w:hint="eastAsia" w:asciiTheme="minorEastAsia" w:hAnsiTheme="minorEastAsia" w:eastAsiaTheme="minorEastAsia" w:cstheme="minorEastAsia"/>
          <w:sz w:val="24"/>
          <w:highlight w:val="none"/>
          <w:u w:val="single"/>
        </w:rPr>
        <w:t>；标项二：</w:t>
      </w:r>
      <w:r>
        <w:rPr>
          <w:sz w:val="24"/>
          <w:highlight w:val="none"/>
          <w:u w:val="single"/>
        </w:rPr>
        <w:t>杭州市</w:t>
      </w:r>
      <w:r>
        <w:rPr>
          <w:rFonts w:hint="eastAsia" w:asciiTheme="minorEastAsia" w:hAnsiTheme="minorEastAsia" w:eastAsiaTheme="minorEastAsia" w:cstheme="minorEastAsia"/>
          <w:iCs/>
          <w:sz w:val="24"/>
          <w:highlight w:val="none"/>
          <w:u w:val="single"/>
        </w:rPr>
        <w:t xml:space="preserve"> </w:t>
      </w:r>
    </w:p>
    <w:p w14:paraId="736CCD2A">
      <w:pPr>
        <w:spacing w:line="360" w:lineRule="auto"/>
        <w:ind w:firstLine="480" w:firstLineChars="200"/>
        <w:jc w:val="left"/>
        <w:rPr>
          <w:rFonts w:hint="eastAsia"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iCs/>
          <w:sz w:val="24"/>
          <w:highlight w:val="none"/>
        </w:rPr>
        <w:t>4.价款或者报酬：</w:t>
      </w:r>
      <w:r>
        <w:rPr>
          <w:rFonts w:hint="eastAsia" w:asciiTheme="minorEastAsia" w:hAnsiTheme="minorEastAsia" w:eastAsiaTheme="minorEastAsia" w:cstheme="minorEastAsia"/>
          <w:iCs/>
          <w:sz w:val="24"/>
          <w:highlight w:val="none"/>
          <w:u w:val="single"/>
        </w:rPr>
        <w:t xml:space="preserve">    </w:t>
      </w:r>
      <w:r>
        <w:rPr>
          <w:sz w:val="24"/>
          <w:highlight w:val="none"/>
          <w:u w:val="single"/>
        </w:rPr>
        <w:t>按中标价格</w:t>
      </w:r>
      <w:r>
        <w:rPr>
          <w:rFonts w:hint="eastAsia" w:asciiTheme="minorEastAsia" w:hAnsiTheme="minorEastAsia" w:eastAsiaTheme="minorEastAsia" w:cstheme="minorEastAsia"/>
          <w:iCs/>
          <w:sz w:val="24"/>
          <w:highlight w:val="none"/>
          <w:u w:val="single"/>
        </w:rPr>
        <w:t xml:space="preserve">       </w:t>
      </w:r>
    </w:p>
    <w:p w14:paraId="3007BBC5">
      <w:pPr>
        <w:spacing w:line="360" w:lineRule="auto"/>
        <w:ind w:firstLine="480" w:firstLineChars="200"/>
        <w:jc w:val="left"/>
        <w:rPr>
          <w:rFonts w:hint="eastAsia" w:asciiTheme="minorEastAsia" w:hAnsiTheme="minorEastAsia" w:eastAsiaTheme="minorEastAsia" w:cstheme="minorEastAsia"/>
          <w:iCs/>
          <w:sz w:val="24"/>
          <w:highlight w:val="none"/>
        </w:rPr>
      </w:pPr>
      <w:r>
        <w:rPr>
          <w:rFonts w:hint="eastAsia" w:asciiTheme="minorEastAsia" w:hAnsiTheme="minorEastAsia" w:eastAsiaTheme="minorEastAsia" w:cstheme="minorEastAsia"/>
          <w:iCs/>
          <w:sz w:val="24"/>
          <w:highlight w:val="none"/>
        </w:rPr>
        <w:t>5.考核要求和付款进度安排</w:t>
      </w:r>
    </w:p>
    <w:p w14:paraId="33BB439E">
      <w:pPr>
        <w:pStyle w:val="24"/>
        <w:ind w:firstLine="480"/>
        <w:rPr>
          <w:rFonts w:hint="eastAsia" w:eastAsiaTheme="minorEastAsia"/>
          <w:highlight w:val="none"/>
        </w:rPr>
      </w:pPr>
      <w:r>
        <w:rPr>
          <w:rFonts w:hint="eastAsia" w:asciiTheme="minorEastAsia" w:hAnsiTheme="minorEastAsia" w:eastAsiaTheme="minorEastAsia" w:cstheme="minorEastAsia"/>
          <w:iCs/>
          <w:sz w:val="24"/>
          <w:highlight w:val="none"/>
        </w:rPr>
        <w:t>标项一：</w:t>
      </w:r>
    </w:p>
    <w:tbl>
      <w:tblPr>
        <w:tblStyle w:val="15"/>
        <w:tblW w:w="8829"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051"/>
        <w:gridCol w:w="2278"/>
        <w:gridCol w:w="5500"/>
      </w:tblGrid>
      <w:tr w14:paraId="3F52047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1051" w:type="dxa"/>
            <w:vAlign w:val="center"/>
          </w:tcPr>
          <w:p w14:paraId="321DD014">
            <w:pPr>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2278" w:type="dxa"/>
            <w:vAlign w:val="center"/>
          </w:tcPr>
          <w:p w14:paraId="3CC45446">
            <w:pPr>
              <w:spacing w:line="360" w:lineRule="auto"/>
              <w:jc w:val="center"/>
              <w:rPr>
                <w:rFonts w:hint="eastAsia" w:ascii="宋体" w:hAnsi="宋体" w:cs="宋体"/>
                <w:sz w:val="24"/>
                <w:highlight w:val="none"/>
              </w:rPr>
            </w:pPr>
            <w:r>
              <w:rPr>
                <w:rFonts w:hint="eastAsia" w:ascii="宋体" w:hAnsi="宋体" w:cs="宋体"/>
                <w:sz w:val="24"/>
                <w:highlight w:val="none"/>
              </w:rPr>
              <w:t>付款比例（%）</w:t>
            </w:r>
          </w:p>
        </w:tc>
        <w:tc>
          <w:tcPr>
            <w:tcW w:w="5500" w:type="dxa"/>
            <w:vAlign w:val="center"/>
          </w:tcPr>
          <w:p w14:paraId="52E1E66F">
            <w:pPr>
              <w:spacing w:line="360" w:lineRule="auto"/>
              <w:jc w:val="center"/>
              <w:rPr>
                <w:rFonts w:hint="eastAsia" w:ascii="宋体" w:hAnsi="宋体" w:cs="宋体"/>
                <w:sz w:val="24"/>
                <w:highlight w:val="none"/>
              </w:rPr>
            </w:pPr>
            <w:r>
              <w:rPr>
                <w:rFonts w:hint="eastAsia" w:ascii="宋体" w:hAnsi="宋体" w:cs="宋体"/>
                <w:sz w:val="24"/>
                <w:highlight w:val="none"/>
              </w:rPr>
              <w:t>付款方式</w:t>
            </w:r>
          </w:p>
        </w:tc>
      </w:tr>
      <w:tr w14:paraId="26E590F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051" w:type="dxa"/>
            <w:vAlign w:val="center"/>
          </w:tcPr>
          <w:p w14:paraId="488248C2">
            <w:pPr>
              <w:jc w:val="center"/>
              <w:rPr>
                <w:rFonts w:hint="eastAsia" w:ascii="宋体" w:hAnsi="宋体" w:cs="宋体"/>
                <w:sz w:val="24"/>
                <w:highlight w:val="none"/>
              </w:rPr>
            </w:pPr>
            <w:r>
              <w:rPr>
                <w:rFonts w:hint="eastAsia" w:ascii="宋体" w:hAnsi="宋体" w:cs="宋体"/>
                <w:sz w:val="24"/>
                <w:highlight w:val="none"/>
              </w:rPr>
              <w:t>1</w:t>
            </w:r>
          </w:p>
        </w:tc>
        <w:tc>
          <w:tcPr>
            <w:tcW w:w="2278" w:type="dxa"/>
            <w:vAlign w:val="center"/>
          </w:tcPr>
          <w:p w14:paraId="492E1A29">
            <w:pPr>
              <w:jc w:val="center"/>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0%</w:t>
            </w:r>
          </w:p>
        </w:tc>
        <w:tc>
          <w:tcPr>
            <w:tcW w:w="5500" w:type="dxa"/>
            <w:vAlign w:val="center"/>
          </w:tcPr>
          <w:p w14:paraId="08AE6F04">
            <w:pPr>
              <w:adjustRightInd w:val="0"/>
              <w:snapToGrid w:val="0"/>
              <w:spacing w:line="360" w:lineRule="exact"/>
              <w:jc w:val="center"/>
              <w:rPr>
                <w:rFonts w:hint="eastAsia" w:ascii="宋体" w:hAnsi="宋体" w:cs="宋体"/>
                <w:sz w:val="24"/>
                <w:highlight w:val="none"/>
              </w:rPr>
            </w:pPr>
            <w:r>
              <w:rPr>
                <w:rFonts w:hint="eastAsia" w:ascii="宋体" w:hAnsi="宋体" w:cs="宋体"/>
                <w:sz w:val="24"/>
                <w:highlight w:val="none"/>
              </w:rPr>
              <w:t>预付款，合同签订且财政资金到位后5个工作日内，转账</w:t>
            </w:r>
          </w:p>
        </w:tc>
      </w:tr>
      <w:tr w14:paraId="5C3C603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051" w:type="dxa"/>
            <w:vAlign w:val="center"/>
          </w:tcPr>
          <w:p w14:paraId="4FF658FF">
            <w:pPr>
              <w:jc w:val="center"/>
              <w:rPr>
                <w:rFonts w:hint="eastAsia" w:ascii="宋体" w:hAnsi="宋体" w:cs="宋体"/>
                <w:sz w:val="24"/>
                <w:highlight w:val="none"/>
              </w:rPr>
            </w:pPr>
            <w:r>
              <w:rPr>
                <w:rFonts w:ascii="宋体" w:hAnsi="宋体" w:cs="宋体"/>
                <w:sz w:val="24"/>
                <w:highlight w:val="none"/>
              </w:rPr>
              <w:t>2</w:t>
            </w:r>
          </w:p>
        </w:tc>
        <w:tc>
          <w:tcPr>
            <w:tcW w:w="2278" w:type="dxa"/>
            <w:vAlign w:val="center"/>
          </w:tcPr>
          <w:p w14:paraId="38C11A9C">
            <w:pPr>
              <w:jc w:val="center"/>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0%</w:t>
            </w:r>
          </w:p>
        </w:tc>
        <w:tc>
          <w:tcPr>
            <w:tcW w:w="5500" w:type="dxa"/>
            <w:vAlign w:val="center"/>
          </w:tcPr>
          <w:p w14:paraId="6326A2B2">
            <w:pPr>
              <w:adjustRightInd w:val="0"/>
              <w:snapToGrid w:val="0"/>
              <w:spacing w:line="360" w:lineRule="exact"/>
              <w:jc w:val="center"/>
              <w:rPr>
                <w:rFonts w:hint="eastAsia" w:ascii="宋体" w:hAnsi="宋体" w:cs="宋体"/>
                <w:sz w:val="24"/>
                <w:highlight w:val="none"/>
              </w:rPr>
            </w:pPr>
            <w:r>
              <w:rPr>
                <w:rFonts w:hint="eastAsia"/>
                <w:sz w:val="24"/>
                <w:highlight w:val="none"/>
              </w:rPr>
              <w:t>项目考核合格后支付合同价款的50%</w:t>
            </w:r>
            <w:r>
              <w:rPr>
                <w:rFonts w:hint="eastAsia" w:ascii="宋体" w:hAnsi="宋体" w:cs="宋体"/>
                <w:sz w:val="24"/>
                <w:highlight w:val="none"/>
              </w:rPr>
              <w:t>，转账</w:t>
            </w:r>
          </w:p>
        </w:tc>
      </w:tr>
    </w:tbl>
    <w:p w14:paraId="1343870E">
      <w:pPr>
        <w:pStyle w:val="4"/>
        <w:ind w:left="0" w:firstLine="480" w:firstLineChars="200"/>
        <w:rPr>
          <w:rFonts w:hint="eastAsia" w:asciiTheme="minorEastAsia" w:hAnsiTheme="minorEastAsia" w:eastAsiaTheme="minorEastAsia" w:cstheme="minorEastAsia"/>
          <w:b w:val="0"/>
          <w:bCs w:val="0"/>
          <w:iCs/>
          <w:highlight w:val="none"/>
          <w:lang w:val="en-US"/>
        </w:rPr>
      </w:pPr>
      <w:r>
        <w:rPr>
          <w:rFonts w:hint="eastAsia" w:asciiTheme="minorEastAsia" w:hAnsiTheme="minorEastAsia" w:eastAsiaTheme="minorEastAsia" w:cstheme="minorEastAsia"/>
          <w:b w:val="0"/>
          <w:bCs w:val="0"/>
          <w:iCs/>
          <w:highlight w:val="none"/>
          <w:lang w:val="en-US"/>
        </w:rPr>
        <w:t>标项二：</w:t>
      </w:r>
    </w:p>
    <w:tbl>
      <w:tblPr>
        <w:tblStyle w:val="15"/>
        <w:tblW w:w="8624"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77"/>
        <w:gridCol w:w="1672"/>
        <w:gridCol w:w="6075"/>
      </w:tblGrid>
      <w:tr w14:paraId="4F34FCC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77" w:type="dxa"/>
            <w:shd w:val="clear" w:color="auto" w:fill="auto"/>
            <w:vAlign w:val="center"/>
          </w:tcPr>
          <w:p w14:paraId="20A0E799">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1672" w:type="dxa"/>
            <w:shd w:val="clear" w:color="auto" w:fill="auto"/>
            <w:vAlign w:val="center"/>
          </w:tcPr>
          <w:p w14:paraId="57E1A54F">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付款比例（%）</w:t>
            </w:r>
          </w:p>
        </w:tc>
        <w:tc>
          <w:tcPr>
            <w:tcW w:w="6075" w:type="dxa"/>
            <w:shd w:val="clear" w:color="auto" w:fill="auto"/>
            <w:vAlign w:val="center"/>
          </w:tcPr>
          <w:p w14:paraId="068FA18B">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考核要求</w:t>
            </w:r>
          </w:p>
        </w:tc>
      </w:tr>
      <w:tr w14:paraId="40C1D9C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77" w:type="dxa"/>
            <w:shd w:val="clear" w:color="auto" w:fill="auto"/>
          </w:tcPr>
          <w:p w14:paraId="3ED3443A">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672" w:type="dxa"/>
            <w:shd w:val="clear" w:color="auto" w:fill="auto"/>
            <w:vAlign w:val="center"/>
          </w:tcPr>
          <w:p w14:paraId="49ED334C">
            <w:pPr>
              <w:spacing w:line="360" w:lineRule="auto"/>
              <w:jc w:val="center"/>
              <w:rPr>
                <w:rFonts w:hint="eastAsia" w:asciiTheme="minorEastAsia" w:hAnsiTheme="minorEastAsia" w:eastAsiaTheme="minorEastAsia" w:cstheme="minorEastAsia"/>
                <w:sz w:val="24"/>
                <w:highlight w:val="none"/>
              </w:rPr>
            </w:pPr>
            <w:r>
              <w:rPr>
                <w:rFonts w:hint="eastAsia"/>
                <w:sz w:val="24"/>
                <w:highlight w:val="none"/>
              </w:rPr>
              <w:t>50%</w:t>
            </w:r>
          </w:p>
        </w:tc>
        <w:tc>
          <w:tcPr>
            <w:tcW w:w="6075" w:type="dxa"/>
            <w:shd w:val="clear" w:color="auto" w:fill="auto"/>
            <w:vAlign w:val="center"/>
          </w:tcPr>
          <w:p w14:paraId="2BD5B65D">
            <w:pPr>
              <w:spacing w:line="360" w:lineRule="auto"/>
              <w:jc w:val="center"/>
              <w:rPr>
                <w:rFonts w:hint="eastAsia" w:asciiTheme="minorEastAsia" w:hAnsiTheme="minorEastAsia" w:eastAsiaTheme="minorEastAsia" w:cstheme="minorEastAsia"/>
                <w:sz w:val="24"/>
                <w:highlight w:val="none"/>
              </w:rPr>
            </w:pPr>
            <w:r>
              <w:rPr>
                <w:rFonts w:hint="eastAsia" w:ascii="宋体" w:hAnsi="宋体" w:cs="宋体"/>
                <w:sz w:val="24"/>
                <w:highlight w:val="none"/>
              </w:rPr>
              <w:t>预付款，合同签订且财政资金到位后5个工作日内，转账</w:t>
            </w:r>
            <w:r>
              <w:rPr>
                <w:rFonts w:hint="eastAsia"/>
                <w:sz w:val="24"/>
                <w:highlight w:val="none"/>
              </w:rPr>
              <w:t>；</w:t>
            </w:r>
          </w:p>
        </w:tc>
      </w:tr>
      <w:tr w14:paraId="7C98250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77" w:type="dxa"/>
            <w:shd w:val="clear" w:color="auto" w:fill="auto"/>
          </w:tcPr>
          <w:p w14:paraId="67CBEEB8">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672" w:type="dxa"/>
            <w:shd w:val="clear" w:color="auto" w:fill="auto"/>
            <w:vAlign w:val="center"/>
          </w:tcPr>
          <w:p w14:paraId="159203BB">
            <w:pPr>
              <w:spacing w:line="360" w:lineRule="auto"/>
              <w:jc w:val="center"/>
              <w:rPr>
                <w:rFonts w:hint="eastAsia" w:asciiTheme="minorEastAsia" w:hAnsiTheme="minorEastAsia" w:eastAsiaTheme="minorEastAsia" w:cstheme="minorEastAsia"/>
                <w:sz w:val="24"/>
                <w:highlight w:val="none"/>
              </w:rPr>
            </w:pPr>
            <w:r>
              <w:rPr>
                <w:rFonts w:hint="eastAsia"/>
                <w:sz w:val="24"/>
                <w:highlight w:val="none"/>
              </w:rPr>
              <w:t>50%</w:t>
            </w:r>
          </w:p>
        </w:tc>
        <w:tc>
          <w:tcPr>
            <w:tcW w:w="6075" w:type="dxa"/>
            <w:shd w:val="clear" w:color="auto" w:fill="auto"/>
            <w:vAlign w:val="center"/>
          </w:tcPr>
          <w:p w14:paraId="1DA5CC37">
            <w:pPr>
              <w:spacing w:line="360" w:lineRule="auto"/>
              <w:jc w:val="center"/>
              <w:rPr>
                <w:rFonts w:hint="eastAsia" w:asciiTheme="minorEastAsia" w:hAnsiTheme="minorEastAsia" w:eastAsiaTheme="minorEastAsia" w:cstheme="minorEastAsia"/>
                <w:sz w:val="24"/>
                <w:highlight w:val="none"/>
              </w:rPr>
            </w:pPr>
            <w:r>
              <w:rPr>
                <w:rFonts w:hint="eastAsia"/>
                <w:sz w:val="24"/>
                <w:highlight w:val="none"/>
              </w:rPr>
              <w:t>项目考核合格后支付合同价款的50%</w:t>
            </w:r>
            <w:r>
              <w:rPr>
                <w:rFonts w:hint="eastAsia" w:ascii="宋体" w:hAnsi="宋体" w:cs="宋体"/>
                <w:sz w:val="24"/>
                <w:highlight w:val="none"/>
              </w:rPr>
              <w:t>，转账</w:t>
            </w:r>
          </w:p>
        </w:tc>
      </w:tr>
    </w:tbl>
    <w:p w14:paraId="73D28A6F">
      <w:pPr>
        <w:spacing w:line="360" w:lineRule="auto"/>
        <w:ind w:firstLine="480" w:firstLineChars="200"/>
        <w:jc w:val="left"/>
        <w:rPr>
          <w:rFonts w:hint="eastAsia"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iCs/>
          <w:sz w:val="24"/>
          <w:highlight w:val="none"/>
        </w:rPr>
        <w:t>6.资金支付方式：</w:t>
      </w:r>
      <w:r>
        <w:rPr>
          <w:rFonts w:hint="eastAsia" w:asciiTheme="minorEastAsia" w:hAnsiTheme="minorEastAsia" w:eastAsiaTheme="minorEastAsia" w:cstheme="minorEastAsia"/>
          <w:iCs/>
          <w:sz w:val="24"/>
          <w:highlight w:val="none"/>
          <w:u w:val="single"/>
        </w:rPr>
        <w:t xml:space="preserve">   </w:t>
      </w:r>
      <w:r>
        <w:rPr>
          <w:sz w:val="24"/>
          <w:highlight w:val="none"/>
          <w:u w:val="single"/>
        </w:rPr>
        <w:t>分期付款</w:t>
      </w:r>
      <w:r>
        <w:rPr>
          <w:rFonts w:hint="eastAsia"/>
          <w:sz w:val="24"/>
          <w:highlight w:val="none"/>
          <w:u w:val="single"/>
        </w:rPr>
        <w:t>，</w:t>
      </w:r>
      <w:r>
        <w:rPr>
          <w:iCs/>
          <w:sz w:val="24"/>
          <w:highlight w:val="none"/>
          <w:u w:val="single"/>
        </w:rPr>
        <w:t>银行转账</w:t>
      </w:r>
      <w:r>
        <w:rPr>
          <w:rFonts w:hint="eastAsia" w:asciiTheme="minorEastAsia" w:hAnsiTheme="minorEastAsia" w:eastAsiaTheme="minorEastAsia" w:cstheme="minorEastAsia"/>
          <w:iCs/>
          <w:sz w:val="24"/>
          <w:highlight w:val="none"/>
          <w:u w:val="single"/>
        </w:rPr>
        <w:t xml:space="preserve">    </w:t>
      </w:r>
    </w:p>
    <w:p w14:paraId="6F15CA5E">
      <w:pPr>
        <w:spacing w:line="360" w:lineRule="auto"/>
        <w:ind w:firstLine="480" w:firstLineChars="200"/>
        <w:jc w:val="left"/>
        <w:rPr>
          <w:rFonts w:hint="eastAsia" w:asciiTheme="minorEastAsia" w:hAnsiTheme="minorEastAsia" w:eastAsiaTheme="minorEastAsia" w:cstheme="minorEastAsia"/>
          <w:iCs/>
          <w:sz w:val="24"/>
          <w:highlight w:val="none"/>
        </w:rPr>
      </w:pPr>
      <w:r>
        <w:rPr>
          <w:rFonts w:hint="eastAsia" w:asciiTheme="minorEastAsia" w:hAnsiTheme="minorEastAsia" w:eastAsiaTheme="minorEastAsia" w:cstheme="minorEastAsia"/>
          <w:iCs/>
          <w:sz w:val="24"/>
          <w:highlight w:val="none"/>
        </w:rPr>
        <w:t>7.验收、交付标准和方法</w:t>
      </w:r>
    </w:p>
    <w:p w14:paraId="320176B4">
      <w:pPr>
        <w:spacing w:line="360" w:lineRule="auto"/>
        <w:ind w:firstLine="480" w:firstLineChars="200"/>
        <w:jc w:val="left"/>
        <w:rPr>
          <w:sz w:val="24"/>
          <w:highlight w:val="none"/>
          <w:u w:val="single"/>
        </w:rPr>
      </w:pPr>
      <w:r>
        <w:rPr>
          <w:rFonts w:hint="eastAsia" w:asciiTheme="minorEastAsia" w:hAnsiTheme="minorEastAsia" w:eastAsiaTheme="minorEastAsia" w:cstheme="minorEastAsia"/>
          <w:sz w:val="24"/>
          <w:highlight w:val="none"/>
          <w:u w:val="single"/>
        </w:rPr>
        <w:t xml:space="preserve"> 标项一：</w:t>
      </w:r>
      <w:r>
        <w:rPr>
          <w:sz w:val="24"/>
          <w:highlight w:val="none"/>
          <w:u w:val="single"/>
        </w:rPr>
        <w:t>采购人定期对中标方开展运维工作考核，考核采取百分制、单站考核的方式，主要包括单个站点有效数据获取率和运行维护内容。单站点考核得分大于等于80分为合格，低于80分为不合格。由采购人组织有关人员进行评审。考核合格后按照合同分期要求支付运维费。</w:t>
      </w:r>
    </w:p>
    <w:p w14:paraId="7D33A949">
      <w:pPr>
        <w:spacing w:line="360" w:lineRule="auto"/>
        <w:ind w:firstLine="480" w:firstLineChars="200"/>
        <w:jc w:val="left"/>
        <w:rPr>
          <w:color w:val="000000"/>
          <w:highlight w:val="none"/>
        </w:rPr>
      </w:pPr>
      <w:r>
        <w:rPr>
          <w:rFonts w:hint="eastAsia"/>
          <w:color w:val="000000"/>
          <w:sz w:val="24"/>
          <w:highlight w:val="none"/>
          <w:u w:val="single"/>
        </w:rPr>
        <w:t>标项二：</w:t>
      </w:r>
      <w:r>
        <w:rPr>
          <w:rFonts w:hint="eastAsia" w:ascii="宋体" w:hAnsi="宋体" w:cs="宋体"/>
          <w:color w:val="000000"/>
          <w:sz w:val="24"/>
          <w:highlight w:val="none"/>
          <w:u w:val="single"/>
        </w:rPr>
        <w:t>甲方</w:t>
      </w:r>
      <w:r>
        <w:rPr>
          <w:color w:val="000000"/>
          <w:sz w:val="24"/>
          <w:highlight w:val="none"/>
          <w:u w:val="single"/>
        </w:rPr>
        <w:t>按月对</w:t>
      </w:r>
      <w:r>
        <w:rPr>
          <w:rFonts w:hint="eastAsia"/>
          <w:color w:val="000000"/>
          <w:sz w:val="24"/>
          <w:highlight w:val="none"/>
          <w:u w:val="single"/>
        </w:rPr>
        <w:t>乙方</w:t>
      </w:r>
      <w:r>
        <w:rPr>
          <w:color w:val="000000"/>
          <w:sz w:val="24"/>
          <w:highlight w:val="none"/>
          <w:u w:val="single"/>
        </w:rPr>
        <w:t>完成内容进行考核，包括提供的报告数量、报告涵盖的内容及质量，</w:t>
      </w:r>
      <w:r>
        <w:rPr>
          <w:rFonts w:hint="eastAsia" w:ascii="宋体" w:hAnsi="宋体" w:cs="宋体"/>
          <w:color w:val="000000"/>
          <w:sz w:val="24"/>
          <w:highlight w:val="none"/>
          <w:u w:val="single"/>
        </w:rPr>
        <w:t>考核得分大于等于</w:t>
      </w:r>
      <w:r>
        <w:rPr>
          <w:rFonts w:ascii="宋体" w:hAnsi="宋体" w:cs="宋体"/>
          <w:color w:val="000000"/>
          <w:sz w:val="24"/>
          <w:highlight w:val="none"/>
          <w:u w:val="single"/>
        </w:rPr>
        <w:t>80</w:t>
      </w:r>
      <w:r>
        <w:rPr>
          <w:rFonts w:hint="eastAsia" w:ascii="宋体" w:hAnsi="宋体" w:cs="宋体"/>
          <w:color w:val="000000"/>
          <w:sz w:val="24"/>
          <w:highlight w:val="none"/>
          <w:u w:val="single"/>
        </w:rPr>
        <w:t>分为合格，低于</w:t>
      </w:r>
      <w:r>
        <w:rPr>
          <w:rFonts w:ascii="宋体" w:hAnsi="宋体" w:cs="宋体"/>
          <w:color w:val="000000"/>
          <w:sz w:val="24"/>
          <w:highlight w:val="none"/>
          <w:u w:val="single"/>
        </w:rPr>
        <w:t>80</w:t>
      </w:r>
      <w:r>
        <w:rPr>
          <w:rFonts w:hint="eastAsia" w:ascii="宋体" w:hAnsi="宋体" w:cs="宋体"/>
          <w:color w:val="000000"/>
          <w:sz w:val="24"/>
          <w:highlight w:val="none"/>
          <w:u w:val="single"/>
        </w:rPr>
        <w:t>分为不合格。由甲方组织有关人员进行评审。考核合格后按照合同分期要求支付运维费。</w:t>
      </w:r>
    </w:p>
    <w:p w14:paraId="41F243D0">
      <w:pPr>
        <w:spacing w:line="360" w:lineRule="auto"/>
        <w:ind w:firstLine="480" w:firstLineChars="20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iCs/>
          <w:sz w:val="24"/>
          <w:highlight w:val="none"/>
        </w:rPr>
        <w:t>8.质量保修范围和保修期：</w:t>
      </w:r>
      <w:r>
        <w:rPr>
          <w:rFonts w:hint="eastAsia" w:asciiTheme="minorEastAsia" w:hAnsiTheme="minorEastAsia" w:eastAsiaTheme="minorEastAsia" w:cstheme="minorEastAsia"/>
          <w:sz w:val="24"/>
          <w:highlight w:val="none"/>
          <w:u w:val="single"/>
        </w:rPr>
        <w:t xml:space="preserve">          /               </w:t>
      </w:r>
    </w:p>
    <w:p w14:paraId="06206ACB">
      <w:pPr>
        <w:spacing w:line="360" w:lineRule="auto"/>
        <w:ind w:firstLine="480" w:firstLineChars="200"/>
        <w:jc w:val="left"/>
        <w:rPr>
          <w:rFonts w:hint="eastAsia"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iCs/>
          <w:sz w:val="24"/>
          <w:highlight w:val="none"/>
        </w:rPr>
        <w:t>9.知识产权归属、处理方式：</w:t>
      </w:r>
      <w:r>
        <w:rPr>
          <w:rFonts w:hint="eastAsia" w:asciiTheme="minorEastAsia" w:hAnsiTheme="minorEastAsia" w:eastAsiaTheme="minorEastAsia" w:cstheme="minorEastAsia"/>
          <w:sz w:val="24"/>
          <w:highlight w:val="none"/>
          <w:u w:val="single"/>
        </w:rPr>
        <w:t xml:space="preserve">  </w:t>
      </w:r>
      <w:r>
        <w:rPr>
          <w:iCs/>
          <w:sz w:val="24"/>
          <w:highlight w:val="none"/>
          <w:u w:val="single"/>
        </w:rPr>
        <w:t>本项目执行过程中所产生的数据资料和技术报告均为采购</w:t>
      </w:r>
      <w:r>
        <w:rPr>
          <w:rFonts w:hint="eastAsia"/>
          <w:iCs/>
          <w:sz w:val="24"/>
          <w:highlight w:val="none"/>
          <w:u w:val="single"/>
        </w:rPr>
        <w:t>人</w:t>
      </w:r>
      <w:r>
        <w:rPr>
          <w:iCs/>
          <w:sz w:val="24"/>
          <w:highlight w:val="none"/>
          <w:u w:val="single"/>
        </w:rPr>
        <w:t>所有，供应商未经同意不得擅自使用，由此产生的一切后果由供应商承担。供应商需和采购</w:t>
      </w:r>
      <w:r>
        <w:rPr>
          <w:rFonts w:hint="eastAsia"/>
          <w:iCs/>
          <w:sz w:val="24"/>
          <w:highlight w:val="none"/>
          <w:u w:val="single"/>
        </w:rPr>
        <w:t>人</w:t>
      </w:r>
      <w:r>
        <w:rPr>
          <w:iCs/>
          <w:sz w:val="24"/>
          <w:highlight w:val="none"/>
          <w:u w:val="single"/>
        </w:rPr>
        <w:t>签订相应的保密协议。供应商对在服务过程中接触到的采购方的任何资料、文件、数据以及对服务形成的任何交付物负有保密责任，未经采购</w:t>
      </w:r>
      <w:r>
        <w:rPr>
          <w:rFonts w:hint="eastAsia"/>
          <w:iCs/>
          <w:sz w:val="24"/>
          <w:highlight w:val="none"/>
          <w:u w:val="single"/>
        </w:rPr>
        <w:t>人</w:t>
      </w:r>
      <w:r>
        <w:rPr>
          <w:iCs/>
          <w:sz w:val="24"/>
          <w:highlight w:val="none"/>
          <w:u w:val="single"/>
        </w:rPr>
        <w:t>书面同意，供应商不得以任何形式进行利用，不得以任何方式向任何第三方提供或透露。供应商如违反上述保密规定，采购人有权终止合同，并要求</w:t>
      </w:r>
      <w:r>
        <w:rPr>
          <w:sz w:val="24"/>
          <w:highlight w:val="none"/>
          <w:u w:val="single"/>
        </w:rPr>
        <w:t>中标方承担相应违约责任，并支付违约金，违约金最高限价为合同金额的20%</w:t>
      </w:r>
      <w:r>
        <w:rPr>
          <w:iCs/>
          <w:sz w:val="24"/>
          <w:highlight w:val="none"/>
          <w:u w:val="single"/>
        </w:rPr>
        <w:t>。本保密义务不因本项目合同期满、解除或终止而终止，除非采购方书面通知供应商解密，否则，供应商在合同终止后仍然负有保密义务。</w:t>
      </w:r>
      <w:r>
        <w:rPr>
          <w:rFonts w:hint="eastAsia" w:asciiTheme="minorEastAsia" w:hAnsiTheme="minorEastAsia" w:eastAsiaTheme="minorEastAsia" w:cstheme="minorEastAsia"/>
          <w:iCs/>
          <w:sz w:val="24"/>
          <w:highlight w:val="none"/>
          <w:u w:val="single"/>
        </w:rPr>
        <w:t xml:space="preserve"> </w:t>
      </w:r>
    </w:p>
    <w:p w14:paraId="24AD9443">
      <w:pPr>
        <w:spacing w:line="360" w:lineRule="auto"/>
        <w:ind w:firstLine="480" w:firstLineChars="200"/>
        <w:jc w:val="left"/>
        <w:rPr>
          <w:rFonts w:hint="eastAsia" w:asciiTheme="minorEastAsia" w:hAnsiTheme="minorEastAsia" w:eastAsiaTheme="minorEastAsia" w:cstheme="minorEastAsia"/>
          <w:iCs/>
          <w:sz w:val="24"/>
          <w:highlight w:val="none"/>
        </w:rPr>
      </w:pPr>
      <w:r>
        <w:rPr>
          <w:rFonts w:hint="eastAsia" w:asciiTheme="minorEastAsia" w:hAnsiTheme="minorEastAsia" w:eastAsiaTheme="minorEastAsia" w:cstheme="minorEastAsia"/>
          <w:iCs/>
          <w:sz w:val="24"/>
          <w:highlight w:val="none"/>
        </w:rPr>
        <w:t>10.成本补偿、风险分担约定</w:t>
      </w:r>
    </w:p>
    <w:p w14:paraId="321D8FC1">
      <w:pPr>
        <w:spacing w:line="360" w:lineRule="auto"/>
        <w:ind w:firstLine="480" w:firstLineChars="200"/>
        <w:jc w:val="left"/>
        <w:rPr>
          <w:rFonts w:hint="eastAsia" w:asciiTheme="minorEastAsia" w:hAnsiTheme="minorEastAsia" w:cstheme="minorEastAsia"/>
          <w:iCs/>
          <w:sz w:val="24"/>
          <w:highlight w:val="none"/>
          <w:u w:val="single"/>
        </w:rPr>
      </w:pPr>
      <w:r>
        <w:rPr>
          <w:bCs/>
          <w:sz w:val="24"/>
          <w:highlight w:val="none"/>
          <w:u w:val="single"/>
        </w:rPr>
        <w:t>采购人</w:t>
      </w:r>
      <w:r>
        <w:rPr>
          <w:rFonts w:hint="eastAsia"/>
          <w:bCs/>
          <w:sz w:val="24"/>
          <w:highlight w:val="none"/>
          <w:u w:val="single"/>
        </w:rPr>
        <w:t>按要求对项目进行考核，考核要求详见附件。对不达要求的，扣减相应的服务费，并有权终止合同。</w:t>
      </w:r>
    </w:p>
    <w:p w14:paraId="3320A88B">
      <w:pPr>
        <w:spacing w:line="360" w:lineRule="auto"/>
        <w:ind w:firstLine="480" w:firstLineChars="200"/>
        <w:jc w:val="left"/>
        <w:rPr>
          <w:rFonts w:hint="eastAsia" w:asciiTheme="minorEastAsia" w:hAnsiTheme="minorEastAsia" w:eastAsiaTheme="minorEastAsia" w:cstheme="minorEastAsia"/>
          <w:iCs/>
          <w:sz w:val="24"/>
          <w:highlight w:val="none"/>
        </w:rPr>
      </w:pPr>
      <w:r>
        <w:rPr>
          <w:rFonts w:hint="eastAsia" w:asciiTheme="minorEastAsia" w:hAnsiTheme="minorEastAsia" w:eastAsiaTheme="minorEastAsia" w:cstheme="minorEastAsia"/>
          <w:iCs/>
          <w:sz w:val="24"/>
          <w:highlight w:val="none"/>
        </w:rPr>
        <w:t>11.违约责任与解决争议的方法：</w:t>
      </w:r>
    </w:p>
    <w:p w14:paraId="06EEB6A3">
      <w:pPr>
        <w:spacing w:line="360" w:lineRule="auto"/>
        <w:ind w:firstLine="480" w:firstLineChars="200"/>
        <w:rPr>
          <w:rFonts w:hint="eastAsia"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iCs/>
          <w:sz w:val="24"/>
          <w:highlight w:val="none"/>
          <w:u w:val="single"/>
        </w:rPr>
        <w:t>违约责任：</w:t>
      </w:r>
    </w:p>
    <w:p w14:paraId="0EE15266">
      <w:pPr>
        <w:spacing w:line="360" w:lineRule="auto"/>
        <w:ind w:firstLine="480" w:firstLineChars="200"/>
        <w:rPr>
          <w:sz w:val="24"/>
          <w:highlight w:val="none"/>
          <w:u w:val="single"/>
        </w:rPr>
      </w:pPr>
      <w:r>
        <w:rPr>
          <w:rFonts w:hint="eastAsia"/>
          <w:sz w:val="24"/>
          <w:highlight w:val="none"/>
          <w:u w:val="single"/>
        </w:rPr>
        <w:t>11</w:t>
      </w:r>
      <w:r>
        <w:rPr>
          <w:sz w:val="24"/>
          <w:highlight w:val="none"/>
          <w:u w:val="single"/>
        </w:rPr>
        <w:t>.1除不可抗力外，如果中标方没有按照合同约定的期限、地点和方式完成约定服务内容，那么采购方可要求中标方支付违约金，违约金按每迟延一日为合同总价的1%计算，最高限额为合同总价的20%；违约金计算数额达到前述最高限额之日起，采购方有权在要求中标方支付违约金的同时，书面通知中标方解除合同。</w:t>
      </w:r>
    </w:p>
    <w:p w14:paraId="7522DBF5">
      <w:pPr>
        <w:spacing w:line="360" w:lineRule="auto"/>
        <w:ind w:firstLine="420"/>
        <w:jc w:val="left"/>
        <w:rPr>
          <w:sz w:val="24"/>
          <w:highlight w:val="none"/>
          <w:u w:val="single"/>
        </w:rPr>
      </w:pPr>
      <w:r>
        <w:rPr>
          <w:rFonts w:hint="eastAsia"/>
          <w:sz w:val="24"/>
          <w:highlight w:val="none"/>
          <w:u w:val="single"/>
        </w:rPr>
        <w:t>11</w:t>
      </w:r>
      <w:r>
        <w:rPr>
          <w:sz w:val="24"/>
          <w:highlight w:val="none"/>
          <w:u w:val="single"/>
        </w:rPr>
        <w:t>.2采购方付款按照财政政策执行，因中标方提交的发票等请款材料不符合财政要求或财政拨款等原因造成采购方不能及时支付项目经费款项的，采购方不承担责任，中标方不得以此为由怠于履行合同义务。如采购方无其他正当理由未按照合同约定的付款方式付款，那么中标方可要求采购方支付违约金，违约金按每迟延付款一日的应付而未付款的0.05%计算，最高限额为合同总价的20%；迟延付款的违约金计算数额达到前述最高限额之日起，中标方有权在要求采购方支付违约金的同时，书面通知采购方解除合同。</w:t>
      </w:r>
    </w:p>
    <w:p w14:paraId="555D3C17">
      <w:pPr>
        <w:spacing w:line="360" w:lineRule="auto"/>
        <w:ind w:firstLine="420"/>
        <w:jc w:val="left"/>
        <w:rPr>
          <w:sz w:val="24"/>
          <w:highlight w:val="none"/>
          <w:u w:val="single"/>
        </w:rPr>
      </w:pPr>
      <w:r>
        <w:rPr>
          <w:rFonts w:hint="eastAsia"/>
          <w:sz w:val="24"/>
          <w:highlight w:val="none"/>
          <w:u w:val="single"/>
        </w:rPr>
        <w:t>11</w:t>
      </w:r>
      <w:r>
        <w:rPr>
          <w:sz w:val="24"/>
          <w:highlight w:val="none"/>
          <w:u w:val="single"/>
        </w:rPr>
        <w:t>.3除不可抗力外，任何一方未能履行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合同。</w:t>
      </w:r>
    </w:p>
    <w:p w14:paraId="74D72262">
      <w:pPr>
        <w:spacing w:line="360" w:lineRule="auto"/>
        <w:ind w:firstLine="420"/>
        <w:jc w:val="left"/>
        <w:rPr>
          <w:sz w:val="24"/>
          <w:highlight w:val="none"/>
          <w:u w:val="single"/>
        </w:rPr>
      </w:pPr>
      <w:r>
        <w:rPr>
          <w:rFonts w:hint="eastAsia"/>
          <w:sz w:val="24"/>
          <w:highlight w:val="none"/>
          <w:u w:val="single"/>
        </w:rPr>
        <w:t>11</w:t>
      </w:r>
      <w:r>
        <w:rPr>
          <w:sz w:val="24"/>
          <w:highlight w:val="none"/>
          <w:u w:val="single"/>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C4EF63F">
      <w:pPr>
        <w:spacing w:line="360" w:lineRule="auto"/>
        <w:ind w:firstLine="420"/>
        <w:jc w:val="left"/>
        <w:rPr>
          <w:sz w:val="24"/>
          <w:highlight w:val="none"/>
          <w:u w:val="single"/>
        </w:rPr>
      </w:pPr>
      <w:r>
        <w:rPr>
          <w:rFonts w:hint="eastAsia"/>
          <w:sz w:val="24"/>
          <w:highlight w:val="none"/>
          <w:u w:val="single"/>
        </w:rPr>
        <w:t>11.</w:t>
      </w:r>
      <w:r>
        <w:rPr>
          <w:sz w:val="24"/>
          <w:highlight w:val="none"/>
          <w:u w:val="single"/>
        </w:rPr>
        <w:t>5除前述约定外，除不可抗力外，任何一方未能履行合同约定的义务，对方当事人均有权要求继续履行、采取补救措施或者赔偿损失等，且对方当事人行使的任何权利救济方式均不视为其放弃了其他法定或者约定的权利救济方式。</w:t>
      </w:r>
    </w:p>
    <w:p w14:paraId="7C49B769">
      <w:pPr>
        <w:spacing w:line="360" w:lineRule="auto"/>
        <w:ind w:firstLine="480" w:firstLineChars="200"/>
        <w:jc w:val="left"/>
        <w:rPr>
          <w:sz w:val="24"/>
          <w:highlight w:val="none"/>
          <w:u w:val="single"/>
        </w:rPr>
      </w:pPr>
      <w:r>
        <w:rPr>
          <w:rFonts w:hint="eastAsia"/>
          <w:sz w:val="24"/>
          <w:highlight w:val="none"/>
          <w:u w:val="single"/>
        </w:rPr>
        <w:t>11</w:t>
      </w:r>
      <w:r>
        <w:rPr>
          <w:sz w:val="24"/>
          <w:highlight w:val="none"/>
          <w:u w:val="single"/>
        </w:rPr>
        <w:t>.6如果出现政府采购监督管理部门在处理投诉事项期间，书面通知采购方暂停采购活动的情形，或者询问或质疑事项可能影响中标结果的，导致采购方中止履行合同的情形，均不视为采购方违约。</w:t>
      </w:r>
    </w:p>
    <w:p w14:paraId="330E1FF8">
      <w:pPr>
        <w:spacing w:line="360" w:lineRule="auto"/>
        <w:ind w:firstLine="480" w:firstLineChars="200"/>
        <w:jc w:val="left"/>
        <w:rPr>
          <w:rFonts w:hint="eastAsia"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iCs/>
          <w:sz w:val="24"/>
          <w:highlight w:val="none"/>
          <w:u w:val="single"/>
        </w:rPr>
        <w:t>争议的解决：</w:t>
      </w:r>
    </w:p>
    <w:p w14:paraId="3FED4B6E">
      <w:pPr>
        <w:spacing w:line="360" w:lineRule="auto"/>
        <w:ind w:firstLine="480" w:firstLineChars="200"/>
        <w:jc w:val="left"/>
        <w:rPr>
          <w:rFonts w:hint="eastAsia" w:asciiTheme="minorEastAsia" w:hAnsiTheme="minorEastAsia" w:eastAsiaTheme="minorEastAsia" w:cstheme="minorEastAsia"/>
          <w:iCs/>
          <w:sz w:val="24"/>
          <w:highlight w:val="none"/>
          <w:u w:val="single"/>
        </w:rPr>
      </w:pPr>
      <w:r>
        <w:rPr>
          <w:sz w:val="24"/>
          <w:highlight w:val="none"/>
          <w:u w:val="single"/>
        </w:rPr>
        <w:t>协商解决。双方不愿协商、调解解决或协商、调解不成的，可按有关规定向杭州仲裁委员会提起仲裁。</w:t>
      </w:r>
    </w:p>
    <w:p w14:paraId="0D7388BD">
      <w:pPr>
        <w:spacing w:line="360" w:lineRule="auto"/>
        <w:ind w:firstLine="480" w:firstLineChars="200"/>
        <w:jc w:val="left"/>
        <w:rPr>
          <w:rFonts w:hint="eastAsia" w:asciiTheme="minorEastAsia" w:hAnsiTheme="minorEastAsia" w:eastAsiaTheme="minorEastAsia" w:cstheme="minorEastAsia"/>
          <w:iCs/>
          <w:sz w:val="24"/>
          <w:highlight w:val="none"/>
        </w:rPr>
      </w:pPr>
      <w:r>
        <w:rPr>
          <w:rFonts w:hint="eastAsia" w:asciiTheme="minorEastAsia" w:hAnsiTheme="minorEastAsia" w:eastAsiaTheme="minorEastAsia" w:cstheme="minorEastAsia"/>
          <w:iCs/>
          <w:sz w:val="24"/>
          <w:highlight w:val="none"/>
        </w:rPr>
        <w:t>12.其他条款</w:t>
      </w:r>
    </w:p>
    <w:p w14:paraId="245182F8">
      <w:pPr>
        <w:spacing w:line="360" w:lineRule="auto"/>
        <w:ind w:firstLine="42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无</w:t>
      </w:r>
    </w:p>
    <w:p w14:paraId="661A226F">
      <w:pPr>
        <w:spacing w:before="312" w:beforeLines="100" w:line="360" w:lineRule="auto"/>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三、履约验收方案</w:t>
      </w:r>
    </w:p>
    <w:p w14:paraId="13A7DAF6">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（一）履约验收主体</w:t>
      </w:r>
    </w:p>
    <w:p w14:paraId="2987D2A8">
      <w:pPr>
        <w:spacing w:line="360" w:lineRule="auto"/>
        <w:ind w:left="420" w:leftChars="20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1.采购单位：</w:t>
      </w:r>
      <w:r>
        <w:rPr>
          <w:rFonts w:hint="eastAsia" w:asciiTheme="minorEastAsia" w:hAnsiTheme="minorEastAsia" w:eastAsiaTheme="minorEastAsia" w:cstheme="minorEastAsia"/>
          <w:sz w:val="24"/>
          <w:highlight w:val="none"/>
          <w:u w:val="single"/>
        </w:rPr>
        <w:t xml:space="preserve"> </w:t>
      </w:r>
      <w:r>
        <w:rPr>
          <w:sz w:val="24"/>
          <w:highlight w:val="none"/>
          <w:u w:val="single"/>
        </w:rPr>
        <w:t>浙江省杭州生态环境监测中心</w:t>
      </w:r>
      <w:r>
        <w:rPr>
          <w:rFonts w:hint="eastAsia" w:asciiTheme="minorEastAsia" w:hAnsiTheme="minorEastAsia" w:eastAsiaTheme="minorEastAsia" w:cstheme="minorEastAsia"/>
          <w:sz w:val="24"/>
          <w:highlight w:val="none"/>
          <w:u w:val="single"/>
        </w:rPr>
        <w:t xml:space="preserve">  </w:t>
      </w:r>
    </w:p>
    <w:p w14:paraId="5AA92EDA">
      <w:pPr>
        <w:spacing w:line="360" w:lineRule="auto"/>
        <w:ind w:left="420" w:leftChars="20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2.是否选择代理机构：</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是</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否</w:t>
      </w:r>
    </w:p>
    <w:p w14:paraId="27774766">
      <w:pPr>
        <w:spacing w:line="360" w:lineRule="auto"/>
        <w:ind w:left="420" w:leftChars="20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3.是否邀请本项目的其他供应商：</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是</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否</w:t>
      </w:r>
    </w:p>
    <w:p w14:paraId="25FAE49B">
      <w:pPr>
        <w:spacing w:line="360" w:lineRule="auto"/>
        <w:ind w:left="420" w:left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4.是否邀请专家：</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00A8"/>
      </w:r>
      <w:r>
        <w:rPr>
          <w:rFonts w:hint="eastAsia" w:asciiTheme="minorEastAsia" w:hAnsiTheme="minorEastAsia" w:eastAsiaTheme="minorEastAsia" w:cstheme="minorEastAsia"/>
          <w:sz w:val="24"/>
          <w:highlight w:val="none"/>
        </w:rPr>
        <w:t>是</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否</w:t>
      </w:r>
    </w:p>
    <w:p w14:paraId="2520CBE7">
      <w:pPr>
        <w:spacing w:line="360" w:lineRule="auto"/>
        <w:ind w:left="420" w:left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5.是否邀请服务对象：</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是</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否</w:t>
      </w:r>
    </w:p>
    <w:p w14:paraId="763B1C3B">
      <w:pPr>
        <w:spacing w:line="360" w:lineRule="auto"/>
        <w:ind w:firstLine="42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6.其他</w:t>
      </w:r>
    </w:p>
    <w:p w14:paraId="54B6EFEE">
      <w:pPr>
        <w:spacing w:line="360" w:lineRule="auto"/>
        <w:jc w:val="left"/>
        <w:rPr>
          <w:sz w:val="24"/>
          <w:highlight w:val="none"/>
          <w:u w:val="single"/>
        </w:rPr>
      </w:pPr>
      <w:r>
        <w:rPr>
          <w:rFonts w:hint="eastAsia" w:asciiTheme="minorEastAsia" w:hAnsiTheme="minorEastAsia" w:eastAsiaTheme="minorEastAsia" w:cstheme="minorEastAsia"/>
          <w:sz w:val="24"/>
          <w:highlight w:val="none"/>
        </w:rPr>
        <w:t>（二）履约验收时间：</w:t>
      </w:r>
      <w:r>
        <w:rPr>
          <w:rFonts w:hint="eastAsia" w:asciiTheme="minorEastAsia" w:hAnsiTheme="minorEastAsia" w:eastAsiaTheme="minorEastAsia" w:cstheme="minorEastAsia"/>
          <w:sz w:val="24"/>
          <w:highlight w:val="none"/>
          <w:u w:val="single"/>
        </w:rPr>
        <w:t xml:space="preserve">    </w:t>
      </w:r>
      <w:r>
        <w:rPr>
          <w:rFonts w:hint="eastAsia"/>
          <w:sz w:val="24"/>
          <w:highlight w:val="none"/>
          <w:u w:val="single"/>
        </w:rPr>
        <w:t xml:space="preserve"> </w:t>
      </w:r>
      <w:r>
        <w:rPr>
          <w:sz w:val="24"/>
          <w:highlight w:val="none"/>
          <w:u w:val="single"/>
        </w:rPr>
        <w:t>2025年12月31日前</w:t>
      </w:r>
      <w:r>
        <w:rPr>
          <w:rFonts w:hint="eastAsia"/>
          <w:sz w:val="24"/>
          <w:highlight w:val="none"/>
          <w:u w:val="single"/>
        </w:rPr>
        <w:t xml:space="preserve">  </w:t>
      </w:r>
    </w:p>
    <w:p w14:paraId="091F57E7">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（三）履约验收方式：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00A8"/>
      </w:r>
      <w:r>
        <w:rPr>
          <w:rFonts w:hint="eastAsia" w:asciiTheme="minorEastAsia" w:hAnsiTheme="minorEastAsia" w:eastAsiaTheme="minorEastAsia" w:cstheme="minorEastAsia"/>
          <w:sz w:val="24"/>
          <w:highlight w:val="none"/>
        </w:rPr>
        <w:t>简易程序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52"/>
      </w:r>
      <w:r>
        <w:rPr>
          <w:rFonts w:hint="eastAsia" w:asciiTheme="minorEastAsia" w:hAnsiTheme="minorEastAsia" w:eastAsiaTheme="minorEastAsia" w:cstheme="minorEastAsia"/>
          <w:sz w:val="24"/>
          <w:highlight w:val="none"/>
        </w:rPr>
        <w:t>一般程序</w:t>
      </w:r>
    </w:p>
    <w:p w14:paraId="127BF59D">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（四）履约验收程序：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一次性验收</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分段验收</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分期验收</w:t>
      </w:r>
    </w:p>
    <w:p w14:paraId="388A4075">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（五）履约验收内容</w:t>
      </w:r>
    </w:p>
    <w:p w14:paraId="2AD799BA">
      <w:pPr>
        <w:spacing w:line="360" w:lineRule="auto"/>
        <w:ind w:firstLine="420"/>
        <w:jc w:val="left"/>
        <w:rPr>
          <w:rFonts w:hint="eastAsia" w:asciiTheme="minorEastAsia" w:hAnsiTheme="minorEastAsia" w:eastAsiaTheme="minorEastAsia" w:cstheme="minorEastAsia"/>
          <w:iCs/>
          <w:sz w:val="24"/>
          <w:highlight w:val="none"/>
        </w:rPr>
      </w:pPr>
      <w:r>
        <w:rPr>
          <w:rFonts w:hint="eastAsia" w:asciiTheme="minorEastAsia" w:hAnsiTheme="minorEastAsia" w:eastAsiaTheme="minorEastAsia" w:cstheme="minorEastAsia"/>
          <w:iCs/>
          <w:sz w:val="24"/>
          <w:highlight w:val="none"/>
        </w:rPr>
        <w:t>1.技术履约内容</w:t>
      </w:r>
    </w:p>
    <w:p w14:paraId="2C314A84">
      <w:pPr>
        <w:spacing w:line="360" w:lineRule="auto"/>
        <w:ind w:firstLine="42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 xml:space="preserve"> 标项一：</w:t>
      </w:r>
    </w:p>
    <w:p w14:paraId="7A046A8A">
      <w:pPr>
        <w:spacing w:line="360" w:lineRule="auto"/>
        <w:ind w:firstLine="420"/>
        <w:jc w:val="left"/>
        <w:rPr>
          <w:sz w:val="24"/>
          <w:highlight w:val="none"/>
          <w:u w:val="single"/>
        </w:rPr>
      </w:pPr>
      <w:r>
        <w:rPr>
          <w:sz w:val="24"/>
          <w:highlight w:val="none"/>
          <w:u w:val="single"/>
        </w:rPr>
        <w:t>（1）是否按照国家和地方相关技术规范开展碳监测站点运维工作；</w:t>
      </w:r>
    </w:p>
    <w:p w14:paraId="16782001">
      <w:pPr>
        <w:spacing w:line="360" w:lineRule="auto"/>
        <w:ind w:firstLine="42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（2）</w:t>
      </w:r>
      <w:r>
        <w:rPr>
          <w:sz w:val="24"/>
          <w:highlight w:val="none"/>
          <w:u w:val="single"/>
        </w:rPr>
        <w:t>是否履行了招投标文件及合同约定；</w:t>
      </w:r>
    </w:p>
    <w:p w14:paraId="1970812F">
      <w:pPr>
        <w:spacing w:line="360" w:lineRule="auto"/>
        <w:ind w:firstLine="42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（3）</w:t>
      </w:r>
      <w:r>
        <w:rPr>
          <w:sz w:val="24"/>
          <w:highlight w:val="none"/>
          <w:u w:val="single"/>
        </w:rPr>
        <w:t>是否通过定期考核；</w:t>
      </w:r>
    </w:p>
    <w:p w14:paraId="0C18B21B">
      <w:pPr>
        <w:spacing w:line="360" w:lineRule="auto"/>
        <w:ind w:firstLine="420"/>
        <w:jc w:val="left"/>
        <w:rPr>
          <w:sz w:val="24"/>
          <w:highlight w:val="none"/>
          <w:u w:val="single"/>
        </w:rPr>
      </w:pPr>
      <w:r>
        <w:rPr>
          <w:rFonts w:hint="eastAsia" w:asciiTheme="minorEastAsia" w:hAnsiTheme="minorEastAsia" w:eastAsiaTheme="minorEastAsia" w:cstheme="minorEastAsia"/>
          <w:sz w:val="24"/>
          <w:highlight w:val="none"/>
          <w:u w:val="single"/>
        </w:rPr>
        <w:t>（4）</w:t>
      </w:r>
      <w:r>
        <w:rPr>
          <w:sz w:val="24"/>
          <w:highlight w:val="none"/>
          <w:u w:val="single"/>
        </w:rPr>
        <w:t>是否按时提交运维总结报告和数据质量分析报告。</w:t>
      </w:r>
    </w:p>
    <w:p w14:paraId="2A757AF8">
      <w:pPr>
        <w:spacing w:line="360" w:lineRule="auto"/>
        <w:ind w:firstLine="480" w:firstLineChars="200"/>
        <w:contextualSpacing/>
        <w:rPr>
          <w:sz w:val="24"/>
          <w:highlight w:val="none"/>
          <w:u w:val="single"/>
        </w:rPr>
      </w:pPr>
      <w:r>
        <w:rPr>
          <w:rFonts w:hint="eastAsia"/>
          <w:sz w:val="24"/>
          <w:highlight w:val="none"/>
          <w:u w:val="single"/>
        </w:rPr>
        <w:t>标项二：</w:t>
      </w:r>
    </w:p>
    <w:p w14:paraId="77FB48AB">
      <w:pPr>
        <w:spacing w:line="360" w:lineRule="auto"/>
        <w:ind w:firstLine="480" w:firstLineChars="200"/>
        <w:contextualSpacing/>
        <w:rPr>
          <w:sz w:val="24"/>
          <w:highlight w:val="none"/>
          <w:u w:val="single"/>
        </w:rPr>
      </w:pPr>
      <w:r>
        <w:rPr>
          <w:sz w:val="24"/>
          <w:highlight w:val="none"/>
          <w:u w:val="single"/>
        </w:rPr>
        <w:t>（1）是否按</w:t>
      </w:r>
      <w:r>
        <w:rPr>
          <w:rFonts w:hint="eastAsia"/>
          <w:sz w:val="24"/>
          <w:highlight w:val="none"/>
          <w:u w:val="single"/>
        </w:rPr>
        <w:t>要求及时</w:t>
      </w:r>
      <w:r>
        <w:rPr>
          <w:sz w:val="24"/>
          <w:highlight w:val="none"/>
          <w:u w:val="single"/>
        </w:rPr>
        <w:t>提供月度数据分析报告</w:t>
      </w:r>
      <w:r>
        <w:rPr>
          <w:rFonts w:hint="eastAsia"/>
          <w:sz w:val="24"/>
          <w:highlight w:val="none"/>
          <w:u w:val="single"/>
        </w:rPr>
        <w:t>和总结报告</w:t>
      </w:r>
      <w:r>
        <w:rPr>
          <w:sz w:val="24"/>
          <w:highlight w:val="none"/>
          <w:u w:val="single"/>
        </w:rPr>
        <w:t>；</w:t>
      </w:r>
    </w:p>
    <w:p w14:paraId="7E1FBA62">
      <w:pPr>
        <w:spacing w:line="360" w:lineRule="auto"/>
        <w:ind w:firstLine="480" w:firstLineChars="200"/>
        <w:contextualSpacing/>
        <w:rPr>
          <w:sz w:val="24"/>
          <w:highlight w:val="none"/>
          <w:u w:val="single"/>
        </w:rPr>
      </w:pPr>
      <w:r>
        <w:rPr>
          <w:sz w:val="24"/>
          <w:highlight w:val="none"/>
          <w:u w:val="single"/>
        </w:rPr>
        <w:t>（2）是否按要求及时提供</w:t>
      </w:r>
      <w:r>
        <w:rPr>
          <w:rFonts w:hint="eastAsia"/>
          <w:sz w:val="24"/>
          <w:highlight w:val="none"/>
          <w:u w:val="single"/>
        </w:rPr>
        <w:t>相关的总结汇报材料等</w:t>
      </w:r>
      <w:r>
        <w:rPr>
          <w:sz w:val="24"/>
          <w:highlight w:val="none"/>
          <w:u w:val="single"/>
        </w:rPr>
        <w:t>；</w:t>
      </w:r>
    </w:p>
    <w:p w14:paraId="223E41F5">
      <w:pPr>
        <w:spacing w:line="360" w:lineRule="auto"/>
        <w:ind w:firstLine="420"/>
        <w:jc w:val="left"/>
        <w:rPr>
          <w:rFonts w:hint="eastAsia" w:asciiTheme="minorEastAsia" w:hAnsiTheme="minorEastAsia" w:eastAsiaTheme="minorEastAsia" w:cstheme="minorEastAsia"/>
          <w:iCs/>
          <w:sz w:val="24"/>
          <w:highlight w:val="none"/>
        </w:rPr>
      </w:pPr>
      <w:r>
        <w:rPr>
          <w:rFonts w:hint="eastAsia" w:asciiTheme="minorEastAsia" w:hAnsiTheme="minorEastAsia" w:eastAsiaTheme="minorEastAsia" w:cstheme="minorEastAsia"/>
          <w:iCs/>
          <w:sz w:val="24"/>
          <w:highlight w:val="none"/>
        </w:rPr>
        <w:t>2.商务履约内容</w:t>
      </w:r>
    </w:p>
    <w:p w14:paraId="49750D53">
      <w:pPr>
        <w:adjustRightInd w:val="0"/>
        <w:snapToGrid w:val="0"/>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 xml:space="preserve">  </w:t>
      </w:r>
      <w:r>
        <w:rPr>
          <w:sz w:val="24"/>
          <w:highlight w:val="none"/>
          <w:u w:val="single"/>
        </w:rPr>
        <w:t>是否有其他不按合同规定的情形。</w:t>
      </w:r>
      <w:r>
        <w:rPr>
          <w:rFonts w:hint="eastAsia" w:asciiTheme="minorEastAsia" w:hAnsiTheme="minorEastAsia" w:eastAsiaTheme="minorEastAsia" w:cstheme="minorEastAsia"/>
          <w:sz w:val="24"/>
          <w:highlight w:val="none"/>
          <w:u w:val="single"/>
        </w:rPr>
        <w:t xml:space="preserve">         </w:t>
      </w:r>
    </w:p>
    <w:p w14:paraId="2A8D0145">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（六）履约验收标准</w:t>
      </w:r>
    </w:p>
    <w:p w14:paraId="7E767EEB">
      <w:pPr>
        <w:spacing w:line="360" w:lineRule="auto"/>
        <w:ind w:firstLine="42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 xml:space="preserve"> 标项一：</w:t>
      </w:r>
    </w:p>
    <w:p w14:paraId="22EFE8D2">
      <w:pPr>
        <w:spacing w:line="360" w:lineRule="auto"/>
        <w:ind w:firstLine="420"/>
        <w:jc w:val="left"/>
        <w:rPr>
          <w:rFonts w:hint="eastAsia" w:ascii="宋体" w:hAnsi="宋体" w:cs="宋体"/>
          <w:sz w:val="24"/>
          <w:highlight w:val="none"/>
          <w:u w:val="single"/>
        </w:rPr>
      </w:pPr>
      <w:r>
        <w:rPr>
          <w:sz w:val="24"/>
          <w:highlight w:val="none"/>
          <w:u w:val="words"/>
        </w:rPr>
        <w:t>1.</w:t>
      </w:r>
      <w:r>
        <w:rPr>
          <w:rFonts w:hint="eastAsia" w:ascii="宋体" w:hAnsi="宋体" w:cs="宋体"/>
          <w:sz w:val="24"/>
          <w:highlight w:val="none"/>
          <w:u w:val="single"/>
        </w:rPr>
        <w:t xml:space="preserve">国家和地方相关技术规范 </w:t>
      </w:r>
    </w:p>
    <w:p w14:paraId="68C3860C">
      <w:pPr>
        <w:spacing w:line="360" w:lineRule="auto"/>
        <w:ind w:firstLine="480" w:firstLineChars="200"/>
        <w:contextualSpacing/>
        <w:rPr>
          <w:sz w:val="24"/>
          <w:highlight w:val="none"/>
          <w:u w:val="words"/>
        </w:rPr>
      </w:pPr>
      <w:r>
        <w:rPr>
          <w:rFonts w:hint="eastAsia"/>
          <w:sz w:val="24"/>
          <w:highlight w:val="none"/>
          <w:u w:val="words"/>
        </w:rPr>
        <w:t>2</w:t>
      </w:r>
      <w:r>
        <w:rPr>
          <w:sz w:val="24"/>
          <w:highlight w:val="none"/>
          <w:u w:val="words"/>
        </w:rPr>
        <w:t xml:space="preserve">.招投标文件、合同 </w:t>
      </w:r>
    </w:p>
    <w:p w14:paraId="2FFA5852">
      <w:pPr>
        <w:spacing w:line="360" w:lineRule="auto"/>
        <w:ind w:firstLine="480" w:firstLineChars="200"/>
        <w:contextualSpacing/>
        <w:rPr>
          <w:sz w:val="24"/>
          <w:highlight w:val="none"/>
          <w:u w:val="single"/>
        </w:rPr>
      </w:pPr>
      <w:r>
        <w:rPr>
          <w:rFonts w:hint="eastAsia"/>
          <w:sz w:val="24"/>
          <w:highlight w:val="none"/>
          <w:u w:val="single"/>
        </w:rPr>
        <w:t>标项二：</w:t>
      </w:r>
    </w:p>
    <w:p w14:paraId="321B1316">
      <w:pPr>
        <w:spacing w:line="360" w:lineRule="auto"/>
        <w:ind w:firstLine="420"/>
        <w:jc w:val="left"/>
        <w:rPr>
          <w:rFonts w:hint="eastAsia" w:ascii="宋体" w:hAnsi="宋体" w:cs="宋体"/>
          <w:sz w:val="24"/>
          <w:highlight w:val="none"/>
          <w:u w:val="single"/>
        </w:rPr>
      </w:pPr>
      <w:r>
        <w:rPr>
          <w:rFonts w:hint="eastAsia" w:ascii="宋体" w:hAnsi="宋体" w:cs="宋体"/>
          <w:sz w:val="24"/>
          <w:highlight w:val="none"/>
          <w:u w:val="single"/>
        </w:rPr>
        <w:t xml:space="preserve">1.国家和地方相关技术规范 </w:t>
      </w:r>
    </w:p>
    <w:p w14:paraId="53B80FE7">
      <w:pPr>
        <w:spacing w:line="360" w:lineRule="auto"/>
        <w:ind w:firstLine="420"/>
        <w:jc w:val="left"/>
        <w:rPr>
          <w:rFonts w:hint="eastAsia" w:ascii="宋体" w:hAnsi="宋体" w:cs="宋体"/>
          <w:sz w:val="24"/>
          <w:highlight w:val="none"/>
          <w:u w:val="single"/>
        </w:rPr>
      </w:pPr>
      <w:r>
        <w:rPr>
          <w:rFonts w:hint="eastAsia" w:ascii="宋体" w:hAnsi="宋体" w:cs="宋体"/>
          <w:sz w:val="24"/>
          <w:highlight w:val="none"/>
          <w:u w:val="single"/>
        </w:rPr>
        <w:t xml:space="preserve">2.招投标文件、合同 </w:t>
      </w:r>
    </w:p>
    <w:p w14:paraId="5746F3BF">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（七）履约验收其他事项</w:t>
      </w:r>
    </w:p>
    <w:p w14:paraId="5801D6A1">
      <w:pPr>
        <w:spacing w:line="360" w:lineRule="auto"/>
        <w:ind w:firstLine="42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无</w:t>
      </w:r>
    </w:p>
    <w:p w14:paraId="5993BC13">
      <w:pPr>
        <w:spacing w:before="312" w:beforeLines="100" w:line="360" w:lineRule="auto"/>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四、风险控制措施和替代方案</w:t>
      </w:r>
    </w:p>
    <w:p w14:paraId="13A2F9B9">
      <w:pPr>
        <w:spacing w:line="360" w:lineRule="auto"/>
        <w:ind w:firstLine="42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该采购项目按照《政府采购需求管理办法》第二十五条规定，是否需要组织风险判断、提出处置措施和替代方案：</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是</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sym w:font="Wingdings 2" w:char="0052"/>
      </w:r>
      <w:r>
        <w:rPr>
          <w:rFonts w:hint="eastAsia" w:asciiTheme="minorEastAsia" w:hAnsiTheme="minorEastAsia" w:eastAsiaTheme="minorEastAsia" w:cstheme="minorEastAsia"/>
          <w:sz w:val="24"/>
          <w:highlight w:val="none"/>
        </w:rPr>
        <w:t>否</w:t>
      </w:r>
    </w:p>
    <w:p w14:paraId="6E52F95C">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（一）国家政策变化应对措施</w:t>
      </w:r>
    </w:p>
    <w:p w14:paraId="00351F62">
      <w:pPr>
        <w:spacing w:line="360" w:lineRule="auto"/>
        <w:ind w:firstLine="424" w:firstLineChars="177"/>
        <w:jc w:val="left"/>
        <w:rPr>
          <w:sz w:val="24"/>
          <w:highlight w:val="none"/>
          <w:u w:val="single"/>
        </w:rPr>
      </w:pPr>
      <w:r>
        <w:rPr>
          <w:sz w:val="24"/>
          <w:highlight w:val="none"/>
          <w:u w:val="single"/>
        </w:rPr>
        <w:t>（1）积极响应国家政策，调整项目需求以满足国家政策的要求；</w:t>
      </w:r>
    </w:p>
    <w:p w14:paraId="1101A7E1">
      <w:pPr>
        <w:spacing w:line="360" w:lineRule="auto"/>
        <w:ind w:firstLine="424" w:firstLineChars="177"/>
        <w:jc w:val="left"/>
        <w:rPr>
          <w:sz w:val="24"/>
          <w:highlight w:val="none"/>
          <w:u w:val="single"/>
        </w:rPr>
      </w:pPr>
      <w:r>
        <w:rPr>
          <w:sz w:val="24"/>
          <w:highlight w:val="none"/>
          <w:u w:val="single"/>
        </w:rPr>
        <w:t>（2）当需求无法满足国家政策要求时，应停止相应部分的开发；</w:t>
      </w:r>
    </w:p>
    <w:p w14:paraId="07921BD7">
      <w:pPr>
        <w:spacing w:line="360" w:lineRule="auto"/>
        <w:ind w:firstLine="424" w:firstLineChars="177"/>
        <w:jc w:val="left"/>
        <w:rPr>
          <w:sz w:val="24"/>
          <w:highlight w:val="none"/>
          <w:u w:val="single"/>
        </w:rPr>
      </w:pPr>
      <w:r>
        <w:rPr>
          <w:sz w:val="24"/>
          <w:highlight w:val="none"/>
          <w:u w:val="single"/>
        </w:rPr>
        <w:t>（3）当项目的实施与国家政策严重冲突时，停止项目开发，并积极弥补项目损失。</w:t>
      </w:r>
    </w:p>
    <w:p w14:paraId="0B42B253">
      <w:pPr>
        <w:spacing w:line="360" w:lineRule="auto"/>
        <w:ind w:firstLine="424" w:firstLineChars="177"/>
        <w:jc w:val="left"/>
        <w:outlineLvl w:val="1"/>
        <w:rPr>
          <w:sz w:val="24"/>
          <w:highlight w:val="none"/>
        </w:rPr>
      </w:pPr>
      <w:r>
        <w:rPr>
          <w:sz w:val="24"/>
          <w:highlight w:val="none"/>
        </w:rPr>
        <w:t>（二）实施环境变化应对措施</w:t>
      </w:r>
    </w:p>
    <w:p w14:paraId="18BFCE10">
      <w:pPr>
        <w:spacing w:line="360" w:lineRule="auto"/>
        <w:ind w:firstLine="424" w:firstLineChars="177"/>
        <w:jc w:val="left"/>
        <w:rPr>
          <w:sz w:val="24"/>
          <w:highlight w:val="none"/>
          <w:u w:val="single"/>
        </w:rPr>
      </w:pPr>
      <w:r>
        <w:rPr>
          <w:sz w:val="24"/>
          <w:highlight w:val="none"/>
          <w:u w:val="single"/>
        </w:rPr>
        <w:t>（1）环境变化不影响项目实施，积极主动的推进项目实施；</w:t>
      </w:r>
    </w:p>
    <w:p w14:paraId="1150F26B">
      <w:pPr>
        <w:spacing w:line="360" w:lineRule="auto"/>
        <w:ind w:firstLine="424" w:firstLineChars="177"/>
        <w:jc w:val="left"/>
        <w:rPr>
          <w:sz w:val="24"/>
          <w:highlight w:val="none"/>
          <w:u w:val="single"/>
        </w:rPr>
      </w:pPr>
      <w:r>
        <w:rPr>
          <w:sz w:val="24"/>
          <w:highlight w:val="none"/>
          <w:u w:val="single"/>
        </w:rPr>
        <w:t>（2）力求建设满足项目实施的环境条件；</w:t>
      </w:r>
    </w:p>
    <w:p w14:paraId="6970BE27">
      <w:pPr>
        <w:spacing w:line="360" w:lineRule="auto"/>
        <w:ind w:firstLine="424" w:firstLineChars="177"/>
        <w:jc w:val="left"/>
        <w:rPr>
          <w:sz w:val="24"/>
          <w:highlight w:val="none"/>
          <w:u w:val="single"/>
        </w:rPr>
      </w:pPr>
      <w:r>
        <w:rPr>
          <w:sz w:val="24"/>
          <w:highlight w:val="none"/>
          <w:u w:val="single"/>
        </w:rPr>
        <w:t>（3）做好项目冗余保障工作，当环境变化时，可以针对变化积极调整。</w:t>
      </w:r>
    </w:p>
    <w:p w14:paraId="253BD4EA">
      <w:pPr>
        <w:spacing w:line="360" w:lineRule="auto"/>
        <w:ind w:firstLine="424" w:firstLineChars="177"/>
        <w:jc w:val="left"/>
        <w:outlineLvl w:val="1"/>
        <w:rPr>
          <w:sz w:val="24"/>
          <w:highlight w:val="none"/>
        </w:rPr>
      </w:pPr>
      <w:r>
        <w:rPr>
          <w:sz w:val="24"/>
          <w:highlight w:val="none"/>
        </w:rPr>
        <w:t>（三）重大技术变化应对措施</w:t>
      </w:r>
    </w:p>
    <w:p w14:paraId="0363CC89">
      <w:pPr>
        <w:spacing w:line="360" w:lineRule="auto"/>
        <w:ind w:firstLine="424" w:firstLineChars="177"/>
        <w:jc w:val="left"/>
        <w:rPr>
          <w:sz w:val="24"/>
          <w:highlight w:val="none"/>
          <w:u w:val="single"/>
        </w:rPr>
      </w:pPr>
      <w:r>
        <w:rPr>
          <w:sz w:val="24"/>
          <w:highlight w:val="none"/>
          <w:u w:val="single"/>
        </w:rPr>
        <w:t>（1）现有技术足以满足项目实施需求时，不做技术变革；</w:t>
      </w:r>
    </w:p>
    <w:p w14:paraId="26AA47BD">
      <w:pPr>
        <w:spacing w:line="360" w:lineRule="auto"/>
        <w:ind w:firstLine="424" w:firstLineChars="177"/>
        <w:jc w:val="left"/>
        <w:rPr>
          <w:sz w:val="24"/>
          <w:highlight w:val="none"/>
          <w:u w:val="single"/>
        </w:rPr>
      </w:pPr>
      <w:r>
        <w:rPr>
          <w:sz w:val="24"/>
          <w:highlight w:val="none"/>
          <w:u w:val="single"/>
        </w:rPr>
        <w:t>（2）现有技术存在缺陷，可采用新的技术弥补时，采用新的技术；</w:t>
      </w:r>
    </w:p>
    <w:p w14:paraId="6D8ED854">
      <w:pPr>
        <w:spacing w:line="360" w:lineRule="auto"/>
        <w:ind w:firstLine="424" w:firstLineChars="177"/>
        <w:jc w:val="left"/>
        <w:rPr>
          <w:sz w:val="24"/>
          <w:highlight w:val="none"/>
          <w:u w:val="single"/>
        </w:rPr>
      </w:pPr>
      <w:r>
        <w:rPr>
          <w:sz w:val="24"/>
          <w:highlight w:val="none"/>
          <w:u w:val="single"/>
        </w:rPr>
        <w:t>（3）新技术能够带来成本降低及工期缩短时，采用新的技术。</w:t>
      </w:r>
    </w:p>
    <w:p w14:paraId="1C0DF0F9">
      <w:pPr>
        <w:spacing w:line="360" w:lineRule="auto"/>
        <w:ind w:firstLine="424" w:firstLineChars="177"/>
        <w:jc w:val="left"/>
        <w:outlineLvl w:val="1"/>
        <w:rPr>
          <w:sz w:val="24"/>
          <w:highlight w:val="none"/>
        </w:rPr>
      </w:pPr>
      <w:r>
        <w:rPr>
          <w:sz w:val="24"/>
          <w:highlight w:val="none"/>
        </w:rPr>
        <w:t>（四）预算项目调整应对措施</w:t>
      </w:r>
    </w:p>
    <w:p w14:paraId="5DE24E02">
      <w:pPr>
        <w:spacing w:line="360" w:lineRule="auto"/>
        <w:ind w:firstLine="424" w:firstLineChars="177"/>
        <w:jc w:val="left"/>
        <w:rPr>
          <w:sz w:val="24"/>
          <w:highlight w:val="none"/>
          <w:u w:val="single"/>
        </w:rPr>
      </w:pPr>
      <w:r>
        <w:rPr>
          <w:sz w:val="24"/>
          <w:highlight w:val="none"/>
          <w:u w:val="single"/>
        </w:rPr>
        <w:t>（1）确定项目需求核心内容，力保项目核心部分建设；</w:t>
      </w:r>
    </w:p>
    <w:p w14:paraId="4DD77C7D">
      <w:pPr>
        <w:spacing w:line="360" w:lineRule="auto"/>
        <w:ind w:firstLine="424" w:firstLineChars="177"/>
        <w:jc w:val="left"/>
        <w:rPr>
          <w:sz w:val="24"/>
          <w:highlight w:val="none"/>
          <w:u w:val="single"/>
        </w:rPr>
      </w:pPr>
      <w:r>
        <w:rPr>
          <w:sz w:val="24"/>
          <w:highlight w:val="none"/>
          <w:u w:val="single"/>
        </w:rPr>
        <w:t>（2）裁撤对项目影响较小的需求；</w:t>
      </w:r>
    </w:p>
    <w:p w14:paraId="5ECFB87A">
      <w:pPr>
        <w:spacing w:line="360" w:lineRule="auto"/>
        <w:ind w:firstLine="424" w:firstLineChars="177"/>
        <w:jc w:val="left"/>
        <w:rPr>
          <w:sz w:val="24"/>
          <w:highlight w:val="none"/>
          <w:u w:val="single"/>
        </w:rPr>
      </w:pPr>
      <w:r>
        <w:rPr>
          <w:sz w:val="24"/>
          <w:highlight w:val="none"/>
          <w:u w:val="single"/>
        </w:rPr>
        <w:t>（3）争取机动资金，保证项目的建设和完善。</w:t>
      </w:r>
    </w:p>
    <w:p w14:paraId="61E4FDD4">
      <w:pPr>
        <w:spacing w:line="360" w:lineRule="auto"/>
        <w:ind w:firstLine="424" w:firstLineChars="177"/>
        <w:jc w:val="left"/>
        <w:outlineLvl w:val="1"/>
        <w:rPr>
          <w:sz w:val="24"/>
          <w:highlight w:val="none"/>
        </w:rPr>
      </w:pPr>
      <w:r>
        <w:rPr>
          <w:sz w:val="24"/>
          <w:highlight w:val="none"/>
        </w:rPr>
        <w:t>（五）因质疑投诉影响采购进度应对措施</w:t>
      </w:r>
    </w:p>
    <w:p w14:paraId="28EAA23B">
      <w:pPr>
        <w:spacing w:line="360" w:lineRule="auto"/>
        <w:ind w:firstLine="424" w:firstLineChars="177"/>
        <w:rPr>
          <w:sz w:val="24"/>
          <w:szCs w:val="22"/>
          <w:highlight w:val="none"/>
          <w:u w:val="single"/>
        </w:rPr>
      </w:pPr>
      <w:r>
        <w:rPr>
          <w:sz w:val="24"/>
          <w:szCs w:val="22"/>
          <w:highlight w:val="none"/>
          <w:u w:val="single"/>
        </w:rPr>
        <w:t>（1）增强法制观念，提高依法依规采购的能力；</w:t>
      </w:r>
    </w:p>
    <w:p w14:paraId="4C5E80B5">
      <w:pPr>
        <w:spacing w:line="360" w:lineRule="auto"/>
        <w:ind w:firstLine="424" w:firstLineChars="177"/>
        <w:rPr>
          <w:sz w:val="24"/>
          <w:szCs w:val="22"/>
          <w:highlight w:val="none"/>
          <w:u w:val="single"/>
        </w:rPr>
      </w:pPr>
      <w:r>
        <w:rPr>
          <w:sz w:val="24"/>
          <w:szCs w:val="22"/>
          <w:highlight w:val="none"/>
          <w:u w:val="single"/>
        </w:rPr>
        <w:t>（2）提高采购文件制作质量和水平，确保公平公正；</w:t>
      </w:r>
    </w:p>
    <w:p w14:paraId="607C8056">
      <w:pPr>
        <w:spacing w:line="360" w:lineRule="auto"/>
        <w:ind w:firstLine="424" w:firstLineChars="177"/>
        <w:rPr>
          <w:sz w:val="24"/>
          <w:szCs w:val="22"/>
          <w:highlight w:val="none"/>
          <w:u w:val="single"/>
        </w:rPr>
      </w:pPr>
      <w:r>
        <w:rPr>
          <w:sz w:val="24"/>
          <w:szCs w:val="22"/>
          <w:highlight w:val="none"/>
          <w:u w:val="single"/>
        </w:rPr>
        <w:t>（3）严格执行开评标制度，做好现场组织和监督工作；</w:t>
      </w:r>
    </w:p>
    <w:p w14:paraId="23544241">
      <w:pPr>
        <w:spacing w:line="360" w:lineRule="auto"/>
        <w:ind w:firstLine="424" w:firstLineChars="177"/>
        <w:rPr>
          <w:sz w:val="24"/>
          <w:szCs w:val="22"/>
          <w:highlight w:val="none"/>
          <w:u w:val="single"/>
        </w:rPr>
      </w:pPr>
      <w:r>
        <w:rPr>
          <w:sz w:val="24"/>
          <w:szCs w:val="22"/>
          <w:highlight w:val="none"/>
          <w:u w:val="single"/>
        </w:rPr>
        <w:t>（4）主动作为，积极做好质疑投诉答复工作；</w:t>
      </w:r>
    </w:p>
    <w:p w14:paraId="727E7760">
      <w:pPr>
        <w:spacing w:line="360" w:lineRule="auto"/>
        <w:ind w:firstLine="424" w:firstLineChars="177"/>
        <w:jc w:val="left"/>
        <w:rPr>
          <w:sz w:val="24"/>
          <w:highlight w:val="none"/>
          <w:u w:val="single"/>
        </w:rPr>
      </w:pPr>
      <w:r>
        <w:rPr>
          <w:sz w:val="24"/>
          <w:szCs w:val="22"/>
          <w:highlight w:val="none"/>
          <w:u w:val="single"/>
        </w:rPr>
        <w:t>（5）加大政策法规宣传力度，提高供应商自律意识。</w:t>
      </w:r>
    </w:p>
    <w:p w14:paraId="78B68DD1">
      <w:pPr>
        <w:spacing w:line="360" w:lineRule="auto"/>
        <w:ind w:firstLine="424" w:firstLineChars="177"/>
        <w:jc w:val="left"/>
        <w:outlineLvl w:val="1"/>
        <w:rPr>
          <w:sz w:val="24"/>
          <w:highlight w:val="none"/>
        </w:rPr>
      </w:pPr>
      <w:r>
        <w:rPr>
          <w:sz w:val="24"/>
          <w:highlight w:val="none"/>
        </w:rPr>
        <w:t>（六）采购失败应对措施</w:t>
      </w:r>
    </w:p>
    <w:p w14:paraId="0E6B7328">
      <w:pPr>
        <w:spacing w:line="360" w:lineRule="auto"/>
        <w:ind w:firstLine="424" w:firstLineChars="177"/>
        <w:jc w:val="left"/>
        <w:rPr>
          <w:sz w:val="24"/>
          <w:highlight w:val="none"/>
          <w:u w:val="single"/>
        </w:rPr>
      </w:pPr>
      <w:r>
        <w:rPr>
          <w:sz w:val="24"/>
          <w:highlight w:val="none"/>
          <w:u w:val="single"/>
        </w:rPr>
        <w:t>若招标文件不合理或招标程序不合规定，则需要重新招标，否则经批准后，可改用其他采购方式。</w:t>
      </w:r>
    </w:p>
    <w:p w14:paraId="4B2D6C1E">
      <w:pPr>
        <w:spacing w:line="360" w:lineRule="auto"/>
        <w:ind w:firstLine="424" w:firstLineChars="177"/>
        <w:jc w:val="left"/>
        <w:outlineLvl w:val="1"/>
        <w:rPr>
          <w:sz w:val="24"/>
          <w:highlight w:val="none"/>
        </w:rPr>
      </w:pPr>
      <w:r>
        <w:rPr>
          <w:sz w:val="24"/>
          <w:highlight w:val="none"/>
        </w:rPr>
        <w:t>（七）不按规定签订或者履行合同应对措施</w:t>
      </w:r>
    </w:p>
    <w:p w14:paraId="2899A9A5">
      <w:pPr>
        <w:spacing w:line="360" w:lineRule="auto"/>
        <w:ind w:firstLine="424" w:firstLineChars="177"/>
        <w:jc w:val="left"/>
        <w:rPr>
          <w:sz w:val="24"/>
          <w:highlight w:val="none"/>
          <w:u w:val="single"/>
        </w:rPr>
      </w:pPr>
      <w:r>
        <w:rPr>
          <w:sz w:val="24"/>
          <w:highlight w:val="none"/>
          <w:u w:val="single"/>
        </w:rPr>
        <w:t>及时终止招标过程并重新招标，并按要求赔偿相应的经济损失。</w:t>
      </w:r>
    </w:p>
    <w:p w14:paraId="2A0DE440">
      <w:pPr>
        <w:spacing w:line="360" w:lineRule="auto"/>
        <w:ind w:firstLine="424" w:firstLineChars="177"/>
        <w:jc w:val="left"/>
        <w:outlineLvl w:val="1"/>
        <w:rPr>
          <w:sz w:val="24"/>
          <w:highlight w:val="none"/>
        </w:rPr>
      </w:pPr>
      <w:r>
        <w:rPr>
          <w:sz w:val="24"/>
          <w:highlight w:val="none"/>
        </w:rPr>
        <w:t>（八）出现损害国家利益和社会公共利益情形应对措施</w:t>
      </w:r>
    </w:p>
    <w:p w14:paraId="71FA45C3">
      <w:pPr>
        <w:spacing w:line="360" w:lineRule="auto"/>
        <w:ind w:firstLine="424" w:firstLineChars="177"/>
        <w:jc w:val="left"/>
        <w:rPr>
          <w:sz w:val="24"/>
          <w:highlight w:val="none"/>
          <w:u w:val="single"/>
        </w:rPr>
      </w:pPr>
      <w:r>
        <w:rPr>
          <w:sz w:val="24"/>
          <w:highlight w:val="none"/>
          <w:u w:val="single"/>
        </w:rPr>
        <w:t>编制替代方案，若当项目在履行过程中，出现严重损害国家利益、社会公共利益的情形，协议适时地做出调整采取替代方案进行。否则只能采取变更、解除协议的方式，防止国家利益和社会公共利益进一步受到损害。</w:t>
      </w:r>
    </w:p>
    <w:p w14:paraId="295333DD">
      <w:pPr>
        <w:spacing w:line="360" w:lineRule="auto"/>
        <w:ind w:firstLine="424" w:firstLineChars="177"/>
        <w:jc w:val="left"/>
        <w:outlineLvl w:val="1"/>
        <w:rPr>
          <w:sz w:val="24"/>
          <w:highlight w:val="none"/>
        </w:rPr>
      </w:pPr>
      <w:r>
        <w:rPr>
          <w:sz w:val="24"/>
          <w:highlight w:val="none"/>
        </w:rPr>
        <w:t>（九）其他采购和合同履行过程的风险及应对措施</w:t>
      </w:r>
    </w:p>
    <w:p w14:paraId="77F98005">
      <w:pPr>
        <w:spacing w:line="360" w:lineRule="auto"/>
        <w:ind w:firstLine="480" w:firstLineChars="200"/>
        <w:jc w:val="left"/>
        <w:rPr>
          <w:sz w:val="24"/>
          <w:highlight w:val="none"/>
          <w:u w:val="single"/>
        </w:rPr>
      </w:pPr>
      <w:r>
        <w:rPr>
          <w:sz w:val="24"/>
          <w:highlight w:val="none"/>
          <w:u w:val="single"/>
        </w:rPr>
        <w:t>无。</w:t>
      </w:r>
    </w:p>
    <w:p w14:paraId="39B13EBF">
      <w:pPr>
        <w:rPr>
          <w:rFonts w:eastAsia="??" w:cs="宋体"/>
          <w:b/>
          <w:sz w:val="36"/>
          <w:szCs w:val="28"/>
          <w:highlight w:val="none"/>
        </w:rPr>
      </w:pPr>
      <w:r>
        <w:rPr>
          <w:rFonts w:hint="eastAsia"/>
          <w:highlight w:val="none"/>
        </w:rPr>
        <w:br w:type="page"/>
      </w:r>
      <w:r>
        <w:rPr>
          <w:rFonts w:hint="eastAsia" w:ascii="宋体" w:hAnsi="宋体" w:cs="宋体"/>
          <w:b/>
          <w:sz w:val="36"/>
          <w:szCs w:val="28"/>
          <w:highlight w:val="none"/>
        </w:rPr>
        <w:t>附件</w:t>
      </w:r>
    </w:p>
    <w:p w14:paraId="5FC0F3D6">
      <w:pPr>
        <w:spacing w:line="360" w:lineRule="auto"/>
        <w:rPr>
          <w:sz w:val="28"/>
          <w:szCs w:val="28"/>
          <w:highlight w:val="none"/>
        </w:rPr>
      </w:pPr>
      <w:r>
        <w:rPr>
          <w:rFonts w:hint="eastAsia"/>
          <w:b/>
          <w:bCs/>
          <w:sz w:val="28"/>
          <w:szCs w:val="28"/>
          <w:highlight w:val="none"/>
        </w:rPr>
        <w:t>标项一：杭州市温室气体监测系统运维项目</w:t>
      </w:r>
      <w:r>
        <w:rPr>
          <w:b/>
          <w:bCs/>
          <w:sz w:val="28"/>
          <w:szCs w:val="28"/>
          <w:highlight w:val="none"/>
        </w:rPr>
        <w:t>采购需求</w:t>
      </w:r>
    </w:p>
    <w:p w14:paraId="08573967">
      <w:pPr>
        <w:tabs>
          <w:tab w:val="center" w:pos="4139"/>
        </w:tabs>
        <w:adjustRightInd w:val="0"/>
        <w:spacing w:line="360" w:lineRule="auto"/>
        <w:ind w:firstLine="480" w:firstLineChars="200"/>
        <w:outlineLvl w:val="1"/>
        <w:rPr>
          <w:sz w:val="24"/>
          <w:highlight w:val="none"/>
        </w:rPr>
      </w:pPr>
      <w:r>
        <w:rPr>
          <w:sz w:val="24"/>
          <w:highlight w:val="none"/>
        </w:rPr>
        <w:t>根据生态环境部下发的《碳监测评估试点工作方案》、《深化碳监测评估试点工作方案》以及《杭州市碳达峰试点城市实施方案》等文件的要求，开展</w:t>
      </w:r>
      <w:r>
        <w:rPr>
          <w:rFonts w:hint="eastAsia" w:ascii="宋体" w:hAnsi="宋体" w:cs="宋体"/>
          <w:sz w:val="24"/>
          <w:highlight w:val="none"/>
        </w:rPr>
        <w:t>杭州市温室气体监测系统运维项目</w:t>
      </w:r>
      <w:r>
        <w:rPr>
          <w:rFonts w:hint="eastAsia"/>
          <w:sz w:val="24"/>
          <w:highlight w:val="none"/>
        </w:rPr>
        <w:t>，</w:t>
      </w:r>
      <w:r>
        <w:rPr>
          <w:sz w:val="24"/>
          <w:highlight w:val="none"/>
        </w:rPr>
        <w:t>运维服务范围包括：承担6个高精度温室气体监测站点和1个碳汇监测站点所有监测仪器、气象仪器、质控设备、数据采集与传输设备、辅助设备等基础设施的日常维护工作，承担环境管理、站房巡检管理、站房维护维修、系统运行管理、质量控制、仪器维修和数据审核等工作，承担由此产生的耗材、标气、人工、水电、网络、站房租用、铁塔挂塔费用及其安全相关、设备维修维护所需配件（需为原厂配件或满足仪器设计要求，能持续性正常运行配件）、工具、车辆等费用，</w:t>
      </w:r>
      <w:r>
        <w:rPr>
          <w:rFonts w:hint="eastAsia"/>
          <w:sz w:val="24"/>
          <w:highlight w:val="none"/>
        </w:rPr>
        <w:t>并完成碳通量数据分析。</w:t>
      </w:r>
      <w:r>
        <w:rPr>
          <w:sz w:val="24"/>
          <w:highlight w:val="none"/>
        </w:rPr>
        <w:t>项目含</w:t>
      </w:r>
      <w:r>
        <w:rPr>
          <w:rFonts w:hint="eastAsia"/>
          <w:sz w:val="24"/>
          <w:highlight w:val="none"/>
        </w:rPr>
        <w:t>2025年1月1日至合同签定日内的水电、网络、站房租用</w:t>
      </w:r>
      <w:r>
        <w:rPr>
          <w:rFonts w:hint="eastAsia"/>
          <w:sz w:val="24"/>
          <w:highlight w:val="none"/>
          <w:lang w:eastAsia="zh-CN"/>
        </w:rPr>
        <w:t>（</w:t>
      </w:r>
      <w:r>
        <w:rPr>
          <w:rFonts w:hint="eastAsia"/>
          <w:sz w:val="24"/>
          <w:highlight w:val="none"/>
        </w:rPr>
        <w:t>含铁塔挂塔成本</w:t>
      </w:r>
      <w:r>
        <w:rPr>
          <w:rFonts w:hint="eastAsia"/>
          <w:sz w:val="24"/>
          <w:highlight w:val="none"/>
          <w:lang w:eastAsia="zh-CN"/>
        </w:rPr>
        <w:t>）</w:t>
      </w:r>
      <w:r>
        <w:rPr>
          <w:rFonts w:hint="eastAsia"/>
          <w:sz w:val="24"/>
          <w:highlight w:val="none"/>
        </w:rPr>
        <w:t>、标气费用。</w:t>
      </w:r>
    </w:p>
    <w:p w14:paraId="1541E409">
      <w:pPr>
        <w:spacing w:line="360" w:lineRule="auto"/>
        <w:jc w:val="left"/>
        <w:rPr>
          <w:b/>
          <w:sz w:val="24"/>
          <w:highlight w:val="none"/>
        </w:rPr>
      </w:pPr>
      <w:r>
        <w:rPr>
          <w:rFonts w:hint="eastAsia"/>
          <w:b/>
          <w:bCs/>
          <w:sz w:val="24"/>
          <w:highlight w:val="none"/>
        </w:rPr>
        <w:t>（一）高精度温室气体监测网络运维采购要求</w:t>
      </w:r>
    </w:p>
    <w:p w14:paraId="1BD5E8EA">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一、运维服务范围</w:t>
      </w:r>
    </w:p>
    <w:p w14:paraId="785522F5">
      <w:pPr>
        <w:spacing w:line="360" w:lineRule="auto"/>
        <w:ind w:firstLine="482" w:firstLineChars="200"/>
        <w:contextualSpacing/>
        <w:rPr>
          <w:rFonts w:hint="eastAsia" w:ascii="宋体" w:hAnsi="宋体" w:cs="宋体"/>
          <w:b/>
          <w:bCs/>
          <w:sz w:val="24"/>
          <w:highlight w:val="none"/>
        </w:rPr>
      </w:pPr>
      <w:r>
        <w:rPr>
          <w:rFonts w:hint="eastAsia" w:ascii="宋体" w:hAnsi="宋体" w:cs="宋体"/>
          <w:b/>
          <w:bCs/>
          <w:sz w:val="24"/>
          <w:highlight w:val="none"/>
        </w:rPr>
        <w:t>（一）服务范围</w:t>
      </w:r>
    </w:p>
    <w:p w14:paraId="752B1BEB">
      <w:pPr>
        <w:tabs>
          <w:tab w:val="center" w:pos="4139"/>
        </w:tabs>
        <w:adjustRightInd w:val="0"/>
        <w:snapToGrid w:val="0"/>
        <w:spacing w:line="360" w:lineRule="auto"/>
        <w:ind w:firstLine="480" w:firstLineChars="200"/>
        <w:outlineLvl w:val="1"/>
        <w:rPr>
          <w:sz w:val="24"/>
          <w:highlight w:val="none"/>
          <w:u w:val="single"/>
        </w:rPr>
      </w:pPr>
      <w:r>
        <w:rPr>
          <w:rFonts w:hint="eastAsia" w:ascii="宋体" w:hAnsi="宋体" w:cs="宋体"/>
          <w:bCs/>
          <w:sz w:val="24"/>
          <w:highlight w:val="none"/>
        </w:rPr>
        <w:t>本项目委托运维服务范围包括：</w:t>
      </w:r>
      <w:bookmarkStart w:id="8" w:name="_Hlk121222838"/>
      <w:r>
        <w:rPr>
          <w:rFonts w:hint="eastAsia" w:ascii="宋体" w:hAnsi="宋体" w:cs="宋体"/>
          <w:bCs/>
          <w:sz w:val="24"/>
          <w:highlight w:val="none"/>
        </w:rPr>
        <w:t>承担高精度温室气体监测网络6个站点所有监测仪器、气象仪器、质控设备、数据采集与传输设备、辅助设备等基础设施的日常维护工作，承担环境管理、站房巡检管理、站房维护维修、系统运行管理、质量控制、仪器维修和数据审核等工作，并承担由此产生的耗材、标气、人工、水电、网络、站房租用、铁塔挂塔费用及其安全相关、设备维修维护所需配件、工具、车辆等费用</w:t>
      </w:r>
      <w:bookmarkEnd w:id="8"/>
      <w:r>
        <w:rPr>
          <w:rFonts w:hint="eastAsia" w:ascii="宋体" w:hAnsi="宋体" w:cs="宋体"/>
          <w:bCs/>
          <w:sz w:val="24"/>
          <w:highlight w:val="none"/>
        </w:rPr>
        <w:t>。</w:t>
      </w:r>
      <w:bookmarkStart w:id="9" w:name="_Hlk200097426"/>
      <w:r>
        <w:rPr>
          <w:rFonts w:ascii="宋体" w:hAnsi="宋体" w:cs="宋体"/>
          <w:bCs/>
          <w:sz w:val="24"/>
          <w:highlight w:val="none"/>
        </w:rPr>
        <w:t>项目含</w:t>
      </w:r>
      <w:r>
        <w:rPr>
          <w:rFonts w:hint="eastAsia" w:ascii="宋体" w:hAnsi="宋体" w:cs="宋体"/>
          <w:bCs/>
          <w:sz w:val="24"/>
          <w:highlight w:val="none"/>
        </w:rPr>
        <w:t>2025年1月1日至合同签定日内的</w:t>
      </w:r>
      <w:r>
        <w:rPr>
          <w:rFonts w:ascii="宋体" w:hAnsi="宋体" w:cs="宋体"/>
          <w:bCs/>
          <w:sz w:val="24"/>
          <w:highlight w:val="none"/>
        </w:rPr>
        <w:t>水电、网络、站房租用</w:t>
      </w:r>
      <w:r>
        <w:rPr>
          <w:rFonts w:hint="eastAsia" w:ascii="宋体" w:hAnsi="宋体" w:cs="宋体"/>
          <w:bCs/>
          <w:sz w:val="24"/>
          <w:highlight w:val="none"/>
          <w:lang w:eastAsia="zh-CN"/>
        </w:rPr>
        <w:t>（</w:t>
      </w:r>
      <w:r>
        <w:rPr>
          <w:rFonts w:hint="eastAsia" w:ascii="宋体" w:hAnsi="宋体" w:cs="宋体"/>
          <w:bCs/>
          <w:sz w:val="24"/>
          <w:highlight w:val="none"/>
        </w:rPr>
        <w:t>含</w:t>
      </w:r>
      <w:r>
        <w:rPr>
          <w:rFonts w:ascii="宋体" w:hAnsi="宋体" w:cs="宋体"/>
          <w:bCs/>
          <w:sz w:val="24"/>
          <w:highlight w:val="none"/>
        </w:rPr>
        <w:t>铁塔挂塔</w:t>
      </w:r>
      <w:r>
        <w:rPr>
          <w:rFonts w:hint="eastAsia" w:ascii="宋体" w:hAnsi="宋体" w:cs="宋体"/>
          <w:bCs/>
          <w:sz w:val="24"/>
          <w:highlight w:val="none"/>
        </w:rPr>
        <w:t>成本</w:t>
      </w:r>
      <w:r>
        <w:rPr>
          <w:rFonts w:hint="eastAsia" w:ascii="宋体" w:hAnsi="宋体" w:cs="宋体"/>
          <w:bCs/>
          <w:sz w:val="24"/>
          <w:highlight w:val="none"/>
          <w:lang w:eastAsia="zh-CN"/>
        </w:rPr>
        <w:t>）</w:t>
      </w:r>
      <w:r>
        <w:rPr>
          <w:rFonts w:ascii="宋体" w:hAnsi="宋体" w:cs="宋体"/>
          <w:bCs/>
          <w:sz w:val="24"/>
          <w:highlight w:val="none"/>
        </w:rPr>
        <w:t>、标气</w:t>
      </w:r>
      <w:r>
        <w:rPr>
          <w:rFonts w:hint="eastAsia" w:ascii="宋体" w:hAnsi="宋体" w:cs="宋体"/>
          <w:bCs/>
          <w:sz w:val="24"/>
          <w:highlight w:val="none"/>
        </w:rPr>
        <w:t>费用</w:t>
      </w:r>
      <w:bookmarkEnd w:id="9"/>
      <w:r>
        <w:rPr>
          <w:rFonts w:hint="eastAsia" w:ascii="宋体" w:hAnsi="宋体" w:cs="宋体"/>
          <w:bCs/>
          <w:sz w:val="24"/>
          <w:highlight w:val="none"/>
        </w:rPr>
        <w:t>,费用金额按照以下成本计算：房租费用(含</w:t>
      </w:r>
      <w:r>
        <w:rPr>
          <w:rFonts w:ascii="宋体" w:hAnsi="宋体" w:cs="宋体"/>
          <w:bCs/>
          <w:sz w:val="24"/>
          <w:highlight w:val="none"/>
        </w:rPr>
        <w:t>铁塔挂塔</w:t>
      </w:r>
      <w:r>
        <w:rPr>
          <w:rFonts w:hint="eastAsia" w:ascii="宋体" w:hAnsi="宋体" w:cs="宋体"/>
          <w:bCs/>
          <w:sz w:val="24"/>
          <w:highlight w:val="none"/>
        </w:rPr>
        <w:t>成本)503.3元/天</w:t>
      </w:r>
      <w:r>
        <w:rPr>
          <w:rFonts w:hint="eastAsia" w:ascii="宋体" w:hAnsi="宋体" w:cs="宋体"/>
          <w:bCs/>
          <w:sz w:val="24"/>
          <w:highlight w:val="none"/>
          <w:lang w:eastAsia="zh-CN"/>
        </w:rPr>
        <w:t>；</w:t>
      </w:r>
      <w:r>
        <w:rPr>
          <w:rFonts w:hint="eastAsia" w:ascii="宋体" w:hAnsi="宋体" w:cs="宋体"/>
          <w:bCs/>
          <w:sz w:val="24"/>
          <w:highlight w:val="none"/>
        </w:rPr>
        <w:t>水电293元/天(参考2024年支出费用成本，需要按照实际支出)</w:t>
      </w:r>
      <w:r>
        <w:rPr>
          <w:rFonts w:hint="eastAsia" w:ascii="宋体" w:hAnsi="宋体" w:cs="宋体"/>
          <w:bCs/>
          <w:sz w:val="24"/>
          <w:highlight w:val="none"/>
          <w:lang w:eastAsia="zh-CN"/>
        </w:rPr>
        <w:t>；</w:t>
      </w:r>
      <w:r>
        <w:rPr>
          <w:rFonts w:hint="eastAsia" w:ascii="宋体" w:hAnsi="宋体" w:cs="宋体"/>
          <w:bCs/>
          <w:sz w:val="24"/>
          <w:highlight w:val="none"/>
        </w:rPr>
        <w:t>网络费用123.7元/天；标气费用1040元</w:t>
      </w:r>
      <w:r>
        <w:rPr>
          <w:rFonts w:ascii="宋体" w:hAnsi="宋体" w:cs="宋体"/>
          <w:bCs/>
          <w:sz w:val="24"/>
          <w:highlight w:val="none"/>
        </w:rPr>
        <w:t>/</w:t>
      </w:r>
      <w:r>
        <w:rPr>
          <w:rFonts w:hint="eastAsia" w:ascii="宋体" w:hAnsi="宋体" w:cs="宋体"/>
          <w:bCs/>
          <w:sz w:val="24"/>
          <w:highlight w:val="none"/>
        </w:rPr>
        <w:t>天，各站点钢瓶气有效期等信息如下：</w:t>
      </w:r>
    </w:p>
    <w:p w14:paraId="193F16AC">
      <w:pPr>
        <w:spacing w:line="360" w:lineRule="auto"/>
        <w:ind w:firstLine="480" w:firstLineChars="200"/>
        <w:contextualSpacing/>
        <w:rPr>
          <w:rFonts w:hint="eastAsia" w:ascii="宋体" w:hAnsi="宋体" w:cs="宋体"/>
          <w:bCs/>
          <w:sz w:val="24"/>
          <w:highlight w:val="none"/>
        </w:rPr>
      </w:pPr>
      <w:r>
        <w:rPr>
          <w:rFonts w:hint="eastAsia" w:ascii="宋体" w:hAnsi="宋体" w:cs="宋体"/>
          <w:bCs/>
          <w:sz w:val="24"/>
          <w:highlight w:val="none"/>
        </w:rPr>
        <w:t>运维服务站点及运维期限如下表所示。</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262"/>
        <w:gridCol w:w="2675"/>
        <w:gridCol w:w="3031"/>
      </w:tblGrid>
      <w:tr w14:paraId="0499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2660" w:type="dxa"/>
            <w:tcBorders>
              <w:top w:val="single" w:color="auto" w:sz="4" w:space="0"/>
              <w:left w:val="single" w:color="auto" w:sz="4" w:space="0"/>
              <w:bottom w:val="single" w:color="auto" w:sz="4" w:space="0"/>
              <w:right w:val="single" w:color="auto" w:sz="4" w:space="0"/>
            </w:tcBorders>
            <w:vAlign w:val="center"/>
          </w:tcPr>
          <w:p w14:paraId="24557A49">
            <w:pPr>
              <w:tabs>
                <w:tab w:val="left" w:pos="720"/>
              </w:tabs>
              <w:adjustRightInd w:val="0"/>
              <w:snapToGrid w:val="0"/>
              <w:spacing w:line="360" w:lineRule="auto"/>
              <w:jc w:val="center"/>
              <w:rPr>
                <w:b/>
                <w:sz w:val="24"/>
                <w:highlight w:val="none"/>
              </w:rPr>
            </w:pPr>
            <w:r>
              <w:rPr>
                <w:rFonts w:hint="eastAsia"/>
                <w:b/>
                <w:sz w:val="24"/>
                <w:highlight w:val="none"/>
              </w:rPr>
              <w:t>名称</w:t>
            </w:r>
          </w:p>
        </w:tc>
        <w:tc>
          <w:tcPr>
            <w:tcW w:w="1262" w:type="dxa"/>
            <w:tcBorders>
              <w:top w:val="single" w:color="auto" w:sz="4" w:space="0"/>
              <w:left w:val="single" w:color="auto" w:sz="4" w:space="0"/>
              <w:bottom w:val="single" w:color="auto" w:sz="4" w:space="0"/>
              <w:right w:val="single" w:color="auto" w:sz="4" w:space="0"/>
            </w:tcBorders>
            <w:vAlign w:val="center"/>
          </w:tcPr>
          <w:p w14:paraId="7E410607">
            <w:pPr>
              <w:tabs>
                <w:tab w:val="left" w:pos="720"/>
              </w:tabs>
              <w:adjustRightInd w:val="0"/>
              <w:snapToGrid w:val="0"/>
              <w:spacing w:line="360" w:lineRule="auto"/>
              <w:jc w:val="center"/>
              <w:rPr>
                <w:b/>
                <w:sz w:val="24"/>
                <w:highlight w:val="none"/>
              </w:rPr>
            </w:pPr>
            <w:r>
              <w:rPr>
                <w:rFonts w:hint="eastAsia"/>
                <w:b/>
                <w:sz w:val="24"/>
                <w:highlight w:val="none"/>
              </w:rPr>
              <w:t>站点数量</w:t>
            </w:r>
          </w:p>
        </w:tc>
        <w:tc>
          <w:tcPr>
            <w:tcW w:w="2675" w:type="dxa"/>
            <w:tcBorders>
              <w:top w:val="single" w:color="auto" w:sz="4" w:space="0"/>
              <w:left w:val="single" w:color="auto" w:sz="4" w:space="0"/>
              <w:bottom w:val="single" w:color="auto" w:sz="4" w:space="0"/>
              <w:right w:val="single" w:color="auto" w:sz="4" w:space="0"/>
            </w:tcBorders>
            <w:vAlign w:val="center"/>
          </w:tcPr>
          <w:p w14:paraId="1F912DA3">
            <w:pPr>
              <w:tabs>
                <w:tab w:val="left" w:pos="720"/>
              </w:tabs>
              <w:adjustRightInd w:val="0"/>
              <w:snapToGrid w:val="0"/>
              <w:spacing w:line="360" w:lineRule="auto"/>
              <w:jc w:val="center"/>
              <w:rPr>
                <w:b/>
                <w:sz w:val="24"/>
                <w:highlight w:val="none"/>
              </w:rPr>
            </w:pPr>
            <w:r>
              <w:rPr>
                <w:rFonts w:hint="eastAsia"/>
                <w:b/>
                <w:sz w:val="24"/>
                <w:highlight w:val="none"/>
              </w:rPr>
              <w:t>运维期限</w:t>
            </w:r>
          </w:p>
        </w:tc>
        <w:tc>
          <w:tcPr>
            <w:tcW w:w="3031" w:type="dxa"/>
            <w:tcBorders>
              <w:top w:val="single" w:color="auto" w:sz="4" w:space="0"/>
              <w:left w:val="single" w:color="auto" w:sz="4" w:space="0"/>
              <w:bottom w:val="single" w:color="auto" w:sz="4" w:space="0"/>
              <w:right w:val="single" w:color="auto" w:sz="4" w:space="0"/>
            </w:tcBorders>
            <w:vAlign w:val="center"/>
          </w:tcPr>
          <w:p w14:paraId="1F9079B1">
            <w:pPr>
              <w:tabs>
                <w:tab w:val="left" w:pos="720"/>
              </w:tabs>
              <w:adjustRightInd w:val="0"/>
              <w:snapToGrid w:val="0"/>
              <w:spacing w:line="360" w:lineRule="auto"/>
              <w:jc w:val="center"/>
              <w:rPr>
                <w:b/>
                <w:sz w:val="24"/>
                <w:highlight w:val="none"/>
              </w:rPr>
            </w:pPr>
            <w:r>
              <w:rPr>
                <w:rFonts w:hint="eastAsia"/>
                <w:b/>
                <w:sz w:val="24"/>
                <w:highlight w:val="none"/>
              </w:rPr>
              <w:t>运维站点名称</w:t>
            </w:r>
          </w:p>
        </w:tc>
      </w:tr>
      <w:tr w14:paraId="68C6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restart"/>
            <w:vAlign w:val="center"/>
          </w:tcPr>
          <w:p w14:paraId="082AC5DA">
            <w:pPr>
              <w:adjustRightInd w:val="0"/>
              <w:snapToGrid w:val="0"/>
              <w:spacing w:line="360" w:lineRule="auto"/>
              <w:jc w:val="center"/>
              <w:rPr>
                <w:kern w:val="0"/>
                <w:sz w:val="24"/>
                <w:highlight w:val="none"/>
              </w:rPr>
            </w:pPr>
            <w:r>
              <w:rPr>
                <w:rFonts w:hint="eastAsia"/>
                <w:kern w:val="0"/>
                <w:sz w:val="24"/>
                <w:highlight w:val="none"/>
              </w:rPr>
              <w:t>2025年高精度温室气体监测网络运维</w:t>
            </w:r>
          </w:p>
        </w:tc>
        <w:tc>
          <w:tcPr>
            <w:tcW w:w="1262" w:type="dxa"/>
            <w:vMerge w:val="restart"/>
            <w:vAlign w:val="center"/>
          </w:tcPr>
          <w:p w14:paraId="6BF4E40E">
            <w:pPr>
              <w:tabs>
                <w:tab w:val="left" w:pos="720"/>
              </w:tabs>
              <w:adjustRightInd w:val="0"/>
              <w:snapToGrid w:val="0"/>
              <w:spacing w:line="360" w:lineRule="auto"/>
              <w:jc w:val="center"/>
              <w:rPr>
                <w:kern w:val="0"/>
                <w:sz w:val="24"/>
                <w:highlight w:val="none"/>
              </w:rPr>
            </w:pPr>
            <w:r>
              <w:rPr>
                <w:rFonts w:hint="eastAsia"/>
                <w:kern w:val="0"/>
                <w:sz w:val="24"/>
                <w:highlight w:val="none"/>
              </w:rPr>
              <w:t>6</w:t>
            </w:r>
          </w:p>
        </w:tc>
        <w:tc>
          <w:tcPr>
            <w:tcW w:w="2675" w:type="dxa"/>
            <w:vMerge w:val="restart"/>
            <w:vAlign w:val="center"/>
          </w:tcPr>
          <w:p w14:paraId="2CDDDF34">
            <w:pPr>
              <w:adjustRightInd w:val="0"/>
              <w:snapToGrid w:val="0"/>
              <w:spacing w:line="360" w:lineRule="auto"/>
              <w:jc w:val="center"/>
              <w:rPr>
                <w:sz w:val="24"/>
                <w:highlight w:val="none"/>
              </w:rPr>
            </w:pPr>
            <w:r>
              <w:rPr>
                <w:rFonts w:hint="eastAsia"/>
                <w:bCs/>
                <w:sz w:val="24"/>
                <w:highlight w:val="none"/>
              </w:rPr>
              <w:t>合同签订后5个月</w:t>
            </w:r>
          </w:p>
        </w:tc>
        <w:tc>
          <w:tcPr>
            <w:tcW w:w="3031" w:type="dxa"/>
            <w:vAlign w:val="center"/>
          </w:tcPr>
          <w:p w14:paraId="56C899F1">
            <w:pPr>
              <w:adjustRightInd w:val="0"/>
              <w:snapToGrid w:val="0"/>
              <w:spacing w:line="360" w:lineRule="auto"/>
              <w:jc w:val="center"/>
              <w:rPr>
                <w:kern w:val="0"/>
                <w:sz w:val="24"/>
                <w:highlight w:val="none"/>
              </w:rPr>
            </w:pPr>
            <w:r>
              <w:rPr>
                <w:rFonts w:hint="eastAsia"/>
                <w:kern w:val="0"/>
                <w:sz w:val="24"/>
                <w:highlight w:val="none"/>
              </w:rPr>
              <w:t>景芳站</w:t>
            </w:r>
          </w:p>
        </w:tc>
      </w:tr>
      <w:tr w14:paraId="5EF3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continue"/>
            <w:vAlign w:val="center"/>
          </w:tcPr>
          <w:p w14:paraId="261E31D1">
            <w:pPr>
              <w:adjustRightInd w:val="0"/>
              <w:snapToGrid w:val="0"/>
              <w:spacing w:line="360" w:lineRule="auto"/>
              <w:jc w:val="center"/>
              <w:rPr>
                <w:kern w:val="0"/>
                <w:sz w:val="24"/>
                <w:highlight w:val="none"/>
              </w:rPr>
            </w:pPr>
          </w:p>
        </w:tc>
        <w:tc>
          <w:tcPr>
            <w:tcW w:w="1262" w:type="dxa"/>
            <w:vMerge w:val="continue"/>
            <w:vAlign w:val="center"/>
          </w:tcPr>
          <w:p w14:paraId="6F69F4F1">
            <w:pPr>
              <w:tabs>
                <w:tab w:val="left" w:pos="720"/>
              </w:tabs>
              <w:adjustRightInd w:val="0"/>
              <w:snapToGrid w:val="0"/>
              <w:spacing w:line="360" w:lineRule="auto"/>
              <w:jc w:val="center"/>
              <w:rPr>
                <w:kern w:val="0"/>
                <w:sz w:val="24"/>
                <w:highlight w:val="none"/>
              </w:rPr>
            </w:pPr>
          </w:p>
        </w:tc>
        <w:tc>
          <w:tcPr>
            <w:tcW w:w="2675" w:type="dxa"/>
            <w:vMerge w:val="continue"/>
            <w:vAlign w:val="center"/>
          </w:tcPr>
          <w:p w14:paraId="4EE6AF78">
            <w:pPr>
              <w:adjustRightInd w:val="0"/>
              <w:snapToGrid w:val="0"/>
              <w:spacing w:line="360" w:lineRule="auto"/>
              <w:jc w:val="center"/>
              <w:rPr>
                <w:sz w:val="24"/>
                <w:highlight w:val="none"/>
              </w:rPr>
            </w:pPr>
          </w:p>
        </w:tc>
        <w:tc>
          <w:tcPr>
            <w:tcW w:w="3031" w:type="dxa"/>
            <w:vAlign w:val="center"/>
          </w:tcPr>
          <w:p w14:paraId="02E67A6B">
            <w:pPr>
              <w:adjustRightInd w:val="0"/>
              <w:snapToGrid w:val="0"/>
              <w:spacing w:line="360" w:lineRule="auto"/>
              <w:jc w:val="center"/>
              <w:rPr>
                <w:kern w:val="0"/>
                <w:sz w:val="24"/>
                <w:highlight w:val="none"/>
              </w:rPr>
            </w:pPr>
            <w:r>
              <w:rPr>
                <w:rFonts w:hint="eastAsia"/>
                <w:kern w:val="0"/>
                <w:sz w:val="24"/>
                <w:highlight w:val="none"/>
              </w:rPr>
              <w:t>临平工业区站</w:t>
            </w:r>
          </w:p>
        </w:tc>
      </w:tr>
      <w:tr w14:paraId="36D0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continue"/>
            <w:vAlign w:val="center"/>
          </w:tcPr>
          <w:p w14:paraId="2FAAC4CA">
            <w:pPr>
              <w:adjustRightInd w:val="0"/>
              <w:snapToGrid w:val="0"/>
              <w:spacing w:line="360" w:lineRule="auto"/>
              <w:jc w:val="center"/>
              <w:rPr>
                <w:kern w:val="0"/>
                <w:sz w:val="24"/>
                <w:highlight w:val="none"/>
              </w:rPr>
            </w:pPr>
          </w:p>
        </w:tc>
        <w:tc>
          <w:tcPr>
            <w:tcW w:w="1262" w:type="dxa"/>
            <w:vMerge w:val="continue"/>
            <w:vAlign w:val="center"/>
          </w:tcPr>
          <w:p w14:paraId="454C456F">
            <w:pPr>
              <w:tabs>
                <w:tab w:val="left" w:pos="720"/>
              </w:tabs>
              <w:adjustRightInd w:val="0"/>
              <w:snapToGrid w:val="0"/>
              <w:spacing w:line="360" w:lineRule="auto"/>
              <w:jc w:val="center"/>
              <w:rPr>
                <w:kern w:val="0"/>
                <w:sz w:val="24"/>
                <w:highlight w:val="none"/>
              </w:rPr>
            </w:pPr>
          </w:p>
        </w:tc>
        <w:tc>
          <w:tcPr>
            <w:tcW w:w="2675" w:type="dxa"/>
            <w:vMerge w:val="continue"/>
            <w:vAlign w:val="center"/>
          </w:tcPr>
          <w:p w14:paraId="1A109B2D">
            <w:pPr>
              <w:adjustRightInd w:val="0"/>
              <w:snapToGrid w:val="0"/>
              <w:spacing w:line="360" w:lineRule="auto"/>
              <w:jc w:val="center"/>
              <w:rPr>
                <w:sz w:val="24"/>
                <w:highlight w:val="none"/>
              </w:rPr>
            </w:pPr>
          </w:p>
        </w:tc>
        <w:tc>
          <w:tcPr>
            <w:tcW w:w="3031" w:type="dxa"/>
            <w:vAlign w:val="center"/>
          </w:tcPr>
          <w:p w14:paraId="0A1DDDC0">
            <w:pPr>
              <w:adjustRightInd w:val="0"/>
              <w:snapToGrid w:val="0"/>
              <w:spacing w:line="360" w:lineRule="auto"/>
              <w:jc w:val="center"/>
              <w:rPr>
                <w:kern w:val="0"/>
                <w:sz w:val="24"/>
                <w:highlight w:val="none"/>
              </w:rPr>
            </w:pPr>
            <w:r>
              <w:rPr>
                <w:rFonts w:hint="eastAsia"/>
                <w:kern w:val="0"/>
                <w:sz w:val="24"/>
                <w:highlight w:val="none"/>
              </w:rPr>
              <w:t>大江东站</w:t>
            </w:r>
          </w:p>
        </w:tc>
      </w:tr>
      <w:tr w14:paraId="3E08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continue"/>
            <w:vAlign w:val="center"/>
          </w:tcPr>
          <w:p w14:paraId="01256358">
            <w:pPr>
              <w:adjustRightInd w:val="0"/>
              <w:snapToGrid w:val="0"/>
              <w:spacing w:line="360" w:lineRule="auto"/>
              <w:jc w:val="center"/>
              <w:rPr>
                <w:kern w:val="0"/>
                <w:sz w:val="24"/>
                <w:highlight w:val="none"/>
              </w:rPr>
            </w:pPr>
          </w:p>
        </w:tc>
        <w:tc>
          <w:tcPr>
            <w:tcW w:w="1262" w:type="dxa"/>
            <w:vMerge w:val="continue"/>
            <w:vAlign w:val="center"/>
          </w:tcPr>
          <w:p w14:paraId="1260C5FE">
            <w:pPr>
              <w:tabs>
                <w:tab w:val="left" w:pos="720"/>
              </w:tabs>
              <w:adjustRightInd w:val="0"/>
              <w:snapToGrid w:val="0"/>
              <w:spacing w:line="360" w:lineRule="auto"/>
              <w:jc w:val="center"/>
              <w:rPr>
                <w:kern w:val="0"/>
                <w:sz w:val="24"/>
                <w:highlight w:val="none"/>
              </w:rPr>
            </w:pPr>
          </w:p>
        </w:tc>
        <w:tc>
          <w:tcPr>
            <w:tcW w:w="2675" w:type="dxa"/>
            <w:vMerge w:val="continue"/>
            <w:vAlign w:val="center"/>
          </w:tcPr>
          <w:p w14:paraId="25985C65">
            <w:pPr>
              <w:adjustRightInd w:val="0"/>
              <w:snapToGrid w:val="0"/>
              <w:spacing w:line="360" w:lineRule="auto"/>
              <w:jc w:val="center"/>
              <w:rPr>
                <w:sz w:val="24"/>
                <w:highlight w:val="none"/>
              </w:rPr>
            </w:pPr>
          </w:p>
        </w:tc>
        <w:tc>
          <w:tcPr>
            <w:tcW w:w="3031" w:type="dxa"/>
            <w:vAlign w:val="center"/>
          </w:tcPr>
          <w:p w14:paraId="611D59BB">
            <w:pPr>
              <w:adjustRightInd w:val="0"/>
              <w:snapToGrid w:val="0"/>
              <w:spacing w:line="360" w:lineRule="auto"/>
              <w:jc w:val="center"/>
              <w:rPr>
                <w:kern w:val="0"/>
                <w:sz w:val="24"/>
                <w:highlight w:val="none"/>
              </w:rPr>
            </w:pPr>
            <w:r>
              <w:rPr>
                <w:rFonts w:hint="eastAsia"/>
                <w:kern w:val="0"/>
                <w:sz w:val="24"/>
                <w:highlight w:val="none"/>
              </w:rPr>
              <w:t>富阳骆村站</w:t>
            </w:r>
          </w:p>
        </w:tc>
      </w:tr>
      <w:tr w14:paraId="4A1C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continue"/>
            <w:vAlign w:val="center"/>
          </w:tcPr>
          <w:p w14:paraId="5E3D5649">
            <w:pPr>
              <w:adjustRightInd w:val="0"/>
              <w:snapToGrid w:val="0"/>
              <w:spacing w:line="360" w:lineRule="auto"/>
              <w:jc w:val="center"/>
              <w:rPr>
                <w:kern w:val="0"/>
                <w:sz w:val="24"/>
                <w:highlight w:val="none"/>
              </w:rPr>
            </w:pPr>
          </w:p>
        </w:tc>
        <w:tc>
          <w:tcPr>
            <w:tcW w:w="1262" w:type="dxa"/>
            <w:vMerge w:val="continue"/>
            <w:vAlign w:val="center"/>
          </w:tcPr>
          <w:p w14:paraId="72241625">
            <w:pPr>
              <w:tabs>
                <w:tab w:val="left" w:pos="720"/>
              </w:tabs>
              <w:adjustRightInd w:val="0"/>
              <w:snapToGrid w:val="0"/>
              <w:spacing w:line="360" w:lineRule="auto"/>
              <w:jc w:val="center"/>
              <w:rPr>
                <w:kern w:val="0"/>
                <w:sz w:val="24"/>
                <w:highlight w:val="none"/>
              </w:rPr>
            </w:pPr>
          </w:p>
        </w:tc>
        <w:tc>
          <w:tcPr>
            <w:tcW w:w="2675" w:type="dxa"/>
            <w:vMerge w:val="continue"/>
            <w:vAlign w:val="center"/>
          </w:tcPr>
          <w:p w14:paraId="6D726B4C">
            <w:pPr>
              <w:adjustRightInd w:val="0"/>
              <w:snapToGrid w:val="0"/>
              <w:spacing w:line="360" w:lineRule="auto"/>
              <w:jc w:val="center"/>
              <w:rPr>
                <w:sz w:val="24"/>
                <w:highlight w:val="none"/>
              </w:rPr>
            </w:pPr>
          </w:p>
        </w:tc>
        <w:tc>
          <w:tcPr>
            <w:tcW w:w="3031" w:type="dxa"/>
            <w:vAlign w:val="center"/>
          </w:tcPr>
          <w:p w14:paraId="598B2524">
            <w:pPr>
              <w:adjustRightInd w:val="0"/>
              <w:snapToGrid w:val="0"/>
              <w:spacing w:line="360" w:lineRule="auto"/>
              <w:jc w:val="center"/>
              <w:rPr>
                <w:kern w:val="0"/>
                <w:sz w:val="24"/>
                <w:highlight w:val="none"/>
              </w:rPr>
            </w:pPr>
            <w:r>
              <w:rPr>
                <w:rFonts w:hint="eastAsia"/>
                <w:kern w:val="0"/>
                <w:sz w:val="24"/>
                <w:highlight w:val="none"/>
              </w:rPr>
              <w:t>淳安燕山站</w:t>
            </w:r>
          </w:p>
        </w:tc>
      </w:tr>
      <w:tr w14:paraId="6B12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continue"/>
            <w:vAlign w:val="center"/>
          </w:tcPr>
          <w:p w14:paraId="48C6A55B">
            <w:pPr>
              <w:adjustRightInd w:val="0"/>
              <w:snapToGrid w:val="0"/>
              <w:spacing w:line="360" w:lineRule="auto"/>
              <w:jc w:val="center"/>
              <w:rPr>
                <w:kern w:val="0"/>
                <w:sz w:val="24"/>
                <w:highlight w:val="none"/>
              </w:rPr>
            </w:pPr>
          </w:p>
        </w:tc>
        <w:tc>
          <w:tcPr>
            <w:tcW w:w="1262" w:type="dxa"/>
            <w:vMerge w:val="continue"/>
            <w:vAlign w:val="center"/>
          </w:tcPr>
          <w:p w14:paraId="07C26343">
            <w:pPr>
              <w:tabs>
                <w:tab w:val="left" w:pos="720"/>
              </w:tabs>
              <w:adjustRightInd w:val="0"/>
              <w:snapToGrid w:val="0"/>
              <w:spacing w:line="360" w:lineRule="auto"/>
              <w:jc w:val="center"/>
              <w:rPr>
                <w:kern w:val="0"/>
                <w:sz w:val="24"/>
                <w:highlight w:val="none"/>
              </w:rPr>
            </w:pPr>
          </w:p>
        </w:tc>
        <w:tc>
          <w:tcPr>
            <w:tcW w:w="2675" w:type="dxa"/>
            <w:vMerge w:val="continue"/>
            <w:vAlign w:val="center"/>
          </w:tcPr>
          <w:p w14:paraId="4766B497">
            <w:pPr>
              <w:adjustRightInd w:val="0"/>
              <w:snapToGrid w:val="0"/>
              <w:spacing w:line="360" w:lineRule="auto"/>
              <w:jc w:val="center"/>
              <w:rPr>
                <w:sz w:val="24"/>
                <w:highlight w:val="none"/>
              </w:rPr>
            </w:pPr>
          </w:p>
        </w:tc>
        <w:tc>
          <w:tcPr>
            <w:tcW w:w="3031" w:type="dxa"/>
            <w:vAlign w:val="center"/>
          </w:tcPr>
          <w:p w14:paraId="4A2AE7FC">
            <w:pPr>
              <w:adjustRightInd w:val="0"/>
              <w:snapToGrid w:val="0"/>
              <w:spacing w:line="360" w:lineRule="auto"/>
              <w:jc w:val="center"/>
              <w:rPr>
                <w:kern w:val="0"/>
                <w:sz w:val="24"/>
                <w:highlight w:val="none"/>
              </w:rPr>
            </w:pPr>
            <w:r>
              <w:rPr>
                <w:rFonts w:hint="eastAsia"/>
                <w:kern w:val="0"/>
                <w:sz w:val="24"/>
                <w:highlight w:val="none"/>
              </w:rPr>
              <w:t>临安大明山站</w:t>
            </w:r>
          </w:p>
        </w:tc>
      </w:tr>
    </w:tbl>
    <w:p w14:paraId="42D01B13">
      <w:pPr>
        <w:adjustRightInd w:val="0"/>
        <w:spacing w:line="360" w:lineRule="auto"/>
        <w:ind w:firstLine="482" w:firstLineChars="200"/>
        <w:contextualSpacing/>
        <w:rPr>
          <w:b/>
          <w:bCs/>
          <w:sz w:val="24"/>
          <w:highlight w:val="none"/>
        </w:rPr>
      </w:pPr>
    </w:p>
    <w:p w14:paraId="44AB7E4B">
      <w:pPr>
        <w:adjustRightInd w:val="0"/>
        <w:spacing w:line="360" w:lineRule="auto"/>
        <w:ind w:firstLine="482" w:firstLineChars="200"/>
        <w:contextualSpacing/>
        <w:rPr>
          <w:b/>
          <w:bCs/>
          <w:sz w:val="24"/>
          <w:highlight w:val="none"/>
        </w:rPr>
      </w:pPr>
      <w:r>
        <w:rPr>
          <w:b/>
          <w:bCs/>
          <w:sz w:val="24"/>
          <w:highlight w:val="none"/>
        </w:rPr>
        <w:t>（二）站点仪器配置情况</w:t>
      </w:r>
    </w:p>
    <w:p w14:paraId="0218EDA6">
      <w:pPr>
        <w:adjustRightInd w:val="0"/>
        <w:spacing w:line="360" w:lineRule="auto"/>
        <w:ind w:firstLine="480" w:firstLineChars="200"/>
        <w:contextualSpacing/>
        <w:rPr>
          <w:bCs/>
          <w:sz w:val="24"/>
          <w:highlight w:val="none"/>
        </w:rPr>
      </w:pPr>
      <w:r>
        <w:rPr>
          <w:bCs/>
          <w:sz w:val="24"/>
          <w:highlight w:val="none"/>
        </w:rPr>
        <w:t>6个高精度温室气体监测站点各站点监测项目（仪器）主要包括Picarro G2401、Picarro G2131-i、Picarro G5310等高精度温室气体监测设备。站点仪器配置详见表1至表6。</w:t>
      </w:r>
    </w:p>
    <w:p w14:paraId="1161AA16">
      <w:pPr>
        <w:adjustRightInd w:val="0"/>
        <w:spacing w:line="360" w:lineRule="auto"/>
        <w:jc w:val="center"/>
        <w:rPr>
          <w:b/>
          <w:sz w:val="24"/>
          <w:highlight w:val="none"/>
        </w:rPr>
      </w:pPr>
      <w:r>
        <w:rPr>
          <w:b/>
          <w:sz w:val="24"/>
          <w:highlight w:val="none"/>
        </w:rPr>
        <w:t>表1 景芳站仪器配置情况一览表</w:t>
      </w:r>
    </w:p>
    <w:tbl>
      <w:tblPr>
        <w:tblStyle w:val="15"/>
        <w:tblW w:w="8908" w:type="dxa"/>
        <w:jc w:val="center"/>
        <w:tblLayout w:type="fixed"/>
        <w:tblCellMar>
          <w:top w:w="0" w:type="dxa"/>
          <w:left w:w="108" w:type="dxa"/>
          <w:bottom w:w="0" w:type="dxa"/>
          <w:right w:w="108" w:type="dxa"/>
        </w:tblCellMar>
      </w:tblPr>
      <w:tblGrid>
        <w:gridCol w:w="604"/>
        <w:gridCol w:w="4000"/>
        <w:gridCol w:w="3039"/>
        <w:gridCol w:w="624"/>
        <w:gridCol w:w="641"/>
      </w:tblGrid>
      <w:tr w14:paraId="029EA881">
        <w:tblPrEx>
          <w:tblCellMar>
            <w:top w:w="0" w:type="dxa"/>
            <w:left w:w="108" w:type="dxa"/>
            <w:bottom w:w="0" w:type="dxa"/>
            <w:right w:w="108" w:type="dxa"/>
          </w:tblCellMar>
        </w:tblPrEx>
        <w:trPr>
          <w:trHeight w:val="638" w:hRule="atLeast"/>
          <w:tblHeader/>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6AC6CAFC">
            <w:pPr>
              <w:adjustRightInd w:val="0"/>
              <w:spacing w:line="360" w:lineRule="auto"/>
              <w:jc w:val="center"/>
              <w:rPr>
                <w:kern w:val="0"/>
                <w:sz w:val="24"/>
                <w:highlight w:val="none"/>
              </w:rPr>
            </w:pPr>
            <w:r>
              <w:rPr>
                <w:rFonts w:hint="eastAsia"/>
                <w:kern w:val="0"/>
                <w:sz w:val="24"/>
                <w:highlight w:val="none"/>
              </w:rPr>
              <w:t>序号</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676610D8">
            <w:pPr>
              <w:adjustRightInd w:val="0"/>
              <w:spacing w:line="360" w:lineRule="auto"/>
              <w:jc w:val="center"/>
              <w:rPr>
                <w:kern w:val="0"/>
                <w:sz w:val="24"/>
                <w:highlight w:val="none"/>
              </w:rPr>
            </w:pPr>
            <w:r>
              <w:rPr>
                <w:rFonts w:hint="eastAsia"/>
                <w:kern w:val="0"/>
                <w:sz w:val="24"/>
                <w:highlight w:val="none"/>
              </w:rPr>
              <w:t>设备名称</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51A10C81">
            <w:pPr>
              <w:adjustRightInd w:val="0"/>
              <w:spacing w:line="360" w:lineRule="auto"/>
              <w:jc w:val="center"/>
              <w:rPr>
                <w:kern w:val="0"/>
                <w:sz w:val="24"/>
                <w:highlight w:val="none"/>
              </w:rPr>
            </w:pPr>
            <w:r>
              <w:rPr>
                <w:rFonts w:hint="eastAsia"/>
                <w:kern w:val="0"/>
                <w:sz w:val="24"/>
                <w:highlight w:val="none"/>
              </w:rPr>
              <w:t>品牌型号</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A698921">
            <w:pPr>
              <w:adjustRightInd w:val="0"/>
              <w:spacing w:line="360" w:lineRule="auto"/>
              <w:jc w:val="center"/>
              <w:rPr>
                <w:kern w:val="0"/>
                <w:sz w:val="24"/>
                <w:highlight w:val="none"/>
              </w:rPr>
            </w:pPr>
            <w:r>
              <w:rPr>
                <w:rFonts w:hint="eastAsia"/>
                <w:kern w:val="0"/>
                <w:sz w:val="24"/>
                <w:highlight w:val="none"/>
              </w:rPr>
              <w:t>数量</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2DBE8FC8">
            <w:pPr>
              <w:adjustRightInd w:val="0"/>
              <w:spacing w:line="360" w:lineRule="auto"/>
              <w:jc w:val="center"/>
              <w:rPr>
                <w:kern w:val="0"/>
                <w:sz w:val="24"/>
                <w:highlight w:val="none"/>
              </w:rPr>
            </w:pPr>
            <w:r>
              <w:rPr>
                <w:rFonts w:hint="eastAsia"/>
                <w:kern w:val="0"/>
                <w:sz w:val="24"/>
                <w:highlight w:val="none"/>
              </w:rPr>
              <w:t>单位</w:t>
            </w:r>
          </w:p>
        </w:tc>
      </w:tr>
      <w:tr w14:paraId="20EC3446">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1BB2FCDC">
            <w:pPr>
              <w:adjustRightInd w:val="0"/>
              <w:spacing w:line="360" w:lineRule="auto"/>
              <w:jc w:val="center"/>
              <w:rPr>
                <w:kern w:val="0"/>
                <w:sz w:val="24"/>
                <w:highlight w:val="none"/>
              </w:rPr>
            </w:pPr>
            <w:r>
              <w:rPr>
                <w:rFonts w:hint="eastAsia"/>
                <w:kern w:val="0"/>
                <w:sz w:val="24"/>
                <w:highlight w:val="none"/>
              </w:rPr>
              <w:t>1</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3C9B4CE8">
            <w:pPr>
              <w:adjustRightInd w:val="0"/>
              <w:spacing w:line="360" w:lineRule="auto"/>
              <w:jc w:val="center"/>
              <w:rPr>
                <w:kern w:val="0"/>
                <w:sz w:val="24"/>
                <w:highlight w:val="none"/>
              </w:rPr>
            </w:pPr>
            <w:r>
              <w:rPr>
                <w:rFonts w:hint="eastAsia"/>
                <w:kern w:val="0"/>
                <w:sz w:val="24"/>
                <w:highlight w:val="none"/>
              </w:rPr>
              <w:t>高精度N</w:t>
            </w:r>
            <w:r>
              <w:rPr>
                <w:rFonts w:hint="eastAsia"/>
                <w:kern w:val="0"/>
                <w:sz w:val="24"/>
                <w:highlight w:val="none"/>
                <w:vertAlign w:val="subscript"/>
              </w:rPr>
              <w:t>2</w:t>
            </w:r>
            <w:r>
              <w:rPr>
                <w:rFonts w:hint="eastAsia"/>
                <w:kern w:val="0"/>
                <w:sz w:val="24"/>
                <w:highlight w:val="none"/>
              </w:rPr>
              <w:t>O、CO温室气体分析仪</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2CE2279D">
            <w:pPr>
              <w:adjustRightInd w:val="0"/>
              <w:spacing w:line="360" w:lineRule="auto"/>
              <w:jc w:val="center"/>
              <w:rPr>
                <w:kern w:val="0"/>
                <w:sz w:val="24"/>
                <w:highlight w:val="none"/>
              </w:rPr>
            </w:pPr>
            <w:r>
              <w:rPr>
                <w:rFonts w:hint="eastAsia"/>
                <w:kern w:val="0"/>
                <w:sz w:val="24"/>
                <w:highlight w:val="none"/>
              </w:rPr>
              <w:t>PICARRO G5310</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7B1688E0">
            <w:pPr>
              <w:adjustRightInd w:val="0"/>
              <w:spacing w:line="360" w:lineRule="auto"/>
              <w:jc w:val="center"/>
              <w:rPr>
                <w:kern w:val="0"/>
                <w:sz w:val="24"/>
                <w:highlight w:val="none"/>
              </w:rPr>
            </w:pPr>
            <w:r>
              <w:rPr>
                <w:rFonts w:hint="eastAsia"/>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2A8DE739">
            <w:pPr>
              <w:adjustRightInd w:val="0"/>
              <w:spacing w:line="360" w:lineRule="auto"/>
              <w:jc w:val="center"/>
              <w:rPr>
                <w:kern w:val="0"/>
                <w:sz w:val="24"/>
                <w:highlight w:val="none"/>
              </w:rPr>
            </w:pPr>
            <w:r>
              <w:rPr>
                <w:rFonts w:hint="eastAsia"/>
                <w:kern w:val="0"/>
                <w:sz w:val="24"/>
                <w:highlight w:val="none"/>
              </w:rPr>
              <w:t>台</w:t>
            </w:r>
          </w:p>
        </w:tc>
      </w:tr>
      <w:tr w14:paraId="45C354B2">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209E2E9C">
            <w:pPr>
              <w:adjustRightInd w:val="0"/>
              <w:spacing w:line="360" w:lineRule="auto"/>
              <w:jc w:val="center"/>
              <w:rPr>
                <w:kern w:val="0"/>
                <w:sz w:val="24"/>
                <w:highlight w:val="none"/>
              </w:rPr>
            </w:pPr>
            <w:r>
              <w:rPr>
                <w:rFonts w:hint="eastAsia"/>
                <w:kern w:val="0"/>
                <w:sz w:val="24"/>
                <w:highlight w:val="none"/>
              </w:rPr>
              <w:t>2</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6F6ECD97">
            <w:pPr>
              <w:adjustRightInd w:val="0"/>
              <w:spacing w:line="360" w:lineRule="auto"/>
              <w:jc w:val="center"/>
              <w:rPr>
                <w:kern w:val="0"/>
                <w:sz w:val="24"/>
                <w:highlight w:val="none"/>
              </w:rPr>
            </w:pPr>
            <w:r>
              <w:rPr>
                <w:rFonts w:hint="eastAsia"/>
                <w:kern w:val="0"/>
                <w:sz w:val="24"/>
                <w:highlight w:val="none"/>
              </w:rPr>
              <w:t>高精度CO</w:t>
            </w:r>
            <w:r>
              <w:rPr>
                <w:rFonts w:hint="eastAsia"/>
                <w:kern w:val="0"/>
                <w:sz w:val="24"/>
                <w:highlight w:val="none"/>
                <w:vertAlign w:val="subscript"/>
              </w:rPr>
              <w:t>2</w:t>
            </w:r>
            <w:r>
              <w:rPr>
                <w:rFonts w:hint="eastAsia"/>
                <w:kern w:val="0"/>
                <w:sz w:val="24"/>
                <w:highlight w:val="none"/>
              </w:rPr>
              <w:t>、CH</w:t>
            </w:r>
            <w:r>
              <w:rPr>
                <w:rFonts w:hint="eastAsia"/>
                <w:kern w:val="0"/>
                <w:sz w:val="24"/>
                <w:highlight w:val="none"/>
                <w:vertAlign w:val="subscript"/>
              </w:rPr>
              <w:t>4</w:t>
            </w:r>
            <w:r>
              <w:rPr>
                <w:rFonts w:hint="eastAsia"/>
                <w:kern w:val="0"/>
                <w:sz w:val="24"/>
                <w:highlight w:val="none"/>
              </w:rPr>
              <w:t>、</w:t>
            </w:r>
            <w:r>
              <w:rPr>
                <w:rFonts w:hint="eastAsia"/>
                <w:kern w:val="0"/>
                <w:sz w:val="24"/>
                <w:highlight w:val="none"/>
                <w:vertAlign w:val="superscript"/>
              </w:rPr>
              <w:t>13</w:t>
            </w:r>
            <w:r>
              <w:rPr>
                <w:rFonts w:hint="eastAsia"/>
                <w:kern w:val="0"/>
                <w:sz w:val="24"/>
                <w:highlight w:val="none"/>
              </w:rPr>
              <w:t>CO</w:t>
            </w:r>
            <w:r>
              <w:rPr>
                <w:rFonts w:hint="eastAsia"/>
                <w:kern w:val="0"/>
                <w:sz w:val="24"/>
                <w:highlight w:val="none"/>
                <w:vertAlign w:val="subscript"/>
              </w:rPr>
              <w:t>2</w:t>
            </w:r>
            <w:r>
              <w:rPr>
                <w:rFonts w:hint="eastAsia"/>
                <w:kern w:val="0"/>
                <w:sz w:val="24"/>
                <w:highlight w:val="none"/>
              </w:rPr>
              <w:t>温室气体同位素分析仪</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08D21F88">
            <w:pPr>
              <w:adjustRightInd w:val="0"/>
              <w:spacing w:line="360" w:lineRule="auto"/>
              <w:jc w:val="center"/>
              <w:rPr>
                <w:kern w:val="0"/>
                <w:sz w:val="24"/>
                <w:highlight w:val="none"/>
              </w:rPr>
            </w:pPr>
            <w:r>
              <w:rPr>
                <w:rFonts w:hint="eastAsia"/>
                <w:kern w:val="0"/>
                <w:sz w:val="24"/>
                <w:highlight w:val="none"/>
              </w:rPr>
              <w:t>PICARRO G2131-i</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001059AF">
            <w:pPr>
              <w:adjustRightInd w:val="0"/>
              <w:spacing w:line="360" w:lineRule="auto"/>
              <w:jc w:val="center"/>
              <w:rPr>
                <w:kern w:val="0"/>
                <w:sz w:val="24"/>
                <w:highlight w:val="none"/>
              </w:rPr>
            </w:pPr>
            <w:r>
              <w:rPr>
                <w:rFonts w:hint="eastAsia"/>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0E4D47AC">
            <w:pPr>
              <w:adjustRightInd w:val="0"/>
              <w:spacing w:line="360" w:lineRule="auto"/>
              <w:jc w:val="center"/>
              <w:rPr>
                <w:kern w:val="0"/>
                <w:sz w:val="24"/>
                <w:highlight w:val="none"/>
              </w:rPr>
            </w:pPr>
            <w:r>
              <w:rPr>
                <w:rFonts w:hint="eastAsia"/>
                <w:kern w:val="0"/>
                <w:sz w:val="24"/>
                <w:highlight w:val="none"/>
              </w:rPr>
              <w:t>台</w:t>
            </w:r>
          </w:p>
        </w:tc>
      </w:tr>
      <w:tr w14:paraId="6E2B9A73">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71951589">
            <w:pPr>
              <w:adjustRightInd w:val="0"/>
              <w:spacing w:line="360" w:lineRule="auto"/>
              <w:jc w:val="center"/>
              <w:rPr>
                <w:kern w:val="0"/>
                <w:sz w:val="24"/>
                <w:highlight w:val="none"/>
              </w:rPr>
            </w:pPr>
            <w:r>
              <w:rPr>
                <w:rFonts w:hint="eastAsia"/>
                <w:kern w:val="0"/>
                <w:sz w:val="24"/>
                <w:highlight w:val="none"/>
              </w:rPr>
              <w:t>3</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7F680D78">
            <w:pPr>
              <w:adjustRightInd w:val="0"/>
              <w:spacing w:line="360" w:lineRule="auto"/>
              <w:jc w:val="center"/>
              <w:rPr>
                <w:kern w:val="0"/>
                <w:sz w:val="24"/>
                <w:highlight w:val="none"/>
              </w:rPr>
            </w:pPr>
            <w:r>
              <w:rPr>
                <w:rFonts w:hint="eastAsia"/>
                <w:kern w:val="0"/>
                <w:sz w:val="24"/>
                <w:highlight w:val="none"/>
              </w:rPr>
              <w:t>进样阀箱</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55D9B997">
            <w:pPr>
              <w:adjustRightInd w:val="0"/>
              <w:spacing w:line="360" w:lineRule="auto"/>
              <w:jc w:val="center"/>
              <w:rPr>
                <w:kern w:val="0"/>
                <w:sz w:val="24"/>
                <w:highlight w:val="none"/>
              </w:rPr>
            </w:pPr>
            <w:r>
              <w:rPr>
                <w:rFonts w:hint="eastAsia"/>
                <w:kern w:val="0"/>
                <w:sz w:val="24"/>
                <w:highlight w:val="none"/>
              </w:rPr>
              <w:t>世纪朝阳 定制</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1CB1BF95">
            <w:pPr>
              <w:adjustRightInd w:val="0"/>
              <w:spacing w:line="360" w:lineRule="auto"/>
              <w:jc w:val="center"/>
              <w:rPr>
                <w:kern w:val="0"/>
                <w:sz w:val="24"/>
                <w:highlight w:val="none"/>
              </w:rPr>
            </w:pPr>
            <w:r>
              <w:rPr>
                <w:rFonts w:hint="eastAsia"/>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6A0F75EB">
            <w:pPr>
              <w:adjustRightInd w:val="0"/>
              <w:spacing w:line="360" w:lineRule="auto"/>
              <w:jc w:val="center"/>
              <w:rPr>
                <w:kern w:val="0"/>
                <w:sz w:val="24"/>
                <w:highlight w:val="none"/>
              </w:rPr>
            </w:pPr>
            <w:r>
              <w:rPr>
                <w:rFonts w:hint="eastAsia"/>
                <w:kern w:val="0"/>
                <w:sz w:val="24"/>
                <w:highlight w:val="none"/>
              </w:rPr>
              <w:t>台</w:t>
            </w:r>
          </w:p>
        </w:tc>
      </w:tr>
      <w:tr w14:paraId="35DBA062">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19D12511">
            <w:pPr>
              <w:adjustRightInd w:val="0"/>
              <w:spacing w:line="360" w:lineRule="auto"/>
              <w:jc w:val="center"/>
              <w:rPr>
                <w:kern w:val="0"/>
                <w:sz w:val="24"/>
                <w:highlight w:val="none"/>
              </w:rPr>
            </w:pPr>
            <w:r>
              <w:rPr>
                <w:rFonts w:hint="eastAsia"/>
                <w:kern w:val="0"/>
                <w:sz w:val="24"/>
                <w:highlight w:val="none"/>
              </w:rPr>
              <w:t>4</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0787B740">
            <w:pPr>
              <w:adjustRightInd w:val="0"/>
              <w:spacing w:line="360" w:lineRule="auto"/>
              <w:jc w:val="center"/>
              <w:rPr>
                <w:kern w:val="0"/>
                <w:sz w:val="24"/>
                <w:highlight w:val="none"/>
              </w:rPr>
            </w:pPr>
            <w:r>
              <w:rPr>
                <w:rFonts w:hint="eastAsia"/>
                <w:kern w:val="0"/>
                <w:sz w:val="24"/>
                <w:highlight w:val="none"/>
              </w:rPr>
              <w:t>超低温冷阱</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7C8DBCF5">
            <w:pPr>
              <w:adjustRightInd w:val="0"/>
              <w:spacing w:line="360" w:lineRule="auto"/>
              <w:jc w:val="center"/>
              <w:rPr>
                <w:kern w:val="0"/>
                <w:sz w:val="24"/>
                <w:highlight w:val="none"/>
              </w:rPr>
            </w:pPr>
            <w:r>
              <w:rPr>
                <w:rFonts w:hint="eastAsia"/>
                <w:kern w:val="0"/>
                <w:sz w:val="24"/>
                <w:highlight w:val="none"/>
              </w:rPr>
              <w:t>世纪朝阳 CS-8000</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496F15F">
            <w:pPr>
              <w:adjustRightInd w:val="0"/>
              <w:spacing w:line="360" w:lineRule="auto"/>
              <w:jc w:val="center"/>
              <w:rPr>
                <w:kern w:val="0"/>
                <w:sz w:val="24"/>
                <w:highlight w:val="none"/>
              </w:rPr>
            </w:pPr>
            <w:r>
              <w:rPr>
                <w:rFonts w:hint="eastAsia"/>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0DB6B8C9">
            <w:pPr>
              <w:adjustRightInd w:val="0"/>
              <w:spacing w:line="360" w:lineRule="auto"/>
              <w:jc w:val="center"/>
              <w:rPr>
                <w:kern w:val="0"/>
                <w:sz w:val="24"/>
                <w:highlight w:val="none"/>
              </w:rPr>
            </w:pPr>
            <w:r>
              <w:rPr>
                <w:rFonts w:hint="eastAsia"/>
                <w:kern w:val="0"/>
                <w:sz w:val="24"/>
                <w:highlight w:val="none"/>
              </w:rPr>
              <w:t>套</w:t>
            </w:r>
          </w:p>
        </w:tc>
      </w:tr>
      <w:tr w14:paraId="48D789DF">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45A48D44">
            <w:pPr>
              <w:adjustRightInd w:val="0"/>
              <w:spacing w:line="360" w:lineRule="auto"/>
              <w:jc w:val="center"/>
              <w:rPr>
                <w:kern w:val="0"/>
                <w:sz w:val="24"/>
                <w:highlight w:val="none"/>
              </w:rPr>
            </w:pPr>
            <w:r>
              <w:rPr>
                <w:rFonts w:hint="eastAsia"/>
                <w:kern w:val="0"/>
                <w:sz w:val="24"/>
                <w:highlight w:val="none"/>
              </w:rPr>
              <w:t>5</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54CC5659">
            <w:pPr>
              <w:adjustRightInd w:val="0"/>
              <w:spacing w:line="360" w:lineRule="auto"/>
              <w:jc w:val="center"/>
              <w:rPr>
                <w:kern w:val="0"/>
                <w:sz w:val="24"/>
                <w:highlight w:val="none"/>
              </w:rPr>
            </w:pPr>
            <w:r>
              <w:rPr>
                <w:rFonts w:hint="eastAsia"/>
                <w:kern w:val="0"/>
                <w:sz w:val="24"/>
                <w:highlight w:val="none"/>
              </w:rPr>
              <w:t>电子冷凝器</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3E197CB5">
            <w:pPr>
              <w:adjustRightInd w:val="0"/>
              <w:spacing w:line="360" w:lineRule="auto"/>
              <w:jc w:val="center"/>
              <w:rPr>
                <w:kern w:val="0"/>
                <w:sz w:val="24"/>
                <w:highlight w:val="none"/>
              </w:rPr>
            </w:pPr>
            <w:r>
              <w:rPr>
                <w:rFonts w:hint="eastAsia"/>
                <w:kern w:val="0"/>
                <w:sz w:val="24"/>
                <w:highlight w:val="none"/>
              </w:rPr>
              <w:t>CS-7A</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72D20690">
            <w:pPr>
              <w:adjustRightInd w:val="0"/>
              <w:spacing w:line="360" w:lineRule="auto"/>
              <w:jc w:val="center"/>
              <w:rPr>
                <w:kern w:val="0"/>
                <w:sz w:val="24"/>
                <w:highlight w:val="none"/>
              </w:rPr>
            </w:pPr>
            <w:r>
              <w:rPr>
                <w:rFonts w:hint="eastAsia"/>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7E52C835">
            <w:pPr>
              <w:adjustRightInd w:val="0"/>
              <w:spacing w:line="360" w:lineRule="auto"/>
              <w:jc w:val="center"/>
              <w:rPr>
                <w:kern w:val="0"/>
                <w:sz w:val="24"/>
                <w:highlight w:val="none"/>
              </w:rPr>
            </w:pPr>
            <w:r>
              <w:rPr>
                <w:rFonts w:hint="eastAsia"/>
                <w:kern w:val="0"/>
                <w:sz w:val="24"/>
                <w:highlight w:val="none"/>
              </w:rPr>
              <w:t>台</w:t>
            </w:r>
          </w:p>
        </w:tc>
      </w:tr>
      <w:tr w14:paraId="32E33774">
        <w:tblPrEx>
          <w:tblCellMar>
            <w:top w:w="0" w:type="dxa"/>
            <w:left w:w="108" w:type="dxa"/>
            <w:bottom w:w="0" w:type="dxa"/>
            <w:right w:w="108" w:type="dxa"/>
          </w:tblCellMar>
        </w:tblPrEx>
        <w:trPr>
          <w:trHeight w:val="851"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0FD10A27">
            <w:pPr>
              <w:adjustRightInd w:val="0"/>
              <w:spacing w:line="360" w:lineRule="auto"/>
              <w:jc w:val="center"/>
              <w:rPr>
                <w:kern w:val="0"/>
                <w:sz w:val="24"/>
                <w:highlight w:val="none"/>
              </w:rPr>
            </w:pPr>
            <w:r>
              <w:rPr>
                <w:rFonts w:hint="eastAsia"/>
                <w:kern w:val="0"/>
                <w:sz w:val="24"/>
                <w:highlight w:val="none"/>
              </w:rPr>
              <w:t>6</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617F4159">
            <w:pPr>
              <w:adjustRightInd w:val="0"/>
              <w:spacing w:line="360" w:lineRule="auto"/>
              <w:jc w:val="center"/>
              <w:rPr>
                <w:kern w:val="0"/>
                <w:sz w:val="24"/>
                <w:highlight w:val="none"/>
              </w:rPr>
            </w:pPr>
            <w:r>
              <w:rPr>
                <w:rFonts w:hint="eastAsia"/>
                <w:kern w:val="0"/>
                <w:sz w:val="24"/>
                <w:highlight w:val="none"/>
              </w:rPr>
              <w:t>工控机</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69FAE299">
            <w:pPr>
              <w:adjustRightInd w:val="0"/>
              <w:spacing w:line="360" w:lineRule="auto"/>
              <w:jc w:val="center"/>
              <w:rPr>
                <w:kern w:val="0"/>
                <w:sz w:val="24"/>
                <w:highlight w:val="none"/>
              </w:rPr>
            </w:pPr>
            <w:r>
              <w:rPr>
                <w:rFonts w:hint="eastAsia"/>
                <w:kern w:val="0"/>
                <w:sz w:val="24"/>
                <w:highlight w:val="none"/>
              </w:rPr>
              <w:t>研华 ACP-40000/1PC-610 series</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58D3FDAB">
            <w:pPr>
              <w:adjustRightInd w:val="0"/>
              <w:spacing w:line="360" w:lineRule="auto"/>
              <w:jc w:val="center"/>
              <w:rPr>
                <w:kern w:val="0"/>
                <w:sz w:val="24"/>
                <w:highlight w:val="none"/>
              </w:rPr>
            </w:pPr>
            <w:r>
              <w:rPr>
                <w:rFonts w:hint="eastAsia"/>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57B76D26">
            <w:pPr>
              <w:adjustRightInd w:val="0"/>
              <w:spacing w:line="360" w:lineRule="auto"/>
              <w:jc w:val="center"/>
              <w:rPr>
                <w:kern w:val="0"/>
                <w:sz w:val="24"/>
                <w:highlight w:val="none"/>
              </w:rPr>
            </w:pPr>
            <w:r>
              <w:rPr>
                <w:rFonts w:hint="eastAsia"/>
                <w:kern w:val="0"/>
                <w:sz w:val="24"/>
                <w:highlight w:val="none"/>
              </w:rPr>
              <w:t>台</w:t>
            </w:r>
          </w:p>
        </w:tc>
      </w:tr>
      <w:tr w14:paraId="64DED2F1">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51D31F27">
            <w:pPr>
              <w:adjustRightInd w:val="0"/>
              <w:spacing w:line="360" w:lineRule="auto"/>
              <w:jc w:val="center"/>
              <w:rPr>
                <w:kern w:val="0"/>
                <w:sz w:val="24"/>
                <w:highlight w:val="none"/>
              </w:rPr>
            </w:pPr>
            <w:r>
              <w:rPr>
                <w:rFonts w:hint="eastAsia"/>
                <w:kern w:val="0"/>
                <w:sz w:val="24"/>
                <w:highlight w:val="none"/>
              </w:rPr>
              <w:t>7</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2B5EF5FC">
            <w:pPr>
              <w:adjustRightInd w:val="0"/>
              <w:spacing w:line="360" w:lineRule="auto"/>
              <w:jc w:val="center"/>
              <w:rPr>
                <w:kern w:val="0"/>
                <w:sz w:val="24"/>
                <w:highlight w:val="none"/>
              </w:rPr>
            </w:pPr>
            <w:r>
              <w:rPr>
                <w:rFonts w:hint="eastAsia"/>
                <w:kern w:val="0"/>
                <w:sz w:val="24"/>
                <w:highlight w:val="none"/>
              </w:rPr>
              <w:t>LCDKVM切换器</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750F7DB7">
            <w:pPr>
              <w:adjustRightInd w:val="0"/>
              <w:spacing w:line="360" w:lineRule="auto"/>
              <w:jc w:val="center"/>
              <w:rPr>
                <w:kern w:val="0"/>
                <w:sz w:val="24"/>
                <w:highlight w:val="none"/>
              </w:rPr>
            </w:pPr>
            <w:r>
              <w:rPr>
                <w:rFonts w:hint="eastAsia"/>
                <w:kern w:val="0"/>
                <w:sz w:val="24"/>
                <w:highlight w:val="none"/>
              </w:rPr>
              <w:t>龙远恒信 KVM-1708-VGA-D</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E56C605">
            <w:pPr>
              <w:adjustRightInd w:val="0"/>
              <w:spacing w:line="360" w:lineRule="auto"/>
              <w:jc w:val="center"/>
              <w:rPr>
                <w:kern w:val="0"/>
                <w:sz w:val="24"/>
                <w:highlight w:val="none"/>
              </w:rPr>
            </w:pPr>
            <w:r>
              <w:rPr>
                <w:rFonts w:hint="eastAsia"/>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11F7A76E">
            <w:pPr>
              <w:adjustRightInd w:val="0"/>
              <w:spacing w:line="360" w:lineRule="auto"/>
              <w:jc w:val="center"/>
              <w:rPr>
                <w:kern w:val="0"/>
                <w:sz w:val="24"/>
                <w:highlight w:val="none"/>
              </w:rPr>
            </w:pPr>
            <w:r>
              <w:rPr>
                <w:rFonts w:hint="eastAsia"/>
                <w:kern w:val="0"/>
                <w:sz w:val="24"/>
                <w:highlight w:val="none"/>
              </w:rPr>
              <w:t>台</w:t>
            </w:r>
          </w:p>
        </w:tc>
      </w:tr>
      <w:tr w14:paraId="3F264DBD">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534F594B">
            <w:pPr>
              <w:adjustRightInd w:val="0"/>
              <w:spacing w:line="360" w:lineRule="auto"/>
              <w:jc w:val="center"/>
              <w:rPr>
                <w:kern w:val="0"/>
                <w:sz w:val="24"/>
                <w:highlight w:val="none"/>
              </w:rPr>
            </w:pPr>
            <w:r>
              <w:rPr>
                <w:rFonts w:hint="eastAsia"/>
                <w:kern w:val="0"/>
                <w:sz w:val="24"/>
                <w:highlight w:val="none"/>
              </w:rPr>
              <w:t>8</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262161BF">
            <w:pPr>
              <w:adjustRightInd w:val="0"/>
              <w:spacing w:line="360" w:lineRule="auto"/>
              <w:jc w:val="center"/>
              <w:rPr>
                <w:kern w:val="0"/>
                <w:sz w:val="24"/>
                <w:highlight w:val="none"/>
              </w:rPr>
            </w:pPr>
            <w:r>
              <w:rPr>
                <w:rFonts w:hint="eastAsia"/>
                <w:kern w:val="0"/>
                <w:sz w:val="24"/>
                <w:highlight w:val="none"/>
              </w:rPr>
              <w:t>采样泵</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69AFAB82">
            <w:pPr>
              <w:adjustRightInd w:val="0"/>
              <w:spacing w:line="360" w:lineRule="auto"/>
              <w:jc w:val="center"/>
              <w:rPr>
                <w:kern w:val="0"/>
                <w:sz w:val="24"/>
                <w:highlight w:val="none"/>
              </w:rPr>
            </w:pPr>
            <w:r>
              <w:rPr>
                <w:rFonts w:hint="eastAsia"/>
                <w:kern w:val="0"/>
                <w:sz w:val="24"/>
                <w:highlight w:val="none"/>
              </w:rPr>
              <w:t>Gast DOA-P504-BN</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1353933D">
            <w:pPr>
              <w:adjustRightInd w:val="0"/>
              <w:spacing w:line="360" w:lineRule="auto"/>
              <w:jc w:val="center"/>
              <w:rPr>
                <w:kern w:val="0"/>
                <w:sz w:val="24"/>
                <w:highlight w:val="none"/>
              </w:rPr>
            </w:pPr>
            <w:r>
              <w:rPr>
                <w:rFonts w:hint="eastAsia"/>
                <w:kern w:val="0"/>
                <w:sz w:val="24"/>
                <w:highlight w:val="none"/>
              </w:rPr>
              <w:t>2</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08444C0D">
            <w:pPr>
              <w:adjustRightInd w:val="0"/>
              <w:spacing w:line="360" w:lineRule="auto"/>
              <w:jc w:val="center"/>
              <w:rPr>
                <w:kern w:val="0"/>
                <w:sz w:val="24"/>
                <w:highlight w:val="none"/>
              </w:rPr>
            </w:pPr>
            <w:r>
              <w:rPr>
                <w:rFonts w:hint="eastAsia"/>
                <w:kern w:val="0"/>
                <w:sz w:val="24"/>
                <w:highlight w:val="none"/>
              </w:rPr>
              <w:t>台</w:t>
            </w:r>
          </w:p>
        </w:tc>
      </w:tr>
      <w:tr w14:paraId="7F538702">
        <w:tblPrEx>
          <w:tblCellMar>
            <w:top w:w="0" w:type="dxa"/>
            <w:left w:w="108" w:type="dxa"/>
            <w:bottom w:w="0" w:type="dxa"/>
            <w:right w:w="108" w:type="dxa"/>
          </w:tblCellMar>
        </w:tblPrEx>
        <w:trPr>
          <w:trHeight w:val="851"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3B811C49">
            <w:pPr>
              <w:adjustRightInd w:val="0"/>
              <w:spacing w:line="360" w:lineRule="auto"/>
              <w:jc w:val="center"/>
              <w:rPr>
                <w:kern w:val="0"/>
                <w:sz w:val="24"/>
                <w:highlight w:val="none"/>
              </w:rPr>
            </w:pPr>
            <w:r>
              <w:rPr>
                <w:rFonts w:hint="eastAsia"/>
                <w:kern w:val="0"/>
                <w:sz w:val="24"/>
                <w:highlight w:val="none"/>
              </w:rPr>
              <w:t>9</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6326E114">
            <w:pPr>
              <w:adjustRightInd w:val="0"/>
              <w:spacing w:line="360" w:lineRule="auto"/>
              <w:jc w:val="center"/>
              <w:rPr>
                <w:kern w:val="0"/>
                <w:sz w:val="24"/>
                <w:highlight w:val="none"/>
              </w:rPr>
            </w:pPr>
            <w:r>
              <w:rPr>
                <w:rFonts w:hint="eastAsia"/>
                <w:kern w:val="0"/>
                <w:sz w:val="24"/>
                <w:highlight w:val="none"/>
              </w:rPr>
              <w:t>智能气象传感器</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65959DD2">
            <w:pPr>
              <w:adjustRightInd w:val="0"/>
              <w:spacing w:line="360" w:lineRule="auto"/>
              <w:jc w:val="center"/>
              <w:rPr>
                <w:kern w:val="0"/>
                <w:sz w:val="24"/>
                <w:highlight w:val="none"/>
              </w:rPr>
            </w:pPr>
            <w:r>
              <w:rPr>
                <w:rFonts w:hint="eastAsia"/>
                <w:kern w:val="0"/>
                <w:sz w:val="24"/>
                <w:highlight w:val="none"/>
              </w:rPr>
              <w:t xml:space="preserve">lufft </w:t>
            </w:r>
            <w:bookmarkStart w:id="10" w:name="OLE_LINK1"/>
            <w:r>
              <w:rPr>
                <w:rFonts w:hint="eastAsia"/>
                <w:kern w:val="0"/>
                <w:sz w:val="24"/>
                <w:highlight w:val="none"/>
              </w:rPr>
              <w:t>ws500</w:t>
            </w:r>
            <w:bookmarkEnd w:id="10"/>
          </w:p>
        </w:tc>
        <w:tc>
          <w:tcPr>
            <w:tcW w:w="624" w:type="dxa"/>
            <w:tcBorders>
              <w:top w:val="single" w:color="000000" w:sz="4" w:space="0"/>
              <w:left w:val="single" w:color="000000" w:sz="4" w:space="0"/>
              <w:bottom w:val="single" w:color="000000" w:sz="4" w:space="0"/>
              <w:right w:val="single" w:color="000000" w:sz="4" w:space="0"/>
            </w:tcBorders>
            <w:noWrap/>
            <w:vAlign w:val="center"/>
          </w:tcPr>
          <w:p w14:paraId="37D46E29">
            <w:pPr>
              <w:adjustRightInd w:val="0"/>
              <w:spacing w:line="360" w:lineRule="auto"/>
              <w:jc w:val="center"/>
              <w:rPr>
                <w:kern w:val="0"/>
                <w:sz w:val="24"/>
                <w:highlight w:val="none"/>
              </w:rPr>
            </w:pPr>
            <w:r>
              <w:rPr>
                <w:rFonts w:hint="eastAsia"/>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6B92F1CF">
            <w:pPr>
              <w:adjustRightInd w:val="0"/>
              <w:spacing w:line="360" w:lineRule="auto"/>
              <w:jc w:val="center"/>
              <w:rPr>
                <w:kern w:val="0"/>
                <w:sz w:val="24"/>
                <w:highlight w:val="none"/>
              </w:rPr>
            </w:pPr>
            <w:r>
              <w:rPr>
                <w:rFonts w:hint="eastAsia"/>
                <w:kern w:val="0"/>
                <w:sz w:val="24"/>
                <w:highlight w:val="none"/>
              </w:rPr>
              <w:t>套</w:t>
            </w:r>
          </w:p>
        </w:tc>
      </w:tr>
    </w:tbl>
    <w:p w14:paraId="53759027">
      <w:pPr>
        <w:adjustRightInd w:val="0"/>
        <w:spacing w:line="360" w:lineRule="auto"/>
        <w:jc w:val="center"/>
        <w:rPr>
          <w:b/>
          <w:sz w:val="24"/>
          <w:highlight w:val="none"/>
        </w:rPr>
      </w:pPr>
      <w:r>
        <w:rPr>
          <w:b/>
          <w:sz w:val="24"/>
          <w:highlight w:val="none"/>
        </w:rPr>
        <w:t>表2 临平工业区站仪器配置情况一览表</w:t>
      </w:r>
    </w:p>
    <w:tbl>
      <w:tblPr>
        <w:tblStyle w:val="15"/>
        <w:tblW w:w="8816" w:type="dxa"/>
        <w:jc w:val="center"/>
        <w:tblLayout w:type="fixed"/>
        <w:tblCellMar>
          <w:top w:w="0" w:type="dxa"/>
          <w:left w:w="108" w:type="dxa"/>
          <w:bottom w:w="0" w:type="dxa"/>
          <w:right w:w="108" w:type="dxa"/>
        </w:tblCellMar>
      </w:tblPr>
      <w:tblGrid>
        <w:gridCol w:w="839"/>
        <w:gridCol w:w="3523"/>
        <w:gridCol w:w="2809"/>
        <w:gridCol w:w="783"/>
        <w:gridCol w:w="862"/>
      </w:tblGrid>
      <w:tr w14:paraId="4CAB7862">
        <w:tblPrEx>
          <w:tblCellMar>
            <w:top w:w="0" w:type="dxa"/>
            <w:left w:w="108" w:type="dxa"/>
            <w:bottom w:w="0" w:type="dxa"/>
            <w:right w:w="108" w:type="dxa"/>
          </w:tblCellMar>
        </w:tblPrEx>
        <w:trPr>
          <w:trHeight w:val="638" w:hRule="atLeast"/>
          <w:tblHeader/>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6028071A">
            <w:pPr>
              <w:adjustRightInd w:val="0"/>
              <w:spacing w:line="360" w:lineRule="auto"/>
              <w:jc w:val="center"/>
              <w:rPr>
                <w:kern w:val="0"/>
                <w:sz w:val="24"/>
                <w:highlight w:val="none"/>
              </w:rPr>
            </w:pPr>
            <w:r>
              <w:rPr>
                <w:rFonts w:hint="eastAsia"/>
                <w:kern w:val="0"/>
                <w:sz w:val="24"/>
                <w:highlight w:val="none"/>
              </w:rPr>
              <w:t>序号</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7AA54F9A">
            <w:pPr>
              <w:adjustRightInd w:val="0"/>
              <w:spacing w:line="360" w:lineRule="auto"/>
              <w:jc w:val="center"/>
              <w:rPr>
                <w:kern w:val="0"/>
                <w:sz w:val="24"/>
                <w:highlight w:val="none"/>
              </w:rPr>
            </w:pPr>
            <w:r>
              <w:rPr>
                <w:rFonts w:hint="eastAsia"/>
                <w:kern w:val="0"/>
                <w:sz w:val="24"/>
                <w:highlight w:val="none"/>
              </w:rPr>
              <w:t>设备名称</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32EBBB03">
            <w:pPr>
              <w:adjustRightInd w:val="0"/>
              <w:spacing w:line="360" w:lineRule="auto"/>
              <w:jc w:val="center"/>
              <w:rPr>
                <w:kern w:val="0"/>
                <w:sz w:val="24"/>
                <w:highlight w:val="none"/>
              </w:rPr>
            </w:pPr>
            <w:r>
              <w:rPr>
                <w:rFonts w:hint="eastAsia"/>
                <w:kern w:val="0"/>
                <w:sz w:val="24"/>
                <w:highlight w:val="none"/>
              </w:rPr>
              <w:t>品牌型号</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8722381">
            <w:pPr>
              <w:adjustRightInd w:val="0"/>
              <w:spacing w:line="360" w:lineRule="auto"/>
              <w:jc w:val="center"/>
              <w:rPr>
                <w:kern w:val="0"/>
                <w:sz w:val="24"/>
                <w:highlight w:val="none"/>
              </w:rPr>
            </w:pPr>
            <w:r>
              <w:rPr>
                <w:rFonts w:hint="eastAsia"/>
                <w:kern w:val="0"/>
                <w:sz w:val="24"/>
                <w:highlight w:val="none"/>
              </w:rPr>
              <w:t>数量</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6DC8D54A">
            <w:pPr>
              <w:adjustRightInd w:val="0"/>
              <w:spacing w:line="360" w:lineRule="auto"/>
              <w:jc w:val="center"/>
              <w:rPr>
                <w:kern w:val="0"/>
                <w:sz w:val="24"/>
                <w:highlight w:val="none"/>
              </w:rPr>
            </w:pPr>
            <w:r>
              <w:rPr>
                <w:rFonts w:hint="eastAsia"/>
                <w:kern w:val="0"/>
                <w:sz w:val="24"/>
                <w:highlight w:val="none"/>
              </w:rPr>
              <w:t>单位</w:t>
            </w:r>
          </w:p>
        </w:tc>
      </w:tr>
      <w:tr w14:paraId="1A4AE5FF">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69363538">
            <w:pPr>
              <w:adjustRightInd w:val="0"/>
              <w:spacing w:line="360" w:lineRule="auto"/>
              <w:jc w:val="center"/>
              <w:rPr>
                <w:kern w:val="0"/>
                <w:sz w:val="24"/>
                <w:highlight w:val="none"/>
              </w:rPr>
            </w:pPr>
            <w:r>
              <w:rPr>
                <w:rFonts w:hint="eastAsia"/>
                <w:kern w:val="0"/>
                <w:sz w:val="24"/>
                <w:highlight w:val="none"/>
              </w:rPr>
              <w:t>1</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5FA49B94">
            <w:pPr>
              <w:adjustRightInd w:val="0"/>
              <w:spacing w:line="360" w:lineRule="auto"/>
              <w:jc w:val="center"/>
              <w:rPr>
                <w:kern w:val="0"/>
                <w:sz w:val="24"/>
                <w:highlight w:val="none"/>
              </w:rPr>
            </w:pPr>
            <w:r>
              <w:rPr>
                <w:rFonts w:hint="eastAsia"/>
                <w:kern w:val="0"/>
                <w:sz w:val="24"/>
                <w:highlight w:val="none"/>
              </w:rPr>
              <w:t>高精度CO</w:t>
            </w:r>
            <w:r>
              <w:rPr>
                <w:rFonts w:hint="eastAsia"/>
                <w:kern w:val="0"/>
                <w:sz w:val="24"/>
                <w:highlight w:val="none"/>
                <w:vertAlign w:val="subscript"/>
              </w:rPr>
              <w:t>2</w:t>
            </w:r>
            <w:r>
              <w:rPr>
                <w:rFonts w:hint="eastAsia"/>
                <w:kern w:val="0"/>
                <w:sz w:val="24"/>
                <w:highlight w:val="none"/>
              </w:rPr>
              <w:t>、CH</w:t>
            </w:r>
            <w:r>
              <w:rPr>
                <w:rFonts w:hint="eastAsia"/>
                <w:kern w:val="0"/>
                <w:sz w:val="24"/>
                <w:highlight w:val="none"/>
                <w:vertAlign w:val="subscript"/>
              </w:rPr>
              <w:t>4</w:t>
            </w:r>
            <w:r>
              <w:rPr>
                <w:rFonts w:hint="eastAsia"/>
                <w:kern w:val="0"/>
                <w:sz w:val="24"/>
                <w:highlight w:val="none"/>
              </w:rPr>
              <w:t>、CO温室气体分析仪</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48F16EBB">
            <w:pPr>
              <w:adjustRightInd w:val="0"/>
              <w:spacing w:line="360" w:lineRule="auto"/>
              <w:jc w:val="center"/>
              <w:rPr>
                <w:kern w:val="0"/>
                <w:sz w:val="24"/>
                <w:highlight w:val="none"/>
              </w:rPr>
            </w:pPr>
            <w:r>
              <w:rPr>
                <w:rFonts w:hint="eastAsia"/>
                <w:kern w:val="0"/>
                <w:sz w:val="24"/>
                <w:highlight w:val="none"/>
              </w:rPr>
              <w:t>PICARRO G2401</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131E056">
            <w:pPr>
              <w:adjustRightInd w:val="0"/>
              <w:spacing w:line="360" w:lineRule="auto"/>
              <w:jc w:val="center"/>
              <w:rPr>
                <w:kern w:val="0"/>
                <w:sz w:val="24"/>
                <w:highlight w:val="none"/>
              </w:rPr>
            </w:pPr>
            <w:r>
              <w:rPr>
                <w:rFonts w:hint="eastAsia"/>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21782C5E">
            <w:pPr>
              <w:adjustRightInd w:val="0"/>
              <w:spacing w:line="360" w:lineRule="auto"/>
              <w:jc w:val="center"/>
              <w:rPr>
                <w:kern w:val="0"/>
                <w:sz w:val="24"/>
                <w:highlight w:val="none"/>
              </w:rPr>
            </w:pPr>
            <w:r>
              <w:rPr>
                <w:rFonts w:hint="eastAsia"/>
                <w:kern w:val="0"/>
                <w:sz w:val="24"/>
                <w:highlight w:val="none"/>
              </w:rPr>
              <w:t>台</w:t>
            </w:r>
          </w:p>
        </w:tc>
      </w:tr>
      <w:tr w14:paraId="5CD69798">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466624EE">
            <w:pPr>
              <w:adjustRightInd w:val="0"/>
              <w:spacing w:line="360" w:lineRule="auto"/>
              <w:jc w:val="center"/>
              <w:rPr>
                <w:kern w:val="0"/>
                <w:sz w:val="24"/>
                <w:highlight w:val="none"/>
              </w:rPr>
            </w:pPr>
            <w:r>
              <w:rPr>
                <w:rFonts w:hint="eastAsia"/>
                <w:kern w:val="0"/>
                <w:sz w:val="24"/>
                <w:highlight w:val="none"/>
              </w:rPr>
              <w:t>2</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57A38844">
            <w:pPr>
              <w:adjustRightInd w:val="0"/>
              <w:spacing w:line="360" w:lineRule="auto"/>
              <w:jc w:val="center"/>
              <w:rPr>
                <w:kern w:val="0"/>
                <w:sz w:val="24"/>
                <w:highlight w:val="none"/>
              </w:rPr>
            </w:pPr>
            <w:r>
              <w:rPr>
                <w:rFonts w:hint="eastAsia"/>
                <w:kern w:val="0"/>
                <w:sz w:val="24"/>
                <w:highlight w:val="none"/>
              </w:rPr>
              <w:t>进样阀箱</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37AF6F52">
            <w:pPr>
              <w:adjustRightInd w:val="0"/>
              <w:spacing w:line="360" w:lineRule="auto"/>
              <w:jc w:val="center"/>
              <w:rPr>
                <w:kern w:val="0"/>
                <w:sz w:val="24"/>
                <w:highlight w:val="none"/>
              </w:rPr>
            </w:pPr>
            <w:r>
              <w:rPr>
                <w:rFonts w:hint="eastAsia"/>
                <w:kern w:val="0"/>
                <w:sz w:val="24"/>
                <w:highlight w:val="none"/>
              </w:rPr>
              <w:t>世纪朝阳 定制</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04E75BA">
            <w:pPr>
              <w:adjustRightInd w:val="0"/>
              <w:spacing w:line="360" w:lineRule="auto"/>
              <w:jc w:val="center"/>
              <w:rPr>
                <w:kern w:val="0"/>
                <w:sz w:val="24"/>
                <w:highlight w:val="none"/>
              </w:rPr>
            </w:pPr>
            <w:r>
              <w:rPr>
                <w:rFonts w:hint="eastAsia"/>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3D0751B6">
            <w:pPr>
              <w:adjustRightInd w:val="0"/>
              <w:spacing w:line="360" w:lineRule="auto"/>
              <w:jc w:val="center"/>
              <w:rPr>
                <w:kern w:val="0"/>
                <w:sz w:val="24"/>
                <w:highlight w:val="none"/>
              </w:rPr>
            </w:pPr>
            <w:r>
              <w:rPr>
                <w:rFonts w:hint="eastAsia"/>
                <w:kern w:val="0"/>
                <w:sz w:val="24"/>
                <w:highlight w:val="none"/>
              </w:rPr>
              <w:t>台</w:t>
            </w:r>
          </w:p>
        </w:tc>
      </w:tr>
      <w:tr w14:paraId="4C19721B">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2F829250">
            <w:pPr>
              <w:adjustRightInd w:val="0"/>
              <w:spacing w:line="360" w:lineRule="auto"/>
              <w:jc w:val="center"/>
              <w:rPr>
                <w:kern w:val="0"/>
                <w:sz w:val="24"/>
                <w:highlight w:val="none"/>
              </w:rPr>
            </w:pPr>
            <w:r>
              <w:rPr>
                <w:rFonts w:hint="eastAsia"/>
                <w:kern w:val="0"/>
                <w:sz w:val="24"/>
                <w:highlight w:val="none"/>
              </w:rPr>
              <w:t>3</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3F33D6B6">
            <w:pPr>
              <w:adjustRightInd w:val="0"/>
              <w:spacing w:line="360" w:lineRule="auto"/>
              <w:jc w:val="center"/>
              <w:rPr>
                <w:kern w:val="0"/>
                <w:sz w:val="24"/>
                <w:highlight w:val="none"/>
              </w:rPr>
            </w:pPr>
            <w:r>
              <w:rPr>
                <w:rFonts w:hint="eastAsia"/>
                <w:kern w:val="0"/>
                <w:sz w:val="24"/>
                <w:highlight w:val="none"/>
              </w:rPr>
              <w:t>超低温冷阱</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42C0E12E">
            <w:pPr>
              <w:adjustRightInd w:val="0"/>
              <w:spacing w:line="360" w:lineRule="auto"/>
              <w:jc w:val="center"/>
              <w:rPr>
                <w:kern w:val="0"/>
                <w:sz w:val="24"/>
                <w:highlight w:val="none"/>
              </w:rPr>
            </w:pPr>
            <w:r>
              <w:rPr>
                <w:rFonts w:hint="eastAsia"/>
                <w:kern w:val="0"/>
                <w:sz w:val="24"/>
                <w:highlight w:val="none"/>
              </w:rPr>
              <w:t>世纪朝阳 CS-8000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C8B6C1D">
            <w:pPr>
              <w:adjustRightInd w:val="0"/>
              <w:spacing w:line="360" w:lineRule="auto"/>
              <w:jc w:val="center"/>
              <w:rPr>
                <w:kern w:val="0"/>
                <w:sz w:val="24"/>
                <w:highlight w:val="none"/>
              </w:rPr>
            </w:pPr>
            <w:r>
              <w:rPr>
                <w:rFonts w:hint="eastAsia"/>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0BBF7C8A">
            <w:pPr>
              <w:adjustRightInd w:val="0"/>
              <w:spacing w:line="360" w:lineRule="auto"/>
              <w:jc w:val="center"/>
              <w:rPr>
                <w:kern w:val="0"/>
                <w:sz w:val="24"/>
                <w:highlight w:val="none"/>
              </w:rPr>
            </w:pPr>
            <w:r>
              <w:rPr>
                <w:rFonts w:hint="eastAsia"/>
                <w:kern w:val="0"/>
                <w:sz w:val="24"/>
                <w:highlight w:val="none"/>
              </w:rPr>
              <w:t>套</w:t>
            </w:r>
          </w:p>
        </w:tc>
      </w:tr>
      <w:tr w14:paraId="5E4685BF">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073B4397">
            <w:pPr>
              <w:adjustRightInd w:val="0"/>
              <w:spacing w:line="360" w:lineRule="auto"/>
              <w:jc w:val="center"/>
              <w:rPr>
                <w:kern w:val="0"/>
                <w:sz w:val="24"/>
                <w:highlight w:val="none"/>
              </w:rPr>
            </w:pPr>
            <w:r>
              <w:rPr>
                <w:rFonts w:hint="eastAsia"/>
                <w:kern w:val="0"/>
                <w:sz w:val="24"/>
                <w:highlight w:val="none"/>
              </w:rPr>
              <w:t>4</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079C99CD">
            <w:pPr>
              <w:adjustRightInd w:val="0"/>
              <w:spacing w:line="360" w:lineRule="auto"/>
              <w:jc w:val="center"/>
              <w:rPr>
                <w:kern w:val="0"/>
                <w:sz w:val="24"/>
                <w:highlight w:val="none"/>
              </w:rPr>
            </w:pPr>
            <w:r>
              <w:rPr>
                <w:rFonts w:hint="eastAsia"/>
                <w:kern w:val="0"/>
                <w:sz w:val="24"/>
                <w:highlight w:val="none"/>
              </w:rPr>
              <w:t>电子冷凝器</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1DC50BD1">
            <w:pPr>
              <w:adjustRightInd w:val="0"/>
              <w:spacing w:line="360" w:lineRule="auto"/>
              <w:jc w:val="center"/>
              <w:rPr>
                <w:kern w:val="0"/>
                <w:sz w:val="24"/>
                <w:highlight w:val="none"/>
              </w:rPr>
            </w:pPr>
            <w:r>
              <w:rPr>
                <w:rFonts w:hint="eastAsia"/>
                <w:kern w:val="0"/>
                <w:sz w:val="24"/>
                <w:highlight w:val="none"/>
              </w:rPr>
              <w:t>CS-7A</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B630933">
            <w:pPr>
              <w:adjustRightInd w:val="0"/>
              <w:spacing w:line="360" w:lineRule="auto"/>
              <w:jc w:val="center"/>
              <w:rPr>
                <w:kern w:val="0"/>
                <w:sz w:val="24"/>
                <w:highlight w:val="none"/>
              </w:rPr>
            </w:pPr>
            <w:r>
              <w:rPr>
                <w:rFonts w:hint="eastAsia"/>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1164ACD1">
            <w:pPr>
              <w:adjustRightInd w:val="0"/>
              <w:spacing w:line="360" w:lineRule="auto"/>
              <w:jc w:val="center"/>
              <w:rPr>
                <w:kern w:val="0"/>
                <w:sz w:val="24"/>
                <w:highlight w:val="none"/>
              </w:rPr>
            </w:pPr>
            <w:r>
              <w:rPr>
                <w:rFonts w:hint="eastAsia"/>
                <w:kern w:val="0"/>
                <w:sz w:val="24"/>
                <w:highlight w:val="none"/>
              </w:rPr>
              <w:t>台</w:t>
            </w:r>
          </w:p>
        </w:tc>
      </w:tr>
      <w:tr w14:paraId="379F97FE">
        <w:tblPrEx>
          <w:tblCellMar>
            <w:top w:w="0" w:type="dxa"/>
            <w:left w:w="108" w:type="dxa"/>
            <w:bottom w:w="0" w:type="dxa"/>
            <w:right w:w="108" w:type="dxa"/>
          </w:tblCellMar>
        </w:tblPrEx>
        <w:trPr>
          <w:trHeight w:val="851"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5285D697">
            <w:pPr>
              <w:adjustRightInd w:val="0"/>
              <w:spacing w:line="360" w:lineRule="auto"/>
              <w:jc w:val="center"/>
              <w:rPr>
                <w:kern w:val="0"/>
                <w:sz w:val="24"/>
                <w:highlight w:val="none"/>
              </w:rPr>
            </w:pPr>
            <w:r>
              <w:rPr>
                <w:rFonts w:hint="eastAsia"/>
                <w:kern w:val="0"/>
                <w:sz w:val="24"/>
                <w:highlight w:val="none"/>
              </w:rPr>
              <w:t>5</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73862F67">
            <w:pPr>
              <w:adjustRightInd w:val="0"/>
              <w:spacing w:line="360" w:lineRule="auto"/>
              <w:jc w:val="center"/>
              <w:rPr>
                <w:kern w:val="0"/>
                <w:sz w:val="24"/>
                <w:highlight w:val="none"/>
              </w:rPr>
            </w:pPr>
            <w:r>
              <w:rPr>
                <w:rFonts w:hint="eastAsia"/>
                <w:kern w:val="0"/>
                <w:sz w:val="24"/>
                <w:highlight w:val="none"/>
              </w:rPr>
              <w:t>工控机</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7DD5665E">
            <w:pPr>
              <w:adjustRightInd w:val="0"/>
              <w:spacing w:line="360" w:lineRule="auto"/>
              <w:jc w:val="center"/>
              <w:rPr>
                <w:kern w:val="0"/>
                <w:sz w:val="24"/>
                <w:highlight w:val="none"/>
              </w:rPr>
            </w:pPr>
            <w:r>
              <w:rPr>
                <w:rFonts w:hint="eastAsia"/>
                <w:kern w:val="0"/>
                <w:sz w:val="24"/>
                <w:highlight w:val="none"/>
              </w:rPr>
              <w:t>研华ACP-40000/1PC-610 series</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EC53056">
            <w:pPr>
              <w:adjustRightInd w:val="0"/>
              <w:spacing w:line="360" w:lineRule="auto"/>
              <w:jc w:val="center"/>
              <w:rPr>
                <w:kern w:val="0"/>
                <w:sz w:val="24"/>
                <w:highlight w:val="none"/>
              </w:rPr>
            </w:pPr>
            <w:r>
              <w:rPr>
                <w:rFonts w:hint="eastAsia"/>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6DDC4DBF">
            <w:pPr>
              <w:adjustRightInd w:val="0"/>
              <w:spacing w:line="360" w:lineRule="auto"/>
              <w:jc w:val="center"/>
              <w:rPr>
                <w:kern w:val="0"/>
                <w:sz w:val="24"/>
                <w:highlight w:val="none"/>
              </w:rPr>
            </w:pPr>
            <w:r>
              <w:rPr>
                <w:rFonts w:hint="eastAsia"/>
                <w:kern w:val="0"/>
                <w:sz w:val="24"/>
                <w:highlight w:val="none"/>
              </w:rPr>
              <w:t>台</w:t>
            </w:r>
          </w:p>
        </w:tc>
      </w:tr>
      <w:tr w14:paraId="6FCDEEF1">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0096ABA4">
            <w:pPr>
              <w:adjustRightInd w:val="0"/>
              <w:spacing w:line="360" w:lineRule="auto"/>
              <w:jc w:val="center"/>
              <w:rPr>
                <w:kern w:val="0"/>
                <w:sz w:val="24"/>
                <w:highlight w:val="none"/>
              </w:rPr>
            </w:pPr>
            <w:r>
              <w:rPr>
                <w:rFonts w:hint="eastAsia"/>
                <w:kern w:val="0"/>
                <w:sz w:val="24"/>
                <w:highlight w:val="none"/>
              </w:rPr>
              <w:t>6</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2F43672E">
            <w:pPr>
              <w:adjustRightInd w:val="0"/>
              <w:spacing w:line="360" w:lineRule="auto"/>
              <w:jc w:val="center"/>
              <w:rPr>
                <w:kern w:val="0"/>
                <w:sz w:val="24"/>
                <w:highlight w:val="none"/>
              </w:rPr>
            </w:pPr>
            <w:r>
              <w:rPr>
                <w:rFonts w:hint="eastAsia"/>
                <w:kern w:val="0"/>
                <w:sz w:val="24"/>
                <w:highlight w:val="none"/>
              </w:rPr>
              <w:t>LCDKVM切换器</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47DA16D2">
            <w:pPr>
              <w:adjustRightInd w:val="0"/>
              <w:spacing w:line="360" w:lineRule="auto"/>
              <w:jc w:val="center"/>
              <w:rPr>
                <w:kern w:val="0"/>
                <w:sz w:val="24"/>
                <w:highlight w:val="none"/>
              </w:rPr>
            </w:pPr>
            <w:r>
              <w:rPr>
                <w:rFonts w:hint="eastAsia"/>
                <w:kern w:val="0"/>
                <w:sz w:val="24"/>
                <w:highlight w:val="none"/>
              </w:rPr>
              <w:t>龙远恒信 KVM-1708-VGA-D</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4AA43BB">
            <w:pPr>
              <w:adjustRightInd w:val="0"/>
              <w:spacing w:line="360" w:lineRule="auto"/>
              <w:jc w:val="center"/>
              <w:rPr>
                <w:kern w:val="0"/>
                <w:sz w:val="24"/>
                <w:highlight w:val="none"/>
              </w:rPr>
            </w:pPr>
            <w:r>
              <w:rPr>
                <w:rFonts w:hint="eastAsia"/>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62F51906">
            <w:pPr>
              <w:adjustRightInd w:val="0"/>
              <w:spacing w:line="360" w:lineRule="auto"/>
              <w:jc w:val="center"/>
              <w:rPr>
                <w:kern w:val="0"/>
                <w:sz w:val="24"/>
                <w:highlight w:val="none"/>
              </w:rPr>
            </w:pPr>
            <w:r>
              <w:rPr>
                <w:rFonts w:hint="eastAsia"/>
                <w:kern w:val="0"/>
                <w:sz w:val="24"/>
                <w:highlight w:val="none"/>
              </w:rPr>
              <w:t>台</w:t>
            </w:r>
          </w:p>
        </w:tc>
      </w:tr>
      <w:tr w14:paraId="55A59B2D">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4A5485BE">
            <w:pPr>
              <w:adjustRightInd w:val="0"/>
              <w:spacing w:line="360" w:lineRule="auto"/>
              <w:jc w:val="center"/>
              <w:rPr>
                <w:kern w:val="0"/>
                <w:sz w:val="24"/>
                <w:highlight w:val="none"/>
              </w:rPr>
            </w:pPr>
            <w:r>
              <w:rPr>
                <w:rFonts w:hint="eastAsia"/>
                <w:kern w:val="0"/>
                <w:sz w:val="24"/>
                <w:highlight w:val="none"/>
              </w:rPr>
              <w:t>7</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279B9CF9">
            <w:pPr>
              <w:adjustRightInd w:val="0"/>
              <w:spacing w:line="360" w:lineRule="auto"/>
              <w:jc w:val="center"/>
              <w:rPr>
                <w:kern w:val="0"/>
                <w:sz w:val="24"/>
                <w:highlight w:val="none"/>
              </w:rPr>
            </w:pPr>
            <w:r>
              <w:rPr>
                <w:rFonts w:hint="eastAsia"/>
                <w:kern w:val="0"/>
                <w:sz w:val="24"/>
                <w:highlight w:val="none"/>
              </w:rPr>
              <w:t>采样泵</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17E1B2DC">
            <w:pPr>
              <w:adjustRightInd w:val="0"/>
              <w:spacing w:line="360" w:lineRule="auto"/>
              <w:jc w:val="center"/>
              <w:rPr>
                <w:kern w:val="0"/>
                <w:sz w:val="24"/>
                <w:highlight w:val="none"/>
              </w:rPr>
            </w:pPr>
            <w:r>
              <w:rPr>
                <w:rFonts w:hint="eastAsia"/>
                <w:kern w:val="0"/>
                <w:sz w:val="24"/>
                <w:highlight w:val="none"/>
              </w:rPr>
              <w:t>Gast DOA-P504-BN</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8975074">
            <w:pPr>
              <w:adjustRightInd w:val="0"/>
              <w:spacing w:line="360" w:lineRule="auto"/>
              <w:jc w:val="center"/>
              <w:rPr>
                <w:kern w:val="0"/>
                <w:sz w:val="24"/>
                <w:highlight w:val="none"/>
              </w:rPr>
            </w:pPr>
            <w:r>
              <w:rPr>
                <w:rFonts w:hint="eastAsia"/>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6FF64442">
            <w:pPr>
              <w:adjustRightInd w:val="0"/>
              <w:spacing w:line="360" w:lineRule="auto"/>
              <w:jc w:val="center"/>
              <w:rPr>
                <w:kern w:val="0"/>
                <w:sz w:val="24"/>
                <w:highlight w:val="none"/>
              </w:rPr>
            </w:pPr>
            <w:r>
              <w:rPr>
                <w:rFonts w:hint="eastAsia"/>
                <w:kern w:val="0"/>
                <w:sz w:val="24"/>
                <w:highlight w:val="none"/>
              </w:rPr>
              <w:t>台</w:t>
            </w:r>
          </w:p>
        </w:tc>
      </w:tr>
      <w:tr w14:paraId="51E65A09">
        <w:tblPrEx>
          <w:tblCellMar>
            <w:top w:w="0" w:type="dxa"/>
            <w:left w:w="108" w:type="dxa"/>
            <w:bottom w:w="0" w:type="dxa"/>
            <w:right w:w="108" w:type="dxa"/>
          </w:tblCellMar>
        </w:tblPrEx>
        <w:trPr>
          <w:trHeight w:val="851"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4D3EE949">
            <w:pPr>
              <w:adjustRightInd w:val="0"/>
              <w:spacing w:line="360" w:lineRule="auto"/>
              <w:jc w:val="center"/>
              <w:rPr>
                <w:kern w:val="0"/>
                <w:sz w:val="24"/>
                <w:highlight w:val="none"/>
              </w:rPr>
            </w:pPr>
            <w:r>
              <w:rPr>
                <w:rFonts w:hint="eastAsia"/>
                <w:kern w:val="0"/>
                <w:sz w:val="24"/>
                <w:highlight w:val="none"/>
              </w:rPr>
              <w:t>8</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01886A7E">
            <w:pPr>
              <w:adjustRightInd w:val="0"/>
              <w:spacing w:line="360" w:lineRule="auto"/>
              <w:jc w:val="center"/>
              <w:rPr>
                <w:kern w:val="0"/>
                <w:sz w:val="24"/>
                <w:highlight w:val="none"/>
              </w:rPr>
            </w:pPr>
            <w:r>
              <w:rPr>
                <w:rFonts w:hint="eastAsia"/>
                <w:kern w:val="0"/>
                <w:sz w:val="24"/>
                <w:highlight w:val="none"/>
              </w:rPr>
              <w:t>智能气象传感器</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696A167F">
            <w:pPr>
              <w:adjustRightInd w:val="0"/>
              <w:spacing w:line="360" w:lineRule="auto"/>
              <w:jc w:val="center"/>
              <w:rPr>
                <w:kern w:val="0"/>
                <w:sz w:val="24"/>
                <w:highlight w:val="none"/>
              </w:rPr>
            </w:pPr>
            <w:r>
              <w:rPr>
                <w:rFonts w:hint="eastAsia"/>
                <w:kern w:val="0"/>
                <w:sz w:val="24"/>
                <w:highlight w:val="none"/>
              </w:rPr>
              <w:t>lufft ws500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5EE0538">
            <w:pPr>
              <w:adjustRightInd w:val="0"/>
              <w:spacing w:line="360" w:lineRule="auto"/>
              <w:jc w:val="center"/>
              <w:rPr>
                <w:kern w:val="0"/>
                <w:sz w:val="24"/>
                <w:highlight w:val="none"/>
              </w:rPr>
            </w:pPr>
            <w:r>
              <w:rPr>
                <w:rFonts w:hint="eastAsia"/>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374AF6AF">
            <w:pPr>
              <w:adjustRightInd w:val="0"/>
              <w:spacing w:line="360" w:lineRule="auto"/>
              <w:jc w:val="center"/>
              <w:rPr>
                <w:kern w:val="0"/>
                <w:sz w:val="24"/>
                <w:highlight w:val="none"/>
              </w:rPr>
            </w:pPr>
            <w:r>
              <w:rPr>
                <w:rFonts w:hint="eastAsia"/>
                <w:kern w:val="0"/>
                <w:sz w:val="24"/>
                <w:highlight w:val="none"/>
              </w:rPr>
              <w:t>套</w:t>
            </w:r>
          </w:p>
        </w:tc>
      </w:tr>
    </w:tbl>
    <w:p w14:paraId="0D18E988">
      <w:pPr>
        <w:adjustRightInd w:val="0"/>
        <w:spacing w:line="360" w:lineRule="auto"/>
        <w:rPr>
          <w:bCs/>
          <w:sz w:val="24"/>
          <w:highlight w:val="none"/>
        </w:rPr>
      </w:pPr>
    </w:p>
    <w:p w14:paraId="0FC3CD37">
      <w:pPr>
        <w:adjustRightInd w:val="0"/>
        <w:spacing w:line="360" w:lineRule="auto"/>
        <w:jc w:val="center"/>
        <w:rPr>
          <w:b/>
          <w:sz w:val="24"/>
          <w:highlight w:val="none"/>
        </w:rPr>
      </w:pPr>
      <w:r>
        <w:rPr>
          <w:b/>
          <w:sz w:val="24"/>
          <w:highlight w:val="none"/>
        </w:rPr>
        <w:t>表3 大江东站仪器配置情况一览表</w:t>
      </w:r>
    </w:p>
    <w:tbl>
      <w:tblPr>
        <w:tblStyle w:val="15"/>
        <w:tblW w:w="8901" w:type="dxa"/>
        <w:jc w:val="center"/>
        <w:tblLayout w:type="fixed"/>
        <w:tblCellMar>
          <w:top w:w="0" w:type="dxa"/>
          <w:left w:w="108" w:type="dxa"/>
          <w:bottom w:w="0" w:type="dxa"/>
          <w:right w:w="108" w:type="dxa"/>
        </w:tblCellMar>
      </w:tblPr>
      <w:tblGrid>
        <w:gridCol w:w="893"/>
        <w:gridCol w:w="3653"/>
        <w:gridCol w:w="2781"/>
        <w:gridCol w:w="812"/>
        <w:gridCol w:w="762"/>
      </w:tblGrid>
      <w:tr w14:paraId="4ED84AF2">
        <w:tblPrEx>
          <w:tblCellMar>
            <w:top w:w="0" w:type="dxa"/>
            <w:left w:w="108" w:type="dxa"/>
            <w:bottom w:w="0" w:type="dxa"/>
            <w:right w:w="108" w:type="dxa"/>
          </w:tblCellMar>
        </w:tblPrEx>
        <w:trPr>
          <w:trHeight w:val="638" w:hRule="atLeast"/>
          <w:tblHeader/>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65A48368">
            <w:pPr>
              <w:adjustRightInd w:val="0"/>
              <w:spacing w:line="360" w:lineRule="auto"/>
              <w:jc w:val="center"/>
              <w:rPr>
                <w:kern w:val="0"/>
                <w:sz w:val="24"/>
                <w:highlight w:val="none"/>
              </w:rPr>
            </w:pPr>
            <w:r>
              <w:rPr>
                <w:rFonts w:hint="eastAsia"/>
                <w:kern w:val="0"/>
                <w:sz w:val="24"/>
                <w:highlight w:val="none"/>
              </w:rPr>
              <w:t>序号</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7352111C">
            <w:pPr>
              <w:adjustRightInd w:val="0"/>
              <w:spacing w:line="360" w:lineRule="auto"/>
              <w:jc w:val="center"/>
              <w:rPr>
                <w:kern w:val="0"/>
                <w:sz w:val="24"/>
                <w:highlight w:val="none"/>
              </w:rPr>
            </w:pPr>
            <w:r>
              <w:rPr>
                <w:rFonts w:hint="eastAsia"/>
                <w:kern w:val="0"/>
                <w:sz w:val="24"/>
                <w:highlight w:val="none"/>
              </w:rPr>
              <w:t>设备名称</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2E674154">
            <w:pPr>
              <w:adjustRightInd w:val="0"/>
              <w:spacing w:line="360" w:lineRule="auto"/>
              <w:jc w:val="center"/>
              <w:rPr>
                <w:kern w:val="0"/>
                <w:sz w:val="24"/>
                <w:highlight w:val="none"/>
              </w:rPr>
            </w:pPr>
            <w:r>
              <w:rPr>
                <w:rFonts w:hint="eastAsia"/>
                <w:kern w:val="0"/>
                <w:sz w:val="24"/>
                <w:highlight w:val="none"/>
              </w:rPr>
              <w:t>品牌型号</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4A420B8E">
            <w:pPr>
              <w:adjustRightInd w:val="0"/>
              <w:spacing w:line="360" w:lineRule="auto"/>
              <w:jc w:val="center"/>
              <w:rPr>
                <w:kern w:val="0"/>
                <w:sz w:val="24"/>
                <w:highlight w:val="none"/>
              </w:rPr>
            </w:pPr>
            <w:r>
              <w:rPr>
                <w:rFonts w:hint="eastAsia"/>
                <w:kern w:val="0"/>
                <w:sz w:val="24"/>
                <w:highlight w:val="none"/>
              </w:rPr>
              <w:t>数量</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62C230D5">
            <w:pPr>
              <w:adjustRightInd w:val="0"/>
              <w:spacing w:line="360" w:lineRule="auto"/>
              <w:jc w:val="center"/>
              <w:rPr>
                <w:kern w:val="0"/>
                <w:sz w:val="24"/>
                <w:highlight w:val="none"/>
              </w:rPr>
            </w:pPr>
            <w:r>
              <w:rPr>
                <w:rFonts w:hint="eastAsia"/>
                <w:kern w:val="0"/>
                <w:sz w:val="24"/>
                <w:highlight w:val="none"/>
              </w:rPr>
              <w:t>单位</w:t>
            </w:r>
          </w:p>
        </w:tc>
      </w:tr>
      <w:tr w14:paraId="3DC76782">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5AC01183">
            <w:pPr>
              <w:adjustRightInd w:val="0"/>
              <w:spacing w:line="360" w:lineRule="auto"/>
              <w:jc w:val="center"/>
              <w:rPr>
                <w:kern w:val="0"/>
                <w:sz w:val="24"/>
                <w:highlight w:val="none"/>
              </w:rPr>
            </w:pPr>
            <w:r>
              <w:rPr>
                <w:rFonts w:hint="eastAsia"/>
                <w:kern w:val="0"/>
                <w:sz w:val="24"/>
                <w:highlight w:val="none"/>
              </w:rPr>
              <w:t>1</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156CA223">
            <w:pPr>
              <w:adjustRightInd w:val="0"/>
              <w:spacing w:line="360" w:lineRule="auto"/>
              <w:jc w:val="center"/>
              <w:rPr>
                <w:kern w:val="0"/>
                <w:sz w:val="24"/>
                <w:highlight w:val="none"/>
              </w:rPr>
            </w:pPr>
            <w:r>
              <w:rPr>
                <w:rFonts w:hint="eastAsia"/>
                <w:kern w:val="0"/>
                <w:sz w:val="24"/>
                <w:highlight w:val="none"/>
              </w:rPr>
              <w:t>高精度CO</w:t>
            </w:r>
            <w:r>
              <w:rPr>
                <w:rFonts w:hint="eastAsia"/>
                <w:kern w:val="0"/>
                <w:sz w:val="24"/>
                <w:highlight w:val="none"/>
                <w:vertAlign w:val="subscript"/>
              </w:rPr>
              <w:t>2</w:t>
            </w:r>
            <w:r>
              <w:rPr>
                <w:rFonts w:hint="eastAsia"/>
                <w:kern w:val="0"/>
                <w:sz w:val="24"/>
                <w:highlight w:val="none"/>
              </w:rPr>
              <w:t>、CH</w:t>
            </w:r>
            <w:r>
              <w:rPr>
                <w:rFonts w:hint="eastAsia"/>
                <w:kern w:val="0"/>
                <w:sz w:val="24"/>
                <w:highlight w:val="none"/>
                <w:vertAlign w:val="subscript"/>
              </w:rPr>
              <w:t>4</w:t>
            </w:r>
            <w:r>
              <w:rPr>
                <w:rFonts w:hint="eastAsia"/>
                <w:kern w:val="0"/>
                <w:sz w:val="24"/>
                <w:highlight w:val="none"/>
              </w:rPr>
              <w:t>、CO温室气体分析仪</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0394E080">
            <w:pPr>
              <w:adjustRightInd w:val="0"/>
              <w:spacing w:line="360" w:lineRule="auto"/>
              <w:jc w:val="center"/>
              <w:rPr>
                <w:kern w:val="0"/>
                <w:sz w:val="24"/>
                <w:highlight w:val="none"/>
              </w:rPr>
            </w:pPr>
            <w:r>
              <w:rPr>
                <w:rFonts w:hint="eastAsia"/>
                <w:kern w:val="0"/>
                <w:sz w:val="24"/>
                <w:highlight w:val="none"/>
              </w:rPr>
              <w:t>PICARRO G2401</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0175426E">
            <w:pPr>
              <w:adjustRightInd w:val="0"/>
              <w:spacing w:line="360" w:lineRule="auto"/>
              <w:jc w:val="center"/>
              <w:rPr>
                <w:kern w:val="0"/>
                <w:sz w:val="24"/>
                <w:highlight w:val="none"/>
              </w:rPr>
            </w:pPr>
            <w:r>
              <w:rPr>
                <w:rFonts w:hint="eastAsia"/>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0A8224B8">
            <w:pPr>
              <w:adjustRightInd w:val="0"/>
              <w:spacing w:line="360" w:lineRule="auto"/>
              <w:jc w:val="center"/>
              <w:rPr>
                <w:kern w:val="0"/>
                <w:sz w:val="24"/>
                <w:highlight w:val="none"/>
              </w:rPr>
            </w:pPr>
            <w:r>
              <w:rPr>
                <w:rFonts w:hint="eastAsia"/>
                <w:kern w:val="0"/>
                <w:sz w:val="24"/>
                <w:highlight w:val="none"/>
              </w:rPr>
              <w:t>台</w:t>
            </w:r>
          </w:p>
        </w:tc>
      </w:tr>
      <w:tr w14:paraId="769207B5">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25DAC234">
            <w:pPr>
              <w:adjustRightInd w:val="0"/>
              <w:spacing w:line="360" w:lineRule="auto"/>
              <w:jc w:val="center"/>
              <w:rPr>
                <w:kern w:val="0"/>
                <w:sz w:val="24"/>
                <w:highlight w:val="none"/>
              </w:rPr>
            </w:pPr>
            <w:r>
              <w:rPr>
                <w:rFonts w:hint="eastAsia"/>
                <w:kern w:val="0"/>
                <w:sz w:val="24"/>
                <w:highlight w:val="none"/>
              </w:rPr>
              <w:t>2</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54590A20">
            <w:pPr>
              <w:adjustRightInd w:val="0"/>
              <w:spacing w:line="360" w:lineRule="auto"/>
              <w:jc w:val="center"/>
              <w:rPr>
                <w:kern w:val="0"/>
                <w:sz w:val="24"/>
                <w:highlight w:val="none"/>
              </w:rPr>
            </w:pPr>
            <w:r>
              <w:rPr>
                <w:rFonts w:hint="eastAsia"/>
                <w:kern w:val="0"/>
                <w:sz w:val="24"/>
                <w:highlight w:val="none"/>
              </w:rPr>
              <w:t>进样阀箱</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76E6412B">
            <w:pPr>
              <w:adjustRightInd w:val="0"/>
              <w:spacing w:line="360" w:lineRule="auto"/>
              <w:jc w:val="center"/>
              <w:rPr>
                <w:kern w:val="0"/>
                <w:sz w:val="24"/>
                <w:highlight w:val="none"/>
              </w:rPr>
            </w:pPr>
            <w:r>
              <w:rPr>
                <w:rFonts w:hint="eastAsia"/>
                <w:kern w:val="0"/>
                <w:sz w:val="24"/>
                <w:highlight w:val="none"/>
              </w:rPr>
              <w:t>世纪朝阳 定制</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7A5EFCC3">
            <w:pPr>
              <w:adjustRightInd w:val="0"/>
              <w:spacing w:line="360" w:lineRule="auto"/>
              <w:jc w:val="center"/>
              <w:rPr>
                <w:kern w:val="0"/>
                <w:sz w:val="24"/>
                <w:highlight w:val="none"/>
              </w:rPr>
            </w:pPr>
            <w:r>
              <w:rPr>
                <w:rFonts w:hint="eastAsia"/>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2913C5A5">
            <w:pPr>
              <w:adjustRightInd w:val="0"/>
              <w:spacing w:line="360" w:lineRule="auto"/>
              <w:jc w:val="center"/>
              <w:rPr>
                <w:kern w:val="0"/>
                <w:sz w:val="24"/>
                <w:highlight w:val="none"/>
              </w:rPr>
            </w:pPr>
            <w:r>
              <w:rPr>
                <w:rFonts w:hint="eastAsia"/>
                <w:kern w:val="0"/>
                <w:sz w:val="24"/>
                <w:highlight w:val="none"/>
              </w:rPr>
              <w:t>台</w:t>
            </w:r>
          </w:p>
        </w:tc>
      </w:tr>
      <w:tr w14:paraId="7BB19295">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5B3E9081">
            <w:pPr>
              <w:adjustRightInd w:val="0"/>
              <w:spacing w:line="360" w:lineRule="auto"/>
              <w:jc w:val="center"/>
              <w:rPr>
                <w:kern w:val="0"/>
                <w:sz w:val="24"/>
                <w:highlight w:val="none"/>
              </w:rPr>
            </w:pPr>
            <w:r>
              <w:rPr>
                <w:rFonts w:hint="eastAsia"/>
                <w:kern w:val="0"/>
                <w:sz w:val="24"/>
                <w:highlight w:val="none"/>
              </w:rPr>
              <w:t>3</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0A3A987B">
            <w:pPr>
              <w:adjustRightInd w:val="0"/>
              <w:spacing w:line="360" w:lineRule="auto"/>
              <w:jc w:val="center"/>
              <w:rPr>
                <w:kern w:val="0"/>
                <w:sz w:val="24"/>
                <w:highlight w:val="none"/>
              </w:rPr>
            </w:pPr>
            <w:r>
              <w:rPr>
                <w:rFonts w:hint="eastAsia"/>
                <w:kern w:val="0"/>
                <w:sz w:val="24"/>
                <w:highlight w:val="none"/>
              </w:rPr>
              <w:t>超低温冷阱</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04F86494">
            <w:pPr>
              <w:adjustRightInd w:val="0"/>
              <w:spacing w:line="360" w:lineRule="auto"/>
              <w:jc w:val="center"/>
              <w:rPr>
                <w:kern w:val="0"/>
                <w:sz w:val="24"/>
                <w:highlight w:val="none"/>
              </w:rPr>
            </w:pPr>
            <w:r>
              <w:rPr>
                <w:rFonts w:hint="eastAsia"/>
                <w:kern w:val="0"/>
                <w:sz w:val="24"/>
                <w:highlight w:val="none"/>
              </w:rPr>
              <w:t>世纪朝阳 CS-8000</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48373697">
            <w:pPr>
              <w:adjustRightInd w:val="0"/>
              <w:spacing w:line="360" w:lineRule="auto"/>
              <w:jc w:val="center"/>
              <w:rPr>
                <w:kern w:val="0"/>
                <w:sz w:val="24"/>
                <w:highlight w:val="none"/>
              </w:rPr>
            </w:pPr>
            <w:r>
              <w:rPr>
                <w:rFonts w:hint="eastAsia"/>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09361ADF">
            <w:pPr>
              <w:adjustRightInd w:val="0"/>
              <w:spacing w:line="360" w:lineRule="auto"/>
              <w:jc w:val="center"/>
              <w:rPr>
                <w:kern w:val="0"/>
                <w:sz w:val="24"/>
                <w:highlight w:val="none"/>
              </w:rPr>
            </w:pPr>
            <w:r>
              <w:rPr>
                <w:rFonts w:hint="eastAsia"/>
                <w:kern w:val="0"/>
                <w:sz w:val="24"/>
                <w:highlight w:val="none"/>
              </w:rPr>
              <w:t>套</w:t>
            </w:r>
          </w:p>
        </w:tc>
      </w:tr>
      <w:tr w14:paraId="36076784">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66515975">
            <w:pPr>
              <w:adjustRightInd w:val="0"/>
              <w:spacing w:line="360" w:lineRule="auto"/>
              <w:jc w:val="center"/>
              <w:rPr>
                <w:kern w:val="0"/>
                <w:sz w:val="24"/>
                <w:highlight w:val="none"/>
              </w:rPr>
            </w:pPr>
            <w:r>
              <w:rPr>
                <w:rFonts w:hint="eastAsia"/>
                <w:kern w:val="0"/>
                <w:sz w:val="24"/>
                <w:highlight w:val="none"/>
              </w:rPr>
              <w:t>4</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59E1DD1B">
            <w:pPr>
              <w:adjustRightInd w:val="0"/>
              <w:spacing w:line="360" w:lineRule="auto"/>
              <w:jc w:val="center"/>
              <w:rPr>
                <w:kern w:val="0"/>
                <w:sz w:val="24"/>
                <w:highlight w:val="none"/>
              </w:rPr>
            </w:pPr>
            <w:r>
              <w:rPr>
                <w:rFonts w:hint="eastAsia"/>
                <w:kern w:val="0"/>
                <w:sz w:val="24"/>
                <w:highlight w:val="none"/>
              </w:rPr>
              <w:t>电子冷凝器</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48EC3B76">
            <w:pPr>
              <w:adjustRightInd w:val="0"/>
              <w:spacing w:line="360" w:lineRule="auto"/>
              <w:jc w:val="center"/>
              <w:rPr>
                <w:kern w:val="0"/>
                <w:sz w:val="24"/>
                <w:highlight w:val="none"/>
              </w:rPr>
            </w:pPr>
            <w:r>
              <w:rPr>
                <w:rFonts w:hint="eastAsia"/>
                <w:kern w:val="0"/>
                <w:sz w:val="24"/>
                <w:highlight w:val="none"/>
              </w:rPr>
              <w:t>CS-7A</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29B1F1DD">
            <w:pPr>
              <w:adjustRightInd w:val="0"/>
              <w:spacing w:line="360" w:lineRule="auto"/>
              <w:jc w:val="center"/>
              <w:rPr>
                <w:kern w:val="0"/>
                <w:sz w:val="24"/>
                <w:highlight w:val="none"/>
              </w:rPr>
            </w:pPr>
            <w:r>
              <w:rPr>
                <w:rFonts w:hint="eastAsia"/>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2A987684">
            <w:pPr>
              <w:adjustRightInd w:val="0"/>
              <w:spacing w:line="360" w:lineRule="auto"/>
              <w:jc w:val="center"/>
              <w:rPr>
                <w:kern w:val="0"/>
                <w:sz w:val="24"/>
                <w:highlight w:val="none"/>
              </w:rPr>
            </w:pPr>
            <w:r>
              <w:rPr>
                <w:rFonts w:hint="eastAsia"/>
                <w:kern w:val="0"/>
                <w:sz w:val="24"/>
                <w:highlight w:val="none"/>
              </w:rPr>
              <w:t>台</w:t>
            </w:r>
          </w:p>
        </w:tc>
      </w:tr>
      <w:tr w14:paraId="6C9A20E5">
        <w:tblPrEx>
          <w:tblCellMar>
            <w:top w:w="0" w:type="dxa"/>
            <w:left w:w="108" w:type="dxa"/>
            <w:bottom w:w="0" w:type="dxa"/>
            <w:right w:w="108" w:type="dxa"/>
          </w:tblCellMar>
        </w:tblPrEx>
        <w:trPr>
          <w:trHeight w:val="660"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551B0A52">
            <w:pPr>
              <w:adjustRightInd w:val="0"/>
              <w:spacing w:line="360" w:lineRule="auto"/>
              <w:jc w:val="center"/>
              <w:rPr>
                <w:kern w:val="0"/>
                <w:sz w:val="24"/>
                <w:highlight w:val="none"/>
              </w:rPr>
            </w:pPr>
            <w:r>
              <w:rPr>
                <w:rFonts w:hint="eastAsia"/>
                <w:kern w:val="0"/>
                <w:sz w:val="24"/>
                <w:highlight w:val="none"/>
              </w:rPr>
              <w:t>5</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0967BDB0">
            <w:pPr>
              <w:adjustRightInd w:val="0"/>
              <w:spacing w:line="360" w:lineRule="auto"/>
              <w:jc w:val="center"/>
              <w:rPr>
                <w:kern w:val="0"/>
                <w:sz w:val="24"/>
                <w:highlight w:val="none"/>
              </w:rPr>
            </w:pPr>
            <w:r>
              <w:rPr>
                <w:rFonts w:hint="eastAsia"/>
                <w:kern w:val="0"/>
                <w:sz w:val="24"/>
                <w:highlight w:val="none"/>
              </w:rPr>
              <w:t>工控机</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6BE4D0DE">
            <w:pPr>
              <w:adjustRightInd w:val="0"/>
              <w:spacing w:line="360" w:lineRule="auto"/>
              <w:jc w:val="center"/>
              <w:rPr>
                <w:kern w:val="0"/>
                <w:sz w:val="24"/>
                <w:highlight w:val="none"/>
              </w:rPr>
            </w:pPr>
            <w:r>
              <w:rPr>
                <w:rFonts w:hint="eastAsia"/>
                <w:kern w:val="0"/>
                <w:sz w:val="24"/>
                <w:highlight w:val="none"/>
              </w:rPr>
              <w:t>研华ACP-40000/1PC-610 series</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442DBCE0">
            <w:pPr>
              <w:adjustRightInd w:val="0"/>
              <w:spacing w:line="360" w:lineRule="auto"/>
              <w:jc w:val="center"/>
              <w:rPr>
                <w:kern w:val="0"/>
                <w:sz w:val="24"/>
                <w:highlight w:val="none"/>
              </w:rPr>
            </w:pPr>
            <w:r>
              <w:rPr>
                <w:rFonts w:hint="eastAsia"/>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29B3AA54">
            <w:pPr>
              <w:adjustRightInd w:val="0"/>
              <w:spacing w:line="360" w:lineRule="auto"/>
              <w:jc w:val="center"/>
              <w:rPr>
                <w:kern w:val="0"/>
                <w:sz w:val="24"/>
                <w:highlight w:val="none"/>
              </w:rPr>
            </w:pPr>
            <w:r>
              <w:rPr>
                <w:rFonts w:hint="eastAsia"/>
                <w:kern w:val="0"/>
                <w:sz w:val="24"/>
                <w:highlight w:val="none"/>
              </w:rPr>
              <w:t>台</w:t>
            </w:r>
          </w:p>
        </w:tc>
      </w:tr>
      <w:tr w14:paraId="2F63909C">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6FECDCDC">
            <w:pPr>
              <w:adjustRightInd w:val="0"/>
              <w:spacing w:line="360" w:lineRule="auto"/>
              <w:jc w:val="center"/>
              <w:rPr>
                <w:kern w:val="0"/>
                <w:sz w:val="24"/>
                <w:highlight w:val="none"/>
              </w:rPr>
            </w:pPr>
            <w:r>
              <w:rPr>
                <w:rFonts w:hint="eastAsia"/>
                <w:kern w:val="0"/>
                <w:sz w:val="24"/>
                <w:highlight w:val="none"/>
              </w:rPr>
              <w:t>6</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6CE1E4DF">
            <w:pPr>
              <w:adjustRightInd w:val="0"/>
              <w:spacing w:line="360" w:lineRule="auto"/>
              <w:jc w:val="center"/>
              <w:rPr>
                <w:kern w:val="0"/>
                <w:sz w:val="24"/>
                <w:highlight w:val="none"/>
              </w:rPr>
            </w:pPr>
            <w:r>
              <w:rPr>
                <w:rFonts w:hint="eastAsia"/>
                <w:kern w:val="0"/>
                <w:sz w:val="24"/>
                <w:highlight w:val="none"/>
              </w:rPr>
              <w:t>LCDKVM切换器</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31163014">
            <w:pPr>
              <w:adjustRightInd w:val="0"/>
              <w:spacing w:line="360" w:lineRule="auto"/>
              <w:jc w:val="center"/>
              <w:rPr>
                <w:kern w:val="0"/>
                <w:sz w:val="24"/>
                <w:highlight w:val="none"/>
              </w:rPr>
            </w:pPr>
            <w:r>
              <w:rPr>
                <w:rFonts w:hint="eastAsia"/>
                <w:kern w:val="0"/>
                <w:sz w:val="24"/>
                <w:highlight w:val="none"/>
              </w:rPr>
              <w:t>龙远恒信 KVM-1708-VGA-D</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3B3F4CDA">
            <w:pPr>
              <w:adjustRightInd w:val="0"/>
              <w:spacing w:line="360" w:lineRule="auto"/>
              <w:jc w:val="center"/>
              <w:rPr>
                <w:kern w:val="0"/>
                <w:sz w:val="24"/>
                <w:highlight w:val="none"/>
              </w:rPr>
            </w:pPr>
            <w:r>
              <w:rPr>
                <w:rFonts w:hint="eastAsia"/>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06741C05">
            <w:pPr>
              <w:adjustRightInd w:val="0"/>
              <w:spacing w:line="360" w:lineRule="auto"/>
              <w:jc w:val="center"/>
              <w:rPr>
                <w:kern w:val="0"/>
                <w:sz w:val="24"/>
                <w:highlight w:val="none"/>
              </w:rPr>
            </w:pPr>
            <w:r>
              <w:rPr>
                <w:rFonts w:hint="eastAsia"/>
                <w:kern w:val="0"/>
                <w:sz w:val="24"/>
                <w:highlight w:val="none"/>
              </w:rPr>
              <w:t>台</w:t>
            </w:r>
          </w:p>
        </w:tc>
      </w:tr>
      <w:tr w14:paraId="080E684D">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19AF6B45">
            <w:pPr>
              <w:adjustRightInd w:val="0"/>
              <w:spacing w:line="360" w:lineRule="auto"/>
              <w:jc w:val="center"/>
              <w:rPr>
                <w:kern w:val="0"/>
                <w:sz w:val="24"/>
                <w:highlight w:val="none"/>
              </w:rPr>
            </w:pPr>
            <w:r>
              <w:rPr>
                <w:rFonts w:hint="eastAsia"/>
                <w:kern w:val="0"/>
                <w:sz w:val="24"/>
                <w:highlight w:val="none"/>
              </w:rPr>
              <w:t>7</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79B2EB30">
            <w:pPr>
              <w:adjustRightInd w:val="0"/>
              <w:spacing w:line="360" w:lineRule="auto"/>
              <w:jc w:val="center"/>
              <w:rPr>
                <w:kern w:val="0"/>
                <w:sz w:val="24"/>
                <w:highlight w:val="none"/>
              </w:rPr>
            </w:pPr>
            <w:r>
              <w:rPr>
                <w:rFonts w:hint="eastAsia"/>
                <w:kern w:val="0"/>
                <w:sz w:val="24"/>
                <w:highlight w:val="none"/>
              </w:rPr>
              <w:t>采样泵</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5FF58852">
            <w:pPr>
              <w:adjustRightInd w:val="0"/>
              <w:spacing w:line="360" w:lineRule="auto"/>
              <w:jc w:val="center"/>
              <w:rPr>
                <w:kern w:val="0"/>
                <w:sz w:val="24"/>
                <w:highlight w:val="none"/>
              </w:rPr>
            </w:pPr>
            <w:r>
              <w:rPr>
                <w:rFonts w:hint="eastAsia"/>
                <w:kern w:val="0"/>
                <w:sz w:val="24"/>
                <w:highlight w:val="none"/>
              </w:rPr>
              <w:t>Gast DOA-P504-BN</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697BA39A">
            <w:pPr>
              <w:adjustRightInd w:val="0"/>
              <w:spacing w:line="360" w:lineRule="auto"/>
              <w:jc w:val="center"/>
              <w:rPr>
                <w:kern w:val="0"/>
                <w:sz w:val="24"/>
                <w:highlight w:val="none"/>
              </w:rPr>
            </w:pPr>
            <w:r>
              <w:rPr>
                <w:rFonts w:hint="eastAsia"/>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474047C7">
            <w:pPr>
              <w:adjustRightInd w:val="0"/>
              <w:spacing w:line="360" w:lineRule="auto"/>
              <w:jc w:val="center"/>
              <w:rPr>
                <w:kern w:val="0"/>
                <w:sz w:val="24"/>
                <w:highlight w:val="none"/>
              </w:rPr>
            </w:pPr>
            <w:r>
              <w:rPr>
                <w:rFonts w:hint="eastAsia"/>
                <w:kern w:val="0"/>
                <w:sz w:val="24"/>
                <w:highlight w:val="none"/>
              </w:rPr>
              <w:t>台</w:t>
            </w:r>
          </w:p>
        </w:tc>
      </w:tr>
      <w:tr w14:paraId="00A5ABFD">
        <w:tblPrEx>
          <w:tblCellMar>
            <w:top w:w="0" w:type="dxa"/>
            <w:left w:w="108" w:type="dxa"/>
            <w:bottom w:w="0" w:type="dxa"/>
            <w:right w:w="108" w:type="dxa"/>
          </w:tblCellMar>
        </w:tblPrEx>
        <w:trPr>
          <w:trHeight w:val="851"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2BC3FEA2">
            <w:pPr>
              <w:adjustRightInd w:val="0"/>
              <w:spacing w:line="360" w:lineRule="auto"/>
              <w:jc w:val="center"/>
              <w:rPr>
                <w:kern w:val="0"/>
                <w:sz w:val="24"/>
                <w:highlight w:val="none"/>
              </w:rPr>
            </w:pPr>
            <w:r>
              <w:rPr>
                <w:rFonts w:hint="eastAsia"/>
                <w:kern w:val="0"/>
                <w:sz w:val="24"/>
                <w:highlight w:val="none"/>
              </w:rPr>
              <w:t>8</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190C4A38">
            <w:pPr>
              <w:adjustRightInd w:val="0"/>
              <w:spacing w:line="360" w:lineRule="auto"/>
              <w:jc w:val="center"/>
              <w:rPr>
                <w:kern w:val="0"/>
                <w:sz w:val="24"/>
                <w:highlight w:val="none"/>
              </w:rPr>
            </w:pPr>
            <w:r>
              <w:rPr>
                <w:rFonts w:hint="eastAsia"/>
                <w:kern w:val="0"/>
                <w:sz w:val="24"/>
                <w:highlight w:val="none"/>
              </w:rPr>
              <w:t>智能气象传感器</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0788171F">
            <w:pPr>
              <w:adjustRightInd w:val="0"/>
              <w:spacing w:line="360" w:lineRule="auto"/>
              <w:jc w:val="center"/>
              <w:rPr>
                <w:kern w:val="0"/>
                <w:sz w:val="24"/>
                <w:highlight w:val="none"/>
              </w:rPr>
            </w:pPr>
            <w:r>
              <w:rPr>
                <w:rFonts w:hint="eastAsia"/>
                <w:kern w:val="0"/>
                <w:sz w:val="24"/>
                <w:highlight w:val="none"/>
              </w:rPr>
              <w:t>lufft ws500</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0AEBAC66">
            <w:pPr>
              <w:adjustRightInd w:val="0"/>
              <w:spacing w:line="360" w:lineRule="auto"/>
              <w:jc w:val="center"/>
              <w:rPr>
                <w:kern w:val="0"/>
                <w:sz w:val="24"/>
                <w:highlight w:val="none"/>
              </w:rPr>
            </w:pPr>
            <w:r>
              <w:rPr>
                <w:rFonts w:hint="eastAsia"/>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0E417802">
            <w:pPr>
              <w:adjustRightInd w:val="0"/>
              <w:spacing w:line="360" w:lineRule="auto"/>
              <w:jc w:val="center"/>
              <w:rPr>
                <w:kern w:val="0"/>
                <w:sz w:val="24"/>
                <w:highlight w:val="none"/>
              </w:rPr>
            </w:pPr>
            <w:r>
              <w:rPr>
                <w:rFonts w:hint="eastAsia"/>
                <w:kern w:val="0"/>
                <w:sz w:val="24"/>
                <w:highlight w:val="none"/>
              </w:rPr>
              <w:t>套</w:t>
            </w:r>
          </w:p>
        </w:tc>
      </w:tr>
    </w:tbl>
    <w:p w14:paraId="6EC3B26B">
      <w:pPr>
        <w:adjustRightInd w:val="0"/>
        <w:spacing w:line="360" w:lineRule="auto"/>
        <w:rPr>
          <w:bCs/>
          <w:sz w:val="24"/>
          <w:highlight w:val="none"/>
        </w:rPr>
      </w:pPr>
    </w:p>
    <w:p w14:paraId="64A0A4D6">
      <w:pPr>
        <w:adjustRightInd w:val="0"/>
        <w:spacing w:line="360" w:lineRule="auto"/>
        <w:jc w:val="center"/>
        <w:rPr>
          <w:b/>
          <w:sz w:val="24"/>
          <w:highlight w:val="none"/>
        </w:rPr>
      </w:pPr>
      <w:r>
        <w:rPr>
          <w:b/>
          <w:sz w:val="24"/>
          <w:highlight w:val="none"/>
        </w:rPr>
        <w:t>表4 富阳骆村站仪器配置情况一览表</w:t>
      </w:r>
    </w:p>
    <w:tbl>
      <w:tblPr>
        <w:tblStyle w:val="15"/>
        <w:tblW w:w="8945" w:type="dxa"/>
        <w:jc w:val="center"/>
        <w:tblLayout w:type="fixed"/>
        <w:tblCellMar>
          <w:top w:w="0" w:type="dxa"/>
          <w:left w:w="108" w:type="dxa"/>
          <w:bottom w:w="0" w:type="dxa"/>
          <w:right w:w="108" w:type="dxa"/>
        </w:tblCellMar>
      </w:tblPr>
      <w:tblGrid>
        <w:gridCol w:w="818"/>
        <w:gridCol w:w="3766"/>
        <w:gridCol w:w="2837"/>
        <w:gridCol w:w="755"/>
        <w:gridCol w:w="769"/>
      </w:tblGrid>
      <w:tr w14:paraId="78D7D6AF">
        <w:tblPrEx>
          <w:tblCellMar>
            <w:top w:w="0" w:type="dxa"/>
            <w:left w:w="108" w:type="dxa"/>
            <w:bottom w:w="0" w:type="dxa"/>
            <w:right w:w="108" w:type="dxa"/>
          </w:tblCellMar>
        </w:tblPrEx>
        <w:trPr>
          <w:trHeight w:val="638" w:hRule="atLeast"/>
          <w:tblHeader/>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01E095C4">
            <w:pPr>
              <w:adjustRightInd w:val="0"/>
              <w:spacing w:line="360" w:lineRule="auto"/>
              <w:jc w:val="center"/>
              <w:rPr>
                <w:kern w:val="0"/>
                <w:sz w:val="24"/>
                <w:highlight w:val="none"/>
              </w:rPr>
            </w:pPr>
            <w:r>
              <w:rPr>
                <w:rFonts w:hint="eastAsia"/>
                <w:kern w:val="0"/>
                <w:sz w:val="24"/>
                <w:highlight w:val="none"/>
              </w:rPr>
              <w:t>序号</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1FDE2286">
            <w:pPr>
              <w:adjustRightInd w:val="0"/>
              <w:spacing w:line="360" w:lineRule="auto"/>
              <w:jc w:val="center"/>
              <w:rPr>
                <w:kern w:val="0"/>
                <w:sz w:val="24"/>
                <w:highlight w:val="none"/>
              </w:rPr>
            </w:pPr>
            <w:r>
              <w:rPr>
                <w:rFonts w:hint="eastAsia"/>
                <w:kern w:val="0"/>
                <w:sz w:val="24"/>
                <w:highlight w:val="none"/>
              </w:rPr>
              <w:t>设备名称</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27DF2981">
            <w:pPr>
              <w:adjustRightInd w:val="0"/>
              <w:spacing w:line="360" w:lineRule="auto"/>
              <w:jc w:val="center"/>
              <w:rPr>
                <w:kern w:val="0"/>
                <w:sz w:val="24"/>
                <w:highlight w:val="none"/>
              </w:rPr>
            </w:pPr>
            <w:r>
              <w:rPr>
                <w:rFonts w:hint="eastAsia"/>
                <w:kern w:val="0"/>
                <w:sz w:val="24"/>
                <w:highlight w:val="none"/>
              </w:rPr>
              <w:t>品牌型号</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3747F488">
            <w:pPr>
              <w:adjustRightInd w:val="0"/>
              <w:spacing w:line="360" w:lineRule="auto"/>
              <w:jc w:val="center"/>
              <w:rPr>
                <w:kern w:val="0"/>
                <w:sz w:val="24"/>
                <w:highlight w:val="none"/>
              </w:rPr>
            </w:pPr>
            <w:r>
              <w:rPr>
                <w:rFonts w:hint="eastAsia"/>
                <w:kern w:val="0"/>
                <w:sz w:val="24"/>
                <w:highlight w:val="none"/>
              </w:rPr>
              <w:t>数量</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5E7CE7DC">
            <w:pPr>
              <w:adjustRightInd w:val="0"/>
              <w:spacing w:line="360" w:lineRule="auto"/>
              <w:jc w:val="center"/>
              <w:rPr>
                <w:kern w:val="0"/>
                <w:sz w:val="24"/>
                <w:highlight w:val="none"/>
              </w:rPr>
            </w:pPr>
            <w:r>
              <w:rPr>
                <w:rFonts w:hint="eastAsia"/>
                <w:kern w:val="0"/>
                <w:sz w:val="24"/>
                <w:highlight w:val="none"/>
              </w:rPr>
              <w:t>单位</w:t>
            </w:r>
          </w:p>
        </w:tc>
      </w:tr>
      <w:tr w14:paraId="11A07C9B">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0B53E9C5">
            <w:pPr>
              <w:adjustRightInd w:val="0"/>
              <w:spacing w:line="360" w:lineRule="auto"/>
              <w:jc w:val="center"/>
              <w:rPr>
                <w:kern w:val="0"/>
                <w:sz w:val="24"/>
                <w:highlight w:val="none"/>
              </w:rPr>
            </w:pPr>
            <w:r>
              <w:rPr>
                <w:rFonts w:hint="eastAsia"/>
                <w:kern w:val="0"/>
                <w:sz w:val="24"/>
                <w:highlight w:val="none"/>
              </w:rPr>
              <w:t>1</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2D3BD726">
            <w:pPr>
              <w:adjustRightInd w:val="0"/>
              <w:spacing w:line="360" w:lineRule="auto"/>
              <w:jc w:val="center"/>
              <w:rPr>
                <w:kern w:val="0"/>
                <w:sz w:val="24"/>
                <w:highlight w:val="none"/>
              </w:rPr>
            </w:pPr>
            <w:r>
              <w:rPr>
                <w:rFonts w:hint="eastAsia"/>
                <w:kern w:val="0"/>
                <w:sz w:val="24"/>
                <w:highlight w:val="none"/>
              </w:rPr>
              <w:t>高精度CO</w:t>
            </w:r>
            <w:r>
              <w:rPr>
                <w:rFonts w:hint="eastAsia"/>
                <w:kern w:val="0"/>
                <w:sz w:val="24"/>
                <w:highlight w:val="none"/>
                <w:vertAlign w:val="subscript"/>
              </w:rPr>
              <w:t>2</w:t>
            </w:r>
            <w:r>
              <w:rPr>
                <w:rFonts w:hint="eastAsia"/>
                <w:kern w:val="0"/>
                <w:sz w:val="24"/>
                <w:highlight w:val="none"/>
              </w:rPr>
              <w:t>、CH</w:t>
            </w:r>
            <w:r>
              <w:rPr>
                <w:rFonts w:hint="eastAsia"/>
                <w:kern w:val="0"/>
                <w:sz w:val="24"/>
                <w:highlight w:val="none"/>
                <w:vertAlign w:val="subscript"/>
              </w:rPr>
              <w:t>4</w:t>
            </w:r>
            <w:r>
              <w:rPr>
                <w:rFonts w:hint="eastAsia"/>
                <w:kern w:val="0"/>
                <w:sz w:val="24"/>
                <w:highlight w:val="none"/>
              </w:rPr>
              <w:t>、CO温室气体分析仪</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6BB9A990">
            <w:pPr>
              <w:adjustRightInd w:val="0"/>
              <w:spacing w:line="360" w:lineRule="auto"/>
              <w:jc w:val="center"/>
              <w:rPr>
                <w:kern w:val="0"/>
                <w:sz w:val="24"/>
                <w:highlight w:val="none"/>
              </w:rPr>
            </w:pPr>
            <w:r>
              <w:rPr>
                <w:rFonts w:hint="eastAsia"/>
                <w:kern w:val="0"/>
                <w:sz w:val="24"/>
                <w:highlight w:val="none"/>
              </w:rPr>
              <w:t>PICARRO G2401</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4CAAF492">
            <w:pPr>
              <w:adjustRightInd w:val="0"/>
              <w:spacing w:line="360" w:lineRule="auto"/>
              <w:jc w:val="center"/>
              <w:rPr>
                <w:kern w:val="0"/>
                <w:sz w:val="24"/>
                <w:highlight w:val="none"/>
              </w:rPr>
            </w:pPr>
            <w:r>
              <w:rPr>
                <w:rFonts w:hint="eastAsia"/>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5575573C">
            <w:pPr>
              <w:adjustRightInd w:val="0"/>
              <w:spacing w:line="360" w:lineRule="auto"/>
              <w:jc w:val="center"/>
              <w:rPr>
                <w:kern w:val="0"/>
                <w:sz w:val="24"/>
                <w:highlight w:val="none"/>
              </w:rPr>
            </w:pPr>
            <w:r>
              <w:rPr>
                <w:rFonts w:hint="eastAsia"/>
                <w:kern w:val="0"/>
                <w:sz w:val="24"/>
                <w:highlight w:val="none"/>
              </w:rPr>
              <w:t>台</w:t>
            </w:r>
          </w:p>
        </w:tc>
      </w:tr>
      <w:tr w14:paraId="26197EC8">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54D8F7AF">
            <w:pPr>
              <w:adjustRightInd w:val="0"/>
              <w:spacing w:line="360" w:lineRule="auto"/>
              <w:jc w:val="center"/>
              <w:rPr>
                <w:kern w:val="0"/>
                <w:sz w:val="24"/>
                <w:highlight w:val="none"/>
              </w:rPr>
            </w:pPr>
            <w:r>
              <w:rPr>
                <w:rFonts w:hint="eastAsia"/>
                <w:kern w:val="0"/>
                <w:sz w:val="24"/>
                <w:highlight w:val="none"/>
              </w:rPr>
              <w:t>2</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22A2E951">
            <w:pPr>
              <w:adjustRightInd w:val="0"/>
              <w:spacing w:line="360" w:lineRule="auto"/>
              <w:jc w:val="center"/>
              <w:rPr>
                <w:kern w:val="0"/>
                <w:sz w:val="24"/>
                <w:highlight w:val="none"/>
              </w:rPr>
            </w:pPr>
            <w:r>
              <w:rPr>
                <w:rFonts w:hint="eastAsia"/>
                <w:kern w:val="0"/>
                <w:sz w:val="24"/>
                <w:highlight w:val="none"/>
              </w:rPr>
              <w:t>进样阀箱</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5EDD7BC0">
            <w:pPr>
              <w:adjustRightInd w:val="0"/>
              <w:spacing w:line="360" w:lineRule="auto"/>
              <w:jc w:val="center"/>
              <w:rPr>
                <w:kern w:val="0"/>
                <w:sz w:val="24"/>
                <w:highlight w:val="none"/>
              </w:rPr>
            </w:pPr>
            <w:r>
              <w:rPr>
                <w:rFonts w:hint="eastAsia"/>
                <w:kern w:val="0"/>
                <w:sz w:val="24"/>
                <w:highlight w:val="none"/>
              </w:rPr>
              <w:t>世纪朝阳 定制</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71E15ED9">
            <w:pPr>
              <w:adjustRightInd w:val="0"/>
              <w:spacing w:line="360" w:lineRule="auto"/>
              <w:jc w:val="center"/>
              <w:rPr>
                <w:kern w:val="0"/>
                <w:sz w:val="24"/>
                <w:highlight w:val="none"/>
              </w:rPr>
            </w:pPr>
            <w:r>
              <w:rPr>
                <w:rFonts w:hint="eastAsia"/>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6E008C76">
            <w:pPr>
              <w:adjustRightInd w:val="0"/>
              <w:spacing w:line="360" w:lineRule="auto"/>
              <w:jc w:val="center"/>
              <w:rPr>
                <w:kern w:val="0"/>
                <w:sz w:val="24"/>
                <w:highlight w:val="none"/>
              </w:rPr>
            </w:pPr>
            <w:r>
              <w:rPr>
                <w:rFonts w:hint="eastAsia"/>
                <w:kern w:val="0"/>
                <w:sz w:val="24"/>
                <w:highlight w:val="none"/>
              </w:rPr>
              <w:t>台</w:t>
            </w:r>
          </w:p>
        </w:tc>
      </w:tr>
      <w:tr w14:paraId="2CC56695">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3B21987F">
            <w:pPr>
              <w:adjustRightInd w:val="0"/>
              <w:spacing w:line="360" w:lineRule="auto"/>
              <w:jc w:val="center"/>
              <w:rPr>
                <w:kern w:val="0"/>
                <w:sz w:val="24"/>
                <w:highlight w:val="none"/>
              </w:rPr>
            </w:pPr>
            <w:r>
              <w:rPr>
                <w:rFonts w:hint="eastAsia"/>
                <w:kern w:val="0"/>
                <w:sz w:val="24"/>
                <w:highlight w:val="none"/>
              </w:rPr>
              <w:t>3</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12E411D0">
            <w:pPr>
              <w:adjustRightInd w:val="0"/>
              <w:spacing w:line="360" w:lineRule="auto"/>
              <w:jc w:val="center"/>
              <w:rPr>
                <w:kern w:val="0"/>
                <w:sz w:val="24"/>
                <w:highlight w:val="none"/>
              </w:rPr>
            </w:pPr>
            <w:r>
              <w:rPr>
                <w:rFonts w:hint="eastAsia"/>
                <w:kern w:val="0"/>
                <w:sz w:val="24"/>
                <w:highlight w:val="none"/>
              </w:rPr>
              <w:t>超低温冷阱</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528C0B96">
            <w:pPr>
              <w:adjustRightInd w:val="0"/>
              <w:spacing w:line="360" w:lineRule="auto"/>
              <w:jc w:val="center"/>
              <w:rPr>
                <w:kern w:val="0"/>
                <w:sz w:val="24"/>
                <w:highlight w:val="none"/>
              </w:rPr>
            </w:pPr>
            <w:r>
              <w:rPr>
                <w:rFonts w:hint="eastAsia"/>
                <w:kern w:val="0"/>
                <w:sz w:val="24"/>
                <w:highlight w:val="none"/>
              </w:rPr>
              <w:t>世纪朝阳 CS-8000</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61A56E14">
            <w:pPr>
              <w:adjustRightInd w:val="0"/>
              <w:spacing w:line="360" w:lineRule="auto"/>
              <w:jc w:val="center"/>
              <w:rPr>
                <w:kern w:val="0"/>
                <w:sz w:val="24"/>
                <w:highlight w:val="none"/>
              </w:rPr>
            </w:pPr>
            <w:r>
              <w:rPr>
                <w:rFonts w:hint="eastAsia"/>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27CE762">
            <w:pPr>
              <w:adjustRightInd w:val="0"/>
              <w:spacing w:line="360" w:lineRule="auto"/>
              <w:jc w:val="center"/>
              <w:rPr>
                <w:kern w:val="0"/>
                <w:sz w:val="24"/>
                <w:highlight w:val="none"/>
              </w:rPr>
            </w:pPr>
            <w:r>
              <w:rPr>
                <w:rFonts w:hint="eastAsia"/>
                <w:kern w:val="0"/>
                <w:sz w:val="24"/>
                <w:highlight w:val="none"/>
              </w:rPr>
              <w:t>套</w:t>
            </w:r>
          </w:p>
        </w:tc>
      </w:tr>
      <w:tr w14:paraId="126D5AB6">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2BFD1CA6">
            <w:pPr>
              <w:adjustRightInd w:val="0"/>
              <w:spacing w:line="360" w:lineRule="auto"/>
              <w:jc w:val="center"/>
              <w:rPr>
                <w:kern w:val="0"/>
                <w:sz w:val="24"/>
                <w:highlight w:val="none"/>
              </w:rPr>
            </w:pPr>
            <w:r>
              <w:rPr>
                <w:rFonts w:hint="eastAsia"/>
                <w:kern w:val="0"/>
                <w:sz w:val="24"/>
                <w:highlight w:val="none"/>
              </w:rPr>
              <w:t>4</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2840E0D3">
            <w:pPr>
              <w:adjustRightInd w:val="0"/>
              <w:spacing w:line="360" w:lineRule="auto"/>
              <w:jc w:val="center"/>
              <w:rPr>
                <w:kern w:val="0"/>
                <w:sz w:val="24"/>
                <w:highlight w:val="none"/>
              </w:rPr>
            </w:pPr>
            <w:r>
              <w:rPr>
                <w:rFonts w:hint="eastAsia"/>
                <w:kern w:val="0"/>
                <w:sz w:val="24"/>
                <w:highlight w:val="none"/>
              </w:rPr>
              <w:t>电子冷凝器</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5BFDD44B">
            <w:pPr>
              <w:adjustRightInd w:val="0"/>
              <w:spacing w:line="360" w:lineRule="auto"/>
              <w:jc w:val="center"/>
              <w:rPr>
                <w:kern w:val="0"/>
                <w:sz w:val="24"/>
                <w:highlight w:val="none"/>
              </w:rPr>
            </w:pPr>
            <w:r>
              <w:rPr>
                <w:rFonts w:hint="eastAsia"/>
                <w:kern w:val="0"/>
                <w:sz w:val="24"/>
                <w:highlight w:val="none"/>
              </w:rPr>
              <w:t>CS-7A</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33C632B0">
            <w:pPr>
              <w:adjustRightInd w:val="0"/>
              <w:spacing w:line="360" w:lineRule="auto"/>
              <w:jc w:val="center"/>
              <w:rPr>
                <w:kern w:val="0"/>
                <w:sz w:val="24"/>
                <w:highlight w:val="none"/>
              </w:rPr>
            </w:pPr>
            <w:r>
              <w:rPr>
                <w:rFonts w:hint="eastAsia"/>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559363ED">
            <w:pPr>
              <w:adjustRightInd w:val="0"/>
              <w:spacing w:line="360" w:lineRule="auto"/>
              <w:jc w:val="center"/>
              <w:rPr>
                <w:kern w:val="0"/>
                <w:sz w:val="24"/>
                <w:highlight w:val="none"/>
              </w:rPr>
            </w:pPr>
            <w:r>
              <w:rPr>
                <w:rFonts w:hint="eastAsia"/>
                <w:kern w:val="0"/>
                <w:sz w:val="24"/>
                <w:highlight w:val="none"/>
              </w:rPr>
              <w:t>台</w:t>
            </w:r>
          </w:p>
        </w:tc>
      </w:tr>
      <w:tr w14:paraId="33711F94">
        <w:tblPrEx>
          <w:tblCellMar>
            <w:top w:w="0" w:type="dxa"/>
            <w:left w:w="108" w:type="dxa"/>
            <w:bottom w:w="0" w:type="dxa"/>
            <w:right w:w="108" w:type="dxa"/>
          </w:tblCellMar>
        </w:tblPrEx>
        <w:trPr>
          <w:trHeight w:val="496"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083DA2E8">
            <w:pPr>
              <w:adjustRightInd w:val="0"/>
              <w:spacing w:line="360" w:lineRule="auto"/>
              <w:jc w:val="center"/>
              <w:rPr>
                <w:kern w:val="0"/>
                <w:sz w:val="24"/>
                <w:highlight w:val="none"/>
              </w:rPr>
            </w:pPr>
            <w:r>
              <w:rPr>
                <w:rFonts w:hint="eastAsia"/>
                <w:kern w:val="0"/>
                <w:sz w:val="24"/>
                <w:highlight w:val="none"/>
              </w:rPr>
              <w:t>5</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3F9F46E5">
            <w:pPr>
              <w:adjustRightInd w:val="0"/>
              <w:spacing w:line="360" w:lineRule="auto"/>
              <w:jc w:val="center"/>
              <w:rPr>
                <w:kern w:val="0"/>
                <w:sz w:val="24"/>
                <w:highlight w:val="none"/>
              </w:rPr>
            </w:pPr>
            <w:r>
              <w:rPr>
                <w:rFonts w:hint="eastAsia"/>
                <w:kern w:val="0"/>
                <w:sz w:val="24"/>
                <w:highlight w:val="none"/>
              </w:rPr>
              <w:t>工控机</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5C6F83E6">
            <w:pPr>
              <w:adjustRightInd w:val="0"/>
              <w:spacing w:line="360" w:lineRule="auto"/>
              <w:jc w:val="center"/>
              <w:rPr>
                <w:kern w:val="0"/>
                <w:sz w:val="24"/>
                <w:highlight w:val="none"/>
              </w:rPr>
            </w:pPr>
            <w:r>
              <w:rPr>
                <w:rFonts w:hint="eastAsia"/>
                <w:kern w:val="0"/>
                <w:sz w:val="24"/>
                <w:highlight w:val="none"/>
              </w:rPr>
              <w:t>研华ACP-40000/1PC-610 series</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3D23FE0C">
            <w:pPr>
              <w:adjustRightInd w:val="0"/>
              <w:spacing w:line="360" w:lineRule="auto"/>
              <w:jc w:val="center"/>
              <w:rPr>
                <w:kern w:val="0"/>
                <w:sz w:val="24"/>
                <w:highlight w:val="none"/>
              </w:rPr>
            </w:pPr>
            <w:r>
              <w:rPr>
                <w:rFonts w:hint="eastAsia"/>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8D5F6FD">
            <w:pPr>
              <w:adjustRightInd w:val="0"/>
              <w:spacing w:line="360" w:lineRule="auto"/>
              <w:jc w:val="center"/>
              <w:rPr>
                <w:kern w:val="0"/>
                <w:sz w:val="24"/>
                <w:highlight w:val="none"/>
              </w:rPr>
            </w:pPr>
            <w:r>
              <w:rPr>
                <w:rFonts w:hint="eastAsia"/>
                <w:kern w:val="0"/>
                <w:sz w:val="24"/>
                <w:highlight w:val="none"/>
              </w:rPr>
              <w:t>台</w:t>
            </w:r>
          </w:p>
        </w:tc>
      </w:tr>
      <w:tr w14:paraId="34B18F98">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15D5382D">
            <w:pPr>
              <w:adjustRightInd w:val="0"/>
              <w:spacing w:line="360" w:lineRule="auto"/>
              <w:jc w:val="center"/>
              <w:rPr>
                <w:kern w:val="0"/>
                <w:sz w:val="24"/>
                <w:highlight w:val="none"/>
              </w:rPr>
            </w:pPr>
            <w:r>
              <w:rPr>
                <w:rFonts w:hint="eastAsia"/>
                <w:kern w:val="0"/>
                <w:sz w:val="24"/>
                <w:highlight w:val="none"/>
              </w:rPr>
              <w:t>6</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2FD8CDCC">
            <w:pPr>
              <w:adjustRightInd w:val="0"/>
              <w:spacing w:line="360" w:lineRule="auto"/>
              <w:jc w:val="center"/>
              <w:rPr>
                <w:kern w:val="0"/>
                <w:sz w:val="24"/>
                <w:highlight w:val="none"/>
              </w:rPr>
            </w:pPr>
            <w:r>
              <w:rPr>
                <w:rFonts w:hint="eastAsia"/>
                <w:kern w:val="0"/>
                <w:sz w:val="24"/>
                <w:highlight w:val="none"/>
              </w:rPr>
              <w:t>LCDKVM切换器</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2B5BCE79">
            <w:pPr>
              <w:adjustRightInd w:val="0"/>
              <w:spacing w:line="360" w:lineRule="auto"/>
              <w:jc w:val="center"/>
              <w:rPr>
                <w:kern w:val="0"/>
                <w:sz w:val="24"/>
                <w:highlight w:val="none"/>
              </w:rPr>
            </w:pPr>
            <w:r>
              <w:rPr>
                <w:rFonts w:hint="eastAsia"/>
                <w:kern w:val="0"/>
                <w:sz w:val="24"/>
                <w:highlight w:val="none"/>
              </w:rPr>
              <w:t>龙远恒信 KVM-1708-VGA-D</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7C0CB6BE">
            <w:pPr>
              <w:adjustRightInd w:val="0"/>
              <w:spacing w:line="360" w:lineRule="auto"/>
              <w:jc w:val="center"/>
              <w:rPr>
                <w:kern w:val="0"/>
                <w:sz w:val="24"/>
                <w:highlight w:val="none"/>
              </w:rPr>
            </w:pPr>
            <w:r>
              <w:rPr>
                <w:rFonts w:hint="eastAsia"/>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0ECB9F79">
            <w:pPr>
              <w:adjustRightInd w:val="0"/>
              <w:spacing w:line="360" w:lineRule="auto"/>
              <w:jc w:val="center"/>
              <w:rPr>
                <w:kern w:val="0"/>
                <w:sz w:val="24"/>
                <w:highlight w:val="none"/>
              </w:rPr>
            </w:pPr>
            <w:r>
              <w:rPr>
                <w:rFonts w:hint="eastAsia"/>
                <w:kern w:val="0"/>
                <w:sz w:val="24"/>
                <w:highlight w:val="none"/>
              </w:rPr>
              <w:t>台</w:t>
            </w:r>
          </w:p>
        </w:tc>
      </w:tr>
      <w:tr w14:paraId="072268BC">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1ADE7B42">
            <w:pPr>
              <w:adjustRightInd w:val="0"/>
              <w:spacing w:line="360" w:lineRule="auto"/>
              <w:jc w:val="center"/>
              <w:rPr>
                <w:kern w:val="0"/>
                <w:sz w:val="24"/>
                <w:highlight w:val="none"/>
              </w:rPr>
            </w:pPr>
            <w:r>
              <w:rPr>
                <w:rFonts w:hint="eastAsia"/>
                <w:kern w:val="0"/>
                <w:sz w:val="24"/>
                <w:highlight w:val="none"/>
              </w:rPr>
              <w:t>7</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642B5FED">
            <w:pPr>
              <w:adjustRightInd w:val="0"/>
              <w:spacing w:line="360" w:lineRule="auto"/>
              <w:jc w:val="center"/>
              <w:rPr>
                <w:kern w:val="0"/>
                <w:sz w:val="24"/>
                <w:highlight w:val="none"/>
              </w:rPr>
            </w:pPr>
            <w:r>
              <w:rPr>
                <w:rFonts w:hint="eastAsia"/>
                <w:kern w:val="0"/>
                <w:sz w:val="24"/>
                <w:highlight w:val="none"/>
              </w:rPr>
              <w:t>采样泵</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6F0BF5D7">
            <w:pPr>
              <w:adjustRightInd w:val="0"/>
              <w:spacing w:line="360" w:lineRule="auto"/>
              <w:jc w:val="center"/>
              <w:rPr>
                <w:kern w:val="0"/>
                <w:sz w:val="24"/>
                <w:highlight w:val="none"/>
              </w:rPr>
            </w:pPr>
            <w:r>
              <w:rPr>
                <w:rFonts w:hint="eastAsia"/>
                <w:kern w:val="0"/>
                <w:sz w:val="24"/>
                <w:highlight w:val="none"/>
              </w:rPr>
              <w:t>Gast DOA-P504-BN</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38E324C7">
            <w:pPr>
              <w:adjustRightInd w:val="0"/>
              <w:spacing w:line="360" w:lineRule="auto"/>
              <w:jc w:val="center"/>
              <w:rPr>
                <w:kern w:val="0"/>
                <w:sz w:val="24"/>
                <w:highlight w:val="none"/>
              </w:rPr>
            </w:pPr>
            <w:r>
              <w:rPr>
                <w:rFonts w:hint="eastAsia"/>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7D06C0E1">
            <w:pPr>
              <w:adjustRightInd w:val="0"/>
              <w:spacing w:line="360" w:lineRule="auto"/>
              <w:jc w:val="center"/>
              <w:rPr>
                <w:kern w:val="0"/>
                <w:sz w:val="24"/>
                <w:highlight w:val="none"/>
              </w:rPr>
            </w:pPr>
            <w:r>
              <w:rPr>
                <w:rFonts w:hint="eastAsia"/>
                <w:kern w:val="0"/>
                <w:sz w:val="24"/>
                <w:highlight w:val="none"/>
              </w:rPr>
              <w:t>台</w:t>
            </w:r>
          </w:p>
        </w:tc>
      </w:tr>
      <w:tr w14:paraId="22652F6E">
        <w:tblPrEx>
          <w:tblCellMar>
            <w:top w:w="0" w:type="dxa"/>
            <w:left w:w="108" w:type="dxa"/>
            <w:bottom w:w="0" w:type="dxa"/>
            <w:right w:w="108" w:type="dxa"/>
          </w:tblCellMar>
        </w:tblPrEx>
        <w:trPr>
          <w:trHeight w:val="851"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4E18A47A">
            <w:pPr>
              <w:adjustRightInd w:val="0"/>
              <w:spacing w:line="360" w:lineRule="auto"/>
              <w:jc w:val="center"/>
              <w:rPr>
                <w:kern w:val="0"/>
                <w:sz w:val="24"/>
                <w:highlight w:val="none"/>
              </w:rPr>
            </w:pPr>
            <w:r>
              <w:rPr>
                <w:rFonts w:hint="eastAsia"/>
                <w:kern w:val="0"/>
                <w:sz w:val="24"/>
                <w:highlight w:val="none"/>
              </w:rPr>
              <w:t>8</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226AAE4B">
            <w:pPr>
              <w:adjustRightInd w:val="0"/>
              <w:spacing w:line="360" w:lineRule="auto"/>
              <w:jc w:val="center"/>
              <w:rPr>
                <w:kern w:val="0"/>
                <w:sz w:val="24"/>
                <w:highlight w:val="none"/>
              </w:rPr>
            </w:pPr>
            <w:r>
              <w:rPr>
                <w:rFonts w:hint="eastAsia"/>
                <w:kern w:val="0"/>
                <w:sz w:val="24"/>
                <w:highlight w:val="none"/>
              </w:rPr>
              <w:t>智能气象传感器</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71AD4225">
            <w:pPr>
              <w:adjustRightInd w:val="0"/>
              <w:spacing w:line="360" w:lineRule="auto"/>
              <w:jc w:val="center"/>
              <w:rPr>
                <w:kern w:val="0"/>
                <w:sz w:val="24"/>
                <w:highlight w:val="none"/>
              </w:rPr>
            </w:pPr>
            <w:r>
              <w:rPr>
                <w:rFonts w:hint="eastAsia"/>
                <w:kern w:val="0"/>
                <w:sz w:val="24"/>
                <w:highlight w:val="none"/>
              </w:rPr>
              <w:t>lufft ws500</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1ECF698C">
            <w:pPr>
              <w:adjustRightInd w:val="0"/>
              <w:spacing w:line="360" w:lineRule="auto"/>
              <w:jc w:val="center"/>
              <w:rPr>
                <w:kern w:val="0"/>
                <w:sz w:val="24"/>
                <w:highlight w:val="none"/>
              </w:rPr>
            </w:pPr>
            <w:r>
              <w:rPr>
                <w:rFonts w:hint="eastAsia"/>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1610ED1D">
            <w:pPr>
              <w:adjustRightInd w:val="0"/>
              <w:spacing w:line="360" w:lineRule="auto"/>
              <w:jc w:val="center"/>
              <w:rPr>
                <w:kern w:val="0"/>
                <w:sz w:val="24"/>
                <w:highlight w:val="none"/>
              </w:rPr>
            </w:pPr>
            <w:r>
              <w:rPr>
                <w:rFonts w:hint="eastAsia"/>
                <w:kern w:val="0"/>
                <w:sz w:val="24"/>
                <w:highlight w:val="none"/>
              </w:rPr>
              <w:t>套</w:t>
            </w:r>
          </w:p>
        </w:tc>
      </w:tr>
    </w:tbl>
    <w:p w14:paraId="1ED943CA">
      <w:pPr>
        <w:adjustRightInd w:val="0"/>
        <w:spacing w:line="360" w:lineRule="auto"/>
        <w:jc w:val="left"/>
        <w:rPr>
          <w:b/>
          <w:sz w:val="24"/>
          <w:highlight w:val="none"/>
        </w:rPr>
      </w:pPr>
    </w:p>
    <w:p w14:paraId="100A5209">
      <w:pPr>
        <w:adjustRightInd w:val="0"/>
        <w:spacing w:line="360" w:lineRule="auto"/>
        <w:jc w:val="center"/>
        <w:rPr>
          <w:b/>
          <w:sz w:val="24"/>
          <w:highlight w:val="none"/>
        </w:rPr>
      </w:pPr>
      <w:r>
        <w:rPr>
          <w:b/>
          <w:sz w:val="24"/>
          <w:highlight w:val="none"/>
        </w:rPr>
        <w:t>表5 淳安燕山站仪器配置情况一览表</w:t>
      </w:r>
    </w:p>
    <w:tbl>
      <w:tblPr>
        <w:tblStyle w:val="15"/>
        <w:tblW w:w="8931" w:type="dxa"/>
        <w:jc w:val="center"/>
        <w:tblLayout w:type="fixed"/>
        <w:tblCellMar>
          <w:top w:w="0" w:type="dxa"/>
          <w:left w:w="108" w:type="dxa"/>
          <w:bottom w:w="0" w:type="dxa"/>
          <w:right w:w="108" w:type="dxa"/>
        </w:tblCellMar>
      </w:tblPr>
      <w:tblGrid>
        <w:gridCol w:w="803"/>
        <w:gridCol w:w="3559"/>
        <w:gridCol w:w="2974"/>
        <w:gridCol w:w="857"/>
        <w:gridCol w:w="738"/>
      </w:tblGrid>
      <w:tr w14:paraId="62F5F99D">
        <w:tblPrEx>
          <w:tblCellMar>
            <w:top w:w="0" w:type="dxa"/>
            <w:left w:w="108" w:type="dxa"/>
            <w:bottom w:w="0" w:type="dxa"/>
            <w:right w:w="108" w:type="dxa"/>
          </w:tblCellMar>
        </w:tblPrEx>
        <w:trPr>
          <w:trHeight w:val="638" w:hRule="atLeast"/>
          <w:tblHeader/>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76F9D8D7">
            <w:pPr>
              <w:adjustRightInd w:val="0"/>
              <w:spacing w:line="360" w:lineRule="auto"/>
              <w:jc w:val="center"/>
              <w:rPr>
                <w:kern w:val="0"/>
                <w:sz w:val="24"/>
                <w:highlight w:val="none"/>
              </w:rPr>
            </w:pPr>
            <w:r>
              <w:rPr>
                <w:rFonts w:hint="eastAsia"/>
                <w:kern w:val="0"/>
                <w:sz w:val="24"/>
                <w:highlight w:val="none"/>
              </w:rPr>
              <w:t>序号</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6A00AB6F">
            <w:pPr>
              <w:adjustRightInd w:val="0"/>
              <w:spacing w:line="360" w:lineRule="auto"/>
              <w:jc w:val="center"/>
              <w:rPr>
                <w:kern w:val="0"/>
                <w:sz w:val="24"/>
                <w:highlight w:val="none"/>
              </w:rPr>
            </w:pPr>
            <w:r>
              <w:rPr>
                <w:rFonts w:hint="eastAsia"/>
                <w:kern w:val="0"/>
                <w:sz w:val="24"/>
                <w:highlight w:val="none"/>
              </w:rPr>
              <w:t>设备名称</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36BDC0EE">
            <w:pPr>
              <w:adjustRightInd w:val="0"/>
              <w:spacing w:line="360" w:lineRule="auto"/>
              <w:jc w:val="center"/>
              <w:rPr>
                <w:kern w:val="0"/>
                <w:sz w:val="24"/>
                <w:highlight w:val="none"/>
              </w:rPr>
            </w:pPr>
            <w:r>
              <w:rPr>
                <w:rFonts w:hint="eastAsia"/>
                <w:kern w:val="0"/>
                <w:sz w:val="24"/>
                <w:highlight w:val="none"/>
              </w:rPr>
              <w:t>品牌型号</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289F2AC0">
            <w:pPr>
              <w:adjustRightInd w:val="0"/>
              <w:spacing w:line="360" w:lineRule="auto"/>
              <w:jc w:val="center"/>
              <w:rPr>
                <w:kern w:val="0"/>
                <w:sz w:val="24"/>
                <w:highlight w:val="none"/>
              </w:rPr>
            </w:pPr>
            <w:r>
              <w:rPr>
                <w:rFonts w:hint="eastAsia"/>
                <w:kern w:val="0"/>
                <w:sz w:val="24"/>
                <w:highlight w:val="none"/>
              </w:rPr>
              <w:t>数量</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D37DBBE">
            <w:pPr>
              <w:adjustRightInd w:val="0"/>
              <w:spacing w:line="360" w:lineRule="auto"/>
              <w:jc w:val="center"/>
              <w:rPr>
                <w:kern w:val="0"/>
                <w:sz w:val="24"/>
                <w:highlight w:val="none"/>
              </w:rPr>
            </w:pPr>
            <w:r>
              <w:rPr>
                <w:rFonts w:hint="eastAsia"/>
                <w:kern w:val="0"/>
                <w:sz w:val="24"/>
                <w:highlight w:val="none"/>
              </w:rPr>
              <w:t>单位</w:t>
            </w:r>
          </w:p>
        </w:tc>
      </w:tr>
      <w:tr w14:paraId="6825E1A0">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1175E3F7">
            <w:pPr>
              <w:adjustRightInd w:val="0"/>
              <w:spacing w:line="360" w:lineRule="auto"/>
              <w:jc w:val="center"/>
              <w:rPr>
                <w:kern w:val="0"/>
                <w:sz w:val="24"/>
                <w:highlight w:val="none"/>
              </w:rPr>
            </w:pPr>
            <w:r>
              <w:rPr>
                <w:rFonts w:hint="eastAsia"/>
                <w:kern w:val="0"/>
                <w:sz w:val="24"/>
                <w:highlight w:val="none"/>
              </w:rPr>
              <w:t>1</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72B72BBB">
            <w:pPr>
              <w:adjustRightInd w:val="0"/>
              <w:spacing w:line="360" w:lineRule="auto"/>
              <w:jc w:val="center"/>
              <w:rPr>
                <w:kern w:val="0"/>
                <w:sz w:val="24"/>
                <w:highlight w:val="none"/>
              </w:rPr>
            </w:pPr>
            <w:r>
              <w:rPr>
                <w:rFonts w:hint="eastAsia"/>
                <w:kern w:val="0"/>
                <w:sz w:val="24"/>
                <w:highlight w:val="none"/>
              </w:rPr>
              <w:t>高精度CO</w:t>
            </w:r>
            <w:r>
              <w:rPr>
                <w:rFonts w:hint="eastAsia"/>
                <w:kern w:val="0"/>
                <w:sz w:val="24"/>
                <w:highlight w:val="none"/>
                <w:vertAlign w:val="subscript"/>
              </w:rPr>
              <w:t>2</w:t>
            </w:r>
            <w:r>
              <w:rPr>
                <w:rFonts w:hint="eastAsia"/>
                <w:kern w:val="0"/>
                <w:sz w:val="24"/>
                <w:highlight w:val="none"/>
              </w:rPr>
              <w:t>、CH</w:t>
            </w:r>
            <w:r>
              <w:rPr>
                <w:rFonts w:hint="eastAsia"/>
                <w:kern w:val="0"/>
                <w:sz w:val="24"/>
                <w:highlight w:val="none"/>
                <w:vertAlign w:val="subscript"/>
              </w:rPr>
              <w:t>4</w:t>
            </w:r>
            <w:r>
              <w:rPr>
                <w:rFonts w:hint="eastAsia"/>
                <w:kern w:val="0"/>
                <w:sz w:val="24"/>
                <w:highlight w:val="none"/>
              </w:rPr>
              <w:t>、CO温室气体分析仪</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78159D31">
            <w:pPr>
              <w:adjustRightInd w:val="0"/>
              <w:spacing w:line="360" w:lineRule="auto"/>
              <w:jc w:val="center"/>
              <w:rPr>
                <w:kern w:val="0"/>
                <w:sz w:val="24"/>
                <w:highlight w:val="none"/>
              </w:rPr>
            </w:pPr>
            <w:r>
              <w:rPr>
                <w:rFonts w:hint="eastAsia"/>
                <w:kern w:val="0"/>
                <w:sz w:val="24"/>
                <w:highlight w:val="none"/>
              </w:rPr>
              <w:t>PICARRO G2401</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703C4F2B">
            <w:pPr>
              <w:adjustRightInd w:val="0"/>
              <w:spacing w:line="360" w:lineRule="auto"/>
              <w:jc w:val="center"/>
              <w:rPr>
                <w:kern w:val="0"/>
                <w:sz w:val="24"/>
                <w:highlight w:val="none"/>
              </w:rPr>
            </w:pPr>
            <w:r>
              <w:rPr>
                <w:rFonts w:hint="eastAsia"/>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4B613E4">
            <w:pPr>
              <w:adjustRightInd w:val="0"/>
              <w:spacing w:line="360" w:lineRule="auto"/>
              <w:jc w:val="center"/>
              <w:rPr>
                <w:kern w:val="0"/>
                <w:sz w:val="24"/>
                <w:highlight w:val="none"/>
              </w:rPr>
            </w:pPr>
            <w:r>
              <w:rPr>
                <w:rFonts w:hint="eastAsia"/>
                <w:kern w:val="0"/>
                <w:sz w:val="24"/>
                <w:highlight w:val="none"/>
              </w:rPr>
              <w:t>台</w:t>
            </w:r>
          </w:p>
        </w:tc>
      </w:tr>
      <w:tr w14:paraId="6DFC673F">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104DA220">
            <w:pPr>
              <w:adjustRightInd w:val="0"/>
              <w:spacing w:line="360" w:lineRule="auto"/>
              <w:jc w:val="center"/>
              <w:rPr>
                <w:kern w:val="0"/>
                <w:sz w:val="24"/>
                <w:highlight w:val="none"/>
              </w:rPr>
            </w:pPr>
            <w:r>
              <w:rPr>
                <w:rFonts w:hint="eastAsia"/>
                <w:kern w:val="0"/>
                <w:sz w:val="24"/>
                <w:highlight w:val="none"/>
              </w:rPr>
              <w:t>2</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0D5167CA">
            <w:pPr>
              <w:adjustRightInd w:val="0"/>
              <w:spacing w:line="360" w:lineRule="auto"/>
              <w:jc w:val="center"/>
              <w:rPr>
                <w:kern w:val="0"/>
                <w:sz w:val="24"/>
                <w:highlight w:val="none"/>
              </w:rPr>
            </w:pPr>
            <w:r>
              <w:rPr>
                <w:rFonts w:hint="eastAsia"/>
                <w:kern w:val="0"/>
                <w:sz w:val="24"/>
                <w:highlight w:val="none"/>
              </w:rPr>
              <w:t>进样阀箱</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070772C6">
            <w:pPr>
              <w:adjustRightInd w:val="0"/>
              <w:spacing w:line="360" w:lineRule="auto"/>
              <w:jc w:val="center"/>
              <w:rPr>
                <w:kern w:val="0"/>
                <w:sz w:val="24"/>
                <w:highlight w:val="none"/>
              </w:rPr>
            </w:pPr>
            <w:r>
              <w:rPr>
                <w:rFonts w:hint="eastAsia"/>
                <w:kern w:val="0"/>
                <w:sz w:val="24"/>
                <w:highlight w:val="none"/>
              </w:rPr>
              <w:t>世纪朝阳 定制</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43CAC6DC">
            <w:pPr>
              <w:adjustRightInd w:val="0"/>
              <w:spacing w:line="360" w:lineRule="auto"/>
              <w:jc w:val="center"/>
              <w:rPr>
                <w:kern w:val="0"/>
                <w:sz w:val="24"/>
                <w:highlight w:val="none"/>
              </w:rPr>
            </w:pPr>
            <w:r>
              <w:rPr>
                <w:rFonts w:hint="eastAsia"/>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53BB0D9">
            <w:pPr>
              <w:adjustRightInd w:val="0"/>
              <w:spacing w:line="360" w:lineRule="auto"/>
              <w:jc w:val="center"/>
              <w:rPr>
                <w:kern w:val="0"/>
                <w:sz w:val="24"/>
                <w:highlight w:val="none"/>
              </w:rPr>
            </w:pPr>
            <w:r>
              <w:rPr>
                <w:rFonts w:hint="eastAsia"/>
                <w:kern w:val="0"/>
                <w:sz w:val="24"/>
                <w:highlight w:val="none"/>
              </w:rPr>
              <w:t>台</w:t>
            </w:r>
          </w:p>
        </w:tc>
      </w:tr>
      <w:tr w14:paraId="18965872">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0711C3BE">
            <w:pPr>
              <w:adjustRightInd w:val="0"/>
              <w:spacing w:line="360" w:lineRule="auto"/>
              <w:jc w:val="center"/>
              <w:rPr>
                <w:kern w:val="0"/>
                <w:sz w:val="24"/>
                <w:highlight w:val="none"/>
              </w:rPr>
            </w:pPr>
            <w:r>
              <w:rPr>
                <w:rFonts w:hint="eastAsia"/>
                <w:kern w:val="0"/>
                <w:sz w:val="24"/>
                <w:highlight w:val="none"/>
              </w:rPr>
              <w:t>3</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4F8EFA35">
            <w:pPr>
              <w:adjustRightInd w:val="0"/>
              <w:spacing w:line="360" w:lineRule="auto"/>
              <w:jc w:val="center"/>
              <w:rPr>
                <w:kern w:val="0"/>
                <w:sz w:val="24"/>
                <w:highlight w:val="none"/>
              </w:rPr>
            </w:pPr>
            <w:r>
              <w:rPr>
                <w:rFonts w:hint="eastAsia"/>
                <w:kern w:val="0"/>
                <w:sz w:val="24"/>
                <w:highlight w:val="none"/>
              </w:rPr>
              <w:t>超低温冷阱</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3B21A735">
            <w:pPr>
              <w:adjustRightInd w:val="0"/>
              <w:spacing w:line="360" w:lineRule="auto"/>
              <w:jc w:val="center"/>
              <w:rPr>
                <w:kern w:val="0"/>
                <w:sz w:val="24"/>
                <w:highlight w:val="none"/>
              </w:rPr>
            </w:pPr>
            <w:r>
              <w:rPr>
                <w:rFonts w:hint="eastAsia"/>
                <w:kern w:val="0"/>
                <w:sz w:val="24"/>
                <w:highlight w:val="none"/>
              </w:rPr>
              <w:t>世纪朝阳 CS-8000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151881EF">
            <w:pPr>
              <w:adjustRightInd w:val="0"/>
              <w:spacing w:line="360" w:lineRule="auto"/>
              <w:jc w:val="center"/>
              <w:rPr>
                <w:kern w:val="0"/>
                <w:sz w:val="24"/>
                <w:highlight w:val="none"/>
              </w:rPr>
            </w:pPr>
            <w:r>
              <w:rPr>
                <w:rFonts w:hint="eastAsia"/>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83D73F4">
            <w:pPr>
              <w:adjustRightInd w:val="0"/>
              <w:spacing w:line="360" w:lineRule="auto"/>
              <w:jc w:val="center"/>
              <w:rPr>
                <w:kern w:val="0"/>
                <w:sz w:val="24"/>
                <w:highlight w:val="none"/>
              </w:rPr>
            </w:pPr>
            <w:r>
              <w:rPr>
                <w:rFonts w:hint="eastAsia"/>
                <w:kern w:val="0"/>
                <w:sz w:val="24"/>
                <w:highlight w:val="none"/>
              </w:rPr>
              <w:t>套</w:t>
            </w:r>
          </w:p>
        </w:tc>
      </w:tr>
      <w:tr w14:paraId="55BF1D93">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5ACBCA1B">
            <w:pPr>
              <w:adjustRightInd w:val="0"/>
              <w:spacing w:line="360" w:lineRule="auto"/>
              <w:jc w:val="center"/>
              <w:rPr>
                <w:kern w:val="0"/>
                <w:sz w:val="24"/>
                <w:highlight w:val="none"/>
              </w:rPr>
            </w:pPr>
            <w:r>
              <w:rPr>
                <w:rFonts w:hint="eastAsia"/>
                <w:kern w:val="0"/>
                <w:sz w:val="24"/>
                <w:highlight w:val="none"/>
              </w:rPr>
              <w:t>4</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57154C98">
            <w:pPr>
              <w:adjustRightInd w:val="0"/>
              <w:spacing w:line="360" w:lineRule="auto"/>
              <w:jc w:val="center"/>
              <w:rPr>
                <w:kern w:val="0"/>
                <w:sz w:val="24"/>
                <w:highlight w:val="none"/>
              </w:rPr>
            </w:pPr>
            <w:r>
              <w:rPr>
                <w:rFonts w:hint="eastAsia"/>
                <w:kern w:val="0"/>
                <w:sz w:val="24"/>
                <w:highlight w:val="none"/>
              </w:rPr>
              <w:t>电子冷凝器</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67283470">
            <w:pPr>
              <w:adjustRightInd w:val="0"/>
              <w:spacing w:line="360" w:lineRule="auto"/>
              <w:jc w:val="center"/>
              <w:rPr>
                <w:kern w:val="0"/>
                <w:sz w:val="24"/>
                <w:highlight w:val="none"/>
              </w:rPr>
            </w:pPr>
            <w:r>
              <w:rPr>
                <w:rFonts w:hint="eastAsia"/>
                <w:kern w:val="0"/>
                <w:sz w:val="24"/>
                <w:highlight w:val="none"/>
              </w:rPr>
              <w:t>CS-7A</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0C70A8FF">
            <w:pPr>
              <w:adjustRightInd w:val="0"/>
              <w:spacing w:line="360" w:lineRule="auto"/>
              <w:jc w:val="center"/>
              <w:rPr>
                <w:kern w:val="0"/>
                <w:sz w:val="24"/>
                <w:highlight w:val="none"/>
              </w:rPr>
            </w:pPr>
            <w:r>
              <w:rPr>
                <w:rFonts w:hint="eastAsia"/>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90FFF39">
            <w:pPr>
              <w:adjustRightInd w:val="0"/>
              <w:spacing w:line="360" w:lineRule="auto"/>
              <w:jc w:val="center"/>
              <w:rPr>
                <w:kern w:val="0"/>
                <w:sz w:val="24"/>
                <w:highlight w:val="none"/>
              </w:rPr>
            </w:pPr>
            <w:r>
              <w:rPr>
                <w:rFonts w:hint="eastAsia"/>
                <w:kern w:val="0"/>
                <w:sz w:val="24"/>
                <w:highlight w:val="none"/>
              </w:rPr>
              <w:t>台</w:t>
            </w:r>
          </w:p>
        </w:tc>
      </w:tr>
      <w:tr w14:paraId="172D3255">
        <w:tblPrEx>
          <w:tblCellMar>
            <w:top w:w="0" w:type="dxa"/>
            <w:left w:w="108" w:type="dxa"/>
            <w:bottom w:w="0" w:type="dxa"/>
            <w:right w:w="108" w:type="dxa"/>
          </w:tblCellMar>
        </w:tblPrEx>
        <w:trPr>
          <w:trHeight w:val="851"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1FDE7183">
            <w:pPr>
              <w:adjustRightInd w:val="0"/>
              <w:spacing w:line="360" w:lineRule="auto"/>
              <w:jc w:val="center"/>
              <w:rPr>
                <w:kern w:val="0"/>
                <w:sz w:val="24"/>
                <w:highlight w:val="none"/>
              </w:rPr>
            </w:pPr>
            <w:r>
              <w:rPr>
                <w:rFonts w:hint="eastAsia"/>
                <w:kern w:val="0"/>
                <w:sz w:val="24"/>
                <w:highlight w:val="none"/>
              </w:rPr>
              <w:t>5</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33B571A7">
            <w:pPr>
              <w:adjustRightInd w:val="0"/>
              <w:spacing w:line="360" w:lineRule="auto"/>
              <w:jc w:val="center"/>
              <w:rPr>
                <w:kern w:val="0"/>
                <w:sz w:val="24"/>
                <w:highlight w:val="none"/>
              </w:rPr>
            </w:pPr>
            <w:r>
              <w:rPr>
                <w:rFonts w:hint="eastAsia"/>
                <w:kern w:val="0"/>
                <w:sz w:val="24"/>
                <w:highlight w:val="none"/>
              </w:rPr>
              <w:t>工控机</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52D5DCF2">
            <w:pPr>
              <w:adjustRightInd w:val="0"/>
              <w:spacing w:line="360" w:lineRule="auto"/>
              <w:jc w:val="center"/>
              <w:rPr>
                <w:kern w:val="0"/>
                <w:sz w:val="24"/>
                <w:highlight w:val="none"/>
              </w:rPr>
            </w:pPr>
            <w:r>
              <w:rPr>
                <w:rFonts w:hint="eastAsia"/>
                <w:kern w:val="0"/>
                <w:sz w:val="24"/>
                <w:highlight w:val="none"/>
              </w:rPr>
              <w:t>研华ACP-40000/1PC-610 series</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718A227A">
            <w:pPr>
              <w:adjustRightInd w:val="0"/>
              <w:spacing w:line="360" w:lineRule="auto"/>
              <w:jc w:val="center"/>
              <w:rPr>
                <w:kern w:val="0"/>
                <w:sz w:val="24"/>
                <w:highlight w:val="none"/>
              </w:rPr>
            </w:pPr>
            <w:r>
              <w:rPr>
                <w:rFonts w:hint="eastAsia"/>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B59981B">
            <w:pPr>
              <w:adjustRightInd w:val="0"/>
              <w:spacing w:line="360" w:lineRule="auto"/>
              <w:jc w:val="center"/>
              <w:rPr>
                <w:kern w:val="0"/>
                <w:sz w:val="24"/>
                <w:highlight w:val="none"/>
              </w:rPr>
            </w:pPr>
            <w:r>
              <w:rPr>
                <w:rFonts w:hint="eastAsia"/>
                <w:kern w:val="0"/>
                <w:sz w:val="24"/>
                <w:highlight w:val="none"/>
              </w:rPr>
              <w:t>台</w:t>
            </w:r>
          </w:p>
        </w:tc>
      </w:tr>
      <w:tr w14:paraId="78EEF83C">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3BF09748">
            <w:pPr>
              <w:adjustRightInd w:val="0"/>
              <w:spacing w:line="360" w:lineRule="auto"/>
              <w:jc w:val="center"/>
              <w:rPr>
                <w:kern w:val="0"/>
                <w:sz w:val="24"/>
                <w:highlight w:val="none"/>
              </w:rPr>
            </w:pPr>
            <w:r>
              <w:rPr>
                <w:rFonts w:hint="eastAsia"/>
                <w:kern w:val="0"/>
                <w:sz w:val="24"/>
                <w:highlight w:val="none"/>
              </w:rPr>
              <w:t>6</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17E88C09">
            <w:pPr>
              <w:adjustRightInd w:val="0"/>
              <w:spacing w:line="360" w:lineRule="auto"/>
              <w:jc w:val="center"/>
              <w:rPr>
                <w:kern w:val="0"/>
                <w:sz w:val="24"/>
                <w:highlight w:val="none"/>
              </w:rPr>
            </w:pPr>
            <w:r>
              <w:rPr>
                <w:rFonts w:hint="eastAsia"/>
                <w:kern w:val="0"/>
                <w:sz w:val="24"/>
                <w:highlight w:val="none"/>
              </w:rPr>
              <w:t>LCDKVM切换器</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4F50F7CE">
            <w:pPr>
              <w:adjustRightInd w:val="0"/>
              <w:spacing w:line="360" w:lineRule="auto"/>
              <w:jc w:val="center"/>
              <w:rPr>
                <w:kern w:val="0"/>
                <w:sz w:val="24"/>
                <w:highlight w:val="none"/>
              </w:rPr>
            </w:pPr>
            <w:r>
              <w:rPr>
                <w:rFonts w:hint="eastAsia"/>
                <w:kern w:val="0"/>
                <w:sz w:val="24"/>
                <w:highlight w:val="none"/>
              </w:rPr>
              <w:t>龙远恒信 KVM-1708-VGA-D</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703F7F10">
            <w:pPr>
              <w:adjustRightInd w:val="0"/>
              <w:spacing w:line="360" w:lineRule="auto"/>
              <w:jc w:val="center"/>
              <w:rPr>
                <w:kern w:val="0"/>
                <w:sz w:val="24"/>
                <w:highlight w:val="none"/>
              </w:rPr>
            </w:pPr>
            <w:r>
              <w:rPr>
                <w:rFonts w:hint="eastAsia"/>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EFA71DD">
            <w:pPr>
              <w:adjustRightInd w:val="0"/>
              <w:spacing w:line="360" w:lineRule="auto"/>
              <w:jc w:val="center"/>
              <w:rPr>
                <w:kern w:val="0"/>
                <w:sz w:val="24"/>
                <w:highlight w:val="none"/>
              </w:rPr>
            </w:pPr>
            <w:r>
              <w:rPr>
                <w:rFonts w:hint="eastAsia"/>
                <w:kern w:val="0"/>
                <w:sz w:val="24"/>
                <w:highlight w:val="none"/>
              </w:rPr>
              <w:t>台</w:t>
            </w:r>
          </w:p>
        </w:tc>
      </w:tr>
      <w:tr w14:paraId="72B618F9">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02B6048C">
            <w:pPr>
              <w:adjustRightInd w:val="0"/>
              <w:spacing w:line="360" w:lineRule="auto"/>
              <w:jc w:val="center"/>
              <w:rPr>
                <w:kern w:val="0"/>
                <w:sz w:val="24"/>
                <w:highlight w:val="none"/>
              </w:rPr>
            </w:pPr>
            <w:r>
              <w:rPr>
                <w:rFonts w:hint="eastAsia"/>
                <w:kern w:val="0"/>
                <w:sz w:val="24"/>
                <w:highlight w:val="none"/>
              </w:rPr>
              <w:t>7</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1BD90DF5">
            <w:pPr>
              <w:adjustRightInd w:val="0"/>
              <w:spacing w:line="360" w:lineRule="auto"/>
              <w:jc w:val="center"/>
              <w:rPr>
                <w:kern w:val="0"/>
                <w:sz w:val="24"/>
                <w:highlight w:val="none"/>
              </w:rPr>
            </w:pPr>
            <w:r>
              <w:rPr>
                <w:rFonts w:hint="eastAsia"/>
                <w:kern w:val="0"/>
                <w:sz w:val="24"/>
                <w:highlight w:val="none"/>
              </w:rPr>
              <w:t>采样泵</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70F93217">
            <w:pPr>
              <w:adjustRightInd w:val="0"/>
              <w:spacing w:line="360" w:lineRule="auto"/>
              <w:jc w:val="center"/>
              <w:rPr>
                <w:kern w:val="0"/>
                <w:sz w:val="24"/>
                <w:highlight w:val="none"/>
              </w:rPr>
            </w:pPr>
            <w:r>
              <w:rPr>
                <w:rFonts w:hint="eastAsia"/>
                <w:kern w:val="0"/>
                <w:sz w:val="24"/>
                <w:highlight w:val="none"/>
              </w:rPr>
              <w:t>Gast DOA-P504-BN</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23039524">
            <w:pPr>
              <w:adjustRightInd w:val="0"/>
              <w:spacing w:line="360" w:lineRule="auto"/>
              <w:jc w:val="center"/>
              <w:rPr>
                <w:kern w:val="0"/>
                <w:sz w:val="24"/>
                <w:highlight w:val="none"/>
              </w:rPr>
            </w:pPr>
            <w:r>
              <w:rPr>
                <w:rFonts w:hint="eastAsia"/>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B7D586C">
            <w:pPr>
              <w:adjustRightInd w:val="0"/>
              <w:spacing w:line="360" w:lineRule="auto"/>
              <w:jc w:val="center"/>
              <w:rPr>
                <w:kern w:val="0"/>
                <w:sz w:val="24"/>
                <w:highlight w:val="none"/>
              </w:rPr>
            </w:pPr>
            <w:r>
              <w:rPr>
                <w:rFonts w:hint="eastAsia"/>
                <w:kern w:val="0"/>
                <w:sz w:val="24"/>
                <w:highlight w:val="none"/>
              </w:rPr>
              <w:t>台</w:t>
            </w:r>
          </w:p>
        </w:tc>
      </w:tr>
      <w:tr w14:paraId="58D3DBBE">
        <w:tblPrEx>
          <w:tblCellMar>
            <w:top w:w="0" w:type="dxa"/>
            <w:left w:w="108" w:type="dxa"/>
            <w:bottom w:w="0" w:type="dxa"/>
            <w:right w:w="108" w:type="dxa"/>
          </w:tblCellMar>
        </w:tblPrEx>
        <w:trPr>
          <w:trHeight w:val="851"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4EE8FE52">
            <w:pPr>
              <w:adjustRightInd w:val="0"/>
              <w:spacing w:line="360" w:lineRule="auto"/>
              <w:jc w:val="center"/>
              <w:rPr>
                <w:kern w:val="0"/>
                <w:sz w:val="24"/>
                <w:highlight w:val="none"/>
              </w:rPr>
            </w:pPr>
            <w:r>
              <w:rPr>
                <w:rFonts w:hint="eastAsia"/>
                <w:kern w:val="0"/>
                <w:sz w:val="24"/>
                <w:highlight w:val="none"/>
              </w:rPr>
              <w:t>8</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5B715EFD">
            <w:pPr>
              <w:adjustRightInd w:val="0"/>
              <w:spacing w:line="360" w:lineRule="auto"/>
              <w:jc w:val="center"/>
              <w:rPr>
                <w:kern w:val="0"/>
                <w:sz w:val="24"/>
                <w:highlight w:val="none"/>
              </w:rPr>
            </w:pPr>
            <w:r>
              <w:rPr>
                <w:rFonts w:hint="eastAsia"/>
                <w:kern w:val="0"/>
                <w:sz w:val="24"/>
                <w:highlight w:val="none"/>
              </w:rPr>
              <w:t>智能气象传感器</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2755E987">
            <w:pPr>
              <w:adjustRightInd w:val="0"/>
              <w:spacing w:line="360" w:lineRule="auto"/>
              <w:jc w:val="center"/>
              <w:rPr>
                <w:kern w:val="0"/>
                <w:sz w:val="24"/>
                <w:highlight w:val="none"/>
              </w:rPr>
            </w:pPr>
            <w:r>
              <w:rPr>
                <w:rFonts w:hint="eastAsia"/>
                <w:kern w:val="0"/>
                <w:sz w:val="24"/>
                <w:highlight w:val="none"/>
              </w:rPr>
              <w:t>lufft ws500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25EC9CD0">
            <w:pPr>
              <w:adjustRightInd w:val="0"/>
              <w:spacing w:line="360" w:lineRule="auto"/>
              <w:jc w:val="center"/>
              <w:rPr>
                <w:kern w:val="0"/>
                <w:sz w:val="24"/>
                <w:highlight w:val="none"/>
              </w:rPr>
            </w:pPr>
            <w:r>
              <w:rPr>
                <w:rFonts w:hint="eastAsia"/>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14896F5">
            <w:pPr>
              <w:adjustRightInd w:val="0"/>
              <w:spacing w:line="360" w:lineRule="auto"/>
              <w:jc w:val="center"/>
              <w:rPr>
                <w:kern w:val="0"/>
                <w:sz w:val="24"/>
                <w:highlight w:val="none"/>
              </w:rPr>
            </w:pPr>
            <w:r>
              <w:rPr>
                <w:rFonts w:hint="eastAsia"/>
                <w:kern w:val="0"/>
                <w:sz w:val="24"/>
                <w:highlight w:val="none"/>
              </w:rPr>
              <w:t>套</w:t>
            </w:r>
          </w:p>
        </w:tc>
      </w:tr>
    </w:tbl>
    <w:p w14:paraId="52A1DE57">
      <w:pPr>
        <w:adjustRightInd w:val="0"/>
        <w:spacing w:after="120" w:line="360" w:lineRule="auto"/>
        <w:rPr>
          <w:sz w:val="24"/>
          <w:highlight w:val="none"/>
        </w:rPr>
      </w:pPr>
    </w:p>
    <w:p w14:paraId="26DB9E80">
      <w:pPr>
        <w:adjustRightInd w:val="0"/>
        <w:spacing w:line="360" w:lineRule="auto"/>
        <w:jc w:val="center"/>
        <w:rPr>
          <w:b/>
          <w:sz w:val="24"/>
          <w:highlight w:val="none"/>
        </w:rPr>
      </w:pPr>
      <w:r>
        <w:rPr>
          <w:b/>
          <w:sz w:val="24"/>
          <w:highlight w:val="none"/>
        </w:rPr>
        <w:t>表6 临安大明山站仪器配置情况一览表</w:t>
      </w:r>
    </w:p>
    <w:tbl>
      <w:tblPr>
        <w:tblStyle w:val="15"/>
        <w:tblW w:w="7744" w:type="dxa"/>
        <w:jc w:val="center"/>
        <w:tblLayout w:type="fixed"/>
        <w:tblCellMar>
          <w:top w:w="0" w:type="dxa"/>
          <w:left w:w="108" w:type="dxa"/>
          <w:bottom w:w="0" w:type="dxa"/>
          <w:right w:w="108" w:type="dxa"/>
        </w:tblCellMar>
      </w:tblPr>
      <w:tblGrid>
        <w:gridCol w:w="919"/>
        <w:gridCol w:w="3527"/>
        <w:gridCol w:w="1623"/>
        <w:gridCol w:w="874"/>
        <w:gridCol w:w="801"/>
      </w:tblGrid>
      <w:tr w14:paraId="30F0FFC8">
        <w:tblPrEx>
          <w:tblCellMar>
            <w:top w:w="0" w:type="dxa"/>
            <w:left w:w="108" w:type="dxa"/>
            <w:bottom w:w="0" w:type="dxa"/>
            <w:right w:w="108" w:type="dxa"/>
          </w:tblCellMar>
        </w:tblPrEx>
        <w:trPr>
          <w:trHeight w:val="638" w:hRule="atLeast"/>
          <w:tblHeader/>
          <w:jc w:val="center"/>
        </w:trPr>
        <w:tc>
          <w:tcPr>
            <w:tcW w:w="919" w:type="dxa"/>
            <w:tcBorders>
              <w:top w:val="single" w:color="000000" w:sz="4" w:space="0"/>
              <w:left w:val="single" w:color="000000" w:sz="4" w:space="0"/>
              <w:bottom w:val="single" w:color="000000" w:sz="4" w:space="0"/>
              <w:right w:val="single" w:color="000000" w:sz="4" w:space="0"/>
            </w:tcBorders>
            <w:noWrap/>
            <w:vAlign w:val="center"/>
          </w:tcPr>
          <w:p w14:paraId="525C67BF">
            <w:pPr>
              <w:adjustRightInd w:val="0"/>
              <w:spacing w:line="360" w:lineRule="auto"/>
              <w:jc w:val="center"/>
              <w:rPr>
                <w:kern w:val="0"/>
                <w:sz w:val="24"/>
                <w:highlight w:val="none"/>
              </w:rPr>
            </w:pPr>
            <w:r>
              <w:rPr>
                <w:rFonts w:hint="eastAsia"/>
                <w:kern w:val="0"/>
                <w:sz w:val="24"/>
                <w:highlight w:val="none"/>
              </w:rPr>
              <w:t>序号</w:t>
            </w:r>
          </w:p>
        </w:tc>
        <w:tc>
          <w:tcPr>
            <w:tcW w:w="3527" w:type="dxa"/>
            <w:tcBorders>
              <w:top w:val="single" w:color="000000" w:sz="4" w:space="0"/>
              <w:left w:val="single" w:color="000000" w:sz="4" w:space="0"/>
              <w:bottom w:val="single" w:color="000000" w:sz="4" w:space="0"/>
              <w:right w:val="single" w:color="000000" w:sz="4" w:space="0"/>
            </w:tcBorders>
            <w:noWrap/>
            <w:vAlign w:val="center"/>
          </w:tcPr>
          <w:p w14:paraId="3E04DCA9">
            <w:pPr>
              <w:adjustRightInd w:val="0"/>
              <w:spacing w:line="360" w:lineRule="auto"/>
              <w:jc w:val="center"/>
              <w:rPr>
                <w:kern w:val="0"/>
                <w:sz w:val="24"/>
                <w:highlight w:val="none"/>
              </w:rPr>
            </w:pPr>
            <w:r>
              <w:rPr>
                <w:rFonts w:hint="eastAsia"/>
                <w:kern w:val="0"/>
                <w:sz w:val="24"/>
                <w:highlight w:val="none"/>
              </w:rPr>
              <w:t>设备名称</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5B9203CD">
            <w:pPr>
              <w:adjustRightInd w:val="0"/>
              <w:spacing w:line="360" w:lineRule="auto"/>
              <w:jc w:val="center"/>
              <w:rPr>
                <w:kern w:val="0"/>
                <w:sz w:val="24"/>
                <w:highlight w:val="none"/>
              </w:rPr>
            </w:pPr>
            <w:r>
              <w:rPr>
                <w:rFonts w:hint="eastAsia"/>
                <w:kern w:val="0"/>
                <w:sz w:val="24"/>
                <w:highlight w:val="none"/>
              </w:rPr>
              <w:t>品牌型号</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0BA8C976">
            <w:pPr>
              <w:adjustRightInd w:val="0"/>
              <w:spacing w:line="360" w:lineRule="auto"/>
              <w:jc w:val="center"/>
              <w:rPr>
                <w:kern w:val="0"/>
                <w:sz w:val="24"/>
                <w:highlight w:val="none"/>
              </w:rPr>
            </w:pPr>
            <w:r>
              <w:rPr>
                <w:rFonts w:hint="eastAsia"/>
                <w:kern w:val="0"/>
                <w:sz w:val="24"/>
                <w:highlight w:val="none"/>
              </w:rPr>
              <w:t>数量</w:t>
            </w:r>
          </w:p>
        </w:tc>
        <w:tc>
          <w:tcPr>
            <w:tcW w:w="801" w:type="dxa"/>
            <w:tcBorders>
              <w:top w:val="single" w:color="000000" w:sz="4" w:space="0"/>
              <w:left w:val="single" w:color="000000" w:sz="4" w:space="0"/>
              <w:bottom w:val="single" w:color="000000" w:sz="4" w:space="0"/>
              <w:right w:val="single" w:color="000000" w:sz="4" w:space="0"/>
            </w:tcBorders>
            <w:noWrap/>
            <w:vAlign w:val="center"/>
          </w:tcPr>
          <w:p w14:paraId="65455C40">
            <w:pPr>
              <w:adjustRightInd w:val="0"/>
              <w:spacing w:line="360" w:lineRule="auto"/>
              <w:jc w:val="center"/>
              <w:rPr>
                <w:kern w:val="0"/>
                <w:sz w:val="24"/>
                <w:highlight w:val="none"/>
              </w:rPr>
            </w:pPr>
            <w:r>
              <w:rPr>
                <w:rFonts w:hint="eastAsia"/>
                <w:kern w:val="0"/>
                <w:sz w:val="24"/>
                <w:highlight w:val="none"/>
              </w:rPr>
              <w:t>单位</w:t>
            </w:r>
          </w:p>
        </w:tc>
      </w:tr>
      <w:tr w14:paraId="60BC40E5">
        <w:tblPrEx>
          <w:tblCellMar>
            <w:top w:w="0" w:type="dxa"/>
            <w:left w:w="108" w:type="dxa"/>
            <w:bottom w:w="0" w:type="dxa"/>
            <w:right w:w="108" w:type="dxa"/>
          </w:tblCellMar>
        </w:tblPrEx>
        <w:trPr>
          <w:trHeight w:val="567" w:hRule="atLeast"/>
          <w:jc w:val="center"/>
        </w:trPr>
        <w:tc>
          <w:tcPr>
            <w:tcW w:w="919" w:type="dxa"/>
            <w:tcBorders>
              <w:top w:val="single" w:color="000000" w:sz="4" w:space="0"/>
              <w:left w:val="single" w:color="000000" w:sz="4" w:space="0"/>
              <w:bottom w:val="single" w:color="000000" w:sz="4" w:space="0"/>
              <w:right w:val="single" w:color="000000" w:sz="4" w:space="0"/>
            </w:tcBorders>
            <w:noWrap/>
            <w:vAlign w:val="center"/>
          </w:tcPr>
          <w:p w14:paraId="28917127">
            <w:pPr>
              <w:adjustRightInd w:val="0"/>
              <w:spacing w:line="360" w:lineRule="auto"/>
              <w:jc w:val="center"/>
              <w:rPr>
                <w:kern w:val="0"/>
                <w:sz w:val="24"/>
                <w:highlight w:val="none"/>
              </w:rPr>
            </w:pPr>
            <w:r>
              <w:rPr>
                <w:rFonts w:hint="eastAsia"/>
                <w:kern w:val="0"/>
                <w:sz w:val="24"/>
                <w:highlight w:val="none"/>
              </w:rPr>
              <w:t>1</w:t>
            </w:r>
          </w:p>
        </w:tc>
        <w:tc>
          <w:tcPr>
            <w:tcW w:w="3527" w:type="dxa"/>
            <w:tcBorders>
              <w:top w:val="single" w:color="000000" w:sz="4" w:space="0"/>
              <w:left w:val="single" w:color="000000" w:sz="4" w:space="0"/>
              <w:bottom w:val="single" w:color="000000" w:sz="4" w:space="0"/>
              <w:right w:val="single" w:color="000000" w:sz="4" w:space="0"/>
            </w:tcBorders>
            <w:noWrap/>
            <w:vAlign w:val="center"/>
          </w:tcPr>
          <w:p w14:paraId="6EAEA24F">
            <w:pPr>
              <w:adjustRightInd w:val="0"/>
              <w:spacing w:line="360" w:lineRule="auto"/>
              <w:jc w:val="center"/>
              <w:rPr>
                <w:kern w:val="0"/>
                <w:sz w:val="24"/>
                <w:highlight w:val="none"/>
              </w:rPr>
            </w:pPr>
            <w:r>
              <w:rPr>
                <w:rFonts w:hint="eastAsia"/>
                <w:kern w:val="0"/>
                <w:sz w:val="24"/>
                <w:highlight w:val="none"/>
              </w:rPr>
              <w:t>高精度N</w:t>
            </w:r>
            <w:r>
              <w:rPr>
                <w:rFonts w:hint="eastAsia"/>
                <w:kern w:val="0"/>
                <w:sz w:val="24"/>
                <w:highlight w:val="none"/>
                <w:vertAlign w:val="subscript"/>
              </w:rPr>
              <w:t>2</w:t>
            </w:r>
            <w:r>
              <w:rPr>
                <w:rFonts w:hint="eastAsia"/>
                <w:kern w:val="0"/>
                <w:sz w:val="24"/>
                <w:highlight w:val="none"/>
              </w:rPr>
              <w:t>O、CO温室气体分析仪</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3C9592EE">
            <w:pPr>
              <w:adjustRightInd w:val="0"/>
              <w:spacing w:line="360" w:lineRule="auto"/>
              <w:jc w:val="center"/>
              <w:rPr>
                <w:kern w:val="0"/>
                <w:sz w:val="24"/>
                <w:highlight w:val="none"/>
              </w:rPr>
            </w:pPr>
            <w:r>
              <w:rPr>
                <w:rFonts w:hint="eastAsia"/>
                <w:kern w:val="0"/>
                <w:sz w:val="24"/>
                <w:highlight w:val="none"/>
              </w:rPr>
              <w:t>PICARRO G5310</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51329365">
            <w:pPr>
              <w:adjustRightInd w:val="0"/>
              <w:spacing w:line="360" w:lineRule="auto"/>
              <w:jc w:val="center"/>
              <w:rPr>
                <w:kern w:val="0"/>
                <w:sz w:val="24"/>
                <w:highlight w:val="none"/>
              </w:rPr>
            </w:pPr>
            <w:r>
              <w:rPr>
                <w:rFonts w:hint="eastAsia"/>
                <w:kern w:val="0"/>
                <w:sz w:val="24"/>
                <w:highlight w:val="none"/>
              </w:rPr>
              <w:t>1</w:t>
            </w:r>
          </w:p>
        </w:tc>
        <w:tc>
          <w:tcPr>
            <w:tcW w:w="801" w:type="dxa"/>
            <w:tcBorders>
              <w:top w:val="single" w:color="000000" w:sz="4" w:space="0"/>
              <w:left w:val="single" w:color="000000" w:sz="4" w:space="0"/>
              <w:bottom w:val="single" w:color="000000" w:sz="4" w:space="0"/>
              <w:right w:val="single" w:color="000000" w:sz="4" w:space="0"/>
            </w:tcBorders>
            <w:noWrap/>
            <w:vAlign w:val="center"/>
          </w:tcPr>
          <w:p w14:paraId="1C4D68DA">
            <w:pPr>
              <w:adjustRightInd w:val="0"/>
              <w:spacing w:line="360" w:lineRule="auto"/>
              <w:jc w:val="center"/>
              <w:rPr>
                <w:kern w:val="0"/>
                <w:sz w:val="24"/>
                <w:highlight w:val="none"/>
              </w:rPr>
            </w:pPr>
            <w:r>
              <w:rPr>
                <w:rFonts w:hint="eastAsia"/>
                <w:kern w:val="0"/>
                <w:sz w:val="24"/>
                <w:highlight w:val="none"/>
              </w:rPr>
              <w:t>台</w:t>
            </w:r>
          </w:p>
        </w:tc>
      </w:tr>
      <w:tr w14:paraId="6B59451A">
        <w:tblPrEx>
          <w:tblCellMar>
            <w:top w:w="0" w:type="dxa"/>
            <w:left w:w="108" w:type="dxa"/>
            <w:bottom w:w="0" w:type="dxa"/>
            <w:right w:w="108" w:type="dxa"/>
          </w:tblCellMar>
        </w:tblPrEx>
        <w:trPr>
          <w:trHeight w:val="567" w:hRule="atLeast"/>
          <w:jc w:val="center"/>
        </w:trPr>
        <w:tc>
          <w:tcPr>
            <w:tcW w:w="919" w:type="dxa"/>
            <w:tcBorders>
              <w:top w:val="single" w:color="000000" w:sz="4" w:space="0"/>
              <w:left w:val="single" w:color="000000" w:sz="4" w:space="0"/>
              <w:bottom w:val="single" w:color="000000" w:sz="4" w:space="0"/>
              <w:right w:val="single" w:color="000000" w:sz="4" w:space="0"/>
            </w:tcBorders>
            <w:noWrap/>
            <w:vAlign w:val="center"/>
          </w:tcPr>
          <w:p w14:paraId="311278E5">
            <w:pPr>
              <w:adjustRightInd w:val="0"/>
              <w:spacing w:line="360" w:lineRule="auto"/>
              <w:jc w:val="center"/>
              <w:rPr>
                <w:kern w:val="0"/>
                <w:sz w:val="24"/>
                <w:highlight w:val="none"/>
              </w:rPr>
            </w:pPr>
            <w:r>
              <w:rPr>
                <w:rFonts w:hint="eastAsia"/>
                <w:kern w:val="0"/>
                <w:sz w:val="24"/>
                <w:highlight w:val="none"/>
              </w:rPr>
              <w:t>2</w:t>
            </w:r>
          </w:p>
        </w:tc>
        <w:tc>
          <w:tcPr>
            <w:tcW w:w="3527" w:type="dxa"/>
            <w:tcBorders>
              <w:top w:val="single" w:color="000000" w:sz="4" w:space="0"/>
              <w:left w:val="single" w:color="000000" w:sz="4" w:space="0"/>
              <w:bottom w:val="single" w:color="000000" w:sz="4" w:space="0"/>
              <w:right w:val="single" w:color="000000" w:sz="4" w:space="0"/>
            </w:tcBorders>
            <w:noWrap/>
            <w:vAlign w:val="center"/>
          </w:tcPr>
          <w:p w14:paraId="2CB4ABA8">
            <w:pPr>
              <w:adjustRightInd w:val="0"/>
              <w:spacing w:line="360" w:lineRule="auto"/>
              <w:jc w:val="center"/>
              <w:rPr>
                <w:kern w:val="0"/>
                <w:sz w:val="24"/>
                <w:highlight w:val="none"/>
              </w:rPr>
            </w:pPr>
            <w:r>
              <w:rPr>
                <w:rFonts w:hint="eastAsia"/>
                <w:kern w:val="0"/>
                <w:sz w:val="24"/>
                <w:highlight w:val="none"/>
              </w:rPr>
              <w:t>流量计</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2A2A03EE">
            <w:pPr>
              <w:adjustRightInd w:val="0"/>
              <w:spacing w:line="360" w:lineRule="auto"/>
              <w:jc w:val="center"/>
              <w:rPr>
                <w:kern w:val="0"/>
                <w:sz w:val="24"/>
                <w:highlight w:val="none"/>
              </w:rPr>
            </w:pPr>
            <w:r>
              <w:rPr>
                <w:rFonts w:hint="eastAsia"/>
                <w:kern w:val="0"/>
                <w:sz w:val="24"/>
                <w:highlight w:val="none"/>
              </w:rPr>
              <w:t>Omega FLR1202</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28E58845">
            <w:pPr>
              <w:adjustRightInd w:val="0"/>
              <w:spacing w:line="360" w:lineRule="auto"/>
              <w:jc w:val="center"/>
              <w:rPr>
                <w:kern w:val="0"/>
                <w:sz w:val="24"/>
                <w:highlight w:val="none"/>
              </w:rPr>
            </w:pPr>
            <w:r>
              <w:rPr>
                <w:rFonts w:hint="eastAsia"/>
                <w:kern w:val="0"/>
                <w:sz w:val="24"/>
                <w:highlight w:val="none"/>
              </w:rPr>
              <w:t>1</w:t>
            </w:r>
          </w:p>
        </w:tc>
        <w:tc>
          <w:tcPr>
            <w:tcW w:w="801" w:type="dxa"/>
            <w:tcBorders>
              <w:top w:val="single" w:color="000000" w:sz="4" w:space="0"/>
              <w:left w:val="single" w:color="000000" w:sz="4" w:space="0"/>
              <w:bottom w:val="single" w:color="000000" w:sz="4" w:space="0"/>
              <w:right w:val="single" w:color="000000" w:sz="4" w:space="0"/>
            </w:tcBorders>
            <w:noWrap/>
            <w:vAlign w:val="center"/>
          </w:tcPr>
          <w:p w14:paraId="08A98B7F">
            <w:pPr>
              <w:adjustRightInd w:val="0"/>
              <w:spacing w:line="360" w:lineRule="auto"/>
              <w:jc w:val="center"/>
              <w:rPr>
                <w:kern w:val="0"/>
                <w:sz w:val="24"/>
                <w:highlight w:val="none"/>
              </w:rPr>
            </w:pPr>
            <w:r>
              <w:rPr>
                <w:rFonts w:hint="eastAsia"/>
                <w:kern w:val="0"/>
                <w:sz w:val="24"/>
                <w:highlight w:val="none"/>
              </w:rPr>
              <w:t>台</w:t>
            </w:r>
          </w:p>
        </w:tc>
      </w:tr>
      <w:tr w14:paraId="135515F2">
        <w:tblPrEx>
          <w:tblCellMar>
            <w:top w:w="0" w:type="dxa"/>
            <w:left w:w="108" w:type="dxa"/>
            <w:bottom w:w="0" w:type="dxa"/>
            <w:right w:w="108" w:type="dxa"/>
          </w:tblCellMar>
        </w:tblPrEx>
        <w:trPr>
          <w:trHeight w:val="567" w:hRule="atLeast"/>
          <w:jc w:val="center"/>
        </w:trPr>
        <w:tc>
          <w:tcPr>
            <w:tcW w:w="919" w:type="dxa"/>
            <w:tcBorders>
              <w:top w:val="single" w:color="000000" w:sz="4" w:space="0"/>
              <w:left w:val="single" w:color="000000" w:sz="4" w:space="0"/>
              <w:bottom w:val="single" w:color="000000" w:sz="4" w:space="0"/>
              <w:right w:val="single" w:color="000000" w:sz="4" w:space="0"/>
            </w:tcBorders>
            <w:noWrap/>
            <w:vAlign w:val="center"/>
          </w:tcPr>
          <w:p w14:paraId="5ABCD89A">
            <w:pPr>
              <w:adjustRightInd w:val="0"/>
              <w:spacing w:line="360" w:lineRule="auto"/>
              <w:jc w:val="center"/>
              <w:rPr>
                <w:kern w:val="0"/>
                <w:sz w:val="24"/>
                <w:highlight w:val="none"/>
              </w:rPr>
            </w:pPr>
            <w:r>
              <w:rPr>
                <w:rFonts w:hint="eastAsia"/>
                <w:kern w:val="0"/>
                <w:sz w:val="24"/>
                <w:highlight w:val="none"/>
              </w:rPr>
              <w:t>3</w:t>
            </w:r>
          </w:p>
        </w:tc>
        <w:tc>
          <w:tcPr>
            <w:tcW w:w="3527" w:type="dxa"/>
            <w:tcBorders>
              <w:top w:val="single" w:color="000000" w:sz="4" w:space="0"/>
              <w:left w:val="single" w:color="000000" w:sz="4" w:space="0"/>
              <w:bottom w:val="single" w:color="000000" w:sz="4" w:space="0"/>
              <w:right w:val="single" w:color="000000" w:sz="4" w:space="0"/>
            </w:tcBorders>
            <w:noWrap/>
            <w:vAlign w:val="center"/>
          </w:tcPr>
          <w:p w14:paraId="19CE63FD">
            <w:pPr>
              <w:adjustRightInd w:val="0"/>
              <w:spacing w:line="360" w:lineRule="auto"/>
              <w:jc w:val="center"/>
              <w:rPr>
                <w:kern w:val="0"/>
                <w:sz w:val="24"/>
                <w:highlight w:val="none"/>
              </w:rPr>
            </w:pPr>
            <w:r>
              <w:rPr>
                <w:rFonts w:hint="eastAsia"/>
                <w:kern w:val="0"/>
                <w:sz w:val="24"/>
                <w:highlight w:val="none"/>
              </w:rPr>
              <w:t>8口阀</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1DDEA4CC">
            <w:pPr>
              <w:adjustRightInd w:val="0"/>
              <w:spacing w:line="360" w:lineRule="auto"/>
              <w:jc w:val="center"/>
              <w:rPr>
                <w:kern w:val="0"/>
                <w:sz w:val="24"/>
                <w:highlight w:val="none"/>
              </w:rPr>
            </w:pPr>
            <w:r>
              <w:rPr>
                <w:rFonts w:hint="eastAsia"/>
                <w:kern w:val="0"/>
                <w:sz w:val="24"/>
                <w:highlight w:val="none"/>
              </w:rPr>
              <w:t>VICI 1/8 8通道</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0164EF52">
            <w:pPr>
              <w:adjustRightInd w:val="0"/>
              <w:spacing w:line="360" w:lineRule="auto"/>
              <w:jc w:val="center"/>
              <w:rPr>
                <w:kern w:val="0"/>
                <w:sz w:val="24"/>
                <w:highlight w:val="none"/>
              </w:rPr>
            </w:pPr>
            <w:r>
              <w:rPr>
                <w:rFonts w:hint="eastAsia"/>
                <w:kern w:val="0"/>
                <w:sz w:val="24"/>
                <w:highlight w:val="none"/>
              </w:rPr>
              <w:t>1</w:t>
            </w:r>
          </w:p>
        </w:tc>
        <w:tc>
          <w:tcPr>
            <w:tcW w:w="801" w:type="dxa"/>
            <w:tcBorders>
              <w:top w:val="single" w:color="000000" w:sz="4" w:space="0"/>
              <w:left w:val="single" w:color="000000" w:sz="4" w:space="0"/>
              <w:bottom w:val="single" w:color="000000" w:sz="4" w:space="0"/>
              <w:right w:val="single" w:color="000000" w:sz="4" w:space="0"/>
            </w:tcBorders>
            <w:noWrap/>
            <w:vAlign w:val="center"/>
          </w:tcPr>
          <w:p w14:paraId="183DBBAA">
            <w:pPr>
              <w:adjustRightInd w:val="0"/>
              <w:spacing w:line="360" w:lineRule="auto"/>
              <w:jc w:val="center"/>
              <w:rPr>
                <w:kern w:val="0"/>
                <w:sz w:val="24"/>
                <w:highlight w:val="none"/>
              </w:rPr>
            </w:pPr>
            <w:r>
              <w:rPr>
                <w:rFonts w:hint="eastAsia"/>
                <w:kern w:val="0"/>
                <w:sz w:val="24"/>
                <w:highlight w:val="none"/>
              </w:rPr>
              <w:t>个</w:t>
            </w:r>
          </w:p>
        </w:tc>
      </w:tr>
    </w:tbl>
    <w:p w14:paraId="423791D5">
      <w:pPr>
        <w:adjustRightInd w:val="0"/>
        <w:spacing w:line="360" w:lineRule="auto"/>
        <w:rPr>
          <w:sz w:val="24"/>
          <w:highlight w:val="none"/>
        </w:rPr>
      </w:pPr>
    </w:p>
    <w:p w14:paraId="68E2815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b/>
          <w:sz w:val="24"/>
          <w:highlight w:val="none"/>
        </w:rPr>
      </w:pPr>
      <w:r>
        <w:rPr>
          <w:rFonts w:hint="eastAsia" w:ascii="宋体" w:hAnsi="宋体" w:cs="宋体"/>
          <w:b/>
          <w:sz w:val="24"/>
          <w:highlight w:val="none"/>
        </w:rPr>
        <w:t>二、运维技术服务要求</w:t>
      </w:r>
    </w:p>
    <w:p w14:paraId="5487D5FE">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textAlignment w:val="auto"/>
        <w:rPr>
          <w:rFonts w:hint="eastAsia" w:ascii="宋体" w:hAnsi="宋体" w:cs="宋体"/>
          <w:b/>
          <w:bCs/>
          <w:sz w:val="24"/>
          <w:highlight w:val="none"/>
        </w:rPr>
      </w:pPr>
      <w:r>
        <w:rPr>
          <w:rFonts w:hint="eastAsia" w:ascii="宋体" w:hAnsi="宋体" w:cs="宋体"/>
          <w:b/>
          <w:bCs/>
          <w:sz w:val="24"/>
          <w:highlight w:val="none"/>
        </w:rPr>
        <w:t>（一）项目实施规范</w:t>
      </w:r>
    </w:p>
    <w:p w14:paraId="7A295BB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参考《环境空气温室气体及其示踪物（CO</w:t>
      </w:r>
      <w:r>
        <w:rPr>
          <w:rFonts w:hint="eastAsia" w:ascii="宋体" w:hAnsi="宋体" w:cs="宋体"/>
          <w:bCs/>
          <w:sz w:val="24"/>
          <w:highlight w:val="none"/>
          <w:vertAlign w:val="subscript"/>
        </w:rPr>
        <w:t>2</w:t>
      </w:r>
      <w:r>
        <w:rPr>
          <w:rFonts w:hint="eastAsia" w:ascii="宋体" w:hAnsi="宋体" w:cs="宋体"/>
          <w:bCs/>
          <w:sz w:val="24"/>
          <w:highlight w:val="none"/>
        </w:rPr>
        <w:t>、CH</w:t>
      </w:r>
      <w:r>
        <w:rPr>
          <w:rFonts w:hint="eastAsia" w:ascii="宋体" w:hAnsi="宋体" w:cs="宋体"/>
          <w:bCs/>
          <w:sz w:val="24"/>
          <w:highlight w:val="none"/>
          <w:vertAlign w:val="subscript"/>
        </w:rPr>
        <w:t>4</w:t>
      </w:r>
      <w:r>
        <w:rPr>
          <w:rFonts w:hint="eastAsia" w:ascii="宋体" w:hAnsi="宋体" w:cs="宋体"/>
          <w:bCs/>
          <w:sz w:val="24"/>
          <w:highlight w:val="none"/>
        </w:rPr>
        <w:t>、N</w:t>
      </w:r>
      <w:r>
        <w:rPr>
          <w:rFonts w:hint="eastAsia" w:ascii="宋体" w:hAnsi="宋体" w:cs="宋体"/>
          <w:bCs/>
          <w:sz w:val="24"/>
          <w:highlight w:val="none"/>
          <w:vertAlign w:val="subscript"/>
        </w:rPr>
        <w:t>2</w:t>
      </w:r>
      <w:r>
        <w:rPr>
          <w:rFonts w:hint="eastAsia" w:ascii="宋体" w:hAnsi="宋体" w:cs="宋体"/>
          <w:bCs/>
          <w:sz w:val="24"/>
          <w:highlight w:val="none"/>
        </w:rPr>
        <w:t>O和CO）光腔衰荡光谱法连续自动监测系统运行和质控技术指南（第一版）》、《环境空气温室气体及其示踪物（CO</w:t>
      </w:r>
      <w:r>
        <w:rPr>
          <w:rFonts w:hint="eastAsia" w:ascii="宋体" w:hAnsi="宋体" w:cs="宋体"/>
          <w:bCs/>
          <w:sz w:val="24"/>
          <w:highlight w:val="none"/>
          <w:vertAlign w:val="subscript"/>
        </w:rPr>
        <w:t>2</w:t>
      </w:r>
      <w:r>
        <w:rPr>
          <w:rFonts w:hint="eastAsia" w:ascii="宋体" w:hAnsi="宋体" w:cs="宋体"/>
          <w:bCs/>
          <w:sz w:val="24"/>
          <w:highlight w:val="none"/>
        </w:rPr>
        <w:t>、CH</w:t>
      </w:r>
      <w:r>
        <w:rPr>
          <w:rFonts w:hint="eastAsia" w:ascii="宋体" w:hAnsi="宋体" w:cs="宋体"/>
          <w:bCs/>
          <w:sz w:val="24"/>
          <w:highlight w:val="none"/>
          <w:vertAlign w:val="subscript"/>
        </w:rPr>
        <w:t>4</w:t>
      </w:r>
      <w:r>
        <w:rPr>
          <w:rFonts w:hint="eastAsia" w:ascii="宋体" w:hAnsi="宋体" w:cs="宋体"/>
          <w:bCs/>
          <w:sz w:val="24"/>
          <w:highlight w:val="none"/>
        </w:rPr>
        <w:t>、N</w:t>
      </w:r>
      <w:r>
        <w:rPr>
          <w:rFonts w:hint="eastAsia" w:ascii="宋体" w:hAnsi="宋体" w:cs="宋体"/>
          <w:bCs/>
          <w:sz w:val="24"/>
          <w:highlight w:val="none"/>
          <w:vertAlign w:val="subscript"/>
        </w:rPr>
        <w:t>2</w:t>
      </w:r>
      <w:r>
        <w:rPr>
          <w:rFonts w:hint="eastAsia" w:ascii="宋体" w:hAnsi="宋体" w:cs="宋体"/>
          <w:bCs/>
          <w:sz w:val="24"/>
          <w:highlight w:val="none"/>
        </w:rPr>
        <w:t>O和CO）连续自动监测采样系统技术要求（第一版）》、《环境空气温室气体（CO</w:t>
      </w:r>
      <w:r>
        <w:rPr>
          <w:rFonts w:hint="eastAsia" w:ascii="宋体" w:hAnsi="宋体" w:cs="宋体"/>
          <w:bCs/>
          <w:sz w:val="24"/>
          <w:highlight w:val="none"/>
          <w:vertAlign w:val="subscript"/>
        </w:rPr>
        <w:t>2</w:t>
      </w:r>
      <w:r>
        <w:rPr>
          <w:rFonts w:hint="eastAsia" w:ascii="宋体" w:hAnsi="宋体" w:cs="宋体"/>
          <w:bCs/>
          <w:sz w:val="24"/>
          <w:highlight w:val="none"/>
        </w:rPr>
        <w:t>、CH</w:t>
      </w:r>
      <w:r>
        <w:rPr>
          <w:rFonts w:hint="eastAsia" w:ascii="宋体" w:hAnsi="宋体" w:cs="宋体"/>
          <w:bCs/>
          <w:sz w:val="24"/>
          <w:highlight w:val="none"/>
          <w:vertAlign w:val="subscript"/>
        </w:rPr>
        <w:t>4</w:t>
      </w:r>
      <w:r>
        <w:rPr>
          <w:rFonts w:hint="eastAsia" w:ascii="宋体" w:hAnsi="宋体" w:cs="宋体"/>
          <w:bCs/>
          <w:sz w:val="24"/>
          <w:highlight w:val="none"/>
        </w:rPr>
        <w:t>、N</w:t>
      </w:r>
      <w:r>
        <w:rPr>
          <w:rFonts w:hint="eastAsia" w:ascii="宋体" w:hAnsi="宋体" w:cs="宋体"/>
          <w:bCs/>
          <w:sz w:val="24"/>
          <w:highlight w:val="none"/>
          <w:vertAlign w:val="subscript"/>
        </w:rPr>
        <w:t>2</w:t>
      </w:r>
      <w:r>
        <w:rPr>
          <w:rFonts w:hint="eastAsia" w:ascii="宋体" w:hAnsi="宋体" w:cs="宋体"/>
          <w:bCs/>
          <w:sz w:val="24"/>
          <w:highlight w:val="none"/>
        </w:rPr>
        <w:t>O）光腔衰荡光谱法连续自动监测系统运行和质控技术规范》（T/HZAEPI 005-2024）等要求进行运行维护及管理。</w:t>
      </w:r>
    </w:p>
    <w:p w14:paraId="1FB18C80">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textAlignment w:val="auto"/>
        <w:rPr>
          <w:rFonts w:hint="eastAsia" w:ascii="宋体" w:hAnsi="宋体" w:cs="宋体"/>
          <w:b/>
          <w:bCs/>
          <w:sz w:val="24"/>
          <w:highlight w:val="none"/>
        </w:rPr>
      </w:pPr>
      <w:r>
        <w:rPr>
          <w:rFonts w:hint="eastAsia" w:ascii="宋体" w:hAnsi="宋体" w:cs="宋体"/>
          <w:b/>
          <w:bCs/>
          <w:sz w:val="24"/>
          <w:highlight w:val="none"/>
        </w:rPr>
        <w:t>（二）总体要求</w:t>
      </w:r>
    </w:p>
    <w:p w14:paraId="7967C35E">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textAlignment w:val="auto"/>
        <w:rPr>
          <w:rFonts w:hint="eastAsia" w:ascii="宋体" w:hAnsi="宋体" w:cs="宋体"/>
          <w:b/>
          <w:bCs/>
          <w:sz w:val="24"/>
          <w:highlight w:val="none"/>
        </w:rPr>
      </w:pPr>
      <w:r>
        <w:rPr>
          <w:rFonts w:hint="eastAsia" w:ascii="宋体" w:hAnsi="宋体" w:cs="宋体"/>
          <w:b/>
          <w:bCs/>
          <w:sz w:val="24"/>
          <w:highlight w:val="none"/>
        </w:rPr>
        <w:t>1、对运维单位的要求：</w:t>
      </w:r>
    </w:p>
    <w:p w14:paraId="1CBEE82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1.1投标人要求聘用足够的专业技术人员，专业技术人员队伍应保持相对稳定，并提供聘用合同。应至少为本项目配置3名具有2年以上相关运维工作经验的专业技术人员（1名为项目负责人，1名为设备运维人员，1名为数据审核人员）和1辆运维车辆。运维车辆必须为项目专用。</w:t>
      </w:r>
    </w:p>
    <w:p w14:paraId="62DE1070">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textAlignment w:val="auto"/>
        <w:rPr>
          <w:rFonts w:hint="eastAsia" w:ascii="宋体" w:hAnsi="宋体" w:cs="宋体"/>
          <w:b/>
          <w:sz w:val="24"/>
          <w:highlight w:val="none"/>
        </w:rPr>
      </w:pPr>
      <w:r>
        <w:rPr>
          <w:rFonts w:hint="eastAsia" w:ascii="宋体" w:hAnsi="宋体" w:cs="宋体"/>
          <w:b/>
          <w:sz w:val="24"/>
          <w:highlight w:val="none"/>
        </w:rPr>
        <w:t>项目团队人员要求：</w:t>
      </w:r>
    </w:p>
    <w:p w14:paraId="7C298FD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1）项目负责人：具有2年以上相关项目管理经验；</w:t>
      </w:r>
    </w:p>
    <w:p w14:paraId="617F642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2）项目团队成员：不少于3人，具有2年以上相关运维工作经验的专业技术人员，其中高精度温室气体监测网络运维人员需具备光腔衰荡光谱分析仪运行及维护经验，能敏感识别仪器和数据异常情况；数据审核人员需具有高精度温室气体监测数据审核工作经验。</w:t>
      </w:r>
    </w:p>
    <w:p w14:paraId="6F31DF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1.2投标人应配备专用工具，包括笔记本电脑、万用表、流量计、工具包及常用零部件等；投标人应为运维和数据审核人员配备专用笔记本电脑和打印机等办公设施，以满足运维和数据审核需求。</w:t>
      </w:r>
    </w:p>
    <w:p w14:paraId="674C4F6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1.3投标人应为本项目配备足够的专用温室气体标气，满足高精度温室气体监测设备的质控要求，应溯源至我国温室气体测量基准标尺，并在有效期内使用；</w:t>
      </w:r>
    </w:p>
    <w:p w14:paraId="758E7B1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1.4投标人应掌握本项目所含高精度温室气体监测网络所有仪器的运行特性，运行维护专业技术人员必须掌握本项目所含主要分析仪器的日常维护、质量控制、数据审核和常见故障诊断方法。</w:t>
      </w:r>
    </w:p>
    <w:p w14:paraId="7614A09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1.5投标人应提供完整的杭州市高精度温室气体监测网络各站点运维实施方案（含应急事故处理方案），提出解决问题的措施，明确维护方法、周期、内容及技术保障（包含本项目所含主要分析设备的日常维护、质控和常见故障诊断方法）。</w:t>
      </w:r>
    </w:p>
    <w:p w14:paraId="10623B5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1.6投标人有完善的管理制度及技术人员培训制度，指定项目负责人，并组织专职人员负责日常运营及质量管理。</w:t>
      </w:r>
    </w:p>
    <w:p w14:paraId="238B5B2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1.7投标人应严格按照各级环保部门和采购人制订的操作规范和规章制度，对所管理的系统及仪器设备进行规范操作和精心维护及必要维修，保证系统及仪器设备的正常运行，达到采购人提出的系统及仪器设备考核指标要求。未经采购人同意不能以任何形式外包合同规定的运行维护任务。投标人应积极协助采购人完成生态环境部、总站和省中心等对高精度温室气体监测站点运行检查及考核工作。</w:t>
      </w:r>
    </w:p>
    <w:p w14:paraId="3434221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bookmarkStart w:id="11" w:name="_Hlk126592446"/>
      <w:r>
        <w:rPr>
          <w:rFonts w:hint="eastAsia" w:ascii="宋体" w:hAnsi="宋体" w:cs="宋体"/>
          <w:bCs/>
          <w:sz w:val="24"/>
          <w:highlight w:val="none"/>
        </w:rPr>
        <w:t>1.8投标人负责整个项目的所有相关费用，包括系统运行维护的备件、</w:t>
      </w:r>
      <w:bookmarkEnd w:id="11"/>
      <w:r>
        <w:rPr>
          <w:rFonts w:hint="eastAsia" w:ascii="宋体" w:hAnsi="宋体" w:cs="宋体"/>
          <w:bCs/>
          <w:sz w:val="24"/>
          <w:highlight w:val="none"/>
        </w:rPr>
        <w:t>耗材、标气、人工、水电、网络、站房租用、铁塔挂塔费用及其安全相关、设备维修维护所需配件、工具、车辆等费用。</w:t>
      </w:r>
    </w:p>
    <w:p w14:paraId="4F0C6DB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1.9投标人不得以任何形式对高精度温室气体监测网络所涉及的资产进行租用、出售、抵押、转移或处置；在委托运营维护及管理期间，投标人有责任保证上述全部资产的完整、安全并始终处于良好状态。</w:t>
      </w:r>
    </w:p>
    <w:p w14:paraId="2AD93F5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1.10委托运维期间，出现监测数据异常、仪器故障或通讯故障，投标人应在要求时限内处理故障，并将处理结果反馈至采购人。</w:t>
      </w:r>
    </w:p>
    <w:p w14:paraId="6B601292">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textAlignment w:val="auto"/>
        <w:rPr>
          <w:rFonts w:hint="eastAsia" w:ascii="宋体" w:hAnsi="宋体" w:cs="宋体"/>
          <w:b/>
          <w:sz w:val="24"/>
          <w:highlight w:val="none"/>
        </w:rPr>
      </w:pPr>
      <w:r>
        <w:rPr>
          <w:rFonts w:hint="eastAsia" w:ascii="宋体" w:hAnsi="宋体" w:cs="宋体"/>
          <w:b/>
          <w:sz w:val="24"/>
          <w:highlight w:val="none"/>
        </w:rPr>
        <w:t>1.11监测数据保密与网络安全要求</w:t>
      </w:r>
    </w:p>
    <w:p w14:paraId="4A0BC772">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投标人应承担监测数据的保密责任，</w:t>
      </w:r>
      <w:r>
        <w:rPr>
          <w:rFonts w:ascii="宋体" w:hAnsi="宋体" w:cs="宋体"/>
          <w:bCs/>
          <w:sz w:val="24"/>
          <w:highlight w:val="none"/>
        </w:rPr>
        <w:t>应提供完善的数据安全和信息安全管理制度</w:t>
      </w:r>
      <w:r>
        <w:rPr>
          <w:rFonts w:hint="eastAsia" w:ascii="宋体" w:hAnsi="宋体" w:cs="宋体"/>
          <w:bCs/>
          <w:sz w:val="24"/>
          <w:highlight w:val="none"/>
        </w:rPr>
        <w:t>（需要证明材料）</w:t>
      </w:r>
      <w:r>
        <w:rPr>
          <w:rFonts w:ascii="宋体" w:hAnsi="宋体" w:cs="宋体"/>
          <w:bCs/>
          <w:sz w:val="24"/>
          <w:highlight w:val="none"/>
        </w:rPr>
        <w:t>。</w:t>
      </w:r>
    </w:p>
    <w:p w14:paraId="40EF3994">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投标人应按照采购人的要求，报告和传输监测数据，不得以任何方式和渠道向外界传递任何监测数据。</w:t>
      </w:r>
    </w:p>
    <w:p w14:paraId="3480C27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ascii="宋体" w:hAnsi="宋体" w:cs="宋体"/>
          <w:bCs/>
          <w:sz w:val="24"/>
          <w:highlight w:val="none"/>
        </w:rPr>
        <w:t>3</w:t>
      </w:r>
      <w:r>
        <w:rPr>
          <w:rFonts w:hint="eastAsia" w:ascii="宋体" w:hAnsi="宋体" w:cs="宋体"/>
          <w:bCs/>
          <w:sz w:val="24"/>
          <w:highlight w:val="none"/>
        </w:rPr>
        <w:t>）投标人在服务期间发生网络安全重大问题的，应及时向采购人口头报告，随后进行书面报告。</w:t>
      </w:r>
    </w:p>
    <w:p w14:paraId="4AB08DE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ascii="宋体" w:hAnsi="宋体" w:cs="宋体"/>
          <w:bCs/>
          <w:sz w:val="24"/>
          <w:highlight w:val="none"/>
        </w:rPr>
        <w:t>4</w:t>
      </w:r>
      <w:r>
        <w:rPr>
          <w:rFonts w:hint="eastAsia" w:ascii="宋体" w:hAnsi="宋体" w:cs="宋体"/>
          <w:bCs/>
          <w:sz w:val="24"/>
          <w:highlight w:val="none"/>
        </w:rPr>
        <w:t>）投标人不能在境外使用、处理和存储该项目所包含的数据。</w:t>
      </w:r>
    </w:p>
    <w:p w14:paraId="7240550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ascii="宋体" w:hAnsi="宋体" w:cs="宋体"/>
          <w:bCs/>
          <w:sz w:val="24"/>
          <w:highlight w:val="none"/>
        </w:rPr>
        <w:t>5</w:t>
      </w:r>
      <w:r>
        <w:rPr>
          <w:rFonts w:hint="eastAsia" w:ascii="宋体" w:hAnsi="宋体" w:cs="宋体"/>
          <w:bCs/>
          <w:sz w:val="24"/>
          <w:highlight w:val="none"/>
        </w:rPr>
        <w:t>）投标人的项目人员应与采购人签署年度网络安全、保密等协议，项目相关人员离职或调离，应该完成工作交接并留有记录，确保相关人员知晓网络安全管理规定和岗位网络安全责任。</w:t>
      </w:r>
    </w:p>
    <w:p w14:paraId="290B727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bookmarkStart w:id="12" w:name="_Hlk126592474"/>
      <w:r>
        <w:rPr>
          <w:rFonts w:ascii="宋体" w:hAnsi="宋体" w:cs="宋体"/>
          <w:bCs/>
          <w:sz w:val="24"/>
          <w:highlight w:val="none"/>
        </w:rPr>
        <w:t>6</w:t>
      </w:r>
      <w:r>
        <w:rPr>
          <w:rFonts w:hint="eastAsia" w:ascii="宋体" w:hAnsi="宋体" w:cs="宋体"/>
          <w:bCs/>
          <w:sz w:val="24"/>
          <w:highlight w:val="none"/>
        </w:rPr>
        <w:t>）投标人应按照采购人的要求通过安全的方式按照指定的要求传输相关数据到采购人指定的平台。运维期内，投标人承担网络通讯费用，未经采购人书面批准不得私自接入其他网络联通本项目网络。</w:t>
      </w:r>
    </w:p>
    <w:bookmarkEnd w:id="12"/>
    <w:p w14:paraId="3732452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ascii="宋体" w:hAnsi="宋体" w:cs="宋体"/>
          <w:bCs/>
          <w:sz w:val="24"/>
          <w:highlight w:val="none"/>
        </w:rPr>
        <w:t>7</w:t>
      </w:r>
      <w:r>
        <w:rPr>
          <w:rFonts w:hint="eastAsia" w:ascii="宋体" w:hAnsi="宋体" w:cs="宋体"/>
          <w:bCs/>
          <w:sz w:val="24"/>
          <w:highlight w:val="none"/>
        </w:rPr>
        <w:t>）投标人应确保监测设备、数采平台、传输线路、监测数据等各个方面的网络信息安全。</w:t>
      </w:r>
      <w:bookmarkStart w:id="13" w:name="_Hlk126592519"/>
    </w:p>
    <w:p w14:paraId="1E9486F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ascii="宋体" w:hAnsi="宋体" w:cs="宋体"/>
          <w:bCs/>
          <w:sz w:val="24"/>
          <w:highlight w:val="none"/>
        </w:rPr>
        <w:t>8)投标人如违反上述保密规定，采购人有权终止合同，并要求中标方承担相应违约责任，并支付违约金，违约金最高限价为合同金额的20%。本保密义务不因本项目合同期满、解除或终止而终止，除非采购人书面通知投标人解密，否则，投标人在合同终止后仍然负有保密义务。</w:t>
      </w:r>
    </w:p>
    <w:bookmarkEnd w:id="13"/>
    <w:p w14:paraId="4309C336">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contextualSpacing/>
        <w:textAlignment w:val="auto"/>
        <w:rPr>
          <w:rFonts w:hint="eastAsia" w:ascii="宋体" w:hAnsi="宋体" w:cs="宋体"/>
          <w:b/>
          <w:bCs/>
          <w:sz w:val="24"/>
          <w:highlight w:val="none"/>
        </w:rPr>
      </w:pPr>
      <w:r>
        <w:rPr>
          <w:rFonts w:hint="eastAsia" w:ascii="宋体" w:hAnsi="宋体" w:cs="宋体"/>
          <w:b/>
          <w:bCs/>
          <w:sz w:val="24"/>
          <w:highlight w:val="none"/>
        </w:rPr>
        <w:t>2、高精度温室气体监测网络运维工作基本要求：</w:t>
      </w:r>
    </w:p>
    <w:p w14:paraId="6892CB8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日常运维工作包括但不限于：</w:t>
      </w:r>
    </w:p>
    <w:p w14:paraId="6296DCD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2.1子站日常巡检</w:t>
      </w:r>
    </w:p>
    <w:p w14:paraId="50A4474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应对子站站房及辅助设备定期巡检，每两周至少巡检1次，巡检工作主要包括：</w:t>
      </w:r>
    </w:p>
    <w:p w14:paraId="494E663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a)检查站房内温度是否保持在25℃±5℃，建议24小时变化幅度不超过±2℃，相对湿度保持在80%以下。在冬、夏季节应注意站房内外温差，及时调整站房温度或对采样管采取适当的温控措施，防止因温差造成采样装置出现冷凝水的现象。</w:t>
      </w:r>
    </w:p>
    <w:p w14:paraId="5FB3875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b)检查采样管进气、排气是否正常。检查抽气泵工作是否正常，检查进气总流量，采样流量是否正常；若配有阀箱，应检查阀箱是否正常，多口阀切换是否正常；检查前端多级除水装置是否正常。若配有阀箱，应检查阀箱是否正常，多口阀切换是否正常。</w:t>
      </w:r>
    </w:p>
    <w:p w14:paraId="055C2C7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c)检查站房排风排气装置工作是否正常，站房内有无异味。</w:t>
      </w:r>
    </w:p>
    <w:p w14:paraId="3C23720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d)检查标气瓶是否漏气，检查标气消耗情况，压力值接近500psi时需更换标气瓶。检查标气瓶二级分压是否在正常范围（一般在15-20psi）内，并与样气进样压力保持一致。若分析仪测量水汽浓度，则应检查标气水汽浓度值（一般在0-0.008%），如出现水汽浓度值显著增高，应检查瓶阀、管路、进样系统是否漏气。</w:t>
      </w:r>
    </w:p>
    <w:p w14:paraId="36D96BD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e)检查数据采集、传输与网络通讯是否正常。</w:t>
      </w:r>
    </w:p>
    <w:p w14:paraId="4E0B5BB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f)检查各种运维工具、仪器耗材、备件是否完好齐全。</w:t>
      </w:r>
    </w:p>
    <w:p w14:paraId="24CA6D4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g)检查空调、电源等辅助设备的运行状况是否正常，检查站房空调机的过滤网是否清洁，必要时进行清洗。</w:t>
      </w:r>
    </w:p>
    <w:p w14:paraId="04CFD31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h)检查各种消防、安全设施是否完好齐全。</w:t>
      </w:r>
    </w:p>
    <w:p w14:paraId="33E1714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i)对站房周围的杂草和积水应及时清除，对监测有影响的树枝应及时进行剪除。</w:t>
      </w:r>
    </w:p>
    <w:p w14:paraId="6AC3371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j)检查避雷设施是否正常，子站房屋是否有漏雨现象。</w:t>
      </w:r>
    </w:p>
    <w:p w14:paraId="5E252AB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k)每年检查采样塔、采样管线等辅助设施。</w:t>
      </w:r>
    </w:p>
    <w:p w14:paraId="52E4CBF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l)记录巡检情况。</w:t>
      </w:r>
    </w:p>
    <w:p w14:paraId="2E722EA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2.2监测仪器设备日常维护</w:t>
      </w:r>
    </w:p>
    <w:p w14:paraId="6D75A28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应对监测子站的仪器设备进行定期维护，主要内容包括：</w:t>
      </w:r>
    </w:p>
    <w:p w14:paraId="54E8DC4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a)每日远程查看监测数据及仪器工作状态参数，发现异常时，应及时至现场进行故障检测及排除。</w:t>
      </w:r>
    </w:p>
    <w:p w14:paraId="045845E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b)每次运维进行仪器、数据采集系统时钟检查，确保时钟偏差不超过30秒。应注意时区设置情况，监测仪器可使用自带时区，数据采集系统应使用北京时区。</w:t>
      </w:r>
    </w:p>
    <w:p w14:paraId="497F414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c)每次运维检查仪器配备的干燥系统等，包括设备工作状态参数、干燥后水汽浓度、耗材使用情况、积水情况等，及时维护、更换耗材。</w:t>
      </w:r>
    </w:p>
    <w:p w14:paraId="31F92D9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d)每季度检查抽气泵泵膜、阀片，必要时更换；每年至少更换1次。</w:t>
      </w:r>
    </w:p>
    <w:p w14:paraId="3F57EFE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e)每季度使用检漏液对气路正压部分进行气密性检查，负压部分采用在管路接口附近释放高浓度 CO</w:t>
      </w:r>
      <w:r>
        <w:rPr>
          <w:rFonts w:hint="eastAsia" w:ascii="宋体" w:hAnsi="宋体" w:cs="宋体"/>
          <w:bCs/>
          <w:sz w:val="24"/>
          <w:highlight w:val="none"/>
          <w:vertAlign w:val="subscript"/>
        </w:rPr>
        <w:t>2</w:t>
      </w:r>
      <w:r>
        <w:rPr>
          <w:rFonts w:hint="eastAsia" w:ascii="宋体" w:hAnsi="宋体" w:cs="宋体"/>
          <w:bCs/>
          <w:sz w:val="24"/>
          <w:highlight w:val="none"/>
        </w:rPr>
        <w:t>的方式进行检漏。</w:t>
      </w:r>
    </w:p>
    <w:p w14:paraId="2B9B1AC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注：使用检漏液查看连接处是否漏气，漏气则有气泡出现；检漏液必须使用对连接处无腐蚀、无污染的专用液体。</w:t>
      </w:r>
    </w:p>
    <w:p w14:paraId="786018E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f)根据仪器说明书的要求，定期更换和清洁仪器设备中的过滤装置。采样入口处和采样管路中的过滤器至少每年更换1次，颗粒物浓度较高地区或浓度较高季节，应视颗粒物过滤膜实际污染情况加大更换频次。</w:t>
      </w:r>
    </w:p>
    <w:p w14:paraId="19A8BF2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g)每年清洁1次室外采样管，每次清洁后，应进行检漏测试。</w:t>
      </w:r>
    </w:p>
    <w:p w14:paraId="79BABFB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注：（1）使用超纯水冲洗，并用大流量泵抽干（连续抽 0.5 天），抽干后分析仪水汽含量测定应&lt;0.05%。（2）检漏测试方法为将采样管上的一个支路接头接上压力计，并将其他支路接头和采样口封死，然后抽真空至大约1.25hPa，将抽气口密封，使整个采样系统不与外界相通，15 分钟内真空度不应有变化。</w:t>
      </w:r>
    </w:p>
    <w:p w14:paraId="0C58D8C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h)根据仪器说明书的要求，定期检查、清洗、更换仪器重要部件。</w:t>
      </w:r>
    </w:p>
    <w:p w14:paraId="4781C860">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cs="宋体"/>
          <w:b/>
          <w:sz w:val="24"/>
          <w:highlight w:val="none"/>
        </w:rPr>
      </w:pPr>
      <w:r>
        <w:rPr>
          <w:rFonts w:hint="eastAsia" w:ascii="宋体" w:hAnsi="宋体" w:cs="宋体"/>
          <w:b/>
          <w:sz w:val="24"/>
          <w:highlight w:val="none"/>
        </w:rPr>
        <w:t>3、服务保障</w:t>
      </w:r>
    </w:p>
    <w:p w14:paraId="58F0E28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3.1投标人应建立一套完善的服务管理体系，明确维护方法、周期、内容及技术保障等。</w:t>
      </w:r>
    </w:p>
    <w:p w14:paraId="2C2FB5E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3.2运维技术人员每日查看仪器运行状况、工作参数、数据采集和传输情况是否正常（网络查看）。每日12点前完成前一日数据审核，整理各台仪器前一日的运行情况，并形成记录表汇报结果。</w:t>
      </w:r>
    </w:p>
    <w:p w14:paraId="3D623CB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sz w:val="24"/>
          <w:highlight w:val="none"/>
        </w:rPr>
        <w:t>3.3</w:t>
      </w:r>
      <w:r>
        <w:rPr>
          <w:rFonts w:ascii="宋体" w:hAnsi="宋体" w:cs="宋体"/>
          <w:bCs/>
          <w:sz w:val="24"/>
          <w:highlight w:val="none"/>
        </w:rPr>
        <w:t>投标人应保证</w:t>
      </w:r>
      <w:r>
        <w:rPr>
          <w:rFonts w:hint="eastAsia" w:ascii="宋体" w:hAnsi="宋体" w:cs="宋体"/>
          <w:sz w:val="24"/>
          <w:highlight w:val="none"/>
        </w:rPr>
        <w:t>服务与技术支持响应及时、解决问题迅速</w:t>
      </w:r>
      <w:r>
        <w:rPr>
          <w:rFonts w:ascii="宋体" w:hAnsi="宋体" w:cs="宋体"/>
          <w:sz w:val="24"/>
          <w:highlight w:val="none"/>
        </w:rPr>
        <w:t>，并提供承诺函，承诺</w:t>
      </w:r>
      <w:r>
        <w:rPr>
          <w:rFonts w:hint="eastAsia" w:ascii="宋体" w:hAnsi="宋体" w:cs="宋体"/>
          <w:bCs/>
          <w:sz w:val="24"/>
          <w:highlight w:val="none"/>
        </w:rPr>
        <w:t>出现监测数据异常、仪器故障或通讯故障</w:t>
      </w:r>
      <w:r>
        <w:rPr>
          <w:rFonts w:ascii="宋体" w:hAnsi="宋体" w:cs="宋体"/>
          <w:bCs/>
          <w:sz w:val="24"/>
          <w:highlight w:val="none"/>
        </w:rPr>
        <w:t>等异常情况时</w:t>
      </w:r>
      <w:r>
        <w:rPr>
          <w:rFonts w:hint="eastAsia" w:ascii="宋体" w:hAnsi="宋体" w:cs="宋体"/>
          <w:bCs/>
          <w:sz w:val="24"/>
          <w:highlight w:val="none"/>
        </w:rPr>
        <w:t>，提出排查方案并于12小时内完成故障处理，若远程无法排查时，24小时内前往现场解决并将信息反馈采购人；故障严重不能及时解决时，应关闭故障仪器的数据采集通道并告知采购人。如不能在72小时内排除故障，应更换备机，故障设备应及时修复，并做好相应的仪器质控工作和维修记录</w:t>
      </w:r>
      <w:r>
        <w:rPr>
          <w:rFonts w:ascii="宋体" w:hAnsi="宋体" w:cs="宋体"/>
          <w:bCs/>
          <w:sz w:val="24"/>
          <w:highlight w:val="none"/>
        </w:rPr>
        <w:t>。</w:t>
      </w:r>
    </w:p>
    <w:p w14:paraId="7CC0954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3.4在运维期间，仪器故障由投标人负责修复。在维修过程中，未经采购人同意，不能随意从其他设备拆卸零件。维修过程中发现问题应及时汇报。</w:t>
      </w:r>
    </w:p>
    <w:p w14:paraId="032C436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3.5故障处理措施：投标人必须提供完善的故障处理预案。</w:t>
      </w:r>
    </w:p>
    <w:p w14:paraId="5422824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3.6认真及时做好各类记录，包括：</w:t>
      </w:r>
    </w:p>
    <w:p w14:paraId="4AED096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①监测子站巡检记录表</w:t>
      </w:r>
    </w:p>
    <w:p w14:paraId="028DBD7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②仪器运行状况检查记录表</w:t>
      </w:r>
    </w:p>
    <w:p w14:paraId="12A9141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③仪器校准记录表</w:t>
      </w:r>
    </w:p>
    <w:p w14:paraId="7B742B6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④故障处理记录表</w:t>
      </w:r>
    </w:p>
    <w:p w14:paraId="32B284C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⑤标气更换记录表</w:t>
      </w:r>
    </w:p>
    <w:p w14:paraId="059CCF7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3.7每月（季）运维结束后提交月（季）度运维总结报告，全年运维结束后提交年度运维总结报告。运维总结报告至少包括系统运行维护情况、运行质控工作日志、设备故障及维修情况、数据有效获取率统计及缺失情况说明、总结及改进措施。</w:t>
      </w:r>
    </w:p>
    <w:p w14:paraId="6BD0B84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3.8配合浙江省杭州生态环境监测中心、浙江省生态环境监测中心、中国环境监测总站等进行站点质量保证和质量控制检查工作，随时接受其工作考核及质量考核。配合浙江省杭州生态环境监测中心完成其他相关工作。</w:t>
      </w:r>
    </w:p>
    <w:p w14:paraId="413ACC78">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cs="宋体"/>
          <w:b/>
          <w:sz w:val="24"/>
          <w:highlight w:val="none"/>
        </w:rPr>
      </w:pPr>
      <w:r>
        <w:rPr>
          <w:rFonts w:hint="eastAsia" w:ascii="宋体" w:hAnsi="宋体" w:cs="宋体"/>
          <w:b/>
          <w:sz w:val="24"/>
          <w:highlight w:val="none"/>
        </w:rPr>
        <w:t>4、数据审核</w:t>
      </w:r>
    </w:p>
    <w:p w14:paraId="07C2EC7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每日12点前完成前一日平台数据审核，整理各台仪器前一日的运行情况，并形成记录表汇报结果。</w:t>
      </w:r>
    </w:p>
    <w:p w14:paraId="5BF74988">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cs="宋体"/>
          <w:b/>
          <w:sz w:val="24"/>
          <w:highlight w:val="none"/>
        </w:rPr>
      </w:pPr>
      <w:r>
        <w:rPr>
          <w:rFonts w:hint="eastAsia" w:ascii="宋体" w:hAnsi="宋体" w:cs="宋体"/>
          <w:b/>
          <w:sz w:val="24"/>
          <w:highlight w:val="none"/>
        </w:rPr>
        <w:t>5、数据要求</w:t>
      </w:r>
    </w:p>
    <w:p w14:paraId="38CCC33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单站点有效数据获取率应达到85%以上。</w:t>
      </w:r>
    </w:p>
    <w:p w14:paraId="226AFD63">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cs="宋体"/>
          <w:b/>
          <w:sz w:val="24"/>
          <w:highlight w:val="none"/>
        </w:rPr>
      </w:pPr>
      <w:r>
        <w:rPr>
          <w:rFonts w:hint="eastAsia" w:ascii="宋体" w:hAnsi="宋体" w:cs="宋体"/>
          <w:b/>
          <w:sz w:val="24"/>
          <w:highlight w:val="none"/>
        </w:rPr>
        <w:t>6、汇报总结</w:t>
      </w:r>
    </w:p>
    <w:p w14:paraId="7D878CF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6.1每月召开运维工作交流会，交流总结子站运行情况、运维工作开展情况、故障处理情况、数据异常原因分析等内容。</w:t>
      </w:r>
    </w:p>
    <w:p w14:paraId="5437BCF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6.2月（季）度运维总结报告：每月15日前提供一份上月（季）运维总结报告。</w:t>
      </w:r>
      <w:bookmarkStart w:id="14" w:name="_Hlk119487231"/>
      <w:r>
        <w:rPr>
          <w:rFonts w:hint="eastAsia" w:ascii="宋体" w:hAnsi="宋体" w:cs="宋体"/>
          <w:bCs/>
          <w:sz w:val="24"/>
          <w:highlight w:val="none"/>
        </w:rPr>
        <w:t xml:space="preserve"> </w:t>
      </w:r>
    </w:p>
    <w:bookmarkEnd w:id="14"/>
    <w:p w14:paraId="795841E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6.3项目总结报告：项目结束后10日内提供一份项目总结报告。</w:t>
      </w:r>
    </w:p>
    <w:p w14:paraId="49E4A796">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b/>
          <w:sz w:val="24"/>
          <w:highlight w:val="none"/>
        </w:rPr>
      </w:pPr>
      <w:r>
        <w:rPr>
          <w:rFonts w:hint="eastAsia" w:ascii="宋体" w:hAnsi="宋体" w:cs="宋体"/>
          <w:b/>
          <w:sz w:val="24"/>
          <w:highlight w:val="none"/>
        </w:rPr>
        <w:t>（三）考核要求</w:t>
      </w:r>
    </w:p>
    <w:p w14:paraId="63FE04B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采购人组织开展运维管理和质控考核，对达不到运维要求或违规操作的，扣减相应的运维费，并有权终止运维合同。</w:t>
      </w:r>
    </w:p>
    <w:p w14:paraId="2308283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1、考核办法</w:t>
      </w:r>
    </w:p>
    <w:p w14:paraId="0AFC8FB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bCs/>
          <w:sz w:val="24"/>
          <w:highlight w:val="none"/>
        </w:rPr>
      </w:pPr>
      <w:r>
        <w:rPr>
          <w:rFonts w:ascii="宋体" w:hAnsi="宋体" w:cs="宋体"/>
          <w:bCs/>
          <w:sz w:val="24"/>
          <w:highlight w:val="none"/>
        </w:rPr>
        <w:t>分两次</w:t>
      </w:r>
      <w:r>
        <w:rPr>
          <w:rFonts w:hint="eastAsia" w:ascii="宋体" w:hAnsi="宋体" w:cs="宋体"/>
          <w:bCs/>
          <w:sz w:val="24"/>
          <w:highlight w:val="none"/>
        </w:rPr>
        <w:t>组织开展运维管理和质控考核</w:t>
      </w:r>
      <w:r>
        <w:rPr>
          <w:rFonts w:ascii="宋体" w:hAnsi="宋体" w:cs="宋体"/>
          <w:bCs/>
          <w:sz w:val="24"/>
          <w:highlight w:val="none"/>
        </w:rPr>
        <w:t>，</w:t>
      </w:r>
      <w:r>
        <w:rPr>
          <w:rFonts w:hint="eastAsia" w:ascii="宋体" w:hAnsi="宋体" w:cs="宋体"/>
          <w:bCs/>
          <w:sz w:val="24"/>
          <w:highlight w:val="none"/>
        </w:rPr>
        <w:t>考核采取百分制、单站考核的方式，主要包括单个站点有效数据获取率和运行维护的内容。</w:t>
      </w:r>
    </w:p>
    <w:p w14:paraId="16232ED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单站点考核结果均在 80分（含）以上的，支付</w:t>
      </w:r>
      <w:r>
        <w:rPr>
          <w:rFonts w:ascii="宋体" w:hAnsi="宋体" w:cs="宋体"/>
          <w:bCs/>
          <w:sz w:val="24"/>
          <w:highlight w:val="none"/>
        </w:rPr>
        <w:t>考核时间段</w:t>
      </w:r>
      <w:r>
        <w:rPr>
          <w:rFonts w:hint="eastAsia" w:ascii="宋体" w:hAnsi="宋体" w:cs="宋体"/>
          <w:bCs/>
          <w:sz w:val="24"/>
          <w:highlight w:val="none"/>
        </w:rPr>
        <w:t>运维费；</w:t>
      </w:r>
    </w:p>
    <w:p w14:paraId="5EC988A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单站点考核结果在70分（含）以上，80分以下，为初级警告，扣除全部站点</w:t>
      </w:r>
      <w:r>
        <w:rPr>
          <w:rFonts w:ascii="宋体" w:hAnsi="宋体" w:cs="宋体"/>
          <w:bCs/>
          <w:sz w:val="24"/>
          <w:highlight w:val="none"/>
        </w:rPr>
        <w:t>考核时间段</w:t>
      </w:r>
      <w:r>
        <w:rPr>
          <w:rFonts w:hint="eastAsia" w:ascii="宋体" w:hAnsi="宋体" w:cs="宋体"/>
          <w:bCs/>
          <w:sz w:val="24"/>
          <w:highlight w:val="none"/>
        </w:rPr>
        <w:t>整体运维费的</w:t>
      </w:r>
      <w:r>
        <w:rPr>
          <w:rFonts w:ascii="宋体" w:hAnsi="宋体" w:cs="宋体"/>
          <w:bCs/>
          <w:sz w:val="24"/>
          <w:highlight w:val="none"/>
        </w:rPr>
        <w:t>5</w:t>
      </w:r>
      <w:r>
        <w:rPr>
          <w:rFonts w:hint="eastAsia" w:ascii="宋体" w:hAnsi="宋体" w:cs="宋体"/>
          <w:bCs/>
          <w:sz w:val="24"/>
          <w:highlight w:val="none"/>
        </w:rPr>
        <w:t>%，并责令整改；</w:t>
      </w:r>
    </w:p>
    <w:p w14:paraId="748C93F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单站点考核结果在60分（含）以上，70分以下，为二级警告，扣除全部站点</w:t>
      </w:r>
      <w:r>
        <w:rPr>
          <w:rFonts w:ascii="宋体" w:hAnsi="宋体" w:cs="宋体"/>
          <w:bCs/>
          <w:sz w:val="24"/>
          <w:highlight w:val="none"/>
        </w:rPr>
        <w:t>考核时间段</w:t>
      </w:r>
      <w:r>
        <w:rPr>
          <w:rFonts w:hint="eastAsia" w:ascii="宋体" w:hAnsi="宋体" w:cs="宋体"/>
          <w:bCs/>
          <w:sz w:val="24"/>
          <w:highlight w:val="none"/>
        </w:rPr>
        <w:t>整体运维费的</w:t>
      </w:r>
      <w:r>
        <w:rPr>
          <w:rFonts w:ascii="宋体" w:hAnsi="宋体" w:cs="宋体"/>
          <w:bCs/>
          <w:sz w:val="24"/>
          <w:highlight w:val="none"/>
        </w:rPr>
        <w:t>15</w:t>
      </w:r>
      <w:r>
        <w:rPr>
          <w:rFonts w:hint="eastAsia" w:ascii="宋体" w:hAnsi="宋体" w:cs="宋体"/>
          <w:bCs/>
          <w:sz w:val="24"/>
          <w:highlight w:val="none"/>
        </w:rPr>
        <w:t>%，并责令整改；</w:t>
      </w:r>
    </w:p>
    <w:p w14:paraId="501512A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单站点考核结果在60分以下，扣除全部站点</w:t>
      </w:r>
      <w:r>
        <w:rPr>
          <w:rFonts w:ascii="宋体" w:hAnsi="宋体" w:cs="宋体"/>
          <w:bCs/>
          <w:sz w:val="24"/>
          <w:highlight w:val="none"/>
        </w:rPr>
        <w:t>考核时间段</w:t>
      </w:r>
      <w:r>
        <w:rPr>
          <w:rFonts w:hint="eastAsia" w:ascii="宋体" w:hAnsi="宋体" w:cs="宋体"/>
          <w:bCs/>
          <w:sz w:val="24"/>
          <w:highlight w:val="none"/>
        </w:rPr>
        <w:t>整体运维费的</w:t>
      </w:r>
      <w:r>
        <w:rPr>
          <w:rFonts w:ascii="宋体" w:hAnsi="宋体" w:cs="宋体"/>
          <w:bCs/>
          <w:sz w:val="24"/>
          <w:highlight w:val="none"/>
        </w:rPr>
        <w:t>3</w:t>
      </w:r>
      <w:r>
        <w:rPr>
          <w:rFonts w:hint="eastAsia" w:ascii="宋体" w:hAnsi="宋体" w:cs="宋体"/>
          <w:bCs/>
          <w:sz w:val="24"/>
          <w:highlight w:val="none"/>
        </w:rPr>
        <w:t>0%，并责令整改；</w:t>
      </w:r>
    </w:p>
    <w:p w14:paraId="5379FCE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highlight w:val="none"/>
        </w:rPr>
      </w:pPr>
      <w:r>
        <w:rPr>
          <w:rFonts w:hint="eastAsia" w:ascii="宋体" w:hAnsi="宋体" w:cs="宋体"/>
          <w:bCs/>
          <w:sz w:val="24"/>
          <w:highlight w:val="none"/>
        </w:rPr>
        <w:t>如有三个及以上站点考核结果在80分以下，扣除全部站点</w:t>
      </w:r>
      <w:r>
        <w:rPr>
          <w:rFonts w:ascii="宋体" w:hAnsi="宋体" w:cs="宋体"/>
          <w:bCs/>
          <w:sz w:val="24"/>
          <w:highlight w:val="none"/>
        </w:rPr>
        <w:t>考核时间段</w:t>
      </w:r>
      <w:r>
        <w:rPr>
          <w:rFonts w:hint="eastAsia" w:ascii="宋体" w:hAnsi="宋体" w:cs="宋体"/>
          <w:bCs/>
          <w:sz w:val="24"/>
          <w:highlight w:val="none"/>
        </w:rPr>
        <w:t>运维费，并责令整改，且采购人有权取消运维合同。</w:t>
      </w:r>
    </w:p>
    <w:p w14:paraId="09E8923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b/>
          <w:sz w:val="24"/>
          <w:highlight w:val="none"/>
        </w:rPr>
      </w:pPr>
      <w:r>
        <w:rPr>
          <w:rFonts w:hint="eastAsia" w:ascii="宋体" w:hAnsi="宋体" w:cs="宋体"/>
          <w:b/>
          <w:sz w:val="24"/>
          <w:highlight w:val="none"/>
        </w:rPr>
        <w:t>三、其他规定</w:t>
      </w:r>
    </w:p>
    <w:p w14:paraId="3A3D654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textAlignment w:val="auto"/>
        <w:rPr>
          <w:rFonts w:hint="eastAsia" w:ascii="宋体" w:hAnsi="宋体" w:cs="宋体"/>
          <w:bCs/>
          <w:sz w:val="24"/>
          <w:highlight w:val="none"/>
        </w:rPr>
      </w:pPr>
      <w:r>
        <w:rPr>
          <w:rFonts w:hint="eastAsia" w:ascii="宋体" w:hAnsi="宋体" w:cs="宋体"/>
          <w:bCs/>
          <w:sz w:val="24"/>
          <w:highlight w:val="none"/>
        </w:rPr>
        <w:t>投标人有下列情形之一的，扣除相应站点</w:t>
      </w:r>
      <w:r>
        <w:rPr>
          <w:rFonts w:ascii="宋体" w:hAnsi="宋体" w:cs="宋体"/>
          <w:bCs/>
          <w:sz w:val="24"/>
          <w:highlight w:val="none"/>
        </w:rPr>
        <w:t>考核时间段</w:t>
      </w:r>
      <w:r>
        <w:rPr>
          <w:rFonts w:hint="eastAsia" w:ascii="宋体" w:hAnsi="宋体" w:cs="宋体"/>
          <w:bCs/>
          <w:sz w:val="24"/>
          <w:highlight w:val="none"/>
        </w:rPr>
        <w:t>运维经费：拖延、阻碍、拒绝质量检查或飞行检查的；发现采样、分析、数据采集和传输等过程人为干扰，未按要求及时向采购人报告的；因工作疏漏，未发现采样、分析、数据采集和传输等过程人为干扰的；其他不履行规定职责的情形。若情节严重，采购人有权终止运维合同。</w:t>
      </w:r>
    </w:p>
    <w:p w14:paraId="60640C58">
      <w:pPr>
        <w:adjustRightInd w:val="0"/>
        <w:spacing w:line="360" w:lineRule="auto"/>
        <w:contextualSpacing/>
        <w:jc w:val="center"/>
        <w:rPr>
          <w:b/>
          <w:sz w:val="24"/>
          <w:highlight w:val="none"/>
        </w:rPr>
      </w:pPr>
      <w:r>
        <w:rPr>
          <w:b/>
          <w:sz w:val="24"/>
          <w:highlight w:val="none"/>
        </w:rPr>
        <w:t>表6 杭州市高精度温室气体监测网络运行管理考核表</w:t>
      </w:r>
    </w:p>
    <w:p w14:paraId="793A6FD8">
      <w:pPr>
        <w:adjustRightInd w:val="0"/>
        <w:spacing w:line="360" w:lineRule="auto"/>
        <w:contextualSpacing/>
        <w:jc w:val="center"/>
        <w:rPr>
          <w:b/>
          <w:sz w:val="24"/>
          <w:highlight w:val="none"/>
        </w:rPr>
      </w:pPr>
      <w:r>
        <w:rPr>
          <w:b/>
          <w:sz w:val="24"/>
          <w:highlight w:val="none"/>
        </w:rPr>
        <w:t>（202  年第  季度）</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322"/>
        <w:gridCol w:w="1187"/>
        <w:gridCol w:w="1714"/>
        <w:gridCol w:w="1514"/>
        <w:gridCol w:w="1227"/>
        <w:gridCol w:w="1167"/>
      </w:tblGrid>
      <w:tr w14:paraId="6FB0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tcBorders>
              <w:tl2br w:val="single" w:color="auto" w:sz="4" w:space="0"/>
            </w:tcBorders>
            <w:vAlign w:val="center"/>
          </w:tcPr>
          <w:p w14:paraId="51E1B68A">
            <w:pPr>
              <w:adjustRightInd w:val="0"/>
              <w:snapToGrid w:val="0"/>
              <w:spacing w:line="360" w:lineRule="auto"/>
              <w:ind w:firstLine="480" w:firstLineChars="200"/>
              <w:rPr>
                <w:kern w:val="0"/>
                <w:sz w:val="24"/>
                <w:highlight w:val="none"/>
              </w:rPr>
            </w:pPr>
            <w:r>
              <w:rPr>
                <w:rFonts w:hint="eastAsia"/>
                <w:kern w:val="0"/>
                <w:sz w:val="24"/>
                <w:highlight w:val="none"/>
              </w:rPr>
              <w:t>项目</w:t>
            </w:r>
          </w:p>
          <w:p w14:paraId="5B24BCC0">
            <w:pPr>
              <w:adjustRightInd w:val="0"/>
              <w:snapToGrid w:val="0"/>
              <w:spacing w:line="360" w:lineRule="auto"/>
              <w:rPr>
                <w:sz w:val="24"/>
                <w:highlight w:val="none"/>
              </w:rPr>
            </w:pPr>
            <w:r>
              <w:rPr>
                <w:rFonts w:hint="eastAsia"/>
                <w:sz w:val="24"/>
                <w:highlight w:val="none"/>
              </w:rPr>
              <w:t>站点</w:t>
            </w:r>
          </w:p>
        </w:tc>
        <w:tc>
          <w:tcPr>
            <w:tcW w:w="1322" w:type="dxa"/>
            <w:vAlign w:val="center"/>
          </w:tcPr>
          <w:p w14:paraId="2B69EBD1">
            <w:pPr>
              <w:adjustRightInd w:val="0"/>
              <w:snapToGrid w:val="0"/>
              <w:spacing w:line="360" w:lineRule="auto"/>
              <w:jc w:val="center"/>
              <w:rPr>
                <w:kern w:val="0"/>
                <w:sz w:val="24"/>
                <w:highlight w:val="none"/>
              </w:rPr>
            </w:pPr>
            <w:r>
              <w:rPr>
                <w:rFonts w:hint="eastAsia"/>
                <w:kern w:val="0"/>
                <w:sz w:val="24"/>
                <w:highlight w:val="none"/>
              </w:rPr>
              <w:t>站房与环境</w:t>
            </w:r>
          </w:p>
          <w:p w14:paraId="19887124">
            <w:pPr>
              <w:adjustRightInd w:val="0"/>
              <w:snapToGrid w:val="0"/>
              <w:spacing w:line="360" w:lineRule="auto"/>
              <w:rPr>
                <w:kern w:val="0"/>
                <w:sz w:val="24"/>
                <w:highlight w:val="none"/>
              </w:rPr>
            </w:pPr>
            <w:r>
              <w:rPr>
                <w:rFonts w:hint="eastAsia"/>
                <w:kern w:val="0"/>
                <w:sz w:val="24"/>
                <w:highlight w:val="none"/>
              </w:rPr>
              <w:t>（15分）</w:t>
            </w:r>
          </w:p>
        </w:tc>
        <w:tc>
          <w:tcPr>
            <w:tcW w:w="1187" w:type="dxa"/>
            <w:vAlign w:val="center"/>
          </w:tcPr>
          <w:p w14:paraId="22693F1B">
            <w:pPr>
              <w:adjustRightInd w:val="0"/>
              <w:snapToGrid w:val="0"/>
              <w:spacing w:line="360" w:lineRule="auto"/>
              <w:jc w:val="center"/>
              <w:rPr>
                <w:kern w:val="0"/>
                <w:sz w:val="24"/>
                <w:highlight w:val="none"/>
              </w:rPr>
            </w:pPr>
            <w:r>
              <w:rPr>
                <w:rFonts w:hint="eastAsia"/>
                <w:kern w:val="0"/>
                <w:sz w:val="24"/>
                <w:highlight w:val="none"/>
              </w:rPr>
              <w:t>仪器性能</w:t>
            </w:r>
          </w:p>
          <w:p w14:paraId="3AA6BE29">
            <w:pPr>
              <w:adjustRightInd w:val="0"/>
              <w:snapToGrid w:val="0"/>
              <w:spacing w:line="360" w:lineRule="auto"/>
              <w:jc w:val="center"/>
              <w:rPr>
                <w:kern w:val="0"/>
                <w:sz w:val="24"/>
                <w:highlight w:val="none"/>
              </w:rPr>
            </w:pPr>
            <w:r>
              <w:rPr>
                <w:rFonts w:hint="eastAsia"/>
                <w:kern w:val="0"/>
                <w:sz w:val="24"/>
                <w:highlight w:val="none"/>
              </w:rPr>
              <w:t>（25分）</w:t>
            </w:r>
          </w:p>
        </w:tc>
        <w:tc>
          <w:tcPr>
            <w:tcW w:w="1714" w:type="dxa"/>
            <w:vAlign w:val="center"/>
          </w:tcPr>
          <w:p w14:paraId="29D9EC15">
            <w:pPr>
              <w:adjustRightInd w:val="0"/>
              <w:snapToGrid w:val="0"/>
              <w:spacing w:line="360" w:lineRule="auto"/>
              <w:jc w:val="center"/>
              <w:rPr>
                <w:kern w:val="0"/>
                <w:sz w:val="24"/>
                <w:highlight w:val="none"/>
              </w:rPr>
            </w:pPr>
            <w:r>
              <w:rPr>
                <w:rFonts w:hint="eastAsia"/>
                <w:kern w:val="0"/>
                <w:sz w:val="24"/>
                <w:highlight w:val="none"/>
              </w:rPr>
              <w:t>有效数据获取率</w:t>
            </w:r>
          </w:p>
          <w:p w14:paraId="2842BC85">
            <w:pPr>
              <w:adjustRightInd w:val="0"/>
              <w:snapToGrid w:val="0"/>
              <w:spacing w:line="360" w:lineRule="auto"/>
              <w:jc w:val="center"/>
              <w:rPr>
                <w:kern w:val="0"/>
                <w:sz w:val="24"/>
                <w:highlight w:val="none"/>
              </w:rPr>
            </w:pPr>
            <w:r>
              <w:rPr>
                <w:rFonts w:hint="eastAsia"/>
                <w:kern w:val="0"/>
                <w:sz w:val="24"/>
                <w:highlight w:val="none"/>
              </w:rPr>
              <w:t>（15分）</w:t>
            </w:r>
          </w:p>
        </w:tc>
        <w:tc>
          <w:tcPr>
            <w:tcW w:w="1514" w:type="dxa"/>
            <w:vAlign w:val="center"/>
          </w:tcPr>
          <w:p w14:paraId="2346FA75">
            <w:pPr>
              <w:adjustRightInd w:val="0"/>
              <w:snapToGrid w:val="0"/>
              <w:spacing w:line="360" w:lineRule="auto"/>
              <w:jc w:val="center"/>
              <w:rPr>
                <w:kern w:val="0"/>
                <w:sz w:val="24"/>
                <w:highlight w:val="none"/>
              </w:rPr>
            </w:pPr>
            <w:r>
              <w:rPr>
                <w:rFonts w:hint="eastAsia"/>
                <w:kern w:val="0"/>
                <w:sz w:val="24"/>
                <w:highlight w:val="none"/>
              </w:rPr>
              <w:t>数据审核</w:t>
            </w:r>
          </w:p>
          <w:p w14:paraId="7503208F">
            <w:pPr>
              <w:adjustRightInd w:val="0"/>
              <w:snapToGrid w:val="0"/>
              <w:spacing w:line="360" w:lineRule="auto"/>
              <w:jc w:val="center"/>
              <w:rPr>
                <w:kern w:val="0"/>
                <w:sz w:val="24"/>
                <w:highlight w:val="none"/>
              </w:rPr>
            </w:pPr>
            <w:r>
              <w:rPr>
                <w:rFonts w:hint="eastAsia"/>
                <w:kern w:val="0"/>
                <w:sz w:val="24"/>
                <w:highlight w:val="none"/>
              </w:rPr>
              <w:t>（25分）</w:t>
            </w:r>
          </w:p>
        </w:tc>
        <w:tc>
          <w:tcPr>
            <w:tcW w:w="1227" w:type="dxa"/>
            <w:vAlign w:val="center"/>
          </w:tcPr>
          <w:p w14:paraId="140507C9">
            <w:pPr>
              <w:adjustRightInd w:val="0"/>
              <w:snapToGrid w:val="0"/>
              <w:spacing w:line="360" w:lineRule="auto"/>
              <w:jc w:val="center"/>
              <w:rPr>
                <w:kern w:val="0"/>
                <w:sz w:val="24"/>
                <w:highlight w:val="none"/>
              </w:rPr>
            </w:pPr>
            <w:r>
              <w:rPr>
                <w:rFonts w:hint="eastAsia"/>
                <w:kern w:val="0"/>
                <w:sz w:val="24"/>
                <w:highlight w:val="none"/>
              </w:rPr>
              <w:t>记录文档</w:t>
            </w:r>
          </w:p>
          <w:p w14:paraId="20086AFC">
            <w:pPr>
              <w:adjustRightInd w:val="0"/>
              <w:snapToGrid w:val="0"/>
              <w:spacing w:line="360" w:lineRule="auto"/>
              <w:jc w:val="center"/>
              <w:rPr>
                <w:kern w:val="0"/>
                <w:sz w:val="24"/>
                <w:highlight w:val="none"/>
              </w:rPr>
            </w:pPr>
            <w:r>
              <w:rPr>
                <w:rFonts w:hint="eastAsia"/>
                <w:kern w:val="0"/>
                <w:sz w:val="24"/>
                <w:highlight w:val="none"/>
              </w:rPr>
              <w:t>（20分）</w:t>
            </w:r>
          </w:p>
        </w:tc>
        <w:tc>
          <w:tcPr>
            <w:tcW w:w="1167" w:type="dxa"/>
            <w:vAlign w:val="center"/>
          </w:tcPr>
          <w:p w14:paraId="7DFD0B87">
            <w:pPr>
              <w:adjustRightInd w:val="0"/>
              <w:snapToGrid w:val="0"/>
              <w:spacing w:line="360" w:lineRule="auto"/>
              <w:jc w:val="center"/>
              <w:rPr>
                <w:kern w:val="0"/>
                <w:sz w:val="24"/>
                <w:highlight w:val="none"/>
              </w:rPr>
            </w:pPr>
            <w:r>
              <w:rPr>
                <w:rFonts w:hint="eastAsia"/>
                <w:kern w:val="0"/>
                <w:sz w:val="24"/>
                <w:highlight w:val="none"/>
              </w:rPr>
              <w:t>得分</w:t>
            </w:r>
          </w:p>
        </w:tc>
      </w:tr>
      <w:tr w14:paraId="137B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vAlign w:val="center"/>
          </w:tcPr>
          <w:p w14:paraId="54B7ABA7">
            <w:pPr>
              <w:adjustRightInd w:val="0"/>
              <w:snapToGrid w:val="0"/>
              <w:spacing w:line="360" w:lineRule="auto"/>
              <w:jc w:val="center"/>
              <w:rPr>
                <w:kern w:val="0"/>
                <w:sz w:val="24"/>
                <w:highlight w:val="none"/>
              </w:rPr>
            </w:pPr>
            <w:r>
              <w:rPr>
                <w:rFonts w:hint="eastAsia"/>
                <w:kern w:val="0"/>
                <w:sz w:val="24"/>
                <w:highlight w:val="none"/>
              </w:rPr>
              <w:t>景芳站</w:t>
            </w:r>
          </w:p>
        </w:tc>
        <w:tc>
          <w:tcPr>
            <w:tcW w:w="1322" w:type="dxa"/>
            <w:vAlign w:val="center"/>
          </w:tcPr>
          <w:p w14:paraId="25410AC0">
            <w:pPr>
              <w:adjustRightInd w:val="0"/>
              <w:snapToGrid w:val="0"/>
              <w:spacing w:line="360" w:lineRule="auto"/>
              <w:jc w:val="center"/>
              <w:rPr>
                <w:kern w:val="0"/>
                <w:sz w:val="24"/>
                <w:highlight w:val="none"/>
              </w:rPr>
            </w:pPr>
          </w:p>
        </w:tc>
        <w:tc>
          <w:tcPr>
            <w:tcW w:w="1187" w:type="dxa"/>
            <w:vAlign w:val="center"/>
          </w:tcPr>
          <w:p w14:paraId="4B461C80">
            <w:pPr>
              <w:adjustRightInd w:val="0"/>
              <w:snapToGrid w:val="0"/>
              <w:spacing w:line="360" w:lineRule="auto"/>
              <w:jc w:val="center"/>
              <w:rPr>
                <w:kern w:val="0"/>
                <w:sz w:val="24"/>
                <w:highlight w:val="none"/>
              </w:rPr>
            </w:pPr>
          </w:p>
        </w:tc>
        <w:tc>
          <w:tcPr>
            <w:tcW w:w="1714" w:type="dxa"/>
            <w:vAlign w:val="center"/>
          </w:tcPr>
          <w:p w14:paraId="5BC02F8B">
            <w:pPr>
              <w:adjustRightInd w:val="0"/>
              <w:snapToGrid w:val="0"/>
              <w:spacing w:line="360" w:lineRule="auto"/>
              <w:jc w:val="center"/>
              <w:rPr>
                <w:kern w:val="0"/>
                <w:sz w:val="24"/>
                <w:highlight w:val="none"/>
              </w:rPr>
            </w:pPr>
          </w:p>
        </w:tc>
        <w:tc>
          <w:tcPr>
            <w:tcW w:w="1514" w:type="dxa"/>
          </w:tcPr>
          <w:p w14:paraId="76ECC78D">
            <w:pPr>
              <w:adjustRightInd w:val="0"/>
              <w:snapToGrid w:val="0"/>
              <w:spacing w:line="360" w:lineRule="auto"/>
              <w:jc w:val="center"/>
              <w:rPr>
                <w:kern w:val="0"/>
                <w:sz w:val="24"/>
                <w:highlight w:val="none"/>
              </w:rPr>
            </w:pPr>
          </w:p>
        </w:tc>
        <w:tc>
          <w:tcPr>
            <w:tcW w:w="1227" w:type="dxa"/>
          </w:tcPr>
          <w:p w14:paraId="74B0672D">
            <w:pPr>
              <w:adjustRightInd w:val="0"/>
              <w:snapToGrid w:val="0"/>
              <w:spacing w:line="360" w:lineRule="auto"/>
              <w:jc w:val="center"/>
              <w:rPr>
                <w:kern w:val="0"/>
                <w:sz w:val="24"/>
                <w:highlight w:val="none"/>
              </w:rPr>
            </w:pPr>
          </w:p>
        </w:tc>
        <w:tc>
          <w:tcPr>
            <w:tcW w:w="1167" w:type="dxa"/>
          </w:tcPr>
          <w:p w14:paraId="2E732C66">
            <w:pPr>
              <w:adjustRightInd w:val="0"/>
              <w:snapToGrid w:val="0"/>
              <w:spacing w:line="360" w:lineRule="auto"/>
              <w:jc w:val="center"/>
              <w:rPr>
                <w:kern w:val="0"/>
                <w:sz w:val="24"/>
                <w:highlight w:val="none"/>
              </w:rPr>
            </w:pPr>
          </w:p>
        </w:tc>
      </w:tr>
      <w:tr w14:paraId="4ED8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vAlign w:val="center"/>
          </w:tcPr>
          <w:p w14:paraId="7396DD4B">
            <w:pPr>
              <w:adjustRightInd w:val="0"/>
              <w:snapToGrid w:val="0"/>
              <w:spacing w:line="360" w:lineRule="auto"/>
              <w:jc w:val="center"/>
              <w:rPr>
                <w:kern w:val="0"/>
                <w:sz w:val="24"/>
                <w:highlight w:val="none"/>
              </w:rPr>
            </w:pPr>
            <w:r>
              <w:rPr>
                <w:rFonts w:hint="eastAsia"/>
                <w:kern w:val="0"/>
                <w:sz w:val="24"/>
                <w:highlight w:val="none"/>
              </w:rPr>
              <w:t>临平工业区站</w:t>
            </w:r>
          </w:p>
        </w:tc>
        <w:tc>
          <w:tcPr>
            <w:tcW w:w="1322" w:type="dxa"/>
            <w:vAlign w:val="center"/>
          </w:tcPr>
          <w:p w14:paraId="7DB484F2">
            <w:pPr>
              <w:adjustRightInd w:val="0"/>
              <w:snapToGrid w:val="0"/>
              <w:spacing w:line="360" w:lineRule="auto"/>
              <w:jc w:val="center"/>
              <w:rPr>
                <w:kern w:val="0"/>
                <w:sz w:val="24"/>
                <w:highlight w:val="none"/>
              </w:rPr>
            </w:pPr>
          </w:p>
        </w:tc>
        <w:tc>
          <w:tcPr>
            <w:tcW w:w="1187" w:type="dxa"/>
            <w:vAlign w:val="center"/>
          </w:tcPr>
          <w:p w14:paraId="115D3E1D">
            <w:pPr>
              <w:adjustRightInd w:val="0"/>
              <w:snapToGrid w:val="0"/>
              <w:spacing w:line="360" w:lineRule="auto"/>
              <w:jc w:val="center"/>
              <w:rPr>
                <w:kern w:val="0"/>
                <w:sz w:val="24"/>
                <w:highlight w:val="none"/>
              </w:rPr>
            </w:pPr>
          </w:p>
        </w:tc>
        <w:tc>
          <w:tcPr>
            <w:tcW w:w="1714" w:type="dxa"/>
            <w:vAlign w:val="center"/>
          </w:tcPr>
          <w:p w14:paraId="41249E4D">
            <w:pPr>
              <w:adjustRightInd w:val="0"/>
              <w:snapToGrid w:val="0"/>
              <w:spacing w:line="360" w:lineRule="auto"/>
              <w:jc w:val="center"/>
              <w:rPr>
                <w:kern w:val="0"/>
                <w:sz w:val="24"/>
                <w:highlight w:val="none"/>
              </w:rPr>
            </w:pPr>
          </w:p>
        </w:tc>
        <w:tc>
          <w:tcPr>
            <w:tcW w:w="1514" w:type="dxa"/>
          </w:tcPr>
          <w:p w14:paraId="34D9B98E">
            <w:pPr>
              <w:adjustRightInd w:val="0"/>
              <w:snapToGrid w:val="0"/>
              <w:spacing w:line="360" w:lineRule="auto"/>
              <w:jc w:val="center"/>
              <w:rPr>
                <w:kern w:val="0"/>
                <w:sz w:val="24"/>
                <w:highlight w:val="none"/>
              </w:rPr>
            </w:pPr>
          </w:p>
        </w:tc>
        <w:tc>
          <w:tcPr>
            <w:tcW w:w="1227" w:type="dxa"/>
          </w:tcPr>
          <w:p w14:paraId="1FB03E4D">
            <w:pPr>
              <w:adjustRightInd w:val="0"/>
              <w:snapToGrid w:val="0"/>
              <w:spacing w:line="360" w:lineRule="auto"/>
              <w:jc w:val="center"/>
              <w:rPr>
                <w:kern w:val="0"/>
                <w:sz w:val="24"/>
                <w:highlight w:val="none"/>
              </w:rPr>
            </w:pPr>
          </w:p>
        </w:tc>
        <w:tc>
          <w:tcPr>
            <w:tcW w:w="1167" w:type="dxa"/>
          </w:tcPr>
          <w:p w14:paraId="4752CEEA">
            <w:pPr>
              <w:adjustRightInd w:val="0"/>
              <w:snapToGrid w:val="0"/>
              <w:spacing w:line="360" w:lineRule="auto"/>
              <w:jc w:val="center"/>
              <w:rPr>
                <w:kern w:val="0"/>
                <w:sz w:val="24"/>
                <w:highlight w:val="none"/>
              </w:rPr>
            </w:pPr>
          </w:p>
        </w:tc>
      </w:tr>
      <w:tr w14:paraId="07AF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vAlign w:val="center"/>
          </w:tcPr>
          <w:p w14:paraId="69FE3270">
            <w:pPr>
              <w:adjustRightInd w:val="0"/>
              <w:snapToGrid w:val="0"/>
              <w:spacing w:line="360" w:lineRule="auto"/>
              <w:jc w:val="center"/>
              <w:rPr>
                <w:kern w:val="0"/>
                <w:sz w:val="24"/>
                <w:highlight w:val="none"/>
              </w:rPr>
            </w:pPr>
            <w:r>
              <w:rPr>
                <w:rFonts w:hint="eastAsia"/>
                <w:kern w:val="0"/>
                <w:sz w:val="24"/>
                <w:highlight w:val="none"/>
              </w:rPr>
              <w:t>大江东站</w:t>
            </w:r>
          </w:p>
        </w:tc>
        <w:tc>
          <w:tcPr>
            <w:tcW w:w="1322" w:type="dxa"/>
            <w:vAlign w:val="center"/>
          </w:tcPr>
          <w:p w14:paraId="57E1D3DE">
            <w:pPr>
              <w:adjustRightInd w:val="0"/>
              <w:snapToGrid w:val="0"/>
              <w:spacing w:line="360" w:lineRule="auto"/>
              <w:jc w:val="center"/>
              <w:rPr>
                <w:kern w:val="0"/>
                <w:sz w:val="24"/>
                <w:highlight w:val="none"/>
              </w:rPr>
            </w:pPr>
          </w:p>
        </w:tc>
        <w:tc>
          <w:tcPr>
            <w:tcW w:w="1187" w:type="dxa"/>
            <w:vAlign w:val="center"/>
          </w:tcPr>
          <w:p w14:paraId="0D89DC0B">
            <w:pPr>
              <w:adjustRightInd w:val="0"/>
              <w:snapToGrid w:val="0"/>
              <w:spacing w:line="360" w:lineRule="auto"/>
              <w:jc w:val="center"/>
              <w:rPr>
                <w:kern w:val="0"/>
                <w:sz w:val="24"/>
                <w:highlight w:val="none"/>
              </w:rPr>
            </w:pPr>
          </w:p>
        </w:tc>
        <w:tc>
          <w:tcPr>
            <w:tcW w:w="1714" w:type="dxa"/>
            <w:vAlign w:val="center"/>
          </w:tcPr>
          <w:p w14:paraId="7CCB5727">
            <w:pPr>
              <w:adjustRightInd w:val="0"/>
              <w:snapToGrid w:val="0"/>
              <w:spacing w:line="360" w:lineRule="auto"/>
              <w:jc w:val="center"/>
              <w:rPr>
                <w:kern w:val="0"/>
                <w:sz w:val="24"/>
                <w:highlight w:val="none"/>
              </w:rPr>
            </w:pPr>
          </w:p>
        </w:tc>
        <w:tc>
          <w:tcPr>
            <w:tcW w:w="1514" w:type="dxa"/>
          </w:tcPr>
          <w:p w14:paraId="1FDB661C">
            <w:pPr>
              <w:adjustRightInd w:val="0"/>
              <w:snapToGrid w:val="0"/>
              <w:spacing w:line="360" w:lineRule="auto"/>
              <w:jc w:val="center"/>
              <w:rPr>
                <w:kern w:val="0"/>
                <w:sz w:val="24"/>
                <w:highlight w:val="none"/>
              </w:rPr>
            </w:pPr>
          </w:p>
        </w:tc>
        <w:tc>
          <w:tcPr>
            <w:tcW w:w="1227" w:type="dxa"/>
          </w:tcPr>
          <w:p w14:paraId="3EE90C39">
            <w:pPr>
              <w:adjustRightInd w:val="0"/>
              <w:snapToGrid w:val="0"/>
              <w:spacing w:line="360" w:lineRule="auto"/>
              <w:jc w:val="center"/>
              <w:rPr>
                <w:kern w:val="0"/>
                <w:sz w:val="24"/>
                <w:highlight w:val="none"/>
              </w:rPr>
            </w:pPr>
          </w:p>
        </w:tc>
        <w:tc>
          <w:tcPr>
            <w:tcW w:w="1167" w:type="dxa"/>
          </w:tcPr>
          <w:p w14:paraId="0D86CE90">
            <w:pPr>
              <w:adjustRightInd w:val="0"/>
              <w:snapToGrid w:val="0"/>
              <w:spacing w:line="360" w:lineRule="auto"/>
              <w:jc w:val="center"/>
              <w:rPr>
                <w:kern w:val="0"/>
                <w:sz w:val="24"/>
                <w:highlight w:val="none"/>
              </w:rPr>
            </w:pPr>
          </w:p>
        </w:tc>
      </w:tr>
      <w:tr w14:paraId="57D2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tcBorders>
              <w:bottom w:val="single" w:color="auto" w:sz="4" w:space="0"/>
            </w:tcBorders>
            <w:vAlign w:val="center"/>
          </w:tcPr>
          <w:p w14:paraId="62AC7059">
            <w:pPr>
              <w:adjustRightInd w:val="0"/>
              <w:snapToGrid w:val="0"/>
              <w:spacing w:line="360" w:lineRule="auto"/>
              <w:jc w:val="center"/>
              <w:rPr>
                <w:kern w:val="0"/>
                <w:sz w:val="24"/>
                <w:highlight w:val="none"/>
              </w:rPr>
            </w:pPr>
            <w:r>
              <w:rPr>
                <w:rFonts w:hint="eastAsia"/>
                <w:kern w:val="0"/>
                <w:sz w:val="24"/>
                <w:highlight w:val="none"/>
              </w:rPr>
              <w:t>富阳骆村站</w:t>
            </w:r>
          </w:p>
        </w:tc>
        <w:tc>
          <w:tcPr>
            <w:tcW w:w="1322" w:type="dxa"/>
            <w:tcBorders>
              <w:bottom w:val="single" w:color="auto" w:sz="4" w:space="0"/>
            </w:tcBorders>
            <w:vAlign w:val="center"/>
          </w:tcPr>
          <w:p w14:paraId="0C5EF441">
            <w:pPr>
              <w:adjustRightInd w:val="0"/>
              <w:snapToGrid w:val="0"/>
              <w:spacing w:line="360" w:lineRule="auto"/>
              <w:jc w:val="center"/>
              <w:rPr>
                <w:kern w:val="0"/>
                <w:sz w:val="24"/>
                <w:highlight w:val="none"/>
              </w:rPr>
            </w:pPr>
          </w:p>
        </w:tc>
        <w:tc>
          <w:tcPr>
            <w:tcW w:w="1187" w:type="dxa"/>
            <w:tcBorders>
              <w:bottom w:val="single" w:color="auto" w:sz="4" w:space="0"/>
            </w:tcBorders>
            <w:vAlign w:val="center"/>
          </w:tcPr>
          <w:p w14:paraId="31CD2700">
            <w:pPr>
              <w:adjustRightInd w:val="0"/>
              <w:snapToGrid w:val="0"/>
              <w:spacing w:line="360" w:lineRule="auto"/>
              <w:jc w:val="center"/>
              <w:rPr>
                <w:kern w:val="0"/>
                <w:sz w:val="24"/>
                <w:highlight w:val="none"/>
              </w:rPr>
            </w:pPr>
          </w:p>
        </w:tc>
        <w:tc>
          <w:tcPr>
            <w:tcW w:w="1714" w:type="dxa"/>
            <w:tcBorders>
              <w:bottom w:val="single" w:color="auto" w:sz="4" w:space="0"/>
            </w:tcBorders>
            <w:vAlign w:val="center"/>
          </w:tcPr>
          <w:p w14:paraId="265DE61F">
            <w:pPr>
              <w:adjustRightInd w:val="0"/>
              <w:snapToGrid w:val="0"/>
              <w:spacing w:line="360" w:lineRule="auto"/>
              <w:jc w:val="center"/>
              <w:rPr>
                <w:kern w:val="0"/>
                <w:sz w:val="24"/>
                <w:highlight w:val="none"/>
              </w:rPr>
            </w:pPr>
          </w:p>
        </w:tc>
        <w:tc>
          <w:tcPr>
            <w:tcW w:w="1514" w:type="dxa"/>
            <w:tcBorders>
              <w:bottom w:val="single" w:color="auto" w:sz="4" w:space="0"/>
            </w:tcBorders>
          </w:tcPr>
          <w:p w14:paraId="7B51F2CC">
            <w:pPr>
              <w:adjustRightInd w:val="0"/>
              <w:snapToGrid w:val="0"/>
              <w:spacing w:line="360" w:lineRule="auto"/>
              <w:jc w:val="center"/>
              <w:rPr>
                <w:kern w:val="0"/>
                <w:sz w:val="24"/>
                <w:highlight w:val="none"/>
              </w:rPr>
            </w:pPr>
          </w:p>
        </w:tc>
        <w:tc>
          <w:tcPr>
            <w:tcW w:w="1227" w:type="dxa"/>
            <w:tcBorders>
              <w:bottom w:val="single" w:color="auto" w:sz="4" w:space="0"/>
            </w:tcBorders>
          </w:tcPr>
          <w:p w14:paraId="11DC7D84">
            <w:pPr>
              <w:adjustRightInd w:val="0"/>
              <w:snapToGrid w:val="0"/>
              <w:spacing w:line="360" w:lineRule="auto"/>
              <w:jc w:val="center"/>
              <w:rPr>
                <w:kern w:val="0"/>
                <w:sz w:val="24"/>
                <w:highlight w:val="none"/>
              </w:rPr>
            </w:pPr>
          </w:p>
        </w:tc>
        <w:tc>
          <w:tcPr>
            <w:tcW w:w="1167" w:type="dxa"/>
            <w:tcBorders>
              <w:bottom w:val="single" w:color="auto" w:sz="4" w:space="0"/>
            </w:tcBorders>
          </w:tcPr>
          <w:p w14:paraId="52C7D8BD">
            <w:pPr>
              <w:adjustRightInd w:val="0"/>
              <w:snapToGrid w:val="0"/>
              <w:spacing w:line="360" w:lineRule="auto"/>
              <w:jc w:val="center"/>
              <w:rPr>
                <w:kern w:val="0"/>
                <w:sz w:val="24"/>
                <w:highlight w:val="none"/>
              </w:rPr>
            </w:pPr>
          </w:p>
        </w:tc>
      </w:tr>
      <w:tr w14:paraId="10A3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tcBorders>
              <w:bottom w:val="single" w:color="auto" w:sz="4" w:space="0"/>
            </w:tcBorders>
            <w:vAlign w:val="center"/>
          </w:tcPr>
          <w:p w14:paraId="4995964C">
            <w:pPr>
              <w:adjustRightInd w:val="0"/>
              <w:snapToGrid w:val="0"/>
              <w:spacing w:line="360" w:lineRule="auto"/>
              <w:jc w:val="center"/>
              <w:rPr>
                <w:kern w:val="0"/>
                <w:sz w:val="24"/>
                <w:highlight w:val="none"/>
              </w:rPr>
            </w:pPr>
            <w:r>
              <w:rPr>
                <w:rFonts w:hint="eastAsia"/>
                <w:kern w:val="0"/>
                <w:sz w:val="24"/>
                <w:highlight w:val="none"/>
              </w:rPr>
              <w:t>淳安燕山站</w:t>
            </w:r>
          </w:p>
        </w:tc>
        <w:tc>
          <w:tcPr>
            <w:tcW w:w="1322" w:type="dxa"/>
            <w:tcBorders>
              <w:bottom w:val="single" w:color="auto" w:sz="4" w:space="0"/>
            </w:tcBorders>
            <w:vAlign w:val="center"/>
          </w:tcPr>
          <w:p w14:paraId="0AB3C21F">
            <w:pPr>
              <w:adjustRightInd w:val="0"/>
              <w:snapToGrid w:val="0"/>
              <w:spacing w:line="360" w:lineRule="auto"/>
              <w:jc w:val="center"/>
              <w:rPr>
                <w:kern w:val="0"/>
                <w:sz w:val="24"/>
                <w:highlight w:val="none"/>
              </w:rPr>
            </w:pPr>
          </w:p>
        </w:tc>
        <w:tc>
          <w:tcPr>
            <w:tcW w:w="1187" w:type="dxa"/>
            <w:tcBorders>
              <w:bottom w:val="single" w:color="auto" w:sz="4" w:space="0"/>
            </w:tcBorders>
            <w:vAlign w:val="center"/>
          </w:tcPr>
          <w:p w14:paraId="2D2AD0F1">
            <w:pPr>
              <w:adjustRightInd w:val="0"/>
              <w:snapToGrid w:val="0"/>
              <w:spacing w:line="360" w:lineRule="auto"/>
              <w:jc w:val="center"/>
              <w:rPr>
                <w:kern w:val="0"/>
                <w:sz w:val="24"/>
                <w:highlight w:val="none"/>
              </w:rPr>
            </w:pPr>
          </w:p>
        </w:tc>
        <w:tc>
          <w:tcPr>
            <w:tcW w:w="1714" w:type="dxa"/>
            <w:tcBorders>
              <w:bottom w:val="single" w:color="auto" w:sz="4" w:space="0"/>
            </w:tcBorders>
            <w:vAlign w:val="center"/>
          </w:tcPr>
          <w:p w14:paraId="5E9E716F">
            <w:pPr>
              <w:adjustRightInd w:val="0"/>
              <w:snapToGrid w:val="0"/>
              <w:spacing w:line="360" w:lineRule="auto"/>
              <w:jc w:val="center"/>
              <w:rPr>
                <w:kern w:val="0"/>
                <w:sz w:val="24"/>
                <w:highlight w:val="none"/>
              </w:rPr>
            </w:pPr>
          </w:p>
        </w:tc>
        <w:tc>
          <w:tcPr>
            <w:tcW w:w="1514" w:type="dxa"/>
            <w:tcBorders>
              <w:bottom w:val="single" w:color="auto" w:sz="4" w:space="0"/>
            </w:tcBorders>
          </w:tcPr>
          <w:p w14:paraId="7F729EE4">
            <w:pPr>
              <w:adjustRightInd w:val="0"/>
              <w:snapToGrid w:val="0"/>
              <w:spacing w:line="360" w:lineRule="auto"/>
              <w:jc w:val="center"/>
              <w:rPr>
                <w:kern w:val="0"/>
                <w:sz w:val="24"/>
                <w:highlight w:val="none"/>
              </w:rPr>
            </w:pPr>
          </w:p>
        </w:tc>
        <w:tc>
          <w:tcPr>
            <w:tcW w:w="1227" w:type="dxa"/>
            <w:tcBorders>
              <w:bottom w:val="single" w:color="auto" w:sz="4" w:space="0"/>
            </w:tcBorders>
          </w:tcPr>
          <w:p w14:paraId="6B467C6C">
            <w:pPr>
              <w:adjustRightInd w:val="0"/>
              <w:snapToGrid w:val="0"/>
              <w:spacing w:line="360" w:lineRule="auto"/>
              <w:jc w:val="center"/>
              <w:rPr>
                <w:kern w:val="0"/>
                <w:sz w:val="24"/>
                <w:highlight w:val="none"/>
              </w:rPr>
            </w:pPr>
          </w:p>
        </w:tc>
        <w:tc>
          <w:tcPr>
            <w:tcW w:w="1167" w:type="dxa"/>
            <w:tcBorders>
              <w:bottom w:val="single" w:color="auto" w:sz="4" w:space="0"/>
            </w:tcBorders>
          </w:tcPr>
          <w:p w14:paraId="0A203525">
            <w:pPr>
              <w:adjustRightInd w:val="0"/>
              <w:snapToGrid w:val="0"/>
              <w:spacing w:line="360" w:lineRule="auto"/>
              <w:jc w:val="center"/>
              <w:rPr>
                <w:kern w:val="0"/>
                <w:sz w:val="24"/>
                <w:highlight w:val="none"/>
              </w:rPr>
            </w:pPr>
          </w:p>
        </w:tc>
      </w:tr>
      <w:tr w14:paraId="7199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tcBorders>
              <w:bottom w:val="single" w:color="auto" w:sz="4" w:space="0"/>
            </w:tcBorders>
            <w:vAlign w:val="center"/>
          </w:tcPr>
          <w:p w14:paraId="6E7D08DD">
            <w:pPr>
              <w:adjustRightInd w:val="0"/>
              <w:snapToGrid w:val="0"/>
              <w:spacing w:line="360" w:lineRule="auto"/>
              <w:jc w:val="center"/>
              <w:rPr>
                <w:kern w:val="0"/>
                <w:sz w:val="24"/>
                <w:highlight w:val="none"/>
              </w:rPr>
            </w:pPr>
            <w:r>
              <w:rPr>
                <w:rFonts w:hint="eastAsia"/>
                <w:kern w:val="0"/>
                <w:sz w:val="24"/>
                <w:highlight w:val="none"/>
              </w:rPr>
              <w:t>临安大明山站</w:t>
            </w:r>
          </w:p>
        </w:tc>
        <w:tc>
          <w:tcPr>
            <w:tcW w:w="1322" w:type="dxa"/>
            <w:tcBorders>
              <w:bottom w:val="single" w:color="auto" w:sz="4" w:space="0"/>
            </w:tcBorders>
            <w:vAlign w:val="center"/>
          </w:tcPr>
          <w:p w14:paraId="4DC9FDA5">
            <w:pPr>
              <w:adjustRightInd w:val="0"/>
              <w:snapToGrid w:val="0"/>
              <w:spacing w:line="360" w:lineRule="auto"/>
              <w:jc w:val="center"/>
              <w:rPr>
                <w:kern w:val="0"/>
                <w:sz w:val="24"/>
                <w:highlight w:val="none"/>
              </w:rPr>
            </w:pPr>
          </w:p>
        </w:tc>
        <w:tc>
          <w:tcPr>
            <w:tcW w:w="1187" w:type="dxa"/>
            <w:tcBorders>
              <w:bottom w:val="single" w:color="auto" w:sz="4" w:space="0"/>
            </w:tcBorders>
            <w:vAlign w:val="center"/>
          </w:tcPr>
          <w:p w14:paraId="59148A6B">
            <w:pPr>
              <w:adjustRightInd w:val="0"/>
              <w:snapToGrid w:val="0"/>
              <w:spacing w:line="360" w:lineRule="auto"/>
              <w:jc w:val="center"/>
              <w:rPr>
                <w:kern w:val="0"/>
                <w:sz w:val="24"/>
                <w:highlight w:val="none"/>
              </w:rPr>
            </w:pPr>
          </w:p>
        </w:tc>
        <w:tc>
          <w:tcPr>
            <w:tcW w:w="1714" w:type="dxa"/>
            <w:tcBorders>
              <w:bottom w:val="single" w:color="auto" w:sz="4" w:space="0"/>
            </w:tcBorders>
            <w:vAlign w:val="center"/>
          </w:tcPr>
          <w:p w14:paraId="040EFECB">
            <w:pPr>
              <w:adjustRightInd w:val="0"/>
              <w:snapToGrid w:val="0"/>
              <w:spacing w:line="360" w:lineRule="auto"/>
              <w:jc w:val="center"/>
              <w:rPr>
                <w:kern w:val="0"/>
                <w:sz w:val="24"/>
                <w:highlight w:val="none"/>
              </w:rPr>
            </w:pPr>
          </w:p>
        </w:tc>
        <w:tc>
          <w:tcPr>
            <w:tcW w:w="1514" w:type="dxa"/>
            <w:tcBorders>
              <w:bottom w:val="single" w:color="auto" w:sz="4" w:space="0"/>
            </w:tcBorders>
          </w:tcPr>
          <w:p w14:paraId="4E517601">
            <w:pPr>
              <w:adjustRightInd w:val="0"/>
              <w:snapToGrid w:val="0"/>
              <w:spacing w:line="360" w:lineRule="auto"/>
              <w:jc w:val="center"/>
              <w:rPr>
                <w:kern w:val="0"/>
                <w:sz w:val="24"/>
                <w:highlight w:val="none"/>
              </w:rPr>
            </w:pPr>
          </w:p>
        </w:tc>
        <w:tc>
          <w:tcPr>
            <w:tcW w:w="1227" w:type="dxa"/>
            <w:tcBorders>
              <w:bottom w:val="single" w:color="auto" w:sz="4" w:space="0"/>
            </w:tcBorders>
          </w:tcPr>
          <w:p w14:paraId="2628F069">
            <w:pPr>
              <w:adjustRightInd w:val="0"/>
              <w:snapToGrid w:val="0"/>
              <w:spacing w:line="360" w:lineRule="auto"/>
              <w:jc w:val="center"/>
              <w:rPr>
                <w:kern w:val="0"/>
                <w:sz w:val="24"/>
                <w:highlight w:val="none"/>
              </w:rPr>
            </w:pPr>
          </w:p>
        </w:tc>
        <w:tc>
          <w:tcPr>
            <w:tcW w:w="1167" w:type="dxa"/>
            <w:tcBorders>
              <w:bottom w:val="single" w:color="auto" w:sz="4" w:space="0"/>
            </w:tcBorders>
          </w:tcPr>
          <w:p w14:paraId="0B9BC324">
            <w:pPr>
              <w:adjustRightInd w:val="0"/>
              <w:snapToGrid w:val="0"/>
              <w:spacing w:line="360" w:lineRule="auto"/>
              <w:jc w:val="center"/>
              <w:rPr>
                <w:kern w:val="0"/>
                <w:sz w:val="24"/>
                <w:highlight w:val="none"/>
              </w:rPr>
            </w:pPr>
          </w:p>
        </w:tc>
      </w:tr>
      <w:tr w14:paraId="1C1D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8" w:type="dxa"/>
            <w:gridSpan w:val="7"/>
            <w:tcBorders>
              <w:bottom w:val="single" w:color="auto" w:sz="4" w:space="0"/>
            </w:tcBorders>
          </w:tcPr>
          <w:p w14:paraId="38DE53E4">
            <w:pPr>
              <w:adjustRightInd w:val="0"/>
              <w:snapToGrid w:val="0"/>
              <w:spacing w:line="360" w:lineRule="auto"/>
              <w:rPr>
                <w:kern w:val="0"/>
                <w:sz w:val="24"/>
                <w:highlight w:val="none"/>
              </w:rPr>
            </w:pPr>
            <w:r>
              <w:rPr>
                <w:rFonts w:hint="eastAsia"/>
                <w:kern w:val="0"/>
                <w:sz w:val="24"/>
                <w:highlight w:val="none"/>
              </w:rPr>
              <w:t>评分要点：</w:t>
            </w:r>
          </w:p>
          <w:p w14:paraId="444511E4">
            <w:pPr>
              <w:adjustRightInd w:val="0"/>
              <w:snapToGrid w:val="0"/>
              <w:spacing w:line="360" w:lineRule="auto"/>
              <w:rPr>
                <w:kern w:val="0"/>
                <w:sz w:val="24"/>
                <w:highlight w:val="none"/>
              </w:rPr>
            </w:pPr>
            <w:r>
              <w:rPr>
                <w:rFonts w:hint="eastAsia"/>
                <w:kern w:val="0"/>
                <w:sz w:val="24"/>
                <w:highlight w:val="none"/>
              </w:rPr>
              <w:t>1.站房及周边是否保持清洁，水、电、空调等是否满足要求；采样系统设置是否符合相关技术规范要求，根据运维、巡检、校准和质控结果判断打分。</w:t>
            </w:r>
          </w:p>
          <w:p w14:paraId="28CC3D48">
            <w:pPr>
              <w:adjustRightInd w:val="0"/>
              <w:snapToGrid w:val="0"/>
              <w:spacing w:line="360" w:lineRule="auto"/>
              <w:rPr>
                <w:kern w:val="0"/>
                <w:sz w:val="24"/>
                <w:highlight w:val="none"/>
              </w:rPr>
            </w:pPr>
            <w:r>
              <w:rPr>
                <w:rFonts w:hint="eastAsia"/>
                <w:kern w:val="0"/>
                <w:sz w:val="24"/>
                <w:highlight w:val="none"/>
              </w:rPr>
              <w:t>2.仪器性能是否良好，性能测试是否合格，根据运维、巡检、校准和质控结果判断打分。</w:t>
            </w:r>
          </w:p>
          <w:p w14:paraId="3E57CABF">
            <w:pPr>
              <w:adjustRightInd w:val="0"/>
              <w:snapToGrid w:val="0"/>
              <w:spacing w:line="360" w:lineRule="auto"/>
              <w:rPr>
                <w:kern w:val="0"/>
                <w:sz w:val="24"/>
                <w:highlight w:val="none"/>
              </w:rPr>
            </w:pPr>
            <w:r>
              <w:rPr>
                <w:rFonts w:hint="eastAsia"/>
                <w:kern w:val="0"/>
                <w:sz w:val="24"/>
                <w:highlight w:val="none"/>
              </w:rPr>
              <w:t>3.单站点有效数据获取率≥85%，任意一项指标不达标均不得分。</w:t>
            </w:r>
          </w:p>
          <w:p w14:paraId="77D213E4">
            <w:pPr>
              <w:adjustRightInd w:val="0"/>
              <w:snapToGrid w:val="0"/>
              <w:spacing w:line="360" w:lineRule="auto"/>
              <w:rPr>
                <w:kern w:val="0"/>
                <w:sz w:val="24"/>
                <w:highlight w:val="none"/>
              </w:rPr>
            </w:pPr>
            <w:r>
              <w:rPr>
                <w:rFonts w:hint="eastAsia"/>
                <w:kern w:val="0"/>
                <w:sz w:val="24"/>
                <w:highlight w:val="none"/>
              </w:rPr>
              <w:t>4.数据审核是否符合时效要求，对于异常值、无效值的取舍判定是否符合规范。</w:t>
            </w:r>
          </w:p>
          <w:p w14:paraId="4909E830">
            <w:pPr>
              <w:adjustRightInd w:val="0"/>
              <w:snapToGrid w:val="0"/>
              <w:spacing w:line="360" w:lineRule="auto"/>
              <w:rPr>
                <w:kern w:val="0"/>
                <w:sz w:val="24"/>
                <w:highlight w:val="none"/>
              </w:rPr>
            </w:pPr>
            <w:r>
              <w:rPr>
                <w:rFonts w:hint="eastAsia"/>
                <w:kern w:val="0"/>
                <w:sz w:val="24"/>
                <w:highlight w:val="none"/>
              </w:rPr>
              <w:t>5.运维记录、质控校准记录、设备维修记录、运维报告等是否填写完整、规范、及时。</w:t>
            </w:r>
          </w:p>
        </w:tc>
      </w:tr>
    </w:tbl>
    <w:p w14:paraId="278629E3">
      <w:pPr>
        <w:keepNext w:val="0"/>
        <w:keepLines w:val="0"/>
        <w:pageBreakBefore w:val="0"/>
        <w:widowControl w:val="0"/>
        <w:kinsoku/>
        <w:wordWrap/>
        <w:overflowPunct/>
        <w:topLinePunct w:val="0"/>
        <w:autoSpaceDE/>
        <w:autoSpaceDN/>
        <w:bidi w:val="0"/>
        <w:adjustRightInd/>
        <w:snapToGrid/>
        <w:spacing w:after="0" w:line="360" w:lineRule="auto"/>
        <w:contextualSpacing/>
        <w:textAlignment w:val="auto"/>
        <w:rPr>
          <w:kern w:val="0"/>
          <w:sz w:val="24"/>
          <w:highlight w:val="none"/>
        </w:rPr>
      </w:pPr>
      <w:r>
        <w:rPr>
          <w:kern w:val="0"/>
          <w:sz w:val="24"/>
          <w:highlight w:val="none"/>
        </w:rPr>
        <w:br w:type="page"/>
      </w:r>
      <w:r>
        <w:rPr>
          <w:rFonts w:hint="eastAsia"/>
          <w:b/>
          <w:bCs/>
          <w:kern w:val="0"/>
          <w:sz w:val="24"/>
          <w:highlight w:val="none"/>
        </w:rPr>
        <w:t>（二）</w:t>
      </w:r>
      <w:r>
        <w:rPr>
          <w:rFonts w:hint="eastAsia" w:ascii="宋体" w:hAnsi="宋体" w:cs="宋体"/>
          <w:b/>
          <w:bCs/>
          <w:sz w:val="24"/>
          <w:highlight w:val="none"/>
        </w:rPr>
        <w:t>碳通量监测系统运维服务项目采购要求</w:t>
      </w:r>
    </w:p>
    <w:p w14:paraId="6101B88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b/>
          <w:sz w:val="24"/>
          <w:highlight w:val="none"/>
        </w:rPr>
      </w:pPr>
      <w:r>
        <w:rPr>
          <w:rFonts w:hint="eastAsia" w:ascii="宋体" w:hAnsi="宋体" w:cs="宋体"/>
          <w:b/>
          <w:sz w:val="24"/>
          <w:highlight w:val="none"/>
        </w:rPr>
        <w:t>一、项目概况</w:t>
      </w:r>
    </w:p>
    <w:p w14:paraId="1A106BA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kern w:val="28"/>
          <w:sz w:val="24"/>
          <w:highlight w:val="none"/>
          <w:lang w:val="zh-CN"/>
        </w:rPr>
      </w:pPr>
      <w:r>
        <w:rPr>
          <w:rFonts w:hint="eastAsia" w:ascii="宋体" w:hAnsi="宋体" w:cs="宋体"/>
          <w:bCs/>
          <w:sz w:val="24"/>
          <w:highlight w:val="none"/>
        </w:rPr>
        <w:t>为保障杭州市</w:t>
      </w:r>
      <w:r>
        <w:rPr>
          <w:rFonts w:hint="eastAsia" w:ascii="宋体" w:hAnsi="宋体" w:cs="宋体"/>
          <w:sz w:val="24"/>
          <w:highlight w:val="none"/>
        </w:rPr>
        <w:t>马尾松森林碳通量监测系统</w:t>
      </w:r>
      <w:r>
        <w:rPr>
          <w:rFonts w:hint="eastAsia" w:ascii="宋体" w:hAnsi="宋体" w:cs="宋体"/>
          <w:bCs/>
          <w:sz w:val="24"/>
          <w:highlight w:val="none"/>
        </w:rPr>
        <w:t>正常运行，更好地服务于管理，现采取委托第三方运行维护的方式对该</w:t>
      </w:r>
      <w:r>
        <w:rPr>
          <w:rFonts w:hint="eastAsia" w:ascii="宋体" w:hAnsi="宋体" w:cs="宋体"/>
          <w:sz w:val="24"/>
          <w:highlight w:val="none"/>
        </w:rPr>
        <w:t>系统</w:t>
      </w:r>
      <w:r>
        <w:rPr>
          <w:rFonts w:hint="eastAsia" w:ascii="宋体" w:hAnsi="宋体" w:cs="宋体"/>
          <w:bCs/>
          <w:sz w:val="24"/>
          <w:highlight w:val="none"/>
        </w:rPr>
        <w:t>进行运维管理。</w:t>
      </w:r>
      <w:r>
        <w:rPr>
          <w:rFonts w:hint="eastAsia" w:ascii="宋体" w:hAnsi="宋体" w:cs="宋体"/>
          <w:sz w:val="24"/>
          <w:highlight w:val="none"/>
        </w:rPr>
        <w:t>根据投标人提供的服务方案先进性、科学性、完整性、合理性以及需求吻合程度，结合投标人的技术水平和业务能力的优劣程度等各方面因素，</w:t>
      </w:r>
      <w:r>
        <w:rPr>
          <w:rFonts w:hint="eastAsia" w:ascii="宋体" w:hAnsi="宋体" w:cs="宋体"/>
          <w:kern w:val="28"/>
          <w:sz w:val="24"/>
          <w:highlight w:val="none"/>
          <w:lang w:val="zh-CN"/>
        </w:rPr>
        <w:t>通过公开招标方式确定。</w:t>
      </w:r>
    </w:p>
    <w:p w14:paraId="02FDEAD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b/>
          <w:sz w:val="24"/>
          <w:highlight w:val="none"/>
        </w:rPr>
      </w:pPr>
      <w:r>
        <w:rPr>
          <w:rFonts w:hint="eastAsia" w:ascii="宋体" w:hAnsi="宋体" w:cs="宋体"/>
          <w:b/>
          <w:sz w:val="24"/>
          <w:highlight w:val="none"/>
        </w:rPr>
        <w:t>二、采购内容</w:t>
      </w:r>
    </w:p>
    <w:tbl>
      <w:tblPr>
        <w:tblStyle w:val="1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2319"/>
        <w:gridCol w:w="1798"/>
        <w:gridCol w:w="2458"/>
      </w:tblGrid>
      <w:tr w14:paraId="04F9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59" w:type="dxa"/>
            <w:vAlign w:val="center"/>
          </w:tcPr>
          <w:p w14:paraId="6227DEEC">
            <w:pPr>
              <w:spacing w:line="360" w:lineRule="auto"/>
              <w:jc w:val="center"/>
              <w:rPr>
                <w:rFonts w:hint="eastAsia" w:ascii="宋体" w:hAnsi="宋体" w:cs="宋体"/>
                <w:b/>
                <w:bCs/>
                <w:sz w:val="24"/>
                <w:highlight w:val="none"/>
              </w:rPr>
            </w:pPr>
            <w:r>
              <w:rPr>
                <w:rFonts w:hint="eastAsia" w:ascii="宋体" w:hAnsi="宋体" w:cs="宋体"/>
                <w:b/>
                <w:bCs/>
                <w:sz w:val="24"/>
                <w:highlight w:val="none"/>
              </w:rPr>
              <w:t>名称</w:t>
            </w:r>
          </w:p>
        </w:tc>
        <w:tc>
          <w:tcPr>
            <w:tcW w:w="2319" w:type="dxa"/>
            <w:vAlign w:val="center"/>
          </w:tcPr>
          <w:p w14:paraId="2E9FFE3F">
            <w:pPr>
              <w:spacing w:line="360" w:lineRule="auto"/>
              <w:jc w:val="center"/>
              <w:rPr>
                <w:rFonts w:hint="eastAsia" w:ascii="宋体" w:hAnsi="宋体" w:cs="宋体"/>
                <w:b/>
                <w:bCs/>
                <w:sz w:val="24"/>
                <w:highlight w:val="none"/>
              </w:rPr>
            </w:pPr>
            <w:r>
              <w:rPr>
                <w:rFonts w:hint="eastAsia" w:ascii="宋体" w:hAnsi="宋体" w:cs="宋体"/>
                <w:b/>
                <w:bCs/>
                <w:sz w:val="24"/>
                <w:highlight w:val="none"/>
              </w:rPr>
              <w:t>运维服务期限</w:t>
            </w:r>
          </w:p>
        </w:tc>
        <w:tc>
          <w:tcPr>
            <w:tcW w:w="1798" w:type="dxa"/>
            <w:vAlign w:val="center"/>
          </w:tcPr>
          <w:p w14:paraId="4AE980B1">
            <w:pPr>
              <w:spacing w:line="360" w:lineRule="auto"/>
              <w:jc w:val="center"/>
              <w:rPr>
                <w:rFonts w:hint="eastAsia" w:ascii="宋体" w:hAnsi="宋体" w:cs="宋体"/>
                <w:b/>
                <w:bCs/>
                <w:sz w:val="24"/>
                <w:highlight w:val="none"/>
              </w:rPr>
            </w:pPr>
            <w:r>
              <w:rPr>
                <w:rFonts w:hint="eastAsia" w:ascii="宋体" w:hAnsi="宋体" w:cs="宋体"/>
                <w:b/>
                <w:bCs/>
                <w:sz w:val="24"/>
                <w:highlight w:val="none"/>
              </w:rPr>
              <w:t>运维地点</w:t>
            </w:r>
          </w:p>
        </w:tc>
        <w:tc>
          <w:tcPr>
            <w:tcW w:w="2458" w:type="dxa"/>
            <w:vAlign w:val="center"/>
          </w:tcPr>
          <w:p w14:paraId="7AFADCEA">
            <w:pPr>
              <w:spacing w:line="360" w:lineRule="auto"/>
              <w:jc w:val="center"/>
              <w:rPr>
                <w:rFonts w:hint="eastAsia" w:ascii="宋体" w:hAnsi="宋体" w:cs="宋体"/>
                <w:b/>
                <w:bCs/>
                <w:sz w:val="24"/>
                <w:highlight w:val="none"/>
              </w:rPr>
            </w:pPr>
            <w:r>
              <w:rPr>
                <w:rFonts w:hint="eastAsia" w:ascii="宋体" w:hAnsi="宋体" w:cs="宋体"/>
                <w:b/>
                <w:bCs/>
                <w:sz w:val="24"/>
                <w:highlight w:val="none"/>
              </w:rPr>
              <w:t>运维服务内容</w:t>
            </w:r>
          </w:p>
        </w:tc>
      </w:tr>
      <w:tr w14:paraId="0148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259" w:type="dxa"/>
            <w:vAlign w:val="center"/>
          </w:tcPr>
          <w:p w14:paraId="055153EB">
            <w:pPr>
              <w:spacing w:line="360" w:lineRule="auto"/>
              <w:jc w:val="center"/>
              <w:outlineLvl w:val="1"/>
              <w:rPr>
                <w:rFonts w:hint="eastAsia" w:ascii="宋体" w:hAnsi="宋体" w:cs="宋体"/>
                <w:sz w:val="24"/>
                <w:highlight w:val="none"/>
              </w:rPr>
            </w:pPr>
            <w:r>
              <w:rPr>
                <w:rFonts w:hint="eastAsia" w:ascii="宋体" w:hAnsi="宋体" w:cs="宋体"/>
                <w:sz w:val="24"/>
                <w:highlight w:val="none"/>
              </w:rPr>
              <w:t>杭州市淳安森林碳通量监测系统运维服务</w:t>
            </w:r>
          </w:p>
        </w:tc>
        <w:tc>
          <w:tcPr>
            <w:tcW w:w="2319" w:type="dxa"/>
            <w:vAlign w:val="center"/>
          </w:tcPr>
          <w:p w14:paraId="1C0D2375">
            <w:pPr>
              <w:spacing w:line="360" w:lineRule="auto"/>
              <w:jc w:val="center"/>
              <w:rPr>
                <w:rFonts w:hint="eastAsia" w:ascii="宋体" w:hAnsi="宋体" w:cs="宋体"/>
                <w:sz w:val="24"/>
                <w:highlight w:val="none"/>
              </w:rPr>
            </w:pPr>
            <w:r>
              <w:rPr>
                <w:rFonts w:hint="eastAsia" w:ascii="宋体" w:hAnsi="宋体" w:cs="宋体"/>
                <w:sz w:val="24"/>
                <w:highlight w:val="none"/>
              </w:rPr>
              <w:t>合同签订后5个月</w:t>
            </w:r>
          </w:p>
        </w:tc>
        <w:tc>
          <w:tcPr>
            <w:tcW w:w="1798" w:type="dxa"/>
            <w:vAlign w:val="center"/>
          </w:tcPr>
          <w:p w14:paraId="3F16051D">
            <w:pPr>
              <w:spacing w:line="360" w:lineRule="auto"/>
              <w:jc w:val="center"/>
              <w:rPr>
                <w:rFonts w:hint="eastAsia" w:ascii="宋体" w:hAnsi="宋体" w:cs="宋体"/>
                <w:sz w:val="24"/>
                <w:highlight w:val="none"/>
              </w:rPr>
            </w:pPr>
            <w:r>
              <w:rPr>
                <w:rFonts w:hint="eastAsia" w:ascii="宋体" w:hAnsi="宋体" w:cs="宋体"/>
                <w:sz w:val="24"/>
                <w:highlight w:val="none"/>
              </w:rPr>
              <w:t>杭州市金峰乡马尾松森林碳通量监测站</w:t>
            </w:r>
          </w:p>
        </w:tc>
        <w:tc>
          <w:tcPr>
            <w:tcW w:w="2458" w:type="dxa"/>
            <w:vAlign w:val="center"/>
          </w:tcPr>
          <w:p w14:paraId="4ACEF98F">
            <w:pPr>
              <w:spacing w:line="360" w:lineRule="auto"/>
              <w:jc w:val="center"/>
              <w:rPr>
                <w:rFonts w:hint="eastAsia" w:ascii="宋体" w:hAnsi="宋体" w:cs="宋体"/>
                <w:sz w:val="24"/>
                <w:highlight w:val="none"/>
              </w:rPr>
            </w:pPr>
            <w:r>
              <w:rPr>
                <w:rFonts w:hint="eastAsia" w:ascii="宋体" w:hAnsi="宋体" w:cs="宋体"/>
                <w:bCs/>
                <w:sz w:val="24"/>
                <w:highlight w:val="none"/>
              </w:rPr>
              <w:t>对</w:t>
            </w:r>
            <w:r>
              <w:rPr>
                <w:rFonts w:hint="eastAsia" w:ascii="宋体" w:hAnsi="宋体" w:cs="宋体"/>
                <w:sz w:val="24"/>
                <w:highlight w:val="none"/>
              </w:rPr>
              <w:t>森林碳通量监测系统</w:t>
            </w:r>
            <w:r>
              <w:rPr>
                <w:rFonts w:hint="eastAsia" w:ascii="宋体" w:hAnsi="宋体" w:cs="宋体"/>
                <w:bCs/>
                <w:sz w:val="24"/>
                <w:highlight w:val="none"/>
              </w:rPr>
              <w:t>进行运行维护、数据分析工作</w:t>
            </w:r>
          </w:p>
        </w:tc>
      </w:tr>
    </w:tbl>
    <w:p w14:paraId="5E73E392">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b/>
          <w:sz w:val="24"/>
          <w:highlight w:val="none"/>
        </w:rPr>
      </w:pPr>
      <w:r>
        <w:rPr>
          <w:rFonts w:hint="eastAsia" w:ascii="宋体" w:hAnsi="宋体" w:cs="宋体"/>
          <w:b/>
          <w:sz w:val="24"/>
          <w:highlight w:val="none"/>
        </w:rPr>
        <w:t>三、技术服务要求</w:t>
      </w:r>
    </w:p>
    <w:p w14:paraId="1EEE41EB">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1.运行维护内容</w:t>
      </w:r>
    </w:p>
    <w:p w14:paraId="35638633">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1.1 维护范围</w:t>
      </w:r>
    </w:p>
    <w:p w14:paraId="4620245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bCs/>
          <w:sz w:val="24"/>
          <w:highlight w:val="none"/>
        </w:rPr>
      </w:pPr>
      <w:r>
        <w:rPr>
          <w:rFonts w:hint="eastAsia" w:ascii="宋体" w:hAnsi="宋体" w:cs="宋体"/>
          <w:bCs/>
          <w:sz w:val="24"/>
          <w:highlight w:val="none"/>
        </w:rPr>
        <w:t>采购服务期内包含森林碳通量监测系统主要设备及配件、铁塔及站房、数据平台的日常维护工作，按规定开展定期巡检，及时解决仪器出现的所有故障维修，更换监测设备的所有备件和耗材。</w:t>
      </w:r>
    </w:p>
    <w:p w14:paraId="5A1F51A8">
      <w:pPr>
        <w:snapToGrid w:val="0"/>
        <w:jc w:val="center"/>
        <w:rPr>
          <w:b/>
          <w:sz w:val="24"/>
          <w:highlight w:val="none"/>
        </w:rPr>
      </w:pPr>
      <w:r>
        <w:rPr>
          <w:b/>
          <w:sz w:val="24"/>
          <w:highlight w:val="none"/>
        </w:rPr>
        <w:t>表1  运行维护设备清单一览表</w:t>
      </w:r>
    </w:p>
    <w:tbl>
      <w:tblPr>
        <w:tblStyle w:val="15"/>
        <w:tblW w:w="8815" w:type="dxa"/>
        <w:jc w:val="center"/>
        <w:tblLayout w:type="fixed"/>
        <w:tblCellMar>
          <w:top w:w="0" w:type="dxa"/>
          <w:left w:w="108" w:type="dxa"/>
          <w:bottom w:w="0" w:type="dxa"/>
          <w:right w:w="108" w:type="dxa"/>
        </w:tblCellMar>
      </w:tblPr>
      <w:tblGrid>
        <w:gridCol w:w="751"/>
        <w:gridCol w:w="3463"/>
        <w:gridCol w:w="2105"/>
        <w:gridCol w:w="1565"/>
        <w:gridCol w:w="931"/>
      </w:tblGrid>
      <w:tr w14:paraId="574A4670">
        <w:tblPrEx>
          <w:tblCellMar>
            <w:top w:w="0" w:type="dxa"/>
            <w:left w:w="108" w:type="dxa"/>
            <w:bottom w:w="0" w:type="dxa"/>
            <w:right w:w="108" w:type="dxa"/>
          </w:tblCellMar>
        </w:tblPrEx>
        <w:trPr>
          <w:trHeight w:val="25" w:hRule="atLeast"/>
          <w:tblHeader/>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7E8C8660">
            <w:pPr>
              <w:snapToGrid w:val="0"/>
              <w:jc w:val="center"/>
              <w:rPr>
                <w:b/>
                <w:bCs/>
                <w:sz w:val="24"/>
                <w:highlight w:val="none"/>
              </w:rPr>
            </w:pPr>
            <w:r>
              <w:rPr>
                <w:rFonts w:hint="eastAsia"/>
                <w:b/>
                <w:bCs/>
                <w:sz w:val="24"/>
                <w:highlight w:val="none"/>
              </w:rPr>
              <w:t>类别</w:t>
            </w:r>
          </w:p>
        </w:tc>
        <w:tc>
          <w:tcPr>
            <w:tcW w:w="3463" w:type="dxa"/>
            <w:tcBorders>
              <w:top w:val="single" w:color="auto" w:sz="4" w:space="0"/>
              <w:left w:val="single" w:color="auto" w:sz="4" w:space="0"/>
              <w:bottom w:val="single" w:color="auto" w:sz="4" w:space="0"/>
              <w:right w:val="single" w:color="auto" w:sz="4" w:space="0"/>
            </w:tcBorders>
            <w:noWrap/>
            <w:vAlign w:val="center"/>
          </w:tcPr>
          <w:p w14:paraId="700C03BD">
            <w:pPr>
              <w:snapToGrid w:val="0"/>
              <w:jc w:val="center"/>
              <w:rPr>
                <w:b/>
                <w:bCs/>
                <w:sz w:val="24"/>
                <w:highlight w:val="none"/>
              </w:rPr>
            </w:pPr>
            <w:r>
              <w:rPr>
                <w:rFonts w:hint="eastAsia"/>
                <w:b/>
                <w:bCs/>
                <w:sz w:val="24"/>
                <w:highlight w:val="none"/>
              </w:rPr>
              <w:t>设备名称</w:t>
            </w:r>
          </w:p>
        </w:tc>
        <w:tc>
          <w:tcPr>
            <w:tcW w:w="2105" w:type="dxa"/>
            <w:tcBorders>
              <w:top w:val="single" w:color="auto" w:sz="4" w:space="0"/>
              <w:left w:val="single" w:color="auto" w:sz="4" w:space="0"/>
              <w:bottom w:val="single" w:color="auto" w:sz="4" w:space="0"/>
              <w:right w:val="single" w:color="auto" w:sz="4" w:space="0"/>
            </w:tcBorders>
            <w:vAlign w:val="center"/>
          </w:tcPr>
          <w:p w14:paraId="17F85509">
            <w:pPr>
              <w:snapToGrid w:val="0"/>
              <w:jc w:val="center"/>
              <w:rPr>
                <w:b/>
                <w:bCs/>
                <w:sz w:val="24"/>
                <w:highlight w:val="none"/>
              </w:rPr>
            </w:pPr>
            <w:r>
              <w:rPr>
                <w:rFonts w:hint="eastAsia"/>
                <w:b/>
                <w:bCs/>
                <w:sz w:val="24"/>
                <w:highlight w:val="none"/>
              </w:rPr>
              <w:t>品牌</w:t>
            </w:r>
          </w:p>
        </w:tc>
        <w:tc>
          <w:tcPr>
            <w:tcW w:w="1565" w:type="dxa"/>
            <w:tcBorders>
              <w:top w:val="single" w:color="auto" w:sz="4" w:space="0"/>
              <w:left w:val="single" w:color="auto" w:sz="4" w:space="0"/>
              <w:bottom w:val="single" w:color="auto" w:sz="4" w:space="0"/>
              <w:right w:val="single" w:color="auto" w:sz="4" w:space="0"/>
            </w:tcBorders>
            <w:vAlign w:val="center"/>
          </w:tcPr>
          <w:p w14:paraId="2CE2F8FC">
            <w:pPr>
              <w:snapToGrid w:val="0"/>
              <w:jc w:val="center"/>
              <w:rPr>
                <w:b/>
                <w:bCs/>
                <w:sz w:val="24"/>
                <w:highlight w:val="none"/>
              </w:rPr>
            </w:pPr>
            <w:r>
              <w:rPr>
                <w:rFonts w:hint="eastAsia"/>
                <w:b/>
                <w:bCs/>
                <w:sz w:val="24"/>
                <w:highlight w:val="none"/>
              </w:rPr>
              <w:t>仪器型号</w:t>
            </w:r>
          </w:p>
        </w:tc>
        <w:tc>
          <w:tcPr>
            <w:tcW w:w="931" w:type="dxa"/>
            <w:tcBorders>
              <w:top w:val="single" w:color="auto" w:sz="4" w:space="0"/>
              <w:left w:val="single" w:color="auto" w:sz="4" w:space="0"/>
              <w:bottom w:val="single" w:color="auto" w:sz="4" w:space="0"/>
              <w:right w:val="single" w:color="auto" w:sz="4" w:space="0"/>
            </w:tcBorders>
            <w:noWrap/>
            <w:vAlign w:val="center"/>
          </w:tcPr>
          <w:p w14:paraId="1A76B6AA">
            <w:pPr>
              <w:snapToGrid w:val="0"/>
              <w:jc w:val="center"/>
              <w:rPr>
                <w:b/>
                <w:bCs/>
                <w:sz w:val="24"/>
                <w:highlight w:val="none"/>
              </w:rPr>
            </w:pPr>
            <w:r>
              <w:rPr>
                <w:rFonts w:hint="eastAsia"/>
                <w:b/>
                <w:bCs/>
                <w:sz w:val="24"/>
                <w:highlight w:val="none"/>
              </w:rPr>
              <w:t>数量</w:t>
            </w:r>
          </w:p>
        </w:tc>
      </w:tr>
      <w:tr w14:paraId="74DE71FA">
        <w:tblPrEx>
          <w:tblCellMar>
            <w:top w:w="0" w:type="dxa"/>
            <w:left w:w="108" w:type="dxa"/>
            <w:bottom w:w="0" w:type="dxa"/>
            <w:right w:w="108" w:type="dxa"/>
          </w:tblCellMar>
        </w:tblPrEx>
        <w:trPr>
          <w:trHeight w:val="446" w:hRule="atLeast"/>
          <w:jc w:val="center"/>
        </w:trPr>
        <w:tc>
          <w:tcPr>
            <w:tcW w:w="8815" w:type="dxa"/>
            <w:gridSpan w:val="5"/>
            <w:tcBorders>
              <w:top w:val="single" w:color="auto" w:sz="4" w:space="0"/>
              <w:left w:val="single" w:color="auto" w:sz="4" w:space="0"/>
              <w:bottom w:val="single" w:color="auto" w:sz="4" w:space="0"/>
              <w:right w:val="single" w:color="auto" w:sz="4" w:space="0"/>
            </w:tcBorders>
            <w:noWrap/>
            <w:vAlign w:val="center"/>
          </w:tcPr>
          <w:p w14:paraId="577D16BF">
            <w:pPr>
              <w:snapToGrid w:val="0"/>
              <w:jc w:val="center"/>
              <w:rPr>
                <w:b/>
                <w:sz w:val="24"/>
                <w:highlight w:val="none"/>
              </w:rPr>
            </w:pPr>
            <w:r>
              <w:rPr>
                <w:rFonts w:hint="eastAsia"/>
                <w:b/>
                <w:sz w:val="24"/>
                <w:highlight w:val="none"/>
              </w:rPr>
              <w:t>森林碳通量监测系统主要设备</w:t>
            </w:r>
          </w:p>
        </w:tc>
      </w:tr>
      <w:tr w14:paraId="57E14D99">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14C786CC">
            <w:pPr>
              <w:snapToGrid w:val="0"/>
              <w:jc w:val="center"/>
              <w:rPr>
                <w:bCs/>
                <w:sz w:val="24"/>
                <w:highlight w:val="none"/>
              </w:rPr>
            </w:pPr>
            <w:r>
              <w:rPr>
                <w:rFonts w:hint="eastAsia"/>
                <w:bCs/>
                <w:sz w:val="24"/>
                <w:highlight w:val="none"/>
              </w:rPr>
              <w:t>1</w:t>
            </w:r>
          </w:p>
        </w:tc>
        <w:tc>
          <w:tcPr>
            <w:tcW w:w="3463" w:type="dxa"/>
            <w:tcBorders>
              <w:top w:val="single" w:color="auto" w:sz="4" w:space="0"/>
              <w:left w:val="single" w:color="auto" w:sz="4" w:space="0"/>
              <w:bottom w:val="single" w:color="auto" w:sz="4" w:space="0"/>
              <w:right w:val="single" w:color="auto" w:sz="4" w:space="0"/>
            </w:tcBorders>
            <w:noWrap/>
            <w:vAlign w:val="center"/>
          </w:tcPr>
          <w:p w14:paraId="458B0711">
            <w:pPr>
              <w:snapToGrid w:val="0"/>
              <w:jc w:val="center"/>
              <w:rPr>
                <w:bCs/>
                <w:sz w:val="24"/>
                <w:highlight w:val="none"/>
              </w:rPr>
            </w:pPr>
            <w:r>
              <w:rPr>
                <w:rFonts w:hint="eastAsia"/>
                <w:sz w:val="24"/>
                <w:highlight w:val="none"/>
              </w:rPr>
              <w:t>闭路涡度系统（含数据采集单元，内存卡、运输箱等）</w:t>
            </w:r>
          </w:p>
        </w:tc>
        <w:tc>
          <w:tcPr>
            <w:tcW w:w="2105" w:type="dxa"/>
            <w:tcBorders>
              <w:top w:val="single" w:color="auto" w:sz="4" w:space="0"/>
              <w:left w:val="single" w:color="auto" w:sz="4" w:space="0"/>
              <w:bottom w:val="single" w:color="auto" w:sz="4" w:space="0"/>
              <w:right w:val="single" w:color="auto" w:sz="4" w:space="0"/>
            </w:tcBorders>
            <w:vAlign w:val="center"/>
          </w:tcPr>
          <w:p w14:paraId="019AF18B">
            <w:pPr>
              <w:snapToGrid w:val="0"/>
              <w:jc w:val="center"/>
              <w:rPr>
                <w:bCs/>
                <w:sz w:val="24"/>
                <w:highlight w:val="none"/>
              </w:rPr>
            </w:pPr>
            <w:r>
              <w:rPr>
                <w:rFonts w:hint="eastAsia"/>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30311739">
            <w:pPr>
              <w:snapToGrid w:val="0"/>
              <w:jc w:val="center"/>
              <w:rPr>
                <w:bCs/>
                <w:sz w:val="24"/>
                <w:highlight w:val="none"/>
              </w:rPr>
            </w:pPr>
            <w:r>
              <w:rPr>
                <w:rFonts w:hint="eastAsia"/>
                <w:sz w:val="24"/>
                <w:highlight w:val="none"/>
              </w:rPr>
              <w:t>CPEC310</w:t>
            </w:r>
          </w:p>
        </w:tc>
        <w:tc>
          <w:tcPr>
            <w:tcW w:w="931" w:type="dxa"/>
            <w:tcBorders>
              <w:top w:val="single" w:color="auto" w:sz="4" w:space="0"/>
              <w:left w:val="single" w:color="auto" w:sz="4" w:space="0"/>
              <w:bottom w:val="single" w:color="auto" w:sz="4" w:space="0"/>
              <w:right w:val="single" w:color="auto" w:sz="4" w:space="0"/>
            </w:tcBorders>
            <w:noWrap/>
            <w:vAlign w:val="center"/>
          </w:tcPr>
          <w:p w14:paraId="6654A240">
            <w:pPr>
              <w:snapToGrid w:val="0"/>
              <w:jc w:val="center"/>
              <w:rPr>
                <w:bCs/>
                <w:sz w:val="24"/>
                <w:highlight w:val="none"/>
              </w:rPr>
            </w:pPr>
            <w:r>
              <w:rPr>
                <w:rFonts w:hint="eastAsia"/>
                <w:sz w:val="24"/>
                <w:highlight w:val="none"/>
              </w:rPr>
              <w:t>1</w:t>
            </w:r>
          </w:p>
        </w:tc>
      </w:tr>
      <w:tr w14:paraId="677FA452">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796ACEBB">
            <w:pPr>
              <w:snapToGrid w:val="0"/>
              <w:jc w:val="center"/>
              <w:rPr>
                <w:bCs/>
                <w:sz w:val="24"/>
                <w:highlight w:val="none"/>
              </w:rPr>
            </w:pPr>
            <w:r>
              <w:rPr>
                <w:rFonts w:hint="eastAsia"/>
                <w:bCs/>
                <w:sz w:val="24"/>
                <w:highlight w:val="none"/>
              </w:rPr>
              <w:t>2</w:t>
            </w:r>
          </w:p>
        </w:tc>
        <w:tc>
          <w:tcPr>
            <w:tcW w:w="3463" w:type="dxa"/>
            <w:tcBorders>
              <w:top w:val="single" w:color="auto" w:sz="4" w:space="0"/>
              <w:left w:val="single" w:color="auto" w:sz="4" w:space="0"/>
              <w:bottom w:val="single" w:color="auto" w:sz="4" w:space="0"/>
              <w:right w:val="single" w:color="auto" w:sz="4" w:space="0"/>
            </w:tcBorders>
            <w:noWrap/>
            <w:vAlign w:val="center"/>
          </w:tcPr>
          <w:p w14:paraId="1189C835">
            <w:pPr>
              <w:snapToGrid w:val="0"/>
              <w:jc w:val="center"/>
              <w:rPr>
                <w:bCs/>
                <w:sz w:val="24"/>
                <w:highlight w:val="none"/>
              </w:rPr>
            </w:pPr>
            <w:r>
              <w:rPr>
                <w:rFonts w:hint="eastAsia"/>
                <w:sz w:val="24"/>
                <w:highlight w:val="none"/>
              </w:rPr>
              <w:t>空气温湿度传感器</w:t>
            </w:r>
          </w:p>
        </w:tc>
        <w:tc>
          <w:tcPr>
            <w:tcW w:w="2105" w:type="dxa"/>
            <w:tcBorders>
              <w:top w:val="single" w:color="auto" w:sz="4" w:space="0"/>
              <w:left w:val="single" w:color="auto" w:sz="4" w:space="0"/>
              <w:bottom w:val="single" w:color="auto" w:sz="4" w:space="0"/>
              <w:right w:val="single" w:color="auto" w:sz="4" w:space="0"/>
            </w:tcBorders>
            <w:vAlign w:val="center"/>
          </w:tcPr>
          <w:p w14:paraId="6DD25EDC">
            <w:pPr>
              <w:snapToGrid w:val="0"/>
              <w:jc w:val="center"/>
              <w:rPr>
                <w:bCs/>
                <w:sz w:val="24"/>
                <w:highlight w:val="none"/>
              </w:rPr>
            </w:pPr>
            <w:r>
              <w:rPr>
                <w:rFonts w:hint="eastAsia"/>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3A8E144F">
            <w:pPr>
              <w:snapToGrid w:val="0"/>
              <w:jc w:val="center"/>
              <w:rPr>
                <w:bCs/>
                <w:sz w:val="24"/>
                <w:highlight w:val="none"/>
              </w:rPr>
            </w:pPr>
            <w:r>
              <w:rPr>
                <w:rFonts w:hint="eastAsia"/>
                <w:sz w:val="24"/>
                <w:highlight w:val="none"/>
              </w:rPr>
              <w:t>HMP60</w:t>
            </w:r>
          </w:p>
        </w:tc>
        <w:tc>
          <w:tcPr>
            <w:tcW w:w="931" w:type="dxa"/>
            <w:tcBorders>
              <w:top w:val="single" w:color="auto" w:sz="4" w:space="0"/>
              <w:left w:val="single" w:color="auto" w:sz="4" w:space="0"/>
              <w:bottom w:val="single" w:color="auto" w:sz="4" w:space="0"/>
              <w:right w:val="single" w:color="auto" w:sz="4" w:space="0"/>
            </w:tcBorders>
            <w:noWrap/>
            <w:vAlign w:val="center"/>
          </w:tcPr>
          <w:p w14:paraId="77ADF43C">
            <w:pPr>
              <w:snapToGrid w:val="0"/>
              <w:jc w:val="center"/>
              <w:rPr>
                <w:bCs/>
                <w:sz w:val="24"/>
                <w:highlight w:val="none"/>
              </w:rPr>
            </w:pPr>
            <w:r>
              <w:rPr>
                <w:rFonts w:hint="eastAsia"/>
                <w:bCs/>
                <w:kern w:val="0"/>
                <w:sz w:val="24"/>
                <w:highlight w:val="none"/>
                <w:u w:val="single" w:color="FFFFFF"/>
              </w:rPr>
              <w:t>5</w:t>
            </w:r>
          </w:p>
        </w:tc>
      </w:tr>
      <w:tr w14:paraId="1D39A4D9">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26CFC7D1">
            <w:pPr>
              <w:snapToGrid w:val="0"/>
              <w:jc w:val="center"/>
              <w:rPr>
                <w:bCs/>
                <w:sz w:val="24"/>
                <w:highlight w:val="none"/>
              </w:rPr>
            </w:pPr>
            <w:r>
              <w:rPr>
                <w:rFonts w:hint="eastAsia"/>
                <w:bCs/>
                <w:sz w:val="24"/>
                <w:highlight w:val="none"/>
              </w:rPr>
              <w:t>3</w:t>
            </w:r>
          </w:p>
        </w:tc>
        <w:tc>
          <w:tcPr>
            <w:tcW w:w="3463" w:type="dxa"/>
            <w:tcBorders>
              <w:top w:val="single" w:color="auto" w:sz="4" w:space="0"/>
              <w:left w:val="single" w:color="auto" w:sz="4" w:space="0"/>
              <w:bottom w:val="single" w:color="auto" w:sz="4" w:space="0"/>
              <w:right w:val="single" w:color="auto" w:sz="4" w:space="0"/>
            </w:tcBorders>
            <w:noWrap/>
            <w:vAlign w:val="center"/>
          </w:tcPr>
          <w:p w14:paraId="0C31513B">
            <w:pPr>
              <w:snapToGrid w:val="0"/>
              <w:jc w:val="center"/>
              <w:rPr>
                <w:bCs/>
                <w:sz w:val="24"/>
                <w:highlight w:val="none"/>
              </w:rPr>
            </w:pPr>
            <w:r>
              <w:rPr>
                <w:rFonts w:hint="eastAsia"/>
                <w:sz w:val="24"/>
                <w:highlight w:val="none"/>
              </w:rPr>
              <w:t>风速传感器</w:t>
            </w:r>
          </w:p>
        </w:tc>
        <w:tc>
          <w:tcPr>
            <w:tcW w:w="2105" w:type="dxa"/>
            <w:tcBorders>
              <w:top w:val="single" w:color="auto" w:sz="4" w:space="0"/>
              <w:left w:val="single" w:color="auto" w:sz="4" w:space="0"/>
              <w:bottom w:val="single" w:color="auto" w:sz="4" w:space="0"/>
              <w:right w:val="single" w:color="auto" w:sz="4" w:space="0"/>
            </w:tcBorders>
            <w:vAlign w:val="center"/>
          </w:tcPr>
          <w:p w14:paraId="5B05EFAA">
            <w:pPr>
              <w:snapToGrid w:val="0"/>
              <w:jc w:val="center"/>
              <w:rPr>
                <w:bCs/>
                <w:sz w:val="24"/>
                <w:highlight w:val="none"/>
              </w:rPr>
            </w:pPr>
            <w:r>
              <w:rPr>
                <w:rFonts w:hint="eastAsia"/>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0DC8458C">
            <w:pPr>
              <w:snapToGrid w:val="0"/>
              <w:jc w:val="center"/>
              <w:rPr>
                <w:bCs/>
                <w:sz w:val="24"/>
                <w:highlight w:val="none"/>
              </w:rPr>
            </w:pPr>
            <w:r>
              <w:rPr>
                <w:rFonts w:hint="eastAsia"/>
                <w:sz w:val="24"/>
                <w:highlight w:val="none"/>
              </w:rPr>
              <w:t>010C</w:t>
            </w:r>
          </w:p>
        </w:tc>
        <w:tc>
          <w:tcPr>
            <w:tcW w:w="931" w:type="dxa"/>
            <w:tcBorders>
              <w:top w:val="single" w:color="auto" w:sz="4" w:space="0"/>
              <w:left w:val="single" w:color="auto" w:sz="4" w:space="0"/>
              <w:bottom w:val="single" w:color="auto" w:sz="4" w:space="0"/>
              <w:right w:val="single" w:color="auto" w:sz="4" w:space="0"/>
            </w:tcBorders>
            <w:noWrap/>
            <w:vAlign w:val="center"/>
          </w:tcPr>
          <w:p w14:paraId="5720B7D7">
            <w:pPr>
              <w:snapToGrid w:val="0"/>
              <w:jc w:val="center"/>
              <w:rPr>
                <w:bCs/>
                <w:sz w:val="24"/>
                <w:highlight w:val="none"/>
              </w:rPr>
            </w:pPr>
            <w:r>
              <w:rPr>
                <w:rFonts w:hint="eastAsia"/>
                <w:bCs/>
                <w:kern w:val="0"/>
                <w:sz w:val="24"/>
                <w:highlight w:val="none"/>
                <w:u w:val="single" w:color="FFFFFF"/>
              </w:rPr>
              <w:t>5</w:t>
            </w:r>
          </w:p>
        </w:tc>
      </w:tr>
      <w:tr w14:paraId="39919CE4">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4775E855">
            <w:pPr>
              <w:snapToGrid w:val="0"/>
              <w:jc w:val="center"/>
              <w:rPr>
                <w:bCs/>
                <w:sz w:val="24"/>
                <w:highlight w:val="none"/>
              </w:rPr>
            </w:pPr>
            <w:r>
              <w:rPr>
                <w:rFonts w:hint="eastAsia"/>
                <w:bCs/>
                <w:sz w:val="24"/>
                <w:highlight w:val="none"/>
              </w:rPr>
              <w:t>4</w:t>
            </w:r>
          </w:p>
        </w:tc>
        <w:tc>
          <w:tcPr>
            <w:tcW w:w="3463" w:type="dxa"/>
            <w:tcBorders>
              <w:top w:val="single" w:color="auto" w:sz="4" w:space="0"/>
              <w:left w:val="single" w:color="auto" w:sz="4" w:space="0"/>
              <w:bottom w:val="single" w:color="auto" w:sz="4" w:space="0"/>
              <w:right w:val="single" w:color="auto" w:sz="4" w:space="0"/>
            </w:tcBorders>
            <w:noWrap/>
            <w:vAlign w:val="center"/>
          </w:tcPr>
          <w:p w14:paraId="115ED402">
            <w:pPr>
              <w:snapToGrid w:val="0"/>
              <w:jc w:val="center"/>
              <w:rPr>
                <w:bCs/>
                <w:sz w:val="24"/>
                <w:highlight w:val="none"/>
              </w:rPr>
            </w:pPr>
            <w:r>
              <w:rPr>
                <w:rFonts w:hint="eastAsia"/>
                <w:sz w:val="24"/>
                <w:highlight w:val="none"/>
              </w:rPr>
              <w:t>降水传感器</w:t>
            </w:r>
          </w:p>
        </w:tc>
        <w:tc>
          <w:tcPr>
            <w:tcW w:w="2105" w:type="dxa"/>
            <w:tcBorders>
              <w:top w:val="single" w:color="auto" w:sz="4" w:space="0"/>
              <w:left w:val="single" w:color="auto" w:sz="4" w:space="0"/>
              <w:bottom w:val="single" w:color="auto" w:sz="4" w:space="0"/>
              <w:right w:val="single" w:color="auto" w:sz="4" w:space="0"/>
            </w:tcBorders>
            <w:vAlign w:val="center"/>
          </w:tcPr>
          <w:p w14:paraId="7DF7FD01">
            <w:pPr>
              <w:snapToGrid w:val="0"/>
              <w:jc w:val="center"/>
              <w:rPr>
                <w:bCs/>
                <w:sz w:val="24"/>
                <w:highlight w:val="none"/>
              </w:rPr>
            </w:pPr>
            <w:r>
              <w:rPr>
                <w:rFonts w:hint="eastAsia"/>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2DB21CFB">
            <w:pPr>
              <w:snapToGrid w:val="0"/>
              <w:jc w:val="center"/>
              <w:rPr>
                <w:bCs/>
                <w:sz w:val="24"/>
                <w:highlight w:val="none"/>
              </w:rPr>
            </w:pPr>
            <w:r>
              <w:rPr>
                <w:rFonts w:hint="eastAsia"/>
                <w:sz w:val="24"/>
                <w:highlight w:val="none"/>
              </w:rPr>
              <w:t>TE525MM</w:t>
            </w:r>
          </w:p>
        </w:tc>
        <w:tc>
          <w:tcPr>
            <w:tcW w:w="931" w:type="dxa"/>
            <w:tcBorders>
              <w:top w:val="single" w:color="auto" w:sz="4" w:space="0"/>
              <w:left w:val="single" w:color="auto" w:sz="4" w:space="0"/>
              <w:bottom w:val="single" w:color="auto" w:sz="4" w:space="0"/>
              <w:right w:val="single" w:color="auto" w:sz="4" w:space="0"/>
            </w:tcBorders>
            <w:noWrap/>
            <w:vAlign w:val="center"/>
          </w:tcPr>
          <w:p w14:paraId="250E885A">
            <w:pPr>
              <w:snapToGrid w:val="0"/>
              <w:jc w:val="center"/>
              <w:rPr>
                <w:bCs/>
                <w:sz w:val="24"/>
                <w:highlight w:val="none"/>
              </w:rPr>
            </w:pPr>
            <w:r>
              <w:rPr>
                <w:rFonts w:hint="eastAsia"/>
                <w:bCs/>
                <w:kern w:val="0"/>
                <w:sz w:val="24"/>
                <w:highlight w:val="none"/>
                <w:u w:val="single" w:color="FFFFFF"/>
              </w:rPr>
              <w:t>1</w:t>
            </w:r>
          </w:p>
        </w:tc>
      </w:tr>
      <w:tr w14:paraId="7FA5F9C5">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223CB983">
            <w:pPr>
              <w:snapToGrid w:val="0"/>
              <w:jc w:val="center"/>
              <w:rPr>
                <w:bCs/>
                <w:sz w:val="24"/>
                <w:highlight w:val="none"/>
              </w:rPr>
            </w:pPr>
            <w:r>
              <w:rPr>
                <w:rFonts w:hint="eastAsia"/>
                <w:bCs/>
                <w:sz w:val="24"/>
                <w:highlight w:val="none"/>
              </w:rPr>
              <w:t>5</w:t>
            </w:r>
          </w:p>
        </w:tc>
        <w:tc>
          <w:tcPr>
            <w:tcW w:w="3463" w:type="dxa"/>
            <w:tcBorders>
              <w:top w:val="single" w:color="auto" w:sz="4" w:space="0"/>
              <w:left w:val="single" w:color="auto" w:sz="4" w:space="0"/>
              <w:bottom w:val="single" w:color="auto" w:sz="4" w:space="0"/>
              <w:right w:val="single" w:color="auto" w:sz="4" w:space="0"/>
            </w:tcBorders>
            <w:noWrap/>
            <w:vAlign w:val="center"/>
          </w:tcPr>
          <w:p w14:paraId="0EA59289">
            <w:pPr>
              <w:snapToGrid w:val="0"/>
              <w:jc w:val="center"/>
              <w:rPr>
                <w:bCs/>
                <w:sz w:val="24"/>
                <w:highlight w:val="none"/>
              </w:rPr>
            </w:pPr>
            <w:r>
              <w:rPr>
                <w:rFonts w:hint="eastAsia"/>
                <w:sz w:val="24"/>
                <w:highlight w:val="none"/>
              </w:rPr>
              <w:t>四分量辐射</w:t>
            </w:r>
          </w:p>
        </w:tc>
        <w:tc>
          <w:tcPr>
            <w:tcW w:w="2105" w:type="dxa"/>
            <w:tcBorders>
              <w:top w:val="single" w:color="auto" w:sz="4" w:space="0"/>
              <w:left w:val="single" w:color="auto" w:sz="4" w:space="0"/>
              <w:bottom w:val="single" w:color="auto" w:sz="4" w:space="0"/>
              <w:right w:val="single" w:color="auto" w:sz="4" w:space="0"/>
            </w:tcBorders>
            <w:vAlign w:val="center"/>
          </w:tcPr>
          <w:p w14:paraId="00F3513D">
            <w:pPr>
              <w:snapToGrid w:val="0"/>
              <w:jc w:val="center"/>
              <w:rPr>
                <w:bCs/>
                <w:sz w:val="24"/>
                <w:highlight w:val="none"/>
              </w:rPr>
            </w:pPr>
            <w:r>
              <w:rPr>
                <w:rFonts w:hint="eastAsia"/>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11803EDF">
            <w:pPr>
              <w:snapToGrid w:val="0"/>
              <w:jc w:val="center"/>
              <w:rPr>
                <w:bCs/>
                <w:sz w:val="24"/>
                <w:highlight w:val="none"/>
              </w:rPr>
            </w:pPr>
            <w:r>
              <w:rPr>
                <w:rFonts w:hint="eastAsia"/>
                <w:sz w:val="24"/>
                <w:highlight w:val="none"/>
              </w:rPr>
              <w:t>SN500</w:t>
            </w:r>
          </w:p>
        </w:tc>
        <w:tc>
          <w:tcPr>
            <w:tcW w:w="931" w:type="dxa"/>
            <w:tcBorders>
              <w:top w:val="single" w:color="auto" w:sz="4" w:space="0"/>
              <w:left w:val="single" w:color="auto" w:sz="4" w:space="0"/>
              <w:bottom w:val="single" w:color="auto" w:sz="4" w:space="0"/>
              <w:right w:val="single" w:color="auto" w:sz="4" w:space="0"/>
            </w:tcBorders>
            <w:noWrap/>
            <w:vAlign w:val="center"/>
          </w:tcPr>
          <w:p w14:paraId="7FF89CD8">
            <w:pPr>
              <w:snapToGrid w:val="0"/>
              <w:jc w:val="center"/>
              <w:rPr>
                <w:bCs/>
                <w:sz w:val="24"/>
                <w:highlight w:val="none"/>
              </w:rPr>
            </w:pPr>
            <w:r>
              <w:rPr>
                <w:rFonts w:hint="eastAsia"/>
                <w:bCs/>
                <w:kern w:val="0"/>
                <w:sz w:val="24"/>
                <w:highlight w:val="none"/>
              </w:rPr>
              <w:t>1</w:t>
            </w:r>
          </w:p>
        </w:tc>
      </w:tr>
      <w:tr w14:paraId="672168E7">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1D6C075C">
            <w:pPr>
              <w:snapToGrid w:val="0"/>
              <w:jc w:val="center"/>
              <w:rPr>
                <w:bCs/>
                <w:sz w:val="24"/>
                <w:highlight w:val="none"/>
              </w:rPr>
            </w:pPr>
            <w:r>
              <w:rPr>
                <w:rFonts w:hint="eastAsia"/>
                <w:bCs/>
                <w:sz w:val="24"/>
                <w:highlight w:val="none"/>
              </w:rPr>
              <w:t>6</w:t>
            </w:r>
          </w:p>
        </w:tc>
        <w:tc>
          <w:tcPr>
            <w:tcW w:w="3463" w:type="dxa"/>
            <w:tcBorders>
              <w:top w:val="single" w:color="auto" w:sz="4" w:space="0"/>
              <w:left w:val="single" w:color="auto" w:sz="4" w:space="0"/>
              <w:bottom w:val="single" w:color="auto" w:sz="4" w:space="0"/>
              <w:right w:val="single" w:color="auto" w:sz="4" w:space="0"/>
            </w:tcBorders>
            <w:noWrap/>
            <w:vAlign w:val="center"/>
          </w:tcPr>
          <w:p w14:paraId="54631396">
            <w:pPr>
              <w:snapToGrid w:val="0"/>
              <w:jc w:val="center"/>
              <w:rPr>
                <w:bCs/>
                <w:sz w:val="24"/>
                <w:highlight w:val="none"/>
              </w:rPr>
            </w:pPr>
            <w:r>
              <w:rPr>
                <w:rFonts w:hint="eastAsia"/>
                <w:sz w:val="24"/>
                <w:highlight w:val="none"/>
              </w:rPr>
              <w:t>红外冠层温度传感器</w:t>
            </w:r>
          </w:p>
        </w:tc>
        <w:tc>
          <w:tcPr>
            <w:tcW w:w="2105" w:type="dxa"/>
            <w:tcBorders>
              <w:top w:val="single" w:color="auto" w:sz="4" w:space="0"/>
              <w:left w:val="single" w:color="auto" w:sz="4" w:space="0"/>
              <w:bottom w:val="single" w:color="auto" w:sz="4" w:space="0"/>
              <w:right w:val="single" w:color="auto" w:sz="4" w:space="0"/>
            </w:tcBorders>
            <w:vAlign w:val="center"/>
          </w:tcPr>
          <w:p w14:paraId="77F3400C">
            <w:pPr>
              <w:snapToGrid w:val="0"/>
              <w:jc w:val="center"/>
              <w:rPr>
                <w:bCs/>
                <w:sz w:val="24"/>
                <w:highlight w:val="none"/>
              </w:rPr>
            </w:pPr>
            <w:r>
              <w:rPr>
                <w:rFonts w:hint="eastAsia"/>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49ED1567">
            <w:pPr>
              <w:snapToGrid w:val="0"/>
              <w:jc w:val="center"/>
              <w:rPr>
                <w:bCs/>
                <w:sz w:val="24"/>
                <w:highlight w:val="none"/>
              </w:rPr>
            </w:pPr>
            <w:r>
              <w:rPr>
                <w:rFonts w:hint="eastAsia"/>
                <w:sz w:val="24"/>
                <w:highlight w:val="none"/>
              </w:rPr>
              <w:t>SI-111</w:t>
            </w:r>
          </w:p>
        </w:tc>
        <w:tc>
          <w:tcPr>
            <w:tcW w:w="931" w:type="dxa"/>
            <w:tcBorders>
              <w:top w:val="single" w:color="auto" w:sz="4" w:space="0"/>
              <w:left w:val="single" w:color="auto" w:sz="4" w:space="0"/>
              <w:bottom w:val="single" w:color="auto" w:sz="4" w:space="0"/>
              <w:right w:val="single" w:color="auto" w:sz="4" w:space="0"/>
            </w:tcBorders>
            <w:noWrap/>
            <w:vAlign w:val="center"/>
          </w:tcPr>
          <w:p w14:paraId="275AF2CD">
            <w:pPr>
              <w:snapToGrid w:val="0"/>
              <w:jc w:val="center"/>
              <w:rPr>
                <w:bCs/>
                <w:sz w:val="24"/>
                <w:highlight w:val="none"/>
              </w:rPr>
            </w:pPr>
            <w:r>
              <w:rPr>
                <w:rFonts w:hint="eastAsia"/>
                <w:bCs/>
                <w:kern w:val="0"/>
                <w:sz w:val="24"/>
                <w:highlight w:val="none"/>
              </w:rPr>
              <w:t>1</w:t>
            </w:r>
          </w:p>
        </w:tc>
      </w:tr>
      <w:tr w14:paraId="42AAC40E">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07C25C3C">
            <w:pPr>
              <w:snapToGrid w:val="0"/>
              <w:jc w:val="center"/>
              <w:rPr>
                <w:bCs/>
                <w:sz w:val="24"/>
                <w:highlight w:val="none"/>
              </w:rPr>
            </w:pPr>
            <w:r>
              <w:rPr>
                <w:rFonts w:hint="eastAsia"/>
                <w:bCs/>
                <w:sz w:val="24"/>
                <w:highlight w:val="none"/>
              </w:rPr>
              <w:t>7</w:t>
            </w:r>
          </w:p>
        </w:tc>
        <w:tc>
          <w:tcPr>
            <w:tcW w:w="3463" w:type="dxa"/>
            <w:tcBorders>
              <w:top w:val="single" w:color="auto" w:sz="4" w:space="0"/>
              <w:left w:val="single" w:color="auto" w:sz="4" w:space="0"/>
              <w:bottom w:val="single" w:color="auto" w:sz="4" w:space="0"/>
              <w:right w:val="single" w:color="auto" w:sz="4" w:space="0"/>
            </w:tcBorders>
            <w:noWrap/>
            <w:vAlign w:val="center"/>
          </w:tcPr>
          <w:p w14:paraId="46591601">
            <w:pPr>
              <w:snapToGrid w:val="0"/>
              <w:jc w:val="center"/>
              <w:rPr>
                <w:bCs/>
                <w:sz w:val="24"/>
                <w:highlight w:val="none"/>
              </w:rPr>
            </w:pPr>
            <w:r>
              <w:rPr>
                <w:rFonts w:hint="eastAsia"/>
                <w:sz w:val="24"/>
                <w:highlight w:val="none"/>
              </w:rPr>
              <w:t>土壤温度、水分、电导率传感器</w:t>
            </w:r>
          </w:p>
        </w:tc>
        <w:tc>
          <w:tcPr>
            <w:tcW w:w="2105" w:type="dxa"/>
            <w:tcBorders>
              <w:top w:val="single" w:color="auto" w:sz="4" w:space="0"/>
              <w:left w:val="single" w:color="auto" w:sz="4" w:space="0"/>
              <w:bottom w:val="single" w:color="auto" w:sz="4" w:space="0"/>
              <w:right w:val="single" w:color="auto" w:sz="4" w:space="0"/>
            </w:tcBorders>
            <w:vAlign w:val="center"/>
          </w:tcPr>
          <w:p w14:paraId="62AE04A5">
            <w:pPr>
              <w:snapToGrid w:val="0"/>
              <w:jc w:val="center"/>
              <w:rPr>
                <w:bCs/>
                <w:sz w:val="24"/>
                <w:highlight w:val="none"/>
              </w:rPr>
            </w:pPr>
            <w:r>
              <w:rPr>
                <w:rFonts w:hint="eastAsia"/>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48F51771">
            <w:pPr>
              <w:snapToGrid w:val="0"/>
              <w:jc w:val="center"/>
              <w:rPr>
                <w:bCs/>
                <w:sz w:val="24"/>
                <w:highlight w:val="none"/>
              </w:rPr>
            </w:pPr>
            <w:r>
              <w:rPr>
                <w:rFonts w:hint="eastAsia"/>
                <w:sz w:val="24"/>
                <w:highlight w:val="none"/>
              </w:rPr>
              <w:t>CS655</w:t>
            </w:r>
          </w:p>
        </w:tc>
        <w:tc>
          <w:tcPr>
            <w:tcW w:w="931" w:type="dxa"/>
            <w:tcBorders>
              <w:top w:val="single" w:color="auto" w:sz="4" w:space="0"/>
              <w:left w:val="single" w:color="auto" w:sz="4" w:space="0"/>
              <w:bottom w:val="single" w:color="auto" w:sz="4" w:space="0"/>
              <w:right w:val="single" w:color="auto" w:sz="4" w:space="0"/>
            </w:tcBorders>
            <w:noWrap/>
            <w:vAlign w:val="center"/>
          </w:tcPr>
          <w:p w14:paraId="7D911A4C">
            <w:pPr>
              <w:snapToGrid w:val="0"/>
              <w:jc w:val="center"/>
              <w:rPr>
                <w:bCs/>
                <w:sz w:val="24"/>
                <w:highlight w:val="none"/>
              </w:rPr>
            </w:pPr>
            <w:r>
              <w:rPr>
                <w:rFonts w:hint="eastAsia"/>
                <w:bCs/>
                <w:kern w:val="0"/>
                <w:sz w:val="24"/>
                <w:highlight w:val="none"/>
              </w:rPr>
              <w:t>5</w:t>
            </w:r>
          </w:p>
        </w:tc>
      </w:tr>
      <w:tr w14:paraId="6FE18AC3">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2C301D09">
            <w:pPr>
              <w:snapToGrid w:val="0"/>
              <w:jc w:val="center"/>
              <w:rPr>
                <w:bCs/>
                <w:sz w:val="24"/>
                <w:highlight w:val="none"/>
              </w:rPr>
            </w:pPr>
            <w:r>
              <w:rPr>
                <w:rFonts w:hint="eastAsia"/>
                <w:bCs/>
                <w:sz w:val="24"/>
                <w:highlight w:val="none"/>
              </w:rPr>
              <w:t>8</w:t>
            </w:r>
          </w:p>
        </w:tc>
        <w:tc>
          <w:tcPr>
            <w:tcW w:w="3463" w:type="dxa"/>
            <w:tcBorders>
              <w:top w:val="single" w:color="auto" w:sz="4" w:space="0"/>
              <w:left w:val="single" w:color="auto" w:sz="4" w:space="0"/>
              <w:bottom w:val="single" w:color="auto" w:sz="4" w:space="0"/>
              <w:right w:val="single" w:color="auto" w:sz="4" w:space="0"/>
            </w:tcBorders>
            <w:noWrap/>
            <w:vAlign w:val="center"/>
          </w:tcPr>
          <w:p w14:paraId="4CD6B4D7">
            <w:pPr>
              <w:snapToGrid w:val="0"/>
              <w:jc w:val="center"/>
              <w:rPr>
                <w:bCs/>
                <w:sz w:val="24"/>
                <w:highlight w:val="none"/>
              </w:rPr>
            </w:pPr>
            <w:r>
              <w:rPr>
                <w:rFonts w:hint="eastAsia"/>
                <w:sz w:val="24"/>
                <w:highlight w:val="none"/>
              </w:rPr>
              <w:t>气压传感器</w:t>
            </w:r>
          </w:p>
        </w:tc>
        <w:tc>
          <w:tcPr>
            <w:tcW w:w="2105" w:type="dxa"/>
            <w:tcBorders>
              <w:top w:val="single" w:color="auto" w:sz="4" w:space="0"/>
              <w:left w:val="single" w:color="auto" w:sz="4" w:space="0"/>
              <w:bottom w:val="single" w:color="auto" w:sz="4" w:space="0"/>
              <w:right w:val="single" w:color="auto" w:sz="4" w:space="0"/>
            </w:tcBorders>
            <w:vAlign w:val="center"/>
          </w:tcPr>
          <w:p w14:paraId="63E47C63">
            <w:pPr>
              <w:snapToGrid w:val="0"/>
              <w:jc w:val="center"/>
              <w:rPr>
                <w:bCs/>
                <w:sz w:val="24"/>
                <w:highlight w:val="none"/>
              </w:rPr>
            </w:pPr>
            <w:r>
              <w:rPr>
                <w:rFonts w:hint="eastAsia"/>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4F84CB77">
            <w:pPr>
              <w:snapToGrid w:val="0"/>
              <w:jc w:val="center"/>
              <w:rPr>
                <w:bCs/>
                <w:sz w:val="24"/>
                <w:highlight w:val="none"/>
              </w:rPr>
            </w:pPr>
            <w:r>
              <w:rPr>
                <w:rFonts w:hint="eastAsia"/>
                <w:sz w:val="24"/>
                <w:highlight w:val="none"/>
              </w:rPr>
              <w:t>CS106</w:t>
            </w:r>
          </w:p>
        </w:tc>
        <w:tc>
          <w:tcPr>
            <w:tcW w:w="931" w:type="dxa"/>
            <w:tcBorders>
              <w:top w:val="single" w:color="auto" w:sz="4" w:space="0"/>
              <w:left w:val="single" w:color="auto" w:sz="4" w:space="0"/>
              <w:bottom w:val="single" w:color="auto" w:sz="4" w:space="0"/>
              <w:right w:val="single" w:color="auto" w:sz="4" w:space="0"/>
            </w:tcBorders>
            <w:noWrap/>
            <w:vAlign w:val="center"/>
          </w:tcPr>
          <w:p w14:paraId="347E647B">
            <w:pPr>
              <w:snapToGrid w:val="0"/>
              <w:jc w:val="center"/>
              <w:rPr>
                <w:bCs/>
                <w:sz w:val="24"/>
                <w:highlight w:val="none"/>
              </w:rPr>
            </w:pPr>
            <w:r>
              <w:rPr>
                <w:rFonts w:hint="eastAsia"/>
                <w:bCs/>
                <w:kern w:val="0"/>
                <w:sz w:val="24"/>
                <w:highlight w:val="none"/>
              </w:rPr>
              <w:t>1</w:t>
            </w:r>
          </w:p>
        </w:tc>
      </w:tr>
      <w:tr w14:paraId="1611243F">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3A955101">
            <w:pPr>
              <w:snapToGrid w:val="0"/>
              <w:jc w:val="center"/>
              <w:rPr>
                <w:bCs/>
                <w:sz w:val="24"/>
                <w:highlight w:val="none"/>
              </w:rPr>
            </w:pPr>
            <w:r>
              <w:rPr>
                <w:rFonts w:hint="eastAsia"/>
                <w:bCs/>
                <w:sz w:val="24"/>
                <w:highlight w:val="none"/>
              </w:rPr>
              <w:t>9</w:t>
            </w:r>
          </w:p>
        </w:tc>
        <w:tc>
          <w:tcPr>
            <w:tcW w:w="3463" w:type="dxa"/>
            <w:tcBorders>
              <w:top w:val="single" w:color="auto" w:sz="4" w:space="0"/>
              <w:left w:val="single" w:color="auto" w:sz="4" w:space="0"/>
              <w:bottom w:val="single" w:color="auto" w:sz="4" w:space="0"/>
              <w:right w:val="single" w:color="auto" w:sz="4" w:space="0"/>
            </w:tcBorders>
            <w:noWrap/>
            <w:vAlign w:val="center"/>
          </w:tcPr>
          <w:p w14:paraId="0D515813">
            <w:pPr>
              <w:snapToGrid w:val="0"/>
              <w:jc w:val="center"/>
              <w:rPr>
                <w:bCs/>
                <w:sz w:val="24"/>
                <w:highlight w:val="none"/>
              </w:rPr>
            </w:pPr>
            <w:r>
              <w:rPr>
                <w:rFonts w:hint="eastAsia"/>
                <w:sz w:val="24"/>
                <w:highlight w:val="none"/>
              </w:rPr>
              <w:t>CO</w:t>
            </w:r>
            <w:r>
              <w:rPr>
                <w:rFonts w:hint="eastAsia"/>
                <w:sz w:val="24"/>
                <w:highlight w:val="none"/>
                <w:vertAlign w:val="subscript"/>
              </w:rPr>
              <w:t>2</w:t>
            </w:r>
            <w:r>
              <w:rPr>
                <w:rFonts w:hint="eastAsia"/>
                <w:sz w:val="24"/>
                <w:highlight w:val="none"/>
              </w:rPr>
              <w:t>/H</w:t>
            </w:r>
            <w:r>
              <w:rPr>
                <w:rFonts w:hint="eastAsia"/>
                <w:sz w:val="24"/>
                <w:highlight w:val="none"/>
                <w:vertAlign w:val="subscript"/>
              </w:rPr>
              <w:t>2</w:t>
            </w:r>
            <w:r>
              <w:rPr>
                <w:rFonts w:hint="eastAsia"/>
                <w:sz w:val="24"/>
                <w:highlight w:val="none"/>
              </w:rPr>
              <w:t>O廓线测量系统</w:t>
            </w:r>
          </w:p>
        </w:tc>
        <w:tc>
          <w:tcPr>
            <w:tcW w:w="2105" w:type="dxa"/>
            <w:tcBorders>
              <w:top w:val="single" w:color="auto" w:sz="4" w:space="0"/>
              <w:left w:val="single" w:color="auto" w:sz="4" w:space="0"/>
              <w:bottom w:val="single" w:color="auto" w:sz="4" w:space="0"/>
              <w:right w:val="single" w:color="auto" w:sz="4" w:space="0"/>
            </w:tcBorders>
            <w:vAlign w:val="center"/>
          </w:tcPr>
          <w:p w14:paraId="04AC9A09">
            <w:pPr>
              <w:snapToGrid w:val="0"/>
              <w:jc w:val="center"/>
              <w:rPr>
                <w:bCs/>
                <w:sz w:val="24"/>
                <w:highlight w:val="none"/>
              </w:rPr>
            </w:pPr>
            <w:r>
              <w:rPr>
                <w:rFonts w:hint="eastAsia"/>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6C9E0988">
            <w:pPr>
              <w:snapToGrid w:val="0"/>
              <w:jc w:val="center"/>
              <w:rPr>
                <w:bCs/>
                <w:sz w:val="24"/>
                <w:highlight w:val="none"/>
              </w:rPr>
            </w:pPr>
            <w:r>
              <w:rPr>
                <w:rFonts w:hint="eastAsia"/>
                <w:sz w:val="24"/>
                <w:highlight w:val="none"/>
              </w:rPr>
              <w:t>AP200</w:t>
            </w:r>
          </w:p>
        </w:tc>
        <w:tc>
          <w:tcPr>
            <w:tcW w:w="931" w:type="dxa"/>
            <w:tcBorders>
              <w:top w:val="single" w:color="auto" w:sz="4" w:space="0"/>
              <w:left w:val="single" w:color="auto" w:sz="4" w:space="0"/>
              <w:bottom w:val="single" w:color="auto" w:sz="4" w:space="0"/>
              <w:right w:val="single" w:color="auto" w:sz="4" w:space="0"/>
            </w:tcBorders>
            <w:noWrap/>
            <w:vAlign w:val="center"/>
          </w:tcPr>
          <w:p w14:paraId="05E0A471">
            <w:pPr>
              <w:snapToGrid w:val="0"/>
              <w:jc w:val="center"/>
              <w:rPr>
                <w:bCs/>
                <w:sz w:val="24"/>
                <w:highlight w:val="none"/>
              </w:rPr>
            </w:pPr>
            <w:r>
              <w:rPr>
                <w:rFonts w:hint="eastAsia"/>
                <w:bCs/>
                <w:kern w:val="0"/>
                <w:sz w:val="24"/>
                <w:highlight w:val="none"/>
              </w:rPr>
              <w:t>1</w:t>
            </w:r>
          </w:p>
        </w:tc>
      </w:tr>
      <w:tr w14:paraId="15361A8D">
        <w:tblPrEx>
          <w:tblCellMar>
            <w:top w:w="0" w:type="dxa"/>
            <w:left w:w="108" w:type="dxa"/>
            <w:bottom w:w="0" w:type="dxa"/>
            <w:right w:w="108" w:type="dxa"/>
          </w:tblCellMar>
        </w:tblPrEx>
        <w:trPr>
          <w:trHeight w:val="373" w:hRule="atLeast"/>
          <w:jc w:val="center"/>
        </w:trPr>
        <w:tc>
          <w:tcPr>
            <w:tcW w:w="8815" w:type="dxa"/>
            <w:gridSpan w:val="5"/>
            <w:tcBorders>
              <w:top w:val="single" w:color="auto" w:sz="4" w:space="0"/>
              <w:left w:val="single" w:color="auto" w:sz="4" w:space="0"/>
              <w:bottom w:val="single" w:color="auto" w:sz="4" w:space="0"/>
              <w:right w:val="single" w:color="auto" w:sz="4" w:space="0"/>
            </w:tcBorders>
            <w:noWrap/>
            <w:vAlign w:val="center"/>
          </w:tcPr>
          <w:p w14:paraId="2AA84A46">
            <w:pPr>
              <w:snapToGrid w:val="0"/>
              <w:jc w:val="center"/>
              <w:rPr>
                <w:b/>
                <w:bCs/>
                <w:kern w:val="0"/>
                <w:sz w:val="24"/>
                <w:highlight w:val="none"/>
              </w:rPr>
            </w:pPr>
            <w:r>
              <w:rPr>
                <w:rFonts w:hint="eastAsia"/>
                <w:b/>
                <w:bCs/>
                <w:kern w:val="0"/>
                <w:sz w:val="24"/>
                <w:highlight w:val="none"/>
              </w:rPr>
              <w:t>其他配件及配套设施</w:t>
            </w:r>
          </w:p>
        </w:tc>
      </w:tr>
      <w:tr w14:paraId="46D0C470">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57A552C3">
            <w:pPr>
              <w:snapToGrid w:val="0"/>
              <w:jc w:val="center"/>
              <w:rPr>
                <w:bCs/>
                <w:sz w:val="24"/>
                <w:highlight w:val="none"/>
              </w:rPr>
            </w:pPr>
            <w:r>
              <w:rPr>
                <w:rFonts w:hint="eastAsia"/>
                <w:bCs/>
                <w:sz w:val="24"/>
                <w:highlight w:val="none"/>
              </w:rPr>
              <w:t>10</w:t>
            </w:r>
          </w:p>
        </w:tc>
        <w:tc>
          <w:tcPr>
            <w:tcW w:w="3463" w:type="dxa"/>
            <w:tcBorders>
              <w:top w:val="single" w:color="auto" w:sz="4" w:space="0"/>
              <w:left w:val="single" w:color="auto" w:sz="4" w:space="0"/>
              <w:bottom w:val="single" w:color="auto" w:sz="4" w:space="0"/>
              <w:right w:val="single" w:color="auto" w:sz="4" w:space="0"/>
            </w:tcBorders>
            <w:noWrap/>
            <w:vAlign w:val="center"/>
          </w:tcPr>
          <w:p w14:paraId="7C64DDE0">
            <w:pPr>
              <w:snapToGrid w:val="0"/>
              <w:jc w:val="center"/>
              <w:rPr>
                <w:bCs/>
                <w:sz w:val="24"/>
                <w:highlight w:val="none"/>
              </w:rPr>
            </w:pPr>
            <w:r>
              <w:rPr>
                <w:rFonts w:hint="eastAsia"/>
                <w:sz w:val="24"/>
                <w:highlight w:val="none"/>
              </w:rPr>
              <w:t>无线模块</w:t>
            </w:r>
          </w:p>
        </w:tc>
        <w:tc>
          <w:tcPr>
            <w:tcW w:w="2105" w:type="dxa"/>
            <w:tcBorders>
              <w:top w:val="single" w:color="auto" w:sz="4" w:space="0"/>
              <w:left w:val="single" w:color="auto" w:sz="4" w:space="0"/>
              <w:bottom w:val="single" w:color="auto" w:sz="4" w:space="0"/>
              <w:right w:val="single" w:color="auto" w:sz="4" w:space="0"/>
            </w:tcBorders>
            <w:vAlign w:val="center"/>
          </w:tcPr>
          <w:p w14:paraId="44A0CED0">
            <w:pPr>
              <w:snapToGrid w:val="0"/>
              <w:jc w:val="center"/>
              <w:rPr>
                <w:bCs/>
                <w:sz w:val="24"/>
                <w:highlight w:val="none"/>
              </w:rPr>
            </w:pPr>
            <w:r>
              <w:rPr>
                <w:rFonts w:hint="eastAsia"/>
                <w:sz w:val="24"/>
                <w:highlight w:val="none"/>
              </w:rPr>
              <w:t>/</w:t>
            </w:r>
          </w:p>
        </w:tc>
        <w:tc>
          <w:tcPr>
            <w:tcW w:w="1565" w:type="dxa"/>
            <w:tcBorders>
              <w:top w:val="single" w:color="auto" w:sz="4" w:space="0"/>
              <w:left w:val="single" w:color="auto" w:sz="4" w:space="0"/>
              <w:bottom w:val="single" w:color="auto" w:sz="4" w:space="0"/>
              <w:right w:val="single" w:color="auto" w:sz="4" w:space="0"/>
            </w:tcBorders>
            <w:vAlign w:val="center"/>
          </w:tcPr>
          <w:p w14:paraId="682AE5E4">
            <w:pPr>
              <w:snapToGrid w:val="0"/>
              <w:jc w:val="center"/>
              <w:rPr>
                <w:bCs/>
                <w:sz w:val="24"/>
                <w:highlight w:val="none"/>
              </w:rPr>
            </w:pPr>
            <w:r>
              <w:rPr>
                <w:rFonts w:hint="eastAsia"/>
                <w:sz w:val="24"/>
                <w:highlight w:val="none"/>
              </w:rPr>
              <w:t>ZY8922</w:t>
            </w:r>
          </w:p>
        </w:tc>
        <w:tc>
          <w:tcPr>
            <w:tcW w:w="931" w:type="dxa"/>
            <w:tcBorders>
              <w:top w:val="single" w:color="auto" w:sz="4" w:space="0"/>
              <w:left w:val="single" w:color="auto" w:sz="4" w:space="0"/>
              <w:bottom w:val="single" w:color="auto" w:sz="4" w:space="0"/>
              <w:right w:val="single" w:color="auto" w:sz="4" w:space="0"/>
            </w:tcBorders>
            <w:noWrap/>
            <w:vAlign w:val="center"/>
          </w:tcPr>
          <w:p w14:paraId="50C23DFC">
            <w:pPr>
              <w:snapToGrid w:val="0"/>
              <w:jc w:val="center"/>
              <w:rPr>
                <w:bCs/>
                <w:sz w:val="24"/>
                <w:highlight w:val="none"/>
              </w:rPr>
            </w:pPr>
            <w:r>
              <w:rPr>
                <w:rFonts w:hint="eastAsia"/>
                <w:bCs/>
                <w:kern w:val="0"/>
                <w:sz w:val="24"/>
                <w:highlight w:val="none"/>
              </w:rPr>
              <w:t>2</w:t>
            </w:r>
          </w:p>
        </w:tc>
      </w:tr>
      <w:tr w14:paraId="2CBA53E6">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520CD900">
            <w:pPr>
              <w:snapToGrid w:val="0"/>
              <w:jc w:val="center"/>
              <w:rPr>
                <w:bCs/>
                <w:sz w:val="24"/>
                <w:highlight w:val="none"/>
              </w:rPr>
            </w:pPr>
            <w:r>
              <w:rPr>
                <w:rFonts w:hint="eastAsia"/>
                <w:bCs/>
                <w:sz w:val="24"/>
                <w:highlight w:val="none"/>
              </w:rPr>
              <w:t>11</w:t>
            </w:r>
          </w:p>
        </w:tc>
        <w:tc>
          <w:tcPr>
            <w:tcW w:w="3463" w:type="dxa"/>
            <w:tcBorders>
              <w:top w:val="single" w:color="auto" w:sz="4" w:space="0"/>
              <w:left w:val="single" w:color="auto" w:sz="4" w:space="0"/>
              <w:bottom w:val="single" w:color="auto" w:sz="4" w:space="0"/>
              <w:right w:val="single" w:color="auto" w:sz="4" w:space="0"/>
            </w:tcBorders>
            <w:noWrap/>
            <w:vAlign w:val="center"/>
          </w:tcPr>
          <w:p w14:paraId="51EDA672">
            <w:pPr>
              <w:snapToGrid w:val="0"/>
              <w:jc w:val="center"/>
              <w:rPr>
                <w:bCs/>
                <w:sz w:val="24"/>
                <w:highlight w:val="none"/>
              </w:rPr>
            </w:pPr>
            <w:r>
              <w:rPr>
                <w:rFonts w:hint="eastAsia"/>
                <w:sz w:val="24"/>
                <w:highlight w:val="none"/>
              </w:rPr>
              <w:t>CO</w:t>
            </w:r>
            <w:r>
              <w:rPr>
                <w:rFonts w:hint="eastAsia"/>
                <w:sz w:val="24"/>
                <w:highlight w:val="none"/>
                <w:vertAlign w:val="subscript"/>
              </w:rPr>
              <w:t>2</w:t>
            </w:r>
            <w:r>
              <w:rPr>
                <w:rFonts w:hint="eastAsia"/>
                <w:sz w:val="24"/>
                <w:highlight w:val="none"/>
              </w:rPr>
              <w:t>/H</w:t>
            </w:r>
            <w:r>
              <w:rPr>
                <w:rFonts w:hint="eastAsia"/>
                <w:sz w:val="24"/>
                <w:highlight w:val="none"/>
                <w:vertAlign w:val="subscript"/>
              </w:rPr>
              <w:t>2</w:t>
            </w:r>
            <w:r>
              <w:rPr>
                <w:rFonts w:hint="eastAsia"/>
                <w:sz w:val="24"/>
                <w:highlight w:val="none"/>
              </w:rPr>
              <w:t>O进气口</w:t>
            </w:r>
          </w:p>
        </w:tc>
        <w:tc>
          <w:tcPr>
            <w:tcW w:w="2105" w:type="dxa"/>
            <w:tcBorders>
              <w:top w:val="single" w:color="auto" w:sz="4" w:space="0"/>
              <w:left w:val="single" w:color="auto" w:sz="4" w:space="0"/>
              <w:bottom w:val="single" w:color="auto" w:sz="4" w:space="0"/>
              <w:right w:val="single" w:color="auto" w:sz="4" w:space="0"/>
            </w:tcBorders>
            <w:vAlign w:val="center"/>
          </w:tcPr>
          <w:p w14:paraId="25174E44">
            <w:pPr>
              <w:snapToGrid w:val="0"/>
              <w:jc w:val="center"/>
              <w:rPr>
                <w:bCs/>
                <w:sz w:val="24"/>
                <w:highlight w:val="none"/>
              </w:rPr>
            </w:pPr>
            <w:r>
              <w:rPr>
                <w:rFonts w:hint="eastAsia"/>
                <w:sz w:val="24"/>
                <w:highlight w:val="none"/>
              </w:rPr>
              <w:t>/</w:t>
            </w:r>
          </w:p>
        </w:tc>
        <w:tc>
          <w:tcPr>
            <w:tcW w:w="1565" w:type="dxa"/>
            <w:tcBorders>
              <w:top w:val="single" w:color="auto" w:sz="4" w:space="0"/>
              <w:left w:val="single" w:color="auto" w:sz="4" w:space="0"/>
              <w:bottom w:val="single" w:color="auto" w:sz="4" w:space="0"/>
              <w:right w:val="single" w:color="auto" w:sz="4" w:space="0"/>
            </w:tcBorders>
            <w:vAlign w:val="center"/>
          </w:tcPr>
          <w:p w14:paraId="0A223AEF">
            <w:pPr>
              <w:snapToGrid w:val="0"/>
              <w:jc w:val="center"/>
              <w:rPr>
                <w:bCs/>
                <w:sz w:val="24"/>
                <w:highlight w:val="none"/>
              </w:rPr>
            </w:pPr>
            <w:r>
              <w:rPr>
                <w:rFonts w:hint="eastAsia"/>
                <w:sz w:val="24"/>
                <w:highlight w:val="none"/>
              </w:rPr>
              <w:t>GS-A05</w:t>
            </w:r>
          </w:p>
        </w:tc>
        <w:tc>
          <w:tcPr>
            <w:tcW w:w="931" w:type="dxa"/>
            <w:tcBorders>
              <w:top w:val="single" w:color="auto" w:sz="4" w:space="0"/>
              <w:left w:val="single" w:color="auto" w:sz="4" w:space="0"/>
              <w:bottom w:val="single" w:color="auto" w:sz="4" w:space="0"/>
              <w:right w:val="single" w:color="auto" w:sz="4" w:space="0"/>
            </w:tcBorders>
            <w:noWrap/>
            <w:vAlign w:val="center"/>
          </w:tcPr>
          <w:p w14:paraId="5E3B8717">
            <w:pPr>
              <w:snapToGrid w:val="0"/>
              <w:jc w:val="center"/>
              <w:rPr>
                <w:bCs/>
                <w:sz w:val="24"/>
                <w:highlight w:val="none"/>
              </w:rPr>
            </w:pPr>
            <w:r>
              <w:rPr>
                <w:rFonts w:hint="eastAsia"/>
                <w:bCs/>
                <w:kern w:val="0"/>
                <w:sz w:val="24"/>
                <w:highlight w:val="none"/>
              </w:rPr>
              <w:t>5</w:t>
            </w:r>
          </w:p>
        </w:tc>
      </w:tr>
      <w:tr w14:paraId="2CBDE182">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03317088">
            <w:pPr>
              <w:snapToGrid w:val="0"/>
              <w:jc w:val="center"/>
              <w:rPr>
                <w:bCs/>
                <w:sz w:val="24"/>
                <w:highlight w:val="none"/>
              </w:rPr>
            </w:pPr>
            <w:r>
              <w:rPr>
                <w:rFonts w:hint="eastAsia"/>
                <w:bCs/>
                <w:sz w:val="24"/>
                <w:highlight w:val="none"/>
              </w:rPr>
              <w:t>12</w:t>
            </w:r>
          </w:p>
        </w:tc>
        <w:tc>
          <w:tcPr>
            <w:tcW w:w="3463" w:type="dxa"/>
            <w:tcBorders>
              <w:top w:val="single" w:color="auto" w:sz="4" w:space="0"/>
              <w:left w:val="single" w:color="auto" w:sz="4" w:space="0"/>
              <w:bottom w:val="single" w:color="auto" w:sz="4" w:space="0"/>
              <w:right w:val="single" w:color="auto" w:sz="4" w:space="0"/>
            </w:tcBorders>
            <w:noWrap/>
            <w:vAlign w:val="center"/>
          </w:tcPr>
          <w:p w14:paraId="1AB6B9F2">
            <w:pPr>
              <w:snapToGrid w:val="0"/>
              <w:jc w:val="center"/>
              <w:rPr>
                <w:bCs/>
                <w:sz w:val="24"/>
                <w:highlight w:val="none"/>
              </w:rPr>
            </w:pPr>
            <w:r>
              <w:rPr>
                <w:rFonts w:hint="eastAsia"/>
                <w:sz w:val="24"/>
                <w:highlight w:val="none"/>
              </w:rPr>
              <w:t>200Ah蓄电池含防雨箱</w:t>
            </w:r>
          </w:p>
        </w:tc>
        <w:tc>
          <w:tcPr>
            <w:tcW w:w="2105" w:type="dxa"/>
            <w:tcBorders>
              <w:top w:val="single" w:color="auto" w:sz="4" w:space="0"/>
              <w:left w:val="single" w:color="auto" w:sz="4" w:space="0"/>
              <w:bottom w:val="single" w:color="auto" w:sz="4" w:space="0"/>
              <w:right w:val="single" w:color="auto" w:sz="4" w:space="0"/>
            </w:tcBorders>
            <w:vAlign w:val="center"/>
          </w:tcPr>
          <w:p w14:paraId="6F0836A8">
            <w:pPr>
              <w:snapToGrid w:val="0"/>
              <w:jc w:val="center"/>
              <w:rPr>
                <w:bCs/>
                <w:sz w:val="24"/>
                <w:highlight w:val="none"/>
              </w:rPr>
            </w:pPr>
            <w:r>
              <w:rPr>
                <w:rFonts w:hint="eastAsia"/>
                <w:sz w:val="24"/>
                <w:highlight w:val="none"/>
              </w:rPr>
              <w:t>/</w:t>
            </w:r>
          </w:p>
        </w:tc>
        <w:tc>
          <w:tcPr>
            <w:tcW w:w="1565" w:type="dxa"/>
            <w:tcBorders>
              <w:top w:val="single" w:color="auto" w:sz="4" w:space="0"/>
              <w:left w:val="single" w:color="auto" w:sz="4" w:space="0"/>
              <w:bottom w:val="single" w:color="auto" w:sz="4" w:space="0"/>
              <w:right w:val="single" w:color="auto" w:sz="4" w:space="0"/>
            </w:tcBorders>
            <w:vAlign w:val="center"/>
          </w:tcPr>
          <w:p w14:paraId="2925AF49">
            <w:pPr>
              <w:snapToGrid w:val="0"/>
              <w:jc w:val="center"/>
              <w:rPr>
                <w:bCs/>
                <w:sz w:val="24"/>
                <w:highlight w:val="none"/>
              </w:rPr>
            </w:pPr>
            <w:r>
              <w:rPr>
                <w:rFonts w:hint="eastAsia"/>
                <w:sz w:val="24"/>
                <w:highlight w:val="none"/>
              </w:rPr>
              <w:t>HPY200</w:t>
            </w:r>
          </w:p>
        </w:tc>
        <w:tc>
          <w:tcPr>
            <w:tcW w:w="931" w:type="dxa"/>
            <w:tcBorders>
              <w:top w:val="single" w:color="auto" w:sz="4" w:space="0"/>
              <w:left w:val="single" w:color="auto" w:sz="4" w:space="0"/>
              <w:bottom w:val="single" w:color="auto" w:sz="4" w:space="0"/>
              <w:right w:val="single" w:color="auto" w:sz="4" w:space="0"/>
            </w:tcBorders>
            <w:noWrap/>
            <w:vAlign w:val="center"/>
          </w:tcPr>
          <w:p w14:paraId="25C25EDC">
            <w:pPr>
              <w:snapToGrid w:val="0"/>
              <w:jc w:val="center"/>
              <w:rPr>
                <w:bCs/>
                <w:sz w:val="24"/>
                <w:highlight w:val="none"/>
              </w:rPr>
            </w:pPr>
            <w:r>
              <w:rPr>
                <w:rFonts w:hint="eastAsia"/>
                <w:bCs/>
                <w:kern w:val="0"/>
                <w:sz w:val="24"/>
                <w:highlight w:val="none"/>
              </w:rPr>
              <w:t>2</w:t>
            </w:r>
          </w:p>
        </w:tc>
      </w:tr>
      <w:tr w14:paraId="2331264F">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0B810BED">
            <w:pPr>
              <w:snapToGrid w:val="0"/>
              <w:jc w:val="center"/>
              <w:rPr>
                <w:bCs/>
                <w:sz w:val="24"/>
                <w:highlight w:val="none"/>
              </w:rPr>
            </w:pPr>
            <w:r>
              <w:rPr>
                <w:rFonts w:hint="eastAsia"/>
                <w:bCs/>
                <w:sz w:val="24"/>
                <w:highlight w:val="none"/>
              </w:rPr>
              <w:t>13</w:t>
            </w:r>
          </w:p>
        </w:tc>
        <w:tc>
          <w:tcPr>
            <w:tcW w:w="3463" w:type="dxa"/>
            <w:tcBorders>
              <w:top w:val="single" w:color="auto" w:sz="4" w:space="0"/>
              <w:left w:val="single" w:color="auto" w:sz="4" w:space="0"/>
              <w:bottom w:val="single" w:color="auto" w:sz="4" w:space="0"/>
              <w:right w:val="single" w:color="auto" w:sz="4" w:space="0"/>
            </w:tcBorders>
            <w:noWrap/>
            <w:vAlign w:val="center"/>
          </w:tcPr>
          <w:p w14:paraId="70B33273">
            <w:pPr>
              <w:snapToGrid w:val="0"/>
              <w:jc w:val="center"/>
              <w:rPr>
                <w:bCs/>
                <w:sz w:val="24"/>
                <w:highlight w:val="none"/>
              </w:rPr>
            </w:pPr>
            <w:r>
              <w:rPr>
                <w:rFonts w:hint="eastAsia"/>
                <w:sz w:val="24"/>
                <w:highlight w:val="none"/>
              </w:rPr>
              <w:t>远程监控</w:t>
            </w:r>
          </w:p>
        </w:tc>
        <w:tc>
          <w:tcPr>
            <w:tcW w:w="2105" w:type="dxa"/>
            <w:tcBorders>
              <w:top w:val="single" w:color="auto" w:sz="4" w:space="0"/>
              <w:left w:val="single" w:color="auto" w:sz="4" w:space="0"/>
              <w:bottom w:val="single" w:color="auto" w:sz="4" w:space="0"/>
              <w:right w:val="single" w:color="auto" w:sz="4" w:space="0"/>
            </w:tcBorders>
            <w:vAlign w:val="center"/>
          </w:tcPr>
          <w:p w14:paraId="25A35E30">
            <w:pPr>
              <w:snapToGrid w:val="0"/>
              <w:jc w:val="center"/>
              <w:rPr>
                <w:bCs/>
                <w:sz w:val="24"/>
                <w:highlight w:val="none"/>
              </w:rPr>
            </w:pPr>
            <w:r>
              <w:rPr>
                <w:rFonts w:hint="eastAsia"/>
                <w:sz w:val="24"/>
                <w:highlight w:val="none"/>
              </w:rPr>
              <w:t>海康威视</w:t>
            </w:r>
          </w:p>
        </w:tc>
        <w:tc>
          <w:tcPr>
            <w:tcW w:w="1565" w:type="dxa"/>
            <w:tcBorders>
              <w:top w:val="single" w:color="auto" w:sz="4" w:space="0"/>
              <w:left w:val="single" w:color="auto" w:sz="4" w:space="0"/>
              <w:bottom w:val="single" w:color="auto" w:sz="4" w:space="0"/>
              <w:right w:val="single" w:color="auto" w:sz="4" w:space="0"/>
            </w:tcBorders>
            <w:vAlign w:val="center"/>
          </w:tcPr>
          <w:p w14:paraId="07612D62">
            <w:pPr>
              <w:snapToGrid w:val="0"/>
              <w:jc w:val="center"/>
              <w:rPr>
                <w:bCs/>
                <w:sz w:val="24"/>
                <w:highlight w:val="none"/>
              </w:rPr>
            </w:pPr>
            <w:r>
              <w:rPr>
                <w:rFonts w:hint="eastAsia"/>
                <w:sz w:val="24"/>
                <w:highlight w:val="none"/>
              </w:rPr>
              <w:t>DS-2CD4124F-I</w:t>
            </w:r>
          </w:p>
        </w:tc>
        <w:tc>
          <w:tcPr>
            <w:tcW w:w="931" w:type="dxa"/>
            <w:tcBorders>
              <w:top w:val="single" w:color="auto" w:sz="4" w:space="0"/>
              <w:left w:val="single" w:color="auto" w:sz="4" w:space="0"/>
              <w:bottom w:val="single" w:color="auto" w:sz="4" w:space="0"/>
              <w:right w:val="single" w:color="auto" w:sz="4" w:space="0"/>
            </w:tcBorders>
            <w:noWrap/>
            <w:vAlign w:val="center"/>
          </w:tcPr>
          <w:p w14:paraId="3616C931">
            <w:pPr>
              <w:snapToGrid w:val="0"/>
              <w:jc w:val="center"/>
              <w:rPr>
                <w:bCs/>
                <w:sz w:val="24"/>
                <w:highlight w:val="none"/>
              </w:rPr>
            </w:pPr>
            <w:r>
              <w:rPr>
                <w:rFonts w:hint="eastAsia"/>
                <w:bCs/>
                <w:kern w:val="0"/>
                <w:sz w:val="24"/>
                <w:highlight w:val="none"/>
              </w:rPr>
              <w:t>2</w:t>
            </w:r>
          </w:p>
        </w:tc>
      </w:tr>
      <w:tr w14:paraId="5B8EFC97">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2F975F72">
            <w:pPr>
              <w:snapToGrid w:val="0"/>
              <w:jc w:val="center"/>
              <w:rPr>
                <w:bCs/>
                <w:sz w:val="24"/>
                <w:highlight w:val="none"/>
              </w:rPr>
            </w:pPr>
            <w:r>
              <w:rPr>
                <w:rFonts w:hint="eastAsia"/>
                <w:bCs/>
                <w:sz w:val="24"/>
                <w:highlight w:val="none"/>
              </w:rPr>
              <w:t>14</w:t>
            </w:r>
          </w:p>
        </w:tc>
        <w:tc>
          <w:tcPr>
            <w:tcW w:w="3463" w:type="dxa"/>
            <w:tcBorders>
              <w:top w:val="single" w:color="auto" w:sz="4" w:space="0"/>
              <w:left w:val="single" w:color="auto" w:sz="4" w:space="0"/>
              <w:bottom w:val="single" w:color="auto" w:sz="4" w:space="0"/>
              <w:right w:val="single" w:color="auto" w:sz="4" w:space="0"/>
            </w:tcBorders>
            <w:noWrap/>
            <w:vAlign w:val="center"/>
          </w:tcPr>
          <w:p w14:paraId="5D355B79">
            <w:pPr>
              <w:snapToGrid w:val="0"/>
              <w:jc w:val="center"/>
              <w:rPr>
                <w:bCs/>
                <w:sz w:val="24"/>
                <w:highlight w:val="none"/>
              </w:rPr>
            </w:pPr>
            <w:r>
              <w:rPr>
                <w:rFonts w:hint="eastAsia"/>
                <w:sz w:val="24"/>
                <w:highlight w:val="none"/>
              </w:rPr>
              <w:t>交流转直流适配器</w:t>
            </w:r>
          </w:p>
        </w:tc>
        <w:tc>
          <w:tcPr>
            <w:tcW w:w="2105" w:type="dxa"/>
            <w:tcBorders>
              <w:top w:val="single" w:color="auto" w:sz="4" w:space="0"/>
              <w:left w:val="single" w:color="auto" w:sz="4" w:space="0"/>
              <w:bottom w:val="single" w:color="auto" w:sz="4" w:space="0"/>
              <w:right w:val="single" w:color="auto" w:sz="4" w:space="0"/>
            </w:tcBorders>
            <w:vAlign w:val="center"/>
          </w:tcPr>
          <w:p w14:paraId="63032099">
            <w:pPr>
              <w:snapToGrid w:val="0"/>
              <w:jc w:val="center"/>
              <w:rPr>
                <w:bCs/>
                <w:sz w:val="24"/>
                <w:highlight w:val="none"/>
              </w:rPr>
            </w:pPr>
            <w:r>
              <w:rPr>
                <w:rFonts w:hint="eastAsia"/>
                <w:sz w:val="24"/>
                <w:highlight w:val="none"/>
              </w:rPr>
              <w:t>潍坊五洲浩特电气有限公司</w:t>
            </w:r>
          </w:p>
        </w:tc>
        <w:tc>
          <w:tcPr>
            <w:tcW w:w="1565" w:type="dxa"/>
            <w:tcBorders>
              <w:top w:val="single" w:color="auto" w:sz="4" w:space="0"/>
              <w:left w:val="single" w:color="auto" w:sz="4" w:space="0"/>
              <w:bottom w:val="single" w:color="auto" w:sz="4" w:space="0"/>
              <w:right w:val="single" w:color="auto" w:sz="4" w:space="0"/>
            </w:tcBorders>
            <w:vAlign w:val="center"/>
          </w:tcPr>
          <w:p w14:paraId="0A068027">
            <w:pPr>
              <w:snapToGrid w:val="0"/>
              <w:jc w:val="center"/>
              <w:rPr>
                <w:bCs/>
                <w:sz w:val="24"/>
                <w:highlight w:val="none"/>
              </w:rPr>
            </w:pPr>
            <w:r>
              <w:rPr>
                <w:rFonts w:hint="eastAsia"/>
                <w:sz w:val="24"/>
                <w:highlight w:val="none"/>
              </w:rPr>
              <w:t>S-M-160/10-NX2</w:t>
            </w:r>
          </w:p>
        </w:tc>
        <w:tc>
          <w:tcPr>
            <w:tcW w:w="931" w:type="dxa"/>
            <w:tcBorders>
              <w:top w:val="single" w:color="auto" w:sz="4" w:space="0"/>
              <w:left w:val="single" w:color="auto" w:sz="4" w:space="0"/>
              <w:bottom w:val="single" w:color="auto" w:sz="4" w:space="0"/>
              <w:right w:val="single" w:color="auto" w:sz="4" w:space="0"/>
            </w:tcBorders>
            <w:noWrap/>
            <w:vAlign w:val="center"/>
          </w:tcPr>
          <w:p w14:paraId="366F013B">
            <w:pPr>
              <w:snapToGrid w:val="0"/>
              <w:jc w:val="center"/>
              <w:rPr>
                <w:bCs/>
                <w:sz w:val="24"/>
                <w:highlight w:val="none"/>
              </w:rPr>
            </w:pPr>
            <w:r>
              <w:rPr>
                <w:rFonts w:hint="eastAsia"/>
                <w:bCs/>
                <w:kern w:val="0"/>
                <w:sz w:val="24"/>
                <w:highlight w:val="none"/>
              </w:rPr>
              <w:t>1</w:t>
            </w:r>
          </w:p>
        </w:tc>
      </w:tr>
      <w:tr w14:paraId="13A128A2">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177D03A0">
            <w:pPr>
              <w:snapToGrid w:val="0"/>
              <w:jc w:val="center"/>
              <w:rPr>
                <w:bCs/>
                <w:sz w:val="24"/>
                <w:highlight w:val="none"/>
              </w:rPr>
            </w:pPr>
            <w:r>
              <w:rPr>
                <w:rFonts w:hint="eastAsia"/>
                <w:bCs/>
                <w:sz w:val="24"/>
                <w:highlight w:val="none"/>
              </w:rPr>
              <w:t>15</w:t>
            </w:r>
          </w:p>
        </w:tc>
        <w:tc>
          <w:tcPr>
            <w:tcW w:w="3463" w:type="dxa"/>
            <w:tcBorders>
              <w:top w:val="single" w:color="auto" w:sz="4" w:space="0"/>
              <w:left w:val="single" w:color="auto" w:sz="4" w:space="0"/>
              <w:bottom w:val="single" w:color="auto" w:sz="4" w:space="0"/>
              <w:right w:val="single" w:color="auto" w:sz="4" w:space="0"/>
            </w:tcBorders>
            <w:noWrap/>
            <w:vAlign w:val="center"/>
          </w:tcPr>
          <w:p w14:paraId="3200D1A4">
            <w:pPr>
              <w:snapToGrid w:val="0"/>
              <w:jc w:val="center"/>
              <w:rPr>
                <w:bCs/>
                <w:sz w:val="24"/>
                <w:highlight w:val="none"/>
              </w:rPr>
            </w:pPr>
            <w:r>
              <w:rPr>
                <w:rFonts w:hint="eastAsia"/>
                <w:sz w:val="24"/>
                <w:highlight w:val="none"/>
              </w:rPr>
              <w:t>35米高五层平台正方形Z字型爬梯拉线式四柱角钢铁塔</w:t>
            </w:r>
          </w:p>
        </w:tc>
        <w:tc>
          <w:tcPr>
            <w:tcW w:w="2105" w:type="dxa"/>
            <w:tcBorders>
              <w:top w:val="single" w:color="auto" w:sz="4" w:space="0"/>
              <w:left w:val="single" w:color="auto" w:sz="4" w:space="0"/>
              <w:bottom w:val="single" w:color="auto" w:sz="4" w:space="0"/>
              <w:right w:val="single" w:color="auto" w:sz="4" w:space="0"/>
            </w:tcBorders>
            <w:vAlign w:val="center"/>
          </w:tcPr>
          <w:p w14:paraId="6477431D">
            <w:pPr>
              <w:snapToGrid w:val="0"/>
              <w:jc w:val="center"/>
              <w:rPr>
                <w:bCs/>
                <w:sz w:val="24"/>
                <w:highlight w:val="none"/>
              </w:rPr>
            </w:pPr>
            <w:r>
              <w:rPr>
                <w:rFonts w:hint="eastAsia"/>
                <w:sz w:val="24"/>
                <w:highlight w:val="none"/>
              </w:rPr>
              <w:t>/</w:t>
            </w:r>
          </w:p>
        </w:tc>
        <w:tc>
          <w:tcPr>
            <w:tcW w:w="1565" w:type="dxa"/>
            <w:tcBorders>
              <w:top w:val="single" w:color="auto" w:sz="4" w:space="0"/>
              <w:left w:val="single" w:color="auto" w:sz="4" w:space="0"/>
              <w:bottom w:val="single" w:color="auto" w:sz="4" w:space="0"/>
              <w:right w:val="single" w:color="auto" w:sz="4" w:space="0"/>
            </w:tcBorders>
            <w:vAlign w:val="center"/>
          </w:tcPr>
          <w:p w14:paraId="4E5694C3">
            <w:pPr>
              <w:snapToGrid w:val="0"/>
              <w:jc w:val="center"/>
              <w:rPr>
                <w:bCs/>
                <w:sz w:val="24"/>
                <w:highlight w:val="none"/>
              </w:rPr>
            </w:pPr>
            <w:r>
              <w:rPr>
                <w:rFonts w:hint="eastAsia"/>
                <w:sz w:val="24"/>
                <w:highlight w:val="none"/>
              </w:rPr>
              <w:t>ZY-TW35</w:t>
            </w:r>
          </w:p>
        </w:tc>
        <w:tc>
          <w:tcPr>
            <w:tcW w:w="931" w:type="dxa"/>
            <w:tcBorders>
              <w:top w:val="single" w:color="auto" w:sz="4" w:space="0"/>
              <w:left w:val="single" w:color="auto" w:sz="4" w:space="0"/>
              <w:bottom w:val="single" w:color="auto" w:sz="4" w:space="0"/>
              <w:right w:val="single" w:color="auto" w:sz="4" w:space="0"/>
            </w:tcBorders>
            <w:noWrap/>
            <w:vAlign w:val="center"/>
          </w:tcPr>
          <w:p w14:paraId="6A95E5E3">
            <w:pPr>
              <w:snapToGrid w:val="0"/>
              <w:jc w:val="center"/>
              <w:rPr>
                <w:bCs/>
                <w:sz w:val="24"/>
                <w:highlight w:val="none"/>
              </w:rPr>
            </w:pPr>
            <w:r>
              <w:rPr>
                <w:rFonts w:hint="eastAsia"/>
                <w:bCs/>
                <w:kern w:val="0"/>
                <w:sz w:val="24"/>
                <w:highlight w:val="none"/>
              </w:rPr>
              <w:t>1</w:t>
            </w:r>
          </w:p>
        </w:tc>
      </w:tr>
      <w:tr w14:paraId="0FE89B13">
        <w:tblPrEx>
          <w:tblCellMar>
            <w:top w:w="0" w:type="dxa"/>
            <w:left w:w="108" w:type="dxa"/>
            <w:bottom w:w="0" w:type="dxa"/>
            <w:right w:w="108" w:type="dxa"/>
          </w:tblCellMar>
        </w:tblPrEx>
        <w:trPr>
          <w:trHeight w:val="28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28A0894C">
            <w:pPr>
              <w:snapToGrid w:val="0"/>
              <w:jc w:val="center"/>
              <w:rPr>
                <w:bCs/>
                <w:sz w:val="24"/>
                <w:highlight w:val="none"/>
              </w:rPr>
            </w:pPr>
            <w:r>
              <w:rPr>
                <w:rFonts w:hint="eastAsia"/>
                <w:bCs/>
                <w:sz w:val="24"/>
                <w:highlight w:val="none"/>
              </w:rPr>
              <w:t>16</w:t>
            </w:r>
          </w:p>
        </w:tc>
        <w:tc>
          <w:tcPr>
            <w:tcW w:w="3463" w:type="dxa"/>
            <w:tcBorders>
              <w:top w:val="single" w:color="auto" w:sz="4" w:space="0"/>
              <w:left w:val="single" w:color="auto" w:sz="4" w:space="0"/>
              <w:bottom w:val="single" w:color="auto" w:sz="4" w:space="0"/>
              <w:right w:val="single" w:color="auto" w:sz="4" w:space="0"/>
            </w:tcBorders>
            <w:noWrap/>
            <w:vAlign w:val="center"/>
          </w:tcPr>
          <w:p w14:paraId="31BFF629">
            <w:pPr>
              <w:snapToGrid w:val="0"/>
              <w:jc w:val="center"/>
              <w:rPr>
                <w:bCs/>
                <w:sz w:val="24"/>
                <w:highlight w:val="none"/>
              </w:rPr>
            </w:pPr>
            <w:r>
              <w:rPr>
                <w:rFonts w:hint="eastAsia"/>
                <w:sz w:val="24"/>
                <w:highlight w:val="none"/>
              </w:rPr>
              <w:t>移动简易站房</w:t>
            </w:r>
          </w:p>
        </w:tc>
        <w:tc>
          <w:tcPr>
            <w:tcW w:w="2105" w:type="dxa"/>
            <w:tcBorders>
              <w:top w:val="single" w:color="auto" w:sz="4" w:space="0"/>
              <w:left w:val="single" w:color="auto" w:sz="4" w:space="0"/>
              <w:bottom w:val="single" w:color="auto" w:sz="4" w:space="0"/>
              <w:right w:val="single" w:color="auto" w:sz="4" w:space="0"/>
            </w:tcBorders>
            <w:vAlign w:val="center"/>
          </w:tcPr>
          <w:p w14:paraId="2C535CA9">
            <w:pPr>
              <w:snapToGrid w:val="0"/>
              <w:jc w:val="center"/>
              <w:rPr>
                <w:bCs/>
                <w:sz w:val="24"/>
                <w:highlight w:val="none"/>
              </w:rPr>
            </w:pPr>
            <w:r>
              <w:rPr>
                <w:rFonts w:hint="eastAsia"/>
                <w:sz w:val="24"/>
                <w:highlight w:val="none"/>
              </w:rPr>
              <w:t>/</w:t>
            </w:r>
          </w:p>
        </w:tc>
        <w:tc>
          <w:tcPr>
            <w:tcW w:w="1565" w:type="dxa"/>
            <w:tcBorders>
              <w:top w:val="single" w:color="auto" w:sz="4" w:space="0"/>
              <w:left w:val="single" w:color="auto" w:sz="4" w:space="0"/>
              <w:bottom w:val="single" w:color="auto" w:sz="4" w:space="0"/>
              <w:right w:val="single" w:color="auto" w:sz="4" w:space="0"/>
            </w:tcBorders>
            <w:vAlign w:val="center"/>
          </w:tcPr>
          <w:p w14:paraId="15168A1A">
            <w:pPr>
              <w:snapToGrid w:val="0"/>
              <w:jc w:val="center"/>
              <w:rPr>
                <w:bCs/>
                <w:sz w:val="24"/>
                <w:highlight w:val="none"/>
              </w:rPr>
            </w:pPr>
            <w:r>
              <w:rPr>
                <w:rFonts w:hint="eastAsia"/>
                <w:sz w:val="24"/>
                <w:highlight w:val="none"/>
              </w:rPr>
              <w:t>ZY-HS10</w:t>
            </w:r>
          </w:p>
        </w:tc>
        <w:tc>
          <w:tcPr>
            <w:tcW w:w="931" w:type="dxa"/>
            <w:tcBorders>
              <w:top w:val="single" w:color="auto" w:sz="4" w:space="0"/>
              <w:left w:val="single" w:color="auto" w:sz="4" w:space="0"/>
              <w:bottom w:val="single" w:color="auto" w:sz="4" w:space="0"/>
              <w:right w:val="single" w:color="auto" w:sz="4" w:space="0"/>
            </w:tcBorders>
            <w:noWrap/>
            <w:vAlign w:val="center"/>
          </w:tcPr>
          <w:p w14:paraId="1CBCBE98">
            <w:pPr>
              <w:snapToGrid w:val="0"/>
              <w:jc w:val="center"/>
              <w:rPr>
                <w:bCs/>
                <w:sz w:val="24"/>
                <w:highlight w:val="none"/>
              </w:rPr>
            </w:pPr>
            <w:r>
              <w:rPr>
                <w:rFonts w:hint="eastAsia"/>
                <w:bCs/>
                <w:kern w:val="0"/>
                <w:sz w:val="24"/>
                <w:highlight w:val="none"/>
              </w:rPr>
              <w:t>1</w:t>
            </w:r>
          </w:p>
        </w:tc>
      </w:tr>
    </w:tbl>
    <w:p w14:paraId="6991D0D0">
      <w:pPr>
        <w:snapToGrid w:val="0"/>
        <w:spacing w:before="156" w:beforeLines="50" w:line="360" w:lineRule="auto"/>
        <w:ind w:firstLine="482" w:firstLineChars="200"/>
        <w:rPr>
          <w:b/>
          <w:bCs/>
          <w:sz w:val="24"/>
          <w:highlight w:val="none"/>
        </w:rPr>
      </w:pPr>
      <w:r>
        <w:rPr>
          <w:b/>
          <w:bCs/>
          <w:sz w:val="24"/>
          <w:highlight w:val="none"/>
        </w:rPr>
        <w:t>1.2具体维护内容</w:t>
      </w:r>
    </w:p>
    <w:p w14:paraId="1A049C26">
      <w:pPr>
        <w:snapToGrid w:val="0"/>
        <w:spacing w:line="360" w:lineRule="auto"/>
        <w:ind w:firstLine="482" w:firstLineChars="200"/>
        <w:rPr>
          <w:b/>
          <w:bCs/>
          <w:sz w:val="24"/>
          <w:highlight w:val="none"/>
        </w:rPr>
      </w:pPr>
      <w:r>
        <w:rPr>
          <w:b/>
          <w:bCs/>
          <w:sz w:val="24"/>
          <w:highlight w:val="none"/>
        </w:rPr>
        <w:t>1.2.1 仪器设备维护内容</w:t>
      </w:r>
    </w:p>
    <w:p w14:paraId="3DE71673">
      <w:pPr>
        <w:pStyle w:val="2"/>
        <w:snapToGrid w:val="0"/>
        <w:spacing w:after="0"/>
        <w:jc w:val="center"/>
        <w:rPr>
          <w:b/>
          <w:sz w:val="24"/>
          <w:highlight w:val="none"/>
        </w:rPr>
      </w:pPr>
      <w:r>
        <w:rPr>
          <w:b/>
          <w:sz w:val="24"/>
          <w:highlight w:val="none"/>
        </w:rPr>
        <w:t>表2   仪器设备维护内容</w:t>
      </w:r>
    </w:p>
    <w:tbl>
      <w:tblPr>
        <w:tblStyle w:val="15"/>
        <w:tblW w:w="88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417"/>
        <w:gridCol w:w="4309"/>
      </w:tblGrid>
      <w:tr w14:paraId="7847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2108" w:type="dxa"/>
            <w:vAlign w:val="center"/>
          </w:tcPr>
          <w:p w14:paraId="65551FE7">
            <w:pPr>
              <w:snapToGrid w:val="0"/>
              <w:jc w:val="center"/>
              <w:rPr>
                <w:b/>
                <w:bCs/>
                <w:sz w:val="24"/>
                <w:highlight w:val="none"/>
              </w:rPr>
            </w:pPr>
            <w:r>
              <w:rPr>
                <w:rFonts w:hint="eastAsia"/>
                <w:b/>
                <w:bCs/>
                <w:sz w:val="24"/>
                <w:highlight w:val="none"/>
              </w:rPr>
              <w:t>项目</w:t>
            </w:r>
          </w:p>
        </w:tc>
        <w:tc>
          <w:tcPr>
            <w:tcW w:w="2417" w:type="dxa"/>
            <w:vAlign w:val="center"/>
          </w:tcPr>
          <w:p w14:paraId="0DB5D0DD">
            <w:pPr>
              <w:snapToGrid w:val="0"/>
              <w:jc w:val="center"/>
              <w:rPr>
                <w:b/>
                <w:bCs/>
                <w:sz w:val="24"/>
                <w:highlight w:val="none"/>
              </w:rPr>
            </w:pPr>
            <w:r>
              <w:rPr>
                <w:rFonts w:hint="eastAsia"/>
                <w:b/>
                <w:bCs/>
                <w:sz w:val="24"/>
                <w:highlight w:val="none"/>
              </w:rPr>
              <w:t>维护内容</w:t>
            </w:r>
          </w:p>
        </w:tc>
        <w:tc>
          <w:tcPr>
            <w:tcW w:w="4309" w:type="dxa"/>
            <w:vAlign w:val="center"/>
          </w:tcPr>
          <w:p w14:paraId="131A7000">
            <w:pPr>
              <w:snapToGrid w:val="0"/>
              <w:jc w:val="center"/>
              <w:rPr>
                <w:b/>
                <w:bCs/>
                <w:sz w:val="24"/>
                <w:highlight w:val="none"/>
              </w:rPr>
            </w:pPr>
            <w:r>
              <w:rPr>
                <w:rFonts w:hint="eastAsia"/>
                <w:b/>
                <w:bCs/>
                <w:sz w:val="24"/>
                <w:highlight w:val="none"/>
              </w:rPr>
              <w:t>维护目标</w:t>
            </w:r>
          </w:p>
        </w:tc>
      </w:tr>
      <w:tr w14:paraId="0C49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restart"/>
            <w:vAlign w:val="center"/>
          </w:tcPr>
          <w:p w14:paraId="6777DD34">
            <w:pPr>
              <w:snapToGrid w:val="0"/>
              <w:jc w:val="center"/>
              <w:rPr>
                <w:sz w:val="24"/>
                <w:highlight w:val="none"/>
              </w:rPr>
            </w:pPr>
            <w:r>
              <w:rPr>
                <w:rFonts w:hint="eastAsia"/>
                <w:sz w:val="24"/>
                <w:highlight w:val="none"/>
              </w:rPr>
              <w:t>机箱</w:t>
            </w:r>
          </w:p>
        </w:tc>
        <w:tc>
          <w:tcPr>
            <w:tcW w:w="2417" w:type="dxa"/>
            <w:vAlign w:val="center"/>
          </w:tcPr>
          <w:p w14:paraId="7C6E0302">
            <w:pPr>
              <w:snapToGrid w:val="0"/>
              <w:jc w:val="center"/>
              <w:rPr>
                <w:sz w:val="24"/>
                <w:highlight w:val="none"/>
              </w:rPr>
            </w:pPr>
            <w:r>
              <w:rPr>
                <w:rFonts w:hint="eastAsia"/>
                <w:sz w:val="24"/>
                <w:highlight w:val="none"/>
              </w:rPr>
              <w:t>清洁机箱内部</w:t>
            </w:r>
          </w:p>
        </w:tc>
        <w:tc>
          <w:tcPr>
            <w:tcW w:w="4309" w:type="dxa"/>
            <w:vAlign w:val="center"/>
          </w:tcPr>
          <w:p w14:paraId="23764BE1">
            <w:pPr>
              <w:snapToGrid w:val="0"/>
              <w:jc w:val="center"/>
              <w:rPr>
                <w:sz w:val="24"/>
                <w:highlight w:val="none"/>
              </w:rPr>
            </w:pPr>
            <w:r>
              <w:rPr>
                <w:rFonts w:hint="eastAsia"/>
                <w:sz w:val="24"/>
                <w:highlight w:val="none"/>
              </w:rPr>
              <w:t>无蚊虫，无污物</w:t>
            </w:r>
          </w:p>
        </w:tc>
      </w:tr>
      <w:tr w14:paraId="4225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continue"/>
            <w:vAlign w:val="center"/>
          </w:tcPr>
          <w:p w14:paraId="03DCB195">
            <w:pPr>
              <w:snapToGrid w:val="0"/>
              <w:jc w:val="center"/>
              <w:rPr>
                <w:sz w:val="24"/>
                <w:highlight w:val="none"/>
              </w:rPr>
            </w:pPr>
          </w:p>
        </w:tc>
        <w:tc>
          <w:tcPr>
            <w:tcW w:w="2417" w:type="dxa"/>
            <w:vAlign w:val="center"/>
          </w:tcPr>
          <w:p w14:paraId="449561F1">
            <w:pPr>
              <w:snapToGrid w:val="0"/>
              <w:jc w:val="center"/>
              <w:rPr>
                <w:sz w:val="24"/>
                <w:highlight w:val="none"/>
              </w:rPr>
            </w:pPr>
            <w:r>
              <w:rPr>
                <w:rFonts w:hint="eastAsia"/>
                <w:sz w:val="24"/>
                <w:highlight w:val="none"/>
              </w:rPr>
              <w:t>定期更换干燥剂</w:t>
            </w:r>
          </w:p>
        </w:tc>
        <w:tc>
          <w:tcPr>
            <w:tcW w:w="4309" w:type="dxa"/>
            <w:vAlign w:val="center"/>
          </w:tcPr>
          <w:p w14:paraId="31DB38F6">
            <w:pPr>
              <w:snapToGrid w:val="0"/>
              <w:jc w:val="center"/>
              <w:rPr>
                <w:sz w:val="24"/>
                <w:highlight w:val="none"/>
              </w:rPr>
            </w:pPr>
            <w:r>
              <w:rPr>
                <w:rFonts w:hint="eastAsia"/>
                <w:sz w:val="24"/>
                <w:highlight w:val="none"/>
              </w:rPr>
              <w:t>保障机箱内干燥</w:t>
            </w:r>
          </w:p>
        </w:tc>
      </w:tr>
      <w:tr w14:paraId="401A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Align w:val="center"/>
          </w:tcPr>
          <w:p w14:paraId="2201BEB9">
            <w:pPr>
              <w:snapToGrid w:val="0"/>
              <w:jc w:val="center"/>
              <w:rPr>
                <w:sz w:val="24"/>
                <w:highlight w:val="none"/>
              </w:rPr>
            </w:pPr>
            <w:r>
              <w:rPr>
                <w:rFonts w:hint="eastAsia"/>
                <w:sz w:val="24"/>
                <w:highlight w:val="none"/>
              </w:rPr>
              <w:t>线缆</w:t>
            </w:r>
          </w:p>
        </w:tc>
        <w:tc>
          <w:tcPr>
            <w:tcW w:w="2417" w:type="dxa"/>
            <w:vAlign w:val="center"/>
          </w:tcPr>
          <w:p w14:paraId="37FE7DEC">
            <w:pPr>
              <w:snapToGrid w:val="0"/>
              <w:jc w:val="center"/>
              <w:rPr>
                <w:sz w:val="24"/>
                <w:highlight w:val="none"/>
              </w:rPr>
            </w:pPr>
            <w:r>
              <w:rPr>
                <w:rFonts w:hint="eastAsia"/>
                <w:sz w:val="24"/>
                <w:highlight w:val="none"/>
              </w:rPr>
              <w:t>接线、线缆检查</w:t>
            </w:r>
          </w:p>
        </w:tc>
        <w:tc>
          <w:tcPr>
            <w:tcW w:w="4309" w:type="dxa"/>
            <w:vAlign w:val="center"/>
          </w:tcPr>
          <w:p w14:paraId="3931A1D9">
            <w:pPr>
              <w:snapToGrid w:val="0"/>
              <w:jc w:val="center"/>
              <w:rPr>
                <w:sz w:val="24"/>
                <w:highlight w:val="none"/>
              </w:rPr>
            </w:pPr>
            <w:r>
              <w:rPr>
                <w:rFonts w:hint="eastAsia"/>
                <w:sz w:val="24"/>
                <w:highlight w:val="none"/>
              </w:rPr>
              <w:t>线缆接头完好，线皮无破损</w:t>
            </w:r>
          </w:p>
        </w:tc>
      </w:tr>
      <w:tr w14:paraId="07EE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Align w:val="center"/>
          </w:tcPr>
          <w:p w14:paraId="60B22F6E">
            <w:pPr>
              <w:snapToGrid w:val="0"/>
              <w:jc w:val="center"/>
              <w:rPr>
                <w:sz w:val="24"/>
                <w:highlight w:val="none"/>
              </w:rPr>
            </w:pPr>
            <w:r>
              <w:rPr>
                <w:rFonts w:hint="eastAsia"/>
                <w:sz w:val="24"/>
                <w:highlight w:val="none"/>
              </w:rPr>
              <w:t>供电</w:t>
            </w:r>
          </w:p>
        </w:tc>
        <w:tc>
          <w:tcPr>
            <w:tcW w:w="2417" w:type="dxa"/>
            <w:vAlign w:val="center"/>
          </w:tcPr>
          <w:p w14:paraId="2ED289EB">
            <w:pPr>
              <w:snapToGrid w:val="0"/>
              <w:jc w:val="center"/>
              <w:rPr>
                <w:sz w:val="24"/>
                <w:highlight w:val="none"/>
              </w:rPr>
            </w:pPr>
            <w:r>
              <w:rPr>
                <w:rFonts w:hint="eastAsia"/>
                <w:sz w:val="24"/>
                <w:highlight w:val="none"/>
              </w:rPr>
              <w:t>电压测量</w:t>
            </w:r>
          </w:p>
        </w:tc>
        <w:tc>
          <w:tcPr>
            <w:tcW w:w="4309" w:type="dxa"/>
            <w:vAlign w:val="center"/>
          </w:tcPr>
          <w:p w14:paraId="5E01D8FB">
            <w:pPr>
              <w:snapToGrid w:val="0"/>
              <w:jc w:val="center"/>
              <w:rPr>
                <w:sz w:val="24"/>
                <w:highlight w:val="none"/>
              </w:rPr>
            </w:pPr>
            <w:r>
              <w:rPr>
                <w:rFonts w:hint="eastAsia"/>
                <w:sz w:val="24"/>
                <w:highlight w:val="none"/>
              </w:rPr>
              <w:t>保障供电正常</w:t>
            </w:r>
          </w:p>
        </w:tc>
      </w:tr>
      <w:tr w14:paraId="03DA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restart"/>
            <w:vAlign w:val="center"/>
          </w:tcPr>
          <w:p w14:paraId="50E2E93A">
            <w:pPr>
              <w:snapToGrid w:val="0"/>
              <w:jc w:val="center"/>
              <w:rPr>
                <w:sz w:val="24"/>
                <w:highlight w:val="none"/>
              </w:rPr>
            </w:pPr>
            <w:r>
              <w:rPr>
                <w:rFonts w:hint="eastAsia"/>
                <w:sz w:val="24"/>
                <w:highlight w:val="none"/>
              </w:rPr>
              <w:t>数据采集器</w:t>
            </w:r>
          </w:p>
        </w:tc>
        <w:tc>
          <w:tcPr>
            <w:tcW w:w="2417" w:type="dxa"/>
            <w:vAlign w:val="center"/>
          </w:tcPr>
          <w:p w14:paraId="2C1A3229">
            <w:pPr>
              <w:snapToGrid w:val="0"/>
              <w:jc w:val="center"/>
              <w:rPr>
                <w:sz w:val="24"/>
                <w:highlight w:val="none"/>
              </w:rPr>
            </w:pPr>
            <w:r>
              <w:rPr>
                <w:rFonts w:hint="eastAsia"/>
                <w:sz w:val="24"/>
                <w:highlight w:val="none"/>
              </w:rPr>
              <w:t>数采状态</w:t>
            </w:r>
          </w:p>
        </w:tc>
        <w:tc>
          <w:tcPr>
            <w:tcW w:w="4309" w:type="dxa"/>
            <w:vAlign w:val="center"/>
          </w:tcPr>
          <w:p w14:paraId="04030B71">
            <w:pPr>
              <w:snapToGrid w:val="0"/>
              <w:jc w:val="center"/>
              <w:rPr>
                <w:sz w:val="24"/>
                <w:highlight w:val="none"/>
              </w:rPr>
            </w:pPr>
            <w:r>
              <w:rPr>
                <w:rFonts w:hint="eastAsia"/>
                <w:sz w:val="24"/>
                <w:highlight w:val="none"/>
              </w:rPr>
              <w:t>状态无异常</w:t>
            </w:r>
          </w:p>
        </w:tc>
      </w:tr>
      <w:tr w14:paraId="3DCD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continue"/>
            <w:vAlign w:val="center"/>
          </w:tcPr>
          <w:p w14:paraId="741A993B">
            <w:pPr>
              <w:snapToGrid w:val="0"/>
              <w:jc w:val="center"/>
              <w:rPr>
                <w:sz w:val="24"/>
                <w:highlight w:val="none"/>
              </w:rPr>
            </w:pPr>
          </w:p>
        </w:tc>
        <w:tc>
          <w:tcPr>
            <w:tcW w:w="2417" w:type="dxa"/>
            <w:vAlign w:val="center"/>
          </w:tcPr>
          <w:p w14:paraId="3B7567FE">
            <w:pPr>
              <w:snapToGrid w:val="0"/>
              <w:jc w:val="center"/>
              <w:rPr>
                <w:sz w:val="24"/>
                <w:highlight w:val="none"/>
              </w:rPr>
            </w:pPr>
            <w:r>
              <w:rPr>
                <w:rFonts w:hint="eastAsia"/>
                <w:sz w:val="24"/>
                <w:highlight w:val="none"/>
              </w:rPr>
              <w:t>数据完整性</w:t>
            </w:r>
          </w:p>
        </w:tc>
        <w:tc>
          <w:tcPr>
            <w:tcW w:w="4309" w:type="dxa"/>
            <w:vAlign w:val="center"/>
          </w:tcPr>
          <w:p w14:paraId="222342FB">
            <w:pPr>
              <w:snapToGrid w:val="0"/>
              <w:jc w:val="center"/>
              <w:rPr>
                <w:sz w:val="24"/>
                <w:highlight w:val="none"/>
              </w:rPr>
            </w:pPr>
            <w:r>
              <w:rPr>
                <w:rFonts w:hint="eastAsia"/>
                <w:sz w:val="24"/>
                <w:highlight w:val="none"/>
              </w:rPr>
              <w:t>定期下载数据，格式化数据卡</w:t>
            </w:r>
          </w:p>
        </w:tc>
      </w:tr>
      <w:tr w14:paraId="309D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restart"/>
            <w:vAlign w:val="center"/>
          </w:tcPr>
          <w:p w14:paraId="0C7BB01B">
            <w:pPr>
              <w:snapToGrid w:val="0"/>
              <w:jc w:val="center"/>
              <w:rPr>
                <w:sz w:val="24"/>
                <w:highlight w:val="none"/>
              </w:rPr>
            </w:pPr>
            <w:r>
              <w:rPr>
                <w:rFonts w:hint="eastAsia"/>
                <w:sz w:val="24"/>
                <w:highlight w:val="none"/>
              </w:rPr>
              <w:t>空气温湿度</w:t>
            </w:r>
          </w:p>
        </w:tc>
        <w:tc>
          <w:tcPr>
            <w:tcW w:w="2417" w:type="dxa"/>
            <w:vAlign w:val="center"/>
          </w:tcPr>
          <w:p w14:paraId="001FBC1A">
            <w:pPr>
              <w:snapToGrid w:val="0"/>
              <w:jc w:val="center"/>
              <w:rPr>
                <w:sz w:val="24"/>
                <w:highlight w:val="none"/>
              </w:rPr>
            </w:pPr>
            <w:r>
              <w:rPr>
                <w:rFonts w:hint="eastAsia"/>
                <w:sz w:val="24"/>
                <w:highlight w:val="none"/>
              </w:rPr>
              <w:t>辐射罩</w:t>
            </w:r>
          </w:p>
        </w:tc>
        <w:tc>
          <w:tcPr>
            <w:tcW w:w="4309" w:type="dxa"/>
            <w:vAlign w:val="center"/>
          </w:tcPr>
          <w:p w14:paraId="5C7FDF13">
            <w:pPr>
              <w:snapToGrid w:val="0"/>
              <w:jc w:val="center"/>
              <w:rPr>
                <w:sz w:val="24"/>
                <w:highlight w:val="none"/>
              </w:rPr>
            </w:pPr>
            <w:r>
              <w:rPr>
                <w:rFonts w:hint="eastAsia"/>
                <w:sz w:val="24"/>
                <w:highlight w:val="none"/>
              </w:rPr>
              <w:t>辐射罩无破损，无脏污</w:t>
            </w:r>
          </w:p>
        </w:tc>
      </w:tr>
      <w:tr w14:paraId="5A5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continue"/>
            <w:vAlign w:val="center"/>
          </w:tcPr>
          <w:p w14:paraId="30E15116">
            <w:pPr>
              <w:snapToGrid w:val="0"/>
              <w:jc w:val="center"/>
              <w:rPr>
                <w:sz w:val="24"/>
                <w:highlight w:val="none"/>
              </w:rPr>
            </w:pPr>
          </w:p>
        </w:tc>
        <w:tc>
          <w:tcPr>
            <w:tcW w:w="2417" w:type="dxa"/>
            <w:vAlign w:val="center"/>
          </w:tcPr>
          <w:p w14:paraId="4EF08B90">
            <w:pPr>
              <w:snapToGrid w:val="0"/>
              <w:jc w:val="center"/>
              <w:rPr>
                <w:sz w:val="24"/>
                <w:highlight w:val="none"/>
              </w:rPr>
            </w:pPr>
            <w:r>
              <w:rPr>
                <w:rFonts w:hint="eastAsia"/>
                <w:sz w:val="24"/>
                <w:highlight w:val="none"/>
              </w:rPr>
              <w:t>数据检查</w:t>
            </w:r>
          </w:p>
        </w:tc>
        <w:tc>
          <w:tcPr>
            <w:tcW w:w="4309" w:type="dxa"/>
            <w:vAlign w:val="center"/>
          </w:tcPr>
          <w:p w14:paraId="7D26F398">
            <w:pPr>
              <w:snapToGrid w:val="0"/>
              <w:jc w:val="center"/>
              <w:rPr>
                <w:sz w:val="24"/>
                <w:highlight w:val="none"/>
              </w:rPr>
            </w:pPr>
            <w:r>
              <w:rPr>
                <w:rFonts w:hint="eastAsia"/>
                <w:sz w:val="24"/>
                <w:highlight w:val="none"/>
              </w:rPr>
              <w:t>数据正常</w:t>
            </w:r>
          </w:p>
        </w:tc>
      </w:tr>
      <w:tr w14:paraId="3A6A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08" w:type="dxa"/>
            <w:vMerge w:val="restart"/>
            <w:vAlign w:val="center"/>
          </w:tcPr>
          <w:p w14:paraId="153B1E18">
            <w:pPr>
              <w:snapToGrid w:val="0"/>
              <w:jc w:val="center"/>
              <w:rPr>
                <w:sz w:val="24"/>
                <w:highlight w:val="none"/>
              </w:rPr>
            </w:pPr>
            <w:r>
              <w:rPr>
                <w:rFonts w:hint="eastAsia"/>
                <w:sz w:val="24"/>
                <w:highlight w:val="none"/>
              </w:rPr>
              <w:t>风速风向传感器</w:t>
            </w:r>
          </w:p>
        </w:tc>
        <w:tc>
          <w:tcPr>
            <w:tcW w:w="2417" w:type="dxa"/>
            <w:vAlign w:val="center"/>
          </w:tcPr>
          <w:p w14:paraId="17FE46CD">
            <w:pPr>
              <w:snapToGrid w:val="0"/>
              <w:jc w:val="center"/>
              <w:rPr>
                <w:sz w:val="24"/>
                <w:highlight w:val="none"/>
              </w:rPr>
            </w:pPr>
            <w:r>
              <w:rPr>
                <w:rFonts w:hint="eastAsia"/>
                <w:sz w:val="24"/>
                <w:highlight w:val="none"/>
              </w:rPr>
              <w:t>转动情况</w:t>
            </w:r>
          </w:p>
        </w:tc>
        <w:tc>
          <w:tcPr>
            <w:tcW w:w="4309" w:type="dxa"/>
            <w:vAlign w:val="center"/>
          </w:tcPr>
          <w:p w14:paraId="10EEF646">
            <w:pPr>
              <w:snapToGrid w:val="0"/>
              <w:jc w:val="center"/>
              <w:rPr>
                <w:sz w:val="24"/>
                <w:highlight w:val="none"/>
              </w:rPr>
            </w:pPr>
            <w:r>
              <w:rPr>
                <w:rFonts w:hint="eastAsia"/>
                <w:sz w:val="24"/>
                <w:highlight w:val="none"/>
              </w:rPr>
              <w:t>转动轴无阻碍，风向数据正常</w:t>
            </w:r>
          </w:p>
        </w:tc>
      </w:tr>
      <w:tr w14:paraId="2FB2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278B6E57">
            <w:pPr>
              <w:snapToGrid w:val="0"/>
              <w:jc w:val="center"/>
              <w:rPr>
                <w:sz w:val="24"/>
                <w:highlight w:val="none"/>
              </w:rPr>
            </w:pPr>
          </w:p>
        </w:tc>
        <w:tc>
          <w:tcPr>
            <w:tcW w:w="2417" w:type="dxa"/>
            <w:vAlign w:val="center"/>
          </w:tcPr>
          <w:p w14:paraId="2B14C1FE">
            <w:pPr>
              <w:snapToGrid w:val="0"/>
              <w:jc w:val="center"/>
              <w:rPr>
                <w:sz w:val="24"/>
                <w:highlight w:val="none"/>
              </w:rPr>
            </w:pPr>
            <w:r>
              <w:rPr>
                <w:rFonts w:hint="eastAsia"/>
                <w:sz w:val="24"/>
                <w:highlight w:val="none"/>
              </w:rPr>
              <w:t>数据检查</w:t>
            </w:r>
          </w:p>
        </w:tc>
        <w:tc>
          <w:tcPr>
            <w:tcW w:w="4309" w:type="dxa"/>
            <w:vAlign w:val="center"/>
          </w:tcPr>
          <w:p w14:paraId="56630490">
            <w:pPr>
              <w:snapToGrid w:val="0"/>
              <w:jc w:val="center"/>
              <w:rPr>
                <w:sz w:val="24"/>
                <w:highlight w:val="none"/>
              </w:rPr>
            </w:pPr>
            <w:r>
              <w:rPr>
                <w:rFonts w:hint="eastAsia"/>
                <w:sz w:val="24"/>
                <w:highlight w:val="none"/>
              </w:rPr>
              <w:t>数据正常</w:t>
            </w:r>
          </w:p>
        </w:tc>
      </w:tr>
      <w:tr w14:paraId="2564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restart"/>
            <w:vAlign w:val="center"/>
          </w:tcPr>
          <w:p w14:paraId="001E7B5D">
            <w:pPr>
              <w:snapToGrid w:val="0"/>
              <w:jc w:val="center"/>
              <w:rPr>
                <w:sz w:val="24"/>
                <w:highlight w:val="none"/>
              </w:rPr>
            </w:pPr>
            <w:r>
              <w:rPr>
                <w:rFonts w:hint="eastAsia"/>
                <w:sz w:val="24"/>
                <w:highlight w:val="none"/>
              </w:rPr>
              <w:t>四分量净辐射</w:t>
            </w:r>
          </w:p>
        </w:tc>
        <w:tc>
          <w:tcPr>
            <w:tcW w:w="2417" w:type="dxa"/>
            <w:vAlign w:val="center"/>
          </w:tcPr>
          <w:p w14:paraId="2C6F6046">
            <w:pPr>
              <w:snapToGrid w:val="0"/>
              <w:jc w:val="center"/>
              <w:rPr>
                <w:sz w:val="24"/>
                <w:highlight w:val="none"/>
              </w:rPr>
            </w:pPr>
            <w:r>
              <w:rPr>
                <w:rFonts w:hint="eastAsia"/>
                <w:sz w:val="24"/>
                <w:highlight w:val="none"/>
              </w:rPr>
              <w:t>镜面清洁</w:t>
            </w:r>
          </w:p>
        </w:tc>
        <w:tc>
          <w:tcPr>
            <w:tcW w:w="4309" w:type="dxa"/>
            <w:vAlign w:val="center"/>
          </w:tcPr>
          <w:p w14:paraId="47CD2DD4">
            <w:pPr>
              <w:snapToGrid w:val="0"/>
              <w:jc w:val="center"/>
              <w:rPr>
                <w:sz w:val="24"/>
                <w:highlight w:val="none"/>
              </w:rPr>
            </w:pPr>
            <w:r>
              <w:rPr>
                <w:rFonts w:hint="eastAsia"/>
                <w:sz w:val="24"/>
                <w:highlight w:val="none"/>
              </w:rPr>
              <w:t>定期擦拭上下镜面</w:t>
            </w:r>
          </w:p>
        </w:tc>
      </w:tr>
      <w:tr w14:paraId="7721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08BDAC00">
            <w:pPr>
              <w:snapToGrid w:val="0"/>
              <w:jc w:val="center"/>
              <w:rPr>
                <w:sz w:val="24"/>
                <w:highlight w:val="none"/>
              </w:rPr>
            </w:pPr>
          </w:p>
        </w:tc>
        <w:tc>
          <w:tcPr>
            <w:tcW w:w="2417" w:type="dxa"/>
            <w:vAlign w:val="center"/>
          </w:tcPr>
          <w:p w14:paraId="6F7C2967">
            <w:pPr>
              <w:snapToGrid w:val="0"/>
              <w:jc w:val="center"/>
              <w:rPr>
                <w:sz w:val="24"/>
                <w:highlight w:val="none"/>
              </w:rPr>
            </w:pPr>
            <w:r>
              <w:rPr>
                <w:rFonts w:hint="eastAsia"/>
                <w:sz w:val="24"/>
                <w:highlight w:val="none"/>
              </w:rPr>
              <w:t>水平性检查</w:t>
            </w:r>
          </w:p>
        </w:tc>
        <w:tc>
          <w:tcPr>
            <w:tcW w:w="4309" w:type="dxa"/>
            <w:vAlign w:val="center"/>
          </w:tcPr>
          <w:p w14:paraId="094D5779">
            <w:pPr>
              <w:snapToGrid w:val="0"/>
              <w:jc w:val="center"/>
              <w:rPr>
                <w:sz w:val="24"/>
                <w:highlight w:val="none"/>
              </w:rPr>
            </w:pPr>
            <w:r>
              <w:rPr>
                <w:rFonts w:hint="eastAsia"/>
                <w:sz w:val="24"/>
                <w:highlight w:val="none"/>
              </w:rPr>
              <w:t>定期检查水平泡，调整保持水平</w:t>
            </w:r>
          </w:p>
        </w:tc>
      </w:tr>
      <w:tr w14:paraId="6CF8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571CF86E">
            <w:pPr>
              <w:snapToGrid w:val="0"/>
              <w:jc w:val="center"/>
              <w:rPr>
                <w:sz w:val="24"/>
                <w:highlight w:val="none"/>
              </w:rPr>
            </w:pPr>
          </w:p>
        </w:tc>
        <w:tc>
          <w:tcPr>
            <w:tcW w:w="2417" w:type="dxa"/>
            <w:vAlign w:val="center"/>
          </w:tcPr>
          <w:p w14:paraId="0D736C4E">
            <w:pPr>
              <w:snapToGrid w:val="0"/>
              <w:jc w:val="center"/>
              <w:rPr>
                <w:sz w:val="24"/>
                <w:highlight w:val="none"/>
              </w:rPr>
            </w:pPr>
            <w:r>
              <w:rPr>
                <w:rFonts w:hint="eastAsia"/>
                <w:sz w:val="24"/>
                <w:highlight w:val="none"/>
              </w:rPr>
              <w:t>数据检查</w:t>
            </w:r>
          </w:p>
        </w:tc>
        <w:tc>
          <w:tcPr>
            <w:tcW w:w="4309" w:type="dxa"/>
            <w:vAlign w:val="center"/>
          </w:tcPr>
          <w:p w14:paraId="200EA5BC">
            <w:pPr>
              <w:snapToGrid w:val="0"/>
              <w:jc w:val="center"/>
              <w:rPr>
                <w:sz w:val="24"/>
                <w:highlight w:val="none"/>
              </w:rPr>
            </w:pPr>
            <w:r>
              <w:rPr>
                <w:rFonts w:hint="eastAsia"/>
                <w:sz w:val="24"/>
                <w:highlight w:val="none"/>
              </w:rPr>
              <w:t>数据正常</w:t>
            </w:r>
          </w:p>
        </w:tc>
      </w:tr>
      <w:tr w14:paraId="0F31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restart"/>
            <w:vAlign w:val="center"/>
          </w:tcPr>
          <w:p w14:paraId="2137448D">
            <w:pPr>
              <w:snapToGrid w:val="0"/>
              <w:jc w:val="center"/>
              <w:rPr>
                <w:sz w:val="24"/>
                <w:highlight w:val="none"/>
              </w:rPr>
            </w:pPr>
            <w:r>
              <w:rPr>
                <w:rFonts w:hint="eastAsia"/>
                <w:sz w:val="24"/>
                <w:highlight w:val="none"/>
              </w:rPr>
              <w:t>二氧化碳、水汽分析仪</w:t>
            </w:r>
          </w:p>
        </w:tc>
        <w:tc>
          <w:tcPr>
            <w:tcW w:w="2417" w:type="dxa"/>
            <w:vAlign w:val="center"/>
          </w:tcPr>
          <w:p w14:paraId="604D9AAE">
            <w:pPr>
              <w:snapToGrid w:val="0"/>
              <w:jc w:val="center"/>
              <w:rPr>
                <w:sz w:val="24"/>
                <w:highlight w:val="none"/>
              </w:rPr>
            </w:pPr>
            <w:r>
              <w:rPr>
                <w:rFonts w:hint="eastAsia"/>
                <w:sz w:val="24"/>
                <w:highlight w:val="none"/>
              </w:rPr>
              <w:t>镜面清理</w:t>
            </w:r>
          </w:p>
        </w:tc>
        <w:tc>
          <w:tcPr>
            <w:tcW w:w="4309" w:type="dxa"/>
            <w:vAlign w:val="center"/>
          </w:tcPr>
          <w:p w14:paraId="1C33EDAA">
            <w:pPr>
              <w:snapToGrid w:val="0"/>
              <w:jc w:val="center"/>
              <w:rPr>
                <w:sz w:val="24"/>
                <w:highlight w:val="none"/>
              </w:rPr>
            </w:pPr>
            <w:r>
              <w:rPr>
                <w:rFonts w:hint="eastAsia"/>
                <w:sz w:val="24"/>
                <w:highlight w:val="none"/>
              </w:rPr>
              <w:t>定期查看信号强度，及时清洁镜面</w:t>
            </w:r>
          </w:p>
        </w:tc>
      </w:tr>
      <w:tr w14:paraId="1EEC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7190EFC2">
            <w:pPr>
              <w:snapToGrid w:val="0"/>
              <w:jc w:val="center"/>
              <w:rPr>
                <w:sz w:val="24"/>
                <w:highlight w:val="none"/>
              </w:rPr>
            </w:pPr>
          </w:p>
        </w:tc>
        <w:tc>
          <w:tcPr>
            <w:tcW w:w="2417" w:type="dxa"/>
            <w:vAlign w:val="center"/>
          </w:tcPr>
          <w:p w14:paraId="604AD664">
            <w:pPr>
              <w:snapToGrid w:val="0"/>
              <w:jc w:val="center"/>
              <w:rPr>
                <w:sz w:val="24"/>
                <w:highlight w:val="none"/>
              </w:rPr>
            </w:pPr>
            <w:r>
              <w:rPr>
                <w:rFonts w:hint="eastAsia"/>
                <w:sz w:val="24"/>
                <w:highlight w:val="none"/>
              </w:rPr>
              <w:t>标气检查</w:t>
            </w:r>
          </w:p>
        </w:tc>
        <w:tc>
          <w:tcPr>
            <w:tcW w:w="4309" w:type="dxa"/>
            <w:vAlign w:val="center"/>
          </w:tcPr>
          <w:p w14:paraId="320FB057">
            <w:pPr>
              <w:snapToGrid w:val="0"/>
              <w:jc w:val="center"/>
              <w:rPr>
                <w:sz w:val="24"/>
                <w:highlight w:val="none"/>
              </w:rPr>
            </w:pPr>
            <w:r>
              <w:rPr>
                <w:rFonts w:hint="eastAsia"/>
                <w:sz w:val="24"/>
                <w:highlight w:val="none"/>
              </w:rPr>
              <w:t>定期检查标气瓶压力，保证自标定运行，及时更换标气</w:t>
            </w:r>
          </w:p>
        </w:tc>
      </w:tr>
      <w:tr w14:paraId="1D03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7EF42885">
            <w:pPr>
              <w:snapToGrid w:val="0"/>
              <w:jc w:val="center"/>
              <w:rPr>
                <w:sz w:val="24"/>
                <w:highlight w:val="none"/>
              </w:rPr>
            </w:pPr>
          </w:p>
        </w:tc>
        <w:tc>
          <w:tcPr>
            <w:tcW w:w="2417" w:type="dxa"/>
            <w:vAlign w:val="center"/>
          </w:tcPr>
          <w:p w14:paraId="77C384AD">
            <w:pPr>
              <w:snapToGrid w:val="0"/>
              <w:jc w:val="center"/>
              <w:rPr>
                <w:sz w:val="24"/>
                <w:highlight w:val="none"/>
              </w:rPr>
            </w:pPr>
            <w:r>
              <w:rPr>
                <w:rFonts w:hint="eastAsia"/>
                <w:sz w:val="24"/>
                <w:highlight w:val="none"/>
              </w:rPr>
              <w:t>Vortex进气口检查</w:t>
            </w:r>
          </w:p>
        </w:tc>
        <w:tc>
          <w:tcPr>
            <w:tcW w:w="4309" w:type="dxa"/>
            <w:vAlign w:val="center"/>
          </w:tcPr>
          <w:p w14:paraId="22C5E58C">
            <w:pPr>
              <w:snapToGrid w:val="0"/>
              <w:jc w:val="center"/>
              <w:rPr>
                <w:sz w:val="24"/>
                <w:highlight w:val="none"/>
              </w:rPr>
            </w:pPr>
            <w:r>
              <w:rPr>
                <w:rFonts w:hint="eastAsia"/>
                <w:sz w:val="24"/>
                <w:highlight w:val="none"/>
              </w:rPr>
              <w:t>定期检查Vortex进气口，适时更换过滤器</w:t>
            </w:r>
          </w:p>
        </w:tc>
      </w:tr>
      <w:tr w14:paraId="2241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3C8F8A64">
            <w:pPr>
              <w:snapToGrid w:val="0"/>
              <w:jc w:val="center"/>
              <w:rPr>
                <w:sz w:val="24"/>
                <w:highlight w:val="none"/>
              </w:rPr>
            </w:pPr>
          </w:p>
        </w:tc>
        <w:tc>
          <w:tcPr>
            <w:tcW w:w="2417" w:type="dxa"/>
            <w:vAlign w:val="center"/>
          </w:tcPr>
          <w:p w14:paraId="69BCFEE9">
            <w:pPr>
              <w:snapToGrid w:val="0"/>
              <w:jc w:val="center"/>
              <w:rPr>
                <w:sz w:val="24"/>
                <w:highlight w:val="none"/>
              </w:rPr>
            </w:pPr>
            <w:r>
              <w:rPr>
                <w:rFonts w:hint="eastAsia"/>
                <w:sz w:val="24"/>
                <w:highlight w:val="none"/>
              </w:rPr>
              <w:t>流速检查</w:t>
            </w:r>
          </w:p>
        </w:tc>
        <w:tc>
          <w:tcPr>
            <w:tcW w:w="4309" w:type="dxa"/>
            <w:vAlign w:val="center"/>
          </w:tcPr>
          <w:p w14:paraId="128C0FA8">
            <w:pPr>
              <w:snapToGrid w:val="0"/>
              <w:jc w:val="center"/>
              <w:rPr>
                <w:sz w:val="24"/>
                <w:highlight w:val="none"/>
              </w:rPr>
            </w:pPr>
            <w:r>
              <w:rPr>
                <w:rFonts w:hint="eastAsia"/>
                <w:sz w:val="24"/>
                <w:highlight w:val="none"/>
              </w:rPr>
              <w:t>定期检查泵流速，做好配件更换准备</w:t>
            </w:r>
          </w:p>
        </w:tc>
      </w:tr>
      <w:tr w14:paraId="008C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restart"/>
            <w:vAlign w:val="center"/>
          </w:tcPr>
          <w:p w14:paraId="4104DEB0">
            <w:pPr>
              <w:snapToGrid w:val="0"/>
              <w:jc w:val="center"/>
              <w:rPr>
                <w:sz w:val="24"/>
                <w:highlight w:val="none"/>
              </w:rPr>
            </w:pPr>
            <w:r>
              <w:rPr>
                <w:rFonts w:hint="eastAsia"/>
                <w:sz w:val="24"/>
                <w:highlight w:val="none"/>
              </w:rPr>
              <w:t>三维超声风</w:t>
            </w:r>
          </w:p>
        </w:tc>
        <w:tc>
          <w:tcPr>
            <w:tcW w:w="2417" w:type="dxa"/>
            <w:vAlign w:val="center"/>
          </w:tcPr>
          <w:p w14:paraId="72DFEE03">
            <w:pPr>
              <w:snapToGrid w:val="0"/>
              <w:jc w:val="center"/>
              <w:rPr>
                <w:sz w:val="24"/>
                <w:highlight w:val="none"/>
              </w:rPr>
            </w:pPr>
            <w:r>
              <w:rPr>
                <w:rFonts w:hint="eastAsia"/>
                <w:sz w:val="24"/>
                <w:highlight w:val="none"/>
              </w:rPr>
              <w:t>探头清理</w:t>
            </w:r>
          </w:p>
        </w:tc>
        <w:tc>
          <w:tcPr>
            <w:tcW w:w="4309" w:type="dxa"/>
            <w:vAlign w:val="center"/>
          </w:tcPr>
          <w:p w14:paraId="13BACE65">
            <w:pPr>
              <w:snapToGrid w:val="0"/>
              <w:jc w:val="center"/>
              <w:rPr>
                <w:sz w:val="24"/>
                <w:highlight w:val="none"/>
              </w:rPr>
            </w:pPr>
            <w:r>
              <w:rPr>
                <w:rFonts w:hint="eastAsia"/>
                <w:sz w:val="24"/>
                <w:highlight w:val="none"/>
              </w:rPr>
              <w:t>无尘无污染</w:t>
            </w:r>
          </w:p>
        </w:tc>
      </w:tr>
      <w:tr w14:paraId="7B04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33089903">
            <w:pPr>
              <w:snapToGrid w:val="0"/>
              <w:jc w:val="center"/>
              <w:rPr>
                <w:sz w:val="24"/>
                <w:highlight w:val="none"/>
              </w:rPr>
            </w:pPr>
          </w:p>
        </w:tc>
        <w:tc>
          <w:tcPr>
            <w:tcW w:w="2417" w:type="dxa"/>
            <w:vAlign w:val="center"/>
          </w:tcPr>
          <w:p w14:paraId="6BE2E945">
            <w:pPr>
              <w:snapToGrid w:val="0"/>
              <w:jc w:val="center"/>
              <w:rPr>
                <w:sz w:val="24"/>
                <w:highlight w:val="none"/>
              </w:rPr>
            </w:pPr>
            <w:r>
              <w:rPr>
                <w:rFonts w:hint="eastAsia"/>
                <w:sz w:val="24"/>
                <w:highlight w:val="none"/>
              </w:rPr>
              <w:t>防雨网检查</w:t>
            </w:r>
          </w:p>
        </w:tc>
        <w:tc>
          <w:tcPr>
            <w:tcW w:w="4309" w:type="dxa"/>
            <w:vAlign w:val="center"/>
          </w:tcPr>
          <w:p w14:paraId="7B1BF7F5">
            <w:pPr>
              <w:snapToGrid w:val="0"/>
              <w:jc w:val="center"/>
              <w:rPr>
                <w:sz w:val="24"/>
                <w:highlight w:val="none"/>
              </w:rPr>
            </w:pPr>
            <w:r>
              <w:rPr>
                <w:rFonts w:hint="eastAsia"/>
                <w:sz w:val="24"/>
                <w:highlight w:val="none"/>
              </w:rPr>
              <w:t>防雨刷完整无破损</w:t>
            </w:r>
          </w:p>
        </w:tc>
      </w:tr>
      <w:tr w14:paraId="115B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73B83758">
            <w:pPr>
              <w:snapToGrid w:val="0"/>
              <w:jc w:val="center"/>
              <w:rPr>
                <w:sz w:val="24"/>
                <w:highlight w:val="none"/>
              </w:rPr>
            </w:pPr>
          </w:p>
        </w:tc>
        <w:tc>
          <w:tcPr>
            <w:tcW w:w="2417" w:type="dxa"/>
            <w:vAlign w:val="center"/>
          </w:tcPr>
          <w:p w14:paraId="7D30222D">
            <w:pPr>
              <w:snapToGrid w:val="0"/>
              <w:jc w:val="center"/>
              <w:rPr>
                <w:sz w:val="24"/>
                <w:highlight w:val="none"/>
              </w:rPr>
            </w:pPr>
            <w:r>
              <w:rPr>
                <w:rFonts w:hint="eastAsia"/>
                <w:sz w:val="24"/>
                <w:highlight w:val="none"/>
              </w:rPr>
              <w:t>垂直检查</w:t>
            </w:r>
          </w:p>
        </w:tc>
        <w:tc>
          <w:tcPr>
            <w:tcW w:w="4309" w:type="dxa"/>
            <w:vAlign w:val="center"/>
          </w:tcPr>
          <w:p w14:paraId="3A9C1840">
            <w:pPr>
              <w:snapToGrid w:val="0"/>
              <w:jc w:val="center"/>
              <w:rPr>
                <w:sz w:val="24"/>
                <w:highlight w:val="none"/>
              </w:rPr>
            </w:pPr>
            <w:r>
              <w:rPr>
                <w:rFonts w:hint="eastAsia"/>
                <w:sz w:val="24"/>
                <w:highlight w:val="none"/>
              </w:rPr>
              <w:t>检查三维风是否垂直，及时调整</w:t>
            </w:r>
          </w:p>
        </w:tc>
      </w:tr>
      <w:tr w14:paraId="23C6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Align w:val="center"/>
          </w:tcPr>
          <w:p w14:paraId="71A024E3">
            <w:pPr>
              <w:snapToGrid w:val="0"/>
              <w:jc w:val="center"/>
              <w:rPr>
                <w:sz w:val="24"/>
                <w:highlight w:val="none"/>
              </w:rPr>
            </w:pPr>
            <w:r>
              <w:rPr>
                <w:rFonts w:hint="eastAsia"/>
                <w:sz w:val="24"/>
                <w:highlight w:val="none"/>
              </w:rPr>
              <w:t>土壤热通量板</w:t>
            </w:r>
          </w:p>
        </w:tc>
        <w:tc>
          <w:tcPr>
            <w:tcW w:w="2417" w:type="dxa"/>
            <w:vAlign w:val="center"/>
          </w:tcPr>
          <w:p w14:paraId="27B4076F">
            <w:pPr>
              <w:snapToGrid w:val="0"/>
              <w:jc w:val="center"/>
              <w:rPr>
                <w:sz w:val="24"/>
                <w:highlight w:val="none"/>
              </w:rPr>
            </w:pPr>
            <w:r>
              <w:rPr>
                <w:rFonts w:hint="eastAsia"/>
                <w:sz w:val="24"/>
                <w:highlight w:val="none"/>
              </w:rPr>
              <w:t>检查是否漏出地面</w:t>
            </w:r>
          </w:p>
        </w:tc>
        <w:tc>
          <w:tcPr>
            <w:tcW w:w="4309" w:type="dxa"/>
            <w:vAlign w:val="center"/>
          </w:tcPr>
          <w:p w14:paraId="408E079D">
            <w:pPr>
              <w:snapToGrid w:val="0"/>
              <w:jc w:val="center"/>
              <w:rPr>
                <w:sz w:val="24"/>
                <w:highlight w:val="none"/>
              </w:rPr>
            </w:pPr>
            <w:r>
              <w:rPr>
                <w:rFonts w:hint="eastAsia"/>
                <w:sz w:val="24"/>
                <w:highlight w:val="none"/>
              </w:rPr>
              <w:t>确保安装深度为3-5cm，若漏出，及时掩埋</w:t>
            </w:r>
          </w:p>
        </w:tc>
      </w:tr>
      <w:tr w14:paraId="290D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Align w:val="center"/>
          </w:tcPr>
          <w:p w14:paraId="209EAA32">
            <w:pPr>
              <w:snapToGrid w:val="0"/>
              <w:jc w:val="center"/>
              <w:rPr>
                <w:sz w:val="24"/>
                <w:highlight w:val="none"/>
              </w:rPr>
            </w:pPr>
            <w:r>
              <w:rPr>
                <w:rFonts w:hint="eastAsia"/>
                <w:sz w:val="24"/>
                <w:highlight w:val="none"/>
              </w:rPr>
              <w:t>土壤温湿度传感器</w:t>
            </w:r>
          </w:p>
        </w:tc>
        <w:tc>
          <w:tcPr>
            <w:tcW w:w="2417" w:type="dxa"/>
            <w:vAlign w:val="center"/>
          </w:tcPr>
          <w:p w14:paraId="01F410A4">
            <w:pPr>
              <w:snapToGrid w:val="0"/>
              <w:jc w:val="center"/>
              <w:rPr>
                <w:sz w:val="24"/>
                <w:highlight w:val="none"/>
              </w:rPr>
            </w:pPr>
            <w:r>
              <w:rPr>
                <w:rFonts w:hint="eastAsia"/>
                <w:sz w:val="24"/>
                <w:highlight w:val="none"/>
              </w:rPr>
              <w:t>检查数据</w:t>
            </w:r>
          </w:p>
        </w:tc>
        <w:tc>
          <w:tcPr>
            <w:tcW w:w="4309" w:type="dxa"/>
            <w:vAlign w:val="center"/>
          </w:tcPr>
          <w:p w14:paraId="0B2F1A34">
            <w:pPr>
              <w:snapToGrid w:val="0"/>
              <w:jc w:val="center"/>
              <w:rPr>
                <w:sz w:val="24"/>
                <w:highlight w:val="none"/>
              </w:rPr>
            </w:pPr>
            <w:r>
              <w:rPr>
                <w:rFonts w:hint="eastAsia"/>
                <w:sz w:val="24"/>
                <w:highlight w:val="none"/>
              </w:rPr>
              <w:t>保证正常</w:t>
            </w:r>
          </w:p>
        </w:tc>
      </w:tr>
      <w:tr w14:paraId="1912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Align w:val="center"/>
          </w:tcPr>
          <w:p w14:paraId="72D27344">
            <w:pPr>
              <w:snapToGrid w:val="0"/>
              <w:jc w:val="center"/>
              <w:rPr>
                <w:sz w:val="24"/>
                <w:highlight w:val="none"/>
              </w:rPr>
            </w:pPr>
            <w:r>
              <w:rPr>
                <w:rFonts w:hint="eastAsia"/>
                <w:sz w:val="24"/>
                <w:highlight w:val="none"/>
              </w:rPr>
              <w:t>土壤水分传感器</w:t>
            </w:r>
          </w:p>
        </w:tc>
        <w:tc>
          <w:tcPr>
            <w:tcW w:w="2417" w:type="dxa"/>
            <w:vAlign w:val="center"/>
          </w:tcPr>
          <w:p w14:paraId="0E9CE3B7">
            <w:pPr>
              <w:snapToGrid w:val="0"/>
              <w:jc w:val="center"/>
              <w:rPr>
                <w:sz w:val="24"/>
                <w:highlight w:val="none"/>
              </w:rPr>
            </w:pPr>
            <w:r>
              <w:rPr>
                <w:rFonts w:hint="eastAsia"/>
                <w:sz w:val="24"/>
                <w:highlight w:val="none"/>
              </w:rPr>
              <w:t>检查数据</w:t>
            </w:r>
          </w:p>
        </w:tc>
        <w:tc>
          <w:tcPr>
            <w:tcW w:w="4309" w:type="dxa"/>
            <w:vAlign w:val="center"/>
          </w:tcPr>
          <w:p w14:paraId="33D8A3D8">
            <w:pPr>
              <w:snapToGrid w:val="0"/>
              <w:jc w:val="center"/>
              <w:rPr>
                <w:sz w:val="24"/>
                <w:highlight w:val="none"/>
              </w:rPr>
            </w:pPr>
            <w:r>
              <w:rPr>
                <w:rFonts w:hint="eastAsia"/>
                <w:sz w:val="24"/>
                <w:highlight w:val="none"/>
              </w:rPr>
              <w:t>保证正常</w:t>
            </w:r>
          </w:p>
        </w:tc>
      </w:tr>
      <w:tr w14:paraId="5FF6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Align w:val="center"/>
          </w:tcPr>
          <w:p w14:paraId="7370196E">
            <w:pPr>
              <w:snapToGrid w:val="0"/>
              <w:jc w:val="center"/>
              <w:rPr>
                <w:sz w:val="24"/>
                <w:highlight w:val="none"/>
              </w:rPr>
            </w:pPr>
            <w:r>
              <w:rPr>
                <w:rFonts w:hint="eastAsia"/>
                <w:sz w:val="24"/>
                <w:highlight w:val="none"/>
              </w:rPr>
              <w:t>雨量筒</w:t>
            </w:r>
          </w:p>
        </w:tc>
        <w:tc>
          <w:tcPr>
            <w:tcW w:w="2417" w:type="dxa"/>
            <w:vAlign w:val="center"/>
          </w:tcPr>
          <w:p w14:paraId="2E8C7943">
            <w:pPr>
              <w:snapToGrid w:val="0"/>
              <w:jc w:val="center"/>
              <w:rPr>
                <w:sz w:val="24"/>
                <w:highlight w:val="none"/>
              </w:rPr>
            </w:pPr>
            <w:r>
              <w:rPr>
                <w:rFonts w:hint="eastAsia"/>
                <w:sz w:val="24"/>
                <w:highlight w:val="none"/>
              </w:rPr>
              <w:t>翻斗检查</w:t>
            </w:r>
          </w:p>
        </w:tc>
        <w:tc>
          <w:tcPr>
            <w:tcW w:w="4309" w:type="dxa"/>
            <w:vAlign w:val="center"/>
          </w:tcPr>
          <w:p w14:paraId="5E14D32F">
            <w:pPr>
              <w:snapToGrid w:val="0"/>
              <w:jc w:val="center"/>
              <w:rPr>
                <w:sz w:val="24"/>
                <w:highlight w:val="none"/>
              </w:rPr>
            </w:pPr>
            <w:r>
              <w:rPr>
                <w:rFonts w:hint="eastAsia"/>
                <w:sz w:val="24"/>
                <w:highlight w:val="none"/>
              </w:rPr>
              <w:t>保证排水正常</w:t>
            </w:r>
          </w:p>
        </w:tc>
      </w:tr>
      <w:tr w14:paraId="7175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restart"/>
            <w:vAlign w:val="center"/>
          </w:tcPr>
          <w:p w14:paraId="11DAF0BE">
            <w:pPr>
              <w:snapToGrid w:val="0"/>
              <w:jc w:val="center"/>
              <w:rPr>
                <w:sz w:val="24"/>
                <w:highlight w:val="none"/>
              </w:rPr>
            </w:pPr>
            <w:r>
              <w:rPr>
                <w:rFonts w:hint="eastAsia"/>
                <w:sz w:val="24"/>
                <w:highlight w:val="none"/>
              </w:rPr>
              <w:t>AP200廓线</w:t>
            </w:r>
          </w:p>
        </w:tc>
        <w:tc>
          <w:tcPr>
            <w:tcW w:w="2417" w:type="dxa"/>
            <w:vAlign w:val="center"/>
          </w:tcPr>
          <w:p w14:paraId="17525948">
            <w:pPr>
              <w:snapToGrid w:val="0"/>
              <w:jc w:val="center"/>
              <w:rPr>
                <w:sz w:val="24"/>
                <w:highlight w:val="none"/>
              </w:rPr>
            </w:pPr>
            <w:r>
              <w:rPr>
                <w:rFonts w:hint="eastAsia"/>
                <w:sz w:val="24"/>
                <w:highlight w:val="none"/>
              </w:rPr>
              <w:t>分析仪检查</w:t>
            </w:r>
          </w:p>
        </w:tc>
        <w:tc>
          <w:tcPr>
            <w:tcW w:w="4309" w:type="dxa"/>
            <w:vAlign w:val="center"/>
          </w:tcPr>
          <w:p w14:paraId="4D37D1BB">
            <w:pPr>
              <w:snapToGrid w:val="0"/>
              <w:jc w:val="center"/>
              <w:rPr>
                <w:sz w:val="24"/>
                <w:highlight w:val="none"/>
              </w:rPr>
            </w:pPr>
            <w:r>
              <w:rPr>
                <w:rFonts w:hint="eastAsia"/>
                <w:sz w:val="24"/>
                <w:highlight w:val="none"/>
              </w:rPr>
              <w:t>检查分析仪零点，及时标定</w:t>
            </w:r>
          </w:p>
        </w:tc>
      </w:tr>
      <w:tr w14:paraId="2E50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52BB9161">
            <w:pPr>
              <w:snapToGrid w:val="0"/>
              <w:jc w:val="center"/>
              <w:rPr>
                <w:sz w:val="24"/>
                <w:highlight w:val="none"/>
              </w:rPr>
            </w:pPr>
          </w:p>
        </w:tc>
        <w:tc>
          <w:tcPr>
            <w:tcW w:w="2417" w:type="dxa"/>
            <w:vAlign w:val="center"/>
          </w:tcPr>
          <w:p w14:paraId="00C52669">
            <w:pPr>
              <w:snapToGrid w:val="0"/>
              <w:jc w:val="center"/>
              <w:rPr>
                <w:sz w:val="24"/>
                <w:highlight w:val="none"/>
              </w:rPr>
            </w:pPr>
            <w:r>
              <w:rPr>
                <w:rFonts w:hint="eastAsia"/>
                <w:sz w:val="24"/>
                <w:highlight w:val="none"/>
              </w:rPr>
              <w:t>进气口检查</w:t>
            </w:r>
          </w:p>
        </w:tc>
        <w:tc>
          <w:tcPr>
            <w:tcW w:w="4309" w:type="dxa"/>
            <w:vAlign w:val="center"/>
          </w:tcPr>
          <w:p w14:paraId="265F3A66">
            <w:pPr>
              <w:snapToGrid w:val="0"/>
              <w:jc w:val="center"/>
              <w:rPr>
                <w:sz w:val="24"/>
                <w:highlight w:val="none"/>
              </w:rPr>
            </w:pPr>
            <w:r>
              <w:rPr>
                <w:rFonts w:hint="eastAsia"/>
                <w:sz w:val="24"/>
                <w:highlight w:val="none"/>
              </w:rPr>
              <w:t>及时检查进气口是否堵塞，定期更换过滤器并进行清理</w:t>
            </w:r>
          </w:p>
        </w:tc>
      </w:tr>
      <w:tr w14:paraId="26F1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55E793EA">
            <w:pPr>
              <w:snapToGrid w:val="0"/>
              <w:jc w:val="center"/>
              <w:rPr>
                <w:sz w:val="24"/>
                <w:highlight w:val="none"/>
              </w:rPr>
            </w:pPr>
          </w:p>
        </w:tc>
        <w:tc>
          <w:tcPr>
            <w:tcW w:w="2417" w:type="dxa"/>
            <w:vAlign w:val="center"/>
          </w:tcPr>
          <w:p w14:paraId="30226B23">
            <w:pPr>
              <w:snapToGrid w:val="0"/>
              <w:jc w:val="center"/>
              <w:rPr>
                <w:sz w:val="24"/>
                <w:highlight w:val="none"/>
              </w:rPr>
            </w:pPr>
            <w:r>
              <w:rPr>
                <w:rFonts w:hint="eastAsia"/>
                <w:sz w:val="24"/>
                <w:highlight w:val="none"/>
              </w:rPr>
              <w:t>流速检查</w:t>
            </w:r>
          </w:p>
        </w:tc>
        <w:tc>
          <w:tcPr>
            <w:tcW w:w="4309" w:type="dxa"/>
            <w:vAlign w:val="center"/>
          </w:tcPr>
          <w:p w14:paraId="3374E7E5">
            <w:pPr>
              <w:snapToGrid w:val="0"/>
              <w:jc w:val="center"/>
              <w:rPr>
                <w:sz w:val="24"/>
                <w:highlight w:val="none"/>
              </w:rPr>
            </w:pPr>
            <w:r>
              <w:rPr>
                <w:rFonts w:hint="eastAsia"/>
                <w:sz w:val="24"/>
                <w:highlight w:val="none"/>
              </w:rPr>
              <w:t>定期检查泵流速，做好配件更换准备</w:t>
            </w:r>
          </w:p>
        </w:tc>
      </w:tr>
    </w:tbl>
    <w:p w14:paraId="08E44E39">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1.2.2 铁塔及站房维护内容</w:t>
      </w:r>
    </w:p>
    <w:p w14:paraId="399986F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1）基础检测：进行塔脚水平测量，检测基础相对沉降度，并对比历史记录数据，检查铁塔基础接地是否良好。检查塔脚地脚螺栓、螺母规格是否符合、是否缺损，对有问题的进行补缺更换，检查塔脚地脚螺栓防腐防盗措施是否有效，并对防腐防盗问题进行整改处理。垂直度检测：</w:t>
      </w:r>
    </w:p>
    <w:p w14:paraId="51DCB78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（2）螺栓补缺紧固：检查全塔螺栓有无缺损、锈蚀、松动，补全缺失螺栓，更换锈蚀损坏螺栓，对全塔螺丝全面紧固。</w:t>
      </w:r>
    </w:p>
    <w:p w14:paraId="1B78CC0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3）构件检查：检查塔身构件，焊缝有无开裂、镀锌或涂覆层是否损坏、构件有无明显变形，发现不合格构件进行更换，局部生锈的构件进行除锈补漆。对塔段连接处、桅杆、避雷针等铁塔关键部位进行重点维护、紧固，对存在问题及时进行处理。对拉线塔检查拉线松紧程度，拉线固定环、金具是否固定可靠，有无缺损，对存在问题及时进行处理。</w:t>
      </w:r>
    </w:p>
    <w:p w14:paraId="0437B4D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（4）防锈处理：根据铁塔构件的生锈情况，必须进行除锈补漆。</w:t>
      </w:r>
    </w:p>
    <w:p w14:paraId="682121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（5）围栏防护检查：检查塔周围围栏牢固性，及时清理周边沉积泥土，防止大雨时冲刷引起滑坡，影响铁塔稳固性。</w:t>
      </w:r>
    </w:p>
    <w:p w14:paraId="5A00A8F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（6）站房清理：定期清理站房，检查防水防潮。</w:t>
      </w:r>
    </w:p>
    <w:p w14:paraId="665F95A6">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1.3 运行维护要求</w:t>
      </w:r>
    </w:p>
    <w:p w14:paraId="7BFCF3CB">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1.3.1 每日工作</w:t>
      </w:r>
    </w:p>
    <w:p w14:paraId="3221A19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（1）结合站点管理软件，每天查看1次数据采集情况，全面监控各个参数，做好记录；</w:t>
      </w:r>
    </w:p>
    <w:p w14:paraId="4F40040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w:t>
      </w:r>
      <w:r>
        <w:rPr>
          <w:sz w:val="24"/>
          <w:szCs w:val="28"/>
          <w:highlight w:val="none"/>
        </w:rPr>
        <w:t>保证服务与技术支持响应及时、解决问题迅速，并提供承诺函，承诺</w:t>
      </w:r>
      <w:r>
        <w:rPr>
          <w:rFonts w:hint="eastAsia" w:ascii="宋体" w:hAnsi="宋体" w:cs="宋体"/>
          <w:sz w:val="24"/>
          <w:highlight w:val="none"/>
        </w:rPr>
        <w:t>及时发现异常状况（包括数值异常以及通讯异常），如有故障则分析故障原因，提出排查方案及时告知客户，并于12小时内完成故障处理，若远程无法排查时，24小时内前往现场解决；</w:t>
      </w:r>
    </w:p>
    <w:p w14:paraId="65E75DE7">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1.3.2 每月工作</w:t>
      </w:r>
    </w:p>
    <w:p w14:paraId="780A4D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（1）结合站点管理软件，每月回顾数据情况获取率情况，检查通量、梯度和CO</w:t>
      </w:r>
      <w:r>
        <w:rPr>
          <w:rFonts w:hint="eastAsia" w:ascii="宋体" w:hAnsi="宋体" w:cs="宋体"/>
          <w:sz w:val="24"/>
          <w:highlight w:val="none"/>
          <w:vertAlign w:val="subscript"/>
        </w:rPr>
        <w:t>2</w:t>
      </w:r>
      <w:r>
        <w:rPr>
          <w:rFonts w:hint="eastAsia" w:ascii="宋体" w:hAnsi="宋体" w:cs="宋体"/>
          <w:sz w:val="24"/>
          <w:highlight w:val="none"/>
        </w:rPr>
        <w:t>廓线等系统数据，并做好记录；</w:t>
      </w:r>
    </w:p>
    <w:p w14:paraId="3E404EA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（2）查看仪器状态，对照各指标范围说明书检查各类传感器、气体分析仪及三维风状态</w:t>
      </w:r>
      <w:r>
        <w:rPr>
          <w:rFonts w:ascii="宋体" w:hAnsi="宋体" w:cs="宋体"/>
          <w:sz w:val="24"/>
          <w:highlight w:val="none"/>
        </w:rPr>
        <w:t>，</w:t>
      </w:r>
      <w:r>
        <w:rPr>
          <w:rFonts w:hint="eastAsia" w:ascii="宋体" w:hAnsi="宋体" w:cs="宋体"/>
          <w:sz w:val="24"/>
          <w:highlight w:val="none"/>
        </w:rPr>
        <w:t>核对仪器数据质量指标、系统供电电压、H</w:t>
      </w:r>
      <w:r>
        <w:rPr>
          <w:rFonts w:hint="eastAsia" w:ascii="宋体" w:hAnsi="宋体" w:cs="宋体"/>
          <w:sz w:val="24"/>
          <w:highlight w:val="none"/>
          <w:vertAlign w:val="subscript"/>
        </w:rPr>
        <w:t>2</w:t>
      </w:r>
      <w:r>
        <w:rPr>
          <w:rFonts w:hint="eastAsia" w:ascii="宋体" w:hAnsi="宋体" w:cs="宋体"/>
          <w:sz w:val="24"/>
          <w:highlight w:val="none"/>
        </w:rPr>
        <w:t>O和CO</w:t>
      </w:r>
      <w:r>
        <w:rPr>
          <w:rFonts w:hint="eastAsia" w:ascii="宋体" w:hAnsi="宋体" w:cs="宋体"/>
          <w:sz w:val="24"/>
          <w:highlight w:val="none"/>
          <w:vertAlign w:val="subscript"/>
        </w:rPr>
        <w:t>2</w:t>
      </w:r>
      <w:r>
        <w:rPr>
          <w:rFonts w:hint="eastAsia" w:ascii="宋体" w:hAnsi="宋体" w:cs="宋体"/>
          <w:sz w:val="24"/>
          <w:highlight w:val="none"/>
        </w:rPr>
        <w:t>信号强度、泵转速、气体流速等变量，确保仪器工作正常，</w:t>
      </w:r>
      <w:bookmarkStart w:id="15" w:name="OLE_LINK3"/>
      <w:r>
        <w:rPr>
          <w:rFonts w:hint="eastAsia" w:ascii="宋体" w:hAnsi="宋体" w:cs="宋体"/>
          <w:sz w:val="24"/>
          <w:highlight w:val="none"/>
        </w:rPr>
        <w:t>做好记录</w:t>
      </w:r>
      <w:bookmarkEnd w:id="15"/>
      <w:r>
        <w:rPr>
          <w:rFonts w:hint="eastAsia" w:ascii="宋体" w:hAnsi="宋体" w:cs="宋体"/>
          <w:sz w:val="24"/>
          <w:highlight w:val="none"/>
        </w:rPr>
        <w:t>；</w:t>
      </w:r>
    </w:p>
    <w:p w14:paraId="4417490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）检查数据质量和完整度，做好记录</w:t>
      </w:r>
      <w:r>
        <w:rPr>
          <w:rFonts w:ascii="宋体" w:hAnsi="宋体" w:cs="宋体"/>
          <w:sz w:val="24"/>
          <w:highlight w:val="none"/>
        </w:rPr>
        <w:t>；</w:t>
      </w:r>
    </w:p>
    <w:p w14:paraId="4C5A110C">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1.3.3 每季工作</w:t>
      </w:r>
    </w:p>
    <w:p w14:paraId="364CE25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每季度安排1次工程师到现场，检查各气象传感器工作状态，清洁温湿度辐射罩表面脏污；清洁四分量辐射、光合有效辐射镜面；检查雨量筒翻转情况，及时清理杂物；检查风速方向传感器是否有损坏或旋转异常，及时发现并维修或更换；</w:t>
      </w:r>
    </w:p>
    <w:p w14:paraId="3E93C31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（2）对于涡动相关系统，做二氧化碳气体分析仪镜面清理，检查标气瓶压力，保证自标定运行，及时更换标气，检查Vortex进气口，适时更换过滤器等；</w:t>
      </w:r>
    </w:p>
    <w:p w14:paraId="45AF94D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（3）对于二氧化碳水汽廓线系统，检查抽气泵流速，检查标气瓶压力，保证自标定运行，及时更换标气，检查进气口并适时更换过滤器等；</w:t>
      </w:r>
    </w:p>
    <w:p w14:paraId="7BED7C8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（4）检查太阳能板表面是否有灰尘堆积或积雪堆积，如有及时进行清洁；检查并及时更换机箱内干燥剂；检查电池电压及电量情况；从采集器里备份通量10Hz原始数据，与远程下载的其它数据一起归档保存；</w:t>
      </w:r>
    </w:p>
    <w:p w14:paraId="60D030D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（5）对于铁塔及围栏系统，检查铁塔及围栏构件基础检测，保证稳定性；</w:t>
      </w:r>
    </w:p>
    <w:p w14:paraId="2DEFBA6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417FF9"/>
          <w:sz w:val="24"/>
          <w:highlight w:val="none"/>
        </w:rPr>
      </w:pPr>
      <w:r>
        <w:rPr>
          <w:rFonts w:ascii="宋体" w:hAnsi="宋体" w:cs="宋体"/>
          <w:color w:val="000000" w:themeColor="text1"/>
          <w:sz w:val="24"/>
          <w:highlight w:val="none"/>
          <w14:textFill>
            <w14:solidFill>
              <w14:schemeClr w14:val="tx1"/>
            </w14:solidFill>
          </w14:textFill>
        </w:rPr>
        <w:t>（6）所有仪器配件更换时，应使用原厂配件或能确保仪器正常运行的等效配件；</w:t>
      </w:r>
      <w:r>
        <w:rPr>
          <w:rFonts w:ascii="宋体" w:hAnsi="宋体" w:cs="宋体"/>
          <w:color w:val="417FF9"/>
          <w:sz w:val="24"/>
          <w:highlight w:val="none"/>
        </w:rPr>
        <w:t xml:space="preserve">   </w:t>
      </w:r>
    </w:p>
    <w:p w14:paraId="60CE974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）进行现场运维后，需及时填写运维巡检表，拍照记录运维质控和故障处置情况，形成相关报告。</w:t>
      </w:r>
    </w:p>
    <w:p w14:paraId="708F19F2">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2.数据服务要求</w:t>
      </w:r>
    </w:p>
    <w:p w14:paraId="3CE342DD">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2.1 数据要求</w:t>
      </w:r>
    </w:p>
    <w:p w14:paraId="7588EC2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闭路涡度系统有效数据获取率应达到80%以上。</w:t>
      </w:r>
    </w:p>
    <w:p w14:paraId="20D791A5">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2.2 数据处理</w:t>
      </w:r>
    </w:p>
    <w:p w14:paraId="08FB30E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进行常规数据处理（坐标旋转、WPL校正、数据同步、谱修正等），获取半小时通量结果，并结合常规气象数据，选择合适的方法进行数据插补，提交完整连续的年通量结果。主要包括以下步骤：</w:t>
      </w:r>
    </w:p>
    <w:p w14:paraId="278FA5B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根据Mauder和Foken（2004）或根据Foken（2003）或者Gockede（2004）进行标记和质量检查；</w:t>
      </w:r>
    </w:p>
    <w:p w14:paraId="4CD6611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野点去除：采用Vickers和Mahrt（1997）或Mauder等（2013）的方法进行；</w:t>
      </w:r>
    </w:p>
    <w:p w14:paraId="57575485">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采用最大协方差方法进行消除时滞；</w:t>
      </w:r>
    </w:p>
    <w:p w14:paraId="4C524FC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二次坐标轴旋转、三次坐标轴旋转、基于风区的平面坐标拟合或基于风区无速率偏差的平面坐标拟合；</w:t>
      </w:r>
    </w:p>
    <w:p w14:paraId="0CCA660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WPL订正：使用（或换算成）混合比（Burba 等，2011），闭路涡度系统，通过lbrom 等，（2007）方法进行修正；</w:t>
      </w:r>
    </w:p>
    <w:p w14:paraId="4BB7BB08">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数据插补：采用边缘分布抽样技术（MDS Gap Fill (MDSGF) tool），针对CO</w:t>
      </w:r>
      <w:r>
        <w:rPr>
          <w:rFonts w:hint="eastAsia" w:ascii="宋体" w:hAnsi="宋体" w:cs="宋体"/>
          <w:sz w:val="24"/>
          <w:highlight w:val="none"/>
          <w:vertAlign w:val="subscript"/>
        </w:rPr>
        <w:t>2</w:t>
      </w:r>
      <w:r>
        <w:rPr>
          <w:rFonts w:hint="eastAsia" w:ascii="宋体" w:hAnsi="宋体" w:cs="宋体"/>
          <w:sz w:val="24"/>
          <w:highlight w:val="none"/>
        </w:rPr>
        <w:t>、感热、潜热进行数据插补工作。</w:t>
      </w:r>
    </w:p>
    <w:p w14:paraId="628F021D">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2.3 数据成果报告</w:t>
      </w:r>
    </w:p>
    <w:p w14:paraId="2350F511">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2.3.1月度分析报告</w:t>
      </w:r>
    </w:p>
    <w:p w14:paraId="73D6618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完成碳通量观测数据的错误剔除、插补和贡献区分析，每月10日前提供上月数据分析报告，并通过腾讯会议作简要情况汇报，主要包括： </w:t>
      </w:r>
    </w:p>
    <w:p w14:paraId="0268FF9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（1）每月数据获取率情况（缺失数据需作情况说明）；</w:t>
      </w:r>
    </w:p>
    <w:p w14:paraId="11213113">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（2）各传感器数据趋势变化分析：CO</w:t>
      </w:r>
      <w:r>
        <w:rPr>
          <w:rFonts w:hint="eastAsia" w:ascii="宋体" w:hAnsi="宋体" w:cs="宋体"/>
          <w:sz w:val="24"/>
          <w:highlight w:val="none"/>
          <w:vertAlign w:val="subscript"/>
        </w:rPr>
        <w:t>2</w:t>
      </w:r>
      <w:r>
        <w:rPr>
          <w:rFonts w:hint="eastAsia" w:ascii="宋体" w:hAnsi="宋体" w:cs="宋体"/>
          <w:sz w:val="24"/>
          <w:highlight w:val="none"/>
        </w:rPr>
        <w:t>通量数据、四分量辐射数据、5层温湿度梯度数据、5层风速梯度数据、5层土壤温度数据、5层土壤含水量数据等；</w:t>
      </w:r>
    </w:p>
    <w:p w14:paraId="41645FC0">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2.3.2 季度通量反演报告</w:t>
      </w:r>
    </w:p>
    <w:p w14:paraId="42BA1BE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提供每季度通量分析报告，主要包括气象参数分析，碳通量变化分析，GPP、NEE和呼吸分析，相较2023-2024年的变化情况分析等其它必要内容。</w:t>
      </w:r>
    </w:p>
    <w:p w14:paraId="78CDF809">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2.3.3 项目总结报告</w:t>
      </w:r>
    </w:p>
    <w:p w14:paraId="10B1602B">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提供项目期间研究区域气象、通量变化情况分析和同比变化情况，分析马尾松林不同时间尺度碳储量和碳交换能力的时空演变趋势，揭示气候变化对其影响，并预估碳汇潜力和发展趋势。</w:t>
      </w:r>
    </w:p>
    <w:p w14:paraId="7FC2FE80">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2.3.4 运维质控和故障处置报告</w:t>
      </w:r>
    </w:p>
    <w:p w14:paraId="76AA6D2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开展现场运维或故障处置后，提供相关报告，说明主要开展工作、问题排查和处置情况。</w:t>
      </w:r>
    </w:p>
    <w:p w14:paraId="03299C47">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2.4 数据下载</w:t>
      </w:r>
    </w:p>
    <w:p w14:paraId="6E5D0B0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ascii="宋体" w:hAnsi="宋体" w:cs="宋体"/>
          <w:sz w:val="24"/>
          <w:highlight w:val="none"/>
        </w:rPr>
        <w:t>做好</w:t>
      </w:r>
      <w:r>
        <w:rPr>
          <w:rFonts w:hint="eastAsia" w:ascii="宋体" w:hAnsi="宋体" w:cs="宋体"/>
          <w:sz w:val="24"/>
          <w:highlight w:val="none"/>
        </w:rPr>
        <w:t>原始数据、半小时数据的下载和备份工作，按需提交给采购方</w:t>
      </w:r>
      <w:r>
        <w:rPr>
          <w:rFonts w:ascii="宋体" w:hAnsi="宋体" w:cs="宋体"/>
          <w:sz w:val="24"/>
          <w:highlight w:val="none"/>
        </w:rPr>
        <w:t>，对于缺失数据分段做好原因说明。</w:t>
      </w:r>
    </w:p>
    <w:p w14:paraId="027E324B">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 xml:space="preserve">3.投标人员要求 </w:t>
      </w:r>
    </w:p>
    <w:p w14:paraId="3E5C2AC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3.1 </w:t>
      </w:r>
      <w:r>
        <w:rPr>
          <w:rFonts w:hint="eastAsia" w:ascii="宋体" w:hAnsi="宋体" w:cs="宋体"/>
          <w:color w:val="000000" w:themeColor="text1"/>
          <w:sz w:val="24"/>
          <w:highlight w:val="none"/>
          <w14:textFill>
            <w14:solidFill>
              <w14:schemeClr w14:val="tx1"/>
            </w14:solidFill>
          </w14:textFill>
        </w:rPr>
        <w:t>投标人配备1名项目负责人，需具有2年以上碳通量监测领域工作经验；1名技术负责人，需具有常规数据处理、数据插补等能力，能够出具可靠的通量分析报告；1名专业运维人员，需具备2年以上碳通量监测设备运维服务工作经验，能熟练掌握本项目设备日常维护和常见故障诊断方法。相关人员应保持相对稳定，如变更需征得采购人同意。</w:t>
      </w:r>
    </w:p>
    <w:p w14:paraId="70E1213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sz w:val="24"/>
          <w:highlight w:val="none"/>
        </w:rPr>
        <w:t>3.2 投标人应掌握本项目所含通量塔的所有仪器的运行特性，运行维护专业技术人</w:t>
      </w:r>
      <w:r>
        <w:rPr>
          <w:rFonts w:hint="eastAsia" w:ascii="宋体" w:hAnsi="宋体" w:cs="宋体"/>
          <w:bCs/>
          <w:sz w:val="24"/>
          <w:highlight w:val="none"/>
        </w:rPr>
        <w:t>员需掌握本项目所含主要分析仪器的日常维护、质量控制和常见故障诊断方法。</w:t>
      </w:r>
    </w:p>
    <w:p w14:paraId="07C3B8B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3.3投标人有完善的管理制度及技术人员培训制度，指定项目负责人，并组织专职人员负责日常运营及质量管理。</w:t>
      </w:r>
    </w:p>
    <w:p w14:paraId="7A92CD0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3.4 投标人应提供完整的马尾松林森林碳通量监测系统运维实施方案（含应急事故处理方案），提出解决问题的措施，明确维护方法、周期、内容及技术保障（包含本项目所含主要分析设备的日常维护和常见故障诊断方法）。</w:t>
      </w:r>
    </w:p>
    <w:p w14:paraId="6CD153DF">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 xml:space="preserve">4.考核要求 </w:t>
      </w:r>
    </w:p>
    <w:p w14:paraId="358B7E6F">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4.1考核办法</w:t>
      </w:r>
    </w:p>
    <w:p w14:paraId="437E3BD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由采购人组织有关人员进行评审，</w:t>
      </w:r>
      <w:r>
        <w:rPr>
          <w:rFonts w:ascii="宋体" w:hAnsi="宋体" w:cs="宋体"/>
          <w:bCs/>
          <w:sz w:val="24"/>
          <w:highlight w:val="none"/>
        </w:rPr>
        <w:t>分两次</w:t>
      </w:r>
      <w:r>
        <w:rPr>
          <w:rFonts w:hint="eastAsia" w:ascii="宋体" w:hAnsi="宋体" w:cs="宋体"/>
          <w:bCs/>
          <w:sz w:val="24"/>
          <w:highlight w:val="none"/>
        </w:rPr>
        <w:t>组织开展运维管理考核。依据维护内容和维护质量、分析报告质量、材料汇总等进行评分（详见考核表）。考核得分大于80分为合格，低于80分按4.2惩罚办法中相应条款执行。具体考核内容详见考核表，考核合格后按照合同规定支付该季度的运行费。</w:t>
      </w:r>
    </w:p>
    <w:p w14:paraId="5CCBA1CB">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4.2惩罚办法</w:t>
      </w:r>
    </w:p>
    <w:p w14:paraId="0B0AC30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4.2.1一旦发现乙方有干扰监测或数据造假等情况，采购人有权终止合同，并追究相关责任。</w:t>
      </w:r>
    </w:p>
    <w:p w14:paraId="36E90564">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4.2.2</w:t>
      </w:r>
      <w:r>
        <w:rPr>
          <w:rFonts w:ascii="宋体" w:hAnsi="宋体" w:cs="宋体"/>
          <w:b/>
          <w:sz w:val="24"/>
          <w:highlight w:val="none"/>
        </w:rPr>
        <w:t>考核办法</w:t>
      </w:r>
      <w:r>
        <w:rPr>
          <w:rFonts w:hint="eastAsia" w:ascii="宋体" w:hAnsi="宋体" w:cs="宋体"/>
          <w:b/>
          <w:sz w:val="24"/>
          <w:highlight w:val="none"/>
        </w:rPr>
        <w:t>，其中</w:t>
      </w:r>
    </w:p>
    <w:p w14:paraId="24808DF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（1）考核结果在 80分（含）以上的，支付</w:t>
      </w:r>
      <w:r>
        <w:rPr>
          <w:rFonts w:ascii="宋体" w:hAnsi="宋体" w:cs="宋体"/>
          <w:bCs/>
          <w:sz w:val="24"/>
          <w:highlight w:val="none"/>
        </w:rPr>
        <w:t>考核时间段</w:t>
      </w:r>
      <w:r>
        <w:rPr>
          <w:rFonts w:hint="eastAsia" w:ascii="宋体" w:hAnsi="宋体" w:cs="宋体"/>
          <w:bCs/>
          <w:sz w:val="24"/>
          <w:highlight w:val="none"/>
        </w:rPr>
        <w:t>运维费；</w:t>
      </w:r>
    </w:p>
    <w:p w14:paraId="72D419B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ascii="宋体" w:hAnsi="宋体" w:cs="宋体"/>
          <w:bCs/>
          <w:sz w:val="24"/>
          <w:highlight w:val="none"/>
        </w:rPr>
        <w:t>（2）</w:t>
      </w:r>
      <w:r>
        <w:rPr>
          <w:rFonts w:hint="eastAsia" w:ascii="宋体" w:hAnsi="宋体" w:cs="宋体"/>
          <w:bCs/>
          <w:sz w:val="24"/>
          <w:highlight w:val="none"/>
        </w:rPr>
        <w:t>考核结果在70分（含）以上，80分以下，为初级警告，扣除</w:t>
      </w:r>
      <w:r>
        <w:rPr>
          <w:rFonts w:ascii="宋体" w:hAnsi="宋体" w:cs="宋体"/>
          <w:bCs/>
          <w:sz w:val="24"/>
          <w:highlight w:val="none"/>
        </w:rPr>
        <w:t>考核时间段</w:t>
      </w:r>
      <w:r>
        <w:rPr>
          <w:rFonts w:hint="eastAsia" w:ascii="宋体" w:hAnsi="宋体" w:cs="宋体"/>
          <w:bCs/>
          <w:sz w:val="24"/>
          <w:highlight w:val="none"/>
        </w:rPr>
        <w:t>运维费的</w:t>
      </w:r>
      <w:r>
        <w:rPr>
          <w:rFonts w:ascii="宋体" w:hAnsi="宋体" w:cs="宋体"/>
          <w:bCs/>
          <w:sz w:val="24"/>
          <w:highlight w:val="none"/>
        </w:rPr>
        <w:t>5</w:t>
      </w:r>
      <w:r>
        <w:rPr>
          <w:rFonts w:hint="eastAsia" w:ascii="宋体" w:hAnsi="宋体" w:cs="宋体"/>
          <w:bCs/>
          <w:sz w:val="24"/>
          <w:highlight w:val="none"/>
        </w:rPr>
        <w:t>%，并责令整改；</w:t>
      </w:r>
    </w:p>
    <w:p w14:paraId="4DEC915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w:t>
      </w:r>
      <w:r>
        <w:rPr>
          <w:rFonts w:ascii="宋体" w:hAnsi="宋体" w:cs="宋体"/>
          <w:bCs/>
          <w:sz w:val="24"/>
          <w:highlight w:val="none"/>
        </w:rPr>
        <w:t>3</w:t>
      </w:r>
      <w:r>
        <w:rPr>
          <w:rFonts w:hint="eastAsia" w:ascii="宋体" w:hAnsi="宋体" w:cs="宋体"/>
          <w:bCs/>
          <w:sz w:val="24"/>
          <w:highlight w:val="none"/>
        </w:rPr>
        <w:t>）考核结果在60分（含）以上，70分以下，为二级警告，扣除</w:t>
      </w:r>
      <w:r>
        <w:rPr>
          <w:rFonts w:ascii="宋体" w:hAnsi="宋体" w:cs="宋体"/>
          <w:bCs/>
          <w:sz w:val="24"/>
          <w:highlight w:val="none"/>
        </w:rPr>
        <w:t>考核时间段</w:t>
      </w:r>
      <w:r>
        <w:rPr>
          <w:rFonts w:hint="eastAsia" w:ascii="宋体" w:hAnsi="宋体" w:cs="宋体"/>
          <w:bCs/>
          <w:sz w:val="24"/>
          <w:highlight w:val="none"/>
        </w:rPr>
        <w:t>运维费的</w:t>
      </w:r>
      <w:r>
        <w:rPr>
          <w:rFonts w:ascii="宋体" w:hAnsi="宋体" w:cs="宋体"/>
          <w:bCs/>
          <w:sz w:val="24"/>
          <w:highlight w:val="none"/>
        </w:rPr>
        <w:t>15</w:t>
      </w:r>
      <w:r>
        <w:rPr>
          <w:rFonts w:hint="eastAsia" w:ascii="宋体" w:hAnsi="宋体" w:cs="宋体"/>
          <w:bCs/>
          <w:sz w:val="24"/>
          <w:highlight w:val="none"/>
        </w:rPr>
        <w:t>%，并责令整改；</w:t>
      </w:r>
    </w:p>
    <w:p w14:paraId="0791D36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）考核结果在60分以下，扣除</w:t>
      </w:r>
      <w:r>
        <w:rPr>
          <w:rFonts w:ascii="宋体" w:hAnsi="宋体" w:cs="宋体"/>
          <w:bCs/>
          <w:color w:val="000000" w:themeColor="text1"/>
          <w:sz w:val="24"/>
          <w:highlight w:val="none"/>
          <w14:textFill>
            <w14:solidFill>
              <w14:schemeClr w14:val="tx1"/>
            </w14:solidFill>
          </w14:textFill>
        </w:rPr>
        <w:t>考核时间段全部</w:t>
      </w:r>
      <w:r>
        <w:rPr>
          <w:rFonts w:hint="eastAsia" w:ascii="宋体" w:hAnsi="宋体" w:cs="宋体"/>
          <w:bCs/>
          <w:color w:val="000000" w:themeColor="text1"/>
          <w:sz w:val="24"/>
          <w:highlight w:val="none"/>
          <w14:textFill>
            <w14:solidFill>
              <w14:schemeClr w14:val="tx1"/>
            </w14:solidFill>
          </w14:textFill>
        </w:rPr>
        <w:t>运维费，并责令整改</w:t>
      </w:r>
      <w:r>
        <w:rPr>
          <w:rFonts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且采购人有权取消运维合同</w:t>
      </w:r>
      <w:r>
        <w:rPr>
          <w:rFonts w:ascii="宋体" w:hAnsi="宋体" w:cs="宋体"/>
          <w:bCs/>
          <w:color w:val="000000" w:themeColor="text1"/>
          <w:sz w:val="24"/>
          <w:highlight w:val="none"/>
          <w14:textFill>
            <w14:solidFill>
              <w14:schemeClr w14:val="tx1"/>
            </w14:solidFill>
          </w14:textFill>
        </w:rPr>
        <w:t>。</w:t>
      </w:r>
    </w:p>
    <w:p w14:paraId="006749B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4.2.3如遇到4.2.1或4.2.2（3）状况解除合同后，投标人必须对所运维的站点按接手时的仪器配置品牌型号进行维修，要求不低于交接时仪器状况，所需费用由投标人承担。</w:t>
      </w:r>
    </w:p>
    <w:p w14:paraId="1582E52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4.2.4因投标人原因造成合同终止所产生的各类损失，由投标人承担。</w:t>
      </w:r>
    </w:p>
    <w:p w14:paraId="599D67C0">
      <w:pPr>
        <w:snapToGrid w:val="0"/>
        <w:spacing w:line="360" w:lineRule="auto"/>
        <w:jc w:val="center"/>
        <w:rPr>
          <w:b/>
          <w:sz w:val="24"/>
          <w:highlight w:val="none"/>
        </w:rPr>
      </w:pPr>
      <w:r>
        <w:rPr>
          <w:b/>
          <w:sz w:val="24"/>
          <w:highlight w:val="none"/>
        </w:rPr>
        <w:t>考 核 表</w:t>
      </w:r>
    </w:p>
    <w:tbl>
      <w:tblPr>
        <w:tblStyle w:val="1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477"/>
        <w:gridCol w:w="3085"/>
        <w:gridCol w:w="1081"/>
        <w:gridCol w:w="989"/>
      </w:tblGrid>
      <w:tr w14:paraId="14A3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2" w:type="dxa"/>
            <w:vAlign w:val="center"/>
          </w:tcPr>
          <w:p w14:paraId="06A21883">
            <w:pPr>
              <w:snapToGrid w:val="0"/>
              <w:spacing w:line="288" w:lineRule="auto"/>
              <w:jc w:val="center"/>
              <w:rPr>
                <w:b/>
                <w:bCs/>
                <w:sz w:val="24"/>
                <w:highlight w:val="none"/>
              </w:rPr>
            </w:pPr>
            <w:r>
              <w:rPr>
                <w:rFonts w:hint="eastAsia"/>
                <w:b/>
                <w:bCs/>
                <w:sz w:val="24"/>
                <w:highlight w:val="none"/>
              </w:rPr>
              <w:t>考核项目</w:t>
            </w:r>
          </w:p>
        </w:tc>
        <w:tc>
          <w:tcPr>
            <w:tcW w:w="2477" w:type="dxa"/>
            <w:vAlign w:val="center"/>
          </w:tcPr>
          <w:p w14:paraId="13930487">
            <w:pPr>
              <w:snapToGrid w:val="0"/>
              <w:spacing w:line="288" w:lineRule="auto"/>
              <w:jc w:val="center"/>
              <w:rPr>
                <w:b/>
                <w:bCs/>
                <w:sz w:val="24"/>
                <w:highlight w:val="none"/>
              </w:rPr>
            </w:pPr>
            <w:r>
              <w:rPr>
                <w:rFonts w:hint="eastAsia"/>
                <w:b/>
                <w:bCs/>
                <w:sz w:val="24"/>
                <w:highlight w:val="none"/>
              </w:rPr>
              <w:t>评分项目</w:t>
            </w:r>
          </w:p>
        </w:tc>
        <w:tc>
          <w:tcPr>
            <w:tcW w:w="3085" w:type="dxa"/>
            <w:vAlign w:val="center"/>
          </w:tcPr>
          <w:p w14:paraId="0A216598">
            <w:pPr>
              <w:snapToGrid w:val="0"/>
              <w:spacing w:line="288" w:lineRule="auto"/>
              <w:jc w:val="center"/>
              <w:rPr>
                <w:b/>
                <w:bCs/>
                <w:sz w:val="24"/>
                <w:highlight w:val="none"/>
              </w:rPr>
            </w:pPr>
            <w:r>
              <w:rPr>
                <w:rFonts w:hint="eastAsia"/>
                <w:b/>
                <w:bCs/>
                <w:sz w:val="24"/>
                <w:highlight w:val="none"/>
              </w:rPr>
              <w:t>评分标准</w:t>
            </w:r>
          </w:p>
        </w:tc>
        <w:tc>
          <w:tcPr>
            <w:tcW w:w="1081" w:type="dxa"/>
            <w:vAlign w:val="center"/>
          </w:tcPr>
          <w:p w14:paraId="3E4334B0">
            <w:pPr>
              <w:snapToGrid w:val="0"/>
              <w:spacing w:line="288" w:lineRule="auto"/>
              <w:jc w:val="center"/>
              <w:rPr>
                <w:b/>
                <w:bCs/>
                <w:sz w:val="24"/>
                <w:highlight w:val="none"/>
              </w:rPr>
            </w:pPr>
            <w:r>
              <w:rPr>
                <w:rFonts w:hint="eastAsia"/>
                <w:b/>
                <w:bCs/>
                <w:sz w:val="24"/>
                <w:highlight w:val="none"/>
              </w:rPr>
              <w:t>总分</w:t>
            </w:r>
          </w:p>
        </w:tc>
        <w:tc>
          <w:tcPr>
            <w:tcW w:w="989" w:type="dxa"/>
            <w:vAlign w:val="center"/>
          </w:tcPr>
          <w:p w14:paraId="33490DD1">
            <w:pPr>
              <w:snapToGrid w:val="0"/>
              <w:spacing w:line="288" w:lineRule="auto"/>
              <w:jc w:val="center"/>
              <w:rPr>
                <w:b/>
                <w:bCs/>
                <w:sz w:val="24"/>
                <w:highlight w:val="none"/>
              </w:rPr>
            </w:pPr>
            <w:r>
              <w:rPr>
                <w:rFonts w:hint="eastAsia"/>
                <w:b/>
                <w:bCs/>
                <w:sz w:val="24"/>
                <w:highlight w:val="none"/>
              </w:rPr>
              <w:t>备注</w:t>
            </w:r>
          </w:p>
        </w:tc>
      </w:tr>
      <w:tr w14:paraId="70E1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02" w:type="dxa"/>
            <w:vMerge w:val="restart"/>
            <w:vAlign w:val="center"/>
          </w:tcPr>
          <w:p w14:paraId="6F1BBE68">
            <w:pPr>
              <w:snapToGrid w:val="0"/>
              <w:spacing w:line="288" w:lineRule="auto"/>
              <w:jc w:val="center"/>
              <w:rPr>
                <w:b/>
                <w:bCs/>
                <w:sz w:val="24"/>
                <w:highlight w:val="none"/>
              </w:rPr>
            </w:pPr>
            <w:r>
              <w:rPr>
                <w:rFonts w:hint="eastAsia"/>
                <w:b/>
                <w:bCs/>
                <w:sz w:val="24"/>
                <w:highlight w:val="none"/>
              </w:rPr>
              <w:t>运维质量情况</w:t>
            </w:r>
          </w:p>
        </w:tc>
        <w:tc>
          <w:tcPr>
            <w:tcW w:w="2477" w:type="dxa"/>
            <w:vAlign w:val="center"/>
          </w:tcPr>
          <w:p w14:paraId="16648D4D">
            <w:pPr>
              <w:snapToGrid w:val="0"/>
              <w:spacing w:line="288" w:lineRule="auto"/>
              <w:jc w:val="center"/>
              <w:rPr>
                <w:b/>
                <w:bCs/>
                <w:sz w:val="24"/>
                <w:highlight w:val="none"/>
              </w:rPr>
            </w:pPr>
            <w:r>
              <w:rPr>
                <w:rFonts w:hint="eastAsia"/>
                <w:bCs/>
                <w:sz w:val="24"/>
                <w:highlight w:val="none"/>
              </w:rPr>
              <w:t>站点与环境、采样系统、仪器性能、档案记录等情况</w:t>
            </w:r>
          </w:p>
        </w:tc>
        <w:tc>
          <w:tcPr>
            <w:tcW w:w="3085" w:type="dxa"/>
            <w:vAlign w:val="center"/>
          </w:tcPr>
          <w:p w14:paraId="2A8D7DA5">
            <w:pPr>
              <w:snapToGrid w:val="0"/>
              <w:spacing w:line="288" w:lineRule="auto"/>
              <w:jc w:val="center"/>
              <w:rPr>
                <w:bCs/>
                <w:sz w:val="24"/>
                <w:highlight w:val="none"/>
              </w:rPr>
            </w:pPr>
            <w:r>
              <w:rPr>
                <w:rFonts w:hint="eastAsia"/>
                <w:bCs/>
                <w:sz w:val="24"/>
                <w:highlight w:val="none"/>
              </w:rPr>
              <w:t>保证系统正常运行</w:t>
            </w:r>
          </w:p>
        </w:tc>
        <w:tc>
          <w:tcPr>
            <w:tcW w:w="1081" w:type="dxa"/>
            <w:vAlign w:val="center"/>
          </w:tcPr>
          <w:p w14:paraId="1119DF09">
            <w:pPr>
              <w:snapToGrid w:val="0"/>
              <w:spacing w:line="288" w:lineRule="auto"/>
              <w:jc w:val="center"/>
              <w:rPr>
                <w:bCs/>
                <w:sz w:val="24"/>
                <w:highlight w:val="none"/>
              </w:rPr>
            </w:pPr>
            <w:r>
              <w:rPr>
                <w:rFonts w:hint="eastAsia"/>
                <w:bCs/>
                <w:sz w:val="24"/>
                <w:highlight w:val="none"/>
              </w:rPr>
              <w:t>10分</w:t>
            </w:r>
          </w:p>
        </w:tc>
        <w:tc>
          <w:tcPr>
            <w:tcW w:w="989" w:type="dxa"/>
            <w:vAlign w:val="center"/>
          </w:tcPr>
          <w:p w14:paraId="288E29AC">
            <w:pPr>
              <w:snapToGrid w:val="0"/>
              <w:spacing w:line="288" w:lineRule="auto"/>
              <w:jc w:val="center"/>
              <w:rPr>
                <w:b/>
                <w:bCs/>
                <w:sz w:val="24"/>
                <w:highlight w:val="none"/>
              </w:rPr>
            </w:pPr>
          </w:p>
        </w:tc>
      </w:tr>
      <w:tr w14:paraId="767D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02" w:type="dxa"/>
            <w:vMerge w:val="continue"/>
            <w:vAlign w:val="center"/>
          </w:tcPr>
          <w:p w14:paraId="14AB0B03">
            <w:pPr>
              <w:snapToGrid w:val="0"/>
              <w:spacing w:line="288" w:lineRule="auto"/>
              <w:jc w:val="center"/>
              <w:rPr>
                <w:b/>
                <w:bCs/>
                <w:sz w:val="24"/>
                <w:highlight w:val="none"/>
              </w:rPr>
            </w:pPr>
          </w:p>
        </w:tc>
        <w:tc>
          <w:tcPr>
            <w:tcW w:w="2477" w:type="dxa"/>
            <w:vAlign w:val="center"/>
          </w:tcPr>
          <w:p w14:paraId="00D22891">
            <w:pPr>
              <w:snapToGrid w:val="0"/>
              <w:spacing w:line="288" w:lineRule="auto"/>
              <w:jc w:val="center"/>
              <w:rPr>
                <w:bCs/>
                <w:sz w:val="24"/>
                <w:highlight w:val="none"/>
              </w:rPr>
            </w:pPr>
            <w:r>
              <w:rPr>
                <w:rFonts w:hint="eastAsia"/>
                <w:bCs/>
                <w:sz w:val="24"/>
                <w:highlight w:val="none"/>
              </w:rPr>
              <w:t>数据获取率</w:t>
            </w:r>
          </w:p>
        </w:tc>
        <w:tc>
          <w:tcPr>
            <w:tcW w:w="3085" w:type="dxa"/>
            <w:vAlign w:val="center"/>
          </w:tcPr>
          <w:p w14:paraId="196AF82D">
            <w:pPr>
              <w:snapToGrid w:val="0"/>
              <w:spacing w:line="288" w:lineRule="auto"/>
              <w:jc w:val="center"/>
              <w:rPr>
                <w:b/>
                <w:bCs/>
                <w:sz w:val="24"/>
                <w:highlight w:val="none"/>
              </w:rPr>
            </w:pPr>
            <w:r>
              <w:rPr>
                <w:rFonts w:hint="eastAsia"/>
                <w:bCs/>
                <w:sz w:val="24"/>
                <w:highlight w:val="none"/>
              </w:rPr>
              <w:t>不得低于80%。获取率在75%-80%，扣5分，获取率在75%以下，扣10分</w:t>
            </w:r>
          </w:p>
        </w:tc>
        <w:tc>
          <w:tcPr>
            <w:tcW w:w="1081" w:type="dxa"/>
            <w:vAlign w:val="center"/>
          </w:tcPr>
          <w:p w14:paraId="37BFA45A">
            <w:pPr>
              <w:snapToGrid w:val="0"/>
              <w:spacing w:line="288" w:lineRule="auto"/>
              <w:jc w:val="center"/>
              <w:rPr>
                <w:bCs/>
                <w:sz w:val="24"/>
                <w:highlight w:val="none"/>
              </w:rPr>
            </w:pPr>
            <w:r>
              <w:rPr>
                <w:rFonts w:hint="eastAsia"/>
                <w:bCs/>
                <w:sz w:val="24"/>
                <w:highlight w:val="none"/>
              </w:rPr>
              <w:t>30分</w:t>
            </w:r>
          </w:p>
        </w:tc>
        <w:tc>
          <w:tcPr>
            <w:tcW w:w="989" w:type="dxa"/>
            <w:vAlign w:val="center"/>
          </w:tcPr>
          <w:p w14:paraId="4E10D30B">
            <w:pPr>
              <w:snapToGrid w:val="0"/>
              <w:spacing w:line="288" w:lineRule="auto"/>
              <w:jc w:val="center"/>
              <w:rPr>
                <w:b/>
                <w:bCs/>
                <w:sz w:val="24"/>
                <w:highlight w:val="none"/>
              </w:rPr>
            </w:pPr>
          </w:p>
        </w:tc>
      </w:tr>
      <w:tr w14:paraId="4C97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02" w:type="dxa"/>
            <w:vMerge w:val="restart"/>
            <w:vAlign w:val="center"/>
          </w:tcPr>
          <w:p w14:paraId="3C3EBAC8">
            <w:pPr>
              <w:snapToGrid w:val="0"/>
              <w:spacing w:line="288" w:lineRule="auto"/>
              <w:jc w:val="center"/>
              <w:rPr>
                <w:b/>
                <w:bCs/>
                <w:sz w:val="24"/>
                <w:highlight w:val="none"/>
              </w:rPr>
            </w:pPr>
            <w:r>
              <w:rPr>
                <w:rFonts w:hint="eastAsia"/>
                <w:b/>
                <w:bCs/>
                <w:sz w:val="24"/>
                <w:highlight w:val="none"/>
              </w:rPr>
              <w:t>数据报告情况</w:t>
            </w:r>
          </w:p>
        </w:tc>
        <w:tc>
          <w:tcPr>
            <w:tcW w:w="2477" w:type="dxa"/>
            <w:vAlign w:val="center"/>
          </w:tcPr>
          <w:p w14:paraId="4D906BD6">
            <w:pPr>
              <w:snapToGrid w:val="0"/>
              <w:spacing w:line="288" w:lineRule="auto"/>
              <w:jc w:val="center"/>
              <w:rPr>
                <w:bCs/>
                <w:sz w:val="24"/>
                <w:highlight w:val="none"/>
              </w:rPr>
            </w:pPr>
            <w:r>
              <w:rPr>
                <w:rFonts w:hint="eastAsia"/>
                <w:bCs/>
                <w:sz w:val="24"/>
                <w:highlight w:val="none"/>
              </w:rPr>
              <w:t>月度报告数量</w:t>
            </w:r>
          </w:p>
        </w:tc>
        <w:tc>
          <w:tcPr>
            <w:tcW w:w="3085" w:type="dxa"/>
            <w:vAlign w:val="center"/>
          </w:tcPr>
          <w:p w14:paraId="3885E123">
            <w:pPr>
              <w:snapToGrid w:val="0"/>
              <w:spacing w:line="288" w:lineRule="auto"/>
              <w:jc w:val="center"/>
              <w:rPr>
                <w:bCs/>
                <w:sz w:val="24"/>
                <w:highlight w:val="none"/>
              </w:rPr>
            </w:pPr>
            <w:r>
              <w:rPr>
                <w:rFonts w:hint="eastAsia"/>
                <w:bCs/>
                <w:sz w:val="24"/>
                <w:highlight w:val="none"/>
              </w:rPr>
              <w:t>合同期内每月提交一份，缺失一份扣5分</w:t>
            </w:r>
          </w:p>
        </w:tc>
        <w:tc>
          <w:tcPr>
            <w:tcW w:w="1081" w:type="dxa"/>
            <w:vAlign w:val="center"/>
          </w:tcPr>
          <w:p w14:paraId="031AC0E1">
            <w:pPr>
              <w:snapToGrid w:val="0"/>
              <w:spacing w:line="288" w:lineRule="auto"/>
              <w:jc w:val="center"/>
              <w:rPr>
                <w:bCs/>
                <w:sz w:val="24"/>
                <w:highlight w:val="none"/>
              </w:rPr>
            </w:pPr>
            <w:r>
              <w:rPr>
                <w:rFonts w:hint="eastAsia"/>
                <w:bCs/>
                <w:sz w:val="24"/>
                <w:highlight w:val="none"/>
              </w:rPr>
              <w:t>15分</w:t>
            </w:r>
          </w:p>
        </w:tc>
        <w:tc>
          <w:tcPr>
            <w:tcW w:w="989" w:type="dxa"/>
            <w:vAlign w:val="center"/>
          </w:tcPr>
          <w:p w14:paraId="34661DF4">
            <w:pPr>
              <w:snapToGrid w:val="0"/>
              <w:spacing w:line="288" w:lineRule="auto"/>
              <w:jc w:val="center"/>
              <w:rPr>
                <w:bCs/>
                <w:sz w:val="24"/>
                <w:highlight w:val="none"/>
              </w:rPr>
            </w:pPr>
          </w:p>
        </w:tc>
      </w:tr>
      <w:tr w14:paraId="0B8B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2" w:type="dxa"/>
            <w:vMerge w:val="continue"/>
            <w:vAlign w:val="center"/>
          </w:tcPr>
          <w:p w14:paraId="7A4DF669">
            <w:pPr>
              <w:snapToGrid w:val="0"/>
              <w:spacing w:line="288" w:lineRule="auto"/>
              <w:jc w:val="center"/>
              <w:rPr>
                <w:bCs/>
                <w:sz w:val="24"/>
                <w:highlight w:val="none"/>
              </w:rPr>
            </w:pPr>
          </w:p>
        </w:tc>
        <w:tc>
          <w:tcPr>
            <w:tcW w:w="2477" w:type="dxa"/>
            <w:vAlign w:val="center"/>
          </w:tcPr>
          <w:p w14:paraId="1BF31016">
            <w:pPr>
              <w:snapToGrid w:val="0"/>
              <w:spacing w:line="288" w:lineRule="auto"/>
              <w:jc w:val="center"/>
              <w:rPr>
                <w:bCs/>
                <w:sz w:val="24"/>
                <w:highlight w:val="none"/>
              </w:rPr>
            </w:pPr>
            <w:r>
              <w:rPr>
                <w:rFonts w:hint="eastAsia"/>
                <w:bCs/>
                <w:sz w:val="24"/>
                <w:highlight w:val="none"/>
              </w:rPr>
              <w:t>季度报告数量</w:t>
            </w:r>
          </w:p>
        </w:tc>
        <w:tc>
          <w:tcPr>
            <w:tcW w:w="3085" w:type="dxa"/>
            <w:vAlign w:val="center"/>
          </w:tcPr>
          <w:p w14:paraId="56BCCBDF">
            <w:pPr>
              <w:snapToGrid w:val="0"/>
              <w:spacing w:line="288" w:lineRule="auto"/>
              <w:jc w:val="center"/>
              <w:rPr>
                <w:bCs/>
                <w:sz w:val="24"/>
                <w:highlight w:val="none"/>
              </w:rPr>
            </w:pPr>
            <w:r>
              <w:rPr>
                <w:rFonts w:hint="eastAsia"/>
                <w:bCs/>
                <w:sz w:val="24"/>
                <w:highlight w:val="none"/>
              </w:rPr>
              <w:t>合同期内每季度提交一份，缺失一份扣5分</w:t>
            </w:r>
          </w:p>
        </w:tc>
        <w:tc>
          <w:tcPr>
            <w:tcW w:w="1081" w:type="dxa"/>
            <w:vAlign w:val="center"/>
          </w:tcPr>
          <w:p w14:paraId="23E6067A">
            <w:pPr>
              <w:snapToGrid w:val="0"/>
              <w:spacing w:line="288" w:lineRule="auto"/>
              <w:jc w:val="center"/>
              <w:rPr>
                <w:bCs/>
                <w:sz w:val="24"/>
                <w:highlight w:val="none"/>
              </w:rPr>
            </w:pPr>
            <w:r>
              <w:rPr>
                <w:rFonts w:hint="eastAsia"/>
                <w:bCs/>
                <w:sz w:val="24"/>
                <w:highlight w:val="none"/>
              </w:rPr>
              <w:t>15分</w:t>
            </w:r>
          </w:p>
        </w:tc>
        <w:tc>
          <w:tcPr>
            <w:tcW w:w="989" w:type="dxa"/>
            <w:vAlign w:val="center"/>
          </w:tcPr>
          <w:p w14:paraId="4A932F57">
            <w:pPr>
              <w:snapToGrid w:val="0"/>
              <w:spacing w:line="288" w:lineRule="auto"/>
              <w:jc w:val="center"/>
              <w:rPr>
                <w:bCs/>
                <w:sz w:val="24"/>
                <w:highlight w:val="none"/>
              </w:rPr>
            </w:pPr>
          </w:p>
        </w:tc>
      </w:tr>
      <w:tr w14:paraId="2670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2" w:type="dxa"/>
            <w:vMerge w:val="continue"/>
            <w:vAlign w:val="center"/>
          </w:tcPr>
          <w:p w14:paraId="14CA95F5">
            <w:pPr>
              <w:snapToGrid w:val="0"/>
              <w:spacing w:line="288" w:lineRule="auto"/>
              <w:jc w:val="center"/>
              <w:rPr>
                <w:bCs/>
                <w:sz w:val="24"/>
                <w:highlight w:val="none"/>
              </w:rPr>
            </w:pPr>
          </w:p>
        </w:tc>
        <w:tc>
          <w:tcPr>
            <w:tcW w:w="2477" w:type="dxa"/>
            <w:vAlign w:val="center"/>
          </w:tcPr>
          <w:p w14:paraId="3AE79B97">
            <w:pPr>
              <w:snapToGrid w:val="0"/>
              <w:spacing w:line="288" w:lineRule="auto"/>
              <w:jc w:val="center"/>
              <w:rPr>
                <w:bCs/>
                <w:sz w:val="24"/>
                <w:highlight w:val="none"/>
              </w:rPr>
            </w:pPr>
            <w:r>
              <w:rPr>
                <w:rFonts w:hint="eastAsia"/>
                <w:bCs/>
                <w:sz w:val="24"/>
                <w:highlight w:val="none"/>
              </w:rPr>
              <w:t>巡检记录及故障报告数量</w:t>
            </w:r>
          </w:p>
        </w:tc>
        <w:tc>
          <w:tcPr>
            <w:tcW w:w="3085" w:type="dxa"/>
            <w:vAlign w:val="center"/>
          </w:tcPr>
          <w:p w14:paraId="6248C38C">
            <w:pPr>
              <w:snapToGrid w:val="0"/>
              <w:spacing w:line="288" w:lineRule="auto"/>
              <w:jc w:val="center"/>
              <w:rPr>
                <w:bCs/>
                <w:sz w:val="24"/>
                <w:highlight w:val="none"/>
              </w:rPr>
            </w:pPr>
            <w:r>
              <w:rPr>
                <w:rFonts w:hint="eastAsia"/>
                <w:bCs/>
                <w:sz w:val="24"/>
                <w:highlight w:val="none"/>
              </w:rPr>
              <w:t>根据实际发生情况酌情给分</w:t>
            </w:r>
          </w:p>
        </w:tc>
        <w:tc>
          <w:tcPr>
            <w:tcW w:w="1081" w:type="dxa"/>
            <w:vAlign w:val="center"/>
          </w:tcPr>
          <w:p w14:paraId="1C82CDF1">
            <w:pPr>
              <w:snapToGrid w:val="0"/>
              <w:spacing w:line="288" w:lineRule="auto"/>
              <w:jc w:val="center"/>
              <w:rPr>
                <w:bCs/>
                <w:sz w:val="24"/>
                <w:highlight w:val="none"/>
              </w:rPr>
            </w:pPr>
            <w:r>
              <w:rPr>
                <w:rFonts w:hint="eastAsia"/>
                <w:bCs/>
                <w:sz w:val="24"/>
                <w:highlight w:val="none"/>
              </w:rPr>
              <w:t>15分</w:t>
            </w:r>
          </w:p>
        </w:tc>
        <w:tc>
          <w:tcPr>
            <w:tcW w:w="989" w:type="dxa"/>
            <w:vAlign w:val="center"/>
          </w:tcPr>
          <w:p w14:paraId="61236898">
            <w:pPr>
              <w:snapToGrid w:val="0"/>
              <w:spacing w:line="288" w:lineRule="auto"/>
              <w:jc w:val="center"/>
              <w:rPr>
                <w:bCs/>
                <w:sz w:val="24"/>
                <w:highlight w:val="none"/>
              </w:rPr>
            </w:pPr>
          </w:p>
        </w:tc>
      </w:tr>
      <w:tr w14:paraId="7929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2" w:type="dxa"/>
            <w:vMerge w:val="continue"/>
            <w:vAlign w:val="center"/>
          </w:tcPr>
          <w:p w14:paraId="46A29AC3">
            <w:pPr>
              <w:snapToGrid w:val="0"/>
              <w:spacing w:line="288" w:lineRule="auto"/>
              <w:jc w:val="center"/>
              <w:rPr>
                <w:bCs/>
                <w:sz w:val="24"/>
                <w:highlight w:val="none"/>
              </w:rPr>
            </w:pPr>
          </w:p>
        </w:tc>
        <w:tc>
          <w:tcPr>
            <w:tcW w:w="2477" w:type="dxa"/>
            <w:vAlign w:val="center"/>
          </w:tcPr>
          <w:p w14:paraId="6717F877">
            <w:pPr>
              <w:snapToGrid w:val="0"/>
              <w:spacing w:line="288" w:lineRule="auto"/>
              <w:jc w:val="center"/>
              <w:rPr>
                <w:bCs/>
                <w:sz w:val="24"/>
                <w:highlight w:val="none"/>
              </w:rPr>
            </w:pPr>
            <w:r>
              <w:rPr>
                <w:rFonts w:hint="eastAsia"/>
                <w:bCs/>
                <w:sz w:val="24"/>
                <w:highlight w:val="none"/>
              </w:rPr>
              <w:t>报告质量</w:t>
            </w:r>
          </w:p>
        </w:tc>
        <w:tc>
          <w:tcPr>
            <w:tcW w:w="3085" w:type="dxa"/>
            <w:vAlign w:val="center"/>
          </w:tcPr>
          <w:p w14:paraId="1DA3CDF7">
            <w:pPr>
              <w:snapToGrid w:val="0"/>
              <w:spacing w:line="288" w:lineRule="auto"/>
              <w:jc w:val="center"/>
              <w:rPr>
                <w:bCs/>
                <w:sz w:val="24"/>
                <w:highlight w:val="none"/>
              </w:rPr>
            </w:pPr>
            <w:r>
              <w:rPr>
                <w:rFonts w:hint="eastAsia"/>
                <w:bCs/>
                <w:sz w:val="24"/>
                <w:highlight w:val="none"/>
              </w:rPr>
              <w:t>报告的文字、图标格式是否规范美观，分析是否深入，数据处理和分析是否合理等</w:t>
            </w:r>
          </w:p>
        </w:tc>
        <w:tc>
          <w:tcPr>
            <w:tcW w:w="1081" w:type="dxa"/>
            <w:vAlign w:val="center"/>
          </w:tcPr>
          <w:p w14:paraId="30214350">
            <w:pPr>
              <w:snapToGrid w:val="0"/>
              <w:spacing w:line="288" w:lineRule="auto"/>
              <w:jc w:val="center"/>
              <w:rPr>
                <w:bCs/>
                <w:sz w:val="24"/>
                <w:highlight w:val="none"/>
              </w:rPr>
            </w:pPr>
            <w:r>
              <w:rPr>
                <w:rFonts w:hint="eastAsia"/>
                <w:bCs/>
                <w:sz w:val="24"/>
                <w:highlight w:val="none"/>
              </w:rPr>
              <w:t>15分</w:t>
            </w:r>
          </w:p>
        </w:tc>
        <w:tc>
          <w:tcPr>
            <w:tcW w:w="989" w:type="dxa"/>
            <w:vAlign w:val="center"/>
          </w:tcPr>
          <w:p w14:paraId="072031F4">
            <w:pPr>
              <w:snapToGrid w:val="0"/>
              <w:spacing w:line="288" w:lineRule="auto"/>
              <w:jc w:val="center"/>
              <w:rPr>
                <w:bCs/>
                <w:sz w:val="24"/>
                <w:highlight w:val="none"/>
              </w:rPr>
            </w:pPr>
          </w:p>
        </w:tc>
      </w:tr>
    </w:tbl>
    <w:p w14:paraId="352F7857">
      <w:pPr>
        <w:snapToGrid w:val="0"/>
        <w:spacing w:line="360" w:lineRule="auto"/>
        <w:ind w:firstLine="482" w:firstLineChars="200"/>
        <w:rPr>
          <w:b/>
          <w:sz w:val="24"/>
          <w:highlight w:val="none"/>
        </w:rPr>
      </w:pPr>
    </w:p>
    <w:p w14:paraId="79288422">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5.其他要求</w:t>
      </w:r>
    </w:p>
    <w:p w14:paraId="2262071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5.1 在运维及管理期间，投标人应严格按照各级环保部门和采购人制订的操作规范和规章制度，对所管理的系统及仪器设备进行规范操作和精心维护及必要维修，保证系统及仪器设备的正常运行，达到采购人提出的系统及仪器设备考核指标要求。</w:t>
      </w:r>
    </w:p>
    <w:p w14:paraId="25B69ED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5.2 承担运营维护服务单位需积极配合采购人，做好接受各级管理部门的检查、监督工作；协助其他服务单位开展工作；</w:t>
      </w:r>
    </w:p>
    <w:p w14:paraId="69F8CC1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5.3 投标人负责森林碳通量监测系统运营及管理期间的各项费用预算开支，包括系统运行维护的备件、耗材、标气、人工、分析报告、平台维护、水电、网络及其安全相关、站房防雷检测设备、维修维护所需配件、工具、车辆和人员工资等相关费用。</w:t>
      </w:r>
    </w:p>
    <w:p w14:paraId="08BA5F5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sz w:val="24"/>
          <w:highlight w:val="none"/>
        </w:rPr>
        <w:t>5.4 中标人需对所有监测数据及相关信息资料保密，未经采购人书面许可不得以任何方式公开展示、发表或透露给第三方。参与本项目服务的中标人及所有人员，对工作中所涉的数据、资料及文件等负有保密义务，任何情况不得向第三方泄露。</w:t>
      </w:r>
      <w:r>
        <w:rPr>
          <w:rFonts w:hint="eastAsia" w:ascii="宋体" w:hAnsi="宋体" w:cs="宋体"/>
          <w:bCs/>
          <w:color w:val="000000" w:themeColor="text1"/>
          <w:sz w:val="24"/>
          <w:highlight w:val="none"/>
          <w14:textFill>
            <w14:solidFill>
              <w14:schemeClr w14:val="tx1"/>
            </w14:solidFill>
          </w14:textFill>
        </w:rPr>
        <w:t>如存在上述情况</w:t>
      </w:r>
      <w:r>
        <w:rPr>
          <w:rFonts w:ascii="宋体" w:hAnsi="宋体" w:cs="宋体"/>
          <w:bCs/>
          <w:color w:val="000000" w:themeColor="text1"/>
          <w:sz w:val="24"/>
          <w:highlight w:val="none"/>
          <w14:textFill>
            <w14:solidFill>
              <w14:schemeClr w14:val="tx1"/>
            </w14:solidFill>
          </w14:textFill>
        </w:rPr>
        <w:t>，采购人有权终止合同，并要求中标方承担相应违约责任，并支付违约金，违约金最高限价为合同金额的</w:t>
      </w:r>
      <w:r>
        <w:rPr>
          <w:bCs/>
          <w:color w:val="000000" w:themeColor="text1"/>
          <w:sz w:val="24"/>
          <w:highlight w:val="none"/>
          <w14:textFill>
            <w14:solidFill>
              <w14:schemeClr w14:val="tx1"/>
            </w14:solidFill>
          </w14:textFill>
        </w:rPr>
        <w:t>20%</w:t>
      </w:r>
      <w:r>
        <w:rPr>
          <w:rFonts w:ascii="宋体" w:hAnsi="宋体" w:cs="宋体"/>
          <w:bCs/>
          <w:color w:val="000000" w:themeColor="text1"/>
          <w:sz w:val="24"/>
          <w:highlight w:val="none"/>
          <w14:textFill>
            <w14:solidFill>
              <w14:schemeClr w14:val="tx1"/>
            </w14:solidFill>
          </w14:textFill>
        </w:rPr>
        <w:t>。本保密义务不因本项目合同期满、解除或终止而终止，除非采购人书面通知投标人解密，否则，投标人在合同终止后仍然负有保密义务。</w:t>
      </w:r>
    </w:p>
    <w:p w14:paraId="70E8E71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5.5 委托运营维护及管理的全部资产（包括全部产权和建筑物、设备、软件、配套设施、传感器和配套监控系统产生的各类数据信息及相关文档资料）属采购人所有。未经采购人同意，中标人不得以任何方式对各类财产进行出售、抵押或转移；在委托运营及管理期间，投标人有责任保证上述全部资产的完整、安全并处于良好状态。</w:t>
      </w:r>
    </w:p>
    <w:p w14:paraId="31F6770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5.6 本项目涉及设备、铁塔的运维作业，由于作业环境主要位于野外高塔，维护场景复杂，受自然环境影响较大，可能造成铁塔物理性破坏、环境条件恶劣等问题，影响人员安全。人员执行施工、运维等工作期间，必须严格遵守中华人民共和国《安全法》等相关规定，按照操作规程作业，特殊工种必须持证上岗，并配备足够的应急措施。投标人对后续作业过程负全责，对从业人员定期开展安全教育培训，做好运维期间的防范措施，购买高空作业人身意外险等与作业内容相关的保险，如人员出现意外事故伤害（如触电、高空作业坠落等）均由投标人负责。</w:t>
      </w:r>
    </w:p>
    <w:p w14:paraId="57415CB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5.7 在运维及管理期间，不能将合同规定的运行维护任务主体任务外包。</w:t>
      </w:r>
    </w:p>
    <w:p w14:paraId="018F17DA">
      <w:pPr>
        <w:keepNext w:val="0"/>
        <w:keepLines w:val="0"/>
        <w:pageBreakBefore w:val="0"/>
        <w:widowControl w:val="0"/>
        <w:kinsoku/>
        <w:wordWrap/>
        <w:overflowPunct/>
        <w:topLinePunct w:val="0"/>
        <w:autoSpaceDE/>
        <w:autoSpaceDN/>
        <w:bidi w:val="0"/>
        <w:adjustRightInd/>
        <w:snapToGrid/>
        <w:spacing w:after="0" w:line="360" w:lineRule="auto"/>
        <w:textAlignment w:val="auto"/>
        <w:rPr>
          <w:bCs/>
          <w:sz w:val="24"/>
          <w:highlight w:val="none"/>
        </w:rPr>
      </w:pPr>
    </w:p>
    <w:p w14:paraId="6992B639">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b/>
          <w:sz w:val="24"/>
          <w:highlight w:val="none"/>
        </w:rPr>
      </w:pPr>
      <w:r>
        <w:rPr>
          <w:rFonts w:hint="eastAsia" w:ascii="宋体" w:hAnsi="宋体" w:cs="宋体"/>
          <w:b/>
          <w:sz w:val="24"/>
          <w:highlight w:val="none"/>
        </w:rPr>
        <w:t>（三）付款方式</w:t>
      </w:r>
    </w:p>
    <w:p w14:paraId="3C65931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b/>
          <w:sz w:val="24"/>
          <w:highlight w:val="none"/>
        </w:rPr>
      </w:pPr>
      <w:r>
        <w:rPr>
          <w:sz w:val="24"/>
          <w:highlight w:val="none"/>
        </w:rPr>
        <w:t>分阶段支付，</w:t>
      </w:r>
      <w:r>
        <w:rPr>
          <w:color w:val="000000" w:themeColor="text1"/>
          <w:sz w:val="24"/>
          <w:highlight w:val="none"/>
          <w14:textFill>
            <w14:solidFill>
              <w14:schemeClr w14:val="tx1"/>
            </w14:solidFill>
          </w14:textFill>
        </w:rPr>
        <w:t>合同签订且财政资金到位后5个工作日内，甲方凭乙方开具的正规发票向乙方支付合同金额的50 %作为预付款；项目考核合格后（凭正规发票）向乙方支付合同金额的剩余50 %。</w:t>
      </w:r>
    </w:p>
    <w:p w14:paraId="1FC9556B">
      <w:pPr>
        <w:rPr>
          <w:bCs/>
          <w:sz w:val="24"/>
          <w:highlight w:val="none"/>
        </w:rPr>
      </w:pPr>
      <w:r>
        <w:rPr>
          <w:bCs/>
          <w:sz w:val="24"/>
          <w:highlight w:val="none"/>
        </w:rPr>
        <w:br w:type="page"/>
      </w:r>
    </w:p>
    <w:p w14:paraId="09DE9ED9">
      <w:pPr>
        <w:adjustRightInd w:val="0"/>
        <w:snapToGrid w:val="0"/>
        <w:spacing w:line="360" w:lineRule="auto"/>
        <w:rPr>
          <w:b/>
          <w:sz w:val="28"/>
          <w:highlight w:val="none"/>
        </w:rPr>
      </w:pPr>
      <w:r>
        <w:rPr>
          <w:rFonts w:hint="eastAsia"/>
          <w:b/>
          <w:sz w:val="28"/>
          <w:highlight w:val="none"/>
        </w:rPr>
        <w:t>标项二：杭州市碳排放反演与通量核算项目</w:t>
      </w:r>
      <w:r>
        <w:rPr>
          <w:b/>
          <w:sz w:val="28"/>
          <w:highlight w:val="none"/>
        </w:rPr>
        <w:t>采购需求</w:t>
      </w:r>
    </w:p>
    <w:p w14:paraId="3C80AE6B">
      <w:pPr>
        <w:keepNext w:val="0"/>
        <w:keepLines w:val="0"/>
        <w:pageBreakBefore w:val="0"/>
        <w:widowControl/>
        <w:kinsoku/>
        <w:wordWrap/>
        <w:overflowPunct/>
        <w:topLinePunct w:val="0"/>
        <w:autoSpaceDE w:val="0"/>
        <w:autoSpaceDN w:val="0"/>
        <w:bidi w:val="0"/>
        <w:adjustRightInd/>
        <w:snapToGrid/>
        <w:spacing w:after="0" w:line="360" w:lineRule="auto"/>
        <w:textAlignment w:val="bottom"/>
        <w:rPr>
          <w:b/>
          <w:sz w:val="24"/>
          <w:highlight w:val="none"/>
        </w:rPr>
      </w:pPr>
      <w:r>
        <w:rPr>
          <w:rFonts w:hint="eastAsia"/>
          <w:b/>
          <w:sz w:val="24"/>
          <w:highlight w:val="none"/>
        </w:rPr>
        <w:t>一、项目概述</w:t>
      </w:r>
    </w:p>
    <w:p w14:paraId="2FB01291">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根据生态环境部下发的《碳监测评估试点工作方案》、《深化碳监测评估试点工作方案》以及《杭州市碳达峰试点城市实施方案》等文件的要求，</w:t>
      </w:r>
      <w:bookmarkStart w:id="16" w:name="_Hlk201138359"/>
      <w:r>
        <w:rPr>
          <w:sz w:val="24"/>
          <w:highlight w:val="none"/>
        </w:rPr>
        <w:t>利用CO</w:t>
      </w:r>
      <w:r>
        <w:rPr>
          <w:sz w:val="24"/>
          <w:highlight w:val="none"/>
          <w:vertAlign w:val="subscript"/>
        </w:rPr>
        <w:t>2</w:t>
      </w:r>
      <w:r>
        <w:rPr>
          <w:sz w:val="24"/>
          <w:highlight w:val="none"/>
        </w:rPr>
        <w:t>和CH</w:t>
      </w:r>
      <w:r>
        <w:rPr>
          <w:sz w:val="24"/>
          <w:highlight w:val="none"/>
          <w:vertAlign w:val="subscript"/>
        </w:rPr>
        <w:t>4</w:t>
      </w:r>
      <w:r>
        <w:rPr>
          <w:sz w:val="24"/>
          <w:highlight w:val="none"/>
        </w:rPr>
        <w:t>观测数据，分析区域碳浓度分布和传输特征，结合温室气体同化反演核算方法，开展碳同化反演分析工作。本项目主要针对杭州市CO</w:t>
      </w:r>
      <w:r>
        <w:rPr>
          <w:sz w:val="24"/>
          <w:highlight w:val="none"/>
          <w:vertAlign w:val="subscript"/>
        </w:rPr>
        <w:t>2</w:t>
      </w:r>
      <w:r>
        <w:rPr>
          <w:sz w:val="24"/>
          <w:highlight w:val="none"/>
        </w:rPr>
        <w:t>、CH</w:t>
      </w:r>
      <w:r>
        <w:rPr>
          <w:sz w:val="24"/>
          <w:highlight w:val="none"/>
          <w:vertAlign w:val="subscript"/>
        </w:rPr>
        <w:t>4</w:t>
      </w:r>
      <w:r>
        <w:rPr>
          <w:sz w:val="24"/>
          <w:highlight w:val="none"/>
        </w:rPr>
        <w:t>监测数据分析及排放反演评估服务进行招标</w:t>
      </w:r>
      <w:r>
        <w:rPr>
          <w:rFonts w:hint="eastAsia" w:ascii="宋体" w:hAnsi="宋体" w:cs="宋体"/>
          <w:sz w:val="24"/>
          <w:highlight w:val="none"/>
        </w:rPr>
        <w:t>。</w:t>
      </w:r>
    </w:p>
    <w:p w14:paraId="10C51A66">
      <w:pPr>
        <w:keepNext w:val="0"/>
        <w:keepLines w:val="0"/>
        <w:pageBreakBefore w:val="0"/>
        <w:widowControl/>
        <w:kinsoku/>
        <w:wordWrap/>
        <w:overflowPunct/>
        <w:topLinePunct w:val="0"/>
        <w:autoSpaceDE w:val="0"/>
        <w:autoSpaceDN w:val="0"/>
        <w:bidi w:val="0"/>
        <w:adjustRightInd/>
        <w:snapToGrid/>
        <w:spacing w:after="0" w:line="360" w:lineRule="auto"/>
        <w:textAlignment w:val="bottom"/>
        <w:rPr>
          <w:b/>
          <w:sz w:val="24"/>
          <w:highlight w:val="none"/>
        </w:rPr>
      </w:pPr>
      <w:r>
        <w:rPr>
          <w:rFonts w:hint="eastAsia"/>
          <w:b/>
          <w:sz w:val="24"/>
          <w:highlight w:val="none"/>
        </w:rPr>
        <w:t>二、服务内容</w:t>
      </w:r>
    </w:p>
    <w:p w14:paraId="749266BC">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rFonts w:hint="eastAsia"/>
          <w:sz w:val="24"/>
          <w:highlight w:val="none"/>
        </w:rPr>
        <w:t>利用杭州市高精度地面温室气体观测数据，基于全球及区域同化算法、数值模型等手段，定期开展杭州市温室气体（CO</w:t>
      </w:r>
      <w:r>
        <w:rPr>
          <w:rFonts w:hint="eastAsia"/>
          <w:sz w:val="24"/>
          <w:highlight w:val="none"/>
          <w:vertAlign w:val="subscript"/>
        </w:rPr>
        <w:t>2</w:t>
      </w:r>
      <w:r>
        <w:rPr>
          <w:rFonts w:hint="eastAsia"/>
          <w:sz w:val="24"/>
          <w:highlight w:val="none"/>
        </w:rPr>
        <w:t>、CH</w:t>
      </w:r>
      <w:r>
        <w:rPr>
          <w:rFonts w:hint="eastAsia"/>
          <w:sz w:val="24"/>
          <w:highlight w:val="none"/>
          <w:vertAlign w:val="subscript"/>
        </w:rPr>
        <w:t>4</w:t>
      </w:r>
      <w:r>
        <w:rPr>
          <w:rFonts w:hint="eastAsia"/>
          <w:sz w:val="24"/>
          <w:highlight w:val="none"/>
        </w:rPr>
        <w:t>）融合分析及同化反演评估工作，数据时段范围为2025年</w:t>
      </w:r>
      <w:r>
        <w:rPr>
          <w:sz w:val="24"/>
          <w:highlight w:val="none"/>
        </w:rPr>
        <w:t>1</w:t>
      </w:r>
      <w:r>
        <w:rPr>
          <w:rFonts w:hint="eastAsia"/>
          <w:sz w:val="24"/>
          <w:highlight w:val="none"/>
        </w:rPr>
        <w:t>月1日至</w:t>
      </w:r>
      <w:r>
        <w:rPr>
          <w:sz w:val="24"/>
          <w:highlight w:val="none"/>
        </w:rPr>
        <w:t>11月30日</w:t>
      </w:r>
      <w:r>
        <w:rPr>
          <w:rFonts w:hint="eastAsia"/>
          <w:sz w:val="24"/>
          <w:highlight w:val="none"/>
        </w:rPr>
        <w:t>。具体内容如下：</w:t>
      </w:r>
    </w:p>
    <w:bookmarkEnd w:id="16"/>
    <w:p w14:paraId="2F7C3688">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rFonts w:hint="eastAsia"/>
          <w:sz w:val="24"/>
          <w:highlight w:val="none"/>
        </w:rPr>
        <w:t>（1）收集及</w:t>
      </w:r>
      <w:r>
        <w:rPr>
          <w:rFonts w:hint="eastAsia" w:ascii="宋体" w:hAnsi="宋体" w:cs="宋体"/>
          <w:sz w:val="24"/>
          <w:highlight w:val="none"/>
        </w:rPr>
        <w:t>解析</w:t>
      </w:r>
      <w:r>
        <w:rPr>
          <w:rFonts w:hint="eastAsia"/>
          <w:sz w:val="24"/>
          <w:highlight w:val="none"/>
        </w:rPr>
        <w:t>杭州市高精度温室气体观测数据和卫星监测数据（卫星数据由中标方提供，每月提供1到10条杭州</w:t>
      </w:r>
      <w:r>
        <w:rPr>
          <w:sz w:val="24"/>
          <w:highlight w:val="none"/>
        </w:rPr>
        <w:t>数据</w:t>
      </w:r>
      <w:r>
        <w:rPr>
          <w:rFonts w:hint="eastAsia"/>
          <w:sz w:val="24"/>
          <w:highlight w:val="none"/>
        </w:rPr>
        <w:t>），开展温室气体监测数据分析，从监测层面直观了解区域温室气体时空变化特征；</w:t>
      </w:r>
    </w:p>
    <w:p w14:paraId="4B44B92D">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rFonts w:hint="eastAsia"/>
          <w:sz w:val="24"/>
          <w:highlight w:val="none"/>
        </w:rPr>
        <w:t>（2）依托杭州市温室气体排放清单报告，结合相关空间数据，完成高分辨率温室气体排放清单编制，体现区域温室气体空间分布特征，为后续反演提供低不确定性先验清单；</w:t>
      </w:r>
    </w:p>
    <w:p w14:paraId="2680CEE9">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rFonts w:hint="eastAsia"/>
          <w:sz w:val="24"/>
          <w:highlight w:val="none"/>
        </w:rPr>
        <w:t>（3）为确保碳排放反演工作的准确性与时效性，及时对基准清单进行更新，优先选用最新的排放清单作为先验清单。</w:t>
      </w:r>
    </w:p>
    <w:p w14:paraId="368E9923">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rFonts w:hint="eastAsia"/>
          <w:sz w:val="24"/>
          <w:highlight w:val="none"/>
        </w:rPr>
        <w:t>（4）基于温室气体观测数据、温室气体先验清单，构建区域碳同化反演模型，定期（月度/年度）开展杭州市及区县市CO</w:t>
      </w:r>
      <w:r>
        <w:rPr>
          <w:rFonts w:hint="eastAsia"/>
          <w:sz w:val="24"/>
          <w:highlight w:val="none"/>
          <w:vertAlign w:val="subscript"/>
        </w:rPr>
        <w:t>2</w:t>
      </w:r>
      <w:r>
        <w:rPr>
          <w:rFonts w:hint="eastAsia"/>
          <w:sz w:val="24"/>
          <w:highlight w:val="none"/>
        </w:rPr>
        <w:t>、CH</w:t>
      </w:r>
      <w:r>
        <w:rPr>
          <w:rFonts w:hint="eastAsia"/>
          <w:sz w:val="24"/>
          <w:highlight w:val="none"/>
          <w:vertAlign w:val="subscript"/>
        </w:rPr>
        <w:t>4</w:t>
      </w:r>
      <w:r>
        <w:rPr>
          <w:rFonts w:hint="eastAsia"/>
          <w:sz w:val="24"/>
          <w:highlight w:val="none"/>
        </w:rPr>
        <w:t>同化反演核算及校验评估，编制监测及反演分析报告。</w:t>
      </w:r>
    </w:p>
    <w:p w14:paraId="17959B0D">
      <w:pPr>
        <w:keepNext w:val="0"/>
        <w:keepLines w:val="0"/>
        <w:pageBreakBefore w:val="0"/>
        <w:widowControl/>
        <w:kinsoku/>
        <w:wordWrap/>
        <w:overflowPunct/>
        <w:topLinePunct w:val="0"/>
        <w:autoSpaceDE w:val="0"/>
        <w:autoSpaceDN w:val="0"/>
        <w:bidi w:val="0"/>
        <w:adjustRightInd/>
        <w:snapToGrid/>
        <w:spacing w:after="0" w:line="360" w:lineRule="auto"/>
        <w:textAlignment w:val="bottom"/>
        <w:rPr>
          <w:b/>
          <w:sz w:val="24"/>
          <w:highlight w:val="none"/>
        </w:rPr>
      </w:pPr>
      <w:r>
        <w:rPr>
          <w:rFonts w:hint="eastAsia"/>
          <w:b/>
          <w:sz w:val="24"/>
          <w:highlight w:val="none"/>
        </w:rPr>
        <w:t>三、技术要求</w:t>
      </w:r>
    </w:p>
    <w:p w14:paraId="6169F233">
      <w:pPr>
        <w:keepNext w:val="0"/>
        <w:keepLines w:val="0"/>
        <w:pageBreakBefore w:val="0"/>
        <w:kinsoku/>
        <w:wordWrap/>
        <w:overflowPunct/>
        <w:topLinePunct w:val="0"/>
        <w:bidi w:val="0"/>
        <w:adjustRightInd/>
        <w:snapToGrid/>
        <w:spacing w:after="0" w:line="360" w:lineRule="auto"/>
        <w:ind w:firstLine="482" w:firstLineChars="200"/>
        <w:rPr>
          <w:b/>
          <w:bCs/>
          <w:sz w:val="24"/>
          <w:highlight w:val="none"/>
        </w:rPr>
      </w:pPr>
      <w:r>
        <w:rPr>
          <w:rFonts w:hint="eastAsia"/>
          <w:b/>
          <w:bCs/>
          <w:sz w:val="24"/>
          <w:highlight w:val="none"/>
        </w:rPr>
        <w:t>（一）温室气体监测数据分析要求</w:t>
      </w:r>
    </w:p>
    <w:p w14:paraId="387D7C5F">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对杭州市温室气体站点监测数据、气象监测数据进行综合评估分析，具体要求如下：</w:t>
      </w:r>
    </w:p>
    <w:p w14:paraId="41192D4A">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（1）站点监测数据分析：结合站点在线监测数据，分析杭州市温室气体的浓度特征和时空变化规律，包括日变化、月变化、季节变化和年变化</w:t>
      </w:r>
      <w:r>
        <w:rPr>
          <w:rFonts w:hint="eastAsia"/>
          <w:sz w:val="24"/>
          <w:highlight w:val="none"/>
        </w:rPr>
        <w:t>等</w:t>
      </w:r>
      <w:r>
        <w:rPr>
          <w:sz w:val="24"/>
          <w:highlight w:val="none"/>
        </w:rPr>
        <w:t>；</w:t>
      </w:r>
    </w:p>
    <w:p w14:paraId="7DEB557B">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（2）气象因子关联综合分析：基于温室气体监测及气象监测数据，开展风向和潜在排放源方位与不同高度CO</w:t>
      </w:r>
      <w:r>
        <w:rPr>
          <w:sz w:val="24"/>
          <w:highlight w:val="none"/>
          <w:vertAlign w:val="subscript"/>
        </w:rPr>
        <w:t>2</w:t>
      </w:r>
      <w:r>
        <w:rPr>
          <w:sz w:val="24"/>
          <w:highlight w:val="none"/>
        </w:rPr>
        <w:t>和CH</w:t>
      </w:r>
      <w:r>
        <w:rPr>
          <w:sz w:val="24"/>
          <w:highlight w:val="none"/>
          <w:vertAlign w:val="subscript"/>
        </w:rPr>
        <w:t>4</w:t>
      </w:r>
      <w:r>
        <w:rPr>
          <w:sz w:val="24"/>
          <w:highlight w:val="none"/>
        </w:rPr>
        <w:t>浓度分析；</w:t>
      </w:r>
    </w:p>
    <w:p w14:paraId="483B5B93">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（3）大气环境污染物关联综合分析：深度结合大气环境中SO</w:t>
      </w:r>
      <w:r>
        <w:rPr>
          <w:sz w:val="24"/>
          <w:highlight w:val="none"/>
          <w:vertAlign w:val="subscript"/>
        </w:rPr>
        <w:t>2</w:t>
      </w:r>
      <w:r>
        <w:rPr>
          <w:sz w:val="24"/>
          <w:highlight w:val="none"/>
        </w:rPr>
        <w:t>、NOx、颗粒物等常规监测污染物的浓度数据、时空分布特征等信息，运用先进的数据分析与模型构建手段，系统性地开展碳污同源的深入剖析工作,为大气环境的协同治理和精准管控提供坚实的数据支撑与科学依据。</w:t>
      </w:r>
    </w:p>
    <w:p w14:paraId="2834F50A">
      <w:pPr>
        <w:keepNext w:val="0"/>
        <w:keepLines w:val="0"/>
        <w:pageBreakBefore w:val="0"/>
        <w:kinsoku/>
        <w:wordWrap/>
        <w:overflowPunct/>
        <w:topLinePunct w:val="0"/>
        <w:bidi w:val="0"/>
        <w:adjustRightInd/>
        <w:snapToGrid/>
        <w:spacing w:after="0" w:line="360" w:lineRule="auto"/>
        <w:ind w:firstLine="482" w:firstLineChars="200"/>
        <w:rPr>
          <w:b/>
          <w:bCs/>
          <w:sz w:val="24"/>
          <w:highlight w:val="none"/>
        </w:rPr>
      </w:pPr>
      <w:r>
        <w:rPr>
          <w:b/>
          <w:bCs/>
          <w:sz w:val="24"/>
          <w:highlight w:val="none"/>
        </w:rPr>
        <w:t>（二）高分辨率温室气体排放清单编制要求</w:t>
      </w:r>
    </w:p>
    <w:p w14:paraId="12A943EC">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高分辨率温室气体排放清单的编制需要结合本地化温室气体排放清单报告和空间代理数据，实现排放量的空间分配。具体技术要求如下：</w:t>
      </w:r>
    </w:p>
    <w:p w14:paraId="029F6C8F">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（1）高分辨率排放清单需要根据项目需求完成至少包括CO</w:t>
      </w:r>
      <w:r>
        <w:rPr>
          <w:sz w:val="24"/>
          <w:highlight w:val="none"/>
          <w:vertAlign w:val="subscript"/>
        </w:rPr>
        <w:t>2</w:t>
      </w:r>
      <w:r>
        <w:rPr>
          <w:sz w:val="24"/>
          <w:highlight w:val="none"/>
        </w:rPr>
        <w:t>、CH</w:t>
      </w:r>
      <w:r>
        <w:rPr>
          <w:sz w:val="24"/>
          <w:highlight w:val="none"/>
          <w:vertAlign w:val="subscript"/>
        </w:rPr>
        <w:t>4</w:t>
      </w:r>
      <w:r>
        <w:rPr>
          <w:sz w:val="24"/>
          <w:highlight w:val="none"/>
        </w:rPr>
        <w:t>等温室气体的清单编制工作，需要覆盖杭州市全境包括下辖各县市，空间分辨率为1 km；</w:t>
      </w:r>
    </w:p>
    <w:p w14:paraId="391469CA">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（2）高分辨率排放清单</w:t>
      </w:r>
      <w:r>
        <w:rPr>
          <w:rFonts w:hint="eastAsia"/>
          <w:sz w:val="24"/>
          <w:highlight w:val="none"/>
        </w:rPr>
        <w:t>需</w:t>
      </w:r>
      <w:r>
        <w:rPr>
          <w:sz w:val="24"/>
          <w:highlight w:val="none"/>
        </w:rPr>
        <w:t>包括各子部门的排放清单，以及整合所有子清单的总清单；</w:t>
      </w:r>
    </w:p>
    <w:p w14:paraId="5F2B3AEE">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（3）高分辨率排放清单</w:t>
      </w:r>
      <w:r>
        <w:rPr>
          <w:rFonts w:hint="eastAsia"/>
          <w:sz w:val="24"/>
          <w:highlight w:val="none"/>
        </w:rPr>
        <w:t>需</w:t>
      </w:r>
      <w:r>
        <w:rPr>
          <w:sz w:val="24"/>
          <w:highlight w:val="none"/>
        </w:rPr>
        <w:t>能根据需求提供下辖各行政区划的排放子清单。</w:t>
      </w:r>
    </w:p>
    <w:p w14:paraId="1880B76C">
      <w:pPr>
        <w:keepNext w:val="0"/>
        <w:keepLines w:val="0"/>
        <w:pageBreakBefore w:val="0"/>
        <w:kinsoku/>
        <w:wordWrap/>
        <w:overflowPunct/>
        <w:topLinePunct w:val="0"/>
        <w:bidi w:val="0"/>
        <w:adjustRightInd/>
        <w:snapToGrid/>
        <w:spacing w:after="0" w:line="360" w:lineRule="auto"/>
        <w:ind w:firstLine="482" w:firstLineChars="200"/>
        <w:rPr>
          <w:b/>
          <w:bCs/>
          <w:sz w:val="24"/>
          <w:highlight w:val="none"/>
        </w:rPr>
      </w:pPr>
      <w:r>
        <w:rPr>
          <w:rFonts w:hint="eastAsia"/>
          <w:b/>
          <w:bCs/>
          <w:sz w:val="24"/>
          <w:highlight w:val="none"/>
        </w:rPr>
        <w:t>（三）同化反演模型算法要求</w:t>
      </w:r>
    </w:p>
    <w:p w14:paraId="1D09607C">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rFonts w:hint="eastAsia" w:ascii="宋体" w:hAnsi="宋体" w:cs="宋体"/>
          <w:sz w:val="24"/>
          <w:highlight w:val="none"/>
        </w:rPr>
        <w:t>1、数</w:t>
      </w:r>
      <w:r>
        <w:rPr>
          <w:sz w:val="24"/>
          <w:highlight w:val="none"/>
        </w:rPr>
        <w:t>值模型要求</w:t>
      </w:r>
    </w:p>
    <w:p w14:paraId="0BC73C02">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构建1套温室气体同化反应模型，制定杭州市本地化参数配置和运行方案，模型需采用WRF-Chem、WRF-CMAQ或WRF-GHG等先进气象-化学传输数值模型。具体技术指标如下：</w:t>
      </w:r>
    </w:p>
    <w:p w14:paraId="7555CCB9">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bookmarkStart w:id="17" w:name="_Hlk192754425"/>
      <w:r>
        <w:rPr>
          <w:sz w:val="24"/>
          <w:highlight w:val="none"/>
        </w:rPr>
        <w:t>（1）主要数值模型应具有较</w:t>
      </w:r>
      <w:r>
        <w:rPr>
          <w:rFonts w:hint="eastAsia"/>
          <w:sz w:val="24"/>
          <w:highlight w:val="none"/>
        </w:rPr>
        <w:t>新</w:t>
      </w:r>
      <w:r>
        <w:rPr>
          <w:sz w:val="24"/>
          <w:highlight w:val="none"/>
        </w:rPr>
        <w:t>版本，如WRF模型版本不低于V3.9.1，从而</w:t>
      </w:r>
      <w:bookmarkEnd w:id="17"/>
      <w:r>
        <w:rPr>
          <w:sz w:val="24"/>
          <w:highlight w:val="none"/>
        </w:rPr>
        <w:t>进一步为温室气体反演提供高精度模拟；</w:t>
      </w:r>
    </w:p>
    <w:p w14:paraId="779BD7A7">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（2）气象传输模型需实现与同化模块的耦合，实现多维气象资料同化，为模型模拟提供更精准的气象驱动结果；</w:t>
      </w:r>
      <w:r>
        <w:rPr>
          <w:b/>
          <w:bCs/>
          <w:sz w:val="24"/>
          <w:highlight w:val="none"/>
        </w:rPr>
        <w:t>（投标人需提供详细的气象同化方案）</w:t>
      </w:r>
    </w:p>
    <w:p w14:paraId="30AD2B03">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（3）模型采用多层嵌套网格，其中杭州市区域内水平分辨率应不低于4km；垂直分层至少35层，近地面应进行垂直层加密，可实现风、温、湿、压等气象要素三维空间场模拟；</w:t>
      </w:r>
    </w:p>
    <w:p w14:paraId="7E57E9FA">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（4）使用公开的高分辨率遥感地形地表覆盖数据（包括地形条件、城市分布情况、植被分布状况等），明确本地化参数方案，提高模式的模拟准确度。</w:t>
      </w:r>
    </w:p>
    <w:p w14:paraId="0DB81E80">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温室气体同化反演要求</w:t>
      </w:r>
    </w:p>
    <w:p w14:paraId="6B76BF95">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基于温室气体监测数据，采用同化反演模型，定期开展杭州市温室气体排放反演工作，支撑杭州市区域温室气体排放通量的校验和评估分析。具体技术指标如下：</w:t>
      </w:r>
    </w:p>
    <w:p w14:paraId="45A0A1FA">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（1）结合温室气体监测数据，对杭州市温室气体排放进行同化反演，反演至少包括CO</w:t>
      </w:r>
      <w:r>
        <w:rPr>
          <w:sz w:val="24"/>
          <w:highlight w:val="none"/>
          <w:vertAlign w:val="subscript"/>
        </w:rPr>
        <w:t>2</w:t>
      </w:r>
      <w:r>
        <w:rPr>
          <w:sz w:val="24"/>
          <w:highlight w:val="none"/>
        </w:rPr>
        <w:t>、CH</w:t>
      </w:r>
      <w:r>
        <w:rPr>
          <w:sz w:val="24"/>
          <w:highlight w:val="none"/>
          <w:vertAlign w:val="subscript"/>
        </w:rPr>
        <w:t>4</w:t>
      </w:r>
      <w:r>
        <w:rPr>
          <w:sz w:val="24"/>
          <w:highlight w:val="none"/>
        </w:rPr>
        <w:t>温室气体的地表人为源排放；（</w:t>
      </w:r>
      <w:r>
        <w:rPr>
          <w:b/>
          <w:sz w:val="24"/>
          <w:highlight w:val="none"/>
        </w:rPr>
        <w:t>投标人需提供碳监测数据同化反演相关技术证明材料</w:t>
      </w:r>
      <w:r>
        <w:rPr>
          <w:sz w:val="24"/>
          <w:highlight w:val="none"/>
        </w:rPr>
        <w:t>）</w:t>
      </w:r>
    </w:p>
    <w:p w14:paraId="3E72CE8F">
      <w:pPr>
        <w:keepNext w:val="0"/>
        <w:keepLines w:val="0"/>
        <w:pageBreakBefore w:val="0"/>
        <w:kinsoku/>
        <w:wordWrap/>
        <w:overflowPunct/>
        <w:topLinePunct w:val="0"/>
        <w:bidi w:val="0"/>
        <w:adjustRightInd/>
        <w:snapToGrid/>
        <w:spacing w:after="0" w:line="360" w:lineRule="auto"/>
        <w:ind w:firstLine="480" w:firstLineChars="200"/>
        <w:rPr>
          <w:rFonts w:hint="eastAsia" w:eastAsia="宋体"/>
          <w:sz w:val="24"/>
          <w:highlight w:val="none"/>
          <w:lang w:eastAsia="zh-CN"/>
        </w:rPr>
      </w:pPr>
      <w:r>
        <w:rPr>
          <w:sz w:val="24"/>
          <w:highlight w:val="none"/>
        </w:rPr>
        <w:t>（2）反演模型需每月同化最新监测数据，输出优化后的温室气体地表人为源排放，并根据同化反演算法提供平均核矩阵（average kernel）、DOFS等结果，评估温室气体观测浓度对排放的约束能力，为多源观测对比评估、温室气体同化反演及通量评估分析做数据准备</w:t>
      </w:r>
      <w:r>
        <w:rPr>
          <w:rFonts w:hint="eastAsia"/>
          <w:sz w:val="24"/>
          <w:highlight w:val="none"/>
          <w:lang w:eastAsia="zh-CN"/>
        </w:rPr>
        <w:t>。</w:t>
      </w:r>
    </w:p>
    <w:p w14:paraId="556B1C83">
      <w:pPr>
        <w:keepNext w:val="0"/>
        <w:keepLines w:val="0"/>
        <w:pageBreakBefore w:val="0"/>
        <w:widowControl/>
        <w:kinsoku/>
        <w:wordWrap/>
        <w:overflowPunct/>
        <w:topLinePunct w:val="0"/>
        <w:autoSpaceDE w:val="0"/>
        <w:autoSpaceDN w:val="0"/>
        <w:bidi w:val="0"/>
        <w:adjustRightInd/>
        <w:snapToGrid/>
        <w:spacing w:after="0" w:line="360" w:lineRule="auto"/>
        <w:textAlignment w:val="bottom"/>
        <w:rPr>
          <w:b/>
          <w:sz w:val="24"/>
          <w:highlight w:val="none"/>
        </w:rPr>
      </w:pPr>
      <w:r>
        <w:rPr>
          <w:rFonts w:hint="eastAsia"/>
          <w:b/>
          <w:sz w:val="24"/>
          <w:highlight w:val="none"/>
        </w:rPr>
        <w:t>四、成果要求</w:t>
      </w:r>
    </w:p>
    <w:p w14:paraId="0931C242">
      <w:pPr>
        <w:keepNext w:val="0"/>
        <w:keepLines w:val="0"/>
        <w:pageBreakBefore w:val="0"/>
        <w:kinsoku/>
        <w:wordWrap/>
        <w:overflowPunct/>
        <w:topLinePunct w:val="0"/>
        <w:bidi w:val="0"/>
        <w:adjustRightInd/>
        <w:snapToGrid/>
        <w:spacing w:after="0" w:line="360" w:lineRule="auto"/>
        <w:ind w:firstLine="480" w:firstLineChars="200"/>
        <w:rPr>
          <w:rFonts w:hint="eastAsia" w:eastAsia="宋体"/>
          <w:sz w:val="24"/>
          <w:highlight w:val="none"/>
          <w:lang w:eastAsia="zh-CN"/>
        </w:rPr>
      </w:pPr>
      <w:r>
        <w:rPr>
          <w:rFonts w:hint="eastAsia"/>
          <w:sz w:val="24"/>
          <w:highlight w:val="none"/>
        </w:rPr>
        <w:t>每月20日前</w:t>
      </w:r>
      <w:r>
        <w:rPr>
          <w:sz w:val="24"/>
          <w:highlight w:val="none"/>
        </w:rPr>
        <w:t>以月报形式递交《杭州市温室气体监测及同化反演结果分析报告》，报告内容至少包含</w:t>
      </w:r>
      <w:r>
        <w:rPr>
          <w:rFonts w:ascii="Cambria Math" w:hAnsi="Cambria Math" w:cs="Cambria Math"/>
          <w:sz w:val="24"/>
          <w:highlight w:val="none"/>
        </w:rPr>
        <w:t>①</w:t>
      </w:r>
      <w:r>
        <w:rPr>
          <w:sz w:val="24"/>
          <w:highlight w:val="none"/>
        </w:rPr>
        <w:t>温室气体监测数据时空分布特征；</w:t>
      </w:r>
      <w:r>
        <w:rPr>
          <w:rFonts w:ascii="Cambria Math" w:hAnsi="Cambria Math" w:cs="Cambria Math"/>
          <w:sz w:val="24"/>
          <w:highlight w:val="none"/>
        </w:rPr>
        <w:t>②</w:t>
      </w:r>
      <w:r>
        <w:rPr>
          <w:sz w:val="24"/>
          <w:highlight w:val="none"/>
        </w:rPr>
        <w:t>温室气体与常规污染的关联分析；</w:t>
      </w:r>
      <w:r>
        <w:rPr>
          <w:rFonts w:ascii="Cambria Math" w:hAnsi="Cambria Math" w:cs="Cambria Math"/>
          <w:sz w:val="24"/>
          <w:highlight w:val="none"/>
        </w:rPr>
        <w:t>③</w:t>
      </w:r>
      <w:r>
        <w:rPr>
          <w:sz w:val="24"/>
          <w:highlight w:val="none"/>
        </w:rPr>
        <w:t>温室气体与</w:t>
      </w:r>
      <w:r>
        <w:rPr>
          <w:bCs/>
          <w:sz w:val="24"/>
          <w:highlight w:val="none"/>
        </w:rPr>
        <w:t>气象因子关联分析；</w:t>
      </w:r>
      <w:r>
        <w:rPr>
          <w:rFonts w:ascii="Cambria Math" w:hAnsi="Cambria Math" w:cs="Cambria Math"/>
          <w:sz w:val="24"/>
          <w:highlight w:val="none"/>
        </w:rPr>
        <w:t>④</w:t>
      </w:r>
      <w:r>
        <w:rPr>
          <w:sz w:val="24"/>
          <w:highlight w:val="none"/>
        </w:rPr>
        <w:t>模型反演方法详细介绍、参数设置；</w:t>
      </w:r>
      <w:r>
        <w:rPr>
          <w:rFonts w:ascii="Cambria Math" w:hAnsi="Cambria Math" w:cs="Cambria Math"/>
          <w:sz w:val="24"/>
          <w:highlight w:val="none"/>
        </w:rPr>
        <w:t>⑤</w:t>
      </w:r>
      <w:r>
        <w:rPr>
          <w:sz w:val="24"/>
          <w:highlight w:val="none"/>
        </w:rPr>
        <w:t>温室气体排放反演结果及校验评估；</w:t>
      </w:r>
      <w:r>
        <w:rPr>
          <w:rFonts w:ascii="Cambria Math" w:hAnsi="Cambria Math" w:cs="Cambria Math"/>
          <w:sz w:val="24"/>
          <w:highlight w:val="none"/>
        </w:rPr>
        <w:t>⑥</w:t>
      </w:r>
      <w:r>
        <w:rPr>
          <w:sz w:val="24"/>
          <w:highlight w:val="none"/>
        </w:rPr>
        <w:t>“双碳”管理工作建议。项目期间至少提供一份</w:t>
      </w:r>
      <w:r>
        <w:rPr>
          <w:rFonts w:hint="eastAsia"/>
          <w:sz w:val="24"/>
          <w:highlight w:val="none"/>
        </w:rPr>
        <w:t>关于双碳</w:t>
      </w:r>
      <w:r>
        <w:rPr>
          <w:sz w:val="24"/>
          <w:highlight w:val="none"/>
        </w:rPr>
        <w:t>工作</w:t>
      </w:r>
      <w:r>
        <w:rPr>
          <w:rFonts w:hint="eastAsia"/>
          <w:sz w:val="24"/>
          <w:highlight w:val="none"/>
        </w:rPr>
        <w:t>的综合对策建议报告</w:t>
      </w:r>
      <w:r>
        <w:rPr>
          <w:rFonts w:hint="eastAsia"/>
          <w:sz w:val="24"/>
          <w:highlight w:val="none"/>
          <w:lang w:eastAsia="zh-CN"/>
        </w:rPr>
        <w:t>。</w:t>
      </w:r>
    </w:p>
    <w:p w14:paraId="54F60A55">
      <w:pPr>
        <w:keepNext w:val="0"/>
        <w:keepLines w:val="0"/>
        <w:pageBreakBefore w:val="0"/>
        <w:widowControl/>
        <w:kinsoku/>
        <w:wordWrap/>
        <w:overflowPunct/>
        <w:topLinePunct w:val="0"/>
        <w:autoSpaceDE w:val="0"/>
        <w:autoSpaceDN w:val="0"/>
        <w:bidi w:val="0"/>
        <w:adjustRightInd/>
        <w:snapToGrid/>
        <w:spacing w:after="0" w:line="360" w:lineRule="auto"/>
        <w:textAlignment w:val="bottom"/>
        <w:rPr>
          <w:b/>
          <w:sz w:val="24"/>
          <w:highlight w:val="none"/>
        </w:rPr>
      </w:pPr>
      <w:r>
        <w:rPr>
          <w:rFonts w:hint="eastAsia"/>
          <w:b/>
          <w:sz w:val="24"/>
          <w:highlight w:val="none"/>
        </w:rPr>
        <w:t>五、人员要求</w:t>
      </w:r>
    </w:p>
    <w:p w14:paraId="7DF74D18">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为保证项目实施质量，投标人需成立合理的组织机构，安排至少5名高素质专业技术人员参加本项目建设工作，其中至少3名需具有气象学、大气科学或环境类专业硕士</w:t>
      </w:r>
      <w:r>
        <w:rPr>
          <w:rFonts w:hint="eastAsia"/>
          <w:sz w:val="24"/>
          <w:highlight w:val="none"/>
        </w:rPr>
        <w:t>及以上</w:t>
      </w:r>
      <w:r>
        <w:rPr>
          <w:sz w:val="24"/>
          <w:highlight w:val="none"/>
        </w:rPr>
        <w:t>学历背景，5名专业技术人员中必须明确1名项目技术负责人，技术负责人需具有高级职称；具备</w:t>
      </w:r>
      <w:r>
        <w:rPr>
          <w:rFonts w:hint="eastAsia"/>
          <w:sz w:val="24"/>
          <w:highlight w:val="none"/>
        </w:rPr>
        <w:t>2</w:t>
      </w:r>
      <w:r>
        <w:rPr>
          <w:sz w:val="24"/>
          <w:highlight w:val="none"/>
        </w:rPr>
        <w:t>年以上相关工作经验，若服务期间人员产生变动，须经采购人同意。</w:t>
      </w:r>
    </w:p>
    <w:p w14:paraId="13559958">
      <w:pPr>
        <w:keepNext w:val="0"/>
        <w:keepLines w:val="0"/>
        <w:pageBreakBefore w:val="0"/>
        <w:widowControl/>
        <w:kinsoku/>
        <w:wordWrap/>
        <w:overflowPunct/>
        <w:topLinePunct w:val="0"/>
        <w:autoSpaceDE w:val="0"/>
        <w:autoSpaceDN w:val="0"/>
        <w:bidi w:val="0"/>
        <w:adjustRightInd/>
        <w:snapToGrid/>
        <w:spacing w:after="0" w:line="360" w:lineRule="auto"/>
        <w:textAlignment w:val="bottom"/>
        <w:rPr>
          <w:b/>
          <w:sz w:val="24"/>
          <w:highlight w:val="none"/>
        </w:rPr>
      </w:pPr>
      <w:r>
        <w:rPr>
          <w:rFonts w:hint="eastAsia"/>
          <w:b/>
          <w:sz w:val="24"/>
          <w:highlight w:val="none"/>
        </w:rPr>
        <w:t>六、服务期限</w:t>
      </w:r>
    </w:p>
    <w:p w14:paraId="55E86FC0">
      <w:pPr>
        <w:keepNext w:val="0"/>
        <w:keepLines w:val="0"/>
        <w:pageBreakBefore w:val="0"/>
        <w:widowControl/>
        <w:kinsoku/>
        <w:wordWrap/>
        <w:overflowPunct/>
        <w:topLinePunct w:val="0"/>
        <w:bidi w:val="0"/>
        <w:adjustRightInd/>
        <w:snapToGrid/>
        <w:spacing w:after="0" w:line="360" w:lineRule="auto"/>
        <w:ind w:firstLine="480" w:firstLineChars="200"/>
        <w:textAlignment w:val="bottom"/>
        <w:rPr>
          <w:rFonts w:hint="eastAsia" w:ascii="宋体" w:hAnsi="宋体" w:cs="宋体"/>
          <w:bCs/>
          <w:sz w:val="24"/>
          <w:highlight w:val="none"/>
        </w:rPr>
      </w:pPr>
      <w:r>
        <w:rPr>
          <w:rFonts w:hint="eastAsia" w:ascii="宋体" w:hAnsi="宋体" w:cs="宋体"/>
          <w:bCs/>
          <w:color w:val="000000" w:themeColor="text1"/>
          <w:sz w:val="24"/>
          <w:highlight w:val="none"/>
          <w14:textFill>
            <w14:solidFill>
              <w14:schemeClr w14:val="tx1"/>
            </w14:solidFill>
          </w14:textFill>
        </w:rPr>
        <w:t>反演数据时段范围为2025年1月1日至11月30日</w:t>
      </w:r>
      <w:r>
        <w:rPr>
          <w:rFonts w:hint="eastAsia" w:ascii="宋体" w:hAnsi="宋体" w:cs="宋体"/>
          <w:bCs/>
          <w:sz w:val="24"/>
          <w:highlight w:val="none"/>
        </w:rPr>
        <w:t xml:space="preserve"> </w:t>
      </w:r>
    </w:p>
    <w:p w14:paraId="51140E16">
      <w:pPr>
        <w:keepNext w:val="0"/>
        <w:keepLines w:val="0"/>
        <w:pageBreakBefore w:val="0"/>
        <w:widowControl/>
        <w:kinsoku/>
        <w:wordWrap/>
        <w:overflowPunct/>
        <w:topLinePunct w:val="0"/>
        <w:autoSpaceDE w:val="0"/>
        <w:autoSpaceDN w:val="0"/>
        <w:bidi w:val="0"/>
        <w:adjustRightInd/>
        <w:snapToGrid/>
        <w:spacing w:after="0" w:line="360" w:lineRule="auto"/>
        <w:textAlignment w:val="bottom"/>
        <w:rPr>
          <w:b/>
          <w:sz w:val="24"/>
          <w:highlight w:val="none"/>
        </w:rPr>
      </w:pPr>
      <w:r>
        <w:rPr>
          <w:rFonts w:hint="eastAsia"/>
          <w:b/>
          <w:sz w:val="24"/>
          <w:highlight w:val="none"/>
        </w:rPr>
        <w:t>七、其他要求</w:t>
      </w:r>
    </w:p>
    <w:p w14:paraId="096D4D12">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（1）服务期间需及时响应，做到24小时在线响应，按工作需求编制总结汇报材料，包括文字和PPT等形式；定期开展工作汇报交流；</w:t>
      </w:r>
    </w:p>
    <w:p w14:paraId="41324E4E">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（2）</w:t>
      </w:r>
      <w:r>
        <w:rPr>
          <w:rFonts w:hint="eastAsia"/>
          <w:sz w:val="24"/>
          <w:highlight w:val="none"/>
        </w:rPr>
        <w:t>具有超算等必要的技术设施，</w:t>
      </w:r>
      <w:r>
        <w:rPr>
          <w:sz w:val="24"/>
          <w:highlight w:val="none"/>
        </w:rPr>
        <w:t>提供临时性的技术指导及模型分析等服务，配合采购人进行温室气体数据分析、模型模拟反演相关服务；</w:t>
      </w:r>
    </w:p>
    <w:p w14:paraId="41F2EAF7">
      <w:pPr>
        <w:keepNext w:val="0"/>
        <w:keepLines w:val="0"/>
        <w:pageBreakBefore w:val="0"/>
        <w:kinsoku/>
        <w:wordWrap/>
        <w:overflowPunct/>
        <w:topLinePunct w:val="0"/>
        <w:bidi w:val="0"/>
        <w:adjustRightInd/>
        <w:snapToGrid/>
        <w:spacing w:after="0" w:line="360" w:lineRule="auto"/>
        <w:ind w:firstLine="480" w:firstLineChars="200"/>
        <w:rPr>
          <w:sz w:val="24"/>
          <w:highlight w:val="none"/>
        </w:rPr>
      </w:pPr>
      <w:r>
        <w:rPr>
          <w:sz w:val="24"/>
          <w:highlight w:val="none"/>
        </w:rPr>
        <w:t>（3）提供与本项目相关的免费电话技术咨询及答疑。</w:t>
      </w:r>
    </w:p>
    <w:p w14:paraId="1F2CDD66">
      <w:pPr>
        <w:pStyle w:val="4"/>
        <w:keepNext w:val="0"/>
        <w:keepLines w:val="0"/>
        <w:pageBreakBefore w:val="0"/>
        <w:kinsoku/>
        <w:wordWrap/>
        <w:overflowPunct/>
        <w:topLinePunct w:val="0"/>
        <w:bidi w:val="0"/>
        <w:adjustRightInd/>
        <w:snapToGrid/>
        <w:spacing w:after="0"/>
        <w:ind w:left="0" w:firstLine="480" w:firstLineChars="200"/>
        <w:rPr>
          <w:rFonts w:ascii="Times New Roman" w:hAnsi="Times New Roman"/>
          <w:highlight w:val="none"/>
        </w:rPr>
      </w:pPr>
      <w:r>
        <w:rPr>
          <w:rFonts w:ascii="Times New Roman" w:hAnsi="Times New Roman"/>
          <w:b w:val="0"/>
          <w:bCs w:val="0"/>
          <w:highlight w:val="none"/>
        </w:rPr>
        <w:t>（4）应数据保密要求，投标人需</w:t>
      </w:r>
      <w:r>
        <w:rPr>
          <w:rFonts w:ascii="Times New Roman" w:hAnsi="Times New Roman"/>
          <w:b w:val="0"/>
          <w:bCs w:val="0"/>
          <w:highlight w:val="none"/>
          <w:lang w:val="en-US"/>
        </w:rPr>
        <w:t>提供完善的数据安全和信息安全管理制度</w:t>
      </w:r>
      <w:r>
        <w:rPr>
          <w:rFonts w:ascii="Times New Roman" w:hAnsi="Times New Roman"/>
          <w:b w:val="0"/>
          <w:bCs w:val="0"/>
          <w:highlight w:val="none"/>
        </w:rPr>
        <w:t>（</w:t>
      </w:r>
      <w:r>
        <w:rPr>
          <w:rFonts w:ascii="Times New Roman" w:hAnsi="Times New Roman"/>
          <w:highlight w:val="none"/>
        </w:rPr>
        <w:t>提供证明材料）。</w:t>
      </w:r>
    </w:p>
    <w:p w14:paraId="17365977">
      <w:pPr>
        <w:keepNext w:val="0"/>
        <w:keepLines w:val="0"/>
        <w:pageBreakBefore w:val="0"/>
        <w:widowControl/>
        <w:kinsoku/>
        <w:wordWrap/>
        <w:overflowPunct/>
        <w:topLinePunct w:val="0"/>
        <w:autoSpaceDE w:val="0"/>
        <w:autoSpaceDN w:val="0"/>
        <w:bidi w:val="0"/>
        <w:adjustRightInd/>
        <w:snapToGrid/>
        <w:spacing w:after="0" w:line="360" w:lineRule="auto"/>
        <w:textAlignment w:val="bottom"/>
        <w:rPr>
          <w:b/>
          <w:sz w:val="24"/>
          <w:highlight w:val="none"/>
        </w:rPr>
      </w:pPr>
      <w:r>
        <w:rPr>
          <w:rFonts w:hint="eastAsia"/>
          <w:b/>
          <w:sz w:val="24"/>
          <w:highlight w:val="none"/>
        </w:rPr>
        <w:t>八、考核要求及支付方式</w:t>
      </w:r>
    </w:p>
    <w:p w14:paraId="1B12E1AE">
      <w:pPr>
        <w:pStyle w:val="7"/>
        <w:keepNext w:val="0"/>
        <w:keepLines w:val="0"/>
        <w:pageBreakBefore w:val="0"/>
        <w:kinsoku/>
        <w:wordWrap/>
        <w:overflowPunct/>
        <w:topLinePunct w:val="0"/>
        <w:bidi w:val="0"/>
        <w:adjustRightInd/>
        <w:snapToGrid/>
        <w:spacing w:after="0" w:line="360" w:lineRule="auto"/>
        <w:ind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（1）考核要求：服务期间，采购人按月对项目完成内容进行考核（详见考核表），包括提供的报告数量、报告涵盖的内容及质量，对不达要求的，扣减相应的服务费，并有权终止合同。服务费核算：</w:t>
      </w:r>
      <w:r>
        <w:rPr>
          <w:rFonts w:hint="default" w:ascii="Cambria Math" w:hAnsi="Cambria Math" w:eastAsia="宋体" w:cs="Cambria Math"/>
          <w:sz w:val="24"/>
          <w:szCs w:val="24"/>
          <w:highlight w:val="none"/>
        </w:rPr>
        <w:t>①</w:t>
      </w:r>
      <w:r>
        <w:rPr>
          <w:rFonts w:hint="default" w:ascii="Times New Roman" w:hAnsi="Times New Roman" w:eastAsia="宋体" w:cs="Times New Roman"/>
          <w:sz w:val="24"/>
          <w:szCs w:val="24"/>
          <w:highlight w:val="none"/>
        </w:rPr>
        <w:t>考核结果在70分（含）以上，80分以下，为初级警告，扣除当月费用的10%，并责令整改；</w:t>
      </w:r>
      <w:r>
        <w:rPr>
          <w:rFonts w:hint="default" w:ascii="Cambria Math" w:hAnsi="Cambria Math" w:eastAsia="宋体" w:cs="Cambria Math"/>
          <w:sz w:val="24"/>
          <w:szCs w:val="24"/>
          <w:highlight w:val="none"/>
        </w:rPr>
        <w:t>②</w:t>
      </w:r>
      <w:r>
        <w:rPr>
          <w:rFonts w:hint="default" w:ascii="Times New Roman" w:hAnsi="Times New Roman" w:eastAsia="宋体" w:cs="Times New Roman"/>
          <w:sz w:val="24"/>
          <w:szCs w:val="24"/>
          <w:highlight w:val="none"/>
        </w:rPr>
        <w:t>考核结果在60分（含）以上，70分以下，为二级警告，扣除当月费用的30%，并责令整改；</w:t>
      </w:r>
      <w:r>
        <w:rPr>
          <w:rFonts w:hint="default" w:ascii="Cambria Math" w:hAnsi="Cambria Math" w:eastAsia="宋体" w:cs="Cambria Math"/>
          <w:sz w:val="24"/>
          <w:szCs w:val="24"/>
          <w:highlight w:val="none"/>
        </w:rPr>
        <w:t>③</w:t>
      </w:r>
      <w:r>
        <w:rPr>
          <w:rFonts w:hint="default" w:ascii="Times New Roman" w:hAnsi="Times New Roman" w:eastAsia="宋体" w:cs="Times New Roman"/>
          <w:sz w:val="24"/>
          <w:szCs w:val="24"/>
          <w:highlight w:val="none"/>
        </w:rPr>
        <w:t>考核结果在60分以下，扣除当月费用，且采购人有权取消数据分析合同。</w:t>
      </w:r>
    </w:p>
    <w:p w14:paraId="3E689392">
      <w:pPr>
        <w:pStyle w:val="7"/>
        <w:keepNext w:val="0"/>
        <w:keepLines w:val="0"/>
        <w:pageBreakBefore w:val="0"/>
        <w:kinsoku/>
        <w:wordWrap/>
        <w:overflowPunct/>
        <w:topLinePunct w:val="0"/>
        <w:bidi w:val="0"/>
        <w:adjustRightInd/>
        <w:snapToGrid/>
        <w:spacing w:after="0" w:line="360" w:lineRule="auto"/>
        <w:ind w:firstLineChars="0"/>
        <w:rPr>
          <w:rFonts w:hint="default" w:ascii="Times New Roman" w:hAnsi="Times New Roman" w:eastAsia="宋体" w:cs="Times New Roman"/>
          <w:szCs w:val="21"/>
          <w:highlight w:val="none"/>
        </w:rPr>
      </w:pPr>
      <w:r>
        <w:rPr>
          <w:rFonts w:hint="default" w:ascii="Times New Roman" w:hAnsi="Times New Roman" w:eastAsia="宋体" w:cs="Times New Roman"/>
          <w:sz w:val="24"/>
          <w:szCs w:val="24"/>
          <w:highlight w:val="none"/>
        </w:rPr>
        <w:t>（2）支付方式：分阶段支付，合同签订且财政资金到位后5个工作日内，甲方凭乙方开具的正规发票向乙方支付合同金额的50 %作为预付款；项目考核合格后（凭正规发票）向乙方支付合同金额的剩余50 %。</w:t>
      </w:r>
    </w:p>
    <w:p w14:paraId="4CF22D31">
      <w:pPr>
        <w:pStyle w:val="2"/>
        <w:rPr>
          <w:highlight w:val="none"/>
        </w:rPr>
      </w:pPr>
    </w:p>
    <w:p w14:paraId="01BC92E3">
      <w:pPr>
        <w:jc w:val="center"/>
        <w:rPr>
          <w:rFonts w:hint="eastAsia" w:ascii="黑体" w:hAnsi="黑体" w:eastAsia="黑体"/>
          <w:highlight w:val="none"/>
        </w:rPr>
      </w:pPr>
      <w:r>
        <w:rPr>
          <w:rFonts w:hint="eastAsia" w:ascii="黑体" w:hAnsi="黑体" w:eastAsia="黑体"/>
          <w:highlight w:val="none"/>
        </w:rPr>
        <w:t>杭州市碳排放反演与通量核算项目综合评议表</w:t>
      </w:r>
    </w:p>
    <w:p w14:paraId="3A5BB906">
      <w:pPr>
        <w:jc w:val="center"/>
        <w:rPr>
          <w:rFonts w:hint="eastAsia" w:ascii="黑体" w:hAnsi="黑体" w:eastAsia="黑体"/>
          <w:highlight w:val="none"/>
        </w:rPr>
      </w:pPr>
      <w:r>
        <w:rPr>
          <w:rFonts w:hint="eastAsia" w:ascii="黑体" w:hAnsi="黑体" w:eastAsia="黑体"/>
          <w:highlight w:val="none"/>
        </w:rPr>
        <w:t>（</w:t>
      </w:r>
      <w:r>
        <w:rPr>
          <w:rFonts w:ascii="黑体" w:hAnsi="黑体" w:eastAsia="黑体"/>
          <w:highlight w:val="none"/>
        </w:rPr>
        <w:t>…</w:t>
      </w:r>
      <w:r>
        <w:rPr>
          <w:rFonts w:hint="eastAsia" w:ascii="黑体" w:hAnsi="黑体" w:eastAsia="黑体"/>
          <w:highlight w:val="none"/>
        </w:rPr>
        <w:t>年</w:t>
      </w:r>
      <w:r>
        <w:rPr>
          <w:rFonts w:ascii="黑体" w:hAnsi="黑体" w:eastAsia="黑体"/>
          <w:highlight w:val="none"/>
        </w:rPr>
        <w:t>…</w:t>
      </w:r>
      <w:r>
        <w:rPr>
          <w:rFonts w:hint="eastAsia" w:ascii="黑体" w:hAnsi="黑体" w:eastAsia="黑体"/>
          <w:highlight w:val="none"/>
        </w:rPr>
        <w:t>月）</w:t>
      </w:r>
    </w:p>
    <w:tbl>
      <w:tblPr>
        <w:tblStyle w:val="15"/>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1"/>
        <w:gridCol w:w="3417"/>
        <w:gridCol w:w="964"/>
        <w:gridCol w:w="708"/>
        <w:gridCol w:w="1695"/>
      </w:tblGrid>
      <w:tr w14:paraId="7ACA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9" w:type="dxa"/>
            <w:vAlign w:val="center"/>
          </w:tcPr>
          <w:p w14:paraId="6BD5FB9D">
            <w:pPr>
              <w:jc w:val="center"/>
              <w:rPr>
                <w:highlight w:val="none"/>
              </w:rPr>
            </w:pPr>
            <w:r>
              <w:rPr>
                <w:rFonts w:hint="eastAsia"/>
                <w:highlight w:val="none"/>
              </w:rPr>
              <w:t>序号</w:t>
            </w:r>
          </w:p>
        </w:tc>
        <w:tc>
          <w:tcPr>
            <w:tcW w:w="1431" w:type="dxa"/>
            <w:vAlign w:val="center"/>
          </w:tcPr>
          <w:p w14:paraId="0B229E1D">
            <w:pPr>
              <w:jc w:val="center"/>
              <w:rPr>
                <w:highlight w:val="none"/>
              </w:rPr>
            </w:pPr>
            <w:r>
              <w:rPr>
                <w:rFonts w:hint="eastAsia"/>
                <w:highlight w:val="none"/>
              </w:rPr>
              <w:t>类别</w:t>
            </w:r>
          </w:p>
        </w:tc>
        <w:tc>
          <w:tcPr>
            <w:tcW w:w="3417" w:type="dxa"/>
            <w:vAlign w:val="center"/>
          </w:tcPr>
          <w:p w14:paraId="4A187D8D">
            <w:pPr>
              <w:jc w:val="center"/>
              <w:rPr>
                <w:highlight w:val="none"/>
              </w:rPr>
            </w:pPr>
            <w:r>
              <w:rPr>
                <w:rFonts w:hint="eastAsia"/>
                <w:highlight w:val="none"/>
              </w:rPr>
              <w:t>考核指标</w:t>
            </w:r>
          </w:p>
        </w:tc>
        <w:tc>
          <w:tcPr>
            <w:tcW w:w="964" w:type="dxa"/>
            <w:vAlign w:val="center"/>
          </w:tcPr>
          <w:p w14:paraId="28955AD9">
            <w:pPr>
              <w:jc w:val="center"/>
              <w:rPr>
                <w:highlight w:val="none"/>
              </w:rPr>
            </w:pPr>
            <w:r>
              <w:rPr>
                <w:rFonts w:hint="eastAsia"/>
                <w:highlight w:val="none"/>
              </w:rPr>
              <w:t>满分</w:t>
            </w:r>
          </w:p>
        </w:tc>
        <w:tc>
          <w:tcPr>
            <w:tcW w:w="708" w:type="dxa"/>
            <w:vAlign w:val="center"/>
          </w:tcPr>
          <w:p w14:paraId="04CAFB65">
            <w:pPr>
              <w:jc w:val="center"/>
              <w:rPr>
                <w:highlight w:val="none"/>
              </w:rPr>
            </w:pPr>
            <w:r>
              <w:rPr>
                <w:rFonts w:hint="eastAsia"/>
                <w:highlight w:val="none"/>
              </w:rPr>
              <w:t>得分</w:t>
            </w:r>
          </w:p>
        </w:tc>
        <w:tc>
          <w:tcPr>
            <w:tcW w:w="1695" w:type="dxa"/>
            <w:vAlign w:val="center"/>
          </w:tcPr>
          <w:p w14:paraId="7A1B0CE2">
            <w:pPr>
              <w:jc w:val="center"/>
              <w:rPr>
                <w:highlight w:val="none"/>
              </w:rPr>
            </w:pPr>
            <w:r>
              <w:rPr>
                <w:rFonts w:hint="eastAsia"/>
                <w:highlight w:val="none"/>
              </w:rPr>
              <w:t>赋分说明</w:t>
            </w:r>
          </w:p>
        </w:tc>
      </w:tr>
      <w:tr w14:paraId="1733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vAlign w:val="center"/>
          </w:tcPr>
          <w:p w14:paraId="3845F573">
            <w:pPr>
              <w:jc w:val="center"/>
              <w:rPr>
                <w:highlight w:val="none"/>
              </w:rPr>
            </w:pPr>
            <w:r>
              <w:rPr>
                <w:rFonts w:hint="eastAsia"/>
                <w:highlight w:val="none"/>
              </w:rPr>
              <w:t>1</w:t>
            </w:r>
          </w:p>
        </w:tc>
        <w:tc>
          <w:tcPr>
            <w:tcW w:w="1431" w:type="dxa"/>
            <w:vAlign w:val="center"/>
          </w:tcPr>
          <w:p w14:paraId="6EE61245">
            <w:pPr>
              <w:jc w:val="center"/>
              <w:rPr>
                <w:highlight w:val="none"/>
              </w:rPr>
            </w:pPr>
            <w:r>
              <w:rPr>
                <w:rFonts w:hint="eastAsia"/>
                <w:highlight w:val="none"/>
              </w:rPr>
              <w:t>报告及时性</w:t>
            </w:r>
          </w:p>
        </w:tc>
        <w:tc>
          <w:tcPr>
            <w:tcW w:w="3417" w:type="dxa"/>
            <w:vAlign w:val="center"/>
          </w:tcPr>
          <w:p w14:paraId="0B57C493">
            <w:pPr>
              <w:jc w:val="center"/>
              <w:rPr>
                <w:highlight w:val="none"/>
              </w:rPr>
            </w:pPr>
            <w:r>
              <w:rPr>
                <w:rFonts w:hint="eastAsia"/>
                <w:highlight w:val="none"/>
              </w:rPr>
              <w:t>每月20号前提交</w:t>
            </w:r>
          </w:p>
        </w:tc>
        <w:tc>
          <w:tcPr>
            <w:tcW w:w="964" w:type="dxa"/>
            <w:vAlign w:val="center"/>
          </w:tcPr>
          <w:p w14:paraId="411CF745">
            <w:pPr>
              <w:jc w:val="center"/>
              <w:rPr>
                <w:highlight w:val="none"/>
              </w:rPr>
            </w:pPr>
            <w:r>
              <w:rPr>
                <w:rFonts w:hint="eastAsia"/>
                <w:highlight w:val="none"/>
              </w:rPr>
              <w:t>20分</w:t>
            </w:r>
          </w:p>
        </w:tc>
        <w:tc>
          <w:tcPr>
            <w:tcW w:w="708" w:type="dxa"/>
            <w:vAlign w:val="center"/>
          </w:tcPr>
          <w:p w14:paraId="0F46F0EE">
            <w:pPr>
              <w:jc w:val="center"/>
              <w:rPr>
                <w:highlight w:val="none"/>
              </w:rPr>
            </w:pPr>
          </w:p>
        </w:tc>
        <w:tc>
          <w:tcPr>
            <w:tcW w:w="1695" w:type="dxa"/>
            <w:vAlign w:val="center"/>
          </w:tcPr>
          <w:p w14:paraId="2F958C4A">
            <w:pPr>
              <w:jc w:val="center"/>
              <w:rPr>
                <w:highlight w:val="none"/>
              </w:rPr>
            </w:pPr>
            <w:r>
              <w:rPr>
                <w:rFonts w:hint="eastAsia"/>
                <w:highlight w:val="none"/>
              </w:rPr>
              <w:t>晚一天扣4分</w:t>
            </w:r>
          </w:p>
        </w:tc>
      </w:tr>
      <w:tr w14:paraId="5B52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9" w:type="dxa"/>
            <w:vMerge w:val="restart"/>
            <w:vAlign w:val="center"/>
          </w:tcPr>
          <w:p w14:paraId="380E14B8">
            <w:pPr>
              <w:jc w:val="center"/>
              <w:rPr>
                <w:highlight w:val="none"/>
              </w:rPr>
            </w:pPr>
            <w:r>
              <w:rPr>
                <w:rFonts w:hint="eastAsia"/>
                <w:highlight w:val="none"/>
              </w:rPr>
              <w:t>2</w:t>
            </w:r>
          </w:p>
        </w:tc>
        <w:tc>
          <w:tcPr>
            <w:tcW w:w="1431" w:type="dxa"/>
            <w:vMerge w:val="restart"/>
            <w:vAlign w:val="center"/>
          </w:tcPr>
          <w:p w14:paraId="0F3D9CD5">
            <w:pPr>
              <w:jc w:val="center"/>
              <w:rPr>
                <w:highlight w:val="none"/>
              </w:rPr>
            </w:pPr>
            <w:r>
              <w:rPr>
                <w:rFonts w:hint="eastAsia"/>
                <w:highlight w:val="none"/>
              </w:rPr>
              <w:t>报告质量</w:t>
            </w:r>
          </w:p>
        </w:tc>
        <w:tc>
          <w:tcPr>
            <w:tcW w:w="3417" w:type="dxa"/>
            <w:vAlign w:val="center"/>
          </w:tcPr>
          <w:p w14:paraId="49B63D84">
            <w:pPr>
              <w:rPr>
                <w:highlight w:val="none"/>
              </w:rPr>
            </w:pPr>
            <w:r>
              <w:rPr>
                <w:rFonts w:hint="eastAsia"/>
                <w:highlight w:val="none"/>
              </w:rPr>
              <w:t>内容完整程度，是否包括①温室气体监测数据时空分布特征；②温室气体与常规污染的关联分析；③温室气体与气象因子关联分析；④模型反演方法详细介绍、参数设置；⑤温室气体排放反演结果及校验评估；⑥“双碳”管理工作建议。</w:t>
            </w:r>
          </w:p>
        </w:tc>
        <w:tc>
          <w:tcPr>
            <w:tcW w:w="964" w:type="dxa"/>
            <w:vAlign w:val="center"/>
          </w:tcPr>
          <w:p w14:paraId="6F62DC3F">
            <w:pPr>
              <w:jc w:val="center"/>
              <w:rPr>
                <w:highlight w:val="none"/>
              </w:rPr>
            </w:pPr>
            <w:r>
              <w:rPr>
                <w:rFonts w:hint="eastAsia"/>
                <w:highlight w:val="none"/>
              </w:rPr>
              <w:t>30分</w:t>
            </w:r>
          </w:p>
        </w:tc>
        <w:tc>
          <w:tcPr>
            <w:tcW w:w="708" w:type="dxa"/>
            <w:vAlign w:val="center"/>
          </w:tcPr>
          <w:p w14:paraId="3EA86149">
            <w:pPr>
              <w:rPr>
                <w:highlight w:val="none"/>
              </w:rPr>
            </w:pPr>
          </w:p>
        </w:tc>
        <w:tc>
          <w:tcPr>
            <w:tcW w:w="1695" w:type="dxa"/>
            <w:vAlign w:val="center"/>
          </w:tcPr>
          <w:p w14:paraId="5CA905DC">
            <w:pPr>
              <w:rPr>
                <w:highlight w:val="none"/>
              </w:rPr>
            </w:pPr>
            <w:r>
              <w:rPr>
                <w:rFonts w:hint="eastAsia"/>
                <w:highlight w:val="none"/>
              </w:rPr>
              <w:t>每缺少一项内容扣10分</w:t>
            </w:r>
          </w:p>
        </w:tc>
      </w:tr>
      <w:tr w14:paraId="7AD7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9" w:type="dxa"/>
            <w:vMerge w:val="continue"/>
            <w:vAlign w:val="center"/>
          </w:tcPr>
          <w:p w14:paraId="0D1DFA4C">
            <w:pPr>
              <w:rPr>
                <w:highlight w:val="none"/>
              </w:rPr>
            </w:pPr>
          </w:p>
        </w:tc>
        <w:tc>
          <w:tcPr>
            <w:tcW w:w="1431" w:type="dxa"/>
            <w:vMerge w:val="continue"/>
            <w:vAlign w:val="center"/>
          </w:tcPr>
          <w:p w14:paraId="5217FC57">
            <w:pPr>
              <w:rPr>
                <w:highlight w:val="none"/>
              </w:rPr>
            </w:pPr>
          </w:p>
        </w:tc>
        <w:tc>
          <w:tcPr>
            <w:tcW w:w="3417" w:type="dxa"/>
            <w:vAlign w:val="center"/>
          </w:tcPr>
          <w:p w14:paraId="7D38816D">
            <w:pPr>
              <w:rPr>
                <w:highlight w:val="none"/>
              </w:rPr>
            </w:pPr>
            <w:r>
              <w:rPr>
                <w:rFonts w:hint="eastAsia"/>
                <w:highlight w:val="none"/>
              </w:rPr>
              <w:t>报告的文字、图标格式是否规范美观，分析是否深入，数据处理是否正确，反演结果是否合理等</w:t>
            </w:r>
          </w:p>
        </w:tc>
        <w:tc>
          <w:tcPr>
            <w:tcW w:w="964" w:type="dxa"/>
            <w:vAlign w:val="center"/>
          </w:tcPr>
          <w:p w14:paraId="7BCA1B0B">
            <w:pPr>
              <w:jc w:val="center"/>
              <w:rPr>
                <w:highlight w:val="none"/>
              </w:rPr>
            </w:pPr>
            <w:r>
              <w:rPr>
                <w:rFonts w:hint="eastAsia"/>
                <w:highlight w:val="none"/>
              </w:rPr>
              <w:t>30分</w:t>
            </w:r>
          </w:p>
        </w:tc>
        <w:tc>
          <w:tcPr>
            <w:tcW w:w="708" w:type="dxa"/>
            <w:vAlign w:val="center"/>
          </w:tcPr>
          <w:p w14:paraId="137C7D4B">
            <w:pPr>
              <w:rPr>
                <w:highlight w:val="none"/>
              </w:rPr>
            </w:pPr>
          </w:p>
        </w:tc>
        <w:tc>
          <w:tcPr>
            <w:tcW w:w="1695" w:type="dxa"/>
            <w:vAlign w:val="center"/>
          </w:tcPr>
          <w:p w14:paraId="29DF694F">
            <w:pPr>
              <w:rPr>
                <w:highlight w:val="none"/>
              </w:rPr>
            </w:pPr>
            <w:r>
              <w:rPr>
                <w:rFonts w:hint="eastAsia"/>
                <w:highlight w:val="none"/>
              </w:rPr>
              <w:t>每发现一处明显错误扣2分</w:t>
            </w:r>
          </w:p>
        </w:tc>
      </w:tr>
      <w:tr w14:paraId="51AE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9" w:type="dxa"/>
            <w:vAlign w:val="center"/>
          </w:tcPr>
          <w:p w14:paraId="42AC9D63">
            <w:pPr>
              <w:jc w:val="center"/>
              <w:rPr>
                <w:highlight w:val="none"/>
              </w:rPr>
            </w:pPr>
            <w:r>
              <w:rPr>
                <w:rFonts w:hint="eastAsia"/>
                <w:highlight w:val="none"/>
              </w:rPr>
              <w:t>3</w:t>
            </w:r>
          </w:p>
        </w:tc>
        <w:tc>
          <w:tcPr>
            <w:tcW w:w="1431" w:type="dxa"/>
            <w:vAlign w:val="center"/>
          </w:tcPr>
          <w:p w14:paraId="731EAE76">
            <w:pPr>
              <w:jc w:val="center"/>
              <w:rPr>
                <w:highlight w:val="none"/>
              </w:rPr>
            </w:pPr>
            <w:r>
              <w:rPr>
                <w:rFonts w:hint="eastAsia"/>
                <w:highlight w:val="none"/>
              </w:rPr>
              <w:t>其他工作</w:t>
            </w:r>
          </w:p>
        </w:tc>
        <w:tc>
          <w:tcPr>
            <w:tcW w:w="3417" w:type="dxa"/>
            <w:vAlign w:val="center"/>
          </w:tcPr>
          <w:p w14:paraId="7B17DA5A">
            <w:pPr>
              <w:rPr>
                <w:highlight w:val="none"/>
              </w:rPr>
            </w:pPr>
            <w:r>
              <w:rPr>
                <w:rFonts w:hint="eastAsia"/>
                <w:highlight w:val="none"/>
              </w:rPr>
              <w:t>其他工作如数据统计、汇报材料编制配合程度</w:t>
            </w:r>
          </w:p>
        </w:tc>
        <w:tc>
          <w:tcPr>
            <w:tcW w:w="964" w:type="dxa"/>
            <w:vAlign w:val="center"/>
          </w:tcPr>
          <w:p w14:paraId="5D20A7B4">
            <w:pPr>
              <w:jc w:val="center"/>
              <w:rPr>
                <w:highlight w:val="none"/>
              </w:rPr>
            </w:pPr>
            <w:r>
              <w:rPr>
                <w:rFonts w:hint="eastAsia"/>
                <w:highlight w:val="none"/>
              </w:rPr>
              <w:t>20分</w:t>
            </w:r>
          </w:p>
        </w:tc>
        <w:tc>
          <w:tcPr>
            <w:tcW w:w="708" w:type="dxa"/>
            <w:vAlign w:val="center"/>
          </w:tcPr>
          <w:p w14:paraId="48CE8BB7">
            <w:pPr>
              <w:rPr>
                <w:highlight w:val="none"/>
              </w:rPr>
            </w:pPr>
          </w:p>
        </w:tc>
        <w:tc>
          <w:tcPr>
            <w:tcW w:w="1695" w:type="dxa"/>
            <w:vAlign w:val="center"/>
          </w:tcPr>
          <w:p w14:paraId="36D2D7D4">
            <w:pPr>
              <w:rPr>
                <w:highlight w:val="none"/>
              </w:rPr>
            </w:pPr>
            <w:r>
              <w:rPr>
                <w:rFonts w:hint="eastAsia"/>
                <w:highlight w:val="none"/>
              </w:rPr>
              <w:t>未及时完成一项扣5分</w:t>
            </w:r>
          </w:p>
        </w:tc>
      </w:tr>
    </w:tbl>
    <w:p w14:paraId="351D2F40">
      <w:pPr>
        <w:keepNext w:val="0"/>
        <w:keepLines w:val="0"/>
        <w:pageBreakBefore w:val="0"/>
        <w:widowControl/>
        <w:kinsoku/>
        <w:wordWrap/>
        <w:overflowPunct/>
        <w:topLinePunct w:val="0"/>
        <w:autoSpaceDE w:val="0"/>
        <w:autoSpaceDN w:val="0"/>
        <w:bidi w:val="0"/>
        <w:adjustRightInd/>
        <w:snapToGrid/>
        <w:spacing w:after="0" w:line="360" w:lineRule="auto"/>
        <w:textAlignment w:val="bottom"/>
        <w:rPr>
          <w:b/>
          <w:sz w:val="24"/>
          <w:highlight w:val="none"/>
        </w:rPr>
      </w:pPr>
      <w:r>
        <w:rPr>
          <w:rFonts w:hint="eastAsia"/>
          <w:b/>
          <w:sz w:val="24"/>
          <w:highlight w:val="none"/>
        </w:rPr>
        <w:t>九、</w:t>
      </w:r>
      <w:r>
        <w:rPr>
          <w:b/>
          <w:sz w:val="24"/>
          <w:highlight w:val="none"/>
        </w:rPr>
        <w:t>技术资料及知识产权</w:t>
      </w:r>
    </w:p>
    <w:p w14:paraId="3BAA8849">
      <w:pPr>
        <w:keepNext w:val="0"/>
        <w:keepLines w:val="0"/>
        <w:pageBreakBefore w:val="0"/>
        <w:kinsoku/>
        <w:wordWrap/>
        <w:overflowPunct/>
        <w:topLinePunct w:val="0"/>
        <w:bidi w:val="0"/>
        <w:adjustRightInd/>
        <w:snapToGrid/>
        <w:spacing w:after="0" w:line="360" w:lineRule="auto"/>
        <w:ind w:firstLine="480" w:firstLineChars="200"/>
        <w:jc w:val="left"/>
        <w:rPr>
          <w:rFonts w:hint="eastAsia" w:asciiTheme="minorEastAsia" w:hAnsiTheme="minorEastAsia" w:eastAsiaTheme="minorEastAsia" w:cstheme="minorEastAsia"/>
          <w:iCs/>
          <w:color w:val="000000" w:themeColor="text1"/>
          <w:sz w:val="24"/>
          <w:szCs w:val="24"/>
          <w:highlight w:val="none"/>
          <w:u w:val="single"/>
          <w14:textFill>
            <w14:solidFill>
              <w14:schemeClr w14:val="tx1"/>
            </w14:solidFill>
          </w14:textFill>
        </w:rPr>
      </w:pPr>
      <w:r>
        <w:rPr>
          <w:sz w:val="24"/>
          <w:szCs w:val="24"/>
          <w:highlight w:val="none"/>
        </w:rPr>
        <w:t>本项目执行过程中所产生的数据资料和技术报告均为采购人所有，投标人未经同意不得擅自使用，由此产生的一切后果由投标人承担。投标人需和采购人签订相应的保密协议。投标人对在服务过程中接触到的采购人的任何资料、文件、数据以及对服务形成的任何交付物负有保密责任，未经采购人书面同意，投标人不得以任何形式进行利用，不得以任何方式向任何第三方提供或透露。投标人如违反上述保密规定，采购人</w:t>
      </w:r>
      <w:r>
        <w:rPr>
          <w:rFonts w:ascii="宋体" w:hAnsi="宋体"/>
          <w:sz w:val="24"/>
          <w:szCs w:val="24"/>
          <w:highlight w:val="none"/>
        </w:rPr>
        <w:t>有权终止合同，并要求</w:t>
      </w:r>
      <w:r>
        <w:rPr>
          <w:sz w:val="24"/>
          <w:szCs w:val="24"/>
          <w:highlight w:val="none"/>
        </w:rPr>
        <w:t>投标人</w:t>
      </w:r>
      <w:r>
        <w:rPr>
          <w:rFonts w:ascii="宋体" w:hAnsi="宋体"/>
          <w:sz w:val="24"/>
          <w:szCs w:val="24"/>
          <w:highlight w:val="none"/>
        </w:rPr>
        <w:t>承担相应违约责任，并支付违约金，违约金最高限价为合同金额的20%。</w:t>
      </w:r>
      <w:r>
        <w:rPr>
          <w:sz w:val="24"/>
          <w:szCs w:val="24"/>
          <w:highlight w:val="none"/>
        </w:rPr>
        <w:t>本保密义务不因本项目合同期满、解除或终止而终止，除非采购人书面通知投标人解密，否则，投标人在合同终止后仍然负有保</w:t>
      </w:r>
      <w:r>
        <w:rPr>
          <w:rFonts w:ascii="宋体" w:hAnsi="宋体"/>
          <w:sz w:val="24"/>
          <w:szCs w:val="24"/>
          <w:highlight w:val="none"/>
        </w:rPr>
        <w:t>密义务。</w:t>
      </w:r>
    </w:p>
    <w:p w14:paraId="183B30CA">
      <w:pPr>
        <w:rPr>
          <w:highlight w:val="none"/>
        </w:rPr>
      </w:pPr>
    </w:p>
    <w:sectPr>
      <w:footerReference r:id="rId5" w:type="default"/>
      <w:footerReference r:id="rId6" w:type="even"/>
      <w:pgSz w:w="11906" w:h="16838"/>
      <w:pgMar w:top="2098" w:right="1474" w:bottom="1985" w:left="1588" w:header="851" w:footer="1588"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inePrinter">
    <w:altName w:val="Arial"/>
    <w:panose1 w:val="00000000000000000000"/>
    <w:charset w:val="00"/>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7953">
    <w:pPr>
      <w:pStyle w:val="12"/>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39</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B42FC">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7EB9F"/>
    <w:multiLevelType w:val="singleLevel"/>
    <w:tmpl w:val="FDE7EB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77"/>
    <w:rsid w:val="00017850"/>
    <w:rsid w:val="00021224"/>
    <w:rsid w:val="00027446"/>
    <w:rsid w:val="000311FD"/>
    <w:rsid w:val="000518BF"/>
    <w:rsid w:val="00064381"/>
    <w:rsid w:val="000664BC"/>
    <w:rsid w:val="000665DD"/>
    <w:rsid w:val="0008175F"/>
    <w:rsid w:val="000917B4"/>
    <w:rsid w:val="000918DD"/>
    <w:rsid w:val="00092F4E"/>
    <w:rsid w:val="000A74CC"/>
    <w:rsid w:val="000C0F74"/>
    <w:rsid w:val="000C2178"/>
    <w:rsid w:val="000C3D7C"/>
    <w:rsid w:val="000C6507"/>
    <w:rsid w:val="000D0C5A"/>
    <w:rsid w:val="000F58B1"/>
    <w:rsid w:val="00102268"/>
    <w:rsid w:val="00111EC4"/>
    <w:rsid w:val="001300DC"/>
    <w:rsid w:val="001374BF"/>
    <w:rsid w:val="001444DD"/>
    <w:rsid w:val="001540ED"/>
    <w:rsid w:val="00154DF5"/>
    <w:rsid w:val="0015518D"/>
    <w:rsid w:val="00165D07"/>
    <w:rsid w:val="00171DEE"/>
    <w:rsid w:val="00172A74"/>
    <w:rsid w:val="001737EA"/>
    <w:rsid w:val="00175816"/>
    <w:rsid w:val="001762DB"/>
    <w:rsid w:val="0017709A"/>
    <w:rsid w:val="0018642F"/>
    <w:rsid w:val="00186E20"/>
    <w:rsid w:val="00192DB8"/>
    <w:rsid w:val="001965E5"/>
    <w:rsid w:val="00196A3F"/>
    <w:rsid w:val="001A0D54"/>
    <w:rsid w:val="001A4CEB"/>
    <w:rsid w:val="001A6F93"/>
    <w:rsid w:val="001B601A"/>
    <w:rsid w:val="001C07DE"/>
    <w:rsid w:val="001C5914"/>
    <w:rsid w:val="001D2C73"/>
    <w:rsid w:val="001D73CE"/>
    <w:rsid w:val="001E4A2A"/>
    <w:rsid w:val="001E59BD"/>
    <w:rsid w:val="001F0440"/>
    <w:rsid w:val="001F0BAE"/>
    <w:rsid w:val="001F3A50"/>
    <w:rsid w:val="001F4EEF"/>
    <w:rsid w:val="00212D88"/>
    <w:rsid w:val="0021449A"/>
    <w:rsid w:val="0024056D"/>
    <w:rsid w:val="0024795C"/>
    <w:rsid w:val="00251D5B"/>
    <w:rsid w:val="00263BA9"/>
    <w:rsid w:val="002640E3"/>
    <w:rsid w:val="00265E4D"/>
    <w:rsid w:val="0026741D"/>
    <w:rsid w:val="002678A2"/>
    <w:rsid w:val="002726B5"/>
    <w:rsid w:val="00280777"/>
    <w:rsid w:val="00282B84"/>
    <w:rsid w:val="00284814"/>
    <w:rsid w:val="002853D0"/>
    <w:rsid w:val="00286AAF"/>
    <w:rsid w:val="00295119"/>
    <w:rsid w:val="002958C7"/>
    <w:rsid w:val="00295E38"/>
    <w:rsid w:val="002964A8"/>
    <w:rsid w:val="002A4AA5"/>
    <w:rsid w:val="002B4A91"/>
    <w:rsid w:val="002C160F"/>
    <w:rsid w:val="002C4305"/>
    <w:rsid w:val="002E1DC3"/>
    <w:rsid w:val="002E3751"/>
    <w:rsid w:val="002E530B"/>
    <w:rsid w:val="002E74F6"/>
    <w:rsid w:val="002F6E2C"/>
    <w:rsid w:val="00302385"/>
    <w:rsid w:val="003074D0"/>
    <w:rsid w:val="00321278"/>
    <w:rsid w:val="00322903"/>
    <w:rsid w:val="00331DBF"/>
    <w:rsid w:val="00340773"/>
    <w:rsid w:val="003507DB"/>
    <w:rsid w:val="00363B24"/>
    <w:rsid w:val="00376B4B"/>
    <w:rsid w:val="003924D3"/>
    <w:rsid w:val="0039420F"/>
    <w:rsid w:val="003A75E1"/>
    <w:rsid w:val="003A7FCD"/>
    <w:rsid w:val="003B2C68"/>
    <w:rsid w:val="003C77ED"/>
    <w:rsid w:val="003D0FAE"/>
    <w:rsid w:val="003D3C67"/>
    <w:rsid w:val="003E1EF3"/>
    <w:rsid w:val="003E2A75"/>
    <w:rsid w:val="003F521C"/>
    <w:rsid w:val="003F6DB7"/>
    <w:rsid w:val="00402F07"/>
    <w:rsid w:val="00405CAF"/>
    <w:rsid w:val="004066EE"/>
    <w:rsid w:val="004141FE"/>
    <w:rsid w:val="004164D6"/>
    <w:rsid w:val="00420576"/>
    <w:rsid w:val="00427428"/>
    <w:rsid w:val="0046019E"/>
    <w:rsid w:val="00473949"/>
    <w:rsid w:val="00484F4A"/>
    <w:rsid w:val="0049534B"/>
    <w:rsid w:val="004956AF"/>
    <w:rsid w:val="004978DB"/>
    <w:rsid w:val="004A0291"/>
    <w:rsid w:val="004B0115"/>
    <w:rsid w:val="004C4DE3"/>
    <w:rsid w:val="004D2D7C"/>
    <w:rsid w:val="004D4E89"/>
    <w:rsid w:val="004E1E58"/>
    <w:rsid w:val="004E7146"/>
    <w:rsid w:val="004F655B"/>
    <w:rsid w:val="004F6A86"/>
    <w:rsid w:val="0050089A"/>
    <w:rsid w:val="00504F13"/>
    <w:rsid w:val="0050595D"/>
    <w:rsid w:val="005068FC"/>
    <w:rsid w:val="00506D54"/>
    <w:rsid w:val="00524EB0"/>
    <w:rsid w:val="005267B7"/>
    <w:rsid w:val="00537974"/>
    <w:rsid w:val="005408BD"/>
    <w:rsid w:val="00552A9C"/>
    <w:rsid w:val="005545EC"/>
    <w:rsid w:val="00554ACB"/>
    <w:rsid w:val="005569F1"/>
    <w:rsid w:val="00561A6F"/>
    <w:rsid w:val="005972B0"/>
    <w:rsid w:val="005B1E45"/>
    <w:rsid w:val="005C009E"/>
    <w:rsid w:val="005C088A"/>
    <w:rsid w:val="005C0A71"/>
    <w:rsid w:val="005C0CCF"/>
    <w:rsid w:val="005E6B16"/>
    <w:rsid w:val="005F622B"/>
    <w:rsid w:val="00601EDD"/>
    <w:rsid w:val="00607AAD"/>
    <w:rsid w:val="006100E1"/>
    <w:rsid w:val="00617100"/>
    <w:rsid w:val="00626E7E"/>
    <w:rsid w:val="00635AE0"/>
    <w:rsid w:val="0064720C"/>
    <w:rsid w:val="00647F30"/>
    <w:rsid w:val="00656C8E"/>
    <w:rsid w:val="00666C7E"/>
    <w:rsid w:val="006678D9"/>
    <w:rsid w:val="00674484"/>
    <w:rsid w:val="0068268F"/>
    <w:rsid w:val="006851B3"/>
    <w:rsid w:val="00687581"/>
    <w:rsid w:val="00692769"/>
    <w:rsid w:val="006A72B1"/>
    <w:rsid w:val="006B6145"/>
    <w:rsid w:val="006C6381"/>
    <w:rsid w:val="006C6B09"/>
    <w:rsid w:val="006D049B"/>
    <w:rsid w:val="006D7DD7"/>
    <w:rsid w:val="006E6DC5"/>
    <w:rsid w:val="006F0877"/>
    <w:rsid w:val="00721F76"/>
    <w:rsid w:val="00725D7C"/>
    <w:rsid w:val="007413D6"/>
    <w:rsid w:val="00747B8C"/>
    <w:rsid w:val="00753201"/>
    <w:rsid w:val="00757180"/>
    <w:rsid w:val="00765A2F"/>
    <w:rsid w:val="00773C97"/>
    <w:rsid w:val="007A186C"/>
    <w:rsid w:val="007B2CBB"/>
    <w:rsid w:val="007D1EE6"/>
    <w:rsid w:val="007D4985"/>
    <w:rsid w:val="007E5BC0"/>
    <w:rsid w:val="007F38B3"/>
    <w:rsid w:val="007F3E8D"/>
    <w:rsid w:val="008020B2"/>
    <w:rsid w:val="008024C1"/>
    <w:rsid w:val="0080466B"/>
    <w:rsid w:val="00812139"/>
    <w:rsid w:val="00814F5F"/>
    <w:rsid w:val="008227A8"/>
    <w:rsid w:val="00823618"/>
    <w:rsid w:val="00830BAB"/>
    <w:rsid w:val="00831CCB"/>
    <w:rsid w:val="00834B81"/>
    <w:rsid w:val="0083532D"/>
    <w:rsid w:val="00840D73"/>
    <w:rsid w:val="00847B22"/>
    <w:rsid w:val="00852B58"/>
    <w:rsid w:val="008605D4"/>
    <w:rsid w:val="00862EF7"/>
    <w:rsid w:val="00865A66"/>
    <w:rsid w:val="0087065E"/>
    <w:rsid w:val="00880915"/>
    <w:rsid w:val="00891EF2"/>
    <w:rsid w:val="0089598D"/>
    <w:rsid w:val="00896E24"/>
    <w:rsid w:val="008B369B"/>
    <w:rsid w:val="008C3053"/>
    <w:rsid w:val="008C58C5"/>
    <w:rsid w:val="008E5890"/>
    <w:rsid w:val="008E73BC"/>
    <w:rsid w:val="008F08E5"/>
    <w:rsid w:val="008F4E3B"/>
    <w:rsid w:val="008F5F8D"/>
    <w:rsid w:val="0090340B"/>
    <w:rsid w:val="00903E58"/>
    <w:rsid w:val="009055C7"/>
    <w:rsid w:val="00910420"/>
    <w:rsid w:val="00917BE6"/>
    <w:rsid w:val="0092280E"/>
    <w:rsid w:val="00924EB1"/>
    <w:rsid w:val="0092766B"/>
    <w:rsid w:val="00927AE6"/>
    <w:rsid w:val="00932C53"/>
    <w:rsid w:val="00932CFC"/>
    <w:rsid w:val="00932FDB"/>
    <w:rsid w:val="00945456"/>
    <w:rsid w:val="00966C76"/>
    <w:rsid w:val="00970BA3"/>
    <w:rsid w:val="00975ECD"/>
    <w:rsid w:val="00987C9E"/>
    <w:rsid w:val="00994A11"/>
    <w:rsid w:val="009A09E5"/>
    <w:rsid w:val="009C7390"/>
    <w:rsid w:val="009D0BEE"/>
    <w:rsid w:val="009D2234"/>
    <w:rsid w:val="009D7F1E"/>
    <w:rsid w:val="00A02CC7"/>
    <w:rsid w:val="00A1776A"/>
    <w:rsid w:val="00A21567"/>
    <w:rsid w:val="00A50237"/>
    <w:rsid w:val="00A55C7D"/>
    <w:rsid w:val="00A63E98"/>
    <w:rsid w:val="00A64FBB"/>
    <w:rsid w:val="00A6619B"/>
    <w:rsid w:val="00A71BC0"/>
    <w:rsid w:val="00A7297B"/>
    <w:rsid w:val="00A8253E"/>
    <w:rsid w:val="00A855A9"/>
    <w:rsid w:val="00A91983"/>
    <w:rsid w:val="00AA13CF"/>
    <w:rsid w:val="00AF280F"/>
    <w:rsid w:val="00AF3EC7"/>
    <w:rsid w:val="00AF6CC0"/>
    <w:rsid w:val="00AF71DD"/>
    <w:rsid w:val="00B00F7F"/>
    <w:rsid w:val="00B20E34"/>
    <w:rsid w:val="00B26554"/>
    <w:rsid w:val="00B3725B"/>
    <w:rsid w:val="00B51673"/>
    <w:rsid w:val="00B517EC"/>
    <w:rsid w:val="00B532F2"/>
    <w:rsid w:val="00B62D4E"/>
    <w:rsid w:val="00B779AD"/>
    <w:rsid w:val="00B81921"/>
    <w:rsid w:val="00B86CA8"/>
    <w:rsid w:val="00B948FA"/>
    <w:rsid w:val="00BB10F7"/>
    <w:rsid w:val="00BB4B73"/>
    <w:rsid w:val="00BE63D2"/>
    <w:rsid w:val="00BF1A06"/>
    <w:rsid w:val="00BF4924"/>
    <w:rsid w:val="00C0392D"/>
    <w:rsid w:val="00C1589F"/>
    <w:rsid w:val="00C43ED0"/>
    <w:rsid w:val="00C5094F"/>
    <w:rsid w:val="00C62EC5"/>
    <w:rsid w:val="00C728F5"/>
    <w:rsid w:val="00C864BD"/>
    <w:rsid w:val="00C91277"/>
    <w:rsid w:val="00C97E24"/>
    <w:rsid w:val="00CB2D28"/>
    <w:rsid w:val="00CB6081"/>
    <w:rsid w:val="00CB6789"/>
    <w:rsid w:val="00CB7952"/>
    <w:rsid w:val="00CC27D4"/>
    <w:rsid w:val="00CC398D"/>
    <w:rsid w:val="00CC6ED8"/>
    <w:rsid w:val="00CD2D8D"/>
    <w:rsid w:val="00CD7B77"/>
    <w:rsid w:val="00CF4EA2"/>
    <w:rsid w:val="00D02D99"/>
    <w:rsid w:val="00D15600"/>
    <w:rsid w:val="00D15766"/>
    <w:rsid w:val="00D3294B"/>
    <w:rsid w:val="00D35879"/>
    <w:rsid w:val="00D3701F"/>
    <w:rsid w:val="00D373A6"/>
    <w:rsid w:val="00D41BDD"/>
    <w:rsid w:val="00D55150"/>
    <w:rsid w:val="00D631F9"/>
    <w:rsid w:val="00D6434D"/>
    <w:rsid w:val="00D84530"/>
    <w:rsid w:val="00DA0F99"/>
    <w:rsid w:val="00DC08EA"/>
    <w:rsid w:val="00DC40DF"/>
    <w:rsid w:val="00DD464D"/>
    <w:rsid w:val="00DD4C65"/>
    <w:rsid w:val="00DD7DD1"/>
    <w:rsid w:val="00DE55EA"/>
    <w:rsid w:val="00DF4B7B"/>
    <w:rsid w:val="00DF7A97"/>
    <w:rsid w:val="00E06257"/>
    <w:rsid w:val="00E36214"/>
    <w:rsid w:val="00E44747"/>
    <w:rsid w:val="00E608EB"/>
    <w:rsid w:val="00E62F47"/>
    <w:rsid w:val="00E6383B"/>
    <w:rsid w:val="00E725FF"/>
    <w:rsid w:val="00E7534F"/>
    <w:rsid w:val="00E93F1A"/>
    <w:rsid w:val="00E979DB"/>
    <w:rsid w:val="00EB34AE"/>
    <w:rsid w:val="00EC2D15"/>
    <w:rsid w:val="00EE167D"/>
    <w:rsid w:val="00EE281D"/>
    <w:rsid w:val="00EE70F6"/>
    <w:rsid w:val="00EF349F"/>
    <w:rsid w:val="00F106EE"/>
    <w:rsid w:val="00F11321"/>
    <w:rsid w:val="00F21CA1"/>
    <w:rsid w:val="00F2454B"/>
    <w:rsid w:val="00F26636"/>
    <w:rsid w:val="00F32C02"/>
    <w:rsid w:val="00F32EBD"/>
    <w:rsid w:val="00F359D2"/>
    <w:rsid w:val="00F37314"/>
    <w:rsid w:val="00F5020A"/>
    <w:rsid w:val="00F508E9"/>
    <w:rsid w:val="00F51829"/>
    <w:rsid w:val="00F53627"/>
    <w:rsid w:val="00F5458A"/>
    <w:rsid w:val="00F560D0"/>
    <w:rsid w:val="00F566F7"/>
    <w:rsid w:val="00F61373"/>
    <w:rsid w:val="00F73948"/>
    <w:rsid w:val="00F75DE4"/>
    <w:rsid w:val="00F80F1F"/>
    <w:rsid w:val="00F81A52"/>
    <w:rsid w:val="00F81F84"/>
    <w:rsid w:val="00F97CF8"/>
    <w:rsid w:val="00FA2D23"/>
    <w:rsid w:val="00FA681C"/>
    <w:rsid w:val="00FA7052"/>
    <w:rsid w:val="00FB1C19"/>
    <w:rsid w:val="00FB30C9"/>
    <w:rsid w:val="00FC3796"/>
    <w:rsid w:val="00FC4248"/>
    <w:rsid w:val="00FE2C0D"/>
    <w:rsid w:val="00FE3F2F"/>
    <w:rsid w:val="00FE46D0"/>
    <w:rsid w:val="00FF6893"/>
    <w:rsid w:val="022A5941"/>
    <w:rsid w:val="02521DDA"/>
    <w:rsid w:val="02F82B20"/>
    <w:rsid w:val="03C11768"/>
    <w:rsid w:val="05762111"/>
    <w:rsid w:val="0729400C"/>
    <w:rsid w:val="091B62A2"/>
    <w:rsid w:val="0AC30B3F"/>
    <w:rsid w:val="0ACB174A"/>
    <w:rsid w:val="0B830E7E"/>
    <w:rsid w:val="0BD86533"/>
    <w:rsid w:val="0E086489"/>
    <w:rsid w:val="0E576B35"/>
    <w:rsid w:val="0ED143A4"/>
    <w:rsid w:val="0FFAA126"/>
    <w:rsid w:val="0FFD0544"/>
    <w:rsid w:val="15AE6EE0"/>
    <w:rsid w:val="177358AB"/>
    <w:rsid w:val="19E93E6A"/>
    <w:rsid w:val="1A8B2040"/>
    <w:rsid w:val="1DF60E9B"/>
    <w:rsid w:val="1E0761C9"/>
    <w:rsid w:val="1E23290D"/>
    <w:rsid w:val="1EBBA108"/>
    <w:rsid w:val="1EEC32CA"/>
    <w:rsid w:val="1F3E1D77"/>
    <w:rsid w:val="1F4F6095"/>
    <w:rsid w:val="1F5E5F75"/>
    <w:rsid w:val="1FBF5987"/>
    <w:rsid w:val="246073CB"/>
    <w:rsid w:val="247A28DF"/>
    <w:rsid w:val="25A910D1"/>
    <w:rsid w:val="25CE58C1"/>
    <w:rsid w:val="26DF5ABA"/>
    <w:rsid w:val="27631355"/>
    <w:rsid w:val="29EA3434"/>
    <w:rsid w:val="2CFDEC3D"/>
    <w:rsid w:val="2D152395"/>
    <w:rsid w:val="2D5E5392"/>
    <w:rsid w:val="2DF81343"/>
    <w:rsid w:val="2E7F2C07"/>
    <w:rsid w:val="2FF78ACD"/>
    <w:rsid w:val="307E10B2"/>
    <w:rsid w:val="33744B52"/>
    <w:rsid w:val="33F6F832"/>
    <w:rsid w:val="3406765C"/>
    <w:rsid w:val="36093F2F"/>
    <w:rsid w:val="36B17579"/>
    <w:rsid w:val="36F570EA"/>
    <w:rsid w:val="37943E0C"/>
    <w:rsid w:val="37A2FE9D"/>
    <w:rsid w:val="3A20716B"/>
    <w:rsid w:val="3DDE9BF7"/>
    <w:rsid w:val="3EF18C49"/>
    <w:rsid w:val="3F5FC59F"/>
    <w:rsid w:val="3FB6D06D"/>
    <w:rsid w:val="3FCFD001"/>
    <w:rsid w:val="3FDEB155"/>
    <w:rsid w:val="3FFFE3D5"/>
    <w:rsid w:val="40610FCA"/>
    <w:rsid w:val="41CF5BB8"/>
    <w:rsid w:val="42CDF9F7"/>
    <w:rsid w:val="449556E6"/>
    <w:rsid w:val="44CF789B"/>
    <w:rsid w:val="4875448F"/>
    <w:rsid w:val="490D4AFF"/>
    <w:rsid w:val="49273FBB"/>
    <w:rsid w:val="493F0316"/>
    <w:rsid w:val="49635DB3"/>
    <w:rsid w:val="4BDD1140"/>
    <w:rsid w:val="4CDD6830"/>
    <w:rsid w:val="4CFB1566"/>
    <w:rsid w:val="4DAB40F0"/>
    <w:rsid w:val="4DC38FD5"/>
    <w:rsid w:val="4EB97DC9"/>
    <w:rsid w:val="4FB77C3C"/>
    <w:rsid w:val="4FEC8D9E"/>
    <w:rsid w:val="505F2FCA"/>
    <w:rsid w:val="507E27B8"/>
    <w:rsid w:val="53B23626"/>
    <w:rsid w:val="53B35B89"/>
    <w:rsid w:val="545C44EC"/>
    <w:rsid w:val="577E4390"/>
    <w:rsid w:val="593212FE"/>
    <w:rsid w:val="59EF8D64"/>
    <w:rsid w:val="5A386DE8"/>
    <w:rsid w:val="5A9D1E17"/>
    <w:rsid w:val="5B8C87C2"/>
    <w:rsid w:val="5BBF1A8D"/>
    <w:rsid w:val="5D9F79E0"/>
    <w:rsid w:val="5DBFE6CB"/>
    <w:rsid w:val="5EDD7D74"/>
    <w:rsid w:val="5EFB6B15"/>
    <w:rsid w:val="5F5DEEF0"/>
    <w:rsid w:val="5F7B0613"/>
    <w:rsid w:val="601B271F"/>
    <w:rsid w:val="60A71187"/>
    <w:rsid w:val="60B1344C"/>
    <w:rsid w:val="654A1C8F"/>
    <w:rsid w:val="66EF12F8"/>
    <w:rsid w:val="66EFDD2C"/>
    <w:rsid w:val="67CFAC11"/>
    <w:rsid w:val="67F5AD5B"/>
    <w:rsid w:val="67FF5D99"/>
    <w:rsid w:val="6A970382"/>
    <w:rsid w:val="6BC749A9"/>
    <w:rsid w:val="6BDF4EAD"/>
    <w:rsid w:val="6BFFC72E"/>
    <w:rsid w:val="6C7FD9C9"/>
    <w:rsid w:val="6CC47E5A"/>
    <w:rsid w:val="6D556037"/>
    <w:rsid w:val="6EDA6095"/>
    <w:rsid w:val="6FC9F4BB"/>
    <w:rsid w:val="6FDE6D5F"/>
    <w:rsid w:val="6FEF5868"/>
    <w:rsid w:val="6FF6C472"/>
    <w:rsid w:val="6FF91FE9"/>
    <w:rsid w:val="70E31CF0"/>
    <w:rsid w:val="71BE5072"/>
    <w:rsid w:val="71EE05DC"/>
    <w:rsid w:val="72555F92"/>
    <w:rsid w:val="737E3665"/>
    <w:rsid w:val="74BFF378"/>
    <w:rsid w:val="74CD22D5"/>
    <w:rsid w:val="74E65854"/>
    <w:rsid w:val="75543C54"/>
    <w:rsid w:val="75AE6BC8"/>
    <w:rsid w:val="75FB23CF"/>
    <w:rsid w:val="762F4E1E"/>
    <w:rsid w:val="7747C58A"/>
    <w:rsid w:val="7775E090"/>
    <w:rsid w:val="77AD4FDD"/>
    <w:rsid w:val="77FDC161"/>
    <w:rsid w:val="783B1ED7"/>
    <w:rsid w:val="788A7D09"/>
    <w:rsid w:val="79F006D6"/>
    <w:rsid w:val="7A7F1594"/>
    <w:rsid w:val="7B9367F2"/>
    <w:rsid w:val="7BEA5002"/>
    <w:rsid w:val="7BF55B1A"/>
    <w:rsid w:val="7BFB296D"/>
    <w:rsid w:val="7BFFCF24"/>
    <w:rsid w:val="7C507D50"/>
    <w:rsid w:val="7CB19742"/>
    <w:rsid w:val="7CF20AE8"/>
    <w:rsid w:val="7CF3DF71"/>
    <w:rsid w:val="7CF76844"/>
    <w:rsid w:val="7D500D30"/>
    <w:rsid w:val="7D5B0D13"/>
    <w:rsid w:val="7D65186B"/>
    <w:rsid w:val="7DB65524"/>
    <w:rsid w:val="7DBBA619"/>
    <w:rsid w:val="7DFF8764"/>
    <w:rsid w:val="7E774BE7"/>
    <w:rsid w:val="7E7A3104"/>
    <w:rsid w:val="7EEB2A5A"/>
    <w:rsid w:val="7EFD2AA6"/>
    <w:rsid w:val="7F5FE5B2"/>
    <w:rsid w:val="7FB5455C"/>
    <w:rsid w:val="7FCB21EE"/>
    <w:rsid w:val="7FDBA620"/>
    <w:rsid w:val="7FFF23F9"/>
    <w:rsid w:val="7FFFED42"/>
    <w:rsid w:val="8DAF712B"/>
    <w:rsid w:val="8DFD7E3C"/>
    <w:rsid w:val="8FB75F1E"/>
    <w:rsid w:val="8FF68B1A"/>
    <w:rsid w:val="967FC441"/>
    <w:rsid w:val="9BE7792B"/>
    <w:rsid w:val="9EDCEB3E"/>
    <w:rsid w:val="9FFB8DC7"/>
    <w:rsid w:val="ABFD0AD8"/>
    <w:rsid w:val="AEF77964"/>
    <w:rsid w:val="AF230823"/>
    <w:rsid w:val="AF7E6ADF"/>
    <w:rsid w:val="AFF76641"/>
    <w:rsid w:val="AFFD80F4"/>
    <w:rsid w:val="B629A0E4"/>
    <w:rsid w:val="BBDF53C4"/>
    <w:rsid w:val="BBF99681"/>
    <w:rsid w:val="BDF6D482"/>
    <w:rsid w:val="BDFE6A61"/>
    <w:rsid w:val="BDFFBFCA"/>
    <w:rsid w:val="BEB77288"/>
    <w:rsid w:val="BECB3015"/>
    <w:rsid w:val="BEFAADE6"/>
    <w:rsid w:val="BF5FE6FA"/>
    <w:rsid w:val="BF7FCB72"/>
    <w:rsid w:val="BFBF889A"/>
    <w:rsid w:val="BFCBECE1"/>
    <w:rsid w:val="BFDF593B"/>
    <w:rsid w:val="BFEE41DE"/>
    <w:rsid w:val="BFEF009E"/>
    <w:rsid w:val="C3CB2DF1"/>
    <w:rsid w:val="C7FF0A76"/>
    <w:rsid w:val="CFDD797F"/>
    <w:rsid w:val="D4FD5030"/>
    <w:rsid w:val="D6BF76CE"/>
    <w:rsid w:val="D78F1D07"/>
    <w:rsid w:val="D7ADD1FB"/>
    <w:rsid w:val="D7F1A469"/>
    <w:rsid w:val="DADBB0B3"/>
    <w:rsid w:val="DADE5A32"/>
    <w:rsid w:val="DAFF6DD0"/>
    <w:rsid w:val="DBEBC07B"/>
    <w:rsid w:val="DCFB5345"/>
    <w:rsid w:val="DE7E216B"/>
    <w:rsid w:val="DEDF7BEB"/>
    <w:rsid w:val="DF4F7E4B"/>
    <w:rsid w:val="DF6E0A8D"/>
    <w:rsid w:val="DFDE6D44"/>
    <w:rsid w:val="E3FF6071"/>
    <w:rsid w:val="E6D70A22"/>
    <w:rsid w:val="E6E64C1F"/>
    <w:rsid w:val="E6E7FC17"/>
    <w:rsid w:val="E723F819"/>
    <w:rsid w:val="E7B92E4B"/>
    <w:rsid w:val="E7E32D94"/>
    <w:rsid w:val="EA66F35A"/>
    <w:rsid w:val="EBBFC7A8"/>
    <w:rsid w:val="EC790687"/>
    <w:rsid w:val="ECD75696"/>
    <w:rsid w:val="EDB3B0D7"/>
    <w:rsid w:val="EE8D6E80"/>
    <w:rsid w:val="EEF2E0E1"/>
    <w:rsid w:val="EEFBD0D8"/>
    <w:rsid w:val="EF6744E7"/>
    <w:rsid w:val="EF8E1714"/>
    <w:rsid w:val="EFAB0267"/>
    <w:rsid w:val="EFBFA9A5"/>
    <w:rsid w:val="EFEEC13F"/>
    <w:rsid w:val="F379642F"/>
    <w:rsid w:val="F677CB77"/>
    <w:rsid w:val="F7D71238"/>
    <w:rsid w:val="F7E92F3B"/>
    <w:rsid w:val="F7FA09C0"/>
    <w:rsid w:val="F7FFC0E2"/>
    <w:rsid w:val="FAF78EC6"/>
    <w:rsid w:val="FB6E436B"/>
    <w:rsid w:val="FB7BEE79"/>
    <w:rsid w:val="FBEE60A5"/>
    <w:rsid w:val="FD5FE2C3"/>
    <w:rsid w:val="FD7FE3EB"/>
    <w:rsid w:val="FDE732DF"/>
    <w:rsid w:val="FDFD39A6"/>
    <w:rsid w:val="FDFD932C"/>
    <w:rsid w:val="FE9F133B"/>
    <w:rsid w:val="FEDED64A"/>
    <w:rsid w:val="FEEE081C"/>
    <w:rsid w:val="FEFDFE82"/>
    <w:rsid w:val="FF3BC2C1"/>
    <w:rsid w:val="FF6F38E2"/>
    <w:rsid w:val="FF76F7CD"/>
    <w:rsid w:val="FF7DDB13"/>
    <w:rsid w:val="FF7EA211"/>
    <w:rsid w:val="FF8D0D1C"/>
    <w:rsid w:val="FFA31837"/>
    <w:rsid w:val="FFA7FD1E"/>
    <w:rsid w:val="FFAA6C34"/>
    <w:rsid w:val="FFAC12CF"/>
    <w:rsid w:val="FFBF1ABA"/>
    <w:rsid w:val="FFCDBA13"/>
    <w:rsid w:val="FFCF78C5"/>
    <w:rsid w:val="FFDB1096"/>
    <w:rsid w:val="FFE7A15B"/>
    <w:rsid w:val="FFEB75FD"/>
    <w:rsid w:val="FFEFB19B"/>
    <w:rsid w:val="FFEFF2D9"/>
    <w:rsid w:val="FFF2D8D2"/>
    <w:rsid w:val="FFFA98F5"/>
    <w:rsid w:val="FFFB57C0"/>
    <w:rsid w:val="FFFF09F7"/>
    <w:rsid w:val="FFFF8C2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4">
    <w:name w:val="heading 2"/>
    <w:basedOn w:val="1"/>
    <w:next w:val="1"/>
    <w:link w:val="29"/>
    <w:qFormat/>
    <w:uiPriority w:val="9"/>
    <w:pPr>
      <w:tabs>
        <w:tab w:val="left" w:pos="432"/>
      </w:tabs>
      <w:spacing w:line="360" w:lineRule="auto"/>
      <w:ind w:left="431" w:hanging="431"/>
      <w:jc w:val="left"/>
      <w:outlineLvl w:val="1"/>
    </w:pPr>
    <w:rPr>
      <w:rFonts w:ascii="宋体" w:hAnsi="宋体"/>
      <w:b/>
      <w:bCs/>
      <w:sz w:val="24"/>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unhideWhenUsed/>
    <w:qFormat/>
    <w:uiPriority w:val="99"/>
    <w:pPr>
      <w:spacing w:after="120"/>
    </w:pPr>
  </w:style>
  <w:style w:type="paragraph" w:styleId="5">
    <w:name w:val="annotation text"/>
    <w:basedOn w:val="1"/>
    <w:link w:val="25"/>
    <w:semiHidden/>
    <w:unhideWhenUsed/>
    <w:qFormat/>
    <w:uiPriority w:val="0"/>
    <w:pPr>
      <w:jc w:val="left"/>
    </w:pPr>
  </w:style>
  <w:style w:type="paragraph" w:styleId="6">
    <w:name w:val="Body Text Indent"/>
    <w:basedOn w:val="1"/>
    <w:next w:val="7"/>
    <w:qFormat/>
    <w:uiPriority w:val="0"/>
    <w:pPr>
      <w:spacing w:line="400" w:lineRule="atLeast"/>
      <w:ind w:firstLine="560" w:firstLineChars="200"/>
    </w:pPr>
    <w:rPr>
      <w:rFonts w:hint="eastAsia" w:ascii="仿宋_GB2312" w:hAnsi="LinePrinter" w:eastAsia="仿宋_GB2312"/>
      <w:sz w:val="28"/>
      <w:szCs w:val="20"/>
    </w:rPr>
  </w:style>
  <w:style w:type="paragraph" w:styleId="7">
    <w:name w:val="Body Text First Indent 2"/>
    <w:basedOn w:val="6"/>
    <w:next w:val="8"/>
    <w:qFormat/>
    <w:uiPriority w:val="0"/>
    <w:pPr>
      <w:ind w:firstLine="420"/>
    </w:pPr>
    <w:rPr>
      <w:rFonts w:cs="宋体"/>
      <w:sz w:val="21"/>
    </w:rPr>
  </w:style>
  <w:style w:type="paragraph" w:styleId="8">
    <w:name w:val="Body Text First Indent"/>
    <w:basedOn w:val="2"/>
    <w:next w:val="9"/>
    <w:unhideWhenUsed/>
    <w:qFormat/>
    <w:uiPriority w:val="0"/>
    <w:pPr>
      <w:ind w:firstLine="420" w:firstLineChars="100"/>
    </w:pPr>
  </w:style>
  <w:style w:type="paragraph" w:styleId="9">
    <w:name w:val="toc 6"/>
    <w:basedOn w:val="1"/>
    <w:next w:val="1"/>
    <w:qFormat/>
    <w:uiPriority w:val="0"/>
    <w:pPr>
      <w:ind w:left="2100" w:leftChars="1000"/>
    </w:p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annotation subject"/>
    <w:basedOn w:val="5"/>
    <w:next w:val="5"/>
    <w:link w:val="26"/>
    <w:semiHidden/>
    <w:unhideWhenUsed/>
    <w:qFormat/>
    <w:uiPriority w:val="0"/>
    <w:rPr>
      <w:b/>
      <w:bCs/>
    </w:rPr>
  </w:style>
  <w:style w:type="table" w:styleId="16">
    <w:name w:val="Table Grid"/>
    <w:basedOn w:val="1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uiPriority w:val="0"/>
    <w:rPr>
      <w:b/>
    </w:rPr>
  </w:style>
  <w:style w:type="character" w:styleId="19">
    <w:name w:val="page number"/>
    <w:qFormat/>
    <w:uiPriority w:val="0"/>
  </w:style>
  <w:style w:type="character" w:styleId="20">
    <w:name w:val="annotation reference"/>
    <w:basedOn w:val="17"/>
    <w:semiHidden/>
    <w:unhideWhenUsed/>
    <w:qFormat/>
    <w:uiPriority w:val="0"/>
    <w:rPr>
      <w:sz w:val="21"/>
      <w:szCs w:val="21"/>
    </w:rPr>
  </w:style>
  <w:style w:type="character" w:customStyle="1" w:styleId="21">
    <w:name w:val="页脚 字符"/>
    <w:link w:val="12"/>
    <w:qFormat/>
    <w:uiPriority w:val="99"/>
    <w:rPr>
      <w:kern w:val="2"/>
      <w:sz w:val="18"/>
      <w:szCs w:val="18"/>
    </w:rPr>
  </w:style>
  <w:style w:type="character" w:customStyle="1" w:styleId="22">
    <w:name w:val="页脚 Char"/>
    <w:qFormat/>
    <w:uiPriority w:val="99"/>
    <w:rPr>
      <w:rFonts w:eastAsia="Calibri"/>
      <w:sz w:val="21"/>
    </w:rPr>
  </w:style>
  <w:style w:type="paragraph" w:customStyle="1" w:styleId="23">
    <w:name w:val="正文2"/>
    <w:basedOn w:val="1"/>
    <w:qFormat/>
    <w:uiPriority w:val="0"/>
    <w:pPr>
      <w:spacing w:before="156" w:line="360" w:lineRule="auto"/>
      <w:ind w:firstLine="510" w:firstLineChars="200"/>
    </w:pPr>
    <w:rPr>
      <w:rFonts w:ascii="等线" w:hAnsi="等线" w:eastAsia="等线"/>
      <w:kern w:val="0"/>
      <w:sz w:val="24"/>
    </w:rPr>
  </w:style>
  <w:style w:type="paragraph" w:customStyle="1" w:styleId="24">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character" w:customStyle="1" w:styleId="25">
    <w:name w:val="批注文字 字符"/>
    <w:basedOn w:val="17"/>
    <w:link w:val="5"/>
    <w:semiHidden/>
    <w:qFormat/>
    <w:uiPriority w:val="0"/>
    <w:rPr>
      <w:kern w:val="2"/>
      <w:sz w:val="21"/>
      <w:szCs w:val="24"/>
    </w:rPr>
  </w:style>
  <w:style w:type="character" w:customStyle="1" w:styleId="26">
    <w:name w:val="批注主题 字符"/>
    <w:basedOn w:val="25"/>
    <w:link w:val="14"/>
    <w:semiHidden/>
    <w:qFormat/>
    <w:uiPriority w:val="0"/>
    <w:rPr>
      <w:b/>
      <w:bCs/>
      <w:kern w:val="2"/>
      <w:sz w:val="21"/>
      <w:szCs w:val="24"/>
    </w:rPr>
  </w:style>
  <w:style w:type="character" w:customStyle="1" w:styleId="27">
    <w:name w:val="正文文本 字符"/>
    <w:basedOn w:val="17"/>
    <w:link w:val="2"/>
    <w:qFormat/>
    <w:uiPriority w:val="0"/>
    <w:rPr>
      <w:kern w:val="2"/>
      <w:sz w:val="21"/>
      <w:szCs w:val="24"/>
    </w:rPr>
  </w:style>
  <w:style w:type="paragraph" w:customStyle="1" w:styleId="28">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29">
    <w:name w:val="标题 2 字符"/>
    <w:basedOn w:val="17"/>
    <w:link w:val="4"/>
    <w:qFormat/>
    <w:uiPriority w:val="0"/>
    <w:rPr>
      <w:rFonts w:hint="eastAsia" w:ascii="宋体" w:hAnsi="宋体" w:eastAsia="宋体" w:cs="宋体"/>
      <w:b/>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47</Pages>
  <Words>23987</Words>
  <Characters>25644</Characters>
  <Lines>931</Lines>
  <Paragraphs>1044</Paragraphs>
  <TotalTime>3</TotalTime>
  <ScaleCrop>false</ScaleCrop>
  <LinksUpToDate>false</LinksUpToDate>
  <CharactersWithSpaces>26000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2025-06-09T01:57:00Z</dcterms:created>
  <dc:creator>MC SYSTEM</dc:creator>
  <cp:lastModifiedBy>十一妹</cp:lastModifiedBy>
  <cp:lastPrinted>2021-08-01T17:17:00Z</cp:lastPrinted>
  <dcterms:modified xsi:type="dcterms:W3CDTF">2025-06-20T13:35:24Z</dcterms:modified>
  <dc:title>厦财采〔2021〕9号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eyJoZGlkIjoiYmJmMDg5NTczOWRkNDY4M2FhNmU3ZDhjNzU4NDYxODkiLCJ1c2VySWQiOiIxMDY2MzMzMDExIn0=</vt:lpwstr>
  </property>
  <property fmtid="{D5CDD505-2E9C-101B-9397-08002B2CF9AE}" pid="4" name="ICV">
    <vt:lpwstr>78E7FB7B3ECE4E4C916E95D40BA5D280_13</vt:lpwstr>
  </property>
</Properties>
</file>