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C93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color w:val="000000"/>
          <w:sz w:val="30"/>
          <w:szCs w:val="30"/>
          <w:highlight w:val="none"/>
          <w:lang w:val="en-US" w:eastAsia="zh-CN"/>
        </w:rPr>
      </w:pPr>
      <w:r>
        <w:rPr>
          <w:rFonts w:hint="eastAsia"/>
          <w:b/>
          <w:bCs/>
          <w:color w:val="000000"/>
          <w:sz w:val="30"/>
          <w:szCs w:val="30"/>
          <w:highlight w:val="none"/>
          <w:lang w:val="en-US" w:eastAsia="zh-CN"/>
        </w:rPr>
        <w:t>海曙区农村房屋“保险+服务”采购（2026.1.10-2029.1.9）项目</w:t>
      </w:r>
    </w:p>
    <w:p w14:paraId="256EFB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color w:val="000000"/>
          <w:sz w:val="30"/>
          <w:szCs w:val="30"/>
          <w:highlight w:val="none"/>
          <w:lang w:val="en-US" w:eastAsia="zh-CN"/>
        </w:rPr>
      </w:pPr>
      <w:r>
        <w:rPr>
          <w:rFonts w:hint="eastAsia"/>
          <w:b/>
          <w:bCs/>
          <w:color w:val="000000"/>
          <w:sz w:val="30"/>
          <w:szCs w:val="30"/>
          <w:highlight w:val="none"/>
          <w:lang w:val="en-US" w:eastAsia="zh-CN"/>
        </w:rPr>
        <w:t>采购需求</w:t>
      </w:r>
    </w:p>
    <w:p w14:paraId="231034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b/>
          <w:bCs/>
          <w:color w:val="000000"/>
          <w:szCs w:val="21"/>
          <w:highlight w:val="none"/>
        </w:rPr>
      </w:pPr>
      <w:r>
        <w:rPr>
          <w:rFonts w:hint="eastAsia"/>
          <w:b/>
          <w:bCs/>
          <w:color w:val="000000"/>
          <w:szCs w:val="21"/>
          <w:highlight w:val="none"/>
          <w:lang w:val="en-US" w:eastAsia="zh-CN"/>
        </w:rPr>
        <w:t>一</w:t>
      </w:r>
      <w:r>
        <w:rPr>
          <w:rFonts w:hint="eastAsia" w:ascii="Times New Roman" w:hAnsi="Times New Roman" w:eastAsia="宋体"/>
          <w:b/>
          <w:bCs/>
          <w:color w:val="000000"/>
          <w:szCs w:val="21"/>
          <w:highlight w:val="none"/>
        </w:rPr>
        <w:t>、基本情况</w:t>
      </w:r>
    </w:p>
    <w:p w14:paraId="34F1D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000000"/>
          <w:szCs w:val="20"/>
          <w:highlight w:val="none"/>
          <w:lang w:eastAsia="zh-CN"/>
        </w:rPr>
      </w:pPr>
      <w:r>
        <w:rPr>
          <w:rFonts w:hint="eastAsia" w:ascii="Times New Roman" w:hAnsi="Times New Roman" w:eastAsia="宋体"/>
          <w:color w:val="000000"/>
          <w:szCs w:val="21"/>
          <w:highlight w:val="none"/>
        </w:rPr>
        <w:t>根据全省第一轮和第二轮农村房屋安全排查工作统计，并依托纸质档案和住建部、省建设厅农房信息系统，建立农房信息档案。目前全区录入系统的农村房屋</w:t>
      </w:r>
      <w:r>
        <w:rPr>
          <w:rFonts w:hint="eastAsia"/>
          <w:color w:val="000000"/>
          <w:szCs w:val="21"/>
          <w:highlight w:val="none"/>
          <w:lang w:val="en-US" w:eastAsia="zh-CN"/>
        </w:rPr>
        <w:t>约14.6万</w:t>
      </w:r>
      <w:r>
        <w:rPr>
          <w:rFonts w:hint="eastAsia" w:ascii="Times New Roman" w:hAnsi="Times New Roman" w:eastAsia="宋体"/>
          <w:color w:val="000000"/>
          <w:szCs w:val="21"/>
          <w:highlight w:val="none"/>
        </w:rPr>
        <w:t>户（数据动态变化），需重点关注房屋</w:t>
      </w:r>
      <w:r>
        <w:rPr>
          <w:rFonts w:hint="eastAsia"/>
          <w:color w:val="000000"/>
          <w:szCs w:val="21"/>
          <w:highlight w:val="none"/>
          <w:lang w:val="en-US" w:eastAsia="zh-CN"/>
        </w:rPr>
        <w:t>约3200</w:t>
      </w:r>
      <w:r>
        <w:rPr>
          <w:rFonts w:hint="eastAsia" w:ascii="Times New Roman" w:hAnsi="Times New Roman" w:eastAsia="宋体"/>
          <w:color w:val="000000"/>
          <w:szCs w:val="21"/>
          <w:highlight w:val="none"/>
        </w:rPr>
        <w:t>户。</w:t>
      </w:r>
      <w:r>
        <w:rPr>
          <w:rFonts w:hint="eastAsia" w:ascii="Times New Roman" w:hAnsi="Times New Roman" w:eastAsia="宋体"/>
          <w:color w:val="000000"/>
          <w:szCs w:val="20"/>
          <w:highlight w:val="none"/>
        </w:rPr>
        <w:t>招标文件所列保险金额</w:t>
      </w:r>
      <w:r>
        <w:rPr>
          <w:rFonts w:hint="eastAsia" w:ascii="Times New Roman" w:hAnsi="Times New Roman" w:eastAsia="宋体"/>
          <w:color w:val="000000"/>
          <w:szCs w:val="20"/>
          <w:highlight w:val="none"/>
          <w:lang w:eastAsia="zh-CN"/>
        </w:rPr>
        <w:t>及房屋安全动态检测服务费</w:t>
      </w:r>
      <w:r>
        <w:rPr>
          <w:rFonts w:hint="eastAsia" w:ascii="Times New Roman" w:hAnsi="Times New Roman" w:eastAsia="宋体"/>
          <w:color w:val="000000"/>
          <w:szCs w:val="20"/>
          <w:highlight w:val="none"/>
        </w:rPr>
        <w:t>属预计保险金额</w:t>
      </w:r>
      <w:r>
        <w:rPr>
          <w:rFonts w:hint="eastAsia" w:ascii="Times New Roman" w:hAnsi="Times New Roman" w:eastAsia="宋体"/>
          <w:color w:val="000000"/>
          <w:szCs w:val="20"/>
          <w:highlight w:val="none"/>
          <w:lang w:eastAsia="zh-CN"/>
        </w:rPr>
        <w:t>、预计房屋安全动态检测服务费。</w:t>
      </w:r>
    </w:p>
    <w:p w14:paraId="12A2CFB0">
      <w:pPr>
        <w:keepNext w:val="0"/>
        <w:keepLines w:val="0"/>
        <w:pageBreakBefore w:val="0"/>
        <w:kinsoku/>
        <w:wordWrap/>
        <w:overflowPunct/>
        <w:topLinePunct w:val="0"/>
        <w:autoSpaceDE/>
        <w:autoSpaceDN/>
        <w:bidi w:val="0"/>
        <w:spacing w:line="360" w:lineRule="auto"/>
        <w:ind w:firstLine="0" w:firstLineChars="0"/>
        <w:textAlignment w:val="auto"/>
        <w:rPr>
          <w:rFonts w:hint="eastAsia" w:ascii="Times New Roman" w:hAnsi="Times New Roman" w:eastAsia="宋体"/>
          <w:b/>
          <w:bCs/>
          <w:color w:val="000000"/>
          <w:szCs w:val="21"/>
          <w:highlight w:val="none"/>
        </w:rPr>
      </w:pPr>
      <w:r>
        <w:rPr>
          <w:rFonts w:hint="eastAsia"/>
          <w:b/>
          <w:bCs/>
          <w:color w:val="000000"/>
          <w:szCs w:val="21"/>
          <w:highlight w:val="none"/>
          <w:lang w:val="en-US" w:eastAsia="zh-CN"/>
        </w:rPr>
        <w:t>二</w:t>
      </w:r>
      <w:r>
        <w:rPr>
          <w:rFonts w:hint="eastAsia" w:ascii="Times New Roman" w:hAnsi="Times New Roman" w:eastAsia="宋体"/>
          <w:b/>
          <w:bCs/>
          <w:color w:val="000000"/>
          <w:szCs w:val="21"/>
          <w:highlight w:val="none"/>
          <w:lang w:eastAsia="zh-CN"/>
        </w:rPr>
        <w:t>、</w:t>
      </w:r>
      <w:r>
        <w:rPr>
          <w:rFonts w:hint="eastAsia" w:ascii="Times New Roman" w:hAnsi="Times New Roman" w:eastAsia="宋体"/>
          <w:b/>
          <w:bCs/>
          <w:color w:val="000000"/>
          <w:szCs w:val="21"/>
          <w:highlight w:val="none"/>
        </w:rPr>
        <w:t>保险服务要求</w:t>
      </w:r>
      <w:bookmarkStart w:id="0" w:name="_GoBack"/>
      <w:bookmarkEnd w:id="0"/>
    </w:p>
    <w:p w14:paraId="710BEF2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olor w:val="000000"/>
          <w:szCs w:val="22"/>
          <w:highlight w:val="none"/>
        </w:rPr>
      </w:pPr>
      <w:r>
        <w:rPr>
          <w:rFonts w:hint="eastAsia" w:ascii="Times New Roman" w:hAnsi="Times New Roman" w:eastAsia="宋体"/>
          <w:color w:val="000000"/>
          <w:szCs w:val="22"/>
          <w:highlight w:val="none"/>
        </w:rPr>
        <w:t>（一）保险责任</w:t>
      </w:r>
    </w:p>
    <w:p w14:paraId="4B1593E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imes New Roman" w:hAnsi="Times New Roman" w:eastAsia="宋体"/>
          <w:color w:val="000000"/>
          <w:szCs w:val="22"/>
          <w:highlight w:val="none"/>
        </w:rPr>
      </w:pPr>
      <w:r>
        <w:rPr>
          <w:rFonts w:hint="eastAsia" w:ascii="Times New Roman" w:hAnsi="Times New Roman" w:eastAsia="宋体"/>
          <w:color w:val="000000"/>
          <w:szCs w:val="22"/>
          <w:highlight w:val="none"/>
        </w:rPr>
        <w:t>在保险期间内，由于承保农村住房整体倒塌造成人员死亡、伤残或发生医疗费用的，</w:t>
      </w:r>
      <w:r>
        <w:rPr>
          <w:rFonts w:hint="eastAsia" w:ascii="Times New Roman" w:hAnsi="Times New Roman" w:eastAsia="宋体"/>
          <w:color w:val="000000"/>
          <w:szCs w:val="22"/>
          <w:highlight w:val="none"/>
          <w:lang w:eastAsia="zh-CN"/>
        </w:rPr>
        <w:t>中标人</w:t>
      </w:r>
      <w:r>
        <w:rPr>
          <w:rFonts w:hint="eastAsia" w:ascii="Times New Roman" w:hAnsi="Times New Roman" w:eastAsia="宋体"/>
          <w:color w:val="000000"/>
          <w:szCs w:val="22"/>
          <w:highlight w:val="none"/>
        </w:rPr>
        <w:t>依照本保险合同的约定负责赔偿。</w:t>
      </w:r>
    </w:p>
    <w:p w14:paraId="3DD6AFFC">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olor w:val="000000"/>
          <w:szCs w:val="22"/>
          <w:highlight w:val="none"/>
        </w:rPr>
      </w:pPr>
      <w:r>
        <w:rPr>
          <w:rFonts w:hint="eastAsia" w:ascii="Times New Roman" w:hAnsi="Times New Roman" w:eastAsia="宋体"/>
          <w:color w:val="000000"/>
          <w:szCs w:val="22"/>
          <w:highlight w:val="none"/>
        </w:rPr>
        <w:t>（二）保险内容及赔偿限额</w:t>
      </w:r>
    </w:p>
    <w:p w14:paraId="04FB3298">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Times New Roman" w:hAnsi="Times New Roman" w:eastAsia="宋体"/>
          <w:b/>
          <w:bCs/>
          <w:color w:val="000000"/>
          <w:szCs w:val="22"/>
          <w:highlight w:val="none"/>
          <w:lang w:eastAsia="zh-CN"/>
        </w:rPr>
      </w:pPr>
      <w:r>
        <w:rPr>
          <w:rFonts w:hint="eastAsia" w:ascii="Times New Roman" w:hAnsi="Times New Roman" w:eastAsia="宋体" w:cs="宋体"/>
          <w:b/>
          <w:bCs/>
          <w:color w:val="000000"/>
          <w:szCs w:val="21"/>
          <w:highlight w:val="none"/>
        </w:rPr>
        <w:t>★</w:t>
      </w:r>
      <w:r>
        <w:rPr>
          <w:rFonts w:hint="eastAsia" w:ascii="Times New Roman" w:hAnsi="Times New Roman" w:eastAsia="宋体"/>
          <w:b/>
          <w:bCs/>
          <w:color w:val="000000"/>
          <w:szCs w:val="22"/>
          <w:highlight w:val="none"/>
        </w:rPr>
        <w:t>保费综合单价最高限价：</w:t>
      </w:r>
      <w:r>
        <w:rPr>
          <w:rFonts w:hint="eastAsia" w:ascii="Times New Roman" w:hAnsi="Times New Roman" w:eastAsia="宋体"/>
          <w:b/>
          <w:bCs/>
          <w:color w:val="000000"/>
          <w:szCs w:val="22"/>
          <w:highlight w:val="none"/>
        </w:rPr>
        <w:t>2.5</w:t>
      </w:r>
      <w:r>
        <w:rPr>
          <w:rFonts w:hint="eastAsia" w:ascii="Times New Roman" w:hAnsi="Times New Roman" w:eastAsia="宋体"/>
          <w:b/>
          <w:bCs/>
          <w:color w:val="000000"/>
          <w:szCs w:val="22"/>
          <w:highlight w:val="none"/>
        </w:rPr>
        <w:t>元/户，报价超过最高限价的作无效标处理</w:t>
      </w:r>
      <w:r>
        <w:rPr>
          <w:rFonts w:hint="eastAsia"/>
          <w:b/>
          <w:bCs/>
          <w:color w:val="000000"/>
          <w:szCs w:val="22"/>
          <w:highlight w:val="none"/>
          <w:lang w:eastAsia="zh-CN"/>
        </w:rPr>
        <w:t>。</w:t>
      </w:r>
    </w:p>
    <w:p w14:paraId="0B9B8691">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Times New Roman" w:hAnsi="Times New Roman" w:eastAsia="宋体" w:cs="宋体"/>
          <w:color w:val="000000"/>
          <w:szCs w:val="21"/>
          <w:highlight w:val="none"/>
        </w:rPr>
      </w:pPr>
      <w:r>
        <w:rPr>
          <w:rFonts w:hint="eastAsia" w:ascii="Times New Roman" w:hAnsi="Times New Roman" w:eastAsia="宋体"/>
          <w:color w:val="000000"/>
          <w:szCs w:val="22"/>
          <w:highlight w:val="none"/>
        </w:rPr>
        <w:t>每个合同年度每人人身伤亡赔偿限额50万元，其中医疗赔偿限额10万元。每年累计赔偿限额5000万元。医疗费每次事故免赔额100元。</w:t>
      </w:r>
      <w:r>
        <w:rPr>
          <w:rFonts w:hint="eastAsia" w:ascii="Times New Roman" w:hAnsi="Times New Roman" w:eastAsia="宋体"/>
          <w:color w:val="000000"/>
          <w:szCs w:val="22"/>
          <w:highlight w:val="none"/>
          <w:lang w:eastAsia="zh-CN"/>
        </w:rPr>
        <w:t>应急加固维修费每年累计赔偿限额</w:t>
      </w:r>
      <w:r>
        <w:rPr>
          <w:rFonts w:hint="eastAsia"/>
          <w:color w:val="000000"/>
          <w:szCs w:val="22"/>
          <w:highlight w:val="none"/>
          <w:lang w:val="en-US" w:eastAsia="zh-CN"/>
        </w:rPr>
        <w:t>10</w:t>
      </w:r>
      <w:r>
        <w:rPr>
          <w:rFonts w:hint="eastAsia" w:ascii="Times New Roman" w:hAnsi="Times New Roman" w:eastAsia="宋体"/>
          <w:color w:val="000000"/>
          <w:szCs w:val="22"/>
          <w:highlight w:val="none"/>
          <w:lang w:val="en-US" w:eastAsia="zh-CN"/>
        </w:rPr>
        <w:t>万元。</w:t>
      </w:r>
      <w:r>
        <w:rPr>
          <w:rFonts w:hint="eastAsia" w:ascii="Times New Roman" w:hAnsi="Times New Roman" w:eastAsia="宋体"/>
          <w:color w:val="000000"/>
          <w:szCs w:val="22"/>
          <w:highlight w:val="none"/>
        </w:rPr>
        <w:t>全区农村房屋</w:t>
      </w:r>
      <w:r>
        <w:rPr>
          <w:rFonts w:hint="eastAsia"/>
          <w:color w:val="000000"/>
          <w:szCs w:val="22"/>
          <w:highlight w:val="none"/>
          <w:lang w:val="en-US" w:eastAsia="zh-CN"/>
        </w:rPr>
        <w:t>约14.6万</w:t>
      </w:r>
      <w:r>
        <w:rPr>
          <w:rFonts w:hint="eastAsia" w:ascii="Times New Roman" w:hAnsi="Times New Roman" w:eastAsia="宋体"/>
          <w:color w:val="000000"/>
          <w:szCs w:val="22"/>
          <w:highlight w:val="none"/>
        </w:rPr>
        <w:t>户，保险范围需涵盖全区所有农村</w:t>
      </w:r>
      <w:r>
        <w:rPr>
          <w:rFonts w:hint="eastAsia" w:ascii="Times New Roman" w:hAnsi="Times New Roman" w:eastAsia="宋体"/>
          <w:color w:val="000000"/>
          <w:szCs w:val="22"/>
          <w:highlight w:val="none"/>
          <w:lang w:val="en-US" w:eastAsia="zh-CN"/>
        </w:rPr>
        <w:t>住宅</w:t>
      </w:r>
      <w:r>
        <w:rPr>
          <w:rFonts w:hint="eastAsia" w:ascii="Times New Roman" w:hAnsi="Times New Roman" w:eastAsia="宋体"/>
          <w:color w:val="000000"/>
          <w:szCs w:val="22"/>
          <w:highlight w:val="none"/>
        </w:rPr>
        <w:t>房屋。</w:t>
      </w:r>
      <w:r>
        <w:rPr>
          <w:rFonts w:hint="eastAsia" w:ascii="Times New Roman" w:hAnsi="Times New Roman" w:eastAsia="宋体"/>
          <w:color w:val="000000"/>
          <w:szCs w:val="20"/>
          <w:highlight w:val="none"/>
        </w:rPr>
        <w:t>每个保险年度内因</w:t>
      </w:r>
      <w:r>
        <w:rPr>
          <w:rFonts w:hint="eastAsia" w:ascii="Times New Roman" w:hAnsi="Times New Roman" w:eastAsia="宋体"/>
          <w:color w:val="000000"/>
          <w:szCs w:val="20"/>
          <w:highlight w:val="none"/>
          <w:lang w:val="en-US" w:eastAsia="zh-CN"/>
        </w:rPr>
        <w:t>房屋灭失，实际保险房屋数量减少，</w:t>
      </w:r>
      <w:r>
        <w:rPr>
          <w:rFonts w:hint="eastAsia" w:ascii="Times New Roman" w:hAnsi="Times New Roman" w:eastAsia="宋体"/>
          <w:color w:val="000000"/>
          <w:szCs w:val="20"/>
          <w:highlight w:val="none"/>
        </w:rPr>
        <w:t>导致实际</w:t>
      </w:r>
      <w:r>
        <w:rPr>
          <w:rFonts w:hint="eastAsia" w:ascii="Times New Roman" w:hAnsi="Times New Roman" w:eastAsia="宋体"/>
          <w:color w:val="000000"/>
          <w:szCs w:val="20"/>
          <w:highlight w:val="none"/>
          <w:lang w:eastAsia="zh-CN"/>
        </w:rPr>
        <w:t>保险金额</w:t>
      </w:r>
      <w:r>
        <w:rPr>
          <w:rFonts w:hint="eastAsia" w:ascii="Times New Roman" w:hAnsi="Times New Roman" w:eastAsia="宋体"/>
          <w:color w:val="000000"/>
          <w:szCs w:val="20"/>
          <w:highlight w:val="none"/>
          <w:lang w:val="en-US" w:eastAsia="zh-CN"/>
        </w:rPr>
        <w:t>减少的，应予以退回。</w:t>
      </w:r>
      <w:r>
        <w:rPr>
          <w:rFonts w:hint="eastAsia" w:ascii="Times New Roman" w:hAnsi="Times New Roman" w:eastAsia="宋体"/>
          <w:color w:val="000000"/>
          <w:szCs w:val="20"/>
          <w:highlight w:val="none"/>
        </w:rPr>
        <w:t>最终的</w:t>
      </w:r>
      <w:r>
        <w:rPr>
          <w:rFonts w:hint="eastAsia" w:ascii="Times New Roman" w:hAnsi="Times New Roman" w:eastAsia="宋体"/>
          <w:color w:val="000000"/>
          <w:szCs w:val="20"/>
          <w:highlight w:val="none"/>
          <w:lang w:eastAsia="zh-CN"/>
        </w:rPr>
        <w:t>保险范围数</w:t>
      </w:r>
      <w:r>
        <w:rPr>
          <w:rFonts w:hint="eastAsia" w:ascii="Times New Roman" w:hAnsi="Times New Roman" w:eastAsia="宋体"/>
          <w:color w:val="000000"/>
          <w:szCs w:val="20"/>
          <w:highlight w:val="none"/>
        </w:rPr>
        <w:t>量以审计出具的审计报告为准。</w:t>
      </w:r>
    </w:p>
    <w:p w14:paraId="437F316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宋体"/>
          <w:color w:val="000000"/>
          <w:kern w:val="0"/>
          <w:szCs w:val="20"/>
          <w:highlight w:val="none"/>
        </w:rPr>
      </w:pPr>
      <w:r>
        <w:rPr>
          <w:rFonts w:hint="eastAsia" w:ascii="Times New Roman" w:hAnsi="Times New Roman" w:eastAsia="宋体" w:cs="宋体"/>
          <w:color w:val="000000"/>
          <w:kern w:val="0"/>
          <w:szCs w:val="20"/>
          <w:highlight w:val="none"/>
        </w:rPr>
        <w:t>（三）赔偿标准</w:t>
      </w:r>
    </w:p>
    <w:p w14:paraId="57689A6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保险事故发生后，对于出现人员伤亡情况的，</w:t>
      </w:r>
      <w:r>
        <w:rPr>
          <w:rFonts w:hint="eastAsia" w:ascii="Times New Roman" w:hAnsi="Times New Roman" w:eastAsia="宋体" w:cs="宋体"/>
          <w:color w:val="000000"/>
          <w:kern w:val="0"/>
          <w:szCs w:val="21"/>
          <w:highlight w:val="none"/>
          <w:lang w:eastAsia="zh-CN"/>
        </w:rPr>
        <w:t>中标人</w:t>
      </w:r>
      <w:r>
        <w:rPr>
          <w:rFonts w:hint="eastAsia" w:ascii="Times New Roman" w:hAnsi="Times New Roman" w:eastAsia="宋体" w:cs="宋体"/>
          <w:color w:val="000000"/>
          <w:kern w:val="0"/>
          <w:szCs w:val="21"/>
          <w:highlight w:val="none"/>
        </w:rPr>
        <w:t>按照以下方式计算赔偿：</w:t>
      </w:r>
    </w:p>
    <w:p w14:paraId="3F4601A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1、发生死亡的，</w:t>
      </w:r>
      <w:r>
        <w:rPr>
          <w:rFonts w:hint="eastAsia" w:ascii="Times New Roman" w:hAnsi="Times New Roman" w:eastAsia="宋体" w:cs="宋体"/>
          <w:color w:val="000000"/>
          <w:kern w:val="0"/>
          <w:szCs w:val="21"/>
          <w:highlight w:val="none"/>
          <w:lang w:eastAsia="zh-CN"/>
        </w:rPr>
        <w:t>中标人</w:t>
      </w:r>
      <w:r>
        <w:rPr>
          <w:rFonts w:hint="eastAsia" w:ascii="Times New Roman" w:hAnsi="Times New Roman" w:eastAsia="宋体" w:cs="宋体"/>
          <w:color w:val="000000"/>
          <w:kern w:val="0"/>
          <w:szCs w:val="21"/>
          <w:highlight w:val="none"/>
        </w:rPr>
        <w:t>按照每人伤亡责任限额赔偿。</w:t>
      </w:r>
    </w:p>
    <w:p w14:paraId="2C183FB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2、发生残疾的，由</w:t>
      </w:r>
      <w:r>
        <w:rPr>
          <w:rFonts w:hint="eastAsia" w:ascii="Times New Roman" w:hAnsi="Times New Roman" w:eastAsia="宋体" w:cs="宋体"/>
          <w:color w:val="000000"/>
          <w:kern w:val="0"/>
          <w:szCs w:val="21"/>
          <w:highlight w:val="none"/>
          <w:lang w:eastAsia="zh-CN"/>
        </w:rPr>
        <w:t>中标人</w:t>
      </w:r>
      <w:r>
        <w:rPr>
          <w:rFonts w:hint="eastAsia" w:ascii="Times New Roman" w:hAnsi="Times New Roman" w:eastAsia="宋体" w:cs="宋体"/>
          <w:color w:val="000000"/>
          <w:kern w:val="0"/>
          <w:szCs w:val="21"/>
          <w:highlight w:val="none"/>
        </w:rPr>
        <w:t>认可的二级及以上医疗机构或司法机构依据《人身保险伤残评定标准》鉴定残疾程度并出具伤残程度证明，</w:t>
      </w:r>
      <w:r>
        <w:rPr>
          <w:rFonts w:hint="eastAsia" w:ascii="Times New Roman" w:hAnsi="Times New Roman" w:eastAsia="宋体" w:cs="宋体"/>
          <w:color w:val="000000"/>
          <w:kern w:val="0"/>
          <w:szCs w:val="21"/>
          <w:highlight w:val="none"/>
          <w:lang w:eastAsia="zh-CN"/>
        </w:rPr>
        <w:t>中标人</w:t>
      </w:r>
      <w:r>
        <w:rPr>
          <w:rFonts w:hint="eastAsia" w:ascii="Times New Roman" w:hAnsi="Times New Roman" w:eastAsia="宋体" w:cs="宋体"/>
          <w:color w:val="000000"/>
          <w:kern w:val="0"/>
          <w:szCs w:val="21"/>
          <w:highlight w:val="none"/>
        </w:rPr>
        <w:t>按照以下残疾赔偿比例表规定的百分比，乘以每人伤亡责任限额赔偿。</w:t>
      </w:r>
    </w:p>
    <w:tbl>
      <w:tblPr>
        <w:tblStyle w:val="5"/>
        <w:tblW w:w="9067" w:type="dxa"/>
        <w:jc w:val="center"/>
        <w:tblLayout w:type="fixed"/>
        <w:tblCellMar>
          <w:top w:w="0" w:type="dxa"/>
          <w:left w:w="108" w:type="dxa"/>
          <w:bottom w:w="0" w:type="dxa"/>
          <w:right w:w="108" w:type="dxa"/>
        </w:tblCellMar>
      </w:tblPr>
      <w:tblGrid>
        <w:gridCol w:w="1253"/>
        <w:gridCol w:w="3473"/>
        <w:gridCol w:w="4341"/>
      </w:tblGrid>
      <w:tr w14:paraId="475C1416">
        <w:tblPrEx>
          <w:tblCellMar>
            <w:top w:w="0" w:type="dxa"/>
            <w:left w:w="108" w:type="dxa"/>
            <w:bottom w:w="0" w:type="dxa"/>
            <w:right w:w="108" w:type="dxa"/>
          </w:tblCellMar>
        </w:tblPrEx>
        <w:trPr>
          <w:trHeight w:val="454" w:hRule="atLeast"/>
          <w:tblHeader/>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1EDD06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项目</w:t>
            </w:r>
          </w:p>
        </w:tc>
        <w:tc>
          <w:tcPr>
            <w:tcW w:w="3473" w:type="dxa"/>
            <w:tcBorders>
              <w:top w:val="single" w:color="auto" w:sz="4" w:space="0"/>
              <w:left w:val="nil"/>
              <w:bottom w:val="single" w:color="auto" w:sz="4" w:space="0"/>
              <w:right w:val="single" w:color="auto" w:sz="4" w:space="0"/>
            </w:tcBorders>
            <w:noWrap w:val="0"/>
            <w:vAlign w:val="center"/>
          </w:tcPr>
          <w:p w14:paraId="5D3DE4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残疾程度</w:t>
            </w:r>
          </w:p>
        </w:tc>
        <w:tc>
          <w:tcPr>
            <w:tcW w:w="4341" w:type="dxa"/>
            <w:tcBorders>
              <w:top w:val="single" w:color="auto" w:sz="4" w:space="0"/>
              <w:left w:val="nil"/>
              <w:bottom w:val="single" w:color="auto" w:sz="4" w:space="0"/>
              <w:right w:val="single" w:color="auto" w:sz="4" w:space="0"/>
            </w:tcBorders>
            <w:noWrap w:val="0"/>
            <w:vAlign w:val="center"/>
          </w:tcPr>
          <w:p w14:paraId="48B0C7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赔偿比例（按责任限额的%）</w:t>
            </w:r>
          </w:p>
        </w:tc>
      </w:tr>
      <w:tr w14:paraId="524EFAD3">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0DD2E1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（一）</w:t>
            </w:r>
          </w:p>
        </w:tc>
        <w:tc>
          <w:tcPr>
            <w:tcW w:w="3473" w:type="dxa"/>
            <w:tcBorders>
              <w:top w:val="single" w:color="auto" w:sz="4" w:space="0"/>
              <w:left w:val="nil"/>
              <w:bottom w:val="single" w:color="auto" w:sz="4" w:space="0"/>
              <w:right w:val="single" w:color="auto" w:sz="4" w:space="0"/>
            </w:tcBorders>
            <w:noWrap w:val="0"/>
            <w:vAlign w:val="center"/>
          </w:tcPr>
          <w:p w14:paraId="37EA0A2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永久丧失工作能力或一级伤残</w:t>
            </w:r>
          </w:p>
        </w:tc>
        <w:tc>
          <w:tcPr>
            <w:tcW w:w="4341" w:type="dxa"/>
            <w:tcBorders>
              <w:top w:val="single" w:color="auto" w:sz="4" w:space="0"/>
              <w:left w:val="nil"/>
              <w:bottom w:val="single" w:color="auto" w:sz="4" w:space="0"/>
              <w:right w:val="single" w:color="auto" w:sz="4" w:space="0"/>
            </w:tcBorders>
            <w:noWrap w:val="0"/>
            <w:vAlign w:val="center"/>
          </w:tcPr>
          <w:p w14:paraId="78F3FF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100％</w:t>
            </w:r>
          </w:p>
        </w:tc>
      </w:tr>
      <w:tr w14:paraId="60391984">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50CE529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（二）</w:t>
            </w:r>
          </w:p>
        </w:tc>
        <w:tc>
          <w:tcPr>
            <w:tcW w:w="3473" w:type="dxa"/>
            <w:tcBorders>
              <w:top w:val="single" w:color="auto" w:sz="4" w:space="0"/>
              <w:left w:val="nil"/>
              <w:bottom w:val="single" w:color="auto" w:sz="4" w:space="0"/>
              <w:right w:val="single" w:color="auto" w:sz="4" w:space="0"/>
            </w:tcBorders>
            <w:noWrap w:val="0"/>
            <w:vAlign w:val="center"/>
          </w:tcPr>
          <w:p w14:paraId="71D8776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二级伤残</w:t>
            </w:r>
          </w:p>
        </w:tc>
        <w:tc>
          <w:tcPr>
            <w:tcW w:w="4341" w:type="dxa"/>
            <w:tcBorders>
              <w:top w:val="single" w:color="auto" w:sz="4" w:space="0"/>
              <w:left w:val="nil"/>
              <w:bottom w:val="single" w:color="auto" w:sz="4" w:space="0"/>
              <w:right w:val="single" w:color="auto" w:sz="4" w:space="0"/>
            </w:tcBorders>
            <w:noWrap w:val="0"/>
            <w:vAlign w:val="center"/>
          </w:tcPr>
          <w:p w14:paraId="3999C56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90％</w:t>
            </w:r>
          </w:p>
        </w:tc>
      </w:tr>
      <w:tr w14:paraId="6F92BC62">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15DCD4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（三）</w:t>
            </w:r>
          </w:p>
        </w:tc>
        <w:tc>
          <w:tcPr>
            <w:tcW w:w="3473" w:type="dxa"/>
            <w:tcBorders>
              <w:top w:val="single" w:color="auto" w:sz="4" w:space="0"/>
              <w:left w:val="nil"/>
              <w:bottom w:val="single" w:color="auto" w:sz="4" w:space="0"/>
              <w:right w:val="single" w:color="auto" w:sz="4" w:space="0"/>
            </w:tcBorders>
            <w:noWrap w:val="0"/>
            <w:vAlign w:val="center"/>
          </w:tcPr>
          <w:p w14:paraId="1BA19C3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三级伤残</w:t>
            </w:r>
          </w:p>
        </w:tc>
        <w:tc>
          <w:tcPr>
            <w:tcW w:w="4341" w:type="dxa"/>
            <w:tcBorders>
              <w:top w:val="single" w:color="auto" w:sz="4" w:space="0"/>
              <w:left w:val="nil"/>
              <w:bottom w:val="single" w:color="auto" w:sz="4" w:space="0"/>
              <w:right w:val="single" w:color="auto" w:sz="4" w:space="0"/>
            </w:tcBorders>
            <w:noWrap w:val="0"/>
            <w:vAlign w:val="center"/>
          </w:tcPr>
          <w:p w14:paraId="2BB808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80％</w:t>
            </w:r>
          </w:p>
        </w:tc>
      </w:tr>
      <w:tr w14:paraId="093915D0">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5475D5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（四）</w:t>
            </w:r>
          </w:p>
        </w:tc>
        <w:tc>
          <w:tcPr>
            <w:tcW w:w="3473" w:type="dxa"/>
            <w:tcBorders>
              <w:top w:val="single" w:color="auto" w:sz="4" w:space="0"/>
              <w:left w:val="nil"/>
              <w:bottom w:val="single" w:color="auto" w:sz="4" w:space="0"/>
              <w:right w:val="single" w:color="auto" w:sz="4" w:space="0"/>
            </w:tcBorders>
            <w:noWrap w:val="0"/>
            <w:vAlign w:val="center"/>
          </w:tcPr>
          <w:p w14:paraId="03D26C9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四级伤残</w:t>
            </w:r>
          </w:p>
        </w:tc>
        <w:tc>
          <w:tcPr>
            <w:tcW w:w="4341" w:type="dxa"/>
            <w:tcBorders>
              <w:top w:val="single" w:color="auto" w:sz="4" w:space="0"/>
              <w:left w:val="nil"/>
              <w:bottom w:val="single" w:color="auto" w:sz="4" w:space="0"/>
              <w:right w:val="single" w:color="auto" w:sz="4" w:space="0"/>
            </w:tcBorders>
            <w:noWrap w:val="0"/>
            <w:vAlign w:val="center"/>
          </w:tcPr>
          <w:p w14:paraId="15A878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70％</w:t>
            </w:r>
          </w:p>
        </w:tc>
      </w:tr>
      <w:tr w14:paraId="416FC65E">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1725713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（五）</w:t>
            </w:r>
          </w:p>
        </w:tc>
        <w:tc>
          <w:tcPr>
            <w:tcW w:w="3473" w:type="dxa"/>
            <w:tcBorders>
              <w:top w:val="single" w:color="auto" w:sz="4" w:space="0"/>
              <w:left w:val="nil"/>
              <w:bottom w:val="single" w:color="auto" w:sz="4" w:space="0"/>
              <w:right w:val="single" w:color="auto" w:sz="4" w:space="0"/>
            </w:tcBorders>
            <w:noWrap w:val="0"/>
            <w:vAlign w:val="center"/>
          </w:tcPr>
          <w:p w14:paraId="5868D3A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五级伤残</w:t>
            </w:r>
          </w:p>
        </w:tc>
        <w:tc>
          <w:tcPr>
            <w:tcW w:w="4341" w:type="dxa"/>
            <w:tcBorders>
              <w:top w:val="single" w:color="auto" w:sz="4" w:space="0"/>
              <w:left w:val="nil"/>
              <w:bottom w:val="single" w:color="auto" w:sz="4" w:space="0"/>
              <w:right w:val="single" w:color="auto" w:sz="4" w:space="0"/>
            </w:tcBorders>
            <w:noWrap w:val="0"/>
            <w:vAlign w:val="center"/>
          </w:tcPr>
          <w:p w14:paraId="0D48AB3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60％</w:t>
            </w:r>
          </w:p>
        </w:tc>
      </w:tr>
      <w:tr w14:paraId="7D79D448">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633DFA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（六）</w:t>
            </w:r>
          </w:p>
        </w:tc>
        <w:tc>
          <w:tcPr>
            <w:tcW w:w="3473" w:type="dxa"/>
            <w:tcBorders>
              <w:top w:val="single" w:color="auto" w:sz="4" w:space="0"/>
              <w:left w:val="nil"/>
              <w:bottom w:val="single" w:color="auto" w:sz="4" w:space="0"/>
              <w:right w:val="single" w:color="auto" w:sz="4" w:space="0"/>
            </w:tcBorders>
            <w:noWrap w:val="0"/>
            <w:vAlign w:val="center"/>
          </w:tcPr>
          <w:p w14:paraId="2C3219E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六级伤残</w:t>
            </w:r>
          </w:p>
        </w:tc>
        <w:tc>
          <w:tcPr>
            <w:tcW w:w="4341" w:type="dxa"/>
            <w:tcBorders>
              <w:top w:val="single" w:color="auto" w:sz="4" w:space="0"/>
              <w:left w:val="nil"/>
              <w:bottom w:val="single" w:color="auto" w:sz="4" w:space="0"/>
              <w:right w:val="single" w:color="auto" w:sz="4" w:space="0"/>
            </w:tcBorders>
            <w:noWrap w:val="0"/>
            <w:vAlign w:val="center"/>
          </w:tcPr>
          <w:p w14:paraId="546F53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50％</w:t>
            </w:r>
          </w:p>
        </w:tc>
      </w:tr>
      <w:tr w14:paraId="5B1366A0">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1FF7FA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（七）</w:t>
            </w:r>
          </w:p>
        </w:tc>
        <w:tc>
          <w:tcPr>
            <w:tcW w:w="3473" w:type="dxa"/>
            <w:tcBorders>
              <w:top w:val="single" w:color="auto" w:sz="4" w:space="0"/>
              <w:left w:val="nil"/>
              <w:bottom w:val="single" w:color="auto" w:sz="4" w:space="0"/>
              <w:right w:val="single" w:color="auto" w:sz="4" w:space="0"/>
            </w:tcBorders>
            <w:noWrap w:val="0"/>
            <w:vAlign w:val="center"/>
          </w:tcPr>
          <w:p w14:paraId="6D63F05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七级伤残</w:t>
            </w:r>
          </w:p>
        </w:tc>
        <w:tc>
          <w:tcPr>
            <w:tcW w:w="4341" w:type="dxa"/>
            <w:tcBorders>
              <w:top w:val="single" w:color="auto" w:sz="4" w:space="0"/>
              <w:left w:val="nil"/>
              <w:bottom w:val="single" w:color="auto" w:sz="4" w:space="0"/>
              <w:right w:val="single" w:color="auto" w:sz="4" w:space="0"/>
            </w:tcBorders>
            <w:noWrap w:val="0"/>
            <w:vAlign w:val="center"/>
          </w:tcPr>
          <w:p w14:paraId="6C227C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40％</w:t>
            </w:r>
          </w:p>
        </w:tc>
      </w:tr>
      <w:tr w14:paraId="0C51624D">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65E5399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（八）</w:t>
            </w:r>
          </w:p>
        </w:tc>
        <w:tc>
          <w:tcPr>
            <w:tcW w:w="3473" w:type="dxa"/>
            <w:tcBorders>
              <w:top w:val="single" w:color="auto" w:sz="4" w:space="0"/>
              <w:left w:val="nil"/>
              <w:bottom w:val="single" w:color="auto" w:sz="4" w:space="0"/>
              <w:right w:val="single" w:color="auto" w:sz="4" w:space="0"/>
            </w:tcBorders>
            <w:noWrap w:val="0"/>
            <w:vAlign w:val="center"/>
          </w:tcPr>
          <w:p w14:paraId="3B8853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八级伤残</w:t>
            </w:r>
          </w:p>
        </w:tc>
        <w:tc>
          <w:tcPr>
            <w:tcW w:w="4341" w:type="dxa"/>
            <w:tcBorders>
              <w:top w:val="single" w:color="auto" w:sz="4" w:space="0"/>
              <w:left w:val="nil"/>
              <w:bottom w:val="single" w:color="auto" w:sz="4" w:space="0"/>
              <w:right w:val="single" w:color="auto" w:sz="4" w:space="0"/>
            </w:tcBorders>
            <w:noWrap w:val="0"/>
            <w:vAlign w:val="center"/>
          </w:tcPr>
          <w:p w14:paraId="54E081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30％</w:t>
            </w:r>
          </w:p>
        </w:tc>
      </w:tr>
      <w:tr w14:paraId="77592B51">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6DD76F8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（九）</w:t>
            </w:r>
          </w:p>
        </w:tc>
        <w:tc>
          <w:tcPr>
            <w:tcW w:w="3473" w:type="dxa"/>
            <w:tcBorders>
              <w:top w:val="single" w:color="auto" w:sz="4" w:space="0"/>
              <w:left w:val="nil"/>
              <w:bottom w:val="single" w:color="auto" w:sz="4" w:space="0"/>
              <w:right w:val="single" w:color="auto" w:sz="4" w:space="0"/>
            </w:tcBorders>
            <w:noWrap w:val="0"/>
            <w:vAlign w:val="center"/>
          </w:tcPr>
          <w:p w14:paraId="5C80BCA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九级伤残</w:t>
            </w:r>
          </w:p>
        </w:tc>
        <w:tc>
          <w:tcPr>
            <w:tcW w:w="4341" w:type="dxa"/>
            <w:tcBorders>
              <w:top w:val="single" w:color="auto" w:sz="4" w:space="0"/>
              <w:left w:val="nil"/>
              <w:bottom w:val="single" w:color="auto" w:sz="4" w:space="0"/>
              <w:right w:val="single" w:color="auto" w:sz="4" w:space="0"/>
            </w:tcBorders>
            <w:noWrap w:val="0"/>
            <w:vAlign w:val="center"/>
          </w:tcPr>
          <w:p w14:paraId="65B652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20％</w:t>
            </w:r>
          </w:p>
        </w:tc>
      </w:tr>
      <w:tr w14:paraId="42F9EF68">
        <w:tblPrEx>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14:paraId="45E471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（十）</w:t>
            </w:r>
          </w:p>
        </w:tc>
        <w:tc>
          <w:tcPr>
            <w:tcW w:w="3473" w:type="dxa"/>
            <w:tcBorders>
              <w:top w:val="single" w:color="auto" w:sz="4" w:space="0"/>
              <w:left w:val="nil"/>
              <w:bottom w:val="single" w:color="auto" w:sz="4" w:space="0"/>
              <w:right w:val="single" w:color="auto" w:sz="4" w:space="0"/>
            </w:tcBorders>
            <w:noWrap w:val="0"/>
            <w:vAlign w:val="center"/>
          </w:tcPr>
          <w:p w14:paraId="4381494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十级伤残</w:t>
            </w:r>
          </w:p>
        </w:tc>
        <w:tc>
          <w:tcPr>
            <w:tcW w:w="4341" w:type="dxa"/>
            <w:tcBorders>
              <w:top w:val="single" w:color="auto" w:sz="4" w:space="0"/>
              <w:left w:val="nil"/>
              <w:bottom w:val="single" w:color="auto" w:sz="4" w:space="0"/>
              <w:right w:val="single" w:color="auto" w:sz="4" w:space="0"/>
            </w:tcBorders>
            <w:noWrap w:val="0"/>
            <w:vAlign w:val="center"/>
          </w:tcPr>
          <w:p w14:paraId="637FF8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10％</w:t>
            </w:r>
          </w:p>
        </w:tc>
      </w:tr>
    </w:tbl>
    <w:p w14:paraId="45B3F669">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Times New Roman" w:hAnsi="Times New Roman" w:eastAsia="宋体" w:cs="宋体"/>
          <w:color w:val="000000"/>
          <w:szCs w:val="21"/>
          <w:highlight w:val="none"/>
        </w:rPr>
      </w:pPr>
      <w:r>
        <w:rPr>
          <w:rFonts w:hint="eastAsia" w:ascii="Times New Roman" w:hAnsi="Times New Roman" w:eastAsia="宋体" w:cs="宋体"/>
          <w:color w:val="000000"/>
          <w:kern w:val="0"/>
          <w:szCs w:val="21"/>
          <w:highlight w:val="none"/>
        </w:rPr>
        <w:t>3、发生医疗费用的，</w:t>
      </w:r>
      <w:r>
        <w:rPr>
          <w:rFonts w:hint="eastAsia" w:ascii="Times New Roman" w:hAnsi="Times New Roman" w:eastAsia="宋体" w:cs="宋体"/>
          <w:color w:val="000000"/>
          <w:kern w:val="0"/>
          <w:szCs w:val="21"/>
          <w:highlight w:val="none"/>
          <w:lang w:eastAsia="zh-CN"/>
        </w:rPr>
        <w:t>中标人</w:t>
      </w:r>
      <w:r>
        <w:rPr>
          <w:rFonts w:hint="eastAsia" w:ascii="Times New Roman" w:hAnsi="Times New Roman" w:eastAsia="宋体" w:cs="宋体"/>
          <w:color w:val="000000"/>
          <w:kern w:val="0"/>
          <w:szCs w:val="21"/>
          <w:highlight w:val="none"/>
        </w:rPr>
        <w:t>在扣除本保险合同约定的免赔额后按当地社会医疗保险标准在每人医疗费用责任限额内据实赔偿。</w:t>
      </w:r>
    </w:p>
    <w:p w14:paraId="6052C68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w:t>
      </w:r>
      <w:r>
        <w:rPr>
          <w:rFonts w:hint="eastAsia" w:ascii="Times New Roman" w:hAnsi="Times New Roman" w:eastAsia="宋体" w:cs="宋体"/>
          <w:color w:val="000000"/>
          <w:szCs w:val="22"/>
          <w:highlight w:val="none"/>
          <w:lang w:val="en-US" w:eastAsia="zh-CN"/>
        </w:rPr>
        <w:t>四</w:t>
      </w:r>
      <w:r>
        <w:rPr>
          <w:rFonts w:hint="eastAsia" w:ascii="Times New Roman" w:hAnsi="Times New Roman" w:eastAsia="宋体" w:cs="宋体"/>
          <w:color w:val="000000"/>
          <w:szCs w:val="22"/>
          <w:highlight w:val="none"/>
        </w:rPr>
        <w:t>）其他服务要求</w:t>
      </w:r>
    </w:p>
    <w:p w14:paraId="7EE2EA1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1、</w:t>
      </w:r>
      <w:r>
        <w:rPr>
          <w:rFonts w:hint="eastAsia" w:ascii="Times New Roman" w:hAnsi="Times New Roman" w:eastAsia="宋体" w:cs="宋体"/>
          <w:color w:val="000000"/>
          <w:szCs w:val="22"/>
          <w:highlight w:val="none"/>
          <w:lang w:val="en-US" w:eastAsia="zh-CN"/>
        </w:rPr>
        <w:t>中标人</w:t>
      </w:r>
      <w:r>
        <w:rPr>
          <w:rFonts w:hint="eastAsia" w:ascii="Times New Roman" w:hAnsi="Times New Roman" w:eastAsia="宋体" w:cs="宋体"/>
          <w:color w:val="000000"/>
          <w:szCs w:val="22"/>
          <w:highlight w:val="none"/>
        </w:rPr>
        <w:t>需成立服务小组并专门指定项目负责人，负责本项目的一切保险事宜。</w:t>
      </w:r>
    </w:p>
    <w:p w14:paraId="7470BB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2、案情发生后，</w:t>
      </w:r>
      <w:r>
        <w:rPr>
          <w:rFonts w:hint="eastAsia" w:ascii="Times New Roman" w:hAnsi="Times New Roman" w:eastAsia="宋体" w:cs="宋体"/>
          <w:color w:val="000000"/>
          <w:szCs w:val="22"/>
          <w:highlight w:val="none"/>
          <w:lang w:val="en-US" w:eastAsia="zh-CN"/>
        </w:rPr>
        <w:t>中标人</w:t>
      </w:r>
      <w:r>
        <w:rPr>
          <w:rFonts w:hint="eastAsia" w:ascii="Times New Roman" w:hAnsi="Times New Roman" w:eastAsia="宋体" w:cs="宋体"/>
          <w:color w:val="000000"/>
          <w:szCs w:val="22"/>
          <w:highlight w:val="none"/>
        </w:rPr>
        <w:t>接到采购人及其工作人员</w:t>
      </w:r>
      <w:r>
        <w:rPr>
          <w:rFonts w:hint="eastAsia" w:ascii="Times New Roman" w:hAnsi="Times New Roman" w:eastAsia="宋体" w:cs="宋体"/>
          <w:color w:val="000000"/>
          <w:szCs w:val="22"/>
          <w:highlight w:val="none"/>
          <w:lang w:val="en-US" w:eastAsia="zh-CN"/>
        </w:rPr>
        <w:t>通知后</w:t>
      </w:r>
      <w:r>
        <w:rPr>
          <w:rFonts w:hint="eastAsia" w:ascii="Times New Roman" w:hAnsi="Times New Roman" w:eastAsia="宋体" w:cs="宋体"/>
          <w:color w:val="000000"/>
          <w:szCs w:val="22"/>
          <w:highlight w:val="none"/>
        </w:rPr>
        <w:t>第一时间响应，并派专职理赔人员立即赶到现场进行查勘。</w:t>
      </w:r>
    </w:p>
    <w:p w14:paraId="6ABDA080">
      <w:pPr>
        <w:keepNext w:val="0"/>
        <w:keepLines w:val="0"/>
        <w:pageBreakBefore w:val="0"/>
        <w:kinsoku/>
        <w:wordWrap/>
        <w:overflowPunct/>
        <w:topLinePunct w:val="0"/>
        <w:autoSpaceDE/>
        <w:autoSpaceDN/>
        <w:bidi w:val="0"/>
        <w:spacing w:line="360" w:lineRule="auto"/>
        <w:ind w:firstLine="0" w:firstLineChars="0"/>
        <w:textAlignment w:val="baseline"/>
        <w:rPr>
          <w:rFonts w:hint="eastAsia" w:ascii="Times New Roman" w:hAnsi="Times New Roman" w:eastAsia="宋体" w:cs="宋体"/>
          <w:color w:val="000000"/>
          <w:szCs w:val="22"/>
          <w:highlight w:val="none"/>
        </w:rPr>
      </w:pPr>
      <w:r>
        <w:rPr>
          <w:rFonts w:hint="eastAsia" w:cs="宋体"/>
          <w:b/>
          <w:bCs/>
          <w:color w:val="000000"/>
          <w:szCs w:val="22"/>
          <w:highlight w:val="none"/>
          <w:lang w:val="en-US" w:eastAsia="zh-CN"/>
        </w:rPr>
        <w:t>三</w:t>
      </w:r>
      <w:r>
        <w:rPr>
          <w:rFonts w:hint="eastAsia" w:ascii="Times New Roman" w:hAnsi="Times New Roman" w:eastAsia="宋体" w:cs="宋体"/>
          <w:b/>
          <w:bCs/>
          <w:color w:val="000000"/>
          <w:szCs w:val="22"/>
          <w:highlight w:val="none"/>
        </w:rPr>
        <w:t>、房屋安全动态巡查、监测服务要求</w:t>
      </w:r>
    </w:p>
    <w:p w14:paraId="579F74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rPr>
          <w:rFonts w:hint="eastAsia" w:ascii="Times New Roman" w:hAnsi="Times New Roman" w:eastAsia="宋体" w:cs="宋体"/>
          <w:b/>
          <w:bCs/>
          <w:color w:val="000000"/>
          <w:szCs w:val="22"/>
          <w:highlight w:val="none"/>
        </w:rPr>
      </w:pPr>
      <w:r>
        <w:rPr>
          <w:rFonts w:hint="eastAsia" w:ascii="Times New Roman" w:hAnsi="Times New Roman" w:eastAsia="宋体" w:cs="宋体"/>
          <w:b/>
          <w:bCs/>
          <w:color w:val="000000"/>
          <w:szCs w:val="22"/>
          <w:highlight w:val="none"/>
        </w:rPr>
        <w:t>★</w:t>
      </w:r>
      <w:r>
        <w:rPr>
          <w:rFonts w:hint="eastAsia" w:ascii="Times New Roman" w:hAnsi="Times New Roman" w:eastAsia="宋体"/>
          <w:b/>
          <w:bCs/>
          <w:color w:val="000000"/>
          <w:szCs w:val="22"/>
          <w:highlight w:val="none"/>
        </w:rPr>
        <w:t>巡查综合单价最高限价：</w:t>
      </w:r>
      <w:r>
        <w:rPr>
          <w:rFonts w:hint="eastAsia" w:ascii="Times New Roman" w:hAnsi="Times New Roman" w:eastAsia="宋体"/>
          <w:b/>
          <w:bCs/>
          <w:color w:val="000000"/>
          <w:szCs w:val="22"/>
          <w:highlight w:val="none"/>
        </w:rPr>
        <w:t>65</w:t>
      </w:r>
      <w:r>
        <w:rPr>
          <w:rFonts w:hint="eastAsia" w:ascii="Times New Roman" w:hAnsi="Times New Roman" w:eastAsia="宋体"/>
          <w:b/>
          <w:bCs/>
          <w:color w:val="000000"/>
          <w:szCs w:val="22"/>
          <w:highlight w:val="none"/>
        </w:rPr>
        <w:t>元/户/次，报价超过最高限价的作无效标处理。</w:t>
      </w:r>
    </w:p>
    <w:p w14:paraId="46D71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b w:val="0"/>
          <w:bCs w:val="0"/>
          <w:color w:val="000000"/>
          <w:szCs w:val="22"/>
          <w:highlight w:val="none"/>
          <w:lang w:eastAsia="zh-CN"/>
        </w:rPr>
      </w:pPr>
      <w:r>
        <w:rPr>
          <w:rFonts w:hint="eastAsia" w:cs="宋体"/>
          <w:b w:val="0"/>
          <w:bCs w:val="0"/>
          <w:color w:val="000000"/>
          <w:szCs w:val="22"/>
          <w:highlight w:val="none"/>
          <w:lang w:val="en-US" w:eastAsia="zh-CN"/>
        </w:rPr>
        <w:t>对重点关注的约</w:t>
      </w:r>
      <w:r>
        <w:rPr>
          <w:rFonts w:hint="eastAsia" w:ascii="Times New Roman" w:hAnsi="Times New Roman" w:eastAsia="宋体" w:cs="宋体"/>
          <w:b w:val="0"/>
          <w:bCs w:val="0"/>
          <w:color w:val="000000"/>
          <w:szCs w:val="22"/>
          <w:highlight w:val="none"/>
        </w:rPr>
        <w:t>32</w:t>
      </w:r>
      <w:r>
        <w:rPr>
          <w:rFonts w:hint="eastAsia" w:cs="宋体"/>
          <w:b w:val="0"/>
          <w:bCs w:val="0"/>
          <w:color w:val="000000"/>
          <w:szCs w:val="22"/>
          <w:highlight w:val="none"/>
          <w:lang w:val="en-US" w:eastAsia="zh-CN"/>
        </w:rPr>
        <w:t>0</w:t>
      </w:r>
      <w:r>
        <w:rPr>
          <w:rFonts w:hint="eastAsia" w:ascii="Times New Roman" w:hAnsi="Times New Roman" w:eastAsia="宋体" w:cs="宋体"/>
          <w:b w:val="0"/>
          <w:bCs w:val="0"/>
          <w:color w:val="000000"/>
          <w:szCs w:val="22"/>
          <w:highlight w:val="none"/>
        </w:rPr>
        <w:t>0户农村住房及历保建筑</w:t>
      </w:r>
      <w:r>
        <w:rPr>
          <w:rFonts w:hint="eastAsia" w:cs="宋体"/>
          <w:b w:val="0"/>
          <w:bCs w:val="0"/>
          <w:color w:val="000000"/>
          <w:szCs w:val="22"/>
          <w:highlight w:val="none"/>
          <w:lang w:val="en-US" w:eastAsia="zh-CN"/>
        </w:rPr>
        <w:t>根据不同频次</w:t>
      </w:r>
      <w:r>
        <w:rPr>
          <w:rFonts w:hint="eastAsia" w:ascii="Times New Roman" w:hAnsi="Times New Roman" w:eastAsia="宋体" w:cs="宋体"/>
          <w:b w:val="0"/>
          <w:bCs w:val="0"/>
          <w:color w:val="000000"/>
          <w:szCs w:val="22"/>
          <w:highlight w:val="none"/>
        </w:rPr>
        <w:t>进行动态巡查。</w:t>
      </w:r>
      <w:r>
        <w:rPr>
          <w:rFonts w:hint="eastAsia" w:ascii="Times New Roman" w:hAnsi="Times New Roman" w:eastAsia="宋体" w:cs="宋体"/>
          <w:b w:val="0"/>
          <w:bCs w:val="0"/>
          <w:color w:val="000000"/>
          <w:szCs w:val="22"/>
          <w:highlight w:val="none"/>
        </w:rPr>
        <w:t>根据</w:t>
      </w:r>
      <w:r>
        <w:rPr>
          <w:rFonts w:hint="eastAsia" w:ascii="Times New Roman" w:hAnsi="Times New Roman" w:eastAsia="宋体" w:cs="宋体"/>
          <w:b w:val="0"/>
          <w:bCs w:val="0"/>
          <w:color w:val="000000"/>
          <w:szCs w:val="22"/>
          <w:highlight w:val="none"/>
          <w:lang w:eastAsia="zh-CN"/>
        </w:rPr>
        <w:t>巡查结果按照采购人</w:t>
      </w:r>
      <w:r>
        <w:rPr>
          <w:rFonts w:hint="eastAsia" w:ascii="Times New Roman" w:hAnsi="Times New Roman" w:eastAsia="宋体" w:cs="宋体"/>
          <w:b w:val="0"/>
          <w:bCs w:val="0"/>
          <w:color w:val="000000"/>
          <w:szCs w:val="22"/>
          <w:highlight w:val="none"/>
        </w:rPr>
        <w:t>要求</w:t>
      </w:r>
      <w:r>
        <w:rPr>
          <w:rFonts w:hint="eastAsia" w:ascii="Times New Roman" w:hAnsi="Times New Roman" w:eastAsia="宋体" w:cs="宋体"/>
          <w:b w:val="0"/>
          <w:bCs w:val="0"/>
          <w:color w:val="000000"/>
          <w:szCs w:val="22"/>
          <w:highlight w:val="none"/>
          <w:lang w:eastAsia="zh-CN"/>
        </w:rPr>
        <w:t>将</w:t>
      </w:r>
      <w:r>
        <w:rPr>
          <w:rFonts w:hint="eastAsia" w:ascii="Times New Roman" w:hAnsi="Times New Roman" w:eastAsia="宋体" w:cs="宋体"/>
          <w:b w:val="0"/>
          <w:bCs w:val="0"/>
          <w:color w:val="000000"/>
          <w:szCs w:val="22"/>
          <w:highlight w:val="none"/>
        </w:rPr>
        <w:t>巡查房屋录入相关系统</w:t>
      </w:r>
      <w:r>
        <w:rPr>
          <w:rFonts w:hint="eastAsia" w:ascii="Times New Roman" w:hAnsi="Times New Roman" w:eastAsia="宋体" w:cs="宋体"/>
          <w:b w:val="0"/>
          <w:bCs w:val="0"/>
          <w:color w:val="000000"/>
          <w:szCs w:val="22"/>
          <w:highlight w:val="none"/>
          <w:lang w:eastAsia="zh-CN"/>
        </w:rPr>
        <w:t>。</w:t>
      </w:r>
    </w:p>
    <w:p w14:paraId="37430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一）房屋安全动态巡查、监测服务。监测机构根据农村住房的实际情况，采取不同的检查频率，分批次实施农村住房及历保建筑动态巡查。重点查勘农村住房及历保建筑结构情况以及装修破坏情况，同时通过监测系统做好巡检记录工作，建立农村住房及历保建筑使用安全动态监测档案管理制度，实现监测工作信息化管理。</w:t>
      </w:r>
    </w:p>
    <w:p w14:paraId="7DFFE3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（二）临时专项查勘。在极端天气、紧急情况下（台风、洪水或其它可能影响房屋安全的异常情况），根据政府部门的要求对全区存在安全隐患的重点防控农村住房及历保建筑进行临时专项查勘。</w:t>
      </w:r>
    </w:p>
    <w:p w14:paraId="7D4A6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三）短期倒塌风险评估。对全区农村住房及历保建筑进行短期倒塌风险评估。由于房屋处于不断老化过程，为确保不出现人员伤亡情况，不仅要掌握清楚目前的房屋信息，还需要实时补充房屋信息，并不断进行评估总结。评估报告内容包括房屋实际状况、变化情况及相关处理建议，对存在危险变化要进行特别提醒。</w:t>
      </w:r>
    </w:p>
    <w:p w14:paraId="7FD19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（四）定期报告。定期出具月度、</w:t>
      </w:r>
      <w:r>
        <w:rPr>
          <w:rFonts w:hint="eastAsia" w:ascii="Times New Roman" w:hAnsi="Times New Roman" w:eastAsia="宋体" w:cs="宋体"/>
          <w:color w:val="000000"/>
          <w:szCs w:val="22"/>
          <w:highlight w:val="none"/>
          <w:lang w:eastAsia="zh-CN"/>
        </w:rPr>
        <w:t>季度、</w:t>
      </w:r>
      <w:r>
        <w:rPr>
          <w:rFonts w:hint="eastAsia" w:ascii="Times New Roman" w:hAnsi="Times New Roman" w:eastAsia="宋体" w:cs="宋体"/>
          <w:color w:val="000000"/>
          <w:szCs w:val="22"/>
          <w:highlight w:val="none"/>
        </w:rPr>
        <w:t>年度安全动态监测报告，提出处理建议，并对相对严重的危险房屋进行预警判断。</w:t>
      </w:r>
    </w:p>
    <w:p w14:paraId="010055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（五）应急加固维修。当被监测房屋出现紧急情况，经评估需要应急加固并得到镇乡（街道）或区住建局同意后，由第三方专业特种加固维修服务机构提供应急加固维修服务。★</w:t>
      </w:r>
      <w:r>
        <w:rPr>
          <w:rFonts w:hint="eastAsia" w:ascii="Times New Roman" w:hAnsi="Times New Roman" w:eastAsia="宋体" w:cs="宋体"/>
          <w:b/>
          <w:bCs/>
          <w:color w:val="000000"/>
          <w:szCs w:val="22"/>
          <w:highlight w:val="none"/>
          <w:lang w:eastAsia="zh-CN"/>
        </w:rPr>
        <w:t>应急加固维修费每年累计赔偿超过</w:t>
      </w:r>
      <w:r>
        <w:rPr>
          <w:rFonts w:hint="default" w:cs="宋体"/>
          <w:b/>
          <w:bCs/>
          <w:color w:val="000000"/>
          <w:szCs w:val="22"/>
          <w:highlight w:val="none"/>
          <w:lang w:eastAsia="zh-CN"/>
          <w:woUserID w:val="1"/>
        </w:rPr>
        <w:t>10</w:t>
      </w:r>
      <w:r>
        <w:rPr>
          <w:rFonts w:hint="eastAsia" w:ascii="Times New Roman" w:hAnsi="Times New Roman" w:eastAsia="宋体" w:cs="宋体"/>
          <w:b/>
          <w:bCs/>
          <w:color w:val="000000"/>
          <w:szCs w:val="22"/>
          <w:highlight w:val="none"/>
          <w:lang w:val="en-US" w:eastAsia="zh-CN"/>
        </w:rPr>
        <w:t>万元后，采购人支付</w:t>
      </w:r>
      <w:r>
        <w:rPr>
          <w:rFonts w:hint="eastAsia" w:ascii="Times New Roman" w:hAnsi="Times New Roman" w:eastAsia="宋体" w:cs="宋体"/>
          <w:b/>
          <w:bCs/>
          <w:color w:val="000000"/>
          <w:szCs w:val="22"/>
          <w:highlight w:val="none"/>
          <w:lang w:eastAsia="zh-CN"/>
        </w:rPr>
        <w:t>附加</w:t>
      </w:r>
      <w:r>
        <w:rPr>
          <w:rFonts w:hint="eastAsia" w:ascii="Times New Roman" w:hAnsi="Times New Roman" w:eastAsia="宋体" w:cs="宋体"/>
          <w:b/>
          <w:bCs/>
          <w:color w:val="000000"/>
          <w:szCs w:val="22"/>
          <w:highlight w:val="none"/>
        </w:rPr>
        <w:t>应急加固费</w:t>
      </w:r>
      <w:r>
        <w:rPr>
          <w:rFonts w:hint="eastAsia" w:ascii="Times New Roman" w:hAnsi="Times New Roman" w:eastAsia="宋体" w:cs="宋体"/>
          <w:b/>
          <w:bCs/>
          <w:color w:val="000000"/>
          <w:szCs w:val="22"/>
          <w:highlight w:val="none"/>
          <w:lang w:eastAsia="zh-CN"/>
        </w:rPr>
        <w:t>，附加</w:t>
      </w:r>
      <w:r>
        <w:rPr>
          <w:rFonts w:hint="eastAsia" w:ascii="Times New Roman" w:hAnsi="Times New Roman" w:eastAsia="宋体" w:cs="宋体"/>
          <w:b/>
          <w:bCs/>
          <w:color w:val="000000"/>
          <w:szCs w:val="22"/>
          <w:highlight w:val="none"/>
        </w:rPr>
        <w:t>应急加固费</w:t>
      </w:r>
      <w:r>
        <w:rPr>
          <w:rFonts w:hint="eastAsia" w:ascii="Times New Roman" w:hAnsi="Times New Roman" w:eastAsia="宋体" w:cs="宋体"/>
          <w:b/>
          <w:bCs/>
          <w:color w:val="000000"/>
          <w:szCs w:val="22"/>
          <w:highlight w:val="none"/>
          <w:lang w:eastAsia="zh-CN"/>
        </w:rPr>
        <w:t>是指每年度应急加固维修费超过赔偿限额</w:t>
      </w:r>
      <w:r>
        <w:rPr>
          <w:rFonts w:hint="default" w:cs="宋体"/>
          <w:b/>
          <w:bCs/>
          <w:color w:val="000000"/>
          <w:szCs w:val="22"/>
          <w:highlight w:val="none"/>
          <w:lang w:eastAsia="zh-CN"/>
          <w:woUserID w:val="1"/>
        </w:rPr>
        <w:t>10</w:t>
      </w:r>
      <w:r>
        <w:rPr>
          <w:rFonts w:hint="eastAsia" w:ascii="Times New Roman" w:hAnsi="Times New Roman" w:eastAsia="宋体" w:cs="宋体"/>
          <w:b/>
          <w:bCs/>
          <w:color w:val="000000"/>
          <w:szCs w:val="22"/>
          <w:highlight w:val="none"/>
          <w:lang w:val="en-US" w:eastAsia="zh-CN"/>
        </w:rPr>
        <w:t>万元后的金额，</w:t>
      </w:r>
      <w:r>
        <w:rPr>
          <w:rFonts w:hint="eastAsia" w:ascii="Times New Roman" w:hAnsi="Times New Roman" w:eastAsia="宋体" w:cs="宋体"/>
          <w:b/>
          <w:bCs/>
          <w:color w:val="000000"/>
          <w:szCs w:val="22"/>
          <w:highlight w:val="none"/>
          <w:lang w:eastAsia="zh-CN"/>
        </w:rPr>
        <w:t>附加</w:t>
      </w:r>
      <w:r>
        <w:rPr>
          <w:rFonts w:hint="eastAsia" w:ascii="Times New Roman" w:hAnsi="Times New Roman" w:eastAsia="宋体" w:cs="宋体"/>
          <w:b/>
          <w:bCs/>
          <w:color w:val="000000"/>
          <w:szCs w:val="22"/>
          <w:highlight w:val="none"/>
        </w:rPr>
        <w:t>应急加固费</w:t>
      </w:r>
      <w:r>
        <w:rPr>
          <w:rFonts w:hint="eastAsia" w:ascii="Times New Roman" w:hAnsi="Times New Roman" w:eastAsia="宋体" w:cs="宋体"/>
          <w:b/>
          <w:bCs/>
          <w:color w:val="000000"/>
          <w:szCs w:val="22"/>
          <w:highlight w:val="none"/>
          <w:lang w:eastAsia="zh-CN"/>
        </w:rPr>
        <w:t>最高限价</w:t>
      </w:r>
      <w:r>
        <w:rPr>
          <w:rFonts w:hint="eastAsia" w:ascii="Times New Roman" w:hAnsi="Times New Roman" w:eastAsia="宋体" w:cs="宋体"/>
          <w:b/>
          <w:bCs/>
          <w:color w:val="000000"/>
          <w:szCs w:val="22"/>
          <w:highlight w:val="none"/>
        </w:rPr>
        <w:t>为</w:t>
      </w:r>
      <w:r>
        <w:rPr>
          <w:rFonts w:hint="eastAsia" w:ascii="Times New Roman" w:hAnsi="Times New Roman" w:eastAsia="宋体" w:cs="宋体"/>
          <w:b/>
          <w:bCs/>
          <w:color w:val="000000"/>
          <w:szCs w:val="22"/>
          <w:highlight w:val="none"/>
          <w:lang w:val="en-US" w:eastAsia="zh-CN"/>
        </w:rPr>
        <w:t>1.5</w:t>
      </w:r>
      <w:r>
        <w:rPr>
          <w:rFonts w:hint="eastAsia" w:ascii="Times New Roman" w:hAnsi="Times New Roman" w:eastAsia="宋体" w:cs="宋体"/>
          <w:b/>
          <w:bCs/>
          <w:color w:val="000000"/>
          <w:szCs w:val="22"/>
          <w:highlight w:val="none"/>
        </w:rPr>
        <w:t>万元/年</w:t>
      </w:r>
      <w:r>
        <w:rPr>
          <w:rFonts w:hint="eastAsia" w:ascii="Times New Roman" w:hAnsi="Times New Roman" w:eastAsia="宋体" w:cs="宋体"/>
          <w:b/>
          <w:bCs/>
          <w:color w:val="000000"/>
          <w:szCs w:val="22"/>
          <w:highlight w:val="none"/>
          <w:lang w:eastAsia="zh-CN"/>
        </w:rPr>
        <w:t>，每年度最终应急加固维修费及附加</w:t>
      </w:r>
      <w:r>
        <w:rPr>
          <w:rFonts w:hint="eastAsia" w:ascii="Times New Roman" w:hAnsi="Times New Roman" w:eastAsia="宋体" w:cs="宋体"/>
          <w:b/>
          <w:bCs/>
          <w:color w:val="000000"/>
          <w:szCs w:val="22"/>
          <w:highlight w:val="none"/>
        </w:rPr>
        <w:t>应急加固费</w:t>
      </w:r>
      <w:r>
        <w:rPr>
          <w:rFonts w:hint="eastAsia" w:ascii="Times New Roman" w:hAnsi="Times New Roman" w:eastAsia="宋体" w:cs="宋体"/>
          <w:b/>
          <w:bCs/>
          <w:color w:val="000000"/>
          <w:szCs w:val="22"/>
          <w:highlight w:val="none"/>
          <w:lang w:eastAsia="zh-CN"/>
        </w:rPr>
        <w:t>以审计报告为准</w:t>
      </w:r>
      <w:r>
        <w:rPr>
          <w:rFonts w:hint="eastAsia" w:ascii="Times New Roman" w:hAnsi="Times New Roman" w:eastAsia="宋体" w:cs="宋体"/>
          <w:b/>
          <w:bCs/>
          <w:color w:val="000000"/>
          <w:szCs w:val="22"/>
          <w:highlight w:val="none"/>
        </w:rPr>
        <w:t>。</w:t>
      </w:r>
    </w:p>
    <w:p w14:paraId="649F2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（六）安全鉴定报告。根据镇乡（街道）或区住建局要求，对农村住房及历保建筑出具定性的房屋安全鉴定报告。</w:t>
      </w:r>
    </w:p>
    <w:p w14:paraId="40CF6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Times New Roman" w:hAnsi="Times New Roman" w:eastAsia="宋体" w:cs="宋体"/>
          <w:color w:val="000000"/>
          <w:szCs w:val="22"/>
          <w:highlight w:val="none"/>
        </w:rPr>
      </w:pPr>
      <w:r>
        <w:rPr>
          <w:rFonts w:hint="eastAsia" w:ascii="Times New Roman" w:hAnsi="Times New Roman" w:eastAsia="宋体" w:cs="宋体"/>
          <w:color w:val="000000"/>
          <w:szCs w:val="22"/>
          <w:highlight w:val="none"/>
        </w:rPr>
        <w:t>（七）宣传和培训。每年不少于一次的专业房屋安全知识培训以及安全知识的宣传。</w:t>
      </w:r>
    </w:p>
    <w:p w14:paraId="7609716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highlight w:val="none"/>
        </w:rPr>
      </w:pPr>
      <w:r>
        <w:rPr>
          <w:rFonts w:hint="eastAsia" w:ascii="Times New Roman" w:hAnsi="Times New Roman" w:eastAsia="宋体" w:cs="宋体"/>
          <w:b w:val="0"/>
          <w:bCs w:val="0"/>
          <w:color w:val="000000"/>
          <w:szCs w:val="22"/>
          <w:highlight w:val="none"/>
        </w:rPr>
        <w:t>★</w:t>
      </w:r>
      <w:r>
        <w:rPr>
          <w:rFonts w:hint="eastAsia" w:ascii="Times New Roman" w:hAnsi="Times New Roman" w:eastAsia="宋体" w:cs="宋体"/>
          <w:b w:val="0"/>
          <w:bCs w:val="0"/>
          <w:color w:val="000000"/>
          <w:szCs w:val="22"/>
          <w:highlight w:val="none"/>
          <w:lang w:eastAsia="zh-CN"/>
        </w:rPr>
        <w:t>（八）</w:t>
      </w:r>
      <w:r>
        <w:rPr>
          <w:rFonts w:hint="eastAsia" w:ascii="Times New Roman" w:hAnsi="Times New Roman" w:eastAsia="宋体" w:cs="宋体"/>
          <w:b w:val="0"/>
          <w:bCs w:val="0"/>
          <w:color w:val="000000"/>
          <w:szCs w:val="22"/>
          <w:highlight w:val="none"/>
        </w:rPr>
        <w:t>每个保险</w:t>
      </w:r>
      <w:r>
        <w:rPr>
          <w:rFonts w:hint="eastAsia" w:ascii="Times New Roman" w:hAnsi="Times New Roman" w:eastAsia="宋体" w:cs="宋体"/>
          <w:b w:val="0"/>
          <w:bCs w:val="0"/>
          <w:color w:val="000000"/>
          <w:kern w:val="0"/>
          <w:szCs w:val="21"/>
          <w:highlight w:val="none"/>
        </w:rPr>
        <w:t>年度内因监测服务工作量调整导致实际监测服务费用与合同约定金额存在差异时，监测服务工作量超出此范围，则该年度监测服务费不做调整；监测服务工作量</w:t>
      </w:r>
      <w:r>
        <w:rPr>
          <w:rFonts w:hint="eastAsia" w:ascii="Times New Roman" w:hAnsi="Times New Roman" w:eastAsia="宋体" w:cs="宋体"/>
          <w:b w:val="0"/>
          <w:bCs w:val="0"/>
          <w:color w:val="000000"/>
          <w:kern w:val="0"/>
          <w:szCs w:val="21"/>
          <w:highlight w:val="none"/>
          <w:lang w:eastAsia="zh-CN"/>
        </w:rPr>
        <w:t>少于此范围，</w:t>
      </w:r>
      <w:r>
        <w:rPr>
          <w:rFonts w:hint="eastAsia" w:ascii="Times New Roman" w:hAnsi="Times New Roman" w:eastAsia="宋体" w:cs="宋体"/>
          <w:b w:val="0"/>
          <w:bCs w:val="0"/>
          <w:color w:val="000000"/>
          <w:kern w:val="0"/>
          <w:szCs w:val="21"/>
          <w:highlight w:val="none"/>
        </w:rPr>
        <w:t>按实际监测服务工作量</w:t>
      </w:r>
      <w:r>
        <w:rPr>
          <w:rFonts w:hint="eastAsia" w:ascii="Times New Roman" w:hAnsi="Times New Roman" w:eastAsia="宋体" w:cs="宋体"/>
          <w:b w:val="0"/>
          <w:bCs w:val="0"/>
          <w:color w:val="000000"/>
          <w:kern w:val="0"/>
          <w:szCs w:val="21"/>
          <w:highlight w:val="none"/>
          <w:lang w:eastAsia="zh-CN"/>
        </w:rPr>
        <w:t>进行计算实际检测服务费</w:t>
      </w:r>
      <w:r>
        <w:rPr>
          <w:rFonts w:hint="eastAsia" w:ascii="Times New Roman" w:hAnsi="Times New Roman" w:eastAsia="宋体" w:cs="宋体"/>
          <w:b w:val="0"/>
          <w:bCs w:val="0"/>
          <w:color w:val="000000"/>
          <w:kern w:val="0"/>
          <w:szCs w:val="21"/>
          <w:highlight w:val="none"/>
          <w:lang w:val="en-US" w:eastAsia="zh-CN"/>
        </w:rPr>
        <w:t>,</w:t>
      </w:r>
      <w:r>
        <w:rPr>
          <w:rFonts w:hint="eastAsia" w:ascii="Times New Roman" w:hAnsi="Times New Roman" w:eastAsia="宋体" w:cs="宋体"/>
          <w:b w:val="0"/>
          <w:bCs w:val="0"/>
          <w:color w:val="000000"/>
          <w:szCs w:val="22"/>
          <w:highlight w:val="none"/>
        </w:rPr>
        <w:t>最终的服务工作量及监测服务费用以审计出具的审计报告为准</w:t>
      </w:r>
      <w:r>
        <w:rPr>
          <w:rFonts w:hint="eastAsia" w:ascii="Times New Roman" w:hAnsi="Times New Roman" w:eastAsia="宋体" w:cs="宋体"/>
          <w:b w:val="0"/>
          <w:bCs w:val="0"/>
          <w:color w:val="000000"/>
          <w:kern w:val="0"/>
          <w:szCs w:val="21"/>
          <w:highlight w:val="none"/>
          <w:lang w:eastAsia="zh-CN"/>
        </w:rPr>
        <w:t>。</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kzZjg5ZDRmOWY3MWU1ZTdlMGFkMWNkNTNkNGUifQ=="/>
  </w:docVars>
  <w:rsids>
    <w:rsidRoot w:val="38310532"/>
    <w:rsid w:val="38310532"/>
    <w:rsid w:val="434B60AA"/>
    <w:rsid w:val="5CFFD601"/>
    <w:rsid w:val="F5FADE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380" w:lineRule="exact"/>
      <w:ind w:firstLine="480"/>
    </w:pPr>
    <w:rPr>
      <w:rFonts w:eastAsia="方正书宋简体"/>
      <w:sz w:val="24"/>
    </w:rPr>
  </w:style>
  <w:style w:type="paragraph" w:styleId="4">
    <w:name w:val="Normal Indent"/>
    <w:basedOn w:val="1"/>
    <w:qFormat/>
    <w:uiPriority w:val="0"/>
    <w:pPr>
      <w:adjustRightInd w:val="0"/>
      <w:spacing w:line="315" w:lineRule="atLeast"/>
      <w:ind w:firstLine="420"/>
      <w:jc w:val="left"/>
      <w:textAlignment w:val="baseline"/>
    </w:pPr>
    <w:rPr>
      <w:rFonts w:ascii="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1868</Words>
  <Characters>1944</Characters>
  <Lines>0</Lines>
  <Paragraphs>0</Paragraphs>
  <TotalTime>5</TotalTime>
  <ScaleCrop>false</ScaleCrop>
  <LinksUpToDate>false</LinksUpToDate>
  <CharactersWithSpaces>1944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2025-07-07T02:27:00Z</dcterms:created>
  <dc:creator>峠</dc:creator>
  <cp:lastModifiedBy>UOS</cp:lastModifiedBy>
  <dcterms:modified xsi:type="dcterms:W3CDTF">2025-07-09T15:48:08Z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0A33E45A3BC348058A009210C04C1952_11</vt:lpwstr>
  </property>
  <property fmtid="{D5CDD505-2E9C-101B-9397-08002B2CF9AE}" pid="4" name="KSOTemplateDocerSaveRecord">
    <vt:lpwstr>eyJoZGlkIjoiYmRiYzhiOTQxNDhhOGViM2QyM2ZhMjE2NGY2YzQ2OGUiLCJ1c2VySWQiOiIxMDU0MzU4NTY0In0=</vt:lpwstr>
  </property>
</Properties>
</file>