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B688CD9">
      <w:pPr>
        <w:spacing w:before="120" w:beforeLines="50"/>
        <w:jc w:val="center"/>
        <w:rPr>
          <w:rFonts w:hint="eastAsia" w:ascii="宋体" w:hAnsi="宋体"/>
          <w:b/>
          <w:color w:val="auto"/>
          <w:spacing w:val="-6"/>
          <w:sz w:val="44"/>
          <w:szCs w:val="44"/>
          <w:highlight w:val="none"/>
        </w:rPr>
      </w:pPr>
    </w:p>
    <w:p w14:paraId="7D5288DC">
      <w:pPr>
        <w:spacing w:before="120" w:beforeLines="50"/>
        <w:jc w:val="center"/>
        <w:rPr>
          <w:rFonts w:hint="eastAsia" w:ascii="宋体" w:hAnsi="宋体"/>
          <w:b/>
          <w:color w:val="auto"/>
          <w:spacing w:val="-6"/>
          <w:sz w:val="40"/>
          <w:szCs w:val="40"/>
          <w:highlight w:val="none"/>
          <w:lang w:eastAsia="zh-CN"/>
        </w:rPr>
      </w:pPr>
      <w:r>
        <w:rPr>
          <w:rFonts w:hint="eastAsia" w:ascii="宋体" w:hAnsi="宋体"/>
          <w:b/>
          <w:color w:val="auto"/>
          <w:spacing w:val="-6"/>
          <w:sz w:val="40"/>
          <w:szCs w:val="40"/>
          <w:highlight w:val="none"/>
          <w:lang w:eastAsia="zh-CN"/>
        </w:rPr>
        <w:t>宁波市奉化区人民医院</w:t>
      </w:r>
    </w:p>
    <w:p w14:paraId="5983FA7E">
      <w:pPr>
        <w:spacing w:before="120" w:beforeLines="50"/>
        <w:jc w:val="center"/>
        <w:rPr>
          <w:rFonts w:hint="eastAsia" w:ascii="宋体" w:hAnsi="宋体" w:eastAsia="宋体"/>
          <w:b/>
          <w:color w:val="auto"/>
          <w:spacing w:val="-6"/>
          <w:sz w:val="40"/>
          <w:szCs w:val="40"/>
          <w:highlight w:val="none"/>
          <w:lang w:eastAsia="zh-CN"/>
        </w:rPr>
      </w:pPr>
      <w:r>
        <w:rPr>
          <w:rFonts w:hint="eastAsia" w:ascii="宋体" w:hAnsi="宋体"/>
          <w:b/>
          <w:color w:val="auto"/>
          <w:spacing w:val="-6"/>
          <w:sz w:val="40"/>
          <w:szCs w:val="40"/>
          <w:highlight w:val="none"/>
          <w:lang w:eastAsia="zh-CN"/>
        </w:rPr>
        <w:t>（宁波市奉化区人民医院医共体总院）</w:t>
      </w:r>
    </w:p>
    <w:p w14:paraId="3726E32B">
      <w:pPr>
        <w:spacing w:before="120" w:beforeLines="50"/>
        <w:jc w:val="center"/>
        <w:rPr>
          <w:rFonts w:hint="eastAsia" w:ascii="宋体" w:hAnsi="宋体"/>
          <w:b/>
          <w:color w:val="auto"/>
          <w:spacing w:val="-6"/>
          <w:sz w:val="40"/>
          <w:szCs w:val="40"/>
          <w:highlight w:val="none"/>
        </w:rPr>
      </w:pPr>
      <w:r>
        <w:rPr>
          <w:rFonts w:hint="eastAsia" w:ascii="宋体" w:hAnsi="宋体"/>
          <w:b/>
          <w:color w:val="auto"/>
          <w:spacing w:val="-6"/>
          <w:sz w:val="40"/>
          <w:szCs w:val="40"/>
          <w:highlight w:val="none"/>
          <w:lang w:eastAsia="zh-CN"/>
        </w:rPr>
        <w:t>中药配方颗粒配送供应商遴选项目</w:t>
      </w:r>
    </w:p>
    <w:p w14:paraId="5F254704">
      <w:pPr>
        <w:spacing w:before="120" w:beforeLines="50"/>
        <w:jc w:val="center"/>
        <w:rPr>
          <w:rFonts w:hint="eastAsia" w:ascii="宋体" w:hAnsi="宋体"/>
          <w:b/>
          <w:color w:val="auto"/>
          <w:sz w:val="44"/>
          <w:szCs w:val="44"/>
          <w:highlight w:val="none"/>
        </w:rPr>
      </w:pPr>
    </w:p>
    <w:p w14:paraId="64622CD6">
      <w:pPr>
        <w:spacing w:before="120" w:beforeLines="50"/>
        <w:jc w:val="center"/>
        <w:rPr>
          <w:rFonts w:ascii="宋体" w:hAnsi="宋体"/>
          <w:b/>
          <w:color w:val="auto"/>
          <w:sz w:val="48"/>
          <w:szCs w:val="48"/>
          <w:highlight w:val="none"/>
        </w:rPr>
      </w:pPr>
    </w:p>
    <w:p w14:paraId="0E2970A9">
      <w:pPr>
        <w:spacing w:before="120" w:beforeLines="50"/>
        <w:jc w:val="center"/>
        <w:rPr>
          <w:rFonts w:hint="eastAsia" w:ascii="宋体" w:hAnsi="宋体"/>
          <w:color w:val="auto"/>
          <w:sz w:val="52"/>
          <w:szCs w:val="52"/>
          <w:highlight w:val="none"/>
        </w:rPr>
      </w:pPr>
      <w:r>
        <w:rPr>
          <w:rFonts w:hint="eastAsia" w:ascii="宋体" w:hAnsi="宋体"/>
          <w:color w:val="auto"/>
          <w:sz w:val="52"/>
          <w:szCs w:val="52"/>
          <w:highlight w:val="none"/>
        </w:rPr>
        <w:t>招标文件</w:t>
      </w:r>
    </w:p>
    <w:p w14:paraId="41BC730E">
      <w:pPr>
        <w:snapToGrid w:val="0"/>
        <w:spacing w:before="120" w:beforeLines="50" w:line="360" w:lineRule="auto"/>
        <w:rPr>
          <w:rFonts w:hint="eastAsia" w:ascii="宋体" w:hAnsi="宋体"/>
          <w:color w:val="auto"/>
          <w:sz w:val="30"/>
          <w:szCs w:val="72"/>
          <w:highlight w:val="none"/>
        </w:rPr>
      </w:pPr>
    </w:p>
    <w:p w14:paraId="31E974E5">
      <w:pPr>
        <w:snapToGrid w:val="0"/>
        <w:spacing w:before="120" w:beforeLines="50" w:line="360" w:lineRule="auto"/>
        <w:rPr>
          <w:rFonts w:hint="eastAsia" w:ascii="宋体" w:hAnsi="宋体"/>
          <w:color w:val="auto"/>
          <w:sz w:val="30"/>
          <w:szCs w:val="72"/>
          <w:highlight w:val="none"/>
        </w:rPr>
      </w:pPr>
    </w:p>
    <w:p w14:paraId="3FE7B8F0">
      <w:pPr>
        <w:snapToGrid w:val="0"/>
        <w:spacing w:before="120" w:beforeLines="50" w:line="360" w:lineRule="auto"/>
        <w:rPr>
          <w:rFonts w:hint="eastAsia"/>
          <w:color w:val="auto"/>
          <w:highlight w:val="none"/>
        </w:rPr>
      </w:pPr>
    </w:p>
    <w:p w14:paraId="084F99F7">
      <w:pPr>
        <w:snapToGrid w:val="0"/>
        <w:spacing w:before="120" w:beforeLines="50" w:line="360" w:lineRule="auto"/>
        <w:rPr>
          <w:rFonts w:hint="eastAsia" w:ascii="宋体" w:hAnsi="宋体"/>
          <w:color w:val="auto"/>
          <w:sz w:val="30"/>
          <w:szCs w:val="72"/>
          <w:highlight w:val="none"/>
        </w:rPr>
      </w:pPr>
    </w:p>
    <w:p w14:paraId="4309D956">
      <w:pPr>
        <w:spacing w:before="120" w:beforeLines="50" w:line="360" w:lineRule="auto"/>
        <w:rPr>
          <w:rFonts w:hint="eastAsia" w:ascii="宋体" w:hAnsi="宋体" w:eastAsia="宋体"/>
          <w:b/>
          <w:color w:val="auto"/>
          <w:sz w:val="30"/>
          <w:szCs w:val="48"/>
          <w:highlight w:val="none"/>
          <w:lang w:eastAsia="zh-CN"/>
        </w:rPr>
      </w:pPr>
      <w:r>
        <w:rPr>
          <w:rFonts w:hint="eastAsia" w:ascii="宋体" w:hAnsi="宋体"/>
          <w:b/>
          <w:color w:val="auto"/>
          <w:sz w:val="30"/>
          <w:szCs w:val="48"/>
          <w:highlight w:val="none"/>
        </w:rPr>
        <w:t>项目编号：</w:t>
      </w:r>
      <w:r>
        <w:rPr>
          <w:rFonts w:hint="eastAsia" w:ascii="宋体" w:hAnsi="宋体"/>
          <w:b/>
          <w:color w:val="auto"/>
          <w:sz w:val="30"/>
          <w:szCs w:val="48"/>
          <w:highlight w:val="none"/>
          <w:lang w:eastAsia="zh-CN"/>
        </w:rPr>
        <w:t>CBNB-20256474</w:t>
      </w:r>
    </w:p>
    <w:p w14:paraId="69C9DD64">
      <w:pPr>
        <w:spacing w:before="120" w:beforeLines="50" w:line="360" w:lineRule="auto"/>
        <w:rPr>
          <w:rFonts w:hint="eastAsia" w:ascii="宋体" w:hAnsi="宋体" w:eastAsia="宋体"/>
          <w:b/>
          <w:color w:val="auto"/>
          <w:sz w:val="30"/>
          <w:szCs w:val="48"/>
          <w:highlight w:val="none"/>
          <w:lang w:eastAsia="zh-CN"/>
        </w:rPr>
      </w:pPr>
      <w:r>
        <w:rPr>
          <w:rFonts w:hint="eastAsia" w:ascii="宋体" w:hAnsi="宋体"/>
          <w:b/>
          <w:color w:val="auto"/>
          <w:sz w:val="30"/>
          <w:szCs w:val="48"/>
          <w:highlight w:val="none"/>
        </w:rPr>
        <w:t>项目名称：</w:t>
      </w:r>
      <w:r>
        <w:rPr>
          <w:rFonts w:hint="eastAsia" w:ascii="宋体" w:hAnsi="宋体" w:eastAsia="宋体" w:cs="Times New Roman"/>
          <w:b/>
          <w:color w:val="auto"/>
          <w:sz w:val="30"/>
          <w:szCs w:val="48"/>
          <w:highlight w:val="none"/>
          <w:lang w:eastAsia="zh-CN"/>
        </w:rPr>
        <w:t>中药配方颗粒配送供应商遴选项目</w:t>
      </w:r>
    </w:p>
    <w:p w14:paraId="752AEF35">
      <w:pPr>
        <w:spacing w:before="120" w:beforeLines="50" w:line="360" w:lineRule="auto"/>
        <w:rPr>
          <w:rFonts w:hint="eastAsia" w:ascii="宋体" w:hAnsi="宋体" w:eastAsia="宋体"/>
          <w:b/>
          <w:color w:val="auto"/>
          <w:sz w:val="30"/>
          <w:szCs w:val="48"/>
          <w:highlight w:val="none"/>
          <w:lang w:eastAsia="zh-CN"/>
        </w:rPr>
      </w:pPr>
      <w:r>
        <w:rPr>
          <w:rFonts w:hint="eastAsia" w:ascii="宋体" w:hAnsi="宋体"/>
          <w:b/>
          <w:color w:val="auto"/>
          <w:sz w:val="30"/>
          <w:szCs w:val="48"/>
          <w:highlight w:val="none"/>
        </w:rPr>
        <w:t>招标单位：</w:t>
      </w:r>
      <w:r>
        <w:rPr>
          <w:rFonts w:hint="eastAsia" w:ascii="宋体" w:hAnsi="宋体"/>
          <w:b/>
          <w:color w:val="auto"/>
          <w:sz w:val="30"/>
          <w:szCs w:val="48"/>
          <w:highlight w:val="none"/>
          <w:lang w:eastAsia="zh-CN"/>
        </w:rPr>
        <w:t>宁波市奉化区人民医院（宁波市奉化区人民医院医共体总院）</w:t>
      </w:r>
    </w:p>
    <w:p w14:paraId="27C7837E">
      <w:pPr>
        <w:spacing w:before="120" w:beforeLines="50" w:line="360" w:lineRule="auto"/>
        <w:rPr>
          <w:rFonts w:hint="eastAsia" w:ascii="宋体" w:hAnsi="宋体"/>
          <w:b/>
          <w:color w:val="auto"/>
          <w:sz w:val="30"/>
          <w:szCs w:val="48"/>
          <w:highlight w:val="none"/>
        </w:rPr>
      </w:pPr>
      <w:r>
        <w:rPr>
          <w:rFonts w:hint="eastAsia" w:ascii="宋体" w:hAnsi="宋体"/>
          <w:b/>
          <w:color w:val="auto"/>
          <w:sz w:val="30"/>
          <w:szCs w:val="48"/>
          <w:highlight w:val="none"/>
        </w:rPr>
        <w:t>代理机构：宁波中基国际招标有限公司</w:t>
      </w:r>
    </w:p>
    <w:p w14:paraId="519EEC6F">
      <w:pPr>
        <w:spacing w:before="120" w:beforeLines="50" w:line="360" w:lineRule="auto"/>
        <w:rPr>
          <w:rFonts w:hint="eastAsia" w:ascii="宋体" w:hAnsi="宋体"/>
          <w:b/>
          <w:color w:val="auto"/>
          <w:sz w:val="30"/>
          <w:szCs w:val="48"/>
          <w:highlight w:val="none"/>
        </w:rPr>
      </w:pPr>
    </w:p>
    <w:p w14:paraId="771AAF3F">
      <w:pPr>
        <w:snapToGrid w:val="0"/>
        <w:spacing w:before="120" w:beforeLines="50" w:line="360" w:lineRule="auto"/>
        <w:rPr>
          <w:rFonts w:ascii="宋体" w:hAnsi="宋体"/>
          <w:b/>
          <w:bCs/>
          <w:color w:val="auto"/>
          <w:w w:val="95"/>
          <w:sz w:val="30"/>
          <w:szCs w:val="30"/>
          <w:highlight w:val="none"/>
        </w:rPr>
      </w:pPr>
    </w:p>
    <w:p w14:paraId="1DBBD2EC">
      <w:pPr>
        <w:snapToGrid w:val="0"/>
        <w:spacing w:before="120" w:beforeLines="50" w:line="360" w:lineRule="auto"/>
        <w:ind w:left="2940" w:firstLine="420"/>
        <w:rPr>
          <w:rFonts w:hint="eastAsia" w:ascii="宋体" w:hAnsi="宋体"/>
          <w:b/>
          <w:bCs/>
          <w:color w:val="auto"/>
          <w:w w:val="95"/>
          <w:sz w:val="30"/>
          <w:szCs w:val="30"/>
          <w:highlight w:val="none"/>
        </w:rPr>
      </w:pPr>
      <w:r>
        <w:rPr>
          <w:rFonts w:hint="eastAsia" w:ascii="宋体" w:hAnsi="宋体"/>
          <w:b/>
          <w:bCs/>
          <w:color w:val="auto"/>
          <w:w w:val="95"/>
          <w:sz w:val="30"/>
          <w:szCs w:val="30"/>
          <w:highlight w:val="none"/>
        </w:rPr>
        <w:t>202</w:t>
      </w:r>
      <w:r>
        <w:rPr>
          <w:rFonts w:hint="eastAsia" w:ascii="宋体" w:hAnsi="宋体"/>
          <w:b/>
          <w:bCs/>
          <w:color w:val="auto"/>
          <w:w w:val="95"/>
          <w:sz w:val="30"/>
          <w:szCs w:val="30"/>
          <w:highlight w:val="none"/>
          <w:lang w:val="en-US" w:eastAsia="zh-CN"/>
        </w:rPr>
        <w:t>5</w:t>
      </w:r>
      <w:r>
        <w:rPr>
          <w:rFonts w:hint="eastAsia" w:ascii="宋体" w:hAnsi="宋体"/>
          <w:b/>
          <w:bCs/>
          <w:color w:val="auto"/>
          <w:w w:val="95"/>
          <w:sz w:val="30"/>
          <w:szCs w:val="30"/>
          <w:highlight w:val="none"/>
        </w:rPr>
        <w:t>年</w:t>
      </w:r>
      <w:r>
        <w:rPr>
          <w:rFonts w:hint="eastAsia" w:ascii="宋体" w:hAnsi="宋体"/>
          <w:b/>
          <w:bCs/>
          <w:color w:val="auto"/>
          <w:w w:val="95"/>
          <w:sz w:val="30"/>
          <w:szCs w:val="30"/>
          <w:highlight w:val="none"/>
          <w:lang w:val="en-US" w:eastAsia="zh-CN"/>
        </w:rPr>
        <w:t>7</w:t>
      </w:r>
      <w:r>
        <w:rPr>
          <w:rFonts w:hint="eastAsia" w:ascii="宋体" w:hAnsi="宋体"/>
          <w:b/>
          <w:bCs/>
          <w:color w:val="auto"/>
          <w:w w:val="95"/>
          <w:sz w:val="30"/>
          <w:szCs w:val="30"/>
          <w:highlight w:val="none"/>
        </w:rPr>
        <w:t>月</w:t>
      </w:r>
    </w:p>
    <w:p w14:paraId="7781E3BA">
      <w:pPr>
        <w:pStyle w:val="31"/>
        <w:ind w:firstLine="558"/>
        <w:rPr>
          <w:rFonts w:hint="eastAsia" w:hAnsi="宋体"/>
          <w:b/>
          <w:bCs/>
          <w:color w:val="auto"/>
          <w:w w:val="95"/>
          <w:sz w:val="30"/>
          <w:szCs w:val="30"/>
          <w:highlight w:val="none"/>
          <w:lang w:val="en-US" w:eastAsia="zh-CN"/>
        </w:rPr>
      </w:pPr>
    </w:p>
    <w:p w14:paraId="2AE6430E">
      <w:pPr>
        <w:pStyle w:val="31"/>
        <w:ind w:firstLine="558"/>
        <w:rPr>
          <w:rFonts w:hAnsi="宋体"/>
          <w:b/>
          <w:bCs/>
          <w:color w:val="auto"/>
          <w:w w:val="95"/>
          <w:sz w:val="30"/>
          <w:szCs w:val="30"/>
          <w:highlight w:val="none"/>
          <w:lang w:val="en-US" w:eastAsia="zh-CN"/>
        </w:rPr>
        <w:sectPr>
          <w:headerReference r:id="rId3" w:type="first"/>
          <w:footerReference r:id="rId4" w:type="default"/>
          <w:pgSz w:w="11906" w:h="16838"/>
          <w:pgMar w:top="1474" w:right="1797" w:bottom="1247" w:left="1797" w:header="851" w:footer="851" w:gutter="0"/>
          <w:pgNumType w:start="1"/>
          <w:cols w:space="720" w:num="1"/>
          <w:titlePg/>
          <w:rtlGutter w:val="1"/>
          <w:docGrid w:linePitch="312" w:charSpace="0"/>
        </w:sectPr>
      </w:pPr>
    </w:p>
    <w:p w14:paraId="362B7828">
      <w:pPr>
        <w:snapToGrid w:val="0"/>
        <w:spacing w:before="120" w:beforeLines="50"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目    录</w:t>
      </w:r>
    </w:p>
    <w:p w14:paraId="07A3FD4C">
      <w:pPr>
        <w:tabs>
          <w:tab w:val="left" w:pos="855"/>
        </w:tabs>
        <w:rPr>
          <w:rFonts w:hint="eastAsia" w:ascii="宋体" w:hAnsi="宋体" w:cs="宋体"/>
          <w:color w:val="auto"/>
          <w:highlight w:val="none"/>
        </w:rPr>
      </w:pPr>
    </w:p>
    <w:p w14:paraId="6F246433">
      <w:pPr>
        <w:spacing w:line="480" w:lineRule="auto"/>
        <w:rPr>
          <w:rFonts w:hint="eastAsia" w:ascii="宋体" w:hAnsi="宋体" w:cs="宋体"/>
          <w:color w:val="auto"/>
          <w:sz w:val="24"/>
          <w:highlight w:val="none"/>
        </w:rPr>
      </w:pPr>
    </w:p>
    <w:p w14:paraId="2B6B078F">
      <w:pPr>
        <w:pStyle w:val="24"/>
        <w:tabs>
          <w:tab w:val="right" w:leader="dot" w:pos="8312"/>
        </w:tabs>
        <w:spacing w:before="120" w:after="120" w:line="360" w:lineRule="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TOC \o "1-3" \h \z \u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HYPERLINK \l _Toc17226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第一章  招标公告</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_Toc17226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1</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14:paraId="0C3290B6">
      <w:pPr>
        <w:pStyle w:val="24"/>
        <w:tabs>
          <w:tab w:val="right" w:leader="dot" w:pos="8312"/>
        </w:tabs>
        <w:spacing w:before="120" w:after="120" w:line="360" w:lineRule="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HYPERLINK \l _Toc28024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第二章  招标需求</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_Toc28024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4</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14:paraId="697E3069">
      <w:pPr>
        <w:pStyle w:val="24"/>
        <w:tabs>
          <w:tab w:val="right" w:leader="dot" w:pos="8312"/>
        </w:tabs>
        <w:spacing w:before="120" w:after="120" w:line="360" w:lineRule="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HYPERLINK \l _Toc2095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第三章  投标人须知</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_Toc2095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7</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14:paraId="0D2238EF">
      <w:pPr>
        <w:pStyle w:val="24"/>
        <w:tabs>
          <w:tab w:val="right" w:leader="dot" w:pos="8312"/>
        </w:tabs>
        <w:spacing w:before="120" w:after="120" w:line="360" w:lineRule="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HYPERLINK \l _Toc14389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第四章  评标办法及评分标准</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_Toc14389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16</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14:paraId="57682055">
      <w:pPr>
        <w:pStyle w:val="24"/>
        <w:tabs>
          <w:tab w:val="right" w:leader="dot" w:pos="8312"/>
        </w:tabs>
        <w:spacing w:before="120" w:after="120" w:line="360" w:lineRule="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HYPERLINK \l _Toc983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第五章  合同主要条款</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_Toc983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19</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14:paraId="023C1DEC">
      <w:pPr>
        <w:pStyle w:val="24"/>
        <w:tabs>
          <w:tab w:val="right" w:leader="dot" w:pos="8312"/>
        </w:tabs>
        <w:spacing w:before="120" w:after="120" w:line="360" w:lineRule="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HYPERLINK \l _Toc14659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第六章  投标文件格式</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_Toc14659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22</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14:paraId="0DA78999">
      <w:pPr>
        <w:pStyle w:val="2"/>
        <w:spacing w:before="120" w:after="120" w:line="360" w:lineRule="auto"/>
        <w:jc w:val="center"/>
        <w:rPr>
          <w:rFonts w:hint="eastAsia"/>
          <w:color w:val="auto"/>
          <w:highlight w:val="none"/>
        </w:rPr>
        <w:sectPr>
          <w:pgSz w:w="11906" w:h="16838"/>
          <w:pgMar w:top="1474" w:right="1797" w:bottom="1247" w:left="1797" w:header="851" w:footer="851" w:gutter="0"/>
          <w:pgNumType w:start="1"/>
          <w:cols w:space="720" w:num="1"/>
          <w:titlePg/>
          <w:rtlGutter w:val="1"/>
          <w:docGrid w:linePitch="312" w:charSpace="0"/>
        </w:sectPr>
      </w:pPr>
      <w:r>
        <w:rPr>
          <w:rFonts w:hint="eastAsia" w:ascii="宋体" w:hAnsi="宋体" w:cs="宋体"/>
          <w:color w:val="auto"/>
          <w:sz w:val="28"/>
          <w:szCs w:val="28"/>
          <w:highlight w:val="none"/>
        </w:rPr>
        <w:fldChar w:fldCharType="end"/>
      </w:r>
    </w:p>
    <w:p w14:paraId="208DB7E1">
      <w:pPr>
        <w:pStyle w:val="2"/>
        <w:spacing w:before="20" w:after="20" w:line="480" w:lineRule="auto"/>
        <w:jc w:val="center"/>
        <w:rPr>
          <w:rFonts w:hint="eastAsia" w:ascii="宋体" w:hAnsi="宋体"/>
          <w:color w:val="auto"/>
          <w:sz w:val="28"/>
          <w:szCs w:val="28"/>
          <w:highlight w:val="none"/>
        </w:rPr>
      </w:pPr>
      <w:bookmarkStart w:id="0" w:name="_Toc17226"/>
      <w:r>
        <w:rPr>
          <w:rFonts w:hint="eastAsia" w:ascii="宋体" w:hAnsi="宋体"/>
          <w:color w:val="auto"/>
          <w:sz w:val="28"/>
          <w:szCs w:val="28"/>
          <w:highlight w:val="none"/>
        </w:rPr>
        <w:t>第一章 招标公告</w:t>
      </w:r>
      <w:bookmarkEnd w:id="0"/>
    </w:p>
    <w:p w14:paraId="49DE520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根据《中华人民共和国招标投标法》、《中华人民共和国招标投标法实施条例》等规定，现就</w:t>
      </w:r>
      <w:r>
        <w:rPr>
          <w:rFonts w:hint="eastAsia" w:ascii="宋体" w:hAnsi="宋体" w:cs="宋体"/>
          <w:color w:val="auto"/>
          <w:szCs w:val="21"/>
          <w:highlight w:val="none"/>
          <w:lang w:eastAsia="zh-CN"/>
        </w:rPr>
        <w:t>中药配方颗粒配送供应商遴选项目</w:t>
      </w:r>
      <w:r>
        <w:rPr>
          <w:rFonts w:hint="eastAsia" w:ascii="宋体" w:hAnsi="宋体" w:cs="宋体"/>
          <w:color w:val="auto"/>
          <w:szCs w:val="21"/>
          <w:highlight w:val="none"/>
        </w:rPr>
        <w:t>进行招标采购，欢迎有能力的投标人参加投标。</w:t>
      </w:r>
    </w:p>
    <w:p w14:paraId="28A783F2">
      <w:pPr>
        <w:spacing w:line="360" w:lineRule="auto"/>
        <w:ind w:firstLine="422" w:firstLineChars="200"/>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rPr>
        <w:t>一、项目编号：</w:t>
      </w:r>
      <w:r>
        <w:rPr>
          <w:rFonts w:hint="eastAsia" w:ascii="宋体" w:hAnsi="宋体" w:cs="宋体"/>
          <w:bCs/>
          <w:color w:val="auto"/>
          <w:szCs w:val="21"/>
          <w:highlight w:val="none"/>
          <w:lang w:eastAsia="zh-CN"/>
        </w:rPr>
        <w:t>CBNB-20256474</w:t>
      </w:r>
    </w:p>
    <w:p w14:paraId="50ECEDF3">
      <w:pPr>
        <w:spacing w:line="360"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二、采购组织类型：</w:t>
      </w:r>
      <w:r>
        <w:rPr>
          <w:rFonts w:hint="eastAsia" w:ascii="宋体" w:hAnsi="宋体" w:cs="宋体"/>
          <w:color w:val="auto"/>
          <w:szCs w:val="21"/>
          <w:highlight w:val="none"/>
        </w:rPr>
        <w:t>委托代理</w:t>
      </w:r>
    </w:p>
    <w:p w14:paraId="3963A4CD">
      <w:pPr>
        <w:spacing w:line="360"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三、采购方式、用途：</w:t>
      </w:r>
      <w:r>
        <w:rPr>
          <w:rFonts w:hint="eastAsia" w:ascii="宋体" w:hAnsi="宋体" w:cs="宋体"/>
          <w:color w:val="auto"/>
          <w:szCs w:val="21"/>
          <w:highlight w:val="none"/>
        </w:rPr>
        <w:t>公开招标、自用</w:t>
      </w:r>
    </w:p>
    <w:p w14:paraId="747CA04B">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四、项目概况</w:t>
      </w:r>
    </w:p>
    <w:tbl>
      <w:tblPr>
        <w:tblStyle w:val="32"/>
        <w:tblW w:w="88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5"/>
        <w:gridCol w:w="2946"/>
        <w:gridCol w:w="1489"/>
        <w:gridCol w:w="2031"/>
        <w:gridCol w:w="1531"/>
      </w:tblGrid>
      <w:tr w14:paraId="4D9FA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14:paraId="1090050C">
            <w:pPr>
              <w:keepNext w:val="0"/>
              <w:keepLines w:val="0"/>
              <w:suppressLineNumbers w:val="0"/>
              <w:spacing w:before="0" w:beforeAutospacing="0" w:after="0" w:afterAutospacing="0"/>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子包号</w:t>
            </w:r>
          </w:p>
        </w:tc>
        <w:tc>
          <w:tcPr>
            <w:tcW w:w="2946" w:type="dxa"/>
            <w:tcBorders>
              <w:top w:val="single" w:color="auto" w:sz="4" w:space="0"/>
              <w:left w:val="single" w:color="auto" w:sz="4" w:space="0"/>
              <w:bottom w:val="single" w:color="auto" w:sz="4" w:space="0"/>
              <w:right w:val="single" w:color="auto" w:sz="4" w:space="0"/>
            </w:tcBorders>
            <w:noWrap w:val="0"/>
            <w:vAlign w:val="center"/>
          </w:tcPr>
          <w:p w14:paraId="32BEA10E">
            <w:pPr>
              <w:keepNext w:val="0"/>
              <w:keepLines w:val="0"/>
              <w:suppressLineNumbers w:val="0"/>
              <w:spacing w:before="0" w:beforeAutospacing="0" w:after="0" w:afterAutospacing="0"/>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采购内容</w:t>
            </w:r>
          </w:p>
        </w:tc>
        <w:tc>
          <w:tcPr>
            <w:tcW w:w="1489" w:type="dxa"/>
            <w:tcBorders>
              <w:top w:val="single" w:color="auto" w:sz="4" w:space="0"/>
              <w:left w:val="single" w:color="auto" w:sz="4" w:space="0"/>
              <w:bottom w:val="single" w:color="auto" w:sz="4" w:space="0"/>
              <w:right w:val="single" w:color="auto" w:sz="4" w:space="0"/>
            </w:tcBorders>
            <w:noWrap w:val="0"/>
            <w:vAlign w:val="center"/>
          </w:tcPr>
          <w:p w14:paraId="005663BE">
            <w:pPr>
              <w:keepNext w:val="0"/>
              <w:keepLines w:val="0"/>
              <w:suppressLineNumbers w:val="0"/>
              <w:spacing w:before="0" w:beforeAutospacing="0" w:after="0" w:afterAutospacing="0"/>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年度预估金额</w:t>
            </w:r>
          </w:p>
        </w:tc>
        <w:tc>
          <w:tcPr>
            <w:tcW w:w="2031" w:type="dxa"/>
            <w:tcBorders>
              <w:top w:val="single" w:color="auto" w:sz="4" w:space="0"/>
              <w:left w:val="single" w:color="auto" w:sz="4" w:space="0"/>
              <w:bottom w:val="single" w:color="auto" w:sz="4" w:space="0"/>
              <w:right w:val="single" w:color="auto" w:sz="4" w:space="0"/>
            </w:tcBorders>
            <w:noWrap w:val="0"/>
            <w:vAlign w:val="center"/>
          </w:tcPr>
          <w:p w14:paraId="21AA86ED">
            <w:pPr>
              <w:keepNext w:val="0"/>
              <w:keepLines w:val="0"/>
              <w:suppressLineNumbers w:val="0"/>
              <w:spacing w:before="0" w:beforeAutospacing="0" w:after="0" w:afterAutospacing="0"/>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服务期限</w:t>
            </w:r>
          </w:p>
        </w:tc>
        <w:tc>
          <w:tcPr>
            <w:tcW w:w="1531" w:type="dxa"/>
            <w:tcBorders>
              <w:top w:val="single" w:color="auto" w:sz="4" w:space="0"/>
              <w:left w:val="single" w:color="auto" w:sz="4" w:space="0"/>
              <w:bottom w:val="single" w:color="auto" w:sz="4" w:space="0"/>
              <w:right w:val="single" w:color="auto" w:sz="4" w:space="0"/>
            </w:tcBorders>
            <w:noWrap w:val="0"/>
            <w:vAlign w:val="center"/>
          </w:tcPr>
          <w:p w14:paraId="15D5F755">
            <w:pPr>
              <w:keepNext w:val="0"/>
              <w:keepLines w:val="0"/>
              <w:suppressLineNumbers w:val="0"/>
              <w:spacing w:before="0" w:beforeAutospacing="0" w:after="0" w:afterAutospacing="0"/>
              <w:ind w:left="0" w:right="0"/>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提供服务家数</w:t>
            </w:r>
          </w:p>
        </w:tc>
      </w:tr>
      <w:tr w14:paraId="48D174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14:paraId="41410667">
            <w:pPr>
              <w:keepNext w:val="0"/>
              <w:keepLines w:val="0"/>
              <w:suppressLineNumbers w:val="0"/>
              <w:spacing w:before="0" w:beforeAutospacing="0" w:after="0" w:afterAutospacing="0"/>
              <w:ind w:left="0" w:right="0"/>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1</w:t>
            </w:r>
          </w:p>
        </w:tc>
        <w:tc>
          <w:tcPr>
            <w:tcW w:w="2946" w:type="dxa"/>
            <w:tcBorders>
              <w:top w:val="single" w:color="auto" w:sz="4" w:space="0"/>
              <w:left w:val="single" w:color="auto" w:sz="4" w:space="0"/>
              <w:bottom w:val="single" w:color="auto" w:sz="4" w:space="0"/>
              <w:right w:val="single" w:color="auto" w:sz="4" w:space="0"/>
            </w:tcBorders>
            <w:noWrap w:val="0"/>
            <w:vAlign w:val="center"/>
          </w:tcPr>
          <w:p w14:paraId="4FF14D33">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中药配方颗粒及相关伴随服务</w:t>
            </w:r>
          </w:p>
        </w:tc>
        <w:tc>
          <w:tcPr>
            <w:tcW w:w="1489" w:type="dxa"/>
            <w:tcBorders>
              <w:top w:val="single" w:color="auto" w:sz="4" w:space="0"/>
              <w:left w:val="single" w:color="auto" w:sz="4" w:space="0"/>
              <w:bottom w:val="single" w:color="auto" w:sz="4" w:space="0"/>
              <w:right w:val="single" w:color="auto" w:sz="4" w:space="0"/>
            </w:tcBorders>
            <w:noWrap w:val="0"/>
            <w:vAlign w:val="center"/>
          </w:tcPr>
          <w:p w14:paraId="1AB672A5">
            <w:pPr>
              <w:keepNext w:val="0"/>
              <w:keepLines w:val="0"/>
              <w:suppressLineNumbers w:val="0"/>
              <w:spacing w:before="0" w:beforeAutospacing="0" w:after="0" w:afterAutospacing="0"/>
              <w:ind w:left="0" w:right="0"/>
              <w:jc w:val="center"/>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7</w:t>
            </w:r>
            <w:r>
              <w:rPr>
                <w:rFonts w:hint="eastAsia" w:ascii="宋体" w:hAnsi="宋体" w:eastAsia="宋体" w:cs="宋体"/>
                <w:bCs/>
                <w:color w:val="auto"/>
                <w:szCs w:val="21"/>
                <w:highlight w:val="none"/>
              </w:rPr>
              <w:t>0万元</w:t>
            </w:r>
          </w:p>
        </w:tc>
        <w:tc>
          <w:tcPr>
            <w:tcW w:w="2031" w:type="dxa"/>
            <w:tcBorders>
              <w:top w:val="single" w:color="auto" w:sz="4" w:space="0"/>
              <w:left w:val="single" w:color="auto" w:sz="4" w:space="0"/>
              <w:right w:val="single" w:color="auto" w:sz="4" w:space="0"/>
            </w:tcBorders>
            <w:noWrap w:val="0"/>
            <w:vAlign w:val="center"/>
          </w:tcPr>
          <w:p w14:paraId="723BD1AB">
            <w:pPr>
              <w:keepNext w:val="0"/>
              <w:keepLines w:val="0"/>
              <w:suppressLineNumbers w:val="0"/>
              <w:spacing w:before="0" w:beforeAutospacing="0" w:after="0" w:afterAutospacing="0"/>
              <w:ind w:left="0" w:right="0"/>
              <w:jc w:val="both"/>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三年，合同一年一签。每年经招标人确认服务满意后，可续签下一年合同。</w:t>
            </w:r>
          </w:p>
        </w:tc>
        <w:tc>
          <w:tcPr>
            <w:tcW w:w="1531" w:type="dxa"/>
            <w:tcBorders>
              <w:top w:val="single" w:color="auto" w:sz="4" w:space="0"/>
              <w:left w:val="single" w:color="auto" w:sz="4" w:space="0"/>
              <w:bottom w:val="single" w:color="auto" w:sz="4" w:space="0"/>
              <w:right w:val="single" w:color="auto" w:sz="4" w:space="0"/>
            </w:tcBorders>
            <w:noWrap w:val="0"/>
            <w:vAlign w:val="center"/>
          </w:tcPr>
          <w:p w14:paraId="746394F5">
            <w:pPr>
              <w:keepNext w:val="0"/>
              <w:keepLines w:val="0"/>
              <w:suppressLineNumbers w:val="0"/>
              <w:spacing w:before="0" w:beforeAutospacing="0" w:after="0" w:afterAutospacing="0"/>
              <w:ind w:left="0" w:right="0"/>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1家</w:t>
            </w:r>
          </w:p>
        </w:tc>
      </w:tr>
    </w:tbl>
    <w:p w14:paraId="4E100389">
      <w:pPr>
        <w:spacing w:line="360" w:lineRule="auto"/>
        <w:ind w:firstLine="422" w:firstLineChars="200"/>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注：本项目年度预估金额为预估数量，合同执行过程中以实际供应量为准。</w:t>
      </w:r>
    </w:p>
    <w:p w14:paraId="0F4867D9">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五、合格投标人的资格要求（本项目资格后审）</w:t>
      </w:r>
    </w:p>
    <w:p w14:paraId="57D664C9">
      <w:pPr>
        <w:pStyle w:val="1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一般资格条件：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748FE044">
      <w:pPr>
        <w:pStyle w:val="10"/>
        <w:spacing w:line="360" w:lineRule="auto"/>
        <w:ind w:firstLine="42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特定</w:t>
      </w:r>
      <w:r>
        <w:rPr>
          <w:rFonts w:hint="eastAsia" w:ascii="宋体" w:hAnsi="宋体" w:cs="宋体"/>
          <w:color w:val="auto"/>
          <w:szCs w:val="21"/>
          <w:highlight w:val="none"/>
          <w:lang w:val="en-US" w:eastAsia="zh-CN"/>
        </w:rPr>
        <w:t>资格</w:t>
      </w:r>
      <w:r>
        <w:rPr>
          <w:rFonts w:hint="eastAsia" w:ascii="宋体" w:hAnsi="宋体" w:cs="宋体"/>
          <w:color w:val="auto"/>
          <w:szCs w:val="21"/>
          <w:highlight w:val="none"/>
        </w:rPr>
        <w:t>条件</w:t>
      </w:r>
      <w:r>
        <w:rPr>
          <w:rFonts w:hint="eastAsia" w:ascii="宋体" w:hAnsi="宋体" w:cs="宋体"/>
          <w:color w:val="auto"/>
          <w:szCs w:val="21"/>
          <w:highlight w:val="none"/>
          <w:lang w:val="en-US" w:eastAsia="zh-CN"/>
        </w:rPr>
        <w:t>：</w:t>
      </w:r>
    </w:p>
    <w:p w14:paraId="366F3689">
      <w:pPr>
        <w:pStyle w:val="10"/>
        <w:spacing w:line="360" w:lineRule="auto"/>
        <w:ind w:firstLine="42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投标人应为中药配方颗粒生产、经营、销售一体化企业，具备中药配方颗粒生产及经营能力（投标人为生产企业控股单位，或者生产企业为投标人控股单位，或者生产企业和经营企业为同一母公司下的子公司，或者生产企业和经营企业为同一实际控制人均认可）。</w:t>
      </w:r>
    </w:p>
    <w:p w14:paraId="2B7BCA30">
      <w:pPr>
        <w:pStyle w:val="10"/>
        <w:spacing w:line="360" w:lineRule="auto"/>
        <w:ind w:firstLine="42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生产能力：指依法取得《营业执照》《药品生产许可证》。经营能力：指依法取得《营业执照》《药品经营许可证》。</w:t>
      </w:r>
    </w:p>
    <w:p w14:paraId="3F371036">
      <w:pPr>
        <w:pStyle w:val="10"/>
        <w:spacing w:line="360" w:lineRule="auto"/>
        <w:ind w:firstLine="420"/>
        <w:rPr>
          <w:rFonts w:hint="eastAsia" w:ascii="宋体" w:hAnsi="宋体" w:cs="宋体"/>
          <w:color w:val="auto"/>
          <w:szCs w:val="21"/>
          <w:highlight w:val="none"/>
          <w:lang w:bidi="ar"/>
        </w:rPr>
      </w:pPr>
      <w:r>
        <w:rPr>
          <w:rFonts w:hint="eastAsia" w:ascii="宋体" w:hAnsi="宋体" w:cs="宋体"/>
          <w:color w:val="auto"/>
          <w:szCs w:val="21"/>
          <w:highlight w:val="none"/>
        </w:rPr>
        <w:t>3、单位负责人为同一</w:t>
      </w:r>
      <w:r>
        <w:rPr>
          <w:rFonts w:hint="eastAsia" w:ascii="宋体" w:hAnsi="宋体" w:cs="宋体"/>
          <w:color w:val="auto"/>
          <w:szCs w:val="21"/>
          <w:highlight w:val="none"/>
          <w:lang w:bidi="ar"/>
        </w:rPr>
        <w:t>人或者存在直接控股、管理关系的不同投标人，不得参加同一合同项下的采购活动。除单一来源采购项目外，为采购项目提供整体设计、规范编制或者项目管理、监理、检测等服务的投标人，不得再参加该采购项目的其他采购活动。</w:t>
      </w:r>
    </w:p>
    <w:p w14:paraId="0E2316EE">
      <w:pPr>
        <w:pStyle w:val="10"/>
        <w:spacing w:line="360" w:lineRule="auto"/>
        <w:ind w:firstLine="42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4、供应商未被列入“信用中国”网站“失信被执行人”或“重大税收违法失信主体名单”或“严重失信主体名单”记录名单；不处于中国政府采购网“政府采购严重违法失信行为信息记录”中的禁止参加政府采购活动期间。（以投标截止日当天在“信用中国”网站、中国政府采购网查询结果为准，如相关失信记录已失效，供应商需提供相关证明资料；若在开标当天因不可抗力事件导致无法查询且一时无法恢复查询的，可在中标公示期间对中标候选人进行事后查询。中标候选人被列入“失信被执行人”或“重大税收违法失信主体名单”或“严重失信主体名单”记录名单的，或中标候选人处于中国政府采购网“政府采购严重违法失信行为信息记录”中的禁止参加政府采购活动期间，采购单位将依法取消其中标资格）。</w:t>
      </w:r>
    </w:p>
    <w:p w14:paraId="346E95F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5、本项目不接受联合体投标。</w:t>
      </w:r>
    </w:p>
    <w:p w14:paraId="7B591734">
      <w:pPr>
        <w:spacing w:line="360" w:lineRule="auto"/>
        <w:ind w:firstLine="474" w:firstLineChars="225"/>
        <w:rPr>
          <w:rFonts w:hint="eastAsia" w:ascii="宋体" w:hAnsi="宋体" w:cs="宋体"/>
          <w:b/>
          <w:color w:val="auto"/>
          <w:szCs w:val="21"/>
          <w:highlight w:val="none"/>
        </w:rPr>
      </w:pPr>
      <w:r>
        <w:rPr>
          <w:rFonts w:hint="eastAsia" w:ascii="宋体" w:hAnsi="宋体" w:cs="宋体"/>
          <w:b/>
          <w:color w:val="auto"/>
          <w:szCs w:val="21"/>
          <w:highlight w:val="none"/>
        </w:rPr>
        <w:t>六、招标文件的发售：</w:t>
      </w:r>
    </w:p>
    <w:p w14:paraId="644F7510">
      <w:pPr>
        <w:spacing w:line="360" w:lineRule="auto"/>
        <w:ind w:firstLine="472" w:firstLineChars="225"/>
        <w:rPr>
          <w:rFonts w:hint="eastAsia" w:ascii="宋体" w:hAnsi="宋体" w:cs="宋体"/>
          <w:color w:val="auto"/>
          <w:szCs w:val="21"/>
          <w:highlight w:val="none"/>
        </w:rPr>
      </w:pPr>
      <w:r>
        <w:rPr>
          <w:rFonts w:hint="eastAsia" w:ascii="宋体" w:hAnsi="宋体" w:cs="宋体"/>
          <w:color w:val="auto"/>
          <w:szCs w:val="21"/>
          <w:highlight w:val="none"/>
        </w:rPr>
        <w:t>1.发售时间：</w:t>
      </w:r>
      <w:r>
        <w:rPr>
          <w:rFonts w:hint="eastAsia" w:ascii="宋体" w:hAnsi="宋体" w:cs="宋体"/>
          <w:color w:val="auto"/>
          <w:szCs w:val="21"/>
          <w:highlight w:val="none"/>
          <w:lang w:eastAsia="zh-CN"/>
        </w:rPr>
        <w:t>2025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日至</w:t>
      </w:r>
      <w:r>
        <w:rPr>
          <w:rFonts w:hint="eastAsia" w:ascii="宋体" w:hAnsi="宋体" w:cs="宋体"/>
          <w:color w:val="auto"/>
          <w:szCs w:val="21"/>
          <w:highlight w:val="none"/>
          <w:lang w:eastAsia="zh-CN"/>
        </w:rPr>
        <w:t>2025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日，每天上午8:30-11:00；下午1:30-5:00 。</w:t>
      </w:r>
    </w:p>
    <w:p w14:paraId="72AA4B53">
      <w:pPr>
        <w:spacing w:line="360" w:lineRule="auto"/>
        <w:ind w:firstLine="432" w:firstLineChars="206"/>
        <w:rPr>
          <w:rFonts w:hint="eastAsia" w:ascii="宋体" w:hAnsi="宋体" w:cs="宋体"/>
          <w:color w:val="auto"/>
          <w:szCs w:val="21"/>
          <w:highlight w:val="none"/>
        </w:rPr>
      </w:pPr>
      <w:r>
        <w:rPr>
          <w:rFonts w:hint="eastAsia" w:ascii="宋体" w:hAnsi="宋体" w:cs="宋体"/>
          <w:color w:val="auto"/>
          <w:szCs w:val="21"/>
          <w:highlight w:val="none"/>
        </w:rPr>
        <w:t>2.发售地点：宁波市鄞州区天童南路666号中基大厦19楼前台，联系人：李小姐，联系电话：0574-88090098，传真：0574-87425386，邮箱：719126619@qq.com</w:t>
      </w:r>
    </w:p>
    <w:p w14:paraId="041E90A0">
      <w:pPr>
        <w:spacing w:line="360" w:lineRule="auto"/>
        <w:ind w:firstLine="432" w:firstLineChars="206"/>
        <w:rPr>
          <w:rFonts w:hint="eastAsia" w:ascii="宋体" w:hAnsi="宋体" w:cs="宋体"/>
          <w:color w:val="auto"/>
          <w:szCs w:val="21"/>
          <w:highlight w:val="none"/>
        </w:rPr>
      </w:pPr>
      <w:r>
        <w:rPr>
          <w:rFonts w:hint="eastAsia" w:ascii="宋体" w:hAnsi="宋体" w:cs="宋体"/>
          <w:color w:val="auto"/>
          <w:szCs w:val="21"/>
          <w:highlight w:val="none"/>
        </w:rPr>
        <w:t>3.售价：500元/套，售后不退</w:t>
      </w:r>
      <w:r>
        <w:rPr>
          <w:rFonts w:hint="eastAsia" w:ascii="宋体" w:hAnsi="宋体" w:cs="宋体"/>
          <w:color w:val="auto"/>
          <w:szCs w:val="21"/>
          <w:highlight w:val="none"/>
          <w:lang w:eastAsia="zh-CN"/>
        </w:rPr>
        <w:t>（</w:t>
      </w:r>
      <w:r>
        <w:rPr>
          <w:rFonts w:hint="eastAsia" w:ascii="宋体" w:hAnsi="宋体" w:cs="宋体"/>
          <w:color w:val="auto"/>
          <w:szCs w:val="21"/>
          <w:highlight w:val="none"/>
        </w:rPr>
        <w:t>请勿个人或支付宝汇款</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7FFDEC4B">
      <w:pPr>
        <w:spacing w:line="360" w:lineRule="auto"/>
        <w:ind w:firstLine="432" w:firstLineChars="206"/>
        <w:rPr>
          <w:rFonts w:hint="eastAsia" w:ascii="宋体" w:hAnsi="宋体" w:cs="宋体"/>
          <w:color w:val="auto"/>
          <w:szCs w:val="21"/>
          <w:highlight w:val="none"/>
        </w:rPr>
      </w:pPr>
      <w:r>
        <w:rPr>
          <w:rFonts w:hint="eastAsia" w:ascii="宋体" w:hAnsi="宋体" w:cs="宋体"/>
          <w:color w:val="auto"/>
          <w:szCs w:val="21"/>
          <w:highlight w:val="none"/>
        </w:rPr>
        <w:t>4.招标文件在线购买网址：https://dwz.cn/BzVsB93Q</w:t>
      </w:r>
    </w:p>
    <w:p w14:paraId="5797E147">
      <w:pPr>
        <w:spacing w:line="360" w:lineRule="auto"/>
        <w:ind w:firstLine="432" w:firstLineChars="206"/>
        <w:rPr>
          <w:rFonts w:hint="eastAsia" w:ascii="宋体" w:hAnsi="宋体" w:cs="宋体"/>
          <w:color w:val="auto"/>
          <w:szCs w:val="21"/>
          <w:highlight w:val="none"/>
        </w:rPr>
      </w:pPr>
      <w:r>
        <w:rPr>
          <w:rFonts w:hint="eastAsia" w:ascii="宋体" w:hAnsi="宋体" w:cs="宋体"/>
          <w:color w:val="auto"/>
          <w:szCs w:val="21"/>
          <w:highlight w:val="none"/>
        </w:rPr>
        <w:t>5.未报名的投标人将被拒绝。</w:t>
      </w:r>
    </w:p>
    <w:p w14:paraId="0CDD878C">
      <w:pPr>
        <w:spacing w:line="360" w:lineRule="auto"/>
        <w:ind w:firstLine="432" w:firstLineChars="206"/>
        <w:rPr>
          <w:rFonts w:hint="eastAsia" w:ascii="宋体" w:hAnsi="宋体" w:cs="宋体"/>
          <w:color w:val="auto"/>
          <w:szCs w:val="21"/>
          <w:highlight w:val="none"/>
        </w:rPr>
      </w:pPr>
      <w:r>
        <w:rPr>
          <w:rFonts w:hint="eastAsia" w:ascii="宋体" w:hAnsi="宋体" w:cs="宋体"/>
          <w:color w:val="auto"/>
          <w:szCs w:val="21"/>
          <w:highlight w:val="none"/>
        </w:rPr>
        <w:t>提示：供应商付款后应及时将汇款底单按上述号码直接传真或发邮件至我公司前台标书发售人员，并在底单上注明需要购买标书的项目编号、子包号、联系人、手机号及QQ邮箱，如未按此要求操作，供应商将有可能不能及时收到招标文件，请给予配合。</w:t>
      </w:r>
    </w:p>
    <w:p w14:paraId="03FEA10F">
      <w:pPr>
        <w:numPr>
          <w:ilvl w:val="0"/>
          <w:numId w:val="4"/>
        </w:numPr>
        <w:spacing w:line="360" w:lineRule="auto"/>
        <w:ind w:firstLine="434" w:firstLineChars="206"/>
        <w:jc w:val="left"/>
        <w:rPr>
          <w:rFonts w:hint="eastAsia" w:ascii="宋体" w:hAnsi="宋体" w:cs="宋体"/>
          <w:b/>
          <w:bCs/>
          <w:color w:val="auto"/>
          <w:szCs w:val="21"/>
          <w:highlight w:val="none"/>
        </w:rPr>
      </w:pPr>
      <w:r>
        <w:rPr>
          <w:rFonts w:hint="eastAsia" w:ascii="宋体" w:hAnsi="宋体" w:cs="宋体"/>
          <w:b/>
          <w:bCs/>
          <w:color w:val="auto"/>
          <w:szCs w:val="21"/>
          <w:highlight w:val="none"/>
        </w:rPr>
        <w:t>投标保证金：</w:t>
      </w:r>
    </w:p>
    <w:p w14:paraId="4B6FC286">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投标保证金人民币：</w:t>
      </w:r>
      <w:r>
        <w:rPr>
          <w:rFonts w:hint="eastAsia" w:ascii="宋体" w:hAnsi="宋体" w:cs="宋体"/>
          <w:color w:val="auto"/>
          <w:szCs w:val="21"/>
          <w:highlight w:val="none"/>
          <w:lang w:val="en-US" w:eastAsia="zh-CN"/>
        </w:rPr>
        <w:t>14000.00</w:t>
      </w:r>
      <w:r>
        <w:rPr>
          <w:rFonts w:hint="eastAsia" w:ascii="宋体" w:hAnsi="宋体" w:cs="宋体"/>
          <w:color w:val="auto"/>
          <w:szCs w:val="21"/>
          <w:highlight w:val="none"/>
          <w:lang w:eastAsia="zh-CN"/>
        </w:rPr>
        <w:t>元整</w:t>
      </w:r>
      <w:r>
        <w:rPr>
          <w:rFonts w:hint="eastAsia" w:ascii="宋体" w:hAnsi="宋体" w:cs="宋体"/>
          <w:color w:val="auto"/>
          <w:szCs w:val="21"/>
          <w:highlight w:val="none"/>
        </w:rPr>
        <w:t xml:space="preserve">。 </w:t>
      </w:r>
    </w:p>
    <w:p w14:paraId="10EB8679">
      <w:pPr>
        <w:spacing w:line="360" w:lineRule="auto"/>
        <w:ind w:firstLine="432" w:firstLineChars="206"/>
        <w:jc w:val="left"/>
        <w:rPr>
          <w:rFonts w:hint="eastAsia" w:ascii="宋体" w:hAnsi="宋体" w:cs="宋体"/>
          <w:color w:val="auto"/>
          <w:szCs w:val="21"/>
          <w:highlight w:val="none"/>
        </w:rPr>
      </w:pPr>
      <w:r>
        <w:rPr>
          <w:rFonts w:hint="eastAsia" w:ascii="宋体" w:hAnsi="宋体" w:cs="宋体"/>
          <w:color w:val="auto"/>
          <w:szCs w:val="21"/>
          <w:highlight w:val="none"/>
        </w:rPr>
        <w:t>投标人应于</w:t>
      </w:r>
      <w:r>
        <w:rPr>
          <w:rFonts w:hint="eastAsia" w:ascii="宋体" w:hAnsi="宋体" w:cs="宋体"/>
          <w:color w:val="auto"/>
          <w:szCs w:val="21"/>
          <w:highlight w:val="none"/>
          <w:lang w:eastAsia="zh-CN"/>
        </w:rPr>
        <w:t>2025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日16</w:t>
      </w:r>
      <w:r>
        <w:rPr>
          <w:rFonts w:hint="eastAsia" w:ascii="宋体" w:hAnsi="宋体" w:cs="宋体"/>
          <w:color w:val="auto"/>
          <w:szCs w:val="21"/>
          <w:highlight w:val="none"/>
          <w:lang w:eastAsia="zh-CN"/>
        </w:rPr>
        <w:t>:</w:t>
      </w:r>
      <w:r>
        <w:rPr>
          <w:rFonts w:hint="eastAsia" w:ascii="宋体" w:hAnsi="宋体" w:cs="宋体"/>
          <w:color w:val="auto"/>
          <w:szCs w:val="21"/>
          <w:highlight w:val="none"/>
        </w:rPr>
        <w:t>00时（北京时间）前将投标保证金以汇票、电汇、支票等形式交至宁波中基国际招标有限公司。</w:t>
      </w:r>
    </w:p>
    <w:p w14:paraId="7DA63B77">
      <w:pPr>
        <w:spacing w:line="360" w:lineRule="auto"/>
        <w:ind w:firstLine="434" w:firstLineChars="206"/>
        <w:jc w:val="left"/>
        <w:rPr>
          <w:rFonts w:hint="eastAsia" w:ascii="宋体" w:hAnsi="宋体" w:cs="宋体"/>
          <w:b/>
          <w:color w:val="auto"/>
          <w:szCs w:val="21"/>
          <w:highlight w:val="none"/>
        </w:rPr>
      </w:pPr>
      <w:r>
        <w:rPr>
          <w:rFonts w:hint="eastAsia" w:ascii="宋体" w:hAnsi="宋体" w:cs="宋体"/>
          <w:b/>
          <w:color w:val="auto"/>
          <w:szCs w:val="21"/>
          <w:highlight w:val="none"/>
        </w:rPr>
        <w:t>八、投标截止时间和地点：</w:t>
      </w:r>
    </w:p>
    <w:p w14:paraId="581AB259">
      <w:pPr>
        <w:spacing w:line="360" w:lineRule="auto"/>
        <w:ind w:firstLine="432" w:firstLineChars="206"/>
        <w:rPr>
          <w:rFonts w:hint="eastAsia" w:ascii="宋体" w:hAnsi="宋体" w:cs="宋体"/>
          <w:color w:val="auto"/>
          <w:szCs w:val="21"/>
          <w:highlight w:val="none"/>
        </w:rPr>
      </w:pPr>
      <w:r>
        <w:rPr>
          <w:rFonts w:hint="eastAsia" w:ascii="宋体" w:hAnsi="宋体" w:cs="宋体"/>
          <w:color w:val="auto"/>
          <w:szCs w:val="21"/>
          <w:highlight w:val="none"/>
        </w:rPr>
        <w:t>投标人应于</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lang w:eastAsia="zh-CN"/>
        </w:rPr>
        <w:t>时</w:t>
      </w:r>
      <w:r>
        <w:rPr>
          <w:rFonts w:hint="eastAsia" w:ascii="宋体" w:hAnsi="宋体" w:cs="宋体"/>
          <w:color w:val="auto"/>
          <w:szCs w:val="21"/>
          <w:highlight w:val="none"/>
        </w:rPr>
        <w:t>（北京时间）前将投标文件密封送交到</w:t>
      </w:r>
      <w:r>
        <w:rPr>
          <w:rFonts w:hint="eastAsia" w:ascii="宋体" w:hAnsi="宋体" w:cs="宋体"/>
          <w:color w:val="auto"/>
          <w:szCs w:val="21"/>
          <w:highlight w:val="none"/>
          <w:u w:val="single"/>
          <w:lang w:eastAsia="zh-CN"/>
        </w:rPr>
        <w:t>宁波市奉化区人民医院</w:t>
      </w:r>
      <w:r>
        <w:rPr>
          <w:rFonts w:hint="eastAsia" w:ascii="宋体" w:hAnsi="宋体" w:cs="宋体"/>
          <w:color w:val="auto"/>
          <w:szCs w:val="21"/>
          <w:highlight w:val="none"/>
          <w:u w:val="single"/>
          <w:lang w:val="en-US" w:eastAsia="zh-CN"/>
        </w:rPr>
        <w:t>行政楼6楼会议室</w:t>
      </w:r>
      <w:r>
        <w:rPr>
          <w:rFonts w:hint="eastAsia" w:ascii="宋体" w:hAnsi="宋体" w:cs="宋体"/>
          <w:color w:val="auto"/>
          <w:szCs w:val="21"/>
          <w:highlight w:val="none"/>
          <w:u w:val="single"/>
        </w:rPr>
        <w:t>（宁波市奉化区锦屏街道公园路36号）</w:t>
      </w:r>
      <w:r>
        <w:rPr>
          <w:rFonts w:hint="eastAsia" w:ascii="宋体" w:hAnsi="宋体" w:cs="宋体"/>
          <w:color w:val="auto"/>
          <w:szCs w:val="21"/>
          <w:highlight w:val="none"/>
        </w:rPr>
        <w:t>，逾期送达或未密封将予以拒收。</w:t>
      </w:r>
    </w:p>
    <w:p w14:paraId="46EA7DC9">
      <w:pPr>
        <w:spacing w:line="360" w:lineRule="auto"/>
        <w:ind w:firstLine="434" w:firstLineChars="206"/>
        <w:rPr>
          <w:rFonts w:hint="eastAsia" w:ascii="宋体" w:hAnsi="宋体" w:cs="宋体"/>
          <w:b/>
          <w:bCs/>
          <w:color w:val="auto"/>
          <w:szCs w:val="21"/>
          <w:highlight w:val="none"/>
        </w:rPr>
      </w:pPr>
      <w:r>
        <w:rPr>
          <w:rFonts w:hint="eastAsia" w:ascii="宋体" w:hAnsi="宋体" w:cs="宋体"/>
          <w:b/>
          <w:bCs/>
          <w:color w:val="auto"/>
          <w:szCs w:val="21"/>
          <w:highlight w:val="none"/>
        </w:rPr>
        <w:t>九、开标时间及地点：</w:t>
      </w:r>
    </w:p>
    <w:p w14:paraId="582932A2">
      <w:pPr>
        <w:spacing w:line="360" w:lineRule="auto"/>
        <w:ind w:firstLine="432" w:firstLineChars="206"/>
        <w:rPr>
          <w:rFonts w:hint="eastAsia" w:ascii="宋体" w:hAnsi="宋体" w:cs="宋体"/>
          <w:color w:val="auto"/>
          <w:szCs w:val="21"/>
          <w:highlight w:val="none"/>
        </w:rPr>
      </w:pPr>
      <w:r>
        <w:rPr>
          <w:rFonts w:hint="eastAsia" w:ascii="宋体" w:hAnsi="宋体" w:cs="宋体"/>
          <w:color w:val="auto"/>
          <w:szCs w:val="21"/>
          <w:highlight w:val="none"/>
        </w:rPr>
        <w:t>本次招标将于</w:t>
      </w:r>
      <w:r>
        <w:rPr>
          <w:rFonts w:hint="eastAsia" w:ascii="宋体" w:hAnsi="宋体" w:cs="宋体"/>
          <w:color w:val="auto"/>
          <w:szCs w:val="21"/>
          <w:highlight w:val="none"/>
          <w:lang w:eastAsia="zh-CN"/>
        </w:rPr>
        <w:t>2025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rPr>
        <w:t>时（北京时间）在</w:t>
      </w:r>
      <w:r>
        <w:rPr>
          <w:rFonts w:hint="eastAsia" w:ascii="宋体" w:hAnsi="宋体" w:cs="宋体"/>
          <w:color w:val="auto"/>
          <w:szCs w:val="21"/>
          <w:highlight w:val="none"/>
          <w:u w:val="single"/>
          <w:lang w:eastAsia="zh-CN"/>
        </w:rPr>
        <w:t>宁波市奉化区人民医院</w:t>
      </w:r>
      <w:r>
        <w:rPr>
          <w:rFonts w:hint="eastAsia" w:ascii="宋体" w:hAnsi="宋体" w:cs="宋体"/>
          <w:color w:val="auto"/>
          <w:szCs w:val="21"/>
          <w:highlight w:val="none"/>
          <w:u w:val="single"/>
          <w:lang w:val="en-US" w:eastAsia="zh-CN"/>
        </w:rPr>
        <w:t>行政楼6楼会议室</w:t>
      </w:r>
      <w:r>
        <w:rPr>
          <w:rFonts w:hint="eastAsia" w:ascii="宋体" w:hAnsi="宋体" w:cs="宋体"/>
          <w:color w:val="auto"/>
          <w:szCs w:val="21"/>
          <w:highlight w:val="none"/>
          <w:u w:val="single"/>
          <w:lang w:eastAsia="zh-CN"/>
        </w:rPr>
        <w:t>（宁波市奉化区锦屏街道公园路36号）</w:t>
      </w:r>
      <w:r>
        <w:rPr>
          <w:rFonts w:hint="eastAsia" w:ascii="宋体" w:hAnsi="宋体" w:cs="宋体"/>
          <w:color w:val="auto"/>
          <w:szCs w:val="21"/>
          <w:highlight w:val="none"/>
        </w:rPr>
        <w:t>开标，投标人可以派授权代表出席开标会议。</w:t>
      </w:r>
    </w:p>
    <w:p w14:paraId="35B0CE2E">
      <w:pPr>
        <w:spacing w:line="360" w:lineRule="auto"/>
        <w:ind w:firstLine="434" w:firstLineChars="206"/>
        <w:rPr>
          <w:rFonts w:hint="eastAsia" w:ascii="宋体" w:hAnsi="宋体" w:cs="宋体"/>
          <w:b/>
          <w:bCs/>
          <w:color w:val="auto"/>
          <w:szCs w:val="21"/>
          <w:highlight w:val="none"/>
        </w:rPr>
      </w:pPr>
      <w:r>
        <w:rPr>
          <w:rFonts w:hint="eastAsia" w:ascii="宋体" w:hAnsi="宋体" w:cs="宋体"/>
          <w:b/>
          <w:bCs/>
          <w:color w:val="auto"/>
          <w:szCs w:val="21"/>
          <w:highlight w:val="none"/>
        </w:rPr>
        <w:t>十、业务咨询：</w:t>
      </w:r>
    </w:p>
    <w:p w14:paraId="13465CE5">
      <w:pPr>
        <w:spacing w:line="360" w:lineRule="auto"/>
        <w:ind w:firstLine="42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招标人：</w:t>
      </w:r>
      <w:r>
        <w:rPr>
          <w:rFonts w:hint="eastAsia" w:ascii="宋体" w:hAnsi="宋体" w:cs="宋体"/>
          <w:color w:val="auto"/>
          <w:szCs w:val="21"/>
          <w:highlight w:val="none"/>
          <w:lang w:eastAsia="zh-CN"/>
        </w:rPr>
        <w:t>宁波市奉化区人民医院（宁波市奉化区人民医院医共体总院）</w:t>
      </w:r>
    </w:p>
    <w:p w14:paraId="1929591D">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地址：宁波市奉化区锦屏街道公园路36号</w:t>
      </w:r>
    </w:p>
    <w:p w14:paraId="5D60AD53">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毛老师</w:t>
      </w:r>
      <w:r>
        <w:rPr>
          <w:rFonts w:hint="eastAsia" w:ascii="宋体" w:hAnsi="宋体" w:cs="宋体"/>
          <w:color w:val="auto"/>
          <w:szCs w:val="21"/>
          <w:highlight w:val="none"/>
        </w:rPr>
        <w:t xml:space="preserve"> </w:t>
      </w:r>
    </w:p>
    <w:p w14:paraId="59841CC8">
      <w:pPr>
        <w:spacing w:line="360" w:lineRule="auto"/>
        <w:ind w:firstLine="420"/>
        <w:rPr>
          <w:color w:val="auto"/>
          <w:highlight w:val="none"/>
        </w:rPr>
      </w:pPr>
      <w:r>
        <w:rPr>
          <w:rFonts w:hint="eastAsia" w:ascii="宋体" w:hAnsi="宋体" w:cs="宋体"/>
          <w:color w:val="auto"/>
          <w:szCs w:val="21"/>
          <w:highlight w:val="none"/>
        </w:rPr>
        <w:t>联系电话：0574-</w:t>
      </w:r>
      <w:r>
        <w:rPr>
          <w:rFonts w:hint="eastAsia" w:ascii="宋体" w:hAnsi="宋体" w:cs="宋体"/>
          <w:color w:val="auto"/>
          <w:szCs w:val="21"/>
          <w:highlight w:val="none"/>
          <w:lang w:val="en-US" w:eastAsia="zh-CN"/>
        </w:rPr>
        <w:t>88587067</w:t>
      </w:r>
      <w:r>
        <w:rPr>
          <w:rFonts w:hint="eastAsia" w:ascii="宋体" w:hAnsi="宋体" w:cs="宋体"/>
          <w:color w:val="auto"/>
          <w:szCs w:val="21"/>
          <w:highlight w:val="none"/>
        </w:rPr>
        <w:t xml:space="preserve"> </w:t>
      </w:r>
    </w:p>
    <w:p w14:paraId="7ECA0962">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招标代理机构：宁波中基国际招标有限公司</w:t>
      </w:r>
    </w:p>
    <w:p w14:paraId="0CBAB9D9">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地址：宁波市鄞州区天童南路666号中基大厦19楼</w:t>
      </w:r>
    </w:p>
    <w:p w14:paraId="3204A1ED">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联系人：孔晖、</w:t>
      </w:r>
      <w:r>
        <w:rPr>
          <w:rFonts w:hint="eastAsia" w:ascii="宋体" w:hAnsi="宋体" w:cs="宋体"/>
          <w:color w:val="auto"/>
          <w:szCs w:val="21"/>
          <w:highlight w:val="none"/>
          <w:lang w:val="en-US" w:eastAsia="zh-CN"/>
        </w:rPr>
        <w:t>王近娜、</w:t>
      </w:r>
      <w:r>
        <w:rPr>
          <w:rFonts w:hint="eastAsia" w:ascii="宋体" w:hAnsi="宋体" w:cs="宋体"/>
          <w:color w:val="auto"/>
          <w:szCs w:val="21"/>
          <w:highlight w:val="none"/>
        </w:rPr>
        <w:t>周旭坤</w:t>
      </w:r>
    </w:p>
    <w:p w14:paraId="76165A3F">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联系电话：0574-87425279  传真：0574-87425373</w:t>
      </w:r>
    </w:p>
    <w:p w14:paraId="712A230A">
      <w:pPr>
        <w:spacing w:line="360" w:lineRule="auto"/>
        <w:ind w:firstLine="316" w:firstLineChars="150"/>
        <w:rPr>
          <w:rFonts w:hint="eastAsia" w:ascii="宋体" w:hAnsi="宋体" w:cs="宋体"/>
          <w:b/>
          <w:bCs/>
          <w:color w:val="auto"/>
          <w:szCs w:val="21"/>
          <w:highlight w:val="none"/>
        </w:rPr>
      </w:pPr>
      <w:r>
        <w:rPr>
          <w:rFonts w:hint="eastAsia" w:ascii="宋体" w:hAnsi="宋体" w:cs="宋体"/>
          <w:b/>
          <w:bCs/>
          <w:color w:val="auto"/>
          <w:szCs w:val="21"/>
          <w:highlight w:val="none"/>
        </w:rPr>
        <w:t>关于本次采购的标书费、服务费都汇入以下</w:t>
      </w:r>
      <w:r>
        <w:rPr>
          <w:rFonts w:hint="eastAsia" w:ascii="宋体" w:hAnsi="宋体" w:cs="宋体"/>
          <w:b/>
          <w:bCs/>
          <w:color w:val="auto"/>
          <w:szCs w:val="21"/>
          <w:highlight w:val="none"/>
          <w:lang w:val="en-US" w:eastAsia="zh-CN"/>
        </w:rPr>
        <w:t>账户</w:t>
      </w:r>
      <w:r>
        <w:rPr>
          <w:rFonts w:hint="eastAsia" w:ascii="宋体" w:hAnsi="宋体" w:cs="宋体"/>
          <w:b/>
          <w:bCs/>
          <w:color w:val="auto"/>
          <w:szCs w:val="21"/>
          <w:highlight w:val="none"/>
        </w:rPr>
        <w:t>：</w:t>
      </w:r>
    </w:p>
    <w:p w14:paraId="509BD0F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开户银行： 宁波银行科技支行</w:t>
      </w:r>
    </w:p>
    <w:p w14:paraId="7C225E1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账</w:t>
      </w:r>
      <w:r>
        <w:rPr>
          <w:rFonts w:hint="eastAsia" w:ascii="宋体" w:hAnsi="宋体" w:cs="宋体"/>
          <w:color w:val="auto"/>
          <w:szCs w:val="21"/>
          <w:highlight w:val="none"/>
        </w:rPr>
        <w:t xml:space="preserve">    号： 31010122000005488</w:t>
      </w:r>
    </w:p>
    <w:p w14:paraId="6CA491D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olor w:val="auto"/>
          <w:highlight w:val="none"/>
        </w:rPr>
      </w:pPr>
      <w:r>
        <w:rPr>
          <w:rFonts w:hint="eastAsia" w:ascii="宋体" w:hAnsi="宋体" w:cs="宋体"/>
          <w:color w:val="auto"/>
          <w:szCs w:val="21"/>
          <w:highlight w:val="none"/>
        </w:rPr>
        <w:t>户    名： 宁波中基国际招标有限公司</w:t>
      </w:r>
    </w:p>
    <w:p w14:paraId="76A7FE55">
      <w:pPr>
        <w:spacing w:line="360" w:lineRule="auto"/>
        <w:jc w:val="center"/>
        <w:outlineLvl w:val="0"/>
        <w:rPr>
          <w:rFonts w:hint="eastAsia" w:ascii="宋体" w:hAnsi="宋体"/>
          <w:b/>
          <w:bCs/>
          <w:color w:val="auto"/>
          <w:szCs w:val="21"/>
          <w:highlight w:val="none"/>
        </w:rPr>
      </w:pPr>
      <w:r>
        <w:rPr>
          <w:rFonts w:ascii="宋体" w:hAnsi="宋体"/>
          <w:b/>
          <w:bCs/>
          <w:color w:val="auto"/>
          <w:highlight w:val="none"/>
        </w:rPr>
        <w:br w:type="page"/>
      </w:r>
      <w:bookmarkStart w:id="1" w:name="_Toc28024"/>
      <w:r>
        <w:rPr>
          <w:rFonts w:hint="eastAsia" w:ascii="宋体" w:hAnsi="宋体"/>
          <w:b/>
          <w:bCs/>
          <w:color w:val="auto"/>
          <w:sz w:val="28"/>
          <w:szCs w:val="28"/>
          <w:highlight w:val="none"/>
        </w:rPr>
        <w:t>第二章  招标需求</w:t>
      </w:r>
      <w:bookmarkEnd w:id="1"/>
    </w:p>
    <w:p w14:paraId="6BA6FDF7">
      <w:pPr>
        <w:spacing w:line="312" w:lineRule="auto"/>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一</w:t>
      </w:r>
      <w:r>
        <w:rPr>
          <w:rFonts w:hint="eastAsia" w:ascii="宋体" w:hAnsi="宋体" w:cs="宋体"/>
          <w:b/>
          <w:bCs/>
          <w:color w:val="auto"/>
          <w:szCs w:val="21"/>
          <w:highlight w:val="none"/>
        </w:rPr>
        <w:t>、重要商务要求一览表</w:t>
      </w:r>
    </w:p>
    <w:tbl>
      <w:tblPr>
        <w:tblStyle w:val="32"/>
        <w:tblW w:w="0" w:type="auto"/>
        <w:tblInd w:w="13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75"/>
        <w:gridCol w:w="6421"/>
      </w:tblGrid>
      <w:tr w14:paraId="62F94C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75" w:type="dxa"/>
            <w:tcBorders>
              <w:top w:val="single" w:color="auto" w:sz="4" w:space="0"/>
              <w:left w:val="single" w:color="auto" w:sz="4" w:space="0"/>
              <w:bottom w:val="single" w:color="auto" w:sz="4" w:space="0"/>
              <w:right w:val="single" w:color="auto" w:sz="4" w:space="0"/>
            </w:tcBorders>
            <w:noWrap w:val="0"/>
            <w:vAlign w:val="center"/>
          </w:tcPr>
          <w:p w14:paraId="05585BCF">
            <w:pPr>
              <w:keepNext w:val="0"/>
              <w:keepLines w:val="0"/>
              <w:suppressLineNumbers w:val="0"/>
              <w:spacing w:before="0" w:beforeAutospacing="0" w:after="0" w:afterAutospacing="0" w:line="360" w:lineRule="auto"/>
              <w:ind w:left="0" w:righ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1、服务期限</w:t>
            </w:r>
          </w:p>
        </w:tc>
        <w:tc>
          <w:tcPr>
            <w:tcW w:w="6421" w:type="dxa"/>
            <w:tcBorders>
              <w:top w:val="single" w:color="auto" w:sz="4" w:space="0"/>
              <w:left w:val="single" w:color="auto" w:sz="4" w:space="0"/>
              <w:bottom w:val="single" w:color="auto" w:sz="4" w:space="0"/>
              <w:right w:val="single" w:color="auto" w:sz="4" w:space="0"/>
            </w:tcBorders>
            <w:noWrap w:val="0"/>
            <w:vAlign w:val="center"/>
          </w:tcPr>
          <w:p w14:paraId="5EB5641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详见《第一章  招标公告》</w:t>
            </w:r>
          </w:p>
        </w:tc>
      </w:tr>
      <w:tr w14:paraId="774D1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75" w:type="dxa"/>
            <w:tcBorders>
              <w:top w:val="single" w:color="auto" w:sz="4" w:space="0"/>
              <w:left w:val="single" w:color="auto" w:sz="4" w:space="0"/>
              <w:right w:val="single" w:color="auto" w:sz="4" w:space="0"/>
            </w:tcBorders>
            <w:noWrap w:val="0"/>
            <w:vAlign w:val="center"/>
          </w:tcPr>
          <w:p w14:paraId="7D814215">
            <w:pPr>
              <w:keepNext w:val="0"/>
              <w:keepLines w:val="0"/>
              <w:suppressLineNumbers w:val="0"/>
              <w:spacing w:before="0" w:beforeAutospacing="0" w:after="0" w:afterAutospacing="0" w:line="360" w:lineRule="auto"/>
              <w:ind w:left="0" w:righ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2、服务地点</w:t>
            </w:r>
          </w:p>
        </w:tc>
        <w:tc>
          <w:tcPr>
            <w:tcW w:w="6421" w:type="dxa"/>
            <w:tcBorders>
              <w:top w:val="single" w:color="auto" w:sz="4" w:space="0"/>
              <w:left w:val="single" w:color="auto" w:sz="4" w:space="0"/>
              <w:bottom w:val="single" w:color="auto" w:sz="4" w:space="0"/>
              <w:right w:val="single" w:color="auto" w:sz="4" w:space="0"/>
            </w:tcBorders>
            <w:noWrap w:val="0"/>
            <w:vAlign w:val="center"/>
          </w:tcPr>
          <w:p w14:paraId="3BC7980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奉化区人民医院</w:t>
            </w:r>
          </w:p>
        </w:tc>
      </w:tr>
      <w:tr w14:paraId="791D7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75" w:type="dxa"/>
            <w:tcBorders>
              <w:top w:val="single" w:color="auto" w:sz="4" w:space="0"/>
              <w:left w:val="single" w:color="auto" w:sz="4" w:space="0"/>
              <w:right w:val="single" w:color="auto" w:sz="4" w:space="0"/>
            </w:tcBorders>
            <w:noWrap w:val="0"/>
            <w:vAlign w:val="center"/>
          </w:tcPr>
          <w:p w14:paraId="722EE2E2">
            <w:pPr>
              <w:keepNext w:val="0"/>
              <w:keepLines w:val="0"/>
              <w:suppressLineNumbers w:val="0"/>
              <w:spacing w:before="0" w:beforeAutospacing="0" w:after="0" w:afterAutospacing="0" w:line="360" w:lineRule="auto"/>
              <w:ind w:left="0" w:righ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3、履约保证金</w:t>
            </w:r>
          </w:p>
        </w:tc>
        <w:tc>
          <w:tcPr>
            <w:tcW w:w="6421" w:type="dxa"/>
            <w:tcBorders>
              <w:top w:val="single" w:color="auto" w:sz="4" w:space="0"/>
              <w:left w:val="single" w:color="auto" w:sz="4" w:space="0"/>
              <w:bottom w:val="single" w:color="auto" w:sz="4" w:space="0"/>
              <w:right w:val="single" w:color="auto" w:sz="4" w:space="0"/>
            </w:tcBorders>
            <w:noWrap w:val="0"/>
            <w:vAlign w:val="center"/>
          </w:tcPr>
          <w:p w14:paraId="3021362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本项目不适用</w:t>
            </w:r>
            <w:r>
              <w:rPr>
                <w:rFonts w:hint="eastAsia" w:ascii="宋体" w:hAnsi="宋体" w:eastAsia="宋体" w:cs="宋体"/>
                <w:color w:val="auto"/>
                <w:szCs w:val="21"/>
                <w:highlight w:val="none"/>
              </w:rPr>
              <w:t>。</w:t>
            </w:r>
          </w:p>
        </w:tc>
      </w:tr>
      <w:tr w14:paraId="2D006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75" w:type="dxa"/>
            <w:tcBorders>
              <w:top w:val="single" w:color="auto" w:sz="4" w:space="0"/>
              <w:left w:val="single" w:color="auto" w:sz="4" w:space="0"/>
              <w:bottom w:val="single" w:color="auto" w:sz="4" w:space="0"/>
              <w:right w:val="single" w:color="auto" w:sz="4" w:space="0"/>
            </w:tcBorders>
            <w:noWrap w:val="0"/>
            <w:vAlign w:val="center"/>
          </w:tcPr>
          <w:p w14:paraId="4CC6E356">
            <w:pPr>
              <w:keepNext w:val="0"/>
              <w:keepLines w:val="0"/>
              <w:suppressLineNumbers w:val="0"/>
              <w:spacing w:before="0" w:beforeAutospacing="0" w:after="0" w:afterAutospacing="0" w:line="360" w:lineRule="auto"/>
              <w:ind w:left="0" w:righ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4、付款方式</w:t>
            </w:r>
          </w:p>
        </w:tc>
        <w:tc>
          <w:tcPr>
            <w:tcW w:w="6421" w:type="dxa"/>
            <w:tcBorders>
              <w:top w:val="single" w:color="auto" w:sz="4" w:space="0"/>
              <w:left w:val="single" w:color="auto" w:sz="4" w:space="0"/>
              <w:bottom w:val="single" w:color="auto" w:sz="4" w:space="0"/>
              <w:right w:val="single" w:color="auto" w:sz="4" w:space="0"/>
            </w:tcBorders>
            <w:noWrap w:val="0"/>
            <w:vAlign w:val="top"/>
          </w:tcPr>
          <w:p w14:paraId="43EEE07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根据医院实际情况进行结算，最长不超过12个月</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实际结算金额以实际送货数量为依据，</w:t>
            </w:r>
            <w:r>
              <w:rPr>
                <w:rFonts w:hint="eastAsia" w:ascii="宋体" w:hAnsi="宋体" w:eastAsia="宋体" w:cs="宋体"/>
                <w:color w:val="auto"/>
                <w:szCs w:val="21"/>
                <w:highlight w:val="none"/>
                <w:lang w:val="en-US" w:eastAsia="zh-CN"/>
              </w:rPr>
              <w:t>以宁波市价格协会最新公布执行的《宁波市中药饮片价格信息单》中各类中药配方颗粒医保支付标准</w:t>
            </w:r>
            <w:r>
              <w:rPr>
                <w:rFonts w:hint="eastAsia" w:ascii="宋体" w:hAnsi="宋体" w:cs="宋体"/>
                <w:color w:val="auto"/>
                <w:szCs w:val="21"/>
                <w:highlight w:val="none"/>
                <w:lang w:val="en-US" w:eastAsia="zh-CN"/>
              </w:rPr>
              <w:t>为基数进行</w:t>
            </w:r>
            <w:r>
              <w:rPr>
                <w:rFonts w:hint="eastAsia" w:ascii="宋体" w:hAnsi="宋体" w:eastAsia="宋体" w:cs="宋体"/>
                <w:color w:val="auto"/>
                <w:szCs w:val="21"/>
                <w:highlight w:val="none"/>
                <w:lang w:val="en-US" w:eastAsia="zh-CN"/>
              </w:rPr>
              <w:t>计算，列入《全国中药饮片采购联盟集中采购》的按照国家集采中标价格执行</w:t>
            </w:r>
            <w:r>
              <w:rPr>
                <w:rFonts w:hint="eastAsia" w:ascii="宋体" w:hAnsi="宋体" w:eastAsia="宋体" w:cs="宋体"/>
                <w:color w:val="auto"/>
                <w:szCs w:val="21"/>
                <w:highlight w:val="none"/>
              </w:rPr>
              <w:t>。</w:t>
            </w:r>
          </w:p>
          <w:p w14:paraId="42E48C3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结算价格=中标报价（</w:t>
            </w:r>
            <w:r>
              <w:rPr>
                <w:rFonts w:hint="eastAsia" w:ascii="宋体" w:hAnsi="宋体" w:cs="宋体"/>
                <w:color w:val="auto"/>
                <w:szCs w:val="21"/>
                <w:highlight w:val="none"/>
                <w:lang w:val="en-US" w:eastAsia="zh-CN"/>
              </w:rPr>
              <w:t>折扣系数</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价格基数</w:t>
            </w:r>
            <w:r>
              <w:rPr>
                <w:rFonts w:hint="eastAsia" w:ascii="宋体" w:hAnsi="宋体" w:eastAsia="宋体" w:cs="宋体"/>
                <w:color w:val="auto"/>
                <w:szCs w:val="21"/>
                <w:highlight w:val="none"/>
              </w:rPr>
              <w:t>×克数</w:t>
            </w:r>
          </w:p>
          <w:p w14:paraId="0B1B6CB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（2）中标人应在招标人付款前，向招标人提供等额增值税专用发票、送货清单。</w:t>
            </w:r>
          </w:p>
          <w:p w14:paraId="0E4B7DE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（3）中标人应当积极组织调拨资源</w:t>
            </w:r>
            <w:r>
              <w:rPr>
                <w:rFonts w:hint="eastAsia" w:ascii="宋体" w:hAnsi="宋体" w:cs="宋体"/>
                <w:color w:val="auto"/>
                <w:szCs w:val="21"/>
                <w:highlight w:val="none"/>
                <w:lang w:val="en-US" w:eastAsia="zh-CN"/>
              </w:rPr>
              <w:t>满足招标人要求</w:t>
            </w:r>
            <w:r>
              <w:rPr>
                <w:rFonts w:hint="eastAsia" w:ascii="宋体" w:hAnsi="宋体" w:eastAsia="宋体" w:cs="宋体"/>
                <w:color w:val="auto"/>
                <w:szCs w:val="21"/>
                <w:highlight w:val="none"/>
              </w:rPr>
              <w:t>，在24小时内组织到货，市场上确无货源的除外。</w:t>
            </w:r>
          </w:p>
        </w:tc>
      </w:tr>
      <w:tr w14:paraId="273C6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75" w:type="dxa"/>
            <w:tcBorders>
              <w:top w:val="single" w:color="auto" w:sz="4" w:space="0"/>
              <w:left w:val="single" w:color="auto" w:sz="4" w:space="0"/>
              <w:right w:val="single" w:color="auto" w:sz="4" w:space="0"/>
            </w:tcBorders>
            <w:noWrap w:val="0"/>
            <w:vAlign w:val="center"/>
          </w:tcPr>
          <w:p w14:paraId="1D784F26">
            <w:pPr>
              <w:keepNext w:val="0"/>
              <w:keepLines w:val="0"/>
              <w:suppressLineNumbers w:val="0"/>
              <w:spacing w:before="0" w:beforeAutospacing="0" w:after="0" w:afterAutospacing="0" w:line="360" w:lineRule="auto"/>
              <w:ind w:left="0" w:righ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5、验收标准</w:t>
            </w:r>
          </w:p>
        </w:tc>
        <w:tc>
          <w:tcPr>
            <w:tcW w:w="6421" w:type="dxa"/>
            <w:tcBorders>
              <w:top w:val="single" w:color="auto" w:sz="4" w:space="0"/>
              <w:left w:val="single" w:color="auto" w:sz="4" w:space="0"/>
              <w:bottom w:val="single" w:color="auto" w:sz="4" w:space="0"/>
              <w:right w:val="single" w:color="auto" w:sz="4" w:space="0"/>
            </w:tcBorders>
            <w:noWrap w:val="0"/>
            <w:vAlign w:val="center"/>
          </w:tcPr>
          <w:p w14:paraId="7069B9F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根据招标文件要求、投标人承诺及国家、浙江省、宁波市有关规定，由招标人及相关部门进行验收。</w:t>
            </w:r>
          </w:p>
          <w:p w14:paraId="3405F44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质量标准参考</w:t>
            </w:r>
            <w:bookmarkStart w:id="2" w:name="OLE_LINK8"/>
            <w:r>
              <w:rPr>
                <w:rFonts w:hint="eastAsia" w:ascii="宋体" w:hAnsi="宋体" w:eastAsia="宋体" w:cs="宋体"/>
                <w:b w:val="0"/>
                <w:bCs w:val="0"/>
                <w:color w:val="auto"/>
                <w:sz w:val="21"/>
                <w:szCs w:val="21"/>
                <w:highlight w:val="none"/>
              </w:rPr>
              <w:t>《</w:t>
            </w:r>
            <w:bookmarkStart w:id="3" w:name="OLE_LINK2"/>
            <w:r>
              <w:rPr>
                <w:rFonts w:hint="eastAsia" w:ascii="宋体" w:hAnsi="宋体" w:eastAsia="宋体" w:cs="宋体"/>
                <w:b w:val="0"/>
                <w:bCs w:val="0"/>
                <w:color w:val="auto"/>
                <w:sz w:val="21"/>
                <w:szCs w:val="21"/>
                <w:highlight w:val="none"/>
              </w:rPr>
              <w:t>中华人民共和国药典</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2020年版</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一部</w:t>
            </w:r>
            <w:bookmarkEnd w:id="2"/>
            <w:bookmarkEnd w:id="3"/>
            <w:r>
              <w:rPr>
                <w:rFonts w:hint="eastAsia" w:ascii="宋体" w:hAnsi="宋体" w:eastAsia="宋体" w:cs="宋体"/>
                <w:b w:val="0"/>
                <w:bCs w:val="0"/>
                <w:color w:val="auto"/>
                <w:sz w:val="21"/>
                <w:szCs w:val="21"/>
                <w:highlight w:val="none"/>
              </w:rPr>
              <w:t>》</w:t>
            </w:r>
            <w:r>
              <w:rPr>
                <w:rFonts w:hint="eastAsia" w:ascii="宋体" w:hAnsi="宋体" w:eastAsia="宋体" w:cs="宋体"/>
                <w:b w:val="0"/>
                <w:bCs w:val="0"/>
                <w:i w:val="0"/>
                <w:iCs w:val="0"/>
                <w:caps w:val="0"/>
                <w:color w:val="auto"/>
                <w:spacing w:val="0"/>
                <w:sz w:val="21"/>
                <w:szCs w:val="21"/>
                <w:highlight w:val="none"/>
                <w:shd w:val="clear" w:color="auto" w:fill="FFFFFF"/>
              </w:rPr>
              <w:t>《国家中药饮片炮制规范</w:t>
            </w:r>
            <w:r>
              <w:rPr>
                <w:rFonts w:hint="eastAsia" w:ascii="宋体" w:hAnsi="宋体" w:eastAsia="宋体" w:cs="宋体"/>
                <w:b w:val="0"/>
                <w:bCs w:val="0"/>
                <w:i w:val="0"/>
                <w:iCs w:val="0"/>
                <w:caps w:val="0"/>
                <w:color w:val="auto"/>
                <w:spacing w:val="0"/>
                <w:sz w:val="21"/>
                <w:szCs w:val="21"/>
                <w:highlight w:val="none"/>
                <w:shd w:val="clear" w:color="auto" w:fill="FFFFFF"/>
                <w:lang w:eastAsia="zh-CN"/>
              </w:rPr>
              <w:t>（</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2023年版</w:t>
            </w:r>
            <w:r>
              <w:rPr>
                <w:rFonts w:hint="eastAsia" w:ascii="宋体" w:hAnsi="宋体" w:eastAsia="宋体" w:cs="宋体"/>
                <w:b w:val="0"/>
                <w:bCs w:val="0"/>
                <w:i w:val="0"/>
                <w:iCs w:val="0"/>
                <w:caps w:val="0"/>
                <w:color w:val="auto"/>
                <w:spacing w:val="0"/>
                <w:sz w:val="21"/>
                <w:szCs w:val="21"/>
                <w:highlight w:val="none"/>
                <w:shd w:val="clear" w:color="auto" w:fill="FFFFFF"/>
                <w:lang w:eastAsia="zh-CN"/>
              </w:rPr>
              <w:t>）</w:t>
            </w:r>
            <w:r>
              <w:rPr>
                <w:rFonts w:hint="eastAsia" w:ascii="宋体" w:hAnsi="宋体" w:eastAsia="宋体" w:cs="宋体"/>
                <w:b w:val="0"/>
                <w:bCs w:val="0"/>
                <w:i w:val="0"/>
                <w:iCs w:val="0"/>
                <w:caps w:val="0"/>
                <w:color w:val="auto"/>
                <w:spacing w:val="0"/>
                <w:sz w:val="21"/>
                <w:szCs w:val="21"/>
                <w:highlight w:val="none"/>
                <w:shd w:val="clear" w:color="auto" w:fill="FFFFFF"/>
              </w:rPr>
              <w:t>》</w:t>
            </w:r>
            <w:r>
              <w:rPr>
                <w:rFonts w:hint="eastAsia" w:ascii="宋体" w:hAnsi="宋体" w:eastAsia="宋体" w:cs="宋体"/>
                <w:color w:val="auto"/>
                <w:szCs w:val="21"/>
                <w:highlight w:val="none"/>
                <w:lang w:val="en-US" w:eastAsia="zh-CN"/>
              </w:rPr>
              <w:t>、《浙江省中药饮片炮制规范》2015年版、《中药处方与调剂规范》。</w:t>
            </w:r>
          </w:p>
        </w:tc>
      </w:tr>
      <w:tr w14:paraId="39CCE0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75" w:type="dxa"/>
            <w:tcBorders>
              <w:top w:val="single" w:color="auto" w:sz="4" w:space="0"/>
              <w:left w:val="single" w:color="auto" w:sz="4" w:space="0"/>
              <w:right w:val="single" w:color="auto" w:sz="4" w:space="0"/>
            </w:tcBorders>
            <w:noWrap w:val="0"/>
            <w:vAlign w:val="center"/>
          </w:tcPr>
          <w:p w14:paraId="5BC68663">
            <w:pPr>
              <w:keepNext w:val="0"/>
              <w:keepLines w:val="0"/>
              <w:suppressLineNumbers w:val="0"/>
              <w:spacing w:before="0" w:beforeAutospacing="0" w:after="0" w:afterAutospacing="0" w:line="360" w:lineRule="auto"/>
              <w:ind w:left="0" w:right="0"/>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6、安全等级要求</w:t>
            </w:r>
          </w:p>
        </w:tc>
        <w:tc>
          <w:tcPr>
            <w:tcW w:w="6421" w:type="dxa"/>
            <w:tcBorders>
              <w:top w:val="single" w:color="auto" w:sz="4" w:space="0"/>
              <w:left w:val="single" w:color="auto" w:sz="4" w:space="0"/>
              <w:bottom w:val="single" w:color="auto" w:sz="4" w:space="0"/>
              <w:right w:val="single" w:color="auto" w:sz="4" w:space="0"/>
            </w:tcBorders>
            <w:noWrap w:val="0"/>
            <w:vAlign w:val="center"/>
          </w:tcPr>
          <w:p w14:paraId="2A4294D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合格</w:t>
            </w:r>
          </w:p>
        </w:tc>
      </w:tr>
      <w:tr w14:paraId="6DADE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75" w:type="dxa"/>
            <w:tcBorders>
              <w:top w:val="single" w:color="auto" w:sz="4" w:space="0"/>
              <w:left w:val="single" w:color="auto" w:sz="4" w:space="0"/>
              <w:bottom w:val="single" w:color="auto" w:sz="4" w:space="0"/>
              <w:right w:val="single" w:color="auto" w:sz="4" w:space="0"/>
            </w:tcBorders>
            <w:noWrap w:val="0"/>
            <w:vAlign w:val="center"/>
          </w:tcPr>
          <w:p w14:paraId="0B9D53DC">
            <w:pPr>
              <w:keepNext w:val="0"/>
              <w:keepLines w:val="0"/>
              <w:suppressLineNumbers w:val="0"/>
              <w:spacing w:before="0" w:beforeAutospacing="0" w:after="0" w:afterAutospacing="0" w:line="360" w:lineRule="auto"/>
              <w:ind w:left="0" w:right="0"/>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7、配送时间要求</w:t>
            </w:r>
          </w:p>
        </w:tc>
        <w:tc>
          <w:tcPr>
            <w:tcW w:w="6421" w:type="dxa"/>
            <w:tcBorders>
              <w:top w:val="single" w:color="auto" w:sz="4" w:space="0"/>
              <w:left w:val="single" w:color="auto" w:sz="4" w:space="0"/>
              <w:bottom w:val="single" w:color="auto" w:sz="4" w:space="0"/>
              <w:right w:val="single" w:color="auto" w:sz="4" w:space="0"/>
            </w:tcBorders>
            <w:noWrap w:val="0"/>
            <w:vAlign w:val="center"/>
          </w:tcPr>
          <w:p w14:paraId="2569AC2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做好供应保障。能在24小时内运送至医院指定地点，急需药品2小时</w:t>
            </w:r>
            <w:r>
              <w:rPr>
                <w:rFonts w:hint="eastAsia" w:ascii="宋体" w:hAnsi="宋体" w:eastAsia="宋体" w:cs="宋体"/>
                <w:color w:val="auto"/>
                <w:szCs w:val="21"/>
                <w:highlight w:val="none"/>
                <w:lang w:val="en-US" w:eastAsia="zh-CN"/>
              </w:rPr>
              <w:t>内</w:t>
            </w:r>
            <w:r>
              <w:rPr>
                <w:rFonts w:hint="eastAsia" w:ascii="宋体" w:hAnsi="宋体" w:eastAsia="宋体" w:cs="宋体"/>
                <w:color w:val="auto"/>
                <w:szCs w:val="21"/>
                <w:highlight w:val="none"/>
              </w:rPr>
              <w:t>配送到位，保证1周多次送货。</w:t>
            </w:r>
          </w:p>
        </w:tc>
      </w:tr>
      <w:tr w14:paraId="0D3BC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1" w:hRule="atLeast"/>
        </w:trPr>
        <w:tc>
          <w:tcPr>
            <w:tcW w:w="1775" w:type="dxa"/>
            <w:tcBorders>
              <w:top w:val="single" w:color="auto" w:sz="4" w:space="0"/>
              <w:left w:val="single" w:color="auto" w:sz="4" w:space="0"/>
              <w:bottom w:val="single" w:color="auto" w:sz="4" w:space="0"/>
              <w:right w:val="single" w:color="auto" w:sz="4" w:space="0"/>
            </w:tcBorders>
            <w:noWrap w:val="0"/>
            <w:vAlign w:val="center"/>
          </w:tcPr>
          <w:p w14:paraId="25BA2E78">
            <w:pPr>
              <w:keepNext w:val="0"/>
              <w:keepLines w:val="0"/>
              <w:suppressLineNumbers w:val="0"/>
              <w:tabs>
                <w:tab w:val="left" w:pos="3234"/>
              </w:tabs>
              <w:spacing w:before="0" w:beforeAutospacing="0" w:after="0" w:afterAutospacing="0" w:line="360" w:lineRule="auto"/>
              <w:ind w:left="0" w:righ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8、合同终止</w:t>
            </w:r>
          </w:p>
        </w:tc>
        <w:tc>
          <w:tcPr>
            <w:tcW w:w="6421" w:type="dxa"/>
            <w:tcBorders>
              <w:top w:val="single" w:color="auto" w:sz="4" w:space="0"/>
              <w:left w:val="single" w:color="auto" w:sz="4" w:space="0"/>
              <w:bottom w:val="single" w:color="auto" w:sz="4" w:space="0"/>
              <w:right w:val="single" w:color="auto" w:sz="4" w:space="0"/>
            </w:tcBorders>
            <w:noWrap w:val="0"/>
            <w:vAlign w:val="center"/>
          </w:tcPr>
          <w:p w14:paraId="58D9D12F">
            <w:pPr>
              <w:keepNext w:val="0"/>
              <w:keepLines w:val="0"/>
              <w:suppressLineNumbers w:val="0"/>
              <w:spacing w:before="0" w:beforeAutospacing="0" w:after="0" w:afterAutospacing="0" w:line="360" w:lineRule="auto"/>
              <w:ind w:left="0" w:right="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在合同有效期内，不得以任何理由终止合同，确有特殊情况的，须提前两个月向招标人提出书面申请，经招标人同意后，方可终止合同，同时酌情扣除履约保证金。因中标人不能保证工作质量，或发生重大差错事故的，招标人可有权终止合同，中标人承担全部责任。</w:t>
            </w:r>
          </w:p>
        </w:tc>
      </w:tr>
      <w:tr w14:paraId="3AAAF4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75" w:type="dxa"/>
            <w:tcBorders>
              <w:top w:val="single" w:color="auto" w:sz="4" w:space="0"/>
              <w:left w:val="single" w:color="auto" w:sz="4" w:space="0"/>
              <w:bottom w:val="single" w:color="auto" w:sz="4" w:space="0"/>
              <w:right w:val="single" w:color="auto" w:sz="4" w:space="0"/>
            </w:tcBorders>
            <w:noWrap w:val="0"/>
            <w:vAlign w:val="center"/>
          </w:tcPr>
          <w:p w14:paraId="25284457">
            <w:pPr>
              <w:keepNext w:val="0"/>
              <w:keepLines w:val="0"/>
              <w:suppressLineNumbers w:val="0"/>
              <w:tabs>
                <w:tab w:val="left" w:pos="3234"/>
              </w:tabs>
              <w:spacing w:before="0" w:beforeAutospacing="0" w:after="0" w:afterAutospacing="0" w:line="360" w:lineRule="auto"/>
              <w:ind w:left="0" w:right="0"/>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9、其他要求</w:t>
            </w:r>
          </w:p>
        </w:tc>
        <w:tc>
          <w:tcPr>
            <w:tcW w:w="6421" w:type="dxa"/>
            <w:tcBorders>
              <w:top w:val="single" w:color="auto" w:sz="4" w:space="0"/>
              <w:left w:val="single" w:color="auto" w:sz="4" w:space="0"/>
              <w:bottom w:val="single" w:color="auto" w:sz="4" w:space="0"/>
              <w:right w:val="single" w:color="auto" w:sz="4" w:space="0"/>
            </w:tcBorders>
            <w:noWrap w:val="0"/>
            <w:vAlign w:val="center"/>
          </w:tcPr>
          <w:p w14:paraId="3B22D2EB">
            <w:pPr>
              <w:keepNext w:val="0"/>
              <w:keepLines w:val="0"/>
              <w:suppressLineNumbers w:val="0"/>
              <w:spacing w:before="0" w:beforeAutospacing="0" w:after="0" w:afterAutospacing="0" w:line="360" w:lineRule="auto"/>
              <w:ind w:left="0" w:right="0"/>
              <w:jc w:val="left"/>
              <w:textAlignment w:val="baseline"/>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投标人应遵守药品经营质量管理规范或药品生产质量管理规范。</w:t>
            </w:r>
          </w:p>
        </w:tc>
      </w:tr>
    </w:tbl>
    <w:p w14:paraId="0829FDFB">
      <w:pPr>
        <w:numPr>
          <w:ilvl w:val="0"/>
          <w:numId w:val="0"/>
        </w:numPr>
        <w:spacing w:line="360" w:lineRule="auto"/>
        <w:rPr>
          <w:rFonts w:hint="eastAsia" w:ascii="宋体" w:hAnsi="宋体" w:eastAsia="宋体" w:cs="Times New Roman"/>
          <w:b/>
          <w:bCs/>
          <w:color w:val="auto"/>
          <w:kern w:val="2"/>
          <w:sz w:val="21"/>
          <w:szCs w:val="21"/>
          <w:lang w:val="en-US" w:eastAsia="zh-CN" w:bidi="ar-SA"/>
        </w:rPr>
      </w:pPr>
    </w:p>
    <w:p w14:paraId="73AF466F">
      <w:pPr>
        <w:numPr>
          <w:ilvl w:val="0"/>
          <w:numId w:val="0"/>
        </w:numPr>
        <w:spacing w:line="360" w:lineRule="auto"/>
        <w:rPr>
          <w:rFonts w:hint="eastAsia" w:ascii="宋体" w:hAnsi="宋体"/>
          <w:b/>
          <w:bCs/>
          <w:color w:val="auto"/>
          <w:szCs w:val="21"/>
          <w:highlight w:val="none"/>
          <w:lang w:val="en-US" w:eastAsia="zh-CN"/>
        </w:rPr>
      </w:pPr>
      <w:r>
        <w:rPr>
          <w:rFonts w:hint="eastAsia" w:ascii="宋体" w:hAnsi="宋体" w:eastAsia="宋体" w:cs="Times New Roman"/>
          <w:b/>
          <w:bCs/>
          <w:color w:val="auto"/>
          <w:kern w:val="2"/>
          <w:sz w:val="21"/>
          <w:szCs w:val="21"/>
          <w:lang w:val="en-US" w:eastAsia="zh-CN" w:bidi="ar-SA"/>
        </w:rPr>
        <w:t>二、</w:t>
      </w:r>
      <w:r>
        <w:rPr>
          <w:rFonts w:hint="eastAsia" w:ascii="宋体" w:hAnsi="宋体"/>
          <w:b/>
          <w:bCs/>
          <w:color w:val="auto"/>
          <w:szCs w:val="21"/>
          <w:highlight w:val="none"/>
          <w:lang w:val="en-US" w:eastAsia="zh-CN"/>
        </w:rPr>
        <w:t>项目总体要求</w:t>
      </w:r>
    </w:p>
    <w:p w14:paraId="2A6857C4">
      <w:pPr>
        <w:numPr>
          <w:ilvl w:val="0"/>
          <w:numId w:val="0"/>
        </w:numPr>
        <w:spacing w:line="360" w:lineRule="auto"/>
        <w:ind w:firstLine="420" w:firstLineChars="200"/>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1、中标人必须供应优质的中药配方颗粒并保证持续供货，不得断供。入库验收时，如发现与实际要求质量不相符的或服务与合同要求不符的，退回供货，同时整改；若发现假药、劣药等质量问题，则取消其供货资格。</w:t>
      </w:r>
    </w:p>
    <w:p w14:paraId="5D8E58FB">
      <w:pPr>
        <w:numPr>
          <w:ilvl w:val="0"/>
          <w:numId w:val="0"/>
        </w:numPr>
        <w:spacing w:line="360" w:lineRule="auto"/>
        <w:ind w:firstLine="420" w:firstLineChars="200"/>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2、合同期内不得随意更改供应价格。如合同期间中药有调价（以宁波市物价调价通知单为准），价格统一以宁波市价格协会最新公布执行的《宁波市中药饮片价格信息单》中各类中药配方颗粒医保支付标准为基数进行计算，列入《全国中药饮片采购联盟集中采购》的按照国家集采中标价格执行。</w:t>
      </w:r>
    </w:p>
    <w:p w14:paraId="4FF6B788">
      <w:pPr>
        <w:numPr>
          <w:ilvl w:val="0"/>
          <w:numId w:val="0"/>
        </w:numPr>
        <w:spacing w:line="360" w:lineRule="auto"/>
        <w:ind w:firstLine="420" w:firstLineChars="200"/>
        <w:rPr>
          <w:rFonts w:hint="default"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★3、合同期间，中标人需确保提供列入国家集中采购品种的药品，</w:t>
      </w:r>
      <w:r>
        <w:rPr>
          <w:rFonts w:hint="eastAsia" w:ascii="宋体" w:hAnsi="宋体"/>
          <w:b/>
          <w:bCs/>
          <w:color w:val="auto"/>
          <w:szCs w:val="21"/>
          <w:highlight w:val="none"/>
          <w:lang w:val="en-US" w:eastAsia="zh-CN"/>
        </w:rPr>
        <w:t>提供全部中药国家集采目录内产品的保供承诺（投标文件中提供保供承诺，格式自拟。合同执行过程中如不能保供，则取消供货资格）</w:t>
      </w:r>
      <w:r>
        <w:rPr>
          <w:rFonts w:hint="eastAsia" w:ascii="宋体" w:hAnsi="宋体"/>
          <w:b w:val="0"/>
          <w:bCs w:val="0"/>
          <w:color w:val="auto"/>
          <w:szCs w:val="21"/>
          <w:highlight w:val="none"/>
          <w:lang w:val="en-US" w:eastAsia="zh-CN"/>
        </w:rPr>
        <w:t>。按国家集采结果和医院勾选的集采品种及时供货，如与国家集采政策相违背的，按照国家集采政策执行。如采购内容发生重大变化，项目将终止合同重新进行招标。</w:t>
      </w:r>
    </w:p>
    <w:p w14:paraId="341B4D6A">
      <w:pPr>
        <w:spacing w:line="360" w:lineRule="auto"/>
        <w:rPr>
          <w:rFonts w:hint="eastAsia" w:ascii="宋体" w:hAnsi="宋体"/>
          <w:b/>
          <w:bCs/>
          <w:color w:val="auto"/>
          <w:szCs w:val="21"/>
          <w:highlight w:val="none"/>
        </w:rPr>
      </w:pPr>
    </w:p>
    <w:p w14:paraId="20F1717F">
      <w:pPr>
        <w:spacing w:line="360" w:lineRule="auto"/>
        <w:rPr>
          <w:rFonts w:hint="eastAsia" w:ascii="宋体" w:hAnsi="宋体"/>
          <w:b/>
          <w:bCs/>
          <w:color w:val="auto"/>
          <w:szCs w:val="21"/>
          <w:highlight w:val="none"/>
        </w:rPr>
      </w:pPr>
      <w:r>
        <w:rPr>
          <w:rFonts w:hint="eastAsia" w:ascii="宋体" w:hAnsi="宋体"/>
          <w:b/>
          <w:bCs/>
          <w:color w:val="auto"/>
          <w:szCs w:val="21"/>
          <w:highlight w:val="none"/>
        </w:rPr>
        <w:t>三、售后及增值服务</w:t>
      </w:r>
    </w:p>
    <w:p w14:paraId="0279036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技术支持与人才培养：</w:t>
      </w:r>
    </w:p>
    <w:p w14:paraId="3DD3B86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派驻专业人员指导中药</w:t>
      </w:r>
      <w:r>
        <w:rPr>
          <w:rFonts w:hint="eastAsia" w:ascii="宋体" w:hAnsi="宋体" w:cs="宋体"/>
          <w:color w:val="auto"/>
          <w:szCs w:val="21"/>
          <w:highlight w:val="none"/>
          <w:lang w:val="en-US" w:eastAsia="zh-CN"/>
        </w:rPr>
        <w:t>颗粒</w:t>
      </w:r>
      <w:r>
        <w:rPr>
          <w:rFonts w:hint="eastAsia" w:ascii="宋体" w:hAnsi="宋体" w:cs="宋体"/>
          <w:color w:val="auto"/>
          <w:szCs w:val="21"/>
          <w:highlight w:val="none"/>
        </w:rPr>
        <w:t>人才培训。</w:t>
      </w:r>
    </w:p>
    <w:p w14:paraId="3FC71A3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协助名老中医经典方传承及中医药宣传工作。</w:t>
      </w:r>
    </w:p>
    <w:p w14:paraId="2A2D2676">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（3）协助医院开展中医药文化建设。</w:t>
      </w:r>
    </w:p>
    <w:p w14:paraId="3424AED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信息化保障：</w:t>
      </w:r>
    </w:p>
    <w:p w14:paraId="6CD93C6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免费提供智能调配系统，与医院HIS系统对接，支持中医药信息化建设。</w:t>
      </w:r>
    </w:p>
    <w:p w14:paraId="09DF4AD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应急与售后服务：</w:t>
      </w:r>
    </w:p>
    <w:p w14:paraId="2AC6377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中标人应</w:t>
      </w:r>
      <w:r>
        <w:rPr>
          <w:rFonts w:hint="eastAsia" w:ascii="宋体" w:hAnsi="宋体" w:cs="宋体"/>
          <w:color w:val="auto"/>
          <w:szCs w:val="21"/>
          <w:highlight w:val="none"/>
        </w:rPr>
        <w:t>设立24小时服务专线，质量问题0.5小时内响应，临床急需药品免费直配到患者家。因药</w:t>
      </w:r>
      <w:r>
        <w:rPr>
          <w:rFonts w:hint="eastAsia" w:ascii="宋体" w:hAnsi="宋体" w:cs="宋体"/>
          <w:color w:val="auto"/>
          <w:szCs w:val="21"/>
          <w:highlight w:val="none"/>
          <w:lang w:eastAsia="zh-CN"/>
        </w:rPr>
        <w:t>品</w:t>
      </w:r>
      <w:r>
        <w:rPr>
          <w:rFonts w:hint="eastAsia" w:ascii="宋体" w:hAnsi="宋体" w:cs="宋体"/>
          <w:color w:val="auto"/>
          <w:szCs w:val="21"/>
          <w:highlight w:val="none"/>
        </w:rPr>
        <w:t>问题引发的投诉或纠纷，</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承担全部经济损失</w:t>
      </w:r>
      <w:r>
        <w:rPr>
          <w:rFonts w:hint="eastAsia" w:ascii="宋体" w:hAnsi="宋体" w:cs="宋体"/>
          <w:color w:val="auto"/>
          <w:szCs w:val="21"/>
          <w:highlight w:val="none"/>
          <w:lang w:val="en-US" w:eastAsia="zh-CN"/>
        </w:rPr>
        <w:t>及由此引发的全部责任</w:t>
      </w:r>
      <w:r>
        <w:rPr>
          <w:rFonts w:hint="eastAsia" w:ascii="宋体" w:hAnsi="宋体" w:cs="宋体"/>
          <w:color w:val="auto"/>
          <w:szCs w:val="21"/>
          <w:highlight w:val="none"/>
        </w:rPr>
        <w:t>。</w:t>
      </w:r>
    </w:p>
    <w:p w14:paraId="3C894BB9">
      <w:pPr>
        <w:spacing w:line="360" w:lineRule="auto"/>
        <w:rPr>
          <w:rFonts w:hint="eastAsia" w:ascii="宋体" w:hAnsi="宋体" w:cs="宋体"/>
          <w:b/>
          <w:bCs/>
          <w:color w:val="auto"/>
          <w:szCs w:val="21"/>
          <w:highlight w:val="none"/>
          <w:lang w:val="en-US" w:eastAsia="zh-CN"/>
        </w:rPr>
      </w:pPr>
    </w:p>
    <w:p w14:paraId="25189B74">
      <w:pPr>
        <w:spacing w:line="360" w:lineRule="auto"/>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四、</w:t>
      </w:r>
      <w:r>
        <w:rPr>
          <w:rFonts w:hint="eastAsia" w:ascii="宋体" w:hAnsi="宋体" w:cs="宋体"/>
          <w:b/>
          <w:bCs/>
          <w:color w:val="auto"/>
          <w:szCs w:val="21"/>
          <w:highlight w:val="none"/>
        </w:rPr>
        <w:t>招标内容及要求：</w:t>
      </w:r>
    </w:p>
    <w:p w14:paraId="0B7D5C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1、品种数：投标人应配备品种全、质量优的</w:t>
      </w:r>
      <w:r>
        <w:rPr>
          <w:rFonts w:hint="eastAsia" w:ascii="宋体" w:hAnsi="宋体" w:cs="宋体"/>
          <w:color w:val="auto"/>
          <w:szCs w:val="21"/>
          <w:highlight w:val="none"/>
          <w:lang w:eastAsia="zh-CN"/>
        </w:rPr>
        <w:t>中药配方颗粒剂。</w:t>
      </w:r>
      <w:r>
        <w:rPr>
          <w:rFonts w:hint="eastAsia" w:ascii="宋体" w:hAnsi="宋体" w:cs="宋体"/>
          <w:color w:val="auto"/>
          <w:szCs w:val="21"/>
          <w:highlight w:val="none"/>
        </w:rPr>
        <w:t>保证供应量能满足日常的临床诊疗需要，不得以任何借口（如无货，采购量少等）不执行医院药品采购计划。</w:t>
      </w:r>
    </w:p>
    <w:p w14:paraId="387BF78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2、中标人所提供的中药配方颗粒质量、规格、产地、包装等应与投标所注明的一致。</w:t>
      </w:r>
    </w:p>
    <w:p w14:paraId="0F1235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3、中标人应具有完善的供货渠道和售后服务体系，保证供货的及时性。投标人应具备</w:t>
      </w:r>
      <w:r>
        <w:rPr>
          <w:rFonts w:hint="eastAsia" w:ascii="宋体" w:hAnsi="宋体" w:cs="宋体"/>
          <w:color w:val="auto"/>
          <w:szCs w:val="21"/>
          <w:highlight w:val="none"/>
          <w:lang w:val="en-US" w:eastAsia="zh-CN"/>
        </w:rPr>
        <w:t>中药颗粒</w:t>
      </w:r>
      <w:r>
        <w:rPr>
          <w:rFonts w:hint="eastAsia" w:ascii="宋体" w:hAnsi="宋体" w:cs="宋体"/>
          <w:color w:val="auto"/>
          <w:szCs w:val="21"/>
          <w:highlight w:val="none"/>
        </w:rPr>
        <w:t>所需的生产仓储库，有完成全部产品检验的检验室，并有理化检验的每批次检验记录，有标本室和二年留样室，质检设备完善。投标人</w:t>
      </w:r>
      <w:r>
        <w:rPr>
          <w:rFonts w:hint="eastAsia" w:ascii="宋体" w:hAnsi="宋体" w:cs="宋体"/>
          <w:color w:val="auto"/>
          <w:szCs w:val="21"/>
          <w:highlight w:val="none"/>
          <w:lang w:eastAsia="zh-CN"/>
        </w:rPr>
        <w:t>拥有符合药监部门要求的生产、经营相应仓储场地，有完成全部产品检验的检验室。</w:t>
      </w:r>
      <w:r>
        <w:rPr>
          <w:rFonts w:hint="eastAsia" w:ascii="宋体" w:hAnsi="宋体" w:cs="宋体"/>
          <w:b/>
          <w:bCs/>
          <w:color w:val="auto"/>
          <w:szCs w:val="21"/>
          <w:highlight w:val="none"/>
        </w:rPr>
        <w:t>投标文件中须提供生产</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经营、</w:t>
      </w:r>
      <w:r>
        <w:rPr>
          <w:rFonts w:hint="eastAsia" w:ascii="宋体" w:hAnsi="宋体" w:cs="宋体"/>
          <w:b/>
          <w:bCs/>
          <w:color w:val="auto"/>
          <w:szCs w:val="21"/>
          <w:highlight w:val="none"/>
        </w:rPr>
        <w:t>仓储库平面图。</w:t>
      </w:r>
    </w:p>
    <w:p w14:paraId="3310F39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投标人应配备专门负责配送的车辆和人员。</w:t>
      </w:r>
    </w:p>
    <w:p w14:paraId="6691B70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5、保证质量稳定，</w:t>
      </w:r>
      <w:r>
        <w:rPr>
          <w:rFonts w:hint="eastAsia" w:ascii="宋体" w:hAnsi="宋体" w:cs="宋体"/>
          <w:color w:val="auto"/>
          <w:szCs w:val="21"/>
          <w:highlight w:val="none"/>
          <w:lang w:val="en-US" w:eastAsia="zh-CN"/>
        </w:rPr>
        <w:t>医院</w:t>
      </w:r>
      <w:r>
        <w:rPr>
          <w:rFonts w:hint="eastAsia" w:ascii="宋体" w:hAnsi="宋体" w:cs="宋体"/>
          <w:color w:val="auto"/>
          <w:szCs w:val="21"/>
          <w:highlight w:val="none"/>
        </w:rPr>
        <w:t>不定期进行实地质量规程检查。中标人必须供应优质的</w:t>
      </w:r>
      <w:r>
        <w:rPr>
          <w:rFonts w:hint="eastAsia" w:ascii="宋体" w:hAnsi="宋体" w:cs="宋体"/>
          <w:color w:val="auto"/>
          <w:szCs w:val="21"/>
          <w:highlight w:val="none"/>
          <w:lang w:val="en-US" w:eastAsia="zh-CN"/>
        </w:rPr>
        <w:t>货物，</w:t>
      </w:r>
      <w:r>
        <w:rPr>
          <w:rFonts w:hint="eastAsia" w:ascii="宋体" w:hAnsi="宋体" w:cs="宋体"/>
          <w:color w:val="auto"/>
          <w:szCs w:val="21"/>
          <w:highlight w:val="none"/>
        </w:rPr>
        <w:t>并保证持续供货，不得断供。入库验收：按照国家药品标准和省药品监管管理部门制定的</w:t>
      </w:r>
      <w:r>
        <w:rPr>
          <w:rFonts w:hint="eastAsia" w:ascii="宋体" w:hAnsi="宋体" w:cs="宋体"/>
          <w:color w:val="auto"/>
          <w:szCs w:val="21"/>
          <w:highlight w:val="none"/>
          <w:lang w:eastAsia="zh-CN"/>
        </w:rPr>
        <w:t>标准</w:t>
      </w:r>
      <w:r>
        <w:rPr>
          <w:rFonts w:hint="eastAsia" w:ascii="宋体" w:hAnsi="宋体" w:cs="宋体"/>
          <w:color w:val="auto"/>
          <w:szCs w:val="21"/>
          <w:highlight w:val="none"/>
        </w:rPr>
        <w:t>规范进行验收，验收不合格的不得入库。入库验收时，如发现实际货物与验收标准不符的、实际货物生产企业与投标时注明的生产企业不符的或服务与合同要求不符的，退回供货；若发现假药、劣药等质量问题，均一票否决，则取消其供货资格。</w:t>
      </w:r>
    </w:p>
    <w:p w14:paraId="61A4F9F3">
      <w:pPr>
        <w:numPr>
          <w:ilvl w:val="0"/>
          <w:numId w:val="0"/>
        </w:numPr>
        <w:spacing w:line="360" w:lineRule="auto"/>
        <w:rPr>
          <w:rFonts w:hint="eastAsia" w:ascii="宋体" w:hAnsi="宋体" w:cs="宋体"/>
          <w:b/>
          <w:bCs/>
          <w:color w:val="auto"/>
          <w:szCs w:val="21"/>
          <w:highlight w:val="none"/>
        </w:rPr>
      </w:pPr>
      <w:r>
        <w:rPr>
          <w:rFonts w:hint="eastAsia" w:ascii="宋体" w:hAnsi="宋体" w:cs="宋体"/>
          <w:b/>
          <w:bCs/>
          <w:color w:val="auto"/>
          <w:kern w:val="2"/>
          <w:sz w:val="21"/>
          <w:szCs w:val="21"/>
          <w:lang w:val="en-US" w:eastAsia="zh-CN" w:bidi="ar-SA"/>
        </w:rPr>
        <w:t>五、</w:t>
      </w:r>
      <w:r>
        <w:rPr>
          <w:rFonts w:hint="eastAsia" w:ascii="宋体" w:hAnsi="宋体" w:cs="宋体"/>
          <w:b/>
          <w:bCs/>
          <w:color w:val="auto"/>
          <w:szCs w:val="21"/>
          <w:highlight w:val="none"/>
          <w:lang w:val="en-US" w:eastAsia="zh-CN"/>
        </w:rPr>
        <w:t>服务</w:t>
      </w:r>
      <w:r>
        <w:rPr>
          <w:rFonts w:hint="eastAsia" w:ascii="宋体" w:hAnsi="宋体" w:cs="宋体"/>
          <w:b/>
          <w:bCs/>
          <w:color w:val="auto"/>
          <w:szCs w:val="21"/>
          <w:highlight w:val="none"/>
        </w:rPr>
        <w:t>要求：</w:t>
      </w:r>
    </w:p>
    <w:tbl>
      <w:tblPr>
        <w:tblStyle w:val="32"/>
        <w:tblW w:w="9517" w:type="dxa"/>
        <w:tblInd w:w="-6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7525"/>
        <w:gridCol w:w="1142"/>
      </w:tblGrid>
      <w:tr w14:paraId="4522F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850" w:type="dxa"/>
            <w:noWrap w:val="0"/>
            <w:vAlign w:val="center"/>
          </w:tcPr>
          <w:p w14:paraId="33C8D4BA">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7525" w:type="dxa"/>
            <w:noWrap w:val="0"/>
            <w:vAlign w:val="center"/>
          </w:tcPr>
          <w:p w14:paraId="53C96567">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技术需求</w:t>
            </w:r>
          </w:p>
        </w:tc>
        <w:tc>
          <w:tcPr>
            <w:tcW w:w="1142" w:type="dxa"/>
            <w:noWrap w:val="0"/>
            <w:vAlign w:val="center"/>
          </w:tcPr>
          <w:p w14:paraId="75D1BFBE">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Cs w:val="21"/>
                <w:highlight w:val="none"/>
                <w:lang w:eastAsia="zh-Hans"/>
              </w:rPr>
            </w:pPr>
            <w:r>
              <w:rPr>
                <w:rFonts w:hint="eastAsia" w:ascii="宋体" w:hAnsi="宋体" w:eastAsia="宋体" w:cs="宋体"/>
                <w:b/>
                <w:color w:val="auto"/>
                <w:szCs w:val="21"/>
                <w:highlight w:val="none"/>
                <w:lang w:eastAsia="zh-Hans"/>
              </w:rPr>
              <w:t>投标响应</w:t>
            </w:r>
          </w:p>
        </w:tc>
      </w:tr>
      <w:tr w14:paraId="7311D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noWrap w:val="0"/>
            <w:vAlign w:val="center"/>
          </w:tcPr>
          <w:p w14:paraId="7BC3E473">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Cs w:val="21"/>
                <w:highlight w:val="none"/>
              </w:rPr>
            </w:pP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rPr>
              <w:t>1</w:t>
            </w:r>
          </w:p>
        </w:tc>
        <w:tc>
          <w:tcPr>
            <w:tcW w:w="7525" w:type="dxa"/>
            <w:noWrap w:val="0"/>
            <w:vAlign w:val="top"/>
          </w:tcPr>
          <w:p w14:paraId="1DF12F30">
            <w:pPr>
              <w:keepNext w:val="0"/>
              <w:keepLines w:val="0"/>
              <w:widowControl w:val="0"/>
              <w:suppressLineNumbers w:val="0"/>
              <w:autoSpaceDE w:val="0"/>
              <w:autoSpaceDN w:val="0"/>
              <w:adjustRightInd w:val="0"/>
              <w:spacing w:before="0" w:beforeAutospacing="0" w:after="0" w:afterAutospacing="0" w:line="360" w:lineRule="exact"/>
              <w:ind w:left="0" w:right="0" w:firstLine="0"/>
              <w:jc w:val="lef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投标人提供生产和质控规范标准，提供《质量保证承诺书》，并承诺在合同签订前向医院提供每一批中药配方颗粒的质检报告。</w:t>
            </w:r>
          </w:p>
        </w:tc>
        <w:tc>
          <w:tcPr>
            <w:tcW w:w="1142" w:type="dxa"/>
            <w:noWrap w:val="0"/>
            <w:vAlign w:val="top"/>
          </w:tcPr>
          <w:p w14:paraId="16E430A7">
            <w:pPr>
              <w:keepNext w:val="0"/>
              <w:keepLines w:val="0"/>
              <w:suppressLineNumbers w:val="0"/>
              <w:spacing w:before="0" w:beforeAutospacing="0" w:after="0" w:afterAutospacing="0" w:line="360" w:lineRule="exact"/>
              <w:ind w:left="0" w:right="0"/>
              <w:rPr>
                <w:rFonts w:hint="eastAsia" w:ascii="宋体" w:hAnsi="宋体" w:eastAsia="宋体" w:cs="宋体"/>
                <w:color w:val="auto"/>
                <w:szCs w:val="21"/>
                <w:highlight w:val="none"/>
              </w:rPr>
            </w:pPr>
          </w:p>
        </w:tc>
      </w:tr>
      <w:tr w14:paraId="77E79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noWrap w:val="0"/>
            <w:vAlign w:val="center"/>
          </w:tcPr>
          <w:p w14:paraId="11FF17CB">
            <w:pPr>
              <w:keepNext w:val="0"/>
              <w:keepLines w:val="0"/>
              <w:widowControl w:val="0"/>
              <w:suppressLineNumbers w:val="0"/>
              <w:autoSpaceDE w:val="0"/>
              <w:autoSpaceDN w:val="0"/>
              <w:adjustRightInd w:val="0"/>
              <w:spacing w:before="0" w:beforeAutospacing="0" w:after="0" w:afterAutospacing="0" w:line="360" w:lineRule="exact"/>
              <w:ind w:left="0" w:right="0" w:firstLine="0"/>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2</w:t>
            </w:r>
          </w:p>
        </w:tc>
        <w:tc>
          <w:tcPr>
            <w:tcW w:w="7525" w:type="dxa"/>
            <w:noWrap w:val="0"/>
            <w:vAlign w:val="top"/>
          </w:tcPr>
          <w:p w14:paraId="7E06C77F">
            <w:pPr>
              <w:keepNext w:val="0"/>
              <w:keepLines w:val="0"/>
              <w:widowControl w:val="0"/>
              <w:suppressLineNumbers w:val="0"/>
              <w:autoSpaceDE w:val="0"/>
              <w:autoSpaceDN w:val="0"/>
              <w:adjustRightInd w:val="0"/>
              <w:spacing w:before="0" w:beforeAutospacing="0" w:after="0" w:afterAutospacing="0" w:line="360" w:lineRule="exact"/>
              <w:ind w:left="0" w:right="0" w:firstLine="0"/>
              <w:jc w:val="lef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中药免煎颗粒的质量符合《中华人民共和国药典》（最新版）、《中药免煎颗粒管理暂行规定》（最新版）等相关文件规定，医院有权随时对中药免煎颗粒的生产过程进行抽查检验，或者派出专人监督。</w:t>
            </w:r>
          </w:p>
        </w:tc>
        <w:tc>
          <w:tcPr>
            <w:tcW w:w="1142" w:type="dxa"/>
            <w:noWrap w:val="0"/>
            <w:vAlign w:val="top"/>
          </w:tcPr>
          <w:p w14:paraId="2F63D214">
            <w:pPr>
              <w:keepNext w:val="0"/>
              <w:keepLines w:val="0"/>
              <w:widowControl w:val="0"/>
              <w:suppressLineNumbers w:val="0"/>
              <w:autoSpaceDE w:val="0"/>
              <w:autoSpaceDN w:val="0"/>
              <w:adjustRightInd w:val="0"/>
              <w:spacing w:before="0" w:beforeAutospacing="0" w:after="0" w:afterAutospacing="0" w:line="360" w:lineRule="exact"/>
              <w:ind w:left="0" w:right="0" w:firstLine="0"/>
              <w:jc w:val="left"/>
              <w:rPr>
                <w:rFonts w:hint="eastAsia" w:ascii="宋体" w:hAnsi="宋体" w:eastAsia="宋体" w:cs="宋体"/>
                <w:bCs/>
                <w:color w:val="auto"/>
                <w:kern w:val="0"/>
                <w:sz w:val="21"/>
                <w:szCs w:val="21"/>
                <w:highlight w:val="none"/>
                <w:lang w:val="en-US" w:eastAsia="zh-CN" w:bidi="ar-SA"/>
              </w:rPr>
            </w:pPr>
          </w:p>
        </w:tc>
      </w:tr>
      <w:tr w14:paraId="77084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noWrap w:val="0"/>
            <w:vAlign w:val="center"/>
          </w:tcPr>
          <w:p w14:paraId="69734879">
            <w:pPr>
              <w:keepNext w:val="0"/>
              <w:keepLines w:val="0"/>
              <w:widowControl w:val="0"/>
              <w:suppressLineNumbers w:val="0"/>
              <w:autoSpaceDE w:val="0"/>
              <w:autoSpaceDN w:val="0"/>
              <w:adjustRightInd w:val="0"/>
              <w:spacing w:before="0" w:beforeAutospacing="0" w:after="0" w:afterAutospacing="0" w:line="360" w:lineRule="exact"/>
              <w:ind w:left="0" w:right="0" w:firstLine="0"/>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3</w:t>
            </w:r>
          </w:p>
        </w:tc>
        <w:tc>
          <w:tcPr>
            <w:tcW w:w="7525" w:type="dxa"/>
            <w:noWrap w:val="0"/>
            <w:vAlign w:val="top"/>
          </w:tcPr>
          <w:p w14:paraId="5C5732AC">
            <w:pPr>
              <w:keepNext w:val="0"/>
              <w:keepLines w:val="0"/>
              <w:widowControl w:val="0"/>
              <w:suppressLineNumbers w:val="0"/>
              <w:autoSpaceDE w:val="0"/>
              <w:autoSpaceDN w:val="0"/>
              <w:adjustRightInd w:val="0"/>
              <w:spacing w:before="0" w:beforeAutospacing="0" w:after="0" w:afterAutospacing="0" w:line="360" w:lineRule="exact"/>
              <w:ind w:left="0" w:right="0" w:firstLine="0"/>
              <w:jc w:val="lef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投标人对于近效期颗粒（距药品有效期</w:t>
            </w:r>
            <w:r>
              <w:rPr>
                <w:rFonts w:hint="eastAsia" w:ascii="宋体" w:hAnsi="宋体" w:cs="宋体"/>
                <w:bCs/>
                <w:color w:val="auto"/>
                <w:kern w:val="0"/>
                <w:sz w:val="21"/>
                <w:szCs w:val="21"/>
                <w:highlight w:val="none"/>
                <w:lang w:val="en-US" w:eastAsia="zh-CN" w:bidi="ar-SA"/>
              </w:rPr>
              <w:t>3</w:t>
            </w:r>
            <w:r>
              <w:rPr>
                <w:rFonts w:hint="eastAsia" w:ascii="宋体" w:hAnsi="宋体" w:eastAsia="宋体" w:cs="宋体"/>
                <w:bCs/>
                <w:color w:val="auto"/>
                <w:kern w:val="0"/>
                <w:sz w:val="21"/>
                <w:szCs w:val="21"/>
                <w:highlight w:val="none"/>
                <w:lang w:val="en-US" w:eastAsia="zh-CN" w:bidi="ar-SA"/>
              </w:rPr>
              <w:t>个月），需免费进行更换。</w:t>
            </w:r>
          </w:p>
        </w:tc>
        <w:tc>
          <w:tcPr>
            <w:tcW w:w="1142" w:type="dxa"/>
            <w:noWrap w:val="0"/>
            <w:vAlign w:val="top"/>
          </w:tcPr>
          <w:p w14:paraId="77EC1502">
            <w:pPr>
              <w:keepNext w:val="0"/>
              <w:keepLines w:val="0"/>
              <w:widowControl w:val="0"/>
              <w:suppressLineNumbers w:val="0"/>
              <w:autoSpaceDE w:val="0"/>
              <w:autoSpaceDN w:val="0"/>
              <w:adjustRightInd w:val="0"/>
              <w:spacing w:before="0" w:beforeAutospacing="0" w:after="0" w:afterAutospacing="0" w:line="360" w:lineRule="exact"/>
              <w:ind w:left="0" w:right="0" w:firstLine="0"/>
              <w:jc w:val="left"/>
              <w:rPr>
                <w:rFonts w:hint="eastAsia" w:ascii="宋体" w:hAnsi="宋体" w:eastAsia="宋体" w:cs="宋体"/>
                <w:bCs/>
                <w:color w:val="auto"/>
                <w:kern w:val="0"/>
                <w:sz w:val="21"/>
                <w:szCs w:val="21"/>
                <w:highlight w:val="none"/>
                <w:lang w:val="en-US" w:eastAsia="zh-CN" w:bidi="ar-SA"/>
              </w:rPr>
            </w:pPr>
          </w:p>
        </w:tc>
      </w:tr>
      <w:tr w14:paraId="35FDC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noWrap w:val="0"/>
            <w:vAlign w:val="center"/>
          </w:tcPr>
          <w:p w14:paraId="66206873">
            <w:pPr>
              <w:keepNext w:val="0"/>
              <w:keepLines w:val="0"/>
              <w:widowControl w:val="0"/>
              <w:suppressLineNumbers w:val="0"/>
              <w:autoSpaceDE w:val="0"/>
              <w:autoSpaceDN w:val="0"/>
              <w:adjustRightInd w:val="0"/>
              <w:spacing w:before="0" w:beforeAutospacing="0" w:after="0" w:afterAutospacing="0" w:line="360" w:lineRule="exact"/>
              <w:ind w:left="0" w:right="0" w:firstLine="0"/>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4</w:t>
            </w:r>
          </w:p>
        </w:tc>
        <w:tc>
          <w:tcPr>
            <w:tcW w:w="7525" w:type="dxa"/>
            <w:noWrap w:val="0"/>
            <w:vAlign w:val="top"/>
          </w:tcPr>
          <w:p w14:paraId="43CE976A">
            <w:pPr>
              <w:keepNext w:val="0"/>
              <w:keepLines w:val="0"/>
              <w:widowControl w:val="0"/>
              <w:suppressLineNumbers w:val="0"/>
              <w:autoSpaceDE w:val="0"/>
              <w:autoSpaceDN w:val="0"/>
              <w:adjustRightInd w:val="0"/>
              <w:spacing w:before="0" w:beforeAutospacing="0" w:after="0" w:afterAutospacing="0" w:line="360" w:lineRule="exact"/>
              <w:ind w:left="0" w:right="0" w:firstLine="0"/>
              <w:jc w:val="lef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中药免煎颗粒的有效期应符合医院药品入库验收标准，以保证药品质量。</w:t>
            </w:r>
          </w:p>
        </w:tc>
        <w:tc>
          <w:tcPr>
            <w:tcW w:w="1142" w:type="dxa"/>
            <w:noWrap w:val="0"/>
            <w:vAlign w:val="top"/>
          </w:tcPr>
          <w:p w14:paraId="35D1A088">
            <w:pPr>
              <w:keepNext w:val="0"/>
              <w:keepLines w:val="0"/>
              <w:widowControl w:val="0"/>
              <w:suppressLineNumbers w:val="0"/>
              <w:autoSpaceDE w:val="0"/>
              <w:autoSpaceDN w:val="0"/>
              <w:adjustRightInd w:val="0"/>
              <w:spacing w:before="0" w:beforeAutospacing="0" w:after="0" w:afterAutospacing="0" w:line="360" w:lineRule="exact"/>
              <w:ind w:left="0" w:right="0" w:firstLine="0"/>
              <w:jc w:val="left"/>
              <w:rPr>
                <w:rFonts w:hint="eastAsia" w:ascii="宋体" w:hAnsi="宋体" w:eastAsia="宋体" w:cs="宋体"/>
                <w:bCs/>
                <w:color w:val="auto"/>
                <w:kern w:val="0"/>
                <w:sz w:val="21"/>
                <w:szCs w:val="21"/>
                <w:highlight w:val="none"/>
                <w:lang w:val="en-US" w:eastAsia="zh-CN" w:bidi="ar-SA"/>
              </w:rPr>
            </w:pPr>
          </w:p>
        </w:tc>
      </w:tr>
      <w:tr w14:paraId="74617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noWrap w:val="0"/>
            <w:vAlign w:val="center"/>
          </w:tcPr>
          <w:p w14:paraId="6331CAE5">
            <w:pPr>
              <w:keepNext w:val="0"/>
              <w:keepLines w:val="0"/>
              <w:widowControl w:val="0"/>
              <w:suppressLineNumbers w:val="0"/>
              <w:autoSpaceDE w:val="0"/>
              <w:autoSpaceDN w:val="0"/>
              <w:adjustRightInd w:val="0"/>
              <w:spacing w:before="0" w:beforeAutospacing="0" w:after="0" w:afterAutospacing="0" w:line="360" w:lineRule="exact"/>
              <w:ind w:left="0" w:right="0" w:firstLine="0"/>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5</w:t>
            </w:r>
          </w:p>
        </w:tc>
        <w:tc>
          <w:tcPr>
            <w:tcW w:w="7525" w:type="dxa"/>
            <w:noWrap w:val="0"/>
            <w:vAlign w:val="top"/>
          </w:tcPr>
          <w:p w14:paraId="05ADB1F1">
            <w:pPr>
              <w:keepNext w:val="0"/>
              <w:keepLines w:val="0"/>
              <w:widowControl w:val="0"/>
              <w:suppressLineNumbers w:val="0"/>
              <w:autoSpaceDE w:val="0"/>
              <w:autoSpaceDN w:val="0"/>
              <w:adjustRightInd w:val="0"/>
              <w:spacing w:before="0" w:beforeAutospacing="0" w:after="0" w:afterAutospacing="0" w:line="360" w:lineRule="exact"/>
              <w:ind w:left="0" w:right="0" w:firstLine="0"/>
              <w:jc w:val="left"/>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提供中药免煎颗粒所使用的设备</w:t>
            </w:r>
            <w:r>
              <w:rPr>
                <w:rFonts w:hint="eastAsia" w:ascii="宋体" w:hAnsi="宋体" w:eastAsia="宋体" w:cs="宋体"/>
                <w:color w:val="auto"/>
                <w:kern w:val="0"/>
                <w:sz w:val="21"/>
                <w:szCs w:val="21"/>
                <w:highlight w:val="none"/>
                <w:lang w:val="en-US" w:eastAsia="zh-CN" w:bidi="ar-SA"/>
              </w:rPr>
              <w:t>和智能中药房装修，</w:t>
            </w:r>
            <w:r>
              <w:rPr>
                <w:rFonts w:hint="eastAsia" w:ascii="宋体" w:hAnsi="宋体" w:eastAsia="宋体" w:cs="宋体"/>
                <w:bCs/>
                <w:color w:val="auto"/>
                <w:kern w:val="0"/>
                <w:sz w:val="21"/>
                <w:szCs w:val="21"/>
                <w:highlight w:val="none"/>
                <w:lang w:val="en-US" w:eastAsia="zh-CN" w:bidi="ar-SA"/>
              </w:rPr>
              <w:t>包装材料等须符合行业标准，保证中药免煎颗粒质量。因机器操作不当或机器设备材料原因引起的生产安全事故，责任全部由供应商承担。</w:t>
            </w:r>
          </w:p>
        </w:tc>
        <w:tc>
          <w:tcPr>
            <w:tcW w:w="1142" w:type="dxa"/>
            <w:noWrap w:val="0"/>
            <w:vAlign w:val="top"/>
          </w:tcPr>
          <w:p w14:paraId="54890418">
            <w:pPr>
              <w:keepNext w:val="0"/>
              <w:keepLines w:val="0"/>
              <w:widowControl w:val="0"/>
              <w:suppressLineNumbers w:val="0"/>
              <w:autoSpaceDE w:val="0"/>
              <w:autoSpaceDN w:val="0"/>
              <w:adjustRightInd w:val="0"/>
              <w:spacing w:before="0" w:beforeAutospacing="0" w:after="0" w:afterAutospacing="0" w:line="360" w:lineRule="exact"/>
              <w:ind w:left="0" w:right="0" w:firstLine="0"/>
              <w:jc w:val="left"/>
              <w:rPr>
                <w:rFonts w:hint="eastAsia" w:ascii="宋体" w:hAnsi="宋体" w:eastAsia="宋体" w:cs="宋体"/>
                <w:bCs/>
                <w:color w:val="auto"/>
                <w:kern w:val="0"/>
                <w:sz w:val="21"/>
                <w:szCs w:val="21"/>
                <w:highlight w:val="none"/>
                <w:lang w:val="en-US" w:eastAsia="zh-CN" w:bidi="ar-SA"/>
              </w:rPr>
            </w:pPr>
          </w:p>
        </w:tc>
      </w:tr>
      <w:tr w14:paraId="2785C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noWrap w:val="0"/>
            <w:vAlign w:val="center"/>
          </w:tcPr>
          <w:p w14:paraId="4F9005D0">
            <w:pPr>
              <w:keepNext w:val="0"/>
              <w:keepLines w:val="0"/>
              <w:widowControl w:val="0"/>
              <w:suppressLineNumbers w:val="0"/>
              <w:autoSpaceDE w:val="0"/>
              <w:autoSpaceDN w:val="0"/>
              <w:adjustRightInd w:val="0"/>
              <w:spacing w:before="0" w:beforeAutospacing="0" w:after="0" w:afterAutospacing="0" w:line="360" w:lineRule="exact"/>
              <w:ind w:left="0" w:right="0" w:firstLine="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w:t>
            </w:r>
          </w:p>
        </w:tc>
        <w:tc>
          <w:tcPr>
            <w:tcW w:w="7525" w:type="dxa"/>
            <w:noWrap w:val="0"/>
            <w:vAlign w:val="top"/>
          </w:tcPr>
          <w:p w14:paraId="063ED0F3">
            <w:pPr>
              <w:keepNext w:val="0"/>
              <w:keepLines w:val="0"/>
              <w:widowControl w:val="0"/>
              <w:suppressLineNumbers w:val="0"/>
              <w:autoSpaceDE w:val="0"/>
              <w:autoSpaceDN w:val="0"/>
              <w:adjustRightInd w:val="0"/>
              <w:spacing w:before="0" w:beforeAutospacing="0" w:after="0" w:afterAutospacing="0" w:line="360" w:lineRule="exact"/>
              <w:ind w:left="0" w:right="0" w:firstLine="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投标人必须提供与业务量相适应的辅助调剂人员，要求具备中药学及其相关专业大专及以上学历或者中药免煎颗粒调剂上岗证。</w:t>
            </w:r>
          </w:p>
        </w:tc>
        <w:tc>
          <w:tcPr>
            <w:tcW w:w="1142" w:type="dxa"/>
            <w:noWrap w:val="0"/>
            <w:vAlign w:val="top"/>
          </w:tcPr>
          <w:p w14:paraId="016BB7CA">
            <w:pPr>
              <w:keepNext w:val="0"/>
              <w:keepLines w:val="0"/>
              <w:widowControl w:val="0"/>
              <w:suppressLineNumbers w:val="0"/>
              <w:autoSpaceDE w:val="0"/>
              <w:autoSpaceDN w:val="0"/>
              <w:adjustRightInd w:val="0"/>
              <w:spacing w:before="0" w:beforeAutospacing="0" w:after="0" w:afterAutospacing="0" w:line="360" w:lineRule="exact"/>
              <w:ind w:left="0" w:right="0" w:firstLine="0"/>
              <w:jc w:val="left"/>
              <w:rPr>
                <w:rFonts w:hint="eastAsia" w:ascii="宋体" w:hAnsi="宋体" w:eastAsia="宋体" w:cs="宋体"/>
                <w:bCs/>
                <w:color w:val="auto"/>
                <w:kern w:val="0"/>
                <w:sz w:val="21"/>
                <w:szCs w:val="21"/>
                <w:highlight w:val="none"/>
                <w:lang w:val="en-US" w:eastAsia="zh-Hans" w:bidi="ar-SA"/>
              </w:rPr>
            </w:pPr>
          </w:p>
        </w:tc>
      </w:tr>
      <w:tr w14:paraId="58592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noWrap w:val="0"/>
            <w:vAlign w:val="center"/>
          </w:tcPr>
          <w:p w14:paraId="1F7D9F8E">
            <w:pPr>
              <w:keepNext w:val="0"/>
              <w:keepLines w:val="0"/>
              <w:widowControl w:val="0"/>
              <w:suppressLineNumbers w:val="0"/>
              <w:autoSpaceDE w:val="0"/>
              <w:autoSpaceDN w:val="0"/>
              <w:adjustRightInd w:val="0"/>
              <w:spacing w:before="0" w:beforeAutospacing="0" w:after="0" w:afterAutospacing="0" w:line="360" w:lineRule="exact"/>
              <w:ind w:left="0" w:right="0" w:firstLine="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w:t>
            </w:r>
          </w:p>
        </w:tc>
        <w:tc>
          <w:tcPr>
            <w:tcW w:w="7525" w:type="dxa"/>
            <w:noWrap w:val="0"/>
            <w:vAlign w:val="top"/>
          </w:tcPr>
          <w:p w14:paraId="75783059">
            <w:pPr>
              <w:keepNext w:val="0"/>
              <w:keepLines w:val="0"/>
              <w:widowControl w:val="0"/>
              <w:suppressLineNumbers w:val="0"/>
              <w:autoSpaceDE w:val="0"/>
              <w:autoSpaceDN w:val="0"/>
              <w:adjustRightInd w:val="0"/>
              <w:spacing w:before="0" w:beforeAutospacing="0" w:after="0" w:afterAutospacing="0" w:line="360" w:lineRule="exact"/>
              <w:ind w:left="0" w:right="0" w:firstLine="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标人免费提供智能调配所需系统、设备，供医院调剂使用，并定期对系统进行更新、对设备进行维护和保养。根据医院和项目调配环境要求，医院负责提供合适场地，供应商负责场地的装修、设备、设备安装及保养等全部事务，装修所有权归属医院所有。</w:t>
            </w:r>
          </w:p>
        </w:tc>
        <w:tc>
          <w:tcPr>
            <w:tcW w:w="1142" w:type="dxa"/>
            <w:noWrap w:val="0"/>
            <w:vAlign w:val="top"/>
          </w:tcPr>
          <w:p w14:paraId="36B53794">
            <w:pPr>
              <w:keepNext w:val="0"/>
              <w:keepLines w:val="0"/>
              <w:widowControl w:val="0"/>
              <w:suppressLineNumbers w:val="0"/>
              <w:autoSpaceDE w:val="0"/>
              <w:autoSpaceDN w:val="0"/>
              <w:adjustRightInd w:val="0"/>
              <w:spacing w:before="0" w:beforeAutospacing="0" w:after="0" w:afterAutospacing="0" w:line="360" w:lineRule="exact"/>
              <w:ind w:left="0" w:right="0" w:firstLine="0"/>
              <w:jc w:val="left"/>
              <w:rPr>
                <w:rFonts w:hint="eastAsia" w:ascii="宋体" w:hAnsi="宋体" w:eastAsia="宋体" w:cs="宋体"/>
                <w:color w:val="auto"/>
                <w:kern w:val="0"/>
                <w:sz w:val="21"/>
                <w:szCs w:val="21"/>
                <w:highlight w:val="none"/>
                <w:lang w:val="en-US" w:eastAsia="zh-CN" w:bidi="ar-SA"/>
              </w:rPr>
            </w:pPr>
          </w:p>
        </w:tc>
      </w:tr>
      <w:tr w14:paraId="2F022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noWrap w:val="0"/>
            <w:vAlign w:val="center"/>
          </w:tcPr>
          <w:p w14:paraId="5772E812">
            <w:pPr>
              <w:keepNext w:val="0"/>
              <w:keepLines w:val="0"/>
              <w:widowControl w:val="0"/>
              <w:suppressLineNumbers w:val="0"/>
              <w:autoSpaceDE w:val="0"/>
              <w:autoSpaceDN w:val="0"/>
              <w:adjustRightInd w:val="0"/>
              <w:spacing w:before="0" w:beforeAutospacing="0" w:after="0" w:afterAutospacing="0" w:line="360" w:lineRule="exact"/>
              <w:ind w:left="0" w:right="0" w:firstLine="0"/>
              <w:jc w:val="center"/>
              <w:rPr>
                <w:rFonts w:hint="eastAsia" w:ascii="宋体" w:hAnsi="宋体" w:eastAsia="宋体" w:cs="宋体"/>
                <w:color w:val="auto"/>
                <w:kern w:val="24"/>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w:t>
            </w:r>
          </w:p>
        </w:tc>
        <w:tc>
          <w:tcPr>
            <w:tcW w:w="7525" w:type="dxa"/>
            <w:noWrap w:val="0"/>
            <w:vAlign w:val="top"/>
          </w:tcPr>
          <w:p w14:paraId="71066071">
            <w:pPr>
              <w:keepNext w:val="0"/>
              <w:keepLines w:val="0"/>
              <w:widowControl w:val="0"/>
              <w:suppressLineNumbers w:val="0"/>
              <w:autoSpaceDE w:val="0"/>
              <w:autoSpaceDN w:val="0"/>
              <w:adjustRightInd w:val="0"/>
              <w:spacing w:before="0" w:beforeAutospacing="0" w:after="0" w:afterAutospacing="0" w:line="360" w:lineRule="exact"/>
              <w:ind w:left="0" w:right="0" w:firstLine="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投标人制定管理制度，有保障调剂准确性的措施，并免费提供调剂所需的一切耗材。</w:t>
            </w:r>
          </w:p>
        </w:tc>
        <w:tc>
          <w:tcPr>
            <w:tcW w:w="1142" w:type="dxa"/>
            <w:noWrap w:val="0"/>
            <w:vAlign w:val="top"/>
          </w:tcPr>
          <w:p w14:paraId="24C48798">
            <w:pPr>
              <w:keepNext w:val="0"/>
              <w:keepLines w:val="0"/>
              <w:widowControl w:val="0"/>
              <w:suppressLineNumbers w:val="0"/>
              <w:autoSpaceDE w:val="0"/>
              <w:autoSpaceDN w:val="0"/>
              <w:adjustRightInd w:val="0"/>
              <w:spacing w:before="0" w:beforeAutospacing="0" w:after="0" w:afterAutospacing="0" w:line="360" w:lineRule="exact"/>
              <w:ind w:left="0" w:right="0" w:firstLine="0"/>
              <w:jc w:val="left"/>
              <w:rPr>
                <w:rFonts w:hint="eastAsia" w:ascii="宋体" w:hAnsi="宋体" w:eastAsia="宋体" w:cs="宋体"/>
                <w:color w:val="auto"/>
                <w:kern w:val="0"/>
                <w:sz w:val="21"/>
                <w:szCs w:val="21"/>
                <w:highlight w:val="none"/>
                <w:lang w:val="en-US" w:eastAsia="zh-CN" w:bidi="ar-SA"/>
              </w:rPr>
            </w:pPr>
          </w:p>
        </w:tc>
      </w:tr>
      <w:tr w14:paraId="30BB9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noWrap w:val="0"/>
            <w:vAlign w:val="center"/>
          </w:tcPr>
          <w:p w14:paraId="49AED338">
            <w:pPr>
              <w:keepNext w:val="0"/>
              <w:keepLines w:val="0"/>
              <w:widowControl w:val="0"/>
              <w:suppressLineNumbers w:val="0"/>
              <w:autoSpaceDE w:val="0"/>
              <w:autoSpaceDN w:val="0"/>
              <w:adjustRightInd w:val="0"/>
              <w:spacing w:before="0" w:beforeAutospacing="0" w:after="0" w:afterAutospacing="0" w:line="360" w:lineRule="exact"/>
              <w:ind w:left="0" w:right="0" w:firstLine="0"/>
              <w:jc w:val="center"/>
              <w:rPr>
                <w:rFonts w:hint="eastAsia" w:ascii="宋体" w:hAnsi="宋体" w:eastAsia="宋体" w:cs="宋体"/>
                <w:color w:val="auto"/>
                <w:kern w:val="24"/>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w:t>
            </w:r>
          </w:p>
        </w:tc>
        <w:tc>
          <w:tcPr>
            <w:tcW w:w="7525" w:type="dxa"/>
            <w:noWrap w:val="0"/>
            <w:vAlign w:val="center"/>
          </w:tcPr>
          <w:p w14:paraId="1B9F97D6">
            <w:pPr>
              <w:keepNext w:val="0"/>
              <w:keepLines w:val="0"/>
              <w:widowControl w:val="0"/>
              <w:suppressLineNumbers w:val="0"/>
              <w:autoSpaceDE w:val="0"/>
              <w:autoSpaceDN w:val="0"/>
              <w:adjustRightInd w:val="0"/>
              <w:spacing w:before="0" w:beforeAutospacing="0" w:after="0" w:afterAutospacing="0" w:line="360" w:lineRule="exact"/>
              <w:ind w:left="0" w:right="0" w:firstLine="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智能调配系统与医院HIS系统等对接，所需费用均由投标人承担。</w:t>
            </w:r>
          </w:p>
        </w:tc>
        <w:tc>
          <w:tcPr>
            <w:tcW w:w="1142" w:type="dxa"/>
            <w:noWrap w:val="0"/>
            <w:vAlign w:val="top"/>
          </w:tcPr>
          <w:p w14:paraId="5C8AD998">
            <w:pPr>
              <w:keepNext w:val="0"/>
              <w:keepLines w:val="0"/>
              <w:widowControl w:val="0"/>
              <w:suppressLineNumbers w:val="0"/>
              <w:autoSpaceDE w:val="0"/>
              <w:autoSpaceDN w:val="0"/>
              <w:adjustRightInd w:val="0"/>
              <w:spacing w:before="0" w:beforeAutospacing="0" w:after="0" w:afterAutospacing="0" w:line="360" w:lineRule="exact"/>
              <w:ind w:left="0" w:right="0" w:firstLine="0"/>
              <w:jc w:val="left"/>
              <w:rPr>
                <w:rFonts w:hint="eastAsia" w:ascii="宋体" w:hAnsi="宋体" w:eastAsia="宋体" w:cs="宋体"/>
                <w:color w:val="auto"/>
                <w:kern w:val="0"/>
                <w:sz w:val="21"/>
                <w:szCs w:val="21"/>
                <w:highlight w:val="none"/>
                <w:lang w:val="en-US" w:eastAsia="zh-CN" w:bidi="ar-SA"/>
              </w:rPr>
            </w:pPr>
          </w:p>
        </w:tc>
      </w:tr>
      <w:tr w14:paraId="1D32E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noWrap w:val="0"/>
            <w:vAlign w:val="center"/>
          </w:tcPr>
          <w:p w14:paraId="1106380A">
            <w:pPr>
              <w:keepNext w:val="0"/>
              <w:keepLines w:val="0"/>
              <w:widowControl w:val="0"/>
              <w:suppressLineNumbers w:val="0"/>
              <w:autoSpaceDE w:val="0"/>
              <w:autoSpaceDN w:val="0"/>
              <w:adjustRightInd w:val="0"/>
              <w:spacing w:before="0" w:beforeAutospacing="0" w:after="0" w:afterAutospacing="0" w:line="360" w:lineRule="exact"/>
              <w:ind w:left="0" w:right="0" w:firstLine="0"/>
              <w:jc w:val="center"/>
              <w:rPr>
                <w:rFonts w:hint="eastAsia" w:ascii="宋体" w:hAnsi="宋体" w:eastAsia="宋体" w:cs="宋体"/>
                <w:color w:val="auto"/>
                <w:kern w:val="24"/>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w:t>
            </w:r>
          </w:p>
        </w:tc>
        <w:tc>
          <w:tcPr>
            <w:tcW w:w="7525" w:type="dxa"/>
            <w:noWrap w:val="0"/>
            <w:vAlign w:val="top"/>
          </w:tcPr>
          <w:p w14:paraId="4219E904">
            <w:pPr>
              <w:keepNext w:val="0"/>
              <w:keepLines w:val="0"/>
              <w:widowControl w:val="0"/>
              <w:suppressLineNumbers w:val="0"/>
              <w:autoSpaceDE w:val="0"/>
              <w:autoSpaceDN w:val="0"/>
              <w:adjustRightInd w:val="0"/>
              <w:spacing w:before="0" w:beforeAutospacing="0" w:after="0" w:afterAutospacing="0" w:line="360" w:lineRule="exact"/>
              <w:ind w:left="0" w:right="0" w:firstLine="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因药品相关问题引起的投诉或医疗纠纷，投标人需及时回应、妥善解决，造成的经济损失及由此引发的全部责任，由投标人承担。</w:t>
            </w:r>
          </w:p>
        </w:tc>
        <w:tc>
          <w:tcPr>
            <w:tcW w:w="1142" w:type="dxa"/>
            <w:noWrap w:val="0"/>
            <w:vAlign w:val="top"/>
          </w:tcPr>
          <w:p w14:paraId="7A7127A4">
            <w:pPr>
              <w:keepNext w:val="0"/>
              <w:keepLines w:val="0"/>
              <w:widowControl w:val="0"/>
              <w:suppressLineNumbers w:val="0"/>
              <w:autoSpaceDE w:val="0"/>
              <w:autoSpaceDN w:val="0"/>
              <w:adjustRightInd w:val="0"/>
              <w:spacing w:before="0" w:beforeAutospacing="0" w:after="0" w:afterAutospacing="0" w:line="360" w:lineRule="exact"/>
              <w:ind w:left="0" w:right="0" w:firstLine="0"/>
              <w:jc w:val="left"/>
              <w:rPr>
                <w:rFonts w:hint="eastAsia" w:ascii="宋体" w:hAnsi="宋体" w:eastAsia="宋体" w:cs="宋体"/>
                <w:color w:val="auto"/>
                <w:kern w:val="0"/>
                <w:sz w:val="21"/>
                <w:szCs w:val="21"/>
                <w:highlight w:val="none"/>
                <w:lang w:val="en-US" w:eastAsia="zh-CN" w:bidi="ar-SA"/>
              </w:rPr>
            </w:pPr>
          </w:p>
        </w:tc>
      </w:tr>
      <w:tr w14:paraId="1900B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noWrap w:val="0"/>
            <w:vAlign w:val="center"/>
          </w:tcPr>
          <w:p w14:paraId="0DE190B8">
            <w:pPr>
              <w:keepNext w:val="0"/>
              <w:keepLines w:val="0"/>
              <w:widowControl w:val="0"/>
              <w:suppressLineNumbers w:val="0"/>
              <w:autoSpaceDE w:val="0"/>
              <w:autoSpaceDN w:val="0"/>
              <w:adjustRightInd w:val="0"/>
              <w:spacing w:before="0" w:beforeAutospacing="0" w:after="0" w:afterAutospacing="0" w:line="360" w:lineRule="exact"/>
              <w:ind w:left="0" w:right="0" w:firstLine="0"/>
              <w:jc w:val="center"/>
              <w:rPr>
                <w:rFonts w:hint="eastAsia" w:ascii="宋体" w:hAnsi="宋体" w:eastAsia="宋体" w:cs="宋体"/>
                <w:color w:val="auto"/>
                <w:kern w:val="24"/>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w:t>
            </w:r>
          </w:p>
        </w:tc>
        <w:tc>
          <w:tcPr>
            <w:tcW w:w="7525" w:type="dxa"/>
            <w:noWrap w:val="0"/>
            <w:vAlign w:val="center"/>
          </w:tcPr>
          <w:p w14:paraId="0AE1AF84">
            <w:pPr>
              <w:keepNext w:val="0"/>
              <w:keepLines w:val="0"/>
              <w:widowControl w:val="0"/>
              <w:suppressLineNumbers w:val="0"/>
              <w:autoSpaceDE w:val="0"/>
              <w:autoSpaceDN w:val="0"/>
              <w:adjustRightInd w:val="0"/>
              <w:spacing w:before="0" w:beforeAutospacing="0" w:after="0" w:afterAutospacing="0" w:line="360" w:lineRule="exact"/>
              <w:ind w:left="0" w:right="0" w:firstLine="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投标人需积极配合采购人中药药事等各类检查要求。</w:t>
            </w:r>
          </w:p>
        </w:tc>
        <w:tc>
          <w:tcPr>
            <w:tcW w:w="1142" w:type="dxa"/>
            <w:noWrap w:val="0"/>
            <w:vAlign w:val="top"/>
          </w:tcPr>
          <w:p w14:paraId="29F025D8">
            <w:pPr>
              <w:keepNext w:val="0"/>
              <w:keepLines w:val="0"/>
              <w:widowControl w:val="0"/>
              <w:suppressLineNumbers w:val="0"/>
              <w:autoSpaceDE w:val="0"/>
              <w:autoSpaceDN w:val="0"/>
              <w:adjustRightInd w:val="0"/>
              <w:spacing w:before="0" w:beforeAutospacing="0" w:after="0" w:afterAutospacing="0" w:line="360" w:lineRule="exact"/>
              <w:ind w:left="0" w:right="0" w:firstLine="0"/>
              <w:jc w:val="left"/>
              <w:rPr>
                <w:rFonts w:hint="eastAsia" w:ascii="宋体" w:hAnsi="宋体" w:eastAsia="宋体" w:cs="宋体"/>
                <w:color w:val="auto"/>
                <w:kern w:val="0"/>
                <w:sz w:val="21"/>
                <w:szCs w:val="21"/>
                <w:highlight w:val="none"/>
                <w:lang w:val="en-US" w:eastAsia="zh-CN" w:bidi="ar-SA"/>
              </w:rPr>
            </w:pPr>
          </w:p>
        </w:tc>
      </w:tr>
      <w:tr w14:paraId="3B1ED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noWrap w:val="0"/>
            <w:vAlign w:val="center"/>
          </w:tcPr>
          <w:p w14:paraId="7999DA8C">
            <w:pPr>
              <w:keepNext w:val="0"/>
              <w:keepLines w:val="0"/>
              <w:widowControl w:val="0"/>
              <w:suppressLineNumbers w:val="0"/>
              <w:autoSpaceDE w:val="0"/>
              <w:autoSpaceDN w:val="0"/>
              <w:adjustRightInd w:val="0"/>
              <w:spacing w:before="0" w:beforeAutospacing="0" w:after="0" w:afterAutospacing="0" w:line="360" w:lineRule="exact"/>
              <w:ind w:left="0" w:right="0" w:firstLine="0"/>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w:t>
            </w:r>
          </w:p>
        </w:tc>
        <w:tc>
          <w:tcPr>
            <w:tcW w:w="7525" w:type="dxa"/>
            <w:noWrap w:val="0"/>
            <w:vAlign w:val="center"/>
          </w:tcPr>
          <w:p w14:paraId="2B219423">
            <w:pPr>
              <w:keepNext w:val="0"/>
              <w:keepLines w:val="0"/>
              <w:widowControl w:val="0"/>
              <w:suppressLineNumbers w:val="0"/>
              <w:autoSpaceDE w:val="0"/>
              <w:autoSpaceDN w:val="0"/>
              <w:adjustRightInd w:val="0"/>
              <w:spacing w:before="0" w:beforeAutospacing="0" w:after="0" w:afterAutospacing="0" w:line="360" w:lineRule="exact"/>
              <w:ind w:left="0" w:right="0" w:firstLine="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投标人具有配方颗粒及药材的产业链溯源管理能力。</w:t>
            </w:r>
          </w:p>
        </w:tc>
        <w:tc>
          <w:tcPr>
            <w:tcW w:w="1142" w:type="dxa"/>
            <w:noWrap w:val="0"/>
            <w:vAlign w:val="top"/>
          </w:tcPr>
          <w:p w14:paraId="75F4365D">
            <w:pPr>
              <w:keepNext w:val="0"/>
              <w:keepLines w:val="0"/>
              <w:widowControl w:val="0"/>
              <w:suppressLineNumbers w:val="0"/>
              <w:autoSpaceDE w:val="0"/>
              <w:autoSpaceDN w:val="0"/>
              <w:adjustRightInd w:val="0"/>
              <w:spacing w:before="0" w:beforeAutospacing="0" w:after="0" w:afterAutospacing="0" w:line="360" w:lineRule="exact"/>
              <w:ind w:left="0" w:right="0" w:firstLine="0"/>
              <w:jc w:val="left"/>
              <w:rPr>
                <w:rFonts w:hint="eastAsia" w:ascii="宋体" w:hAnsi="宋体" w:eastAsia="宋体" w:cs="宋体"/>
                <w:color w:val="auto"/>
                <w:kern w:val="0"/>
                <w:sz w:val="21"/>
                <w:szCs w:val="21"/>
                <w:highlight w:val="none"/>
                <w:lang w:val="en-US" w:eastAsia="zh-CN" w:bidi="ar-SA"/>
              </w:rPr>
            </w:pPr>
          </w:p>
        </w:tc>
      </w:tr>
    </w:tbl>
    <w:p w14:paraId="6AB8C369">
      <w:pPr>
        <w:numPr>
          <w:ilvl w:val="0"/>
          <w:numId w:val="0"/>
        </w:numPr>
        <w:spacing w:line="360" w:lineRule="auto"/>
        <w:ind w:firstLine="420" w:firstLineChars="200"/>
        <w:rPr>
          <w:rFonts w:hint="default" w:ascii="宋体" w:hAnsi="宋体" w:eastAsia="宋体" w:cs="宋体"/>
          <w:color w:val="auto"/>
          <w:szCs w:val="21"/>
          <w:highlight w:val="none"/>
          <w:lang w:val="en-US" w:eastAsia="zh-CN"/>
        </w:rPr>
      </w:pPr>
    </w:p>
    <w:p w14:paraId="5E84FB44">
      <w:pPr>
        <w:pStyle w:val="31"/>
        <w:ind w:firstLine="0" w:firstLineChars="0"/>
        <w:rPr>
          <w:color w:val="auto"/>
          <w:highlight w:val="none"/>
        </w:rPr>
      </w:pPr>
    </w:p>
    <w:p w14:paraId="5BF909BC">
      <w:pPr>
        <w:pStyle w:val="31"/>
        <w:ind w:firstLine="0" w:firstLineChars="0"/>
        <w:rPr>
          <w:color w:val="auto"/>
          <w:highlight w:val="none"/>
        </w:rPr>
        <w:sectPr>
          <w:footerReference r:id="rId6" w:type="first"/>
          <w:footerReference r:id="rId5" w:type="default"/>
          <w:pgSz w:w="11906" w:h="16838"/>
          <w:pgMar w:top="1474" w:right="1797" w:bottom="1247" w:left="1797" w:header="851" w:footer="851" w:gutter="0"/>
          <w:pgNumType w:start="1"/>
          <w:cols w:space="720" w:num="1"/>
          <w:titlePg/>
          <w:rtlGutter w:val="1"/>
          <w:docGrid w:linePitch="312" w:charSpace="0"/>
        </w:sectPr>
      </w:pPr>
    </w:p>
    <w:p w14:paraId="0495F30F">
      <w:pPr>
        <w:pStyle w:val="2"/>
        <w:spacing w:line="320" w:lineRule="exact"/>
        <w:jc w:val="center"/>
        <w:rPr>
          <w:rFonts w:hint="eastAsia" w:ascii="宋体" w:hAnsi="宋体"/>
          <w:color w:val="auto"/>
          <w:sz w:val="30"/>
          <w:szCs w:val="30"/>
          <w:highlight w:val="none"/>
        </w:rPr>
      </w:pPr>
      <w:bookmarkStart w:id="4" w:name="_Toc2095"/>
      <w:r>
        <w:rPr>
          <w:rFonts w:hint="eastAsia" w:ascii="宋体" w:hAnsi="宋体"/>
          <w:color w:val="auto"/>
          <w:sz w:val="28"/>
          <w:szCs w:val="28"/>
          <w:highlight w:val="none"/>
        </w:rPr>
        <w:t>第三章  投标人须知</w:t>
      </w:r>
      <w:bookmarkEnd w:id="4"/>
    </w:p>
    <w:p w14:paraId="2132A1A8">
      <w:pPr>
        <w:spacing w:line="320" w:lineRule="exact"/>
        <w:jc w:val="center"/>
        <w:rPr>
          <w:rFonts w:ascii="宋体" w:hAnsi="宋体"/>
          <w:color w:val="auto"/>
          <w:sz w:val="32"/>
          <w:szCs w:val="40"/>
          <w:highlight w:val="none"/>
        </w:rPr>
      </w:pPr>
      <w:r>
        <w:rPr>
          <w:rFonts w:hint="eastAsia" w:ascii="宋体" w:hAnsi="宋体"/>
          <w:color w:val="auto"/>
          <w:sz w:val="32"/>
          <w:szCs w:val="40"/>
          <w:highlight w:val="none"/>
        </w:rPr>
        <w:t>前附表</w:t>
      </w:r>
    </w:p>
    <w:tbl>
      <w:tblPr>
        <w:tblStyle w:val="3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0"/>
        <w:gridCol w:w="7556"/>
      </w:tblGrid>
      <w:tr w14:paraId="0289C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06F498F4">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7556" w:type="dxa"/>
            <w:tcBorders>
              <w:top w:val="single" w:color="auto" w:sz="4" w:space="0"/>
              <w:left w:val="single" w:color="auto" w:sz="4" w:space="0"/>
              <w:bottom w:val="single" w:color="auto" w:sz="4" w:space="0"/>
              <w:right w:val="single" w:color="auto" w:sz="4" w:space="0"/>
            </w:tcBorders>
            <w:noWrap w:val="0"/>
            <w:vAlign w:val="center"/>
          </w:tcPr>
          <w:p w14:paraId="156FE7CF">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内容、要求</w:t>
            </w:r>
          </w:p>
        </w:tc>
      </w:tr>
      <w:tr w14:paraId="37390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06B1E65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556" w:type="dxa"/>
            <w:tcBorders>
              <w:top w:val="single" w:color="auto" w:sz="4" w:space="0"/>
              <w:left w:val="single" w:color="auto" w:sz="4" w:space="0"/>
              <w:bottom w:val="single" w:color="auto" w:sz="4" w:space="0"/>
              <w:right w:val="single" w:color="auto" w:sz="4" w:space="0"/>
            </w:tcBorders>
            <w:noWrap w:val="0"/>
            <w:vAlign w:val="center"/>
          </w:tcPr>
          <w:p w14:paraId="546030D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中药配方颗粒配送供应商遴选项目</w:t>
            </w:r>
          </w:p>
        </w:tc>
      </w:tr>
      <w:tr w14:paraId="230880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10A38E3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7556" w:type="dxa"/>
            <w:tcBorders>
              <w:top w:val="single" w:color="auto" w:sz="4" w:space="0"/>
              <w:left w:val="single" w:color="auto" w:sz="4" w:space="0"/>
              <w:bottom w:val="single" w:color="auto" w:sz="4" w:space="0"/>
              <w:right w:val="single" w:color="auto" w:sz="4" w:space="0"/>
            </w:tcBorders>
            <w:noWrap w:val="0"/>
            <w:vAlign w:val="center"/>
          </w:tcPr>
          <w:p w14:paraId="4CF1DE8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采购数量及单位：</w:t>
            </w:r>
            <w:r>
              <w:rPr>
                <w:rFonts w:hint="eastAsia" w:ascii="宋体" w:hAnsi="宋体" w:eastAsia="宋体" w:cs="宋体"/>
                <w:color w:val="auto"/>
                <w:szCs w:val="21"/>
                <w:highlight w:val="none"/>
                <w:lang w:eastAsia="zh-CN"/>
              </w:rPr>
              <w:t>三年</w:t>
            </w:r>
          </w:p>
        </w:tc>
      </w:tr>
      <w:tr w14:paraId="512399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3A046A4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7556" w:type="dxa"/>
            <w:tcBorders>
              <w:top w:val="single" w:color="auto" w:sz="4" w:space="0"/>
              <w:left w:val="single" w:color="auto" w:sz="4" w:space="0"/>
              <w:bottom w:val="single" w:color="auto" w:sz="4" w:space="0"/>
              <w:right w:val="single" w:color="auto" w:sz="4" w:space="0"/>
            </w:tcBorders>
            <w:noWrap w:val="0"/>
            <w:vAlign w:val="center"/>
          </w:tcPr>
          <w:p w14:paraId="0CF8C0B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招标范围：</w:t>
            </w:r>
            <w:r>
              <w:rPr>
                <w:rFonts w:hint="eastAsia" w:ascii="宋体" w:hAnsi="宋体" w:eastAsia="宋体" w:cs="宋体"/>
                <w:color w:val="auto"/>
                <w:szCs w:val="21"/>
                <w:highlight w:val="none"/>
                <w:lang w:eastAsia="zh-CN"/>
              </w:rPr>
              <w:t>中药配方颗粒配送供应商</w:t>
            </w:r>
          </w:p>
        </w:tc>
      </w:tr>
      <w:tr w14:paraId="0F2534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3D67BF8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7556" w:type="dxa"/>
            <w:tcBorders>
              <w:top w:val="single" w:color="auto" w:sz="4" w:space="0"/>
              <w:left w:val="single" w:color="auto" w:sz="4" w:space="0"/>
              <w:bottom w:val="single" w:color="auto" w:sz="4" w:space="0"/>
              <w:right w:val="single" w:color="auto" w:sz="4" w:space="0"/>
            </w:tcBorders>
            <w:noWrap w:val="0"/>
            <w:vAlign w:val="center"/>
          </w:tcPr>
          <w:p w14:paraId="46F297B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p w14:paraId="10BB9CAA">
            <w:pPr>
              <w:keepNext w:val="0"/>
              <w:keepLines w:val="0"/>
              <w:suppressLineNumbers w:val="0"/>
              <w:spacing w:before="0" w:beforeAutospacing="0" w:after="0" w:afterAutospacing="0" w:line="360" w:lineRule="auto"/>
              <w:ind w:left="0" w:right="0"/>
              <w:rPr>
                <w:rFonts w:hint="default" w:ascii="宋体" w:hAnsi="宋体" w:eastAsia="宋体" w:cs="宋体"/>
                <w:b/>
                <w:bCs/>
                <w:color w:val="auto"/>
                <w:szCs w:val="21"/>
                <w:highlight w:val="none"/>
                <w:lang w:val="en-US" w:eastAsia="zh-CN" w:bidi="ar"/>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bidi="ar"/>
              </w:rPr>
              <w:t>投标报价</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折扣系数</w:t>
            </w:r>
            <w:r>
              <w:rPr>
                <w:rFonts w:hint="eastAsia" w:ascii="宋体" w:hAnsi="宋体" w:cs="宋体"/>
                <w:color w:val="auto"/>
                <w:szCs w:val="21"/>
                <w:highlight w:val="none"/>
                <w:lang w:eastAsia="zh-CN" w:bidi="ar"/>
              </w:rPr>
              <w:t>）</w:t>
            </w:r>
            <w:r>
              <w:rPr>
                <w:rFonts w:hint="eastAsia" w:ascii="宋体" w:hAnsi="宋体" w:eastAsia="宋体" w:cs="宋体"/>
                <w:color w:val="auto"/>
                <w:szCs w:val="21"/>
                <w:highlight w:val="none"/>
                <w:lang w:bidi="ar"/>
              </w:rPr>
              <w:t>：满足招标需求的所有费用</w:t>
            </w:r>
            <w:r>
              <w:rPr>
                <w:rFonts w:hint="eastAsia" w:ascii="宋体" w:hAnsi="宋体" w:cs="宋体"/>
                <w:color w:val="auto"/>
                <w:szCs w:val="21"/>
                <w:highlight w:val="none"/>
                <w:lang w:eastAsia="zh-CN" w:bidi="ar"/>
              </w:rPr>
              <w:t>，</w:t>
            </w:r>
            <w:r>
              <w:rPr>
                <w:rFonts w:hint="eastAsia" w:ascii="宋体" w:hAnsi="宋体" w:eastAsia="宋体" w:cs="宋体"/>
                <w:color w:val="auto"/>
                <w:szCs w:val="21"/>
                <w:highlight w:val="none"/>
                <w:lang w:bidi="ar"/>
              </w:rPr>
              <w:t>包括但不限于：药品费、储藏费、人员费用、运输装卸费用、管理费、其他费用、上述部分的税金等全部费用。</w:t>
            </w:r>
            <w:r>
              <w:rPr>
                <w:rFonts w:hint="eastAsia" w:ascii="宋体" w:hAnsi="宋体" w:cs="宋体"/>
                <w:b/>
                <w:bCs/>
                <w:color w:val="auto"/>
                <w:szCs w:val="21"/>
                <w:highlight w:val="none"/>
                <w:lang w:val="en-US" w:eastAsia="zh-CN" w:bidi="ar"/>
              </w:rPr>
              <w:t>投标报价最高限价为85%，折扣系数＞85%的投标无效。</w:t>
            </w:r>
          </w:p>
          <w:p w14:paraId="41320AAE">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）不论投标结果如何，投标人均应自行承担所有与投标有关的全部费用；</w:t>
            </w:r>
          </w:p>
          <w:p w14:paraId="1DF0485E">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）中标服务费的收取标准：</w:t>
            </w:r>
            <w:bookmarkStart w:id="8" w:name="_GoBack"/>
            <w:bookmarkEnd w:id="8"/>
          </w:p>
          <w:p w14:paraId="0DE0D7B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1）招标公司向中标人收取人民币</w:t>
            </w:r>
            <w:r>
              <w:rPr>
                <w:rFonts w:hint="eastAsia" w:ascii="宋体" w:hAnsi="宋体" w:cs="宋体"/>
                <w:color w:val="auto"/>
                <w:szCs w:val="21"/>
                <w:highlight w:val="none"/>
                <w:lang w:val="en-US" w:eastAsia="zh-CN"/>
              </w:rPr>
              <w:t>10000.00</w:t>
            </w:r>
            <w:r>
              <w:rPr>
                <w:rFonts w:hint="eastAsia" w:ascii="宋体" w:hAnsi="宋体" w:eastAsia="宋体" w:cs="宋体"/>
                <w:color w:val="auto"/>
                <w:szCs w:val="21"/>
                <w:highlight w:val="none"/>
              </w:rPr>
              <w:t>元整。</w:t>
            </w:r>
          </w:p>
          <w:p w14:paraId="3A2A2F7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2）中标供应商接到本公司通知后5个工作日内向本招标公司支付中标服务费，并领取中标通知书。中标服务费只收现金、银行票汇款、电汇款。</w:t>
            </w:r>
          </w:p>
        </w:tc>
      </w:tr>
      <w:tr w14:paraId="64B28B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336090D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7556" w:type="dxa"/>
            <w:tcBorders>
              <w:top w:val="single" w:color="auto" w:sz="4" w:space="0"/>
              <w:left w:val="single" w:color="auto" w:sz="4" w:space="0"/>
              <w:bottom w:val="single" w:color="auto" w:sz="4" w:space="0"/>
              <w:right w:val="single" w:color="auto" w:sz="4" w:space="0"/>
            </w:tcBorders>
            <w:noWrap w:val="0"/>
            <w:vAlign w:val="center"/>
          </w:tcPr>
          <w:p w14:paraId="15FCEDA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现场踏勘：本项目不安排投标人统一现场踏勘，请各投标人自行现场踏勘，了解</w:t>
            </w:r>
            <w:r>
              <w:rPr>
                <w:rFonts w:hint="eastAsia" w:ascii="宋体" w:hAnsi="宋体" w:eastAsia="宋体" w:cs="宋体"/>
                <w:color w:val="auto"/>
                <w:szCs w:val="21"/>
                <w:highlight w:val="none"/>
                <w:lang w:val="en-US" w:eastAsia="zh-CN"/>
              </w:rPr>
              <w:t>医院</w:t>
            </w:r>
            <w:r>
              <w:rPr>
                <w:rFonts w:hint="eastAsia" w:ascii="宋体" w:hAnsi="宋体" w:eastAsia="宋体" w:cs="宋体"/>
                <w:color w:val="auto"/>
                <w:szCs w:val="21"/>
                <w:highlight w:val="none"/>
              </w:rPr>
              <w:t>情况。</w:t>
            </w:r>
          </w:p>
        </w:tc>
      </w:tr>
      <w:tr w14:paraId="49C144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3477982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7556" w:type="dxa"/>
            <w:tcBorders>
              <w:top w:val="single" w:color="auto" w:sz="4" w:space="0"/>
              <w:left w:val="single" w:color="auto" w:sz="4" w:space="0"/>
              <w:bottom w:val="single" w:color="auto" w:sz="4" w:space="0"/>
              <w:right w:val="single" w:color="auto" w:sz="4" w:space="0"/>
            </w:tcBorders>
            <w:noWrap w:val="0"/>
            <w:vAlign w:val="center"/>
          </w:tcPr>
          <w:p w14:paraId="3AD40A5E">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演示时间及地点（如有）：无</w:t>
            </w:r>
          </w:p>
        </w:tc>
      </w:tr>
      <w:tr w14:paraId="53418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07FBA48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7556" w:type="dxa"/>
            <w:tcBorders>
              <w:top w:val="single" w:color="auto" w:sz="4" w:space="0"/>
              <w:left w:val="single" w:color="auto" w:sz="4" w:space="0"/>
              <w:bottom w:val="single" w:color="auto" w:sz="4" w:space="0"/>
              <w:right w:val="single" w:color="auto" w:sz="4" w:space="0"/>
            </w:tcBorders>
            <w:noWrap w:val="0"/>
            <w:vAlign w:val="center"/>
          </w:tcPr>
          <w:p w14:paraId="5061938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答疑与澄清：投标人如认为招标文件表述不清晰、存在歧视性、排他性或者其他违法内容的，应当于开标截止日期</w:t>
            </w:r>
            <w:r>
              <w:rPr>
                <w:rFonts w:hint="eastAsia" w:ascii="宋体" w:hAnsi="宋体" w:eastAsia="宋体" w:cs="宋体"/>
                <w:color w:val="auto"/>
                <w:szCs w:val="21"/>
                <w:highlight w:val="none"/>
                <w:lang w:val="en-US" w:eastAsia="zh-CN"/>
              </w:rPr>
              <w:t>3个工作日</w:t>
            </w:r>
            <w:r>
              <w:rPr>
                <w:rFonts w:hint="eastAsia" w:ascii="宋体" w:hAnsi="宋体" w:eastAsia="宋体" w:cs="宋体"/>
                <w:color w:val="auto"/>
                <w:szCs w:val="21"/>
                <w:highlight w:val="none"/>
              </w:rPr>
              <w:t>前，以书面形式要求招标采购单位作出书面解释、澄清或者向招标采购单位提出书面质疑；招标采购单位答疑内容是招标文件的</w:t>
            </w:r>
            <w:r>
              <w:rPr>
                <w:rFonts w:hint="eastAsia" w:ascii="宋体" w:hAnsi="宋体" w:eastAsia="宋体" w:cs="宋体"/>
                <w:color w:val="auto"/>
                <w:szCs w:val="21"/>
                <w:highlight w:val="none"/>
                <w:lang w:eastAsia="zh-CN"/>
              </w:rPr>
              <w:t>组成部分</w:t>
            </w:r>
            <w:r>
              <w:rPr>
                <w:rFonts w:hint="eastAsia" w:ascii="宋体" w:hAnsi="宋体" w:eastAsia="宋体" w:cs="宋体"/>
                <w:color w:val="auto"/>
                <w:szCs w:val="21"/>
                <w:highlight w:val="none"/>
              </w:rPr>
              <w:t>，并将以书面形式送达所有已报名的投标人；因其他紧急情况影响本项目正常招标活动的，招标采购单位将于投标截止日期3天前书面通知所有已报名的投标人。</w:t>
            </w:r>
          </w:p>
        </w:tc>
      </w:tr>
      <w:tr w14:paraId="4DD774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7A4639A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7556" w:type="dxa"/>
            <w:tcBorders>
              <w:top w:val="single" w:color="auto" w:sz="4" w:space="0"/>
              <w:left w:val="single" w:color="auto" w:sz="4" w:space="0"/>
              <w:bottom w:val="single" w:color="auto" w:sz="4" w:space="0"/>
              <w:right w:val="single" w:color="auto" w:sz="4" w:space="0"/>
            </w:tcBorders>
            <w:noWrap w:val="0"/>
            <w:vAlign w:val="center"/>
          </w:tcPr>
          <w:p w14:paraId="6ADBF99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投标文件组成：正本</w:t>
            </w:r>
            <w:r>
              <w:rPr>
                <w:rFonts w:hint="eastAsia" w:ascii="宋体" w:hAnsi="宋体" w:eastAsia="宋体" w:cs="宋体"/>
                <w:color w:val="auto"/>
                <w:szCs w:val="21"/>
                <w:highlight w:val="none"/>
                <w:u w:val="single"/>
              </w:rPr>
              <w:t xml:space="preserve"> 1 </w:t>
            </w:r>
            <w:r>
              <w:rPr>
                <w:rFonts w:hint="eastAsia" w:ascii="宋体" w:hAnsi="宋体" w:eastAsia="宋体" w:cs="宋体"/>
                <w:color w:val="auto"/>
                <w:szCs w:val="21"/>
                <w:highlight w:val="none"/>
              </w:rPr>
              <w:t>份；副本</w:t>
            </w:r>
            <w:r>
              <w:rPr>
                <w:rFonts w:hint="eastAsia" w:ascii="宋体" w:hAnsi="宋体" w:eastAsia="宋体" w:cs="宋体"/>
                <w:color w:val="auto"/>
                <w:szCs w:val="21"/>
                <w:highlight w:val="none"/>
                <w:u w:val="single"/>
              </w:rPr>
              <w:t>4</w:t>
            </w:r>
            <w:r>
              <w:rPr>
                <w:rFonts w:hint="eastAsia" w:ascii="宋体" w:hAnsi="宋体" w:eastAsia="宋体" w:cs="宋体"/>
                <w:color w:val="auto"/>
                <w:szCs w:val="21"/>
                <w:highlight w:val="none"/>
              </w:rPr>
              <w:t>份；电子版</w:t>
            </w:r>
            <w:r>
              <w:rPr>
                <w:rFonts w:hint="eastAsia" w:ascii="宋体" w:hAnsi="宋体" w:eastAsia="宋体" w:cs="宋体"/>
                <w:color w:val="auto"/>
                <w:szCs w:val="21"/>
                <w:highlight w:val="none"/>
                <w:u w:val="single"/>
              </w:rPr>
              <w:t xml:space="preserve"> 1 </w:t>
            </w:r>
            <w:r>
              <w:rPr>
                <w:rFonts w:hint="eastAsia" w:ascii="宋体" w:hAnsi="宋体" w:eastAsia="宋体" w:cs="宋体"/>
                <w:color w:val="auto"/>
                <w:szCs w:val="21"/>
                <w:highlight w:val="none"/>
              </w:rPr>
              <w:t>份。（电子版可与投标文件一起密封或单独密封）</w:t>
            </w:r>
          </w:p>
        </w:tc>
      </w:tr>
      <w:tr w14:paraId="04CFAA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42FB286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7556" w:type="dxa"/>
            <w:tcBorders>
              <w:top w:val="single" w:color="auto" w:sz="4" w:space="0"/>
              <w:left w:val="single" w:color="auto" w:sz="4" w:space="0"/>
              <w:bottom w:val="single" w:color="auto" w:sz="4" w:space="0"/>
              <w:right w:val="single" w:color="auto" w:sz="4" w:space="0"/>
            </w:tcBorders>
            <w:noWrap w:val="0"/>
            <w:vAlign w:val="center"/>
          </w:tcPr>
          <w:p w14:paraId="4BF5EC8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投标截止时间及地点：详见《招标公告》</w:t>
            </w:r>
          </w:p>
        </w:tc>
      </w:tr>
      <w:tr w14:paraId="6E272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0B92584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7556" w:type="dxa"/>
            <w:tcBorders>
              <w:top w:val="single" w:color="auto" w:sz="4" w:space="0"/>
              <w:left w:val="single" w:color="auto" w:sz="4" w:space="0"/>
              <w:bottom w:val="single" w:color="auto" w:sz="4" w:space="0"/>
              <w:right w:val="single" w:color="auto" w:sz="4" w:space="0"/>
            </w:tcBorders>
            <w:noWrap w:val="0"/>
            <w:vAlign w:val="center"/>
          </w:tcPr>
          <w:p w14:paraId="6930FB0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开标时间及地点：详见《招标公告》</w:t>
            </w:r>
          </w:p>
        </w:tc>
      </w:tr>
      <w:tr w14:paraId="35BEE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1570A36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7556" w:type="dxa"/>
            <w:tcBorders>
              <w:top w:val="single" w:color="auto" w:sz="4" w:space="0"/>
              <w:left w:val="single" w:color="auto" w:sz="4" w:space="0"/>
              <w:bottom w:val="single" w:color="auto" w:sz="4" w:space="0"/>
              <w:right w:val="single" w:color="auto" w:sz="4" w:space="0"/>
            </w:tcBorders>
            <w:noWrap w:val="0"/>
            <w:vAlign w:val="center"/>
          </w:tcPr>
          <w:p w14:paraId="3EF1606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评标办法及评分标准：详见第四章《评标办法及评分标准》。</w:t>
            </w:r>
          </w:p>
        </w:tc>
      </w:tr>
      <w:tr w14:paraId="38F21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6E08AE1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7556" w:type="dxa"/>
            <w:tcBorders>
              <w:top w:val="single" w:color="auto" w:sz="4" w:space="0"/>
              <w:left w:val="single" w:color="auto" w:sz="4" w:space="0"/>
              <w:bottom w:val="single" w:color="auto" w:sz="4" w:space="0"/>
              <w:right w:val="single" w:color="auto" w:sz="4" w:space="0"/>
            </w:tcBorders>
            <w:noWrap w:val="0"/>
            <w:vAlign w:val="center"/>
          </w:tcPr>
          <w:p w14:paraId="58337CC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评标结果公示：评标结束后，评标结果公示于</w:t>
            </w:r>
            <w:r>
              <w:rPr>
                <w:rFonts w:hint="eastAsia" w:ascii="宋体" w:hAnsi="宋体" w:eastAsia="宋体" w:cs="宋体"/>
                <w:color w:val="auto"/>
                <w:szCs w:val="21"/>
                <w:highlight w:val="none"/>
                <w:lang w:val="en-US" w:eastAsia="zh-CN"/>
              </w:rPr>
              <w:t>浙江政府采购网</w:t>
            </w:r>
            <w:r>
              <w:rPr>
                <w:rFonts w:hint="eastAsia" w:ascii="宋体" w:hAnsi="宋体" w:eastAsia="宋体" w:cs="宋体"/>
                <w:color w:val="auto"/>
                <w:szCs w:val="21"/>
                <w:highlight w:val="none"/>
              </w:rPr>
              <w:t>、宁波中基国际招标有限公司网站。</w:t>
            </w:r>
          </w:p>
        </w:tc>
      </w:tr>
      <w:tr w14:paraId="13EDF0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4C21F8A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7556" w:type="dxa"/>
            <w:tcBorders>
              <w:top w:val="single" w:color="auto" w:sz="4" w:space="0"/>
              <w:left w:val="single" w:color="auto" w:sz="4" w:space="0"/>
              <w:bottom w:val="single" w:color="auto" w:sz="4" w:space="0"/>
              <w:right w:val="single" w:color="auto" w:sz="4" w:space="0"/>
            </w:tcBorders>
            <w:noWrap w:val="0"/>
            <w:vAlign w:val="center"/>
          </w:tcPr>
          <w:p w14:paraId="06E4477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投标保证金退还（不计息）：招标人或者招标代理机构应当自中标通知书发出之日起5个工作日内退还未中标人的投标保证金，自采购合同签订之日起5个工作日内退还中标人的投标保证金。</w:t>
            </w:r>
          </w:p>
        </w:tc>
      </w:tr>
      <w:tr w14:paraId="28C9B3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777EB5A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7556" w:type="dxa"/>
            <w:tcBorders>
              <w:top w:val="single" w:color="auto" w:sz="4" w:space="0"/>
              <w:left w:val="single" w:color="auto" w:sz="4" w:space="0"/>
              <w:bottom w:val="single" w:color="auto" w:sz="4" w:space="0"/>
              <w:right w:val="single" w:color="auto" w:sz="4" w:space="0"/>
            </w:tcBorders>
            <w:noWrap w:val="0"/>
            <w:vAlign w:val="center"/>
          </w:tcPr>
          <w:p w14:paraId="2463216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签订合同时间：中标通知书发出后30日内。</w:t>
            </w:r>
          </w:p>
        </w:tc>
      </w:tr>
      <w:tr w14:paraId="48D1E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2B26978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7556" w:type="dxa"/>
            <w:tcBorders>
              <w:top w:val="single" w:color="auto" w:sz="4" w:space="0"/>
              <w:left w:val="single" w:color="auto" w:sz="4" w:space="0"/>
              <w:bottom w:val="single" w:color="auto" w:sz="4" w:space="0"/>
              <w:right w:val="single" w:color="auto" w:sz="4" w:space="0"/>
            </w:tcBorders>
            <w:noWrap w:val="0"/>
            <w:vAlign w:val="center"/>
          </w:tcPr>
          <w:p w14:paraId="6375648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采购资金来源：</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w:t>
            </w:r>
          </w:p>
        </w:tc>
      </w:tr>
      <w:tr w14:paraId="3E9A38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7A9825B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7556" w:type="dxa"/>
            <w:tcBorders>
              <w:top w:val="single" w:color="auto" w:sz="4" w:space="0"/>
              <w:left w:val="single" w:color="auto" w:sz="4" w:space="0"/>
              <w:bottom w:val="single" w:color="auto" w:sz="4" w:space="0"/>
              <w:right w:val="single" w:color="auto" w:sz="4" w:space="0"/>
            </w:tcBorders>
            <w:noWrap w:val="0"/>
            <w:vAlign w:val="center"/>
          </w:tcPr>
          <w:p w14:paraId="25BFD70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投标文件有效期：90天。</w:t>
            </w:r>
          </w:p>
        </w:tc>
      </w:tr>
      <w:tr w14:paraId="0251A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4B98F0C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7556" w:type="dxa"/>
            <w:tcBorders>
              <w:top w:val="single" w:color="auto" w:sz="4" w:space="0"/>
              <w:left w:val="single" w:color="auto" w:sz="4" w:space="0"/>
              <w:bottom w:val="single" w:color="auto" w:sz="4" w:space="0"/>
              <w:right w:val="single" w:color="auto" w:sz="4" w:space="0"/>
            </w:tcBorders>
            <w:noWrap w:val="0"/>
            <w:vAlign w:val="center"/>
          </w:tcPr>
          <w:p w14:paraId="2018A2E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解释：本招标文件的解释权属于招标采购单位。</w:t>
            </w:r>
          </w:p>
        </w:tc>
      </w:tr>
    </w:tbl>
    <w:p w14:paraId="0CA10730">
      <w:pPr>
        <w:spacing w:line="360" w:lineRule="auto"/>
        <w:rPr>
          <w:rFonts w:hint="eastAsia" w:ascii="宋体" w:hAnsi="宋体" w:cs="宋体"/>
          <w:color w:val="auto"/>
          <w:szCs w:val="21"/>
          <w:highlight w:val="none"/>
        </w:rPr>
      </w:pPr>
    </w:p>
    <w:p w14:paraId="6024D24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一、总  则</w:t>
      </w:r>
    </w:p>
    <w:p w14:paraId="64A6DE2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 适用范围</w:t>
      </w:r>
    </w:p>
    <w:p w14:paraId="22A9D62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本招标文件适用于本项目的招标、投标、评标、定标、验收、合同履约、付款等行为（法律、法规另有规定的，从其规定）。</w:t>
      </w:r>
    </w:p>
    <w:p w14:paraId="4B9F774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（二）定义</w:t>
      </w:r>
    </w:p>
    <w:p w14:paraId="1D5AA64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1.“招标采购单位”系指组织本次招标的代理机构和采购单位（“招标人”）。</w:t>
      </w:r>
    </w:p>
    <w:p w14:paraId="2B86E64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2.“投标人”系指向招标方提交投标文件的单位或个人。</w:t>
      </w:r>
    </w:p>
    <w:p w14:paraId="5DBA57C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3.“产品”系指投标人按招标文件规定，须向招标人提供的一切设备、保险、税金、备品备件、工具、手册</w:t>
      </w:r>
      <w:r>
        <w:rPr>
          <w:rFonts w:hint="eastAsia" w:ascii="宋体" w:hAnsi="宋体" w:cs="宋体"/>
          <w:color w:val="auto"/>
          <w:szCs w:val="21"/>
          <w:highlight w:val="none"/>
          <w:lang w:eastAsia="zh-CN"/>
        </w:rPr>
        <w:t>及其他有关</w:t>
      </w:r>
      <w:r>
        <w:rPr>
          <w:rFonts w:hint="eastAsia" w:ascii="宋体" w:hAnsi="宋体" w:cs="宋体"/>
          <w:color w:val="auto"/>
          <w:szCs w:val="21"/>
          <w:highlight w:val="none"/>
        </w:rPr>
        <w:t>技术资料和材料。</w:t>
      </w:r>
    </w:p>
    <w:p w14:paraId="26C0EA1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4.“服务”系指招标文件规定投标人须承担的指导安装、技术协助、校准、培训、技术指导以及其他类似的义务。</w:t>
      </w:r>
    </w:p>
    <w:p w14:paraId="2FD139B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5.“项目”系指投标人按招标文件规定向招标人提供的产品和服务。</w:t>
      </w:r>
    </w:p>
    <w:p w14:paraId="6C7284B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6.“书面形式”包括信函、传真、电报等。</w:t>
      </w:r>
    </w:p>
    <w:p w14:paraId="73338231">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7.“</w:t>
      </w:r>
      <w:r>
        <w:rPr>
          <w:rFonts w:hint="eastAsia" w:ascii="宋体" w:hAnsi="宋体" w:cs="宋体"/>
          <w:color w:val="auto"/>
          <w:szCs w:val="21"/>
          <w:highlight w:val="none"/>
        </w:rPr>
        <w:t>★</w:t>
      </w:r>
      <w:r>
        <w:rPr>
          <w:rFonts w:hint="eastAsia" w:ascii="宋体" w:hAnsi="宋体" w:cs="宋体"/>
          <w:b/>
          <w:color w:val="auto"/>
          <w:szCs w:val="21"/>
          <w:highlight w:val="none"/>
        </w:rPr>
        <w:t>”系指实质性要求条款。</w:t>
      </w:r>
    </w:p>
    <w:p w14:paraId="5A8628A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（三）招标方式</w:t>
      </w:r>
    </w:p>
    <w:p w14:paraId="412DBF4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本次招标采用公开招标方式进行。</w:t>
      </w:r>
    </w:p>
    <w:p w14:paraId="094EBC6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（四）投标委托</w:t>
      </w:r>
    </w:p>
    <w:p w14:paraId="3E1F4AA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投标人代表须携带有效身份证件。如投标人代表不是法定代表人，须有法定代表人出具的授权委托书（正本用原件，副本用复印件，格式见第六章）。</w:t>
      </w:r>
    </w:p>
    <w:p w14:paraId="15274C7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（五）投标费用</w:t>
      </w:r>
    </w:p>
    <w:p w14:paraId="1FE501E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不论投标结果如何，投标人均应自行承担所有与投标有关的全部费用（招标文件有相反规定除外）。</w:t>
      </w:r>
    </w:p>
    <w:p w14:paraId="5F9479F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（六）联合体投标</w:t>
      </w:r>
    </w:p>
    <w:p w14:paraId="02C098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本项目不接受联合体投标。</w:t>
      </w:r>
    </w:p>
    <w:p w14:paraId="0EAF1257">
      <w:pPr>
        <w:spacing w:line="360" w:lineRule="auto"/>
        <w:rPr>
          <w:rFonts w:hint="eastAsia" w:ascii="宋体" w:hAnsi="宋体" w:cs="宋体"/>
          <w:color w:val="auto"/>
          <w:kern w:val="0"/>
          <w:szCs w:val="21"/>
          <w:highlight w:val="none"/>
        </w:rPr>
      </w:pPr>
      <w:r>
        <w:rPr>
          <w:rFonts w:hint="eastAsia" w:ascii="宋体" w:hAnsi="宋体" w:cs="宋体"/>
          <w:color w:val="auto"/>
          <w:szCs w:val="21"/>
          <w:highlight w:val="none"/>
        </w:rPr>
        <w:t>（七）</w:t>
      </w:r>
      <w:r>
        <w:rPr>
          <w:rFonts w:hint="eastAsia" w:ascii="宋体" w:hAnsi="宋体" w:cs="宋体"/>
          <w:color w:val="auto"/>
          <w:kern w:val="0"/>
          <w:szCs w:val="21"/>
          <w:highlight w:val="none"/>
        </w:rPr>
        <w:t>转包与分包</w:t>
      </w:r>
    </w:p>
    <w:p w14:paraId="73B8305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本项目不允许转包，未经招标人许可，不得分包。</w:t>
      </w:r>
    </w:p>
    <w:p w14:paraId="3299A028">
      <w:pPr>
        <w:spacing w:line="360" w:lineRule="auto"/>
        <w:rPr>
          <w:rFonts w:hint="eastAsia" w:ascii="宋体" w:hAnsi="宋体" w:cs="宋体"/>
          <w:bCs/>
          <w:color w:val="auto"/>
          <w:szCs w:val="21"/>
          <w:highlight w:val="none"/>
        </w:rPr>
      </w:pPr>
      <w:r>
        <w:rPr>
          <w:rFonts w:hint="eastAsia" w:ascii="宋体" w:hAnsi="宋体" w:cs="宋体"/>
          <w:color w:val="auto"/>
          <w:szCs w:val="21"/>
          <w:highlight w:val="none"/>
        </w:rPr>
        <w:t>（八）</w:t>
      </w:r>
      <w:r>
        <w:rPr>
          <w:rFonts w:hint="eastAsia" w:ascii="宋体" w:hAnsi="宋体" w:cs="宋体"/>
          <w:bCs/>
          <w:color w:val="auto"/>
          <w:szCs w:val="21"/>
          <w:highlight w:val="none"/>
        </w:rPr>
        <w:t>质疑和投诉</w:t>
      </w:r>
    </w:p>
    <w:p w14:paraId="5ADE326C">
      <w:pPr>
        <w:tabs>
          <w:tab w:val="left" w:pos="518"/>
        </w:tabs>
        <w:adjustRightInd w:val="0"/>
        <w:snapToGrid w:val="0"/>
        <w:spacing w:line="360" w:lineRule="auto"/>
        <w:ind w:firstLine="420" w:firstLineChars="200"/>
        <w:jc w:val="left"/>
        <w:rPr>
          <w:rFonts w:hint="eastAsia" w:hAnsi="宋体"/>
          <w:color w:val="auto"/>
          <w:szCs w:val="21"/>
          <w:highlight w:val="none"/>
        </w:rPr>
      </w:pPr>
      <w:r>
        <w:rPr>
          <w:rFonts w:hAnsi="宋体"/>
          <w:color w:val="auto"/>
          <w:szCs w:val="21"/>
          <w:highlight w:val="none"/>
        </w:rPr>
        <w:t>1.</w:t>
      </w:r>
      <w:r>
        <w:rPr>
          <w:rFonts w:hint="eastAsia" w:hAnsi="宋体"/>
          <w:color w:val="auto"/>
          <w:szCs w:val="21"/>
          <w:highlight w:val="none"/>
        </w:rPr>
        <w:t>潜在投标人或者其他利害关系人对招标文件有异议的，应当在投标截止时间</w:t>
      </w:r>
      <w:r>
        <w:rPr>
          <w:rFonts w:hint="eastAsia" w:hAnsi="宋体"/>
          <w:color w:val="auto"/>
          <w:szCs w:val="21"/>
          <w:highlight w:val="none"/>
          <w:lang w:val="en-US" w:eastAsia="zh-CN"/>
        </w:rPr>
        <w:t>3个工作日</w:t>
      </w:r>
      <w:r>
        <w:rPr>
          <w:rFonts w:hint="eastAsia" w:hAnsi="宋体"/>
          <w:color w:val="auto"/>
          <w:szCs w:val="21"/>
          <w:highlight w:val="none"/>
        </w:rPr>
        <w:t>前提出。招标人应当自收到异议之日起3日内作出答复。</w:t>
      </w:r>
    </w:p>
    <w:p w14:paraId="392948DF">
      <w:pPr>
        <w:tabs>
          <w:tab w:val="left" w:pos="518"/>
        </w:tabs>
        <w:adjustRightInd w:val="0"/>
        <w:snapToGrid w:val="0"/>
        <w:spacing w:line="360" w:lineRule="auto"/>
        <w:ind w:firstLine="420" w:firstLineChars="200"/>
        <w:jc w:val="left"/>
        <w:rPr>
          <w:rFonts w:hint="eastAsia" w:hAnsi="宋体"/>
          <w:color w:val="auto"/>
          <w:szCs w:val="21"/>
          <w:highlight w:val="none"/>
        </w:rPr>
      </w:pPr>
      <w:r>
        <w:rPr>
          <w:rFonts w:hint="eastAsia" w:hAnsi="宋体"/>
          <w:color w:val="auto"/>
          <w:szCs w:val="21"/>
          <w:highlight w:val="none"/>
        </w:rPr>
        <w:t>2.投标人对开标有异议的，应当在开标现场提出，招标人应当当场作出答复，并制作记录。</w:t>
      </w:r>
    </w:p>
    <w:p w14:paraId="5945DE4E">
      <w:pPr>
        <w:tabs>
          <w:tab w:val="left" w:pos="518"/>
        </w:tabs>
        <w:adjustRightInd w:val="0"/>
        <w:snapToGrid w:val="0"/>
        <w:spacing w:line="360" w:lineRule="auto"/>
        <w:ind w:firstLine="420" w:firstLineChars="200"/>
        <w:jc w:val="left"/>
        <w:rPr>
          <w:rFonts w:hint="eastAsia" w:hAnsi="宋体"/>
          <w:color w:val="auto"/>
          <w:szCs w:val="21"/>
          <w:highlight w:val="none"/>
        </w:rPr>
      </w:pPr>
      <w:r>
        <w:rPr>
          <w:rFonts w:hint="eastAsia" w:hAnsi="宋体"/>
          <w:color w:val="auto"/>
          <w:szCs w:val="21"/>
          <w:highlight w:val="none"/>
        </w:rPr>
        <w:t>3.投标人或其他利害关系人对评标结果有异议的，应当在中标候选人公示期间提出。招标人应当自收到异议之日起3日内作出答复。</w:t>
      </w:r>
    </w:p>
    <w:p w14:paraId="0F051BC4">
      <w:pPr>
        <w:tabs>
          <w:tab w:val="left" w:pos="518"/>
        </w:tabs>
        <w:adjustRightInd w:val="0"/>
        <w:snapToGrid w:val="0"/>
        <w:spacing w:line="360" w:lineRule="auto"/>
        <w:ind w:firstLine="420" w:firstLineChars="200"/>
        <w:jc w:val="left"/>
        <w:rPr>
          <w:rFonts w:hint="eastAsia" w:hAnsi="宋体"/>
          <w:color w:val="auto"/>
          <w:szCs w:val="21"/>
          <w:highlight w:val="none"/>
        </w:rPr>
      </w:pPr>
      <w:r>
        <w:rPr>
          <w:rFonts w:hint="eastAsia" w:hAnsi="宋体"/>
          <w:color w:val="auto"/>
          <w:szCs w:val="21"/>
          <w:highlight w:val="none"/>
        </w:rPr>
        <w:t>4.投标人或者其他利害关系人认为招标投标活动不符合法律、行政法规规定的，可以自知道或者应当知道之日起10日内向有关行政监督部门投诉。投诉应当有明确的请求和必要的证明材料。</w:t>
      </w:r>
    </w:p>
    <w:p w14:paraId="63AE5452">
      <w:pPr>
        <w:tabs>
          <w:tab w:val="left" w:pos="518"/>
        </w:tabs>
        <w:adjustRightInd w:val="0"/>
        <w:snapToGrid w:val="0"/>
        <w:spacing w:line="360" w:lineRule="auto"/>
        <w:ind w:firstLine="420" w:firstLineChars="200"/>
        <w:jc w:val="left"/>
        <w:rPr>
          <w:rFonts w:hint="eastAsia" w:hAnsi="宋体"/>
          <w:color w:val="auto"/>
          <w:szCs w:val="21"/>
          <w:highlight w:val="none"/>
        </w:rPr>
      </w:pPr>
      <w:r>
        <w:rPr>
          <w:rFonts w:hint="eastAsia" w:hAnsi="宋体"/>
          <w:color w:val="auto"/>
          <w:szCs w:val="21"/>
          <w:highlight w:val="none"/>
        </w:rPr>
        <w:t>就上述1-3条规定事项投诉的，应当先向招标人提出异议，异议答复期间不计算在前款规定的期限内。</w:t>
      </w:r>
    </w:p>
    <w:p w14:paraId="3587DB0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二、招标文件</w:t>
      </w:r>
    </w:p>
    <w:p w14:paraId="0F8FCF7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（一）招标文件的构成。本招标文件由以下</w:t>
      </w:r>
      <w:r>
        <w:rPr>
          <w:rFonts w:hint="eastAsia" w:ascii="宋体" w:hAnsi="宋体" w:cs="宋体"/>
          <w:color w:val="auto"/>
          <w:szCs w:val="21"/>
          <w:highlight w:val="none"/>
          <w:lang w:eastAsia="zh-CN"/>
        </w:rPr>
        <w:t>部分</w:t>
      </w:r>
      <w:r>
        <w:rPr>
          <w:rFonts w:hint="eastAsia" w:ascii="宋体" w:hAnsi="宋体" w:cs="宋体"/>
          <w:color w:val="auto"/>
          <w:szCs w:val="21"/>
          <w:highlight w:val="none"/>
        </w:rPr>
        <w:t>组成：</w:t>
      </w:r>
    </w:p>
    <w:p w14:paraId="6B82D72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1.招标公告</w:t>
      </w:r>
    </w:p>
    <w:p w14:paraId="666D2CB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2.招标需求</w:t>
      </w:r>
    </w:p>
    <w:p w14:paraId="0597ABF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3.投标人须知</w:t>
      </w:r>
    </w:p>
    <w:p w14:paraId="542B0DA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4.评标办法及评分标准</w:t>
      </w:r>
    </w:p>
    <w:p w14:paraId="2CB6DE8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5.合同主要条款</w:t>
      </w:r>
    </w:p>
    <w:p w14:paraId="229CC44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6.投标文件格式</w:t>
      </w:r>
    </w:p>
    <w:p w14:paraId="4078ACA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7.本项目招标文件的澄清、答复、修改、补充的内容</w:t>
      </w:r>
    </w:p>
    <w:p w14:paraId="4D53BCE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（二）投标人的风险</w:t>
      </w:r>
    </w:p>
    <w:p w14:paraId="7616421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投标人没有按照招标文件要求提供全部资料，或者投标人没有对招标文件在各方面作出实质性响应是投标人的风险，并可能导致其投标被拒绝。</w:t>
      </w:r>
    </w:p>
    <w:p w14:paraId="1B3A1D5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（三）招标文件的澄清与修改</w:t>
      </w:r>
    </w:p>
    <w:p w14:paraId="330950C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1.投标人应认真阅读本招标文件，发现其中有误或有不合理要求的，投标人必须在投标截止日期</w:t>
      </w:r>
      <w:r>
        <w:rPr>
          <w:rFonts w:hint="eastAsia" w:ascii="宋体" w:hAnsi="宋体" w:cs="宋体"/>
          <w:color w:val="auto"/>
          <w:szCs w:val="21"/>
          <w:highlight w:val="none"/>
          <w:lang w:val="en-US" w:eastAsia="zh-CN"/>
        </w:rPr>
        <w:t>3个工作日</w:t>
      </w:r>
      <w:r>
        <w:rPr>
          <w:rFonts w:hint="eastAsia" w:ascii="宋体" w:hAnsi="宋体" w:cs="宋体"/>
          <w:color w:val="auto"/>
          <w:szCs w:val="21"/>
          <w:highlight w:val="none"/>
        </w:rPr>
        <w:t>前以书面形式要求招标采购单位澄清。招标代理机构对已发出的招标文件进行必要澄清、答复、修改或补充的，应当在招标文件要求提交投标文件截止时间五日前，在采购信息发布媒体上发布更正公告，并以书面形式通知所有招标文件收受人。</w:t>
      </w:r>
    </w:p>
    <w:p w14:paraId="37EC68F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2.招标代理机构必须以书面形式答复投标人要求澄清的问题，并将不包含问题来源的答复书面通知所有购买招标文件的投标人；除书面答复以外的其他澄清方式及澄清内容均无效。</w:t>
      </w:r>
    </w:p>
    <w:p w14:paraId="735205E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3.招标文件澄清、答复、修改、补充的内容为招标文件的组成部分。当招标文件与招标文件的答复、澄清、修改、补充通知就同一内容的表述不一致时，以最后发出的书面文件为准。</w:t>
      </w:r>
    </w:p>
    <w:p w14:paraId="323BD42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4.招标文件的澄清、答复、修改或补充都应该通过本代理机构以法定形式发布，招标人非通过本机构，不得擅自澄清、答复、修改或补充招标文件。</w:t>
      </w:r>
    </w:p>
    <w:p w14:paraId="0019379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三、投标文件的编制</w:t>
      </w:r>
    </w:p>
    <w:p w14:paraId="7BB11A4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（一）投标文件的组成</w:t>
      </w:r>
    </w:p>
    <w:p w14:paraId="0B10D6D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（1）投标函（格式见第六章）；</w:t>
      </w:r>
    </w:p>
    <w:p w14:paraId="08C79B1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（2）开标一览表（格式见第六章）；</w:t>
      </w:r>
    </w:p>
    <w:p w14:paraId="1DA195E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（3）投标声明书 </w:t>
      </w:r>
      <w:r>
        <w:rPr>
          <w:rFonts w:hint="eastAsia" w:ascii="宋体" w:hAnsi="宋体" w:cs="宋体"/>
          <w:color w:val="auto"/>
          <w:szCs w:val="21"/>
          <w:highlight w:val="none"/>
          <w:lang w:eastAsia="zh-CN"/>
        </w:rPr>
        <w:t>（</w:t>
      </w:r>
      <w:r>
        <w:rPr>
          <w:rFonts w:hint="eastAsia" w:ascii="宋体" w:hAnsi="宋体" w:cs="宋体"/>
          <w:color w:val="auto"/>
          <w:szCs w:val="21"/>
          <w:highlight w:val="none"/>
        </w:rPr>
        <w:t>格式见第六章</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6EBD731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（4）法定代表人授权委托书</w:t>
      </w:r>
      <w:r>
        <w:rPr>
          <w:rFonts w:hint="eastAsia" w:ascii="宋体" w:hAnsi="宋体" w:cs="宋体"/>
          <w:color w:val="auto"/>
          <w:szCs w:val="21"/>
          <w:highlight w:val="none"/>
          <w:lang w:eastAsia="zh-CN"/>
        </w:rPr>
        <w:t>（</w:t>
      </w:r>
      <w:r>
        <w:rPr>
          <w:rFonts w:hint="eastAsia" w:ascii="宋体" w:hAnsi="宋体" w:cs="宋体"/>
          <w:color w:val="auto"/>
          <w:szCs w:val="21"/>
          <w:highlight w:val="none"/>
        </w:rPr>
        <w:t>格式见第六章</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18F275B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（5）有效的营业执照（复印件加盖公章）；</w:t>
      </w:r>
    </w:p>
    <w:p w14:paraId="3A94ED6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（6）投标人基本情况表</w:t>
      </w:r>
      <w:r>
        <w:rPr>
          <w:rFonts w:hint="eastAsia" w:ascii="宋体" w:hAnsi="宋体" w:cs="宋体"/>
          <w:color w:val="auto"/>
          <w:szCs w:val="21"/>
          <w:highlight w:val="none"/>
          <w:lang w:eastAsia="zh-CN"/>
        </w:rPr>
        <w:t>（</w:t>
      </w:r>
      <w:r>
        <w:rPr>
          <w:rFonts w:hint="eastAsia" w:ascii="宋体" w:hAnsi="宋体" w:cs="宋体"/>
          <w:color w:val="auto"/>
          <w:szCs w:val="21"/>
          <w:highlight w:val="none"/>
        </w:rPr>
        <w:t>格式见第六章</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0E6D5F9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（7）合格投标人的资格承诺书（格式见第六章）；</w:t>
      </w:r>
    </w:p>
    <w:p w14:paraId="435ABFD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（8）投标人特定资格条件的证明文件：详见“第一章 招标公告  五、合格投标人的资格要求（本项目资格后审）2、特定资格条件”；</w:t>
      </w:r>
    </w:p>
    <w:p w14:paraId="3BC09E4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（9）针对本项目的完整投标方案，包括中药</w:t>
      </w:r>
      <w:r>
        <w:rPr>
          <w:rFonts w:hint="eastAsia" w:ascii="宋体" w:hAnsi="宋体" w:cs="宋体"/>
          <w:color w:val="auto"/>
          <w:szCs w:val="21"/>
          <w:highlight w:val="none"/>
          <w:lang w:val="en-US" w:eastAsia="zh-CN"/>
        </w:rPr>
        <w:t>饮片</w:t>
      </w:r>
      <w:r>
        <w:rPr>
          <w:rFonts w:hint="eastAsia" w:ascii="宋体" w:hAnsi="宋体" w:cs="宋体"/>
          <w:color w:val="auto"/>
          <w:szCs w:val="21"/>
          <w:highlight w:val="none"/>
        </w:rPr>
        <w:t>生产采购方案、饮片目录、仓储方案、运输方案、应急方案等；</w:t>
      </w:r>
    </w:p>
    <w:p w14:paraId="5EF4649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（10）技术条款偏离表（格式见第六章）；</w:t>
      </w:r>
    </w:p>
    <w:p w14:paraId="12484AC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（11）商务条款偏离表（格式见第六章）；</w:t>
      </w:r>
    </w:p>
    <w:p w14:paraId="625A48E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（12）类似项目业绩表（格式见第六章）；</w:t>
      </w:r>
    </w:p>
    <w:p w14:paraId="307C887A">
      <w:pPr>
        <w:spacing w:line="360" w:lineRule="auto"/>
        <w:rPr>
          <w:rFonts w:hAnsi="宋体" w:cs="宋体"/>
          <w:color w:val="auto"/>
          <w:szCs w:val="21"/>
          <w:highlight w:val="none"/>
        </w:rPr>
      </w:pPr>
      <w:r>
        <w:rPr>
          <w:rFonts w:hint="eastAsia" w:ascii="宋体" w:hAnsi="宋体" w:cs="宋体"/>
          <w:color w:val="auto"/>
          <w:szCs w:val="21"/>
          <w:highlight w:val="none"/>
        </w:rPr>
        <w:t>（13）评标索引表（格式见第六章）；</w:t>
      </w:r>
    </w:p>
    <w:p w14:paraId="650BFA2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（14）招标文件中第四章《评标办法及评分标准》中需提供的其他相关资质证书及所</w:t>
      </w:r>
      <w:r>
        <w:rPr>
          <w:rFonts w:hint="eastAsia" w:ascii="宋体" w:hAnsi="宋体" w:cs="宋体"/>
          <w:color w:val="auto"/>
          <w:szCs w:val="21"/>
          <w:highlight w:val="none"/>
          <w:lang w:eastAsia="zh-CN"/>
        </w:rPr>
        <w:t>需</w:t>
      </w:r>
      <w:r>
        <w:rPr>
          <w:rFonts w:hint="eastAsia" w:ascii="宋体" w:hAnsi="宋体" w:cs="宋体"/>
          <w:color w:val="auto"/>
          <w:szCs w:val="21"/>
          <w:highlight w:val="none"/>
        </w:rPr>
        <w:t xml:space="preserve">证明资料复印件加盖公章； </w:t>
      </w:r>
    </w:p>
    <w:p w14:paraId="558C779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（15）投标人针对本项目的相关服务承诺（格式自拟）；</w:t>
      </w:r>
    </w:p>
    <w:p w14:paraId="0AC97C6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（16）投标人认为需要的其他文件资料或说明（格式自拟）。</w:t>
      </w:r>
    </w:p>
    <w:p w14:paraId="7413F91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（二）投标文件的语言及计量</w:t>
      </w:r>
    </w:p>
    <w:p w14:paraId="55604C4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★1.投标文件以及投标人与招标方就有关投标事宜的所有来往函电，均应以中文汉语书写。除签名、盖章、专用名称等特殊情形外，以中文汉语以外的文字表述的投标文件视同未提供。</w:t>
      </w:r>
    </w:p>
    <w:p w14:paraId="55AAB6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★2.投标计量单位，招标文件已有明确规定的，使用招标文件规定的计量单位；招标文件没有规定的，应采用中华人民共和国法定计量单位（货币单位：人民币元），否则视同未响应。</w:t>
      </w:r>
    </w:p>
    <w:p w14:paraId="45F3837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（三）投标报价</w:t>
      </w:r>
    </w:p>
    <w:p w14:paraId="5E2CF3E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1.投标报价应按招标文件中相关附表格式填写。</w:t>
      </w:r>
    </w:p>
    <w:p w14:paraId="4DF9945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★2.投标报价是履行合同的最终价格，具体详见第三章 投标人须知。</w:t>
      </w:r>
    </w:p>
    <w:p w14:paraId="6A31C4F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★3.投标文件只允许有一个报价，有选择的或有条件的报价将不予接受。</w:t>
      </w:r>
    </w:p>
    <w:p w14:paraId="2AA9A94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（四）投标文件的有效期</w:t>
      </w:r>
    </w:p>
    <w:p w14:paraId="00CF1CE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★1.自投标截止日起90天投标文件应保持有效。</w:t>
      </w:r>
    </w:p>
    <w:p w14:paraId="3731693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2.在特殊情况下，招标人可与投标人协商延长投标文件的有效期，这种要求和答复均以书面形式进行。</w:t>
      </w:r>
    </w:p>
    <w:p w14:paraId="3E7B94C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3.投标人可拒绝接受延期要求而不会导致投标保证金被没收。同意延长有效期的投标人需要相应延长投标保证金的有效期，但不能修改投标文件。 </w:t>
      </w:r>
    </w:p>
    <w:p w14:paraId="73B3CB3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4.中标人的投标文件自开标之日起至合同履行完毕止均应保持有效。</w:t>
      </w:r>
    </w:p>
    <w:p w14:paraId="1CDA77C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（五）投标保证金</w:t>
      </w:r>
    </w:p>
    <w:p w14:paraId="33D85E8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★1.投标人须按规定提交投标保证金。</w:t>
      </w:r>
    </w:p>
    <w:p w14:paraId="1F7CC2C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2.保证金形式：汇票、电汇、支票等。</w:t>
      </w:r>
    </w:p>
    <w:p w14:paraId="30D9874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3.未中标人的投标保证金在结果公示期满后退取。</w:t>
      </w:r>
    </w:p>
    <w:p w14:paraId="0182A73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4.中标人的投标保证金在与招标人签订了合同并提交了履约保证金（如适用）和交付中标服务费后退取。</w:t>
      </w:r>
    </w:p>
    <w:p w14:paraId="3D77AB9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5.保证金不计息。</w:t>
      </w:r>
    </w:p>
    <w:p w14:paraId="2C813B0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6.投标人有下列情形之一的，投标保证金将不予退还：</w:t>
      </w:r>
    </w:p>
    <w:p w14:paraId="687B9E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（1）投标人在投标有效期内撤回投标文件的；</w:t>
      </w:r>
    </w:p>
    <w:p w14:paraId="6574FC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（2）投标人在投标过程中弄虚作假，提供虚假材料的；</w:t>
      </w:r>
    </w:p>
    <w:p w14:paraId="62C2414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（3）中标人无正当理由不与招标人签订合同的；</w:t>
      </w:r>
    </w:p>
    <w:p w14:paraId="2BC013F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（4）将中标项目转让给他人或者在投标文件中未说明且未经招标采购单位同意，将中标项目分包给他人的；</w:t>
      </w:r>
    </w:p>
    <w:p w14:paraId="5EE9684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（5）拒绝履行合同义务的；</w:t>
      </w:r>
    </w:p>
    <w:p w14:paraId="660C6AE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（6）其他严重扰乱招投标程序的；</w:t>
      </w:r>
    </w:p>
    <w:p w14:paraId="6DDF30A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（六）投标文件的签署和份数</w:t>
      </w:r>
    </w:p>
    <w:p w14:paraId="62E8D9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1.投标人应按本招标文件规定的格式和顺序编制、装订投标文件并标注页码，投标文件内容不完整、编排混乱导致投标文件被误读、漏读或者查找不到相关内容的，是投标人的责任。</w:t>
      </w:r>
    </w:p>
    <w:p w14:paraId="7D17F32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2.投标人应按正本1份，副本4份分别编制并单独装订成册，投标文件的封面应注明“正本”、“副本”字样。</w:t>
      </w:r>
    </w:p>
    <w:p w14:paraId="35397E1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3.投标文件的正本需打印或用不褪色的墨水填写，投标文件正本除本《投标人须知》中规定的可提供复印件外均须提供原件。副本为正本的复印件。</w:t>
      </w:r>
    </w:p>
    <w:p w14:paraId="32274A0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4.投标文件须由投标人在规定位置盖章并由法定代表人或法定代表人的授权委托人签署，投标人应写全称。</w:t>
      </w:r>
    </w:p>
    <w:p w14:paraId="27AA18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5.投标文件不得涂改，若有修改错漏处，须加盖单位公章或者法定代表人或授权委托人签字或盖章。投标文件因字迹潦草或表达不清所引起的后果由投标人负责。</w:t>
      </w:r>
    </w:p>
    <w:p w14:paraId="120776B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（七）投标文件的包装、递交、修改和撤回</w:t>
      </w:r>
    </w:p>
    <w:p w14:paraId="6056EB70">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1.投</w:t>
      </w:r>
      <w:r>
        <w:rPr>
          <w:rFonts w:hint="eastAsia" w:ascii="宋体" w:hAnsi="宋体" w:cs="宋体"/>
          <w:color w:val="auto"/>
          <w:szCs w:val="21"/>
          <w:highlight w:val="none"/>
        </w:rPr>
        <w:t>标文件密封袋内装投标文件正本一份、副本一式四份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电子文件一份</w:t>
      </w:r>
      <w:r>
        <w:rPr>
          <w:rFonts w:hint="eastAsia" w:ascii="宋体" w:hAnsi="宋体" w:cs="宋体"/>
          <w:color w:val="auto"/>
          <w:szCs w:val="21"/>
          <w:highlight w:val="none"/>
        </w:rPr>
        <w:t>。投标文件递交时应密封完好，封口处必须盖投标单位公章或由投标单位的被授权代表人签字。密封袋上注明招标编号、招标项目名称、投标单位名称、子包号（如有），并注明“投标文件”字样。</w:t>
      </w:r>
    </w:p>
    <w:p w14:paraId="57974FF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2.未按规定密封或标记的投标文件将被拒绝，由此造成投标文件被误投或提前拆封的风险由投标人承担。</w:t>
      </w:r>
    </w:p>
    <w:p w14:paraId="3F3B7F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14:paraId="5BED3F6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（八）投标无效的情形</w:t>
      </w:r>
    </w:p>
    <w:p w14:paraId="1B41A7E5">
      <w:pPr>
        <w:widowControl/>
        <w:spacing w:line="360" w:lineRule="auto"/>
        <w:ind w:firstLine="420" w:firstLineChars="200"/>
        <w:jc w:val="left"/>
        <w:rPr>
          <w:rFonts w:hint="eastAsia"/>
          <w:color w:val="auto"/>
          <w:kern w:val="0"/>
          <w:szCs w:val="20"/>
          <w:highlight w:val="none"/>
        </w:rPr>
      </w:pPr>
      <w:r>
        <w:rPr>
          <w:rFonts w:hint="eastAsia"/>
          <w:color w:val="auto"/>
          <w:kern w:val="0"/>
          <w:szCs w:val="20"/>
          <w:highlight w:val="none"/>
        </w:rPr>
        <w:t>没有响应招标文件实质性要求的投标将被视为无效投标。投标人不得通过修正或</w:t>
      </w:r>
      <w:r>
        <w:rPr>
          <w:rFonts w:hint="eastAsia"/>
          <w:color w:val="auto"/>
          <w:kern w:val="0"/>
          <w:szCs w:val="20"/>
          <w:highlight w:val="none"/>
          <w:lang w:eastAsia="zh-CN"/>
        </w:rPr>
        <w:t>撤销</w:t>
      </w:r>
      <w:r>
        <w:rPr>
          <w:rFonts w:hint="eastAsia"/>
          <w:color w:val="auto"/>
          <w:kern w:val="0"/>
          <w:szCs w:val="20"/>
          <w:highlight w:val="none"/>
        </w:rPr>
        <w:t>不合要求的偏离或保留从而使其投标成为实质上响应的投标，但经评标委员会认定属于投标人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6DD2E36F">
      <w:pPr>
        <w:spacing w:line="360" w:lineRule="auto"/>
        <w:ind w:firstLine="422" w:firstLineChars="200"/>
        <w:rPr>
          <w:rFonts w:ascii="宋体"/>
          <w:b/>
          <w:color w:val="auto"/>
          <w:szCs w:val="21"/>
          <w:highlight w:val="none"/>
        </w:rPr>
      </w:pPr>
      <w:r>
        <w:rPr>
          <w:rFonts w:hint="eastAsia" w:ascii="宋体"/>
          <w:b/>
          <w:color w:val="auto"/>
          <w:szCs w:val="21"/>
          <w:highlight w:val="none"/>
        </w:rPr>
        <w:t>投标文件有重大偏差的将被直接作无效标处理。重大偏差指：</w:t>
      </w:r>
    </w:p>
    <w:p w14:paraId="2D7E40CD">
      <w:pPr>
        <w:spacing w:line="360" w:lineRule="auto"/>
        <w:ind w:firstLine="420" w:firstLineChars="200"/>
        <w:rPr>
          <w:rFonts w:hint="eastAsia" w:ascii="宋体"/>
          <w:color w:val="auto"/>
          <w:szCs w:val="21"/>
          <w:highlight w:val="none"/>
        </w:rPr>
      </w:pPr>
      <w:r>
        <w:rPr>
          <w:rFonts w:hint="eastAsia" w:ascii="宋体"/>
          <w:color w:val="auto"/>
          <w:szCs w:val="21"/>
          <w:highlight w:val="none"/>
        </w:rPr>
        <w:t>1.投标单位未按规定提交投标保证金；</w:t>
      </w:r>
    </w:p>
    <w:p w14:paraId="609995DA">
      <w:pPr>
        <w:spacing w:line="360" w:lineRule="auto"/>
        <w:ind w:firstLine="420" w:firstLineChars="200"/>
        <w:rPr>
          <w:rFonts w:hint="eastAsia" w:ascii="宋体"/>
          <w:color w:val="auto"/>
          <w:szCs w:val="21"/>
          <w:highlight w:val="none"/>
        </w:rPr>
      </w:pPr>
      <w:r>
        <w:rPr>
          <w:rFonts w:hint="eastAsia" w:ascii="宋体"/>
          <w:color w:val="auto"/>
          <w:szCs w:val="21"/>
          <w:highlight w:val="none"/>
        </w:rPr>
        <w:t>2.投标有效期不足的；</w:t>
      </w:r>
    </w:p>
    <w:p w14:paraId="589B24CE">
      <w:pPr>
        <w:spacing w:line="360" w:lineRule="auto"/>
        <w:ind w:firstLine="420" w:firstLineChars="200"/>
        <w:rPr>
          <w:rFonts w:hint="eastAsia" w:ascii="宋体"/>
          <w:color w:val="auto"/>
          <w:szCs w:val="21"/>
          <w:highlight w:val="none"/>
        </w:rPr>
      </w:pPr>
      <w:r>
        <w:rPr>
          <w:rFonts w:hint="eastAsia" w:ascii="宋体"/>
          <w:color w:val="auto"/>
          <w:szCs w:val="21"/>
          <w:highlight w:val="none"/>
          <w:shd w:val="clear" w:color="auto" w:fill="FFFFFF"/>
        </w:rPr>
        <w:t>3.投</w:t>
      </w:r>
      <w:r>
        <w:rPr>
          <w:rFonts w:hint="eastAsia" w:ascii="宋体"/>
          <w:color w:val="auto"/>
          <w:szCs w:val="21"/>
          <w:highlight w:val="none"/>
        </w:rPr>
        <w:t>标文件的组成或格式的盖章、签署、出具不符合本招标文件要求的。</w:t>
      </w:r>
    </w:p>
    <w:p w14:paraId="00CC394F">
      <w:pPr>
        <w:spacing w:line="360" w:lineRule="auto"/>
        <w:ind w:firstLine="420" w:firstLineChars="200"/>
        <w:rPr>
          <w:rFonts w:hint="eastAsia" w:ascii="宋体"/>
          <w:color w:val="auto"/>
          <w:szCs w:val="21"/>
          <w:highlight w:val="none"/>
        </w:rPr>
      </w:pPr>
      <w:r>
        <w:rPr>
          <w:rFonts w:hint="eastAsia" w:ascii="宋体"/>
          <w:color w:val="auto"/>
          <w:szCs w:val="21"/>
          <w:highlight w:val="none"/>
        </w:rPr>
        <w:t>4.投标文件无法定代表人或被授权代表签字及签字人无法定代表人有效授权的；</w:t>
      </w:r>
    </w:p>
    <w:p w14:paraId="07EEF041">
      <w:pPr>
        <w:spacing w:line="360" w:lineRule="auto"/>
        <w:ind w:firstLine="420" w:firstLineChars="200"/>
        <w:rPr>
          <w:rFonts w:hint="eastAsia" w:ascii="宋体"/>
          <w:color w:val="auto"/>
          <w:szCs w:val="21"/>
          <w:highlight w:val="none"/>
        </w:rPr>
      </w:pPr>
      <w:r>
        <w:rPr>
          <w:rFonts w:hint="eastAsia" w:ascii="宋体"/>
          <w:color w:val="auto"/>
          <w:szCs w:val="21"/>
          <w:highlight w:val="none"/>
        </w:rPr>
        <w:t>5.明显不符合招标文件对技术规格、技术标准的要求或国家实行注册证、许可证制度而未提供相关证书的；</w:t>
      </w:r>
    </w:p>
    <w:p w14:paraId="25A7CB38">
      <w:pPr>
        <w:spacing w:line="360" w:lineRule="auto"/>
        <w:ind w:firstLine="420" w:firstLineChars="200"/>
        <w:rPr>
          <w:rFonts w:hint="eastAsia" w:ascii="宋体"/>
          <w:color w:val="auto"/>
          <w:szCs w:val="21"/>
          <w:highlight w:val="none"/>
        </w:rPr>
      </w:pPr>
      <w:r>
        <w:rPr>
          <w:rFonts w:hint="eastAsia" w:ascii="宋体"/>
          <w:color w:val="auto"/>
          <w:szCs w:val="21"/>
          <w:highlight w:val="none"/>
        </w:rPr>
        <w:t>6.法定代表人为同一个人的两个或多个法人，母公司、子公司（包括全资子公司）、控股公司在同一招标中同时投标的；</w:t>
      </w:r>
    </w:p>
    <w:p w14:paraId="22641063">
      <w:pPr>
        <w:spacing w:line="360" w:lineRule="auto"/>
        <w:ind w:firstLine="420" w:firstLineChars="200"/>
        <w:rPr>
          <w:rFonts w:hint="eastAsia" w:ascii="宋体"/>
          <w:color w:val="auto"/>
          <w:szCs w:val="21"/>
          <w:highlight w:val="none"/>
        </w:rPr>
      </w:pPr>
      <w:r>
        <w:rPr>
          <w:rFonts w:hint="eastAsia" w:ascii="宋体"/>
          <w:color w:val="auto"/>
          <w:szCs w:val="21"/>
          <w:highlight w:val="none"/>
        </w:rPr>
        <w:t>7.资格证明文件不全的，或者不符合招标文件标明的资格要求的；</w:t>
      </w:r>
    </w:p>
    <w:p w14:paraId="2F064DE8">
      <w:pPr>
        <w:spacing w:line="360" w:lineRule="auto"/>
        <w:ind w:firstLine="420" w:firstLineChars="200"/>
        <w:rPr>
          <w:rFonts w:hint="eastAsia" w:ascii="宋体"/>
          <w:color w:val="auto"/>
          <w:szCs w:val="21"/>
          <w:highlight w:val="none"/>
        </w:rPr>
      </w:pPr>
      <w:r>
        <w:rPr>
          <w:rFonts w:hint="eastAsia" w:ascii="宋体"/>
          <w:color w:val="auto"/>
          <w:szCs w:val="21"/>
          <w:highlight w:val="none"/>
        </w:rPr>
        <w:t>8.评标委员会经过审查，认定投标单位未在实质上响应招标文件的要求的或以低于成本报价竞标的；</w:t>
      </w:r>
    </w:p>
    <w:p w14:paraId="12DC19C7">
      <w:pPr>
        <w:spacing w:line="360" w:lineRule="auto"/>
        <w:ind w:firstLine="420" w:firstLineChars="200"/>
        <w:rPr>
          <w:rFonts w:hint="eastAsia" w:ascii="宋体"/>
          <w:color w:val="auto"/>
          <w:szCs w:val="21"/>
          <w:highlight w:val="none"/>
        </w:rPr>
      </w:pPr>
      <w:r>
        <w:rPr>
          <w:rFonts w:hint="eastAsia" w:ascii="宋体"/>
          <w:color w:val="auto"/>
          <w:szCs w:val="21"/>
          <w:highlight w:val="none"/>
        </w:rPr>
        <w:t>9.</w:t>
      </w:r>
      <w:r>
        <w:rPr>
          <w:rFonts w:hint="eastAsia" w:ascii="宋体" w:hAnsi="宋体"/>
          <w:bCs/>
          <w:color w:val="auto"/>
          <w:szCs w:val="21"/>
          <w:highlight w:val="none"/>
        </w:rPr>
        <w:t>任何对招标文件带“★”号条款的负偏离或未作实质性响应，都将直接导致投标无效；</w:t>
      </w:r>
    </w:p>
    <w:p w14:paraId="42FB18E2">
      <w:pPr>
        <w:spacing w:line="360" w:lineRule="auto"/>
        <w:ind w:firstLine="420" w:firstLineChars="200"/>
        <w:rPr>
          <w:rFonts w:hint="eastAsia" w:ascii="宋体"/>
          <w:color w:val="auto"/>
          <w:szCs w:val="21"/>
          <w:highlight w:val="none"/>
        </w:rPr>
      </w:pPr>
      <w:r>
        <w:rPr>
          <w:rFonts w:hint="eastAsia" w:ascii="宋体"/>
          <w:color w:val="auto"/>
          <w:szCs w:val="21"/>
          <w:highlight w:val="none"/>
        </w:rPr>
        <w:t>10.在评标、定标期间，评标委员会若发现投标单位在投标中有腐败或欺诈行为或投标单位试图对评标委员会的评</w:t>
      </w:r>
      <w:r>
        <w:rPr>
          <w:rFonts w:hint="eastAsia" w:ascii="宋体"/>
          <w:color w:val="auto"/>
          <w:szCs w:val="21"/>
          <w:highlight w:val="none"/>
          <w:lang w:eastAsia="zh-CN"/>
        </w:rPr>
        <w:t>标</w:t>
      </w:r>
      <w:r>
        <w:rPr>
          <w:rFonts w:hint="eastAsia" w:ascii="宋体"/>
          <w:color w:val="auto"/>
          <w:szCs w:val="21"/>
          <w:highlight w:val="none"/>
        </w:rPr>
        <w:t>进行影响的，将依法否决其投标。</w:t>
      </w:r>
    </w:p>
    <w:p w14:paraId="7842B9B2">
      <w:pPr>
        <w:spacing w:line="360" w:lineRule="auto"/>
        <w:ind w:firstLine="420" w:firstLineChars="200"/>
        <w:rPr>
          <w:rFonts w:hint="eastAsia" w:ascii="宋体"/>
          <w:color w:val="auto"/>
          <w:szCs w:val="21"/>
          <w:highlight w:val="none"/>
        </w:rPr>
      </w:pPr>
      <w:r>
        <w:rPr>
          <w:rFonts w:hint="eastAsia" w:ascii="宋体"/>
          <w:color w:val="auto"/>
          <w:szCs w:val="21"/>
          <w:highlight w:val="none"/>
        </w:rPr>
        <w:t>对于投标文件在实质上响应招标文件要求，但个别地方属于明显笔误的，提供的技术信息和数据不够完整等细微偏差，在补正不会造成对</w:t>
      </w:r>
      <w:r>
        <w:rPr>
          <w:rFonts w:hint="eastAsia" w:ascii="宋体"/>
          <w:color w:val="auto"/>
          <w:szCs w:val="21"/>
          <w:highlight w:val="none"/>
          <w:lang w:eastAsia="zh-CN"/>
        </w:rPr>
        <w:t>其他</w:t>
      </w:r>
      <w:r>
        <w:rPr>
          <w:rFonts w:hint="eastAsia" w:ascii="宋体"/>
          <w:color w:val="auto"/>
          <w:szCs w:val="21"/>
          <w:highlight w:val="none"/>
        </w:rPr>
        <w:t>投标单位不公平结果的原则下，允许投标单位在询标时作出澄清和补正。</w:t>
      </w:r>
    </w:p>
    <w:p w14:paraId="154DE658">
      <w:pPr>
        <w:spacing w:line="360" w:lineRule="auto"/>
        <w:rPr>
          <w:rFonts w:hint="eastAsia" w:ascii="宋体" w:hAnsi="宋体" w:cs="宋体"/>
          <w:snapToGrid w:val="0"/>
          <w:color w:val="auto"/>
          <w:szCs w:val="21"/>
          <w:highlight w:val="none"/>
        </w:rPr>
      </w:pPr>
      <w:r>
        <w:rPr>
          <w:rFonts w:hint="eastAsia" w:ascii="宋体" w:hAnsi="宋体" w:cs="宋体"/>
          <w:color w:val="auto"/>
          <w:szCs w:val="21"/>
          <w:highlight w:val="none"/>
        </w:rPr>
        <w:t>四、开标</w:t>
      </w:r>
    </w:p>
    <w:p w14:paraId="415A474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（一）开标准备</w:t>
      </w:r>
    </w:p>
    <w:p w14:paraId="3CAC48E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招标代理机构将在规定的时间和地点进行开标，投标人的法定代表人或其授权代表应参加开标会并签到。投标人的法定代表人或其授权代表未按时签到的，视同放弃开标监督权利、认可开标结果。</w:t>
      </w:r>
    </w:p>
    <w:p w14:paraId="0CB0B42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 开标程序：</w:t>
      </w:r>
    </w:p>
    <w:p w14:paraId="3A3C28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1.开标会由招标代理机构主持，主持人宣布开标会议开始；</w:t>
      </w:r>
    </w:p>
    <w:p w14:paraId="0E55D1F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2.主持人介绍参加开标会的人员名单； </w:t>
      </w:r>
    </w:p>
    <w:p w14:paraId="537BF50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3.主持人宣布评标期间的有关事项；告知应当回避的情形</w:t>
      </w:r>
      <w:r>
        <w:rPr>
          <w:rFonts w:hint="eastAsia" w:ascii="宋体" w:hAnsi="宋体" w:cs="宋体"/>
          <w:color w:val="auto"/>
          <w:szCs w:val="21"/>
          <w:highlight w:val="none"/>
          <w:lang w:eastAsia="zh-CN"/>
        </w:rPr>
        <w:t>，</w:t>
      </w:r>
      <w:r>
        <w:rPr>
          <w:rFonts w:hint="eastAsia" w:ascii="宋体" w:hAnsi="宋体" w:cs="宋体"/>
          <w:color w:val="auto"/>
          <w:szCs w:val="21"/>
          <w:highlight w:val="none"/>
        </w:rPr>
        <w:t>提请有关人员回避；</w:t>
      </w:r>
    </w:p>
    <w:p w14:paraId="6465E58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4.投标人或其当场推荐的代表，检查投标文件密封的完整性并签字确认；</w:t>
      </w:r>
    </w:p>
    <w:p w14:paraId="0DD274C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5.按各投标人提交投标文件的时间的先后顺序打开所有投标文件的外包装，清点投标文件正本、副本数量；</w:t>
      </w:r>
    </w:p>
    <w:p w14:paraId="4DDA00A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6.由主持人宣读投标人名称及在其投标文件中承诺的投标内容，以及采购代理机构认为有必要宣读的其他内容。</w:t>
      </w:r>
    </w:p>
    <w:p w14:paraId="0A3FA8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7.采购代理机构做开标记录</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投标人代表对开标记录进行当场校核及勘误，并签字确认；同时由记录人当场签字确认。投标人代表未到场签字确认或者拒绝签字确认的，不影响评标过程。</w:t>
      </w:r>
    </w:p>
    <w:p w14:paraId="60110FC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8.投标文件由评标委员会进行评审，评审结束后，由主持人公布无效投标的投标人名单、投标无效的原因及其他有效投标的评分结果。</w:t>
      </w:r>
    </w:p>
    <w:p w14:paraId="2901CEB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9.开标会议结束。</w:t>
      </w:r>
    </w:p>
    <w:p w14:paraId="43DA1E8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五、评标</w:t>
      </w:r>
    </w:p>
    <w:p w14:paraId="2DCF265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（一）组建评标委员会</w:t>
      </w:r>
    </w:p>
    <w:p w14:paraId="5654D25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本项目评标委员会依法组建。</w:t>
      </w:r>
    </w:p>
    <w:p w14:paraId="16B0FC4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（二）评标的方式</w:t>
      </w:r>
    </w:p>
    <w:p w14:paraId="37B02C2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本项目采用不公开方式评标，评标的依据为招标文件和投标文件。</w:t>
      </w:r>
    </w:p>
    <w:p w14:paraId="7865B4E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w:t>
      </w:r>
      <w:r>
        <w:rPr>
          <w:rFonts w:hint="eastAsia" w:ascii="宋体" w:hAnsi="宋体" w:cs="宋体"/>
          <w:bCs/>
          <w:color w:val="auto"/>
          <w:szCs w:val="21"/>
          <w:highlight w:val="none"/>
        </w:rPr>
        <w:t>评标程序</w:t>
      </w:r>
    </w:p>
    <w:p w14:paraId="0882F39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1.形式审查</w:t>
      </w:r>
    </w:p>
    <w:p w14:paraId="67D0EAB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招标人代表和代理机构工作人员协助评标委员会对投标人的资格和投标文件的完整性、合法性等进行审查。</w:t>
      </w:r>
    </w:p>
    <w:p w14:paraId="294FFE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2.实质审查与比较</w:t>
      </w:r>
    </w:p>
    <w:p w14:paraId="25FF156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（1）评标委员会审查投标文件的实质性内容是否符合招标文件的实质性要求。</w:t>
      </w:r>
    </w:p>
    <w:p w14:paraId="5FC8B4E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（2）评标委员会将根据投标人的投标文件进行审查、核对</w:t>
      </w:r>
      <w:r>
        <w:rPr>
          <w:rFonts w:hint="eastAsia" w:ascii="宋体" w:hAnsi="宋体" w:cs="宋体"/>
          <w:color w:val="auto"/>
          <w:szCs w:val="21"/>
          <w:highlight w:val="none"/>
          <w:lang w:eastAsia="zh-CN"/>
        </w:rPr>
        <w:t>，</w:t>
      </w:r>
      <w:r>
        <w:rPr>
          <w:rFonts w:hint="eastAsia" w:ascii="宋体" w:hAnsi="宋体" w:cs="宋体"/>
          <w:color w:val="auto"/>
          <w:szCs w:val="21"/>
          <w:highlight w:val="none"/>
        </w:rPr>
        <w:t>如有疑问</w:t>
      </w:r>
      <w:r>
        <w:rPr>
          <w:rFonts w:hint="eastAsia" w:ascii="宋体" w:hAnsi="宋体" w:cs="宋体"/>
          <w:color w:val="auto"/>
          <w:szCs w:val="21"/>
          <w:highlight w:val="none"/>
          <w:lang w:eastAsia="zh-CN"/>
        </w:rPr>
        <w:t>，</w:t>
      </w:r>
      <w:r>
        <w:rPr>
          <w:rFonts w:hint="eastAsia" w:ascii="宋体" w:hAnsi="宋体" w:cs="宋体"/>
          <w:color w:val="auto"/>
          <w:szCs w:val="21"/>
          <w:highlight w:val="none"/>
        </w:rPr>
        <w:t>将对投标人进行询标</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投标人要向评标委员会澄清有关问题</w:t>
      </w:r>
      <w:r>
        <w:rPr>
          <w:rFonts w:hint="eastAsia" w:ascii="宋体" w:hAnsi="宋体" w:cs="宋体"/>
          <w:color w:val="auto"/>
          <w:szCs w:val="21"/>
          <w:highlight w:val="none"/>
          <w:lang w:eastAsia="zh-CN"/>
        </w:rPr>
        <w:t>，</w:t>
      </w:r>
      <w:r>
        <w:rPr>
          <w:rFonts w:hint="eastAsia" w:ascii="宋体" w:hAnsi="宋体" w:cs="宋体"/>
          <w:color w:val="auto"/>
          <w:szCs w:val="21"/>
          <w:highlight w:val="none"/>
        </w:rPr>
        <w:t>并最终以书面形式进行答复。</w:t>
      </w:r>
    </w:p>
    <w:p w14:paraId="3D93F7B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投标人代表未到场或者拒绝澄清或者澄清的内容改变了投标文件的实质性内容的，评标委员会有权对该投标文件作出不利于投标人的评判。</w:t>
      </w:r>
    </w:p>
    <w:p w14:paraId="292F915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评标委员会对初步审查合格的投标文件，依照本办法对其技术部分和商务部分作进一步评审、比较，并按评分比例，由评标委员会各成员以记名方式独立评定打分。汇总各评委的评分，取算术平均值（小数点后保留</w:t>
      </w:r>
      <w:r>
        <w:rPr>
          <w:rFonts w:hint="eastAsia" w:ascii="宋体" w:hAnsi="宋体" w:cs="宋体"/>
          <w:color w:val="auto"/>
          <w:szCs w:val="21"/>
          <w:highlight w:val="none"/>
          <w:lang w:val="en-US" w:eastAsia="zh-CN"/>
        </w:rPr>
        <w:t>两</w:t>
      </w:r>
      <w:r>
        <w:rPr>
          <w:rFonts w:hint="eastAsia" w:ascii="宋体" w:hAnsi="宋体" w:cs="宋体"/>
          <w:color w:val="auto"/>
          <w:szCs w:val="21"/>
          <w:highlight w:val="none"/>
        </w:rPr>
        <w:t>位数）为该投标人的总得分。</w:t>
      </w:r>
    </w:p>
    <w:p w14:paraId="7570866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（4）评标委员会按评标原则推荐中标候选人同时起草评标报告。</w:t>
      </w:r>
    </w:p>
    <w:p w14:paraId="6AB6F75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（四）澄清问题的形式</w:t>
      </w:r>
    </w:p>
    <w:p w14:paraId="7954C62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7429CDC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（五）错误修正</w:t>
      </w:r>
    </w:p>
    <w:p w14:paraId="7FF9F5BA">
      <w:pPr>
        <w:pStyle w:val="18"/>
        <w:spacing w:beforeLines="0" w:afterLines="0"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投标文件如果出现计算或表达上的错误，修正错误的原则如下：开标时，投标文件中开标一览表内容与投标文件明细表内容不一致的，以开标一览表为准。</w:t>
      </w:r>
    </w:p>
    <w:p w14:paraId="4FAB6A67">
      <w:pPr>
        <w:pStyle w:val="18"/>
        <w:spacing w:beforeLines="0" w:afterLines="0" w:line="360" w:lineRule="auto"/>
        <w:ind w:firstLine="420"/>
        <w:rPr>
          <w:rFonts w:hint="eastAsia" w:hAnsi="宋体" w:cs="宋体"/>
          <w:color w:val="auto"/>
          <w:sz w:val="21"/>
          <w:szCs w:val="21"/>
          <w:highlight w:val="none"/>
        </w:rPr>
      </w:pPr>
      <w:r>
        <w:rPr>
          <w:rFonts w:hint="eastAsia" w:hAnsi="宋体" w:cs="宋体"/>
          <w:color w:val="auto"/>
          <w:sz w:val="21"/>
          <w:szCs w:val="21"/>
          <w:highlight w:val="none"/>
          <w:lang w:val="en-US" w:eastAsia="zh-CN"/>
        </w:rPr>
        <w:t>投标文件正本内容与副本内容不一致的，以正本内容为准；</w:t>
      </w:r>
      <w:r>
        <w:rPr>
          <w:rFonts w:hint="eastAsia" w:hAnsi="宋体" w:cs="宋体"/>
          <w:color w:val="auto"/>
          <w:sz w:val="21"/>
          <w:szCs w:val="21"/>
          <w:highlight w:val="none"/>
        </w:rPr>
        <w:t>投标文件的大写金额和小写金额不一致的，以大写金额为准；总价金额与按单价汇总金额不一致的，以单价金额计算结果为准；单价金额小数点明显错位的，应以总价为准，并修改单价；对不同文字文本投标文件的解释发生异议的，以中文文本为准。</w:t>
      </w:r>
    </w:p>
    <w:p w14:paraId="0DDAD96A">
      <w:pPr>
        <w:pStyle w:val="18"/>
        <w:spacing w:beforeLines="0" w:afterLines="0"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14:paraId="503C593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（六）评标原则和评标办法</w:t>
      </w:r>
    </w:p>
    <w:p w14:paraId="7DF6F813">
      <w:pPr>
        <w:pStyle w:val="18"/>
        <w:spacing w:beforeLines="0" w:afterLines="0"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908B682">
      <w:pPr>
        <w:pStyle w:val="18"/>
        <w:spacing w:beforeLines="0" w:afterLines="0"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2.评标办法。本项目评标办法是 综合评分法 ，具体评标内容及评分标准等详见《第四章：评标办法及评分标准》。</w:t>
      </w:r>
    </w:p>
    <w:p w14:paraId="76A890E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（七）评标过程的监控</w:t>
      </w:r>
    </w:p>
    <w:p w14:paraId="26F1672D">
      <w:pPr>
        <w:pStyle w:val="18"/>
        <w:spacing w:beforeLines="0" w:afterLines="0"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投标人在评标过程中所进行的试图影响评标结果的不公正活动，可能导致其投标被拒绝。</w:t>
      </w:r>
    </w:p>
    <w:p w14:paraId="6EA8202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六、定标</w:t>
      </w:r>
    </w:p>
    <w:p w14:paraId="170FD66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确定中标人。本项目由招标人（或招标人事先授权评标委员会）确定中标人。</w:t>
      </w:r>
    </w:p>
    <w:p w14:paraId="3ABEDCD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七、合同授予</w:t>
      </w:r>
    </w:p>
    <w:p w14:paraId="64307364">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（一）签订合同</w:t>
      </w:r>
    </w:p>
    <w:p w14:paraId="38913204">
      <w:pPr>
        <w:pStyle w:val="18"/>
        <w:spacing w:beforeLines="0" w:afterLines="0"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1.招标人与中标人应当在《中标通知书》发出之日起30日内签订采购合同。同时，</w:t>
      </w:r>
      <w:r>
        <w:rPr>
          <w:rFonts w:hint="eastAsia" w:hAnsi="宋体" w:cs="宋体"/>
          <w:color w:val="auto"/>
          <w:sz w:val="21"/>
          <w:szCs w:val="21"/>
          <w:highlight w:val="none"/>
          <w:lang w:eastAsia="zh-CN"/>
        </w:rPr>
        <w:t>招标代理</w:t>
      </w:r>
      <w:r>
        <w:rPr>
          <w:rFonts w:hint="eastAsia" w:hAnsi="宋体" w:cs="宋体"/>
          <w:color w:val="auto"/>
          <w:sz w:val="21"/>
          <w:szCs w:val="21"/>
          <w:highlight w:val="none"/>
        </w:rPr>
        <w:t>机构对合同内容进行审查，如发现与采购结果和投标承诺内容不一致的，应予以纠正。</w:t>
      </w:r>
    </w:p>
    <w:p w14:paraId="7D113271">
      <w:pPr>
        <w:pStyle w:val="18"/>
        <w:spacing w:beforeLines="0" w:afterLines="0" w:line="360" w:lineRule="auto"/>
        <w:ind w:firstLine="420"/>
        <w:rPr>
          <w:rFonts w:hAnsi="宋体"/>
          <w:color w:val="auto"/>
          <w:sz w:val="21"/>
          <w:szCs w:val="21"/>
          <w:highlight w:val="none"/>
        </w:rPr>
      </w:pPr>
      <w:r>
        <w:rPr>
          <w:rFonts w:hint="eastAsia" w:hAnsi="宋体" w:cs="宋体"/>
          <w:color w:val="auto"/>
          <w:sz w:val="21"/>
          <w:szCs w:val="21"/>
          <w:highlight w:val="none"/>
        </w:rPr>
        <w:t>2.中标人拖延、拒签合同的</w:t>
      </w:r>
      <w:r>
        <w:rPr>
          <w:rFonts w:hint="eastAsia" w:hAnsi="宋体" w:cs="宋体"/>
          <w:color w:val="auto"/>
          <w:sz w:val="21"/>
          <w:szCs w:val="21"/>
          <w:highlight w:val="none"/>
          <w:lang w:eastAsia="zh-CN"/>
        </w:rPr>
        <w:t>，</w:t>
      </w:r>
      <w:r>
        <w:rPr>
          <w:rFonts w:hint="eastAsia" w:hAnsi="宋体" w:cs="宋体"/>
          <w:color w:val="auto"/>
          <w:sz w:val="21"/>
          <w:szCs w:val="21"/>
          <w:highlight w:val="none"/>
        </w:rPr>
        <w:t>将被扣罚投标保证金并取消中标资格。</w:t>
      </w:r>
    </w:p>
    <w:p w14:paraId="66CDCCC9">
      <w:pPr>
        <w:pStyle w:val="2"/>
        <w:spacing w:line="360" w:lineRule="auto"/>
        <w:jc w:val="center"/>
        <w:rPr>
          <w:rFonts w:hint="eastAsia" w:ascii="宋体" w:hAnsi="宋体"/>
          <w:color w:val="auto"/>
          <w:sz w:val="30"/>
          <w:szCs w:val="30"/>
          <w:highlight w:val="none"/>
        </w:rPr>
      </w:pPr>
      <w:r>
        <w:rPr>
          <w:rFonts w:hint="eastAsia" w:ascii="宋体" w:hAnsi="宋体"/>
          <w:color w:val="auto"/>
          <w:sz w:val="28"/>
          <w:szCs w:val="28"/>
          <w:highlight w:val="none"/>
        </w:rPr>
        <w:br w:type="page"/>
      </w:r>
      <w:bookmarkStart w:id="5" w:name="_Toc14389"/>
      <w:r>
        <w:rPr>
          <w:rFonts w:hint="eastAsia" w:ascii="宋体" w:hAnsi="宋体"/>
          <w:color w:val="auto"/>
          <w:sz w:val="28"/>
          <w:szCs w:val="28"/>
          <w:highlight w:val="none"/>
        </w:rPr>
        <w:t>第四章  评标办法及评分标准</w:t>
      </w:r>
      <w:bookmarkEnd w:id="5"/>
    </w:p>
    <w:p w14:paraId="5080B921">
      <w:pPr>
        <w:pStyle w:val="20"/>
        <w:snapToGrid/>
        <w:spacing w:line="360" w:lineRule="auto"/>
        <w:ind w:firstLine="417" w:firstLineChars="199"/>
        <w:rPr>
          <w:rFonts w:hint="eastAsia" w:ascii="宋体"/>
          <w:b w:val="0"/>
          <w:color w:val="auto"/>
          <w:sz w:val="21"/>
          <w:szCs w:val="21"/>
          <w:highlight w:val="none"/>
        </w:rPr>
      </w:pPr>
      <w:r>
        <w:rPr>
          <w:rFonts w:hint="eastAsia" w:ascii="宋体"/>
          <w:b w:val="0"/>
          <w:color w:val="auto"/>
          <w:sz w:val="21"/>
          <w:szCs w:val="21"/>
          <w:highlight w:val="none"/>
        </w:rPr>
        <w:t>本办法严格遵照《中华人民共和国招标投标法》、《中华人民共和国招标投标法实施条例》等规定，结合项目所在地政府有关采购规定和项目的实际情况制定。</w:t>
      </w:r>
    </w:p>
    <w:p w14:paraId="3C245431">
      <w:pPr>
        <w:spacing w:line="360" w:lineRule="auto"/>
        <w:rPr>
          <w:rFonts w:hint="eastAsia" w:ascii="宋体" w:hAnsi="宋体"/>
          <w:b/>
          <w:bCs/>
          <w:color w:val="auto"/>
          <w:szCs w:val="21"/>
          <w:highlight w:val="none"/>
        </w:rPr>
      </w:pPr>
      <w:r>
        <w:rPr>
          <w:rFonts w:hint="eastAsia" w:ascii="宋体" w:hAnsi="宋体"/>
          <w:b/>
          <w:bCs/>
          <w:color w:val="auto"/>
          <w:szCs w:val="21"/>
          <w:highlight w:val="none"/>
        </w:rPr>
        <w:t>一、总则</w:t>
      </w:r>
    </w:p>
    <w:p w14:paraId="2F823FE6">
      <w:pPr>
        <w:spacing w:line="360" w:lineRule="auto"/>
        <w:ind w:firstLine="420" w:firstLineChars="200"/>
        <w:rPr>
          <w:rFonts w:hint="eastAsia" w:ascii="宋体" w:hAnsi="宋体"/>
          <w:color w:val="auto"/>
          <w:highlight w:val="none"/>
        </w:rPr>
      </w:pPr>
      <w:r>
        <w:rPr>
          <w:rFonts w:hint="eastAsia" w:ascii="宋体" w:hAnsi="宋体"/>
          <w:color w:val="auto"/>
          <w:highlight w:val="none"/>
        </w:rPr>
        <w:t>招标活动遵循公平、公正、科学、择优的原则依法进行，招标活动及当事人接受依法实施的监督。本次招标采用综合评分法。</w:t>
      </w:r>
    </w:p>
    <w:p w14:paraId="49CCA788">
      <w:pPr>
        <w:spacing w:line="360" w:lineRule="auto"/>
        <w:rPr>
          <w:rFonts w:hint="eastAsia" w:ascii="宋体" w:hAnsi="宋体"/>
          <w:b/>
          <w:bCs/>
          <w:color w:val="auto"/>
          <w:szCs w:val="21"/>
          <w:highlight w:val="none"/>
        </w:rPr>
      </w:pPr>
      <w:r>
        <w:rPr>
          <w:rFonts w:hint="eastAsia" w:ascii="宋体" w:hAnsi="宋体"/>
          <w:b/>
          <w:bCs/>
          <w:color w:val="auto"/>
          <w:szCs w:val="21"/>
          <w:highlight w:val="none"/>
        </w:rPr>
        <w:t>二、评标组织</w:t>
      </w:r>
    </w:p>
    <w:p w14:paraId="1B7A6705">
      <w:pPr>
        <w:spacing w:line="360" w:lineRule="auto"/>
        <w:ind w:firstLine="420" w:firstLineChars="200"/>
        <w:rPr>
          <w:rFonts w:hint="eastAsia" w:ascii="宋体" w:hAnsi="宋体"/>
          <w:color w:val="auto"/>
          <w:highlight w:val="none"/>
        </w:rPr>
      </w:pPr>
      <w:r>
        <w:rPr>
          <w:rFonts w:hint="eastAsia" w:ascii="宋体" w:hAnsi="宋体"/>
          <w:color w:val="auto"/>
          <w:highlight w:val="none"/>
        </w:rPr>
        <w:t>评标委员会：招标人和采购机构根据采购项目的内容特点按照规定组建评标委员会。评标委员会由技术、经济方面专家等有关人员组成。</w:t>
      </w:r>
    </w:p>
    <w:p w14:paraId="5BD550B1">
      <w:pPr>
        <w:spacing w:line="360" w:lineRule="auto"/>
        <w:rPr>
          <w:rFonts w:hint="eastAsia" w:ascii="宋体" w:hAnsi="宋体"/>
          <w:b/>
          <w:bCs/>
          <w:color w:val="auto"/>
          <w:szCs w:val="21"/>
          <w:highlight w:val="none"/>
        </w:rPr>
      </w:pPr>
      <w:r>
        <w:rPr>
          <w:rFonts w:hint="eastAsia" w:ascii="宋体" w:hAnsi="宋体"/>
          <w:b/>
          <w:bCs/>
          <w:color w:val="auto"/>
          <w:szCs w:val="21"/>
          <w:highlight w:val="none"/>
        </w:rPr>
        <w:t>三、评标程序</w:t>
      </w:r>
    </w:p>
    <w:p w14:paraId="648118DA">
      <w:pPr>
        <w:spacing w:line="360" w:lineRule="auto"/>
        <w:ind w:firstLine="420" w:firstLineChars="200"/>
        <w:rPr>
          <w:rFonts w:hint="eastAsia" w:ascii="宋体" w:hAnsi="宋体"/>
          <w:bCs/>
          <w:color w:val="auto"/>
          <w:szCs w:val="21"/>
          <w:highlight w:val="none"/>
        </w:rPr>
      </w:pPr>
      <w:r>
        <w:rPr>
          <w:rFonts w:hint="eastAsia" w:ascii="宋体" w:hAnsi="宋体"/>
          <w:color w:val="auto"/>
          <w:highlight w:val="none"/>
        </w:rPr>
        <w:t>详</w:t>
      </w:r>
      <w:r>
        <w:rPr>
          <w:rFonts w:hint="eastAsia" w:ascii="宋体" w:hAnsi="宋体"/>
          <w:bCs/>
          <w:color w:val="auto"/>
          <w:szCs w:val="21"/>
          <w:highlight w:val="none"/>
        </w:rPr>
        <w:t>见第三章《投标人须知》四、开标</w:t>
      </w:r>
    </w:p>
    <w:p w14:paraId="4E0D401F">
      <w:pPr>
        <w:pStyle w:val="20"/>
        <w:snapToGrid/>
        <w:spacing w:line="360" w:lineRule="auto"/>
        <w:ind w:firstLine="0" w:firstLineChars="0"/>
        <w:rPr>
          <w:rFonts w:hint="eastAsia" w:ascii="宋体"/>
          <w:b w:val="0"/>
          <w:bCs w:val="0"/>
          <w:color w:val="auto"/>
          <w:sz w:val="21"/>
          <w:szCs w:val="21"/>
          <w:highlight w:val="none"/>
        </w:rPr>
      </w:pPr>
      <w:r>
        <w:rPr>
          <w:rFonts w:hint="eastAsia" w:ascii="宋体" w:cs="Times New Roman"/>
          <w:color w:val="auto"/>
          <w:sz w:val="21"/>
          <w:szCs w:val="21"/>
          <w:highlight w:val="none"/>
        </w:rPr>
        <w:t>四、中标原则</w:t>
      </w:r>
      <w:r>
        <w:rPr>
          <w:rFonts w:hint="eastAsia" w:ascii="宋体"/>
          <w:b w:val="0"/>
          <w:bCs w:val="0"/>
          <w:color w:val="auto"/>
          <w:sz w:val="21"/>
          <w:szCs w:val="21"/>
          <w:highlight w:val="none"/>
        </w:rPr>
        <w:t>：</w:t>
      </w:r>
    </w:p>
    <w:p w14:paraId="5C6A7FD0">
      <w:pPr>
        <w:spacing w:line="360" w:lineRule="auto"/>
        <w:ind w:firstLine="378" w:firstLineChars="180"/>
        <w:rPr>
          <w:rFonts w:ascii="宋体" w:hAnsi="宋体"/>
          <w:color w:val="auto"/>
          <w:highlight w:val="none"/>
        </w:rPr>
      </w:pPr>
      <w:r>
        <w:rPr>
          <w:rFonts w:hint="eastAsia" w:ascii="宋体" w:hAnsi="宋体"/>
          <w:color w:val="auto"/>
          <w:highlight w:val="none"/>
        </w:rPr>
        <w:t>（1）评标委员会根据投标人的综合得分由高到低排定顺序，推荐综合得分排名第一的投标人为中标候选人。如综合得分相同，由抽签决定</w:t>
      </w:r>
      <w:r>
        <w:rPr>
          <w:rFonts w:hint="eastAsia" w:ascii="宋体" w:hAnsi="宋体"/>
          <w:color w:val="auto"/>
          <w:highlight w:val="none"/>
          <w:lang w:eastAsia="zh-CN"/>
        </w:rPr>
        <w:t>，</w:t>
      </w:r>
      <w:r>
        <w:rPr>
          <w:rFonts w:hint="eastAsia" w:ascii="宋体" w:hAnsi="宋体"/>
          <w:color w:val="auto"/>
          <w:highlight w:val="none"/>
          <w:lang w:val="en-US" w:eastAsia="zh-CN"/>
        </w:rPr>
        <w:t>先抽中者排名在前</w:t>
      </w:r>
      <w:r>
        <w:rPr>
          <w:rFonts w:hint="eastAsia" w:ascii="宋体" w:hAnsi="宋体"/>
          <w:color w:val="auto"/>
          <w:highlight w:val="none"/>
        </w:rPr>
        <w:t>。</w:t>
      </w:r>
    </w:p>
    <w:p w14:paraId="5151C1C6">
      <w:pPr>
        <w:spacing w:line="360" w:lineRule="auto"/>
        <w:ind w:firstLine="378" w:firstLineChars="180"/>
        <w:rPr>
          <w:rFonts w:hint="eastAsia" w:ascii="宋体" w:hAnsi="宋体"/>
          <w:color w:val="auto"/>
          <w:highlight w:val="none"/>
        </w:rPr>
      </w:pPr>
      <w:r>
        <w:rPr>
          <w:rFonts w:hint="eastAsia" w:ascii="宋体" w:hAnsi="宋体"/>
          <w:color w:val="auto"/>
          <w:highlight w:val="none"/>
        </w:rPr>
        <w:t>（2）具体评定原则如下：</w:t>
      </w:r>
    </w:p>
    <w:p w14:paraId="30C808D5">
      <w:pPr>
        <w:spacing w:line="360" w:lineRule="auto"/>
        <w:ind w:firstLine="378" w:firstLineChars="180"/>
        <w:rPr>
          <w:rFonts w:hint="eastAsia" w:ascii="宋体" w:hAnsi="宋体"/>
          <w:color w:val="auto"/>
          <w:highlight w:val="none"/>
        </w:rPr>
      </w:pPr>
      <w:r>
        <w:rPr>
          <w:rFonts w:hint="eastAsia" w:ascii="宋体" w:hAnsi="宋体"/>
          <w:color w:val="auto"/>
          <w:highlight w:val="none"/>
        </w:rPr>
        <w:t>1）若本项目出现参与的投标人或者对招标文件作出实质性响应的投标人不足3家的情况，本项目招标采购活动终止。</w:t>
      </w:r>
    </w:p>
    <w:p w14:paraId="65B98CCF">
      <w:pPr>
        <w:spacing w:line="360" w:lineRule="auto"/>
        <w:ind w:firstLine="378" w:firstLineChars="180"/>
        <w:rPr>
          <w:rFonts w:hint="eastAsia" w:ascii="宋体" w:hAnsi="宋体"/>
          <w:color w:val="auto"/>
          <w:highlight w:val="none"/>
        </w:rPr>
      </w:pPr>
      <w:r>
        <w:rPr>
          <w:rFonts w:hint="eastAsia" w:ascii="宋体" w:hAnsi="宋体"/>
          <w:color w:val="auto"/>
          <w:highlight w:val="none"/>
        </w:rPr>
        <w:t>2）如评标过程中有特殊情况，由评标委员会讨论决定。</w:t>
      </w:r>
    </w:p>
    <w:p w14:paraId="1D66CD2A">
      <w:pPr>
        <w:pStyle w:val="20"/>
        <w:snapToGrid/>
        <w:spacing w:line="360" w:lineRule="auto"/>
        <w:ind w:firstLine="420" w:firstLineChars="200"/>
        <w:rPr>
          <w:rFonts w:hint="eastAsia" w:ascii="宋体"/>
          <w:b w:val="0"/>
          <w:bCs w:val="0"/>
          <w:color w:val="auto"/>
          <w:sz w:val="21"/>
          <w:szCs w:val="21"/>
          <w:highlight w:val="none"/>
        </w:rPr>
      </w:pPr>
      <w:r>
        <w:rPr>
          <w:rFonts w:hint="eastAsia" w:ascii="宋体"/>
          <w:b w:val="0"/>
          <w:bCs w:val="0"/>
          <w:color w:val="auto"/>
          <w:sz w:val="21"/>
          <w:szCs w:val="21"/>
          <w:highlight w:val="none"/>
        </w:rPr>
        <w:t>（3）中标结果</w:t>
      </w:r>
    </w:p>
    <w:p w14:paraId="358130DF">
      <w:pPr>
        <w:spacing w:line="360" w:lineRule="auto"/>
        <w:ind w:firstLine="378" w:firstLineChars="180"/>
        <w:rPr>
          <w:rFonts w:hint="eastAsia" w:ascii="宋体" w:hAnsi="宋体"/>
          <w:color w:val="auto"/>
          <w:highlight w:val="none"/>
        </w:rPr>
      </w:pPr>
      <w:r>
        <w:rPr>
          <w:rFonts w:hint="eastAsia" w:ascii="宋体" w:hAnsi="宋体"/>
          <w:color w:val="auto"/>
          <w:highlight w:val="none"/>
        </w:rPr>
        <w:t>采购机构将中标结果在采购指定媒体上公示，公示期3日，根据公示和决标结果，向中标人发出中标通知书。</w:t>
      </w:r>
    </w:p>
    <w:p w14:paraId="563C5016">
      <w:pPr>
        <w:spacing w:line="360" w:lineRule="auto"/>
        <w:rPr>
          <w:rFonts w:hint="eastAsia" w:ascii="宋体" w:hAnsi="宋体"/>
          <w:b/>
          <w:bCs/>
          <w:color w:val="auto"/>
          <w:szCs w:val="21"/>
          <w:highlight w:val="none"/>
        </w:rPr>
      </w:pPr>
      <w:r>
        <w:rPr>
          <w:rFonts w:hint="eastAsia" w:ascii="宋体" w:hAnsi="宋体"/>
          <w:b/>
          <w:bCs/>
          <w:color w:val="auto"/>
          <w:szCs w:val="21"/>
          <w:highlight w:val="none"/>
        </w:rPr>
        <w:t>五、推荐中标候选人</w:t>
      </w:r>
    </w:p>
    <w:p w14:paraId="30D4BA41">
      <w:pPr>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rPr>
        <w:t>1、若中标候选人中有因投标过程中所提供的资料有失实或弄虚作假的或放弃中标或因不可抗力提出不能履行合同或未按规定提交履约保证金的，招标单位可以确定排名次之的中标候选人为中标人或重新组织招标。</w:t>
      </w:r>
    </w:p>
    <w:p w14:paraId="05321592">
      <w:pPr>
        <w:spacing w:line="360" w:lineRule="auto"/>
        <w:ind w:firstLine="315" w:firstLineChars="150"/>
        <w:rPr>
          <w:rFonts w:hint="eastAsia" w:ascii="宋体" w:hAnsi="宋体"/>
          <w:b/>
          <w:color w:val="auto"/>
          <w:szCs w:val="21"/>
          <w:highlight w:val="none"/>
        </w:rPr>
      </w:pPr>
      <w:r>
        <w:rPr>
          <w:rFonts w:hint="eastAsia" w:ascii="宋体" w:hAnsi="宋体"/>
          <w:color w:val="auto"/>
          <w:szCs w:val="21"/>
          <w:highlight w:val="none"/>
        </w:rPr>
        <w:t>2、本评标办法由招标人负责解释，评标过程中遇到情况，由评标委员会集体讨论决定。</w:t>
      </w:r>
    </w:p>
    <w:p w14:paraId="5725C23E">
      <w:pPr>
        <w:spacing w:line="312" w:lineRule="auto"/>
        <w:rPr>
          <w:rFonts w:ascii="宋体" w:hAnsi="宋体"/>
          <w:b/>
          <w:bCs/>
          <w:color w:val="auto"/>
          <w:szCs w:val="21"/>
          <w:highlight w:val="none"/>
        </w:rPr>
      </w:pPr>
      <w:r>
        <w:rPr>
          <w:rFonts w:hint="eastAsia" w:ascii="宋体" w:hAnsi="宋体"/>
          <w:b/>
          <w:bCs/>
          <w:color w:val="auto"/>
          <w:highlight w:val="none"/>
        </w:rPr>
        <w:br w:type="page"/>
      </w:r>
      <w:r>
        <w:rPr>
          <w:rFonts w:hint="eastAsia" w:ascii="宋体" w:hAnsi="宋体"/>
          <w:b/>
          <w:bCs/>
          <w:color w:val="auto"/>
          <w:highlight w:val="none"/>
        </w:rPr>
        <w:t>六、</w:t>
      </w:r>
      <w:r>
        <w:rPr>
          <w:rFonts w:hint="eastAsia" w:ascii="宋体" w:hAnsi="宋体"/>
          <w:b/>
          <w:bCs/>
          <w:color w:val="auto"/>
          <w:szCs w:val="21"/>
          <w:highlight w:val="none"/>
        </w:rPr>
        <w:t>评分标准表</w:t>
      </w:r>
    </w:p>
    <w:p w14:paraId="7CE899A1">
      <w:pPr>
        <w:ind w:firstLine="632" w:firstLineChars="225"/>
        <w:jc w:val="center"/>
        <w:rPr>
          <w:rFonts w:hint="eastAsia" w:ascii="宋体" w:hAnsi="宋体" w:eastAsia="宋体"/>
          <w:b/>
          <w:color w:val="auto"/>
          <w:sz w:val="28"/>
          <w:szCs w:val="28"/>
          <w:highlight w:val="none"/>
          <w:lang w:eastAsia="zh-CN"/>
        </w:rPr>
      </w:pPr>
      <w:r>
        <w:rPr>
          <w:rFonts w:ascii="宋体" w:hAnsi="宋体"/>
          <w:b/>
          <w:color w:val="auto"/>
          <w:sz w:val="28"/>
          <w:szCs w:val="28"/>
          <w:highlight w:val="none"/>
        </w:rPr>
        <w:t>评分标准</w:t>
      </w:r>
    </w:p>
    <w:tbl>
      <w:tblPr>
        <w:tblStyle w:val="32"/>
        <w:tblW w:w="9939" w:type="dxa"/>
        <w:tblInd w:w="-47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1"/>
        <w:gridCol w:w="8389"/>
        <w:gridCol w:w="759"/>
      </w:tblGrid>
      <w:tr w14:paraId="6F575E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5" w:hRule="atLeast"/>
        </w:trPr>
        <w:tc>
          <w:tcPr>
            <w:tcW w:w="9180" w:type="dxa"/>
            <w:gridSpan w:val="2"/>
            <w:noWrap w:val="0"/>
            <w:vAlign w:val="center"/>
          </w:tcPr>
          <w:p w14:paraId="5FD051A8">
            <w:pPr>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评分项及分值</w:t>
            </w:r>
          </w:p>
        </w:tc>
        <w:tc>
          <w:tcPr>
            <w:tcW w:w="759" w:type="dxa"/>
            <w:noWrap w:val="0"/>
            <w:vAlign w:val="center"/>
          </w:tcPr>
          <w:p w14:paraId="17CB6544">
            <w:pPr>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分值</w:t>
            </w:r>
          </w:p>
        </w:tc>
      </w:tr>
      <w:tr w14:paraId="5F76F8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91" w:type="dxa"/>
            <w:vMerge w:val="restart"/>
            <w:noWrap w:val="0"/>
            <w:vAlign w:val="center"/>
          </w:tcPr>
          <w:p w14:paraId="282C3D1B">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技</w:t>
            </w:r>
          </w:p>
          <w:p w14:paraId="637867F0">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术</w:t>
            </w:r>
          </w:p>
          <w:p w14:paraId="2DF33A94">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商</w:t>
            </w:r>
          </w:p>
          <w:p w14:paraId="2017FA93">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务</w:t>
            </w:r>
          </w:p>
          <w:p w14:paraId="4BD0B229">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75</w:t>
            </w:r>
            <w:r>
              <w:rPr>
                <w:rFonts w:hint="eastAsia" w:ascii="宋体" w:hAnsi="宋体" w:eastAsia="宋体" w:cs="宋体"/>
                <w:b w:val="0"/>
                <w:bCs w:val="0"/>
                <w:color w:val="auto"/>
                <w:szCs w:val="21"/>
                <w:highlight w:val="none"/>
              </w:rPr>
              <w:t>分</w:t>
            </w:r>
          </w:p>
        </w:tc>
        <w:tc>
          <w:tcPr>
            <w:tcW w:w="8389" w:type="dxa"/>
            <w:noWrap w:val="0"/>
            <w:vAlign w:val="top"/>
          </w:tcPr>
          <w:p w14:paraId="53CDD802">
            <w:pPr>
              <w:keepNext w:val="0"/>
              <w:keepLines w:val="0"/>
              <w:suppressLineNumbers w:val="0"/>
              <w:spacing w:before="0" w:beforeAutospacing="0" w:after="0" w:afterAutospacing="0" w:line="400" w:lineRule="exact"/>
              <w:ind w:left="0" w:right="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Cs w:val="22"/>
                <w:highlight w:val="none"/>
                <w:lang w:val="en-US" w:eastAsia="zh-CN"/>
              </w:rPr>
              <w:t>1</w:t>
            </w:r>
            <w:r>
              <w:rPr>
                <w:rFonts w:hint="eastAsia" w:ascii="宋体" w:hAnsi="宋体" w:eastAsia="宋体" w:cs="宋体"/>
                <w:b/>
                <w:bCs/>
                <w:color w:val="auto"/>
                <w:szCs w:val="22"/>
                <w:highlight w:val="none"/>
              </w:rPr>
              <w:t>、</w:t>
            </w:r>
            <w:r>
              <w:rPr>
                <w:rFonts w:hint="eastAsia" w:ascii="宋体" w:hAnsi="宋体" w:eastAsia="宋体" w:cs="宋体"/>
                <w:b/>
                <w:bCs/>
                <w:color w:val="auto"/>
                <w:szCs w:val="22"/>
                <w:highlight w:val="none"/>
                <w:lang w:eastAsia="zh-CN"/>
              </w:rPr>
              <w:t>企业实力</w:t>
            </w:r>
            <w:r>
              <w:rPr>
                <w:rFonts w:hint="eastAsia" w:ascii="宋体" w:hAnsi="宋体" w:eastAsia="宋体" w:cs="宋体"/>
                <w:b/>
                <w:bCs/>
                <w:color w:val="auto"/>
                <w:szCs w:val="22"/>
                <w:highlight w:val="none"/>
                <w:lang w:val="en-US" w:eastAsia="zh-CN"/>
              </w:rPr>
              <w:t>（1</w:t>
            </w:r>
            <w:r>
              <w:rPr>
                <w:rFonts w:hint="eastAsia" w:ascii="宋体" w:hAnsi="宋体" w:cs="宋体"/>
                <w:b/>
                <w:bCs/>
                <w:color w:val="auto"/>
                <w:szCs w:val="22"/>
                <w:highlight w:val="none"/>
                <w:lang w:val="en-US" w:eastAsia="zh-CN"/>
              </w:rPr>
              <w:t>2</w:t>
            </w:r>
            <w:r>
              <w:rPr>
                <w:rFonts w:hint="eastAsia" w:ascii="宋体" w:hAnsi="宋体" w:eastAsia="宋体" w:cs="宋体"/>
                <w:b/>
                <w:bCs/>
                <w:color w:val="auto"/>
                <w:szCs w:val="22"/>
                <w:highlight w:val="none"/>
              </w:rPr>
              <w:t>分</w:t>
            </w:r>
            <w:r>
              <w:rPr>
                <w:rFonts w:hint="eastAsia" w:ascii="宋体" w:hAnsi="宋体" w:eastAsia="宋体" w:cs="宋体"/>
                <w:b/>
                <w:bCs/>
                <w:color w:val="auto"/>
                <w:szCs w:val="22"/>
                <w:highlight w:val="none"/>
                <w:lang w:eastAsia="zh-CN"/>
              </w:rPr>
              <w:t>）</w:t>
            </w:r>
            <w:r>
              <w:rPr>
                <w:rFonts w:hint="eastAsia" w:ascii="宋体" w:hAnsi="宋体" w:eastAsia="宋体" w:cs="宋体"/>
                <w:b/>
                <w:bCs/>
                <w:color w:val="auto"/>
                <w:szCs w:val="22"/>
                <w:highlight w:val="none"/>
              </w:rPr>
              <w:t>：</w:t>
            </w:r>
          </w:p>
        </w:tc>
        <w:tc>
          <w:tcPr>
            <w:tcW w:w="759" w:type="dxa"/>
            <w:noWrap w:val="0"/>
            <w:vAlign w:val="center"/>
          </w:tcPr>
          <w:p w14:paraId="414DBCD6">
            <w:pPr>
              <w:keepNext w:val="0"/>
              <w:keepLines w:val="0"/>
              <w:suppressLineNumbers w:val="0"/>
              <w:spacing w:before="0" w:beforeAutospacing="0" w:after="0" w:afterAutospacing="0" w:line="400" w:lineRule="exact"/>
              <w:ind w:left="0" w:right="0"/>
              <w:jc w:val="center"/>
              <w:rPr>
                <w:rFonts w:hint="eastAsia" w:ascii="宋体" w:hAnsi="宋体" w:eastAsia="宋体" w:cs="宋体"/>
                <w:bCs/>
                <w:color w:val="auto"/>
                <w:kern w:val="2"/>
                <w:sz w:val="21"/>
                <w:szCs w:val="24"/>
                <w:highlight w:val="none"/>
                <w:lang w:val="en-US" w:eastAsia="zh-CN" w:bidi="ar-SA"/>
              </w:rPr>
            </w:pPr>
          </w:p>
        </w:tc>
      </w:tr>
      <w:tr w14:paraId="186C28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91" w:type="dxa"/>
            <w:vMerge w:val="continue"/>
            <w:noWrap w:val="0"/>
            <w:vAlign w:val="center"/>
          </w:tcPr>
          <w:p w14:paraId="741CBB42">
            <w:pPr>
              <w:keepNext w:val="0"/>
              <w:keepLines w:val="0"/>
              <w:suppressLineNumbers w:val="0"/>
              <w:spacing w:before="0" w:beforeAutospacing="0" w:after="0" w:afterAutospacing="0" w:line="400" w:lineRule="exact"/>
              <w:ind w:left="0" w:right="0"/>
              <w:rPr>
                <w:rFonts w:hint="eastAsia" w:ascii="宋体" w:hAnsi="宋体" w:eastAsia="宋体" w:cs="宋体"/>
                <w:b w:val="0"/>
                <w:bCs w:val="0"/>
                <w:color w:val="auto"/>
                <w:szCs w:val="21"/>
                <w:highlight w:val="none"/>
              </w:rPr>
            </w:pPr>
          </w:p>
        </w:tc>
        <w:tc>
          <w:tcPr>
            <w:tcW w:w="8389" w:type="dxa"/>
            <w:noWrap w:val="0"/>
            <w:vAlign w:val="top"/>
          </w:tcPr>
          <w:p w14:paraId="2264A10A">
            <w:pPr>
              <w:keepNext w:val="0"/>
              <w:keepLines w:val="0"/>
              <w:suppressLineNumbers w:val="0"/>
              <w:spacing w:before="0" w:beforeAutospacing="0" w:after="0" w:afterAutospacing="0" w:line="400" w:lineRule="exact"/>
              <w:ind w:left="0" w:right="0"/>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default"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投标人拥有配方颗粒职业健康安全管理体系认证、环境管理体系认证、质量管理体系认证，每一项得1分。（本项最高得3分，需提供相应证书）</w:t>
            </w:r>
          </w:p>
        </w:tc>
        <w:tc>
          <w:tcPr>
            <w:tcW w:w="759" w:type="dxa"/>
            <w:noWrap w:val="0"/>
            <w:vAlign w:val="center"/>
          </w:tcPr>
          <w:p w14:paraId="0BC7A9A7">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2"/>
                <w:sz w:val="21"/>
                <w:szCs w:val="24"/>
                <w:highlight w:val="none"/>
                <w:lang w:val="en-US" w:eastAsia="zh-CN" w:bidi="ar-SA"/>
              </w:rPr>
            </w:pPr>
            <w:r>
              <w:rPr>
                <w:rFonts w:hint="eastAsia" w:ascii="宋体" w:hAnsi="宋体" w:cs="宋体"/>
                <w:bCs/>
                <w:color w:val="auto"/>
                <w:kern w:val="2"/>
                <w:sz w:val="21"/>
                <w:szCs w:val="24"/>
                <w:highlight w:val="none"/>
                <w:lang w:val="en-US" w:eastAsia="zh-CN" w:bidi="ar-SA"/>
              </w:rPr>
              <w:t>3</w:t>
            </w:r>
          </w:p>
        </w:tc>
      </w:tr>
      <w:tr w14:paraId="0336CF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91" w:type="dxa"/>
            <w:vMerge w:val="continue"/>
            <w:noWrap w:val="0"/>
            <w:vAlign w:val="center"/>
          </w:tcPr>
          <w:p w14:paraId="3CE98369">
            <w:pPr>
              <w:keepNext w:val="0"/>
              <w:keepLines w:val="0"/>
              <w:suppressLineNumbers w:val="0"/>
              <w:spacing w:before="0" w:beforeAutospacing="0" w:after="0" w:afterAutospacing="0" w:line="400" w:lineRule="exact"/>
              <w:ind w:left="0" w:right="0"/>
              <w:rPr>
                <w:rFonts w:hint="eastAsia" w:ascii="宋体" w:hAnsi="宋体" w:eastAsia="宋体" w:cs="宋体"/>
                <w:b w:val="0"/>
                <w:bCs w:val="0"/>
                <w:color w:val="auto"/>
                <w:szCs w:val="21"/>
                <w:highlight w:val="none"/>
              </w:rPr>
            </w:pPr>
          </w:p>
        </w:tc>
        <w:tc>
          <w:tcPr>
            <w:tcW w:w="8389" w:type="dxa"/>
            <w:noWrap w:val="0"/>
            <w:vAlign w:val="top"/>
          </w:tcPr>
          <w:p w14:paraId="1D644D4B">
            <w:pPr>
              <w:keepNext w:val="0"/>
              <w:keepLines w:val="0"/>
              <w:suppressLineNumbers w:val="0"/>
              <w:spacing w:before="0" w:beforeAutospacing="0" w:after="0" w:afterAutospacing="0" w:line="400" w:lineRule="exact"/>
              <w:ind w:left="0" w:right="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根据最新年度投标人所在省市场监督管理局药品质量信用等级评审评定结果进行认定，为AA级得4分，A级得3分，未评审或其他（除D以外）得2分，D级不得分；投标人获得过地市级及以上政府部门颁发的质量奖、科技奖、名牌产品、高新技术企业、特色项目等荣誉，每个荣誉得1分。（本项可累加得分，合计最高得4分，需提供相应证明材料）</w:t>
            </w:r>
          </w:p>
        </w:tc>
        <w:tc>
          <w:tcPr>
            <w:tcW w:w="759" w:type="dxa"/>
            <w:noWrap w:val="0"/>
            <w:vAlign w:val="center"/>
          </w:tcPr>
          <w:p w14:paraId="1FD79C7E">
            <w:pPr>
              <w:keepNext w:val="0"/>
              <w:keepLines w:val="0"/>
              <w:suppressLineNumbers w:val="0"/>
              <w:spacing w:before="0" w:beforeAutospacing="0" w:after="0" w:afterAutospacing="0" w:line="400" w:lineRule="exact"/>
              <w:ind w:left="0" w:right="0"/>
              <w:jc w:val="center"/>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Cs/>
                <w:color w:val="auto"/>
                <w:szCs w:val="22"/>
                <w:highlight w:val="none"/>
                <w:lang w:val="en-US" w:eastAsia="zh-CN"/>
              </w:rPr>
              <w:t>4</w:t>
            </w:r>
          </w:p>
        </w:tc>
      </w:tr>
      <w:tr w14:paraId="6533A7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91" w:type="dxa"/>
            <w:vMerge w:val="continue"/>
            <w:noWrap w:val="0"/>
            <w:vAlign w:val="center"/>
          </w:tcPr>
          <w:p w14:paraId="265B790D">
            <w:pPr>
              <w:keepNext w:val="0"/>
              <w:keepLines w:val="0"/>
              <w:suppressLineNumbers w:val="0"/>
              <w:spacing w:before="0" w:beforeAutospacing="0" w:after="0" w:afterAutospacing="0" w:line="400" w:lineRule="exact"/>
              <w:ind w:left="0" w:right="0"/>
              <w:rPr>
                <w:rFonts w:hint="eastAsia" w:ascii="宋体" w:hAnsi="宋体" w:eastAsia="宋体" w:cs="宋体"/>
                <w:b w:val="0"/>
                <w:bCs w:val="0"/>
                <w:color w:val="auto"/>
                <w:szCs w:val="21"/>
                <w:highlight w:val="none"/>
              </w:rPr>
            </w:pPr>
          </w:p>
        </w:tc>
        <w:tc>
          <w:tcPr>
            <w:tcW w:w="8389" w:type="dxa"/>
            <w:noWrap w:val="0"/>
            <w:vAlign w:val="top"/>
          </w:tcPr>
          <w:p w14:paraId="7E6D7C07">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投标人提供二级及以上医疗机构配方颗粒购销合同，每提供一份得0.5分。（本项最高得5分，需提供购销合同、销售证明材料、医疗机构等级证明等证明材料）</w:t>
            </w:r>
          </w:p>
        </w:tc>
        <w:tc>
          <w:tcPr>
            <w:tcW w:w="759" w:type="dxa"/>
            <w:noWrap w:val="0"/>
            <w:vAlign w:val="center"/>
          </w:tcPr>
          <w:p w14:paraId="48188A0F">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szCs w:val="22"/>
                <w:highlight w:val="none"/>
                <w:lang w:val="en-US" w:eastAsia="zh-CN"/>
              </w:rPr>
            </w:pPr>
            <w:r>
              <w:rPr>
                <w:rFonts w:hint="eastAsia" w:ascii="宋体" w:hAnsi="宋体" w:cs="宋体"/>
                <w:bCs/>
                <w:color w:val="auto"/>
                <w:szCs w:val="22"/>
                <w:highlight w:val="none"/>
                <w:lang w:val="en-US" w:eastAsia="zh-CN"/>
              </w:rPr>
              <w:t>5</w:t>
            </w:r>
          </w:p>
        </w:tc>
      </w:tr>
      <w:tr w14:paraId="130967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91" w:type="dxa"/>
            <w:vMerge w:val="continue"/>
            <w:noWrap w:val="0"/>
            <w:vAlign w:val="center"/>
          </w:tcPr>
          <w:p w14:paraId="23E9C584">
            <w:pPr>
              <w:keepNext w:val="0"/>
              <w:keepLines w:val="0"/>
              <w:suppressLineNumbers w:val="0"/>
              <w:spacing w:before="0" w:beforeAutospacing="0" w:after="0" w:afterAutospacing="0" w:line="400" w:lineRule="exact"/>
              <w:ind w:left="0" w:right="0"/>
              <w:rPr>
                <w:rFonts w:hint="eastAsia" w:ascii="宋体" w:hAnsi="宋体" w:eastAsia="宋体" w:cs="宋体"/>
                <w:b w:val="0"/>
                <w:bCs w:val="0"/>
                <w:color w:val="auto"/>
                <w:szCs w:val="21"/>
                <w:highlight w:val="none"/>
              </w:rPr>
            </w:pPr>
          </w:p>
        </w:tc>
        <w:tc>
          <w:tcPr>
            <w:tcW w:w="8389" w:type="dxa"/>
            <w:noWrap w:val="0"/>
            <w:vAlign w:val="center"/>
          </w:tcPr>
          <w:p w14:paraId="45AE6C99">
            <w:pPr>
              <w:keepNext w:val="0"/>
              <w:keepLines w:val="0"/>
              <w:suppressLineNumbers w:val="0"/>
              <w:spacing w:before="0" w:beforeAutospacing="0" w:after="0" w:afterAutospacing="0" w:line="400" w:lineRule="exact"/>
              <w:ind w:left="0" w:right="0"/>
              <w:rPr>
                <w:rFonts w:hint="default" w:ascii="宋体" w:hAnsi="宋体" w:eastAsia="宋体" w:cs="宋体"/>
                <w:b w:val="0"/>
                <w:bCs w:val="0"/>
                <w:color w:val="auto"/>
                <w:szCs w:val="21"/>
                <w:highlight w:val="none"/>
                <w:lang w:val="en-US" w:eastAsia="zh-CN"/>
              </w:rPr>
            </w:pPr>
            <w:r>
              <w:rPr>
                <w:rFonts w:hint="eastAsia" w:ascii="宋体" w:hAnsi="宋体" w:eastAsia="宋体" w:cs="宋体"/>
                <w:b/>
                <w:bCs/>
                <w:color w:val="auto"/>
                <w:szCs w:val="21"/>
                <w:highlight w:val="none"/>
                <w:lang w:val="en-US" w:eastAsia="zh-CN"/>
              </w:rPr>
              <w:t>2</w:t>
            </w:r>
            <w:r>
              <w:rPr>
                <w:rFonts w:hint="default"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生产</w:t>
            </w:r>
            <w:r>
              <w:rPr>
                <w:rFonts w:hint="eastAsia" w:ascii="宋体" w:hAnsi="宋体" w:cs="宋体"/>
                <w:b/>
                <w:bCs/>
                <w:color w:val="auto"/>
                <w:szCs w:val="21"/>
                <w:highlight w:val="none"/>
                <w:lang w:val="en-US" w:eastAsia="zh-CN"/>
              </w:rPr>
              <w:t>、储存</w:t>
            </w:r>
            <w:r>
              <w:rPr>
                <w:rFonts w:hint="eastAsia" w:ascii="宋体" w:hAnsi="宋体" w:eastAsia="宋体" w:cs="宋体"/>
                <w:b/>
                <w:bCs/>
                <w:color w:val="auto"/>
                <w:szCs w:val="21"/>
                <w:highlight w:val="none"/>
                <w:lang w:val="en-US" w:eastAsia="zh-CN"/>
              </w:rPr>
              <w:t>能力（</w:t>
            </w:r>
            <w:r>
              <w:rPr>
                <w:rFonts w:hint="eastAsia" w:ascii="宋体" w:hAnsi="宋体" w:cs="宋体"/>
                <w:b/>
                <w:bCs/>
                <w:color w:val="auto"/>
                <w:szCs w:val="21"/>
                <w:highlight w:val="none"/>
                <w:lang w:val="en-US" w:eastAsia="zh-CN"/>
              </w:rPr>
              <w:t>21</w:t>
            </w:r>
            <w:r>
              <w:rPr>
                <w:rFonts w:hint="eastAsia" w:ascii="宋体" w:hAnsi="宋体" w:eastAsia="宋体" w:cs="宋体"/>
                <w:b/>
                <w:bCs/>
                <w:color w:val="auto"/>
                <w:szCs w:val="21"/>
                <w:highlight w:val="none"/>
                <w:lang w:val="en-US" w:eastAsia="zh-CN"/>
              </w:rPr>
              <w:t>分）</w:t>
            </w:r>
          </w:p>
        </w:tc>
        <w:tc>
          <w:tcPr>
            <w:tcW w:w="759" w:type="dxa"/>
            <w:noWrap w:val="0"/>
            <w:vAlign w:val="center"/>
          </w:tcPr>
          <w:p w14:paraId="25F3547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lang w:val="en-US" w:eastAsia="zh-CN"/>
              </w:rPr>
            </w:pPr>
          </w:p>
        </w:tc>
      </w:tr>
      <w:tr w14:paraId="59EC06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91" w:type="dxa"/>
            <w:vMerge w:val="continue"/>
            <w:noWrap w:val="0"/>
            <w:vAlign w:val="center"/>
          </w:tcPr>
          <w:p w14:paraId="7D0F33D3">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p>
        </w:tc>
        <w:tc>
          <w:tcPr>
            <w:tcW w:w="8389" w:type="dxa"/>
            <w:noWrap w:val="0"/>
            <w:vAlign w:val="top"/>
          </w:tcPr>
          <w:p w14:paraId="45C45312">
            <w:pPr>
              <w:keepNext w:val="0"/>
              <w:keepLines w:val="0"/>
              <w:suppressLineNumbers w:val="0"/>
              <w:spacing w:before="0" w:beforeAutospacing="0" w:after="0" w:afterAutospacing="0" w:line="400" w:lineRule="exact"/>
              <w:ind w:left="0" w:right="0"/>
              <w:rPr>
                <w:rFonts w:hint="eastAsia" w:ascii="宋体" w:hAnsi="宋体" w:eastAsia="宋体" w:cs="宋体"/>
                <w:b/>
                <w:bCs/>
                <w:color w:val="auto"/>
                <w:szCs w:val="22"/>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在浙江省药监局备案的配方颗粒品种数量≥600种得5分，600种＞数量≥500种得4.5分，500种＞数量≥400种得4分，400种＞数量≥300种得3.5分，300种以下不得分。（本项最高得5分，需提供浙江省药监局备案表数量表）</w:t>
            </w:r>
          </w:p>
        </w:tc>
        <w:tc>
          <w:tcPr>
            <w:tcW w:w="759" w:type="dxa"/>
            <w:noWrap w:val="0"/>
            <w:vAlign w:val="center"/>
          </w:tcPr>
          <w:p w14:paraId="0103B93A">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szCs w:val="22"/>
                <w:highlight w:val="none"/>
                <w:lang w:val="en-US" w:eastAsia="zh-CN"/>
              </w:rPr>
            </w:pPr>
            <w:r>
              <w:rPr>
                <w:rFonts w:hint="eastAsia" w:ascii="宋体" w:hAnsi="宋体" w:eastAsia="宋体" w:cs="宋体"/>
                <w:bCs/>
                <w:color w:val="auto"/>
                <w:szCs w:val="22"/>
                <w:highlight w:val="none"/>
                <w:lang w:val="en-US" w:eastAsia="zh-CN"/>
              </w:rPr>
              <w:t>5</w:t>
            </w:r>
          </w:p>
        </w:tc>
      </w:tr>
      <w:tr w14:paraId="2EF314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91" w:type="dxa"/>
            <w:vMerge w:val="continue"/>
            <w:noWrap w:val="0"/>
            <w:vAlign w:val="center"/>
          </w:tcPr>
          <w:p w14:paraId="674090D9">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p>
        </w:tc>
        <w:tc>
          <w:tcPr>
            <w:tcW w:w="8389" w:type="dxa"/>
            <w:noWrap w:val="0"/>
            <w:vAlign w:val="top"/>
          </w:tcPr>
          <w:p w14:paraId="2099C009">
            <w:pPr>
              <w:keepNext w:val="0"/>
              <w:keepLines w:val="0"/>
              <w:suppressLineNumbers w:val="0"/>
              <w:spacing w:before="0" w:beforeAutospacing="0" w:after="0" w:afterAutospacing="0" w:line="400" w:lineRule="exact"/>
              <w:ind w:left="0" w:right="0"/>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（2）投标人拥有喷雾干燥技术工艺,并能结合药材自身理化性质采用适宜干燥技术的得3分。（本项最高得3分，需提供相应证明材料）</w:t>
            </w:r>
          </w:p>
        </w:tc>
        <w:tc>
          <w:tcPr>
            <w:tcW w:w="759" w:type="dxa"/>
            <w:noWrap w:val="0"/>
            <w:vAlign w:val="center"/>
          </w:tcPr>
          <w:p w14:paraId="275EBF45">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szCs w:val="22"/>
                <w:highlight w:val="none"/>
                <w:lang w:val="en-US" w:eastAsia="zh-CN"/>
              </w:rPr>
            </w:pPr>
            <w:r>
              <w:rPr>
                <w:rFonts w:hint="eastAsia" w:ascii="宋体" w:hAnsi="宋体" w:cs="宋体"/>
                <w:bCs/>
                <w:color w:val="auto"/>
                <w:szCs w:val="22"/>
                <w:highlight w:val="none"/>
                <w:lang w:val="en-US" w:eastAsia="zh-CN"/>
              </w:rPr>
              <w:t>3</w:t>
            </w:r>
          </w:p>
        </w:tc>
      </w:tr>
      <w:tr w14:paraId="7BCED9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91" w:type="dxa"/>
            <w:vMerge w:val="continue"/>
            <w:noWrap w:val="0"/>
            <w:vAlign w:val="center"/>
          </w:tcPr>
          <w:p w14:paraId="0DE26A18">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p>
        </w:tc>
        <w:tc>
          <w:tcPr>
            <w:tcW w:w="8389" w:type="dxa"/>
            <w:noWrap w:val="0"/>
            <w:vAlign w:val="top"/>
          </w:tcPr>
          <w:p w14:paraId="3A0EAD48">
            <w:pPr>
              <w:keepNext w:val="0"/>
              <w:keepLines w:val="0"/>
              <w:suppressLineNumbers w:val="0"/>
              <w:spacing w:before="0" w:beforeAutospacing="0" w:after="0" w:afterAutospacing="0" w:line="400" w:lineRule="exact"/>
              <w:ind w:left="0" w:right="0"/>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投标人拥有中药饮片不同炮制生产工艺（如净制、切制等），每项得0.5分。（本项最高得5分，需提供药品生产许可证）</w:t>
            </w:r>
          </w:p>
        </w:tc>
        <w:tc>
          <w:tcPr>
            <w:tcW w:w="759" w:type="dxa"/>
            <w:noWrap w:val="0"/>
            <w:vAlign w:val="center"/>
          </w:tcPr>
          <w:p w14:paraId="105654CC">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szCs w:val="22"/>
                <w:highlight w:val="none"/>
                <w:lang w:val="en-US" w:eastAsia="zh-CN"/>
              </w:rPr>
            </w:pPr>
            <w:r>
              <w:rPr>
                <w:rFonts w:hint="eastAsia" w:ascii="宋体" w:hAnsi="宋体" w:cs="宋体"/>
                <w:bCs/>
                <w:color w:val="auto"/>
                <w:szCs w:val="22"/>
                <w:highlight w:val="none"/>
                <w:lang w:val="en-US" w:eastAsia="zh-CN"/>
              </w:rPr>
              <w:t>5</w:t>
            </w:r>
          </w:p>
        </w:tc>
      </w:tr>
      <w:tr w14:paraId="55C741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91" w:type="dxa"/>
            <w:vMerge w:val="continue"/>
            <w:noWrap w:val="0"/>
            <w:vAlign w:val="center"/>
          </w:tcPr>
          <w:p w14:paraId="1883D25D">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p>
        </w:tc>
        <w:tc>
          <w:tcPr>
            <w:tcW w:w="8389" w:type="dxa"/>
            <w:noWrap w:val="0"/>
            <w:vAlign w:val="top"/>
          </w:tcPr>
          <w:p w14:paraId="129903AC">
            <w:pPr>
              <w:keepNext w:val="0"/>
              <w:keepLines w:val="0"/>
              <w:suppressLineNumbers w:val="0"/>
              <w:spacing w:before="0" w:beforeAutospacing="0" w:after="0" w:afterAutospacing="0" w:line="400" w:lineRule="exact"/>
              <w:ind w:left="0" w:right="0"/>
              <w:rPr>
                <w:rFonts w:hint="eastAsia" w:ascii="宋体" w:hAnsi="宋体" w:eastAsia="宋体" w:cs="宋体"/>
                <w:b/>
                <w:bCs/>
                <w:color w:val="auto"/>
                <w:szCs w:val="22"/>
                <w:highlight w:val="none"/>
                <w:lang w:eastAsia="zh-CN"/>
              </w:rPr>
            </w:pPr>
            <w:r>
              <w:rPr>
                <w:rFonts w:hint="eastAsia" w:ascii="宋体" w:hAnsi="宋体" w:eastAsia="宋体" w:cs="宋体"/>
                <w:b w:val="0"/>
                <w:bCs w:val="0"/>
                <w:color w:val="auto"/>
                <w:szCs w:val="22"/>
                <w:highlight w:val="none"/>
                <w:lang w:eastAsia="zh-CN"/>
              </w:rPr>
              <w:t>（</w:t>
            </w:r>
            <w:r>
              <w:rPr>
                <w:rFonts w:hint="eastAsia" w:ascii="宋体" w:hAnsi="宋体" w:cs="宋体"/>
                <w:b w:val="0"/>
                <w:bCs w:val="0"/>
                <w:color w:val="auto"/>
                <w:szCs w:val="22"/>
                <w:highlight w:val="none"/>
                <w:lang w:val="en-US" w:eastAsia="zh-CN"/>
              </w:rPr>
              <w:t>4</w:t>
            </w:r>
            <w:r>
              <w:rPr>
                <w:rFonts w:hint="eastAsia" w:ascii="宋体" w:hAnsi="宋体" w:eastAsia="宋体" w:cs="宋体"/>
                <w:b w:val="0"/>
                <w:bCs w:val="0"/>
                <w:color w:val="auto"/>
                <w:szCs w:val="22"/>
                <w:highlight w:val="none"/>
                <w:lang w:eastAsia="zh-CN"/>
              </w:rPr>
              <w:t>）</w:t>
            </w:r>
            <w:r>
              <w:rPr>
                <w:rFonts w:hint="eastAsia" w:ascii="宋体" w:hAnsi="宋体" w:eastAsia="宋体" w:cs="宋体"/>
                <w:color w:val="auto"/>
                <w:kern w:val="0"/>
                <w:sz w:val="21"/>
                <w:szCs w:val="21"/>
                <w:highlight w:val="none"/>
                <w:lang w:val="en-US" w:eastAsia="zh-CN"/>
              </w:rPr>
              <w:t>投标人拥有中药饮片生产能力和场地的得1.5分，有毒性饮片和直接口服饮片生产能力和场地的得1.5分。（本项最高得3分，需提供药品生产许可证） </w:t>
            </w:r>
          </w:p>
        </w:tc>
        <w:tc>
          <w:tcPr>
            <w:tcW w:w="759" w:type="dxa"/>
            <w:noWrap w:val="0"/>
            <w:vAlign w:val="center"/>
          </w:tcPr>
          <w:p w14:paraId="261F5E3A">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szCs w:val="22"/>
                <w:highlight w:val="none"/>
                <w:lang w:val="en-US" w:eastAsia="zh-CN"/>
              </w:rPr>
            </w:pPr>
            <w:r>
              <w:rPr>
                <w:rFonts w:hint="eastAsia" w:ascii="宋体" w:hAnsi="宋体" w:cs="宋体"/>
                <w:bCs/>
                <w:color w:val="auto"/>
                <w:szCs w:val="22"/>
                <w:highlight w:val="none"/>
                <w:lang w:val="en-US" w:eastAsia="zh-CN"/>
              </w:rPr>
              <w:t>3</w:t>
            </w:r>
          </w:p>
        </w:tc>
      </w:tr>
      <w:tr w14:paraId="4CDA9A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91" w:type="dxa"/>
            <w:vMerge w:val="continue"/>
            <w:noWrap w:val="0"/>
            <w:vAlign w:val="center"/>
          </w:tcPr>
          <w:p w14:paraId="08BA2AC8">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p>
        </w:tc>
        <w:tc>
          <w:tcPr>
            <w:tcW w:w="8389" w:type="dxa"/>
            <w:noWrap w:val="0"/>
            <w:vAlign w:val="top"/>
          </w:tcPr>
          <w:p w14:paraId="2917DC5D">
            <w:pPr>
              <w:keepNext w:val="0"/>
              <w:keepLines w:val="0"/>
              <w:suppressLineNumbers w:val="0"/>
              <w:spacing w:before="0" w:beforeAutospacing="0" w:after="0" w:afterAutospacing="0" w:line="400" w:lineRule="exact"/>
              <w:ind w:left="0" w:right="0"/>
              <w:rPr>
                <w:rFonts w:hint="eastAsia" w:ascii="宋体" w:hAnsi="宋体" w:eastAsia="宋体" w:cs="宋体"/>
                <w:b w:val="0"/>
                <w:bCs w:val="0"/>
                <w:color w:val="auto"/>
                <w:szCs w:val="22"/>
                <w:highlight w:val="none"/>
                <w:lang w:eastAsia="zh-CN"/>
              </w:rPr>
            </w:pPr>
            <w:r>
              <w:rPr>
                <w:rFonts w:hint="eastAsia" w:ascii="宋体" w:hAnsi="宋体" w:cs="宋体"/>
                <w:b w:val="0"/>
                <w:bCs w:val="0"/>
                <w:color w:val="auto"/>
                <w:szCs w:val="22"/>
                <w:highlight w:val="none"/>
                <w:lang w:eastAsia="zh-CN"/>
              </w:rPr>
              <w:t>（</w:t>
            </w:r>
            <w:r>
              <w:rPr>
                <w:rFonts w:hint="eastAsia" w:ascii="宋体" w:hAnsi="宋体" w:cs="宋体"/>
                <w:b w:val="0"/>
                <w:bCs w:val="0"/>
                <w:color w:val="auto"/>
                <w:szCs w:val="22"/>
                <w:highlight w:val="none"/>
                <w:lang w:val="en-US" w:eastAsia="zh-CN"/>
              </w:rPr>
              <w:t>5</w:t>
            </w:r>
            <w:r>
              <w:rPr>
                <w:rFonts w:hint="eastAsia" w:ascii="宋体" w:hAnsi="宋体" w:cs="宋体"/>
                <w:b w:val="0"/>
                <w:bCs w:val="0"/>
                <w:color w:val="auto"/>
                <w:szCs w:val="22"/>
                <w:highlight w:val="none"/>
                <w:lang w:eastAsia="zh-CN"/>
              </w:rPr>
              <w:t>）根据</w:t>
            </w:r>
            <w:r>
              <w:rPr>
                <w:rFonts w:hint="eastAsia" w:ascii="宋体" w:hAnsi="宋体" w:cs="宋体"/>
                <w:b w:val="0"/>
                <w:bCs w:val="0"/>
                <w:color w:val="auto"/>
                <w:szCs w:val="22"/>
                <w:highlight w:val="none"/>
                <w:lang w:val="en-US" w:eastAsia="zh-CN"/>
              </w:rPr>
              <w:t>投标人</w:t>
            </w:r>
            <w:r>
              <w:rPr>
                <w:rFonts w:hint="eastAsia" w:ascii="宋体" w:hAnsi="宋体" w:cs="宋体"/>
                <w:b w:val="0"/>
                <w:bCs w:val="0"/>
                <w:color w:val="auto"/>
                <w:szCs w:val="22"/>
                <w:highlight w:val="none"/>
                <w:lang w:eastAsia="zh-CN"/>
              </w:rPr>
              <w:t>拥有的中药配方颗粒</w:t>
            </w:r>
            <w:r>
              <w:rPr>
                <w:rFonts w:hint="eastAsia" w:ascii="宋体" w:hAnsi="宋体" w:cs="宋体"/>
                <w:b w:val="0"/>
                <w:bCs w:val="0"/>
                <w:color w:val="auto"/>
                <w:szCs w:val="22"/>
                <w:highlight w:val="none"/>
                <w:lang w:val="en-US" w:eastAsia="zh-CN"/>
              </w:rPr>
              <w:t>仓储面积及仓储安全保证措施等</w:t>
            </w:r>
            <w:r>
              <w:rPr>
                <w:rFonts w:hint="eastAsia" w:ascii="宋体" w:hAnsi="宋体" w:cs="宋体"/>
                <w:b w:val="0"/>
                <w:bCs w:val="0"/>
                <w:color w:val="auto"/>
                <w:szCs w:val="22"/>
                <w:highlight w:val="none"/>
                <w:lang w:eastAsia="zh-CN"/>
              </w:rPr>
              <w:t>进行评议。</w:t>
            </w:r>
          </w:p>
        </w:tc>
        <w:tc>
          <w:tcPr>
            <w:tcW w:w="759" w:type="dxa"/>
            <w:noWrap w:val="0"/>
            <w:vAlign w:val="center"/>
          </w:tcPr>
          <w:p w14:paraId="787554AE">
            <w:pPr>
              <w:keepNext w:val="0"/>
              <w:keepLines w:val="0"/>
              <w:suppressLineNumbers w:val="0"/>
              <w:spacing w:before="0" w:beforeAutospacing="0" w:after="0" w:afterAutospacing="0" w:line="400" w:lineRule="exact"/>
              <w:ind w:left="0" w:right="0"/>
              <w:jc w:val="center"/>
              <w:rPr>
                <w:rFonts w:hint="default" w:ascii="宋体" w:hAnsi="宋体" w:cs="宋体"/>
                <w:bCs/>
                <w:color w:val="auto"/>
                <w:szCs w:val="22"/>
                <w:highlight w:val="none"/>
                <w:lang w:val="en-US" w:eastAsia="zh-CN"/>
              </w:rPr>
            </w:pPr>
            <w:r>
              <w:rPr>
                <w:rFonts w:hint="eastAsia" w:ascii="宋体" w:hAnsi="宋体" w:cs="宋体"/>
                <w:bCs/>
                <w:color w:val="auto"/>
                <w:szCs w:val="22"/>
                <w:highlight w:val="none"/>
                <w:lang w:val="en-US" w:eastAsia="zh-CN"/>
              </w:rPr>
              <w:t>5</w:t>
            </w:r>
          </w:p>
        </w:tc>
      </w:tr>
      <w:tr w14:paraId="7247A7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91" w:type="dxa"/>
            <w:vMerge w:val="continue"/>
            <w:noWrap w:val="0"/>
            <w:vAlign w:val="center"/>
          </w:tcPr>
          <w:p w14:paraId="7EE28C44">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p>
        </w:tc>
        <w:tc>
          <w:tcPr>
            <w:tcW w:w="8389" w:type="dxa"/>
            <w:noWrap w:val="0"/>
            <w:vAlign w:val="top"/>
          </w:tcPr>
          <w:p w14:paraId="28BE9C93">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2"/>
                <w:highlight w:val="none"/>
              </w:rPr>
            </w:pPr>
            <w:r>
              <w:rPr>
                <w:rFonts w:hint="eastAsia" w:ascii="宋体" w:hAnsi="宋体" w:eastAsia="宋体" w:cs="宋体"/>
                <w:b/>
                <w:bCs/>
                <w:color w:val="auto"/>
                <w:szCs w:val="22"/>
                <w:highlight w:val="none"/>
              </w:rPr>
              <w:t>3、</w:t>
            </w:r>
            <w:r>
              <w:rPr>
                <w:rFonts w:hint="eastAsia" w:ascii="宋体" w:hAnsi="宋体" w:eastAsia="宋体" w:cs="宋体"/>
                <w:b/>
                <w:bCs/>
                <w:color w:val="auto"/>
                <w:szCs w:val="22"/>
                <w:highlight w:val="none"/>
                <w:lang w:eastAsia="zh-CN"/>
              </w:rPr>
              <w:t>科研能力</w:t>
            </w:r>
            <w:r>
              <w:rPr>
                <w:rFonts w:hint="eastAsia" w:ascii="宋体" w:hAnsi="宋体" w:eastAsia="宋体" w:cs="宋体"/>
                <w:b/>
                <w:bCs/>
                <w:color w:val="auto"/>
                <w:szCs w:val="22"/>
                <w:highlight w:val="none"/>
              </w:rPr>
              <w:t>（</w:t>
            </w:r>
            <w:r>
              <w:rPr>
                <w:rFonts w:hint="eastAsia" w:ascii="宋体" w:hAnsi="宋体" w:eastAsia="宋体" w:cs="宋体"/>
                <w:b/>
                <w:bCs/>
                <w:color w:val="auto"/>
                <w:szCs w:val="22"/>
                <w:highlight w:val="none"/>
                <w:lang w:val="en-US" w:eastAsia="zh-CN"/>
              </w:rPr>
              <w:t>12</w:t>
            </w:r>
            <w:r>
              <w:rPr>
                <w:rFonts w:hint="eastAsia" w:ascii="宋体" w:hAnsi="宋体" w:eastAsia="宋体" w:cs="宋体"/>
                <w:b/>
                <w:bCs/>
                <w:color w:val="auto"/>
                <w:szCs w:val="22"/>
                <w:highlight w:val="none"/>
              </w:rPr>
              <w:t>分）：</w:t>
            </w:r>
          </w:p>
        </w:tc>
        <w:tc>
          <w:tcPr>
            <w:tcW w:w="759" w:type="dxa"/>
            <w:noWrap w:val="0"/>
            <w:vAlign w:val="center"/>
          </w:tcPr>
          <w:p w14:paraId="2A77D8DE">
            <w:pPr>
              <w:keepNext w:val="0"/>
              <w:keepLines w:val="0"/>
              <w:suppressLineNumbers w:val="0"/>
              <w:spacing w:before="0" w:beforeAutospacing="0" w:after="0" w:afterAutospacing="0" w:line="400" w:lineRule="exact"/>
              <w:ind w:left="0" w:right="0"/>
              <w:jc w:val="center"/>
              <w:rPr>
                <w:rFonts w:ascii="宋体" w:hAnsi="宋体" w:eastAsia="宋体" w:cs="宋体"/>
                <w:bCs/>
                <w:color w:val="auto"/>
                <w:szCs w:val="22"/>
                <w:highlight w:val="none"/>
              </w:rPr>
            </w:pPr>
          </w:p>
        </w:tc>
      </w:tr>
      <w:tr w14:paraId="389527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91" w:type="dxa"/>
            <w:vMerge w:val="continue"/>
            <w:noWrap w:val="0"/>
            <w:vAlign w:val="center"/>
          </w:tcPr>
          <w:p w14:paraId="2B956B83">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p>
        </w:tc>
        <w:tc>
          <w:tcPr>
            <w:tcW w:w="8389" w:type="dxa"/>
            <w:noWrap w:val="0"/>
            <w:vAlign w:val="top"/>
          </w:tcPr>
          <w:p w14:paraId="24CD2794">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2"/>
                <w:highlight w:val="none"/>
              </w:rPr>
            </w:pPr>
            <w:r>
              <w:rPr>
                <w:rFonts w:hint="eastAsia" w:ascii="宋体" w:hAnsi="宋体" w:eastAsia="宋体" w:cs="宋体"/>
                <w:color w:val="auto"/>
                <w:szCs w:val="22"/>
                <w:highlight w:val="none"/>
              </w:rPr>
              <w:t>（1）投标人参与国家配方颗粒质量标准起草研究的得4分，参与省级配方颗粒质量标准起草研究的得2分。（本项最高得4分，需提供相应证明材料）</w:t>
            </w:r>
            <w:r>
              <w:rPr>
                <w:rFonts w:hint="eastAsia" w:ascii="宋体" w:hAnsi="宋体" w:eastAsia="宋体" w:cs="宋体"/>
                <w:color w:val="auto"/>
                <w:szCs w:val="21"/>
                <w:highlight w:val="none"/>
              </w:rPr>
              <w:t>。</w:t>
            </w:r>
          </w:p>
        </w:tc>
        <w:tc>
          <w:tcPr>
            <w:tcW w:w="759" w:type="dxa"/>
            <w:noWrap w:val="0"/>
            <w:vAlign w:val="center"/>
          </w:tcPr>
          <w:p w14:paraId="667544EF">
            <w:pPr>
              <w:keepNext w:val="0"/>
              <w:keepLines w:val="0"/>
              <w:suppressLineNumbers w:val="0"/>
              <w:spacing w:before="0" w:beforeAutospacing="0" w:after="0" w:afterAutospacing="0" w:line="400" w:lineRule="exact"/>
              <w:ind w:left="0" w:right="0"/>
              <w:jc w:val="center"/>
              <w:rPr>
                <w:rFonts w:hint="eastAsia" w:ascii="宋体" w:hAnsi="宋体" w:eastAsia="宋体" w:cs="宋体"/>
                <w:bCs/>
                <w:color w:val="auto"/>
                <w:szCs w:val="22"/>
                <w:highlight w:val="none"/>
                <w:lang w:eastAsia="zh-CN"/>
              </w:rPr>
            </w:pPr>
            <w:r>
              <w:rPr>
                <w:rFonts w:hint="eastAsia" w:ascii="宋体" w:hAnsi="宋体" w:cs="宋体"/>
                <w:bCs/>
                <w:color w:val="auto"/>
                <w:szCs w:val="22"/>
                <w:highlight w:val="none"/>
                <w:lang w:val="en-US" w:eastAsia="zh-CN"/>
              </w:rPr>
              <w:t>4</w:t>
            </w:r>
          </w:p>
        </w:tc>
      </w:tr>
      <w:tr w14:paraId="74F08315">
        <w:tblPrEx>
          <w:tblCellMar>
            <w:top w:w="0" w:type="dxa"/>
            <w:left w:w="108" w:type="dxa"/>
            <w:bottom w:w="0" w:type="dxa"/>
            <w:right w:w="108" w:type="dxa"/>
          </w:tblCellMar>
        </w:tblPrEx>
        <w:trPr>
          <w:trHeight w:val="23" w:hRule="atLeast"/>
        </w:trPr>
        <w:tc>
          <w:tcPr>
            <w:tcW w:w="791" w:type="dxa"/>
            <w:vMerge w:val="continue"/>
            <w:noWrap w:val="0"/>
            <w:vAlign w:val="center"/>
          </w:tcPr>
          <w:p w14:paraId="165FEEE3">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p>
        </w:tc>
        <w:tc>
          <w:tcPr>
            <w:tcW w:w="8389" w:type="dxa"/>
            <w:noWrap w:val="0"/>
            <w:vAlign w:val="top"/>
          </w:tcPr>
          <w:p w14:paraId="09FDAE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color w:val="auto"/>
                <w:szCs w:val="22"/>
                <w:highlight w:val="none"/>
              </w:rPr>
            </w:pPr>
            <w:r>
              <w:rPr>
                <w:rFonts w:hint="default" w:ascii="宋体" w:hAnsi="宋体" w:eastAsia="宋体" w:cs="宋体"/>
                <w:color w:val="auto"/>
                <w:szCs w:val="22"/>
                <w:highlight w:val="none"/>
              </w:rPr>
              <w:t>（</w:t>
            </w:r>
            <w:r>
              <w:rPr>
                <w:rFonts w:hint="eastAsia" w:ascii="宋体" w:hAnsi="宋体" w:eastAsia="宋体" w:cs="宋体"/>
                <w:color w:val="auto"/>
                <w:szCs w:val="22"/>
                <w:highlight w:val="none"/>
                <w:lang w:val="en-US" w:eastAsia="zh-CN"/>
              </w:rPr>
              <w:t>2</w:t>
            </w:r>
            <w:r>
              <w:rPr>
                <w:rFonts w:hint="default" w:ascii="宋体" w:hAnsi="宋体" w:eastAsia="宋体" w:cs="宋体"/>
                <w:color w:val="auto"/>
                <w:szCs w:val="22"/>
                <w:highlight w:val="none"/>
              </w:rPr>
              <w:t>）投标人实验室可检测项目包含二氧化硫、黄曲霉素、重金属限度、农药残留，每一项得1.25分。（本项最高得5分，需提供相应证明材料）</w:t>
            </w:r>
          </w:p>
        </w:tc>
        <w:tc>
          <w:tcPr>
            <w:tcW w:w="759" w:type="dxa"/>
            <w:noWrap w:val="0"/>
            <w:vAlign w:val="center"/>
          </w:tcPr>
          <w:p w14:paraId="650CF2CE">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szCs w:val="22"/>
                <w:highlight w:val="none"/>
                <w:lang w:val="en-US" w:eastAsia="zh-CN"/>
              </w:rPr>
            </w:pPr>
            <w:r>
              <w:rPr>
                <w:rFonts w:hint="eastAsia" w:ascii="宋体" w:hAnsi="宋体" w:eastAsia="宋体" w:cs="宋体"/>
                <w:bCs/>
                <w:color w:val="auto"/>
                <w:szCs w:val="22"/>
                <w:highlight w:val="none"/>
                <w:lang w:val="en-US" w:eastAsia="zh-CN"/>
              </w:rPr>
              <w:t>5</w:t>
            </w:r>
          </w:p>
        </w:tc>
      </w:tr>
      <w:tr w14:paraId="73BC78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91" w:type="dxa"/>
            <w:vMerge w:val="continue"/>
            <w:noWrap w:val="0"/>
            <w:vAlign w:val="center"/>
          </w:tcPr>
          <w:p w14:paraId="336B88A2">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p>
        </w:tc>
        <w:tc>
          <w:tcPr>
            <w:tcW w:w="8389" w:type="dxa"/>
            <w:noWrap w:val="0"/>
            <w:vAlign w:val="top"/>
          </w:tcPr>
          <w:p w14:paraId="05A5C0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color w:val="auto"/>
                <w:szCs w:val="22"/>
                <w:highlight w:val="none"/>
                <w:lang w:eastAsia="zh-CN"/>
              </w:rPr>
            </w:pPr>
            <w:r>
              <w:rPr>
                <w:rFonts w:hint="eastAsia" w:ascii="宋体" w:hAnsi="宋体" w:cs="宋体"/>
                <w:color w:val="auto"/>
                <w:szCs w:val="22"/>
                <w:highlight w:val="none"/>
                <w:lang w:eastAsia="zh-CN"/>
              </w:rPr>
              <w:t>（</w:t>
            </w:r>
            <w:r>
              <w:rPr>
                <w:rFonts w:hint="eastAsia" w:ascii="宋体" w:hAnsi="宋体" w:cs="宋体"/>
                <w:color w:val="auto"/>
                <w:szCs w:val="22"/>
                <w:highlight w:val="none"/>
                <w:lang w:val="en-US" w:eastAsia="zh-CN"/>
              </w:rPr>
              <w:t>3</w:t>
            </w:r>
            <w:r>
              <w:rPr>
                <w:rFonts w:hint="eastAsia" w:ascii="宋体" w:hAnsi="宋体" w:cs="宋体"/>
                <w:color w:val="auto"/>
                <w:szCs w:val="22"/>
                <w:highlight w:val="none"/>
                <w:lang w:eastAsia="zh-CN"/>
              </w:rPr>
              <w:t>）投标企业拥有配方颗粒生产、制备、检测方面发明专利，每一项专利得0.1分。（本项最高得3分，需提供有效期内发明专利证书，专利权须为投标人所有）</w:t>
            </w:r>
          </w:p>
        </w:tc>
        <w:tc>
          <w:tcPr>
            <w:tcW w:w="759" w:type="dxa"/>
            <w:noWrap w:val="0"/>
            <w:vAlign w:val="center"/>
          </w:tcPr>
          <w:p w14:paraId="136C4AA1">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szCs w:val="22"/>
                <w:highlight w:val="none"/>
                <w:lang w:val="en-US" w:eastAsia="zh-CN"/>
              </w:rPr>
            </w:pPr>
            <w:r>
              <w:rPr>
                <w:rFonts w:hint="eastAsia" w:ascii="宋体" w:hAnsi="宋体" w:cs="宋体"/>
                <w:bCs/>
                <w:color w:val="auto"/>
                <w:szCs w:val="22"/>
                <w:highlight w:val="none"/>
                <w:lang w:val="en-US" w:eastAsia="zh-CN"/>
              </w:rPr>
              <w:t>3</w:t>
            </w:r>
          </w:p>
        </w:tc>
      </w:tr>
      <w:tr w14:paraId="490C46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91" w:type="dxa"/>
            <w:vMerge w:val="continue"/>
            <w:noWrap w:val="0"/>
            <w:vAlign w:val="center"/>
          </w:tcPr>
          <w:p w14:paraId="3CC9F009">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p>
        </w:tc>
        <w:tc>
          <w:tcPr>
            <w:tcW w:w="8389" w:type="dxa"/>
            <w:noWrap w:val="0"/>
            <w:vAlign w:val="top"/>
          </w:tcPr>
          <w:p w14:paraId="2E2B532B">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2"/>
                <w:highlight w:val="none"/>
              </w:rPr>
            </w:pPr>
            <w:r>
              <w:rPr>
                <w:rFonts w:hint="eastAsia" w:ascii="宋体" w:hAnsi="宋体" w:eastAsia="宋体" w:cs="宋体"/>
                <w:b/>
                <w:bCs/>
                <w:color w:val="auto"/>
                <w:szCs w:val="22"/>
                <w:highlight w:val="none"/>
              </w:rPr>
              <w:t>4、</w:t>
            </w:r>
            <w:r>
              <w:rPr>
                <w:rFonts w:hint="eastAsia" w:ascii="宋体" w:hAnsi="宋体" w:eastAsia="宋体" w:cs="Times New Roman"/>
                <w:b/>
                <w:bCs/>
                <w:color w:val="auto"/>
                <w:szCs w:val="22"/>
                <w:highlight w:val="none"/>
              </w:rPr>
              <w:t>人员</w:t>
            </w:r>
            <w:r>
              <w:rPr>
                <w:rFonts w:hint="eastAsia" w:ascii="宋体" w:hAnsi="宋体" w:cs="Times New Roman"/>
                <w:b/>
                <w:bCs/>
                <w:color w:val="auto"/>
                <w:szCs w:val="22"/>
                <w:highlight w:val="none"/>
                <w:lang w:eastAsia="zh-CN"/>
              </w:rPr>
              <w:t>、</w:t>
            </w:r>
            <w:r>
              <w:rPr>
                <w:rFonts w:hint="eastAsia" w:ascii="宋体" w:hAnsi="宋体" w:eastAsia="宋体" w:cs="Times New Roman"/>
                <w:b/>
                <w:bCs/>
                <w:color w:val="auto"/>
                <w:szCs w:val="22"/>
                <w:highlight w:val="none"/>
              </w:rPr>
              <w:t>设备</w:t>
            </w:r>
            <w:r>
              <w:rPr>
                <w:rFonts w:hint="eastAsia" w:ascii="宋体" w:hAnsi="宋体" w:cs="Times New Roman"/>
                <w:b/>
                <w:bCs/>
                <w:color w:val="auto"/>
                <w:szCs w:val="22"/>
                <w:highlight w:val="none"/>
                <w:lang w:eastAsia="zh-CN"/>
              </w:rPr>
              <w:t>、</w:t>
            </w:r>
            <w:r>
              <w:rPr>
                <w:rFonts w:hint="eastAsia" w:ascii="宋体" w:hAnsi="宋体" w:cs="Times New Roman"/>
                <w:b/>
                <w:bCs/>
                <w:color w:val="auto"/>
                <w:szCs w:val="22"/>
                <w:highlight w:val="none"/>
                <w:lang w:val="en-US" w:eastAsia="zh-CN"/>
              </w:rPr>
              <w:t>质控</w:t>
            </w:r>
            <w:r>
              <w:rPr>
                <w:rFonts w:hint="eastAsia" w:ascii="宋体" w:hAnsi="宋体" w:eastAsia="宋体" w:cs="Times New Roman"/>
                <w:b/>
                <w:bCs/>
                <w:color w:val="auto"/>
                <w:szCs w:val="22"/>
                <w:highlight w:val="none"/>
              </w:rPr>
              <w:t>（</w:t>
            </w:r>
            <w:r>
              <w:rPr>
                <w:rFonts w:hint="eastAsia" w:ascii="宋体" w:hAnsi="宋体" w:cs="Times New Roman"/>
                <w:b/>
                <w:bCs/>
                <w:color w:val="auto"/>
                <w:szCs w:val="22"/>
                <w:highlight w:val="none"/>
                <w:lang w:val="en-US" w:eastAsia="zh-CN"/>
              </w:rPr>
              <w:t>13</w:t>
            </w:r>
            <w:r>
              <w:rPr>
                <w:rFonts w:hint="eastAsia" w:ascii="宋体" w:hAnsi="宋体" w:eastAsia="宋体" w:cs="Times New Roman"/>
                <w:b/>
                <w:bCs/>
                <w:color w:val="auto"/>
                <w:szCs w:val="22"/>
                <w:highlight w:val="none"/>
              </w:rPr>
              <w:t>分）：</w:t>
            </w:r>
          </w:p>
        </w:tc>
        <w:tc>
          <w:tcPr>
            <w:tcW w:w="759" w:type="dxa"/>
            <w:noWrap w:val="0"/>
            <w:vAlign w:val="center"/>
          </w:tcPr>
          <w:p w14:paraId="2A8288B5">
            <w:pPr>
              <w:keepNext w:val="0"/>
              <w:keepLines w:val="0"/>
              <w:suppressLineNumbers w:val="0"/>
              <w:spacing w:before="0" w:beforeAutospacing="0" w:after="0" w:afterAutospacing="0" w:line="400" w:lineRule="exact"/>
              <w:ind w:left="0" w:right="0"/>
              <w:jc w:val="center"/>
              <w:rPr>
                <w:rFonts w:hint="eastAsia" w:ascii="宋体" w:hAnsi="宋体" w:eastAsia="宋体" w:cs="宋体"/>
                <w:bCs/>
                <w:color w:val="auto"/>
                <w:szCs w:val="22"/>
                <w:highlight w:val="none"/>
              </w:rPr>
            </w:pPr>
          </w:p>
        </w:tc>
      </w:tr>
      <w:tr w14:paraId="462730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91" w:type="dxa"/>
            <w:vMerge w:val="continue"/>
            <w:noWrap w:val="0"/>
            <w:vAlign w:val="center"/>
          </w:tcPr>
          <w:p w14:paraId="4A146A5D">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p>
        </w:tc>
        <w:tc>
          <w:tcPr>
            <w:tcW w:w="8389" w:type="dxa"/>
            <w:noWrap w:val="0"/>
            <w:vAlign w:val="top"/>
          </w:tcPr>
          <w:p w14:paraId="25E5B512">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2"/>
                <w:highlight w:val="none"/>
              </w:rPr>
            </w:pPr>
            <w:r>
              <w:rPr>
                <w:rFonts w:hint="eastAsia" w:ascii="宋体" w:hAnsi="宋体" w:eastAsia="宋体" w:cs="Times New Roman"/>
                <w:bCs/>
                <w:color w:val="auto"/>
                <w:szCs w:val="22"/>
                <w:highlight w:val="none"/>
              </w:rPr>
              <w:t>（1）</w:t>
            </w:r>
            <w:r>
              <w:rPr>
                <w:rFonts w:hint="eastAsia" w:ascii="宋体" w:hAnsi="Times New Roman" w:eastAsia="宋体" w:cs="Times New Roman"/>
                <w:color w:val="auto"/>
                <w:szCs w:val="22"/>
                <w:highlight w:val="none"/>
              </w:rPr>
              <w:t>投标人</w:t>
            </w:r>
            <w:r>
              <w:rPr>
                <w:rFonts w:hint="eastAsia" w:ascii="宋体" w:cs="Times New Roman"/>
                <w:color w:val="auto"/>
                <w:szCs w:val="22"/>
                <w:highlight w:val="none"/>
                <w:lang w:val="en-US" w:eastAsia="zh-CN"/>
              </w:rPr>
              <w:t>应</w:t>
            </w:r>
            <w:r>
              <w:rPr>
                <w:rFonts w:hint="eastAsia" w:ascii="宋体" w:hAnsi="Times New Roman" w:eastAsia="宋体" w:cs="Times New Roman"/>
                <w:color w:val="auto"/>
                <w:szCs w:val="22"/>
                <w:highlight w:val="none"/>
              </w:rPr>
              <w:t>配备与医疗机构工作量相适应的中药学调剂资质人员团队（至少3人），并承诺根据业务发展需要和医院要求及时增加人员</w:t>
            </w:r>
            <w:r>
              <w:rPr>
                <w:rFonts w:hint="eastAsia" w:ascii="宋体" w:cs="Times New Roman"/>
                <w:color w:val="auto"/>
                <w:szCs w:val="22"/>
                <w:highlight w:val="none"/>
                <w:lang w:eastAsia="zh-CN"/>
              </w:rPr>
              <w:t>，</w:t>
            </w:r>
            <w:r>
              <w:rPr>
                <w:rFonts w:hint="eastAsia" w:ascii="宋体" w:cs="Times New Roman"/>
                <w:color w:val="auto"/>
                <w:szCs w:val="22"/>
                <w:highlight w:val="none"/>
                <w:lang w:val="en-US" w:eastAsia="zh-CN"/>
              </w:rPr>
              <w:t>评标委员会根据投标人人员配备情况进行评议</w:t>
            </w:r>
            <w:r>
              <w:rPr>
                <w:rFonts w:hint="eastAsia" w:ascii="宋体" w:hAnsi="Times New Roman" w:eastAsia="宋体" w:cs="Times New Roman"/>
                <w:color w:val="auto"/>
                <w:szCs w:val="22"/>
                <w:highlight w:val="none"/>
              </w:rPr>
              <w:t>。（本项最高得4分，需提供</w:t>
            </w:r>
            <w:r>
              <w:rPr>
                <w:rFonts w:hint="eastAsia" w:ascii="宋体" w:cs="Times New Roman"/>
                <w:color w:val="auto"/>
                <w:szCs w:val="22"/>
                <w:highlight w:val="none"/>
                <w:lang w:val="en-US" w:eastAsia="zh-CN"/>
              </w:rPr>
              <w:t>团队清单及</w:t>
            </w:r>
            <w:r>
              <w:rPr>
                <w:rFonts w:hint="eastAsia" w:ascii="宋体" w:hAnsi="Times New Roman" w:eastAsia="宋体" w:cs="Times New Roman"/>
                <w:color w:val="auto"/>
                <w:szCs w:val="22"/>
                <w:highlight w:val="none"/>
              </w:rPr>
              <w:t>相应承诺函）</w:t>
            </w:r>
          </w:p>
        </w:tc>
        <w:tc>
          <w:tcPr>
            <w:tcW w:w="759" w:type="dxa"/>
            <w:noWrap w:val="0"/>
            <w:vAlign w:val="center"/>
          </w:tcPr>
          <w:p w14:paraId="2E0CF773">
            <w:pPr>
              <w:keepNext w:val="0"/>
              <w:keepLines w:val="0"/>
              <w:suppressLineNumbers w:val="0"/>
              <w:spacing w:before="0" w:beforeAutospacing="0" w:after="0" w:afterAutospacing="0" w:line="400" w:lineRule="exact"/>
              <w:ind w:left="0" w:right="0"/>
              <w:jc w:val="center"/>
              <w:rPr>
                <w:rFonts w:hint="eastAsia" w:ascii="宋体" w:hAnsi="宋体" w:eastAsia="宋体" w:cs="宋体"/>
                <w:bCs/>
                <w:color w:val="auto"/>
                <w:szCs w:val="22"/>
                <w:highlight w:val="none"/>
                <w:lang w:eastAsia="zh-CN"/>
              </w:rPr>
            </w:pPr>
            <w:r>
              <w:rPr>
                <w:rFonts w:hint="eastAsia" w:ascii="宋体" w:hAnsi="宋体" w:eastAsia="宋体" w:cs="宋体"/>
                <w:bCs/>
                <w:color w:val="auto"/>
                <w:szCs w:val="22"/>
                <w:highlight w:val="none"/>
                <w:lang w:val="en-US" w:eastAsia="zh-CN"/>
              </w:rPr>
              <w:t>4</w:t>
            </w:r>
          </w:p>
        </w:tc>
      </w:tr>
      <w:tr w14:paraId="08E35F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91" w:type="dxa"/>
            <w:vMerge w:val="continue"/>
            <w:noWrap w:val="0"/>
            <w:vAlign w:val="center"/>
          </w:tcPr>
          <w:p w14:paraId="2A744E41">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p>
        </w:tc>
        <w:tc>
          <w:tcPr>
            <w:tcW w:w="8389" w:type="dxa"/>
            <w:noWrap w:val="0"/>
            <w:vAlign w:val="top"/>
          </w:tcPr>
          <w:p w14:paraId="4789AD0A">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Times New Roman"/>
                <w:bCs/>
                <w:color w:val="auto"/>
                <w:szCs w:val="22"/>
                <w:highlight w:val="none"/>
              </w:rPr>
              <w:t>投标人</w:t>
            </w:r>
            <w:r>
              <w:rPr>
                <w:rFonts w:hint="eastAsia" w:ascii="宋体" w:hAnsi="宋体" w:cs="Times New Roman"/>
                <w:bCs/>
                <w:color w:val="auto"/>
                <w:szCs w:val="22"/>
                <w:highlight w:val="none"/>
                <w:lang w:val="en-US" w:eastAsia="zh-CN"/>
              </w:rPr>
              <w:t>应</w:t>
            </w:r>
            <w:r>
              <w:rPr>
                <w:rFonts w:hint="eastAsia" w:ascii="宋体" w:hAnsi="宋体" w:eastAsia="宋体" w:cs="Times New Roman"/>
                <w:bCs/>
                <w:color w:val="auto"/>
                <w:szCs w:val="22"/>
                <w:highlight w:val="none"/>
              </w:rPr>
              <w:t>提供配方颗粒配方机组并保证每月定时保养检修,若在使用过程中出现问题，能及时到现场维修，由此而延误调配的药品在24小时内送达患方。</w:t>
            </w:r>
            <w:r>
              <w:rPr>
                <w:rFonts w:hint="eastAsia" w:ascii="宋体" w:hAnsi="宋体" w:eastAsia="宋体" w:cs="Times New Roman"/>
                <w:bCs/>
                <w:color w:val="auto"/>
                <w:szCs w:val="22"/>
                <w:highlight w:val="none"/>
                <w:lang w:val="en-US" w:eastAsia="zh-CN"/>
              </w:rPr>
              <w:t>评标委员会根据投标人</w:t>
            </w:r>
            <w:r>
              <w:rPr>
                <w:rFonts w:hint="eastAsia" w:ascii="宋体" w:hAnsi="宋体" w:cs="Times New Roman"/>
                <w:bCs/>
                <w:color w:val="auto"/>
                <w:szCs w:val="22"/>
                <w:highlight w:val="none"/>
                <w:lang w:val="en-US" w:eastAsia="zh-CN"/>
              </w:rPr>
              <w:t>设备保养检修方案</w:t>
            </w:r>
            <w:r>
              <w:rPr>
                <w:rFonts w:hint="eastAsia" w:ascii="宋体" w:hAnsi="宋体" w:eastAsia="宋体" w:cs="Times New Roman"/>
                <w:bCs/>
                <w:color w:val="auto"/>
                <w:szCs w:val="22"/>
                <w:highlight w:val="none"/>
                <w:lang w:val="en-US" w:eastAsia="zh-CN"/>
              </w:rPr>
              <w:t>情况进行评议</w:t>
            </w:r>
            <w:r>
              <w:rPr>
                <w:rFonts w:hint="eastAsia" w:ascii="宋体" w:hAnsi="宋体" w:eastAsia="宋体" w:cs="Times New Roman"/>
                <w:bCs/>
                <w:color w:val="auto"/>
                <w:szCs w:val="22"/>
                <w:highlight w:val="none"/>
              </w:rPr>
              <w:t>。（本项最高得4分，需提供相应承诺函）</w:t>
            </w:r>
          </w:p>
        </w:tc>
        <w:tc>
          <w:tcPr>
            <w:tcW w:w="759" w:type="dxa"/>
            <w:noWrap w:val="0"/>
            <w:vAlign w:val="center"/>
          </w:tcPr>
          <w:p w14:paraId="6A337B6B">
            <w:pPr>
              <w:keepNext w:val="0"/>
              <w:keepLines w:val="0"/>
              <w:suppressLineNumbers w:val="0"/>
              <w:spacing w:before="0" w:beforeAutospacing="0" w:after="0" w:afterAutospacing="0" w:line="400" w:lineRule="exact"/>
              <w:ind w:left="0" w:right="0"/>
              <w:jc w:val="center"/>
              <w:rPr>
                <w:rFonts w:hint="eastAsia" w:ascii="宋体" w:hAnsi="宋体" w:eastAsia="宋体" w:cs="宋体"/>
                <w:bCs/>
                <w:color w:val="auto"/>
                <w:szCs w:val="22"/>
                <w:highlight w:val="none"/>
                <w:lang w:eastAsia="zh-CN"/>
              </w:rPr>
            </w:pPr>
            <w:r>
              <w:rPr>
                <w:rFonts w:hint="eastAsia" w:ascii="宋体" w:hAnsi="宋体" w:eastAsia="宋体" w:cs="宋体"/>
                <w:bCs/>
                <w:color w:val="auto"/>
                <w:szCs w:val="22"/>
                <w:highlight w:val="none"/>
                <w:lang w:val="en-US" w:eastAsia="zh-CN"/>
              </w:rPr>
              <w:t>4</w:t>
            </w:r>
          </w:p>
        </w:tc>
      </w:tr>
      <w:tr w14:paraId="58981D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91" w:type="dxa"/>
            <w:vMerge w:val="continue"/>
            <w:noWrap w:val="0"/>
            <w:vAlign w:val="center"/>
          </w:tcPr>
          <w:p w14:paraId="3490CD6E">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p>
        </w:tc>
        <w:tc>
          <w:tcPr>
            <w:tcW w:w="8389" w:type="dxa"/>
            <w:noWrap w:val="0"/>
            <w:vAlign w:val="top"/>
          </w:tcPr>
          <w:p w14:paraId="57B5924F">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根据投标人</w:t>
            </w:r>
            <w:r>
              <w:rPr>
                <w:rFonts w:hint="eastAsia" w:ascii="宋体" w:hAnsi="宋体" w:cs="宋体"/>
                <w:color w:val="auto"/>
                <w:szCs w:val="21"/>
                <w:highlight w:val="none"/>
                <w:lang w:eastAsia="zh-CN"/>
              </w:rPr>
              <w:t>药品生产的内控制度</w:t>
            </w:r>
            <w:r>
              <w:rPr>
                <w:rFonts w:hint="eastAsia" w:ascii="宋体" w:hAnsi="宋体" w:cs="宋体"/>
                <w:color w:val="auto"/>
                <w:szCs w:val="21"/>
                <w:highlight w:val="none"/>
                <w:lang w:val="en-US" w:eastAsia="zh-CN"/>
              </w:rPr>
              <w:t>进行评议</w:t>
            </w:r>
            <w:r>
              <w:rPr>
                <w:rFonts w:hint="eastAsia" w:ascii="宋体" w:hAnsi="宋体" w:cs="宋体"/>
                <w:color w:val="auto"/>
                <w:szCs w:val="21"/>
                <w:highlight w:val="none"/>
                <w:lang w:eastAsia="zh-CN"/>
              </w:rPr>
              <w:t>，包括但不限于质量控制措施、关键质控点及相关质量标准</w:t>
            </w:r>
            <w:r>
              <w:rPr>
                <w:rFonts w:hint="eastAsia" w:ascii="宋体" w:hAnsi="宋体" w:cs="宋体"/>
                <w:color w:val="auto"/>
                <w:szCs w:val="21"/>
                <w:highlight w:val="none"/>
                <w:lang w:val="en-US" w:eastAsia="zh-CN"/>
              </w:rPr>
              <w:t>等（5分）</w:t>
            </w:r>
            <w:r>
              <w:rPr>
                <w:rFonts w:hint="eastAsia" w:ascii="宋体" w:hAnsi="宋体" w:cs="宋体"/>
                <w:color w:val="auto"/>
                <w:szCs w:val="21"/>
                <w:highlight w:val="none"/>
                <w:lang w:eastAsia="zh-CN"/>
              </w:rPr>
              <w:t>。</w:t>
            </w:r>
          </w:p>
        </w:tc>
        <w:tc>
          <w:tcPr>
            <w:tcW w:w="759" w:type="dxa"/>
            <w:noWrap w:val="0"/>
            <w:vAlign w:val="center"/>
          </w:tcPr>
          <w:p w14:paraId="2188E5BA">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szCs w:val="22"/>
                <w:highlight w:val="none"/>
                <w:lang w:val="en-US" w:eastAsia="zh-CN"/>
              </w:rPr>
            </w:pPr>
            <w:r>
              <w:rPr>
                <w:rFonts w:hint="eastAsia" w:ascii="宋体" w:hAnsi="宋体" w:cs="宋体"/>
                <w:bCs/>
                <w:color w:val="auto"/>
                <w:szCs w:val="22"/>
                <w:highlight w:val="none"/>
                <w:lang w:val="en-US" w:eastAsia="zh-CN"/>
              </w:rPr>
              <w:t>5</w:t>
            </w:r>
          </w:p>
        </w:tc>
      </w:tr>
      <w:tr w14:paraId="35D6E2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91" w:type="dxa"/>
            <w:vMerge w:val="continue"/>
            <w:noWrap w:val="0"/>
            <w:vAlign w:val="center"/>
          </w:tcPr>
          <w:p w14:paraId="705BC47D">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p>
        </w:tc>
        <w:tc>
          <w:tcPr>
            <w:tcW w:w="8389" w:type="dxa"/>
            <w:noWrap w:val="0"/>
            <w:vAlign w:val="top"/>
          </w:tcPr>
          <w:p w14:paraId="23F90EA5">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2"/>
                <w:highlight w:val="none"/>
                <w:lang w:val="en-US" w:eastAsia="zh-CN"/>
              </w:rPr>
            </w:pPr>
            <w:r>
              <w:rPr>
                <w:rFonts w:hint="eastAsia" w:ascii="宋体" w:hAnsi="宋体" w:eastAsia="宋体" w:cs="宋体"/>
                <w:b/>
                <w:color w:val="auto"/>
                <w:szCs w:val="22"/>
                <w:highlight w:val="none"/>
              </w:rPr>
              <w:t>5、售后服务（</w:t>
            </w:r>
            <w:r>
              <w:rPr>
                <w:rFonts w:hint="eastAsia" w:ascii="宋体" w:hAnsi="宋体" w:cs="宋体"/>
                <w:b/>
                <w:color w:val="auto"/>
                <w:szCs w:val="22"/>
                <w:highlight w:val="none"/>
                <w:lang w:val="en-US" w:eastAsia="zh-CN"/>
              </w:rPr>
              <w:t>13</w:t>
            </w:r>
            <w:r>
              <w:rPr>
                <w:rFonts w:hint="eastAsia" w:ascii="宋体" w:hAnsi="宋体" w:eastAsia="宋体" w:cs="宋体"/>
                <w:b/>
                <w:color w:val="auto"/>
                <w:szCs w:val="22"/>
                <w:highlight w:val="none"/>
              </w:rPr>
              <w:t>分）：</w:t>
            </w:r>
          </w:p>
        </w:tc>
        <w:tc>
          <w:tcPr>
            <w:tcW w:w="759" w:type="dxa"/>
            <w:noWrap w:val="0"/>
            <w:vAlign w:val="center"/>
          </w:tcPr>
          <w:p w14:paraId="50F70F90">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2"/>
                <w:highlight w:val="none"/>
              </w:rPr>
            </w:pPr>
          </w:p>
        </w:tc>
      </w:tr>
      <w:tr w14:paraId="3DA9B6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91" w:type="dxa"/>
            <w:vMerge w:val="continue"/>
            <w:noWrap w:val="0"/>
            <w:vAlign w:val="center"/>
          </w:tcPr>
          <w:p w14:paraId="791BB260">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p>
        </w:tc>
        <w:tc>
          <w:tcPr>
            <w:tcW w:w="8389" w:type="dxa"/>
            <w:noWrap w:val="0"/>
            <w:vAlign w:val="top"/>
          </w:tcPr>
          <w:p w14:paraId="1B7136F7">
            <w:pPr>
              <w:keepNext w:val="0"/>
              <w:keepLines w:val="0"/>
              <w:suppressLineNumbers w:val="0"/>
              <w:spacing w:before="0" w:beforeAutospacing="0" w:after="0" w:afterAutospacing="0" w:line="400" w:lineRule="exact"/>
              <w:ind w:left="0" w:right="0"/>
              <w:rPr>
                <w:rFonts w:hint="eastAsia" w:ascii="宋体" w:hAnsi="宋体" w:eastAsia="宋体" w:cs="宋体"/>
                <w:bCs/>
                <w:color w:val="auto"/>
                <w:szCs w:val="22"/>
                <w:highlight w:val="none"/>
              </w:rPr>
            </w:pPr>
            <w:r>
              <w:rPr>
                <w:rFonts w:hint="eastAsia" w:ascii="宋体" w:hAnsi="宋体" w:eastAsia="宋体" w:cs="宋体"/>
                <w:color w:val="auto"/>
                <w:szCs w:val="22"/>
                <w:highlight w:val="none"/>
                <w:lang w:val="en-US" w:eastAsia="zh-CN"/>
              </w:rPr>
              <w:t>（1）</w:t>
            </w:r>
            <w:r>
              <w:rPr>
                <w:rFonts w:hint="eastAsia" w:ascii="宋体" w:hAnsi="宋体" w:eastAsia="宋体" w:cs="宋体"/>
                <w:color w:val="auto"/>
                <w:szCs w:val="22"/>
                <w:highlight w:val="none"/>
              </w:rPr>
              <w:t>投标人保证所供配方颗粒入库剩余有效期不少于1.5年,临近保质期3个月时给予退换的得4分（本项最高得4分，需提供相应承诺函）</w:t>
            </w:r>
          </w:p>
        </w:tc>
        <w:tc>
          <w:tcPr>
            <w:tcW w:w="759" w:type="dxa"/>
            <w:noWrap w:val="0"/>
            <w:vAlign w:val="center"/>
          </w:tcPr>
          <w:p w14:paraId="7556C409">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2"/>
                <w:highlight w:val="none"/>
                <w:lang w:eastAsia="zh-CN"/>
              </w:rPr>
            </w:pPr>
            <w:r>
              <w:rPr>
                <w:rFonts w:hint="eastAsia" w:ascii="宋体" w:hAnsi="宋体" w:cs="宋体"/>
                <w:color w:val="auto"/>
                <w:szCs w:val="22"/>
                <w:highlight w:val="none"/>
                <w:lang w:val="en-US" w:eastAsia="zh-CN"/>
              </w:rPr>
              <w:t>4</w:t>
            </w:r>
          </w:p>
        </w:tc>
      </w:tr>
      <w:tr w14:paraId="5DBBFC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91" w:type="dxa"/>
            <w:vMerge w:val="continue"/>
            <w:noWrap w:val="0"/>
            <w:vAlign w:val="center"/>
          </w:tcPr>
          <w:p w14:paraId="4E372720">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p>
        </w:tc>
        <w:tc>
          <w:tcPr>
            <w:tcW w:w="8389" w:type="dxa"/>
            <w:noWrap w:val="0"/>
            <w:vAlign w:val="top"/>
          </w:tcPr>
          <w:p w14:paraId="3D355F0B">
            <w:pPr>
              <w:keepNext w:val="0"/>
              <w:keepLines w:val="0"/>
              <w:suppressLineNumbers w:val="0"/>
              <w:spacing w:before="0" w:beforeAutospacing="0" w:after="0" w:afterAutospacing="0" w:line="400" w:lineRule="exact"/>
              <w:ind w:left="0" w:right="0"/>
              <w:rPr>
                <w:rFonts w:hint="eastAsia" w:ascii="宋体" w:hAnsi="宋体" w:eastAsia="宋体" w:cs="宋体"/>
                <w:bCs/>
                <w:color w:val="auto"/>
                <w:kern w:val="2"/>
                <w:sz w:val="21"/>
                <w:szCs w:val="22"/>
                <w:highlight w:val="none"/>
                <w:lang w:val="en-US" w:eastAsia="zh-CN" w:bidi="ar-SA"/>
              </w:rPr>
            </w:pPr>
            <w:r>
              <w:rPr>
                <w:rFonts w:hint="eastAsia" w:ascii="宋体" w:hAnsi="宋体" w:eastAsia="宋体" w:cs="宋体"/>
                <w:color w:val="auto"/>
                <w:szCs w:val="22"/>
                <w:highlight w:val="none"/>
                <w:lang w:val="en-US" w:eastAsia="zh-CN"/>
              </w:rPr>
              <w:t>（2）</w:t>
            </w:r>
            <w:r>
              <w:rPr>
                <w:rFonts w:hint="eastAsia" w:ascii="宋体" w:hAnsi="宋体" w:cs="宋体"/>
                <w:color w:val="auto"/>
                <w:szCs w:val="22"/>
                <w:highlight w:val="none"/>
                <w:lang w:val="en-US" w:eastAsia="zh-CN"/>
              </w:rPr>
              <w:t>根据</w:t>
            </w:r>
            <w:r>
              <w:rPr>
                <w:rFonts w:hint="eastAsia" w:ascii="宋体" w:hAnsi="宋体" w:eastAsia="宋体" w:cs="宋体"/>
                <w:color w:val="auto"/>
                <w:szCs w:val="22"/>
                <w:highlight w:val="none"/>
              </w:rPr>
              <w:t>投标人提供</w:t>
            </w:r>
            <w:r>
              <w:rPr>
                <w:rFonts w:hint="eastAsia" w:ascii="宋体" w:hAnsi="宋体" w:cs="宋体"/>
                <w:color w:val="auto"/>
                <w:szCs w:val="22"/>
                <w:highlight w:val="none"/>
                <w:lang w:val="en-US" w:eastAsia="zh-CN"/>
              </w:rPr>
              <w:t>的</w:t>
            </w:r>
            <w:r>
              <w:rPr>
                <w:rFonts w:hint="eastAsia" w:ascii="宋体" w:hAnsi="宋体" w:eastAsia="宋体" w:cs="宋体"/>
                <w:color w:val="auto"/>
                <w:szCs w:val="22"/>
                <w:highlight w:val="none"/>
              </w:rPr>
              <w:t>及时回应、妥善解决患方提出的因药品质量、调剂核发错误、工作态度等各种问题的方案</w:t>
            </w:r>
            <w:r>
              <w:rPr>
                <w:rFonts w:hint="eastAsia" w:ascii="宋体" w:hAnsi="宋体" w:cs="宋体"/>
                <w:color w:val="auto"/>
                <w:szCs w:val="22"/>
                <w:highlight w:val="none"/>
                <w:lang w:val="en-US" w:eastAsia="zh-CN"/>
              </w:rPr>
              <w:t>进行评议（4分）</w:t>
            </w:r>
            <w:r>
              <w:rPr>
                <w:rFonts w:hint="eastAsia" w:ascii="宋体" w:hAnsi="宋体" w:eastAsia="宋体" w:cs="宋体"/>
                <w:color w:val="auto"/>
                <w:szCs w:val="22"/>
                <w:highlight w:val="none"/>
              </w:rPr>
              <w:t>。</w:t>
            </w:r>
          </w:p>
        </w:tc>
        <w:tc>
          <w:tcPr>
            <w:tcW w:w="759" w:type="dxa"/>
            <w:noWrap w:val="0"/>
            <w:vAlign w:val="center"/>
          </w:tcPr>
          <w:p w14:paraId="5058C685">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szCs w:val="22"/>
                <w:highlight w:val="none"/>
                <w:lang w:val="en-US" w:eastAsia="zh-CN"/>
              </w:rPr>
              <w:t>4</w:t>
            </w:r>
          </w:p>
        </w:tc>
      </w:tr>
      <w:tr w14:paraId="4F58BD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91" w:type="dxa"/>
            <w:vMerge w:val="continue"/>
            <w:noWrap w:val="0"/>
            <w:vAlign w:val="center"/>
          </w:tcPr>
          <w:p w14:paraId="6021BD95">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p>
        </w:tc>
        <w:tc>
          <w:tcPr>
            <w:tcW w:w="8389" w:type="dxa"/>
            <w:noWrap w:val="0"/>
            <w:vAlign w:val="top"/>
          </w:tcPr>
          <w:p w14:paraId="1C3E928E">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（3）投标人提供的针对医院智慧药房建设、智能中药房管理制度、智能中药房调剂制度、智能调配机日常保养规范等相关配套管理制度及方案进行评议（5分）。</w:t>
            </w:r>
          </w:p>
        </w:tc>
        <w:tc>
          <w:tcPr>
            <w:tcW w:w="759" w:type="dxa"/>
            <w:noWrap w:val="0"/>
            <w:vAlign w:val="center"/>
          </w:tcPr>
          <w:p w14:paraId="36B46289">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5</w:t>
            </w:r>
          </w:p>
        </w:tc>
      </w:tr>
      <w:tr w14:paraId="680536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91" w:type="dxa"/>
            <w:vMerge w:val="continue"/>
            <w:noWrap w:val="0"/>
            <w:vAlign w:val="center"/>
          </w:tcPr>
          <w:p w14:paraId="2F523ECE">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p>
        </w:tc>
        <w:tc>
          <w:tcPr>
            <w:tcW w:w="8389" w:type="dxa"/>
            <w:noWrap w:val="0"/>
            <w:vAlign w:val="top"/>
          </w:tcPr>
          <w:p w14:paraId="1A6ECEB9">
            <w:pPr>
              <w:keepNext w:val="0"/>
              <w:keepLines w:val="0"/>
              <w:suppressLineNumbers w:val="0"/>
              <w:spacing w:before="0" w:beforeAutospacing="0" w:after="0" w:afterAutospacing="0" w:line="400" w:lineRule="exact"/>
              <w:ind w:left="0" w:right="0"/>
              <w:rPr>
                <w:rFonts w:ascii="宋体" w:hAnsi="宋体" w:eastAsia="宋体" w:cs="宋体"/>
                <w:b/>
                <w:bCs/>
                <w:color w:val="auto"/>
                <w:szCs w:val="22"/>
                <w:highlight w:val="none"/>
              </w:rPr>
            </w:pPr>
            <w:r>
              <w:rPr>
                <w:rFonts w:hint="eastAsia" w:ascii="宋体" w:hAnsi="宋体" w:eastAsia="宋体" w:cs="宋体"/>
                <w:b/>
                <w:bCs/>
                <w:color w:val="auto"/>
                <w:szCs w:val="22"/>
                <w:highlight w:val="none"/>
              </w:rPr>
              <w:t>6、配送及时性（</w:t>
            </w:r>
            <w:r>
              <w:rPr>
                <w:rFonts w:hint="eastAsia" w:ascii="宋体" w:hAnsi="宋体" w:cs="宋体"/>
                <w:b/>
                <w:bCs/>
                <w:color w:val="auto"/>
                <w:szCs w:val="22"/>
                <w:highlight w:val="none"/>
                <w:lang w:val="en-US" w:eastAsia="zh-CN"/>
              </w:rPr>
              <w:t>4</w:t>
            </w:r>
            <w:r>
              <w:rPr>
                <w:rFonts w:hint="eastAsia" w:ascii="宋体" w:hAnsi="宋体" w:eastAsia="宋体" w:cs="宋体"/>
                <w:b/>
                <w:bCs/>
                <w:color w:val="auto"/>
                <w:szCs w:val="22"/>
                <w:highlight w:val="none"/>
              </w:rPr>
              <w:t>分）：</w:t>
            </w:r>
          </w:p>
          <w:p w14:paraId="190DD63E">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2"/>
                <w:highlight w:val="none"/>
                <w:lang w:val="zh-CN" w:eastAsia="zh-CN"/>
              </w:rPr>
            </w:pPr>
            <w:r>
              <w:rPr>
                <w:rFonts w:hint="eastAsia" w:ascii="宋体" w:hAnsi="宋体" w:cs="宋体"/>
                <w:color w:val="auto"/>
                <w:szCs w:val="22"/>
                <w:highlight w:val="none"/>
                <w:lang w:val="en-US" w:eastAsia="zh-CN"/>
              </w:rPr>
              <w:t>根据</w:t>
            </w:r>
            <w:r>
              <w:rPr>
                <w:rFonts w:hint="eastAsia" w:ascii="宋体" w:hAnsi="宋体" w:eastAsia="宋体" w:cs="宋体"/>
                <w:color w:val="auto"/>
                <w:szCs w:val="22"/>
                <w:highlight w:val="none"/>
              </w:rPr>
              <w:t>投标人在24小时内将相应药品按要求数量送达医院指定部门的</w:t>
            </w:r>
            <w:r>
              <w:rPr>
                <w:rFonts w:hint="eastAsia" w:ascii="宋体" w:hAnsi="宋体" w:cs="宋体"/>
                <w:color w:val="auto"/>
                <w:szCs w:val="22"/>
                <w:highlight w:val="none"/>
                <w:lang w:val="en-US" w:eastAsia="zh-CN"/>
              </w:rPr>
              <w:t>及时性保障方案进行评议，</w:t>
            </w:r>
            <w:r>
              <w:rPr>
                <w:rFonts w:hint="eastAsia" w:ascii="宋体" w:hAnsi="宋体" w:eastAsia="宋体" w:cs="宋体"/>
                <w:color w:val="auto"/>
                <w:szCs w:val="22"/>
                <w:highlight w:val="none"/>
              </w:rPr>
              <w:t>包含但不仅限于投标人的办公场所证明、行进路线（电子地图）及用时等</w:t>
            </w:r>
            <w:r>
              <w:rPr>
                <w:rFonts w:hint="eastAsia" w:ascii="宋体" w:hAnsi="宋体" w:cs="宋体"/>
                <w:color w:val="auto"/>
                <w:szCs w:val="22"/>
                <w:highlight w:val="none"/>
                <w:lang w:eastAsia="zh-CN"/>
              </w:rPr>
              <w:t>（</w:t>
            </w:r>
            <w:r>
              <w:rPr>
                <w:rFonts w:hint="eastAsia" w:ascii="宋体" w:hAnsi="宋体" w:eastAsia="宋体" w:cs="宋体"/>
                <w:color w:val="auto"/>
                <w:szCs w:val="22"/>
                <w:highlight w:val="none"/>
              </w:rPr>
              <w:t>到</w:t>
            </w:r>
            <w:r>
              <w:rPr>
                <w:rFonts w:hint="eastAsia" w:ascii="宋体" w:hAnsi="宋体" w:cs="宋体"/>
                <w:color w:val="auto"/>
                <w:szCs w:val="22"/>
                <w:highlight w:val="none"/>
                <w:lang w:val="en-US" w:eastAsia="zh-CN"/>
              </w:rPr>
              <w:t>采购人</w:t>
            </w:r>
            <w:r>
              <w:rPr>
                <w:rFonts w:hint="eastAsia" w:ascii="宋体" w:hAnsi="宋体" w:eastAsia="宋体" w:cs="宋体"/>
                <w:color w:val="auto"/>
                <w:szCs w:val="22"/>
                <w:highlight w:val="none"/>
              </w:rPr>
              <w:t>医院为准</w:t>
            </w:r>
            <w:r>
              <w:rPr>
                <w:rFonts w:hint="eastAsia" w:ascii="宋体" w:hAnsi="宋体" w:cs="宋体"/>
                <w:color w:val="auto"/>
                <w:szCs w:val="22"/>
                <w:highlight w:val="none"/>
                <w:lang w:eastAsia="zh-CN"/>
              </w:rPr>
              <w:t>）</w:t>
            </w:r>
          </w:p>
        </w:tc>
        <w:tc>
          <w:tcPr>
            <w:tcW w:w="759" w:type="dxa"/>
            <w:noWrap w:val="0"/>
            <w:vAlign w:val="center"/>
          </w:tcPr>
          <w:p w14:paraId="496316C8">
            <w:pPr>
              <w:keepNext w:val="0"/>
              <w:keepLines w:val="0"/>
              <w:suppressLineNumbers w:val="0"/>
              <w:spacing w:before="0" w:beforeAutospacing="0" w:after="0" w:afterAutospacing="0" w:line="400" w:lineRule="exact"/>
              <w:ind w:left="0" w:right="0"/>
              <w:jc w:val="center"/>
              <w:rPr>
                <w:rFonts w:hint="eastAsia" w:ascii="宋体" w:hAnsi="宋体" w:eastAsia="宋体" w:cs="宋体"/>
                <w:bCs/>
                <w:color w:val="auto"/>
                <w:szCs w:val="22"/>
                <w:highlight w:val="none"/>
                <w:lang w:val="en-US" w:eastAsia="zh-CN"/>
              </w:rPr>
            </w:pPr>
            <w:r>
              <w:rPr>
                <w:rFonts w:hint="eastAsia" w:ascii="宋体" w:hAnsi="宋体" w:cs="宋体"/>
                <w:bCs/>
                <w:color w:val="auto"/>
                <w:szCs w:val="22"/>
                <w:highlight w:val="none"/>
                <w:lang w:val="en-US" w:eastAsia="zh-CN"/>
              </w:rPr>
              <w:t>4</w:t>
            </w:r>
          </w:p>
        </w:tc>
      </w:tr>
      <w:tr w14:paraId="329002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91" w:type="dxa"/>
            <w:noWrap w:val="0"/>
            <w:vAlign w:val="center"/>
          </w:tcPr>
          <w:p w14:paraId="72687E37">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价格分</w:t>
            </w:r>
          </w:p>
          <w:p w14:paraId="32EDA76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25分</w:t>
            </w:r>
          </w:p>
        </w:tc>
        <w:tc>
          <w:tcPr>
            <w:tcW w:w="8389" w:type="dxa"/>
            <w:noWrap w:val="0"/>
            <w:vAlign w:val="center"/>
          </w:tcPr>
          <w:p w14:paraId="39E89F8F">
            <w:pPr>
              <w:keepNext w:val="0"/>
              <w:keepLines w:val="0"/>
              <w:widowControl w:val="0"/>
              <w:numPr>
                <w:ilvl w:val="0"/>
                <w:numId w:val="0"/>
              </w:numPr>
              <w:suppressLineNumbers w:val="0"/>
              <w:spacing w:before="0" w:beforeAutospacing="0" w:after="0" w:afterAutospacing="0" w:line="400" w:lineRule="exact"/>
              <w:ind w:left="0" w:leftChars="0" w:right="0" w:rightChars="0"/>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（1）基准价=有效报价平均值；</w:t>
            </w:r>
          </w:p>
          <w:p w14:paraId="468951C1">
            <w:pPr>
              <w:keepNext w:val="0"/>
              <w:keepLines w:val="0"/>
              <w:widowControl w:val="0"/>
              <w:numPr>
                <w:ilvl w:val="0"/>
                <w:numId w:val="0"/>
              </w:numPr>
              <w:suppressLineNumbers w:val="0"/>
              <w:spacing w:before="0" w:beforeAutospacing="0" w:after="0" w:afterAutospacing="0" w:line="400" w:lineRule="exact"/>
              <w:ind w:left="0" w:leftChars="0" w:right="0" w:rightChars="0"/>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（2）有效报价平均值为：所有投标</w:t>
            </w:r>
            <w:r>
              <w:rPr>
                <w:rFonts w:hint="eastAsia" w:ascii="宋体" w:hAnsi="宋体" w:cs="宋体"/>
                <w:color w:val="auto"/>
                <w:kern w:val="2"/>
                <w:sz w:val="21"/>
                <w:szCs w:val="22"/>
                <w:highlight w:val="none"/>
                <w:lang w:val="en-US" w:eastAsia="zh-CN" w:bidi="ar-SA"/>
              </w:rPr>
              <w:t>折扣系数</w:t>
            </w:r>
            <w:r>
              <w:rPr>
                <w:rFonts w:hint="eastAsia" w:ascii="宋体" w:hAnsi="宋体" w:eastAsia="宋体" w:cs="宋体"/>
                <w:color w:val="auto"/>
                <w:kern w:val="2"/>
                <w:sz w:val="21"/>
                <w:szCs w:val="22"/>
                <w:highlight w:val="none"/>
                <w:lang w:val="en-US" w:eastAsia="zh-CN" w:bidi="ar-SA"/>
              </w:rPr>
              <w:t>有效报价的算术平均价；</w:t>
            </w:r>
          </w:p>
          <w:p w14:paraId="410D2FFB">
            <w:pPr>
              <w:keepNext w:val="0"/>
              <w:keepLines w:val="0"/>
              <w:widowControl w:val="0"/>
              <w:numPr>
                <w:ilvl w:val="0"/>
                <w:numId w:val="0"/>
              </w:numPr>
              <w:suppressLineNumbers w:val="0"/>
              <w:spacing w:before="0" w:beforeAutospacing="0" w:after="0" w:afterAutospacing="0" w:line="400" w:lineRule="exact"/>
              <w:ind w:left="0" w:leftChars="0" w:right="0" w:rightChars="0"/>
              <w:jc w:val="both"/>
              <w:rPr>
                <w:rFonts w:hint="default" w:ascii="宋体" w:hAnsi="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（3）投标报价分计算：投标报价等于基准价的，得满分</w:t>
            </w:r>
            <w:r>
              <w:rPr>
                <w:rFonts w:hint="eastAsia" w:ascii="宋体" w:hAnsi="宋体" w:cs="宋体"/>
                <w:color w:val="auto"/>
                <w:kern w:val="2"/>
                <w:sz w:val="21"/>
                <w:szCs w:val="22"/>
                <w:highlight w:val="none"/>
                <w:lang w:val="en-US" w:eastAsia="zh-CN" w:bidi="ar-SA"/>
              </w:rPr>
              <w:t>2</w:t>
            </w:r>
            <w:r>
              <w:rPr>
                <w:rFonts w:hint="eastAsia" w:ascii="宋体" w:hAnsi="宋体" w:eastAsia="宋体" w:cs="宋体"/>
                <w:color w:val="auto"/>
                <w:kern w:val="2"/>
                <w:sz w:val="21"/>
                <w:szCs w:val="22"/>
                <w:highlight w:val="none"/>
                <w:lang w:val="en-US" w:eastAsia="zh-CN" w:bidi="ar-SA"/>
              </w:rPr>
              <w:t>5分；投标报价超过基准价以上每增加1%扣0.2分（对不足1%部分以内插法计算），低于基准价以下每减少1%扣0.1分（对不足1%部分以内插法计算），以此类推。</w:t>
            </w:r>
          </w:p>
        </w:tc>
        <w:tc>
          <w:tcPr>
            <w:tcW w:w="759" w:type="dxa"/>
            <w:noWrap w:val="0"/>
            <w:vAlign w:val="center"/>
          </w:tcPr>
          <w:p w14:paraId="59B33F1A">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25</w:t>
            </w:r>
          </w:p>
        </w:tc>
      </w:tr>
      <w:tr w14:paraId="367841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9180" w:type="dxa"/>
            <w:gridSpan w:val="2"/>
            <w:noWrap w:val="0"/>
            <w:vAlign w:val="center"/>
          </w:tcPr>
          <w:p w14:paraId="23514A53">
            <w:pPr>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合计</w:t>
            </w:r>
          </w:p>
        </w:tc>
        <w:tc>
          <w:tcPr>
            <w:tcW w:w="759" w:type="dxa"/>
            <w:noWrap w:val="0"/>
            <w:vAlign w:val="center"/>
          </w:tcPr>
          <w:p w14:paraId="79222942">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r>
    </w:tbl>
    <w:p w14:paraId="1EB10247">
      <w:pPr>
        <w:rPr>
          <w:rFonts w:hint="default" w:ascii="宋体" w:hAnsi="宋体" w:eastAsia="宋体"/>
          <w:color w:val="auto"/>
          <w:szCs w:val="21"/>
          <w:highlight w:val="none"/>
          <w:lang w:val="en-US" w:eastAsia="zh-CN"/>
        </w:rPr>
      </w:pPr>
      <w:r>
        <w:rPr>
          <w:rFonts w:hint="eastAsia" w:ascii="宋体" w:hAnsi="宋体"/>
          <w:color w:val="auto"/>
          <w:szCs w:val="21"/>
          <w:highlight w:val="none"/>
        </w:rPr>
        <w:t>注：1、小数点后保留</w:t>
      </w:r>
      <w:r>
        <w:rPr>
          <w:rFonts w:hint="eastAsia" w:ascii="宋体" w:hAnsi="宋体"/>
          <w:color w:val="auto"/>
          <w:szCs w:val="21"/>
          <w:highlight w:val="none"/>
          <w:lang w:val="en-US" w:eastAsia="zh-CN"/>
        </w:rPr>
        <w:t>两</w:t>
      </w:r>
      <w:r>
        <w:rPr>
          <w:rFonts w:hint="eastAsia" w:ascii="宋体" w:hAnsi="宋体"/>
          <w:color w:val="auto"/>
          <w:szCs w:val="21"/>
          <w:highlight w:val="none"/>
        </w:rPr>
        <w:t>位数。2、各</w:t>
      </w:r>
      <w:r>
        <w:rPr>
          <w:rFonts w:hint="eastAsia" w:ascii="宋体" w:hAnsi="宋体" w:cs="宋体"/>
          <w:color w:val="auto"/>
          <w:szCs w:val="21"/>
          <w:highlight w:val="none"/>
        </w:rPr>
        <w:t>评标委员会</w:t>
      </w:r>
      <w:r>
        <w:rPr>
          <w:rFonts w:hint="eastAsia" w:ascii="宋体" w:hAnsi="宋体"/>
          <w:color w:val="auto"/>
          <w:szCs w:val="21"/>
          <w:highlight w:val="none"/>
        </w:rPr>
        <w:t>成员自行按以上参考分值评分。3、重大事件由</w:t>
      </w:r>
      <w:r>
        <w:rPr>
          <w:rFonts w:hint="eastAsia" w:ascii="宋体" w:hAnsi="宋体" w:cs="宋体"/>
          <w:color w:val="auto"/>
          <w:szCs w:val="21"/>
          <w:highlight w:val="none"/>
        </w:rPr>
        <w:t>评标委员</w:t>
      </w:r>
      <w:r>
        <w:rPr>
          <w:rFonts w:hint="eastAsia" w:ascii="宋体" w:hAnsi="宋体"/>
          <w:color w:val="auto"/>
          <w:szCs w:val="21"/>
          <w:highlight w:val="none"/>
        </w:rPr>
        <w:t>会集体讨论，</w:t>
      </w:r>
      <w:r>
        <w:rPr>
          <w:rFonts w:hint="eastAsia" w:ascii="宋体" w:hAnsi="宋体"/>
          <w:color w:val="auto"/>
          <w:szCs w:val="21"/>
          <w:highlight w:val="none"/>
          <w:lang w:val="en-US" w:eastAsia="zh-CN"/>
        </w:rPr>
        <w:t>按少数服从多数执行</w:t>
      </w:r>
      <w:r>
        <w:rPr>
          <w:rFonts w:hint="eastAsia" w:ascii="宋体" w:hAnsi="宋体"/>
          <w:color w:val="auto"/>
          <w:szCs w:val="21"/>
          <w:highlight w:val="none"/>
        </w:rPr>
        <w:t>。</w:t>
      </w:r>
      <w:r>
        <w:rPr>
          <w:rFonts w:hint="eastAsia" w:ascii="宋体" w:hAnsi="宋体"/>
          <w:b/>
          <w:bCs/>
          <w:color w:val="auto"/>
          <w:szCs w:val="21"/>
          <w:highlight w:val="none"/>
          <w:lang w:val="en-US" w:eastAsia="zh-CN"/>
        </w:rPr>
        <w:t>4、如中标人在合同履行过程中未按照投标承诺进行相关服务，则招标人有权取消其中标资格，中标人承担一切由此造成的责任。</w:t>
      </w:r>
    </w:p>
    <w:p w14:paraId="4063F97D">
      <w:pPr>
        <w:rPr>
          <w:rFonts w:hint="eastAsia" w:hAnsi="宋体"/>
          <w:color w:val="auto"/>
          <w:sz w:val="28"/>
          <w:szCs w:val="28"/>
          <w:highlight w:val="none"/>
        </w:rPr>
      </w:pPr>
      <w:r>
        <w:rPr>
          <w:rFonts w:hint="eastAsia" w:ascii="宋体" w:hAnsi="宋体"/>
          <w:color w:val="auto"/>
          <w:szCs w:val="21"/>
          <w:highlight w:val="none"/>
        </w:rPr>
        <w:t>评委签名：                                                日期：</w:t>
      </w:r>
    </w:p>
    <w:p w14:paraId="657BB6E2">
      <w:pPr>
        <w:spacing w:line="360" w:lineRule="auto"/>
        <w:jc w:val="center"/>
        <w:outlineLvl w:val="0"/>
        <w:rPr>
          <w:rFonts w:ascii="宋体" w:hAnsi="宋体"/>
          <w:b/>
          <w:color w:val="auto"/>
          <w:sz w:val="30"/>
          <w:szCs w:val="30"/>
          <w:highlight w:val="none"/>
        </w:rPr>
      </w:pPr>
      <w:r>
        <w:rPr>
          <w:rFonts w:hint="eastAsia" w:ascii="宋体" w:hAnsi="宋体"/>
          <w:color w:val="auto"/>
          <w:sz w:val="28"/>
          <w:szCs w:val="28"/>
          <w:highlight w:val="none"/>
        </w:rPr>
        <w:br w:type="page"/>
      </w:r>
      <w:bookmarkStart w:id="6" w:name="_Toc983"/>
      <w:r>
        <w:rPr>
          <w:rFonts w:hint="eastAsia" w:ascii="宋体" w:hAnsi="宋体"/>
          <w:b/>
          <w:bCs/>
          <w:color w:val="auto"/>
          <w:sz w:val="28"/>
          <w:szCs w:val="28"/>
          <w:highlight w:val="none"/>
        </w:rPr>
        <w:t>第五章 合同主要条款</w:t>
      </w:r>
      <w:bookmarkEnd w:id="6"/>
    </w:p>
    <w:p w14:paraId="2E31B0F9">
      <w:pPr>
        <w:pStyle w:val="18"/>
        <w:snapToGrid w:val="0"/>
        <w:spacing w:before="120" w:after="120" w:line="420" w:lineRule="exact"/>
        <w:jc w:val="center"/>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（供参考）</w:t>
      </w:r>
    </w:p>
    <w:p w14:paraId="1ED681BD">
      <w:pPr>
        <w:pStyle w:val="18"/>
        <w:snapToGrid w:val="0"/>
        <w:spacing w:before="120" w:after="120" w:line="420" w:lineRule="exact"/>
        <w:rPr>
          <w:rFonts w:hint="eastAsia" w:hAnsi="宋体" w:cs="宋体"/>
          <w:color w:val="auto"/>
          <w:sz w:val="21"/>
          <w:szCs w:val="21"/>
          <w:highlight w:val="none"/>
        </w:rPr>
      </w:pPr>
      <w:r>
        <w:rPr>
          <w:rFonts w:hint="eastAsia" w:hAnsi="宋体" w:cs="宋体"/>
          <w:color w:val="auto"/>
          <w:sz w:val="21"/>
          <w:szCs w:val="21"/>
          <w:highlight w:val="none"/>
        </w:rPr>
        <w:t>项目名称：                                     项目编号：</w:t>
      </w:r>
    </w:p>
    <w:p w14:paraId="22CF48C6">
      <w:pPr>
        <w:pStyle w:val="18"/>
        <w:snapToGrid w:val="0"/>
        <w:spacing w:before="120" w:after="120" w:line="420" w:lineRule="exact"/>
        <w:rPr>
          <w:rFonts w:hint="eastAsia" w:hAnsi="宋体" w:cs="宋体"/>
          <w:color w:val="auto"/>
          <w:sz w:val="21"/>
          <w:szCs w:val="21"/>
          <w:highlight w:val="none"/>
        </w:rPr>
      </w:pPr>
      <w:r>
        <w:rPr>
          <w:rFonts w:hint="eastAsia" w:hAnsi="宋体" w:cs="宋体"/>
          <w:color w:val="auto"/>
          <w:sz w:val="21"/>
          <w:szCs w:val="21"/>
          <w:highlight w:val="none"/>
        </w:rPr>
        <w:t>甲方：（买方）</w:t>
      </w:r>
    </w:p>
    <w:p w14:paraId="7570D915">
      <w:pPr>
        <w:pStyle w:val="18"/>
        <w:snapToGrid w:val="0"/>
        <w:spacing w:before="120" w:after="120" w:line="420" w:lineRule="exact"/>
        <w:rPr>
          <w:rFonts w:hint="eastAsia" w:hAnsi="宋体" w:cs="宋体"/>
          <w:color w:val="auto"/>
          <w:sz w:val="21"/>
          <w:szCs w:val="21"/>
          <w:highlight w:val="none"/>
        </w:rPr>
      </w:pPr>
      <w:r>
        <w:rPr>
          <w:rFonts w:hint="eastAsia" w:hAnsi="宋体" w:cs="宋体"/>
          <w:color w:val="auto"/>
          <w:sz w:val="21"/>
          <w:szCs w:val="21"/>
          <w:highlight w:val="none"/>
        </w:rPr>
        <w:t>乙方：（卖方）</w:t>
      </w:r>
    </w:p>
    <w:p w14:paraId="00C4DFAB">
      <w:pPr>
        <w:pStyle w:val="18"/>
        <w:snapToGrid w:val="0"/>
        <w:spacing w:before="120" w:after="120" w:line="420" w:lineRule="exact"/>
        <w:rPr>
          <w:rFonts w:hint="eastAsia" w:hAnsi="宋体" w:cs="宋体"/>
          <w:color w:val="auto"/>
          <w:sz w:val="21"/>
          <w:szCs w:val="21"/>
          <w:highlight w:val="none"/>
        </w:rPr>
      </w:pPr>
      <w:r>
        <w:rPr>
          <w:rFonts w:hint="eastAsia" w:hAnsi="宋体" w:cs="宋体"/>
          <w:color w:val="auto"/>
          <w:sz w:val="21"/>
          <w:szCs w:val="21"/>
          <w:highlight w:val="none"/>
        </w:rPr>
        <w:t xml:space="preserve">    甲、乙双方根据</w:t>
      </w:r>
      <w:r>
        <w:rPr>
          <w:rFonts w:hint="eastAsia" w:hAnsi="宋体" w:cs="宋体"/>
          <w:color w:val="auto"/>
          <w:sz w:val="21"/>
          <w:szCs w:val="21"/>
          <w:highlight w:val="none"/>
          <w:u w:val="single"/>
        </w:rPr>
        <w:t xml:space="preserve">                    </w:t>
      </w:r>
      <w:r>
        <w:rPr>
          <w:rFonts w:hint="eastAsia" w:hAnsi="宋体" w:cs="宋体"/>
          <w:color w:val="auto"/>
          <w:sz w:val="21"/>
          <w:szCs w:val="21"/>
          <w:highlight w:val="none"/>
          <w:lang w:eastAsia="zh-CN"/>
        </w:rPr>
        <w:t>公开招标</w:t>
      </w:r>
      <w:r>
        <w:rPr>
          <w:rFonts w:hint="eastAsia" w:hAnsi="宋体" w:cs="宋体"/>
          <w:color w:val="auto"/>
          <w:sz w:val="21"/>
          <w:szCs w:val="21"/>
          <w:highlight w:val="none"/>
        </w:rPr>
        <w:t>的结果，签署本合同。</w:t>
      </w:r>
    </w:p>
    <w:p w14:paraId="581CD7AF">
      <w:pPr>
        <w:pStyle w:val="18"/>
        <w:snapToGrid w:val="0"/>
        <w:spacing w:before="120" w:after="120" w:line="420" w:lineRule="exact"/>
        <w:rPr>
          <w:rFonts w:hint="eastAsia" w:hAnsi="宋体" w:cs="宋体"/>
          <w:b/>
          <w:color w:val="auto"/>
          <w:sz w:val="21"/>
          <w:szCs w:val="21"/>
          <w:highlight w:val="none"/>
          <w:lang w:eastAsia="zh-CN"/>
        </w:rPr>
      </w:pPr>
      <w:r>
        <w:rPr>
          <w:rFonts w:hint="eastAsia" w:hAnsi="宋体" w:cs="宋体"/>
          <w:b/>
          <w:color w:val="auto"/>
          <w:sz w:val="21"/>
          <w:szCs w:val="21"/>
          <w:highlight w:val="none"/>
        </w:rPr>
        <w:t>一、项目名称、</w:t>
      </w:r>
      <w:r>
        <w:rPr>
          <w:rFonts w:hint="eastAsia" w:hAnsi="宋体" w:cs="宋体"/>
          <w:b/>
          <w:color w:val="auto"/>
          <w:sz w:val="21"/>
          <w:szCs w:val="21"/>
          <w:highlight w:val="none"/>
          <w:lang w:val="en-US" w:eastAsia="zh-CN"/>
        </w:rPr>
        <w:t>服务期限</w:t>
      </w:r>
      <w:r>
        <w:rPr>
          <w:rFonts w:hint="eastAsia" w:hAnsi="宋体" w:cs="宋体"/>
          <w:b/>
          <w:color w:val="auto"/>
          <w:sz w:val="21"/>
          <w:szCs w:val="21"/>
          <w:highlight w:val="none"/>
        </w:rPr>
        <w:t>及服务</w:t>
      </w:r>
      <w:r>
        <w:rPr>
          <w:rFonts w:hint="eastAsia" w:hAnsi="宋体" w:cs="宋体"/>
          <w:b/>
          <w:color w:val="auto"/>
          <w:sz w:val="21"/>
          <w:szCs w:val="21"/>
          <w:highlight w:val="none"/>
          <w:lang w:val="en-US" w:eastAsia="zh-CN"/>
        </w:rPr>
        <w:t>内容</w:t>
      </w:r>
    </w:p>
    <w:p w14:paraId="64F291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1.项目名称：</w:t>
      </w:r>
    </w:p>
    <w:p w14:paraId="475BDD0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2.服务期限：</w:t>
      </w:r>
      <w:r>
        <w:rPr>
          <w:rFonts w:hint="eastAsia" w:ascii="宋体" w:hAnsi="宋体" w:cs="宋体"/>
          <w:color w:val="auto"/>
          <w:szCs w:val="21"/>
          <w:highlight w:val="none"/>
          <w:u w:val="single"/>
        </w:rPr>
        <w:t xml:space="preserve">    年   月    日起至   年     月     日止</w:t>
      </w:r>
      <w:r>
        <w:rPr>
          <w:rFonts w:hint="eastAsia" w:ascii="宋体" w:hAnsi="宋体" w:cs="宋体"/>
          <w:color w:val="auto"/>
          <w:szCs w:val="21"/>
          <w:highlight w:val="none"/>
        </w:rPr>
        <w:t>。</w:t>
      </w:r>
    </w:p>
    <w:p w14:paraId="63F841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3.服务内容：</w:t>
      </w:r>
    </w:p>
    <w:p w14:paraId="02591FD5">
      <w:pPr>
        <w:pStyle w:val="18"/>
        <w:snapToGrid w:val="0"/>
        <w:spacing w:before="120" w:after="120" w:line="420" w:lineRule="exact"/>
        <w:rPr>
          <w:rFonts w:hint="eastAsia" w:hAnsi="宋体" w:cs="宋体"/>
          <w:b/>
          <w:color w:val="auto"/>
          <w:sz w:val="21"/>
          <w:szCs w:val="21"/>
          <w:highlight w:val="none"/>
        </w:rPr>
      </w:pPr>
      <w:r>
        <w:rPr>
          <w:rFonts w:hint="eastAsia" w:hAnsi="宋体" w:cs="宋体"/>
          <w:b/>
          <w:color w:val="auto"/>
          <w:sz w:val="21"/>
          <w:szCs w:val="21"/>
          <w:highlight w:val="none"/>
        </w:rPr>
        <w:t>二、合同金额</w:t>
      </w:r>
    </w:p>
    <w:p w14:paraId="7E561159">
      <w:pPr>
        <w:pStyle w:val="18"/>
        <w:snapToGrid w:val="0"/>
        <w:spacing w:before="120" w:after="120" w:line="420" w:lineRule="exact"/>
        <w:ind w:left="359" w:hanging="359" w:hangingChars="171"/>
        <w:rPr>
          <w:rFonts w:hint="eastAsia" w:hAnsi="宋体" w:cs="宋体"/>
          <w:color w:val="auto"/>
          <w:sz w:val="21"/>
          <w:szCs w:val="21"/>
          <w:highlight w:val="none"/>
        </w:rPr>
      </w:pPr>
      <w:r>
        <w:rPr>
          <w:rFonts w:hint="eastAsia" w:hAnsi="宋体" w:cs="宋体"/>
          <w:color w:val="auto"/>
          <w:sz w:val="21"/>
          <w:szCs w:val="21"/>
          <w:highlight w:val="none"/>
        </w:rPr>
        <w:t xml:space="preserve">2.1 </w:t>
      </w:r>
      <w:r>
        <w:rPr>
          <w:rFonts w:hint="eastAsia" w:hAnsi="宋体" w:cs="宋体"/>
          <w:color w:val="auto"/>
          <w:sz w:val="21"/>
          <w:szCs w:val="18"/>
          <w:highlight w:val="none"/>
        </w:rPr>
        <w:t>本合同</w:t>
      </w:r>
      <w:r>
        <w:rPr>
          <w:rFonts w:hint="eastAsia" w:hAnsi="宋体" w:cs="宋体"/>
          <w:color w:val="auto"/>
          <w:sz w:val="21"/>
          <w:szCs w:val="18"/>
          <w:highlight w:val="none"/>
          <w:lang w:val="en-US" w:eastAsia="zh-CN"/>
        </w:rPr>
        <w:t>据实结算</w:t>
      </w:r>
      <w:r>
        <w:rPr>
          <w:rFonts w:hint="eastAsia" w:hAnsi="宋体" w:cs="宋体"/>
          <w:color w:val="auto"/>
          <w:sz w:val="21"/>
          <w:szCs w:val="18"/>
          <w:highlight w:val="none"/>
        </w:rPr>
        <w:t>。</w:t>
      </w:r>
    </w:p>
    <w:p w14:paraId="53C840AD">
      <w:pPr>
        <w:pStyle w:val="18"/>
        <w:snapToGrid w:val="0"/>
        <w:spacing w:before="120" w:after="120" w:line="420" w:lineRule="exact"/>
        <w:rPr>
          <w:rFonts w:hint="eastAsia" w:hAnsi="宋体" w:cs="宋体"/>
          <w:b/>
          <w:color w:val="auto"/>
          <w:sz w:val="21"/>
          <w:szCs w:val="21"/>
          <w:highlight w:val="none"/>
          <w:lang w:eastAsia="zh-CN"/>
        </w:rPr>
      </w:pPr>
      <w:r>
        <w:rPr>
          <w:rFonts w:hint="eastAsia" w:hAnsi="宋体" w:cs="宋体"/>
          <w:b/>
          <w:color w:val="auto"/>
          <w:sz w:val="21"/>
          <w:szCs w:val="21"/>
          <w:highlight w:val="none"/>
        </w:rPr>
        <w:t>三、</w:t>
      </w:r>
      <w:r>
        <w:rPr>
          <w:rFonts w:hint="eastAsia" w:hAnsi="宋体" w:cs="宋体"/>
          <w:b/>
          <w:color w:val="auto"/>
          <w:sz w:val="21"/>
          <w:szCs w:val="21"/>
          <w:highlight w:val="none"/>
          <w:u w:val="none"/>
          <w:lang w:val="en-US" w:eastAsia="zh-CN"/>
        </w:rPr>
        <w:t>交付</w:t>
      </w:r>
    </w:p>
    <w:p w14:paraId="54C16625">
      <w:pPr>
        <w:pStyle w:val="18"/>
        <w:snapToGrid w:val="0"/>
        <w:spacing w:before="120" w:after="120" w:line="420" w:lineRule="exact"/>
        <w:ind w:left="359" w:hanging="359" w:hangingChars="171"/>
        <w:rPr>
          <w:rFonts w:hint="eastAsia" w:hAnsi="宋体" w:cs="宋体"/>
          <w:color w:val="auto"/>
          <w:sz w:val="21"/>
          <w:szCs w:val="21"/>
          <w:highlight w:val="none"/>
        </w:rPr>
      </w:pPr>
      <w:r>
        <w:rPr>
          <w:rFonts w:hint="eastAsia" w:hAnsi="宋体" w:cs="宋体"/>
          <w:color w:val="auto"/>
          <w:sz w:val="21"/>
          <w:szCs w:val="21"/>
          <w:highlight w:val="none"/>
        </w:rPr>
        <w:t>3.1甲乙双方在本合同签订后一周后，</w:t>
      </w:r>
      <w:r>
        <w:rPr>
          <w:rFonts w:hint="eastAsia" w:hAnsi="宋体" w:cs="宋体"/>
          <w:color w:val="auto"/>
          <w:sz w:val="21"/>
          <w:szCs w:val="21"/>
          <w:highlight w:val="none"/>
          <w:lang w:val="en-US" w:eastAsia="zh-CN"/>
        </w:rPr>
        <w:t>乙方将拟配送人员名单、配送车辆信息、仓储场所信息等报送甲方审核</w:t>
      </w:r>
      <w:r>
        <w:rPr>
          <w:rFonts w:hint="eastAsia" w:hAnsi="宋体" w:cs="宋体"/>
          <w:color w:val="auto"/>
          <w:sz w:val="21"/>
          <w:szCs w:val="21"/>
          <w:highlight w:val="none"/>
        </w:rPr>
        <w:t>。</w:t>
      </w:r>
    </w:p>
    <w:p w14:paraId="5F35235B">
      <w:pPr>
        <w:pStyle w:val="18"/>
        <w:snapToGrid w:val="0"/>
        <w:spacing w:before="120" w:after="120" w:line="420" w:lineRule="exact"/>
        <w:ind w:left="359" w:hanging="359" w:hangingChars="171"/>
        <w:rPr>
          <w:rFonts w:hint="eastAsia" w:hAnsi="宋体" w:cs="宋体"/>
          <w:color w:val="auto"/>
          <w:sz w:val="21"/>
          <w:szCs w:val="21"/>
          <w:highlight w:val="none"/>
        </w:rPr>
      </w:pPr>
      <w:r>
        <w:rPr>
          <w:rFonts w:hint="eastAsia" w:hAnsi="宋体" w:cs="宋体"/>
          <w:color w:val="auto"/>
          <w:sz w:val="21"/>
          <w:szCs w:val="21"/>
          <w:highlight w:val="none"/>
        </w:rPr>
        <w:t>3.2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7EB75FF4">
      <w:pPr>
        <w:pStyle w:val="18"/>
        <w:snapToGrid w:val="0"/>
        <w:spacing w:before="120" w:after="120" w:line="420" w:lineRule="exact"/>
        <w:ind w:left="358" w:hanging="358" w:hangingChars="170"/>
        <w:rPr>
          <w:rFonts w:hint="eastAsia" w:hAnsi="宋体" w:eastAsia="宋体" w:cs="宋体"/>
          <w:b/>
          <w:color w:val="auto"/>
          <w:sz w:val="21"/>
          <w:szCs w:val="21"/>
          <w:highlight w:val="none"/>
          <w:lang w:eastAsia="zh-CN"/>
        </w:rPr>
      </w:pPr>
      <w:r>
        <w:rPr>
          <w:rFonts w:hint="eastAsia" w:hAnsi="宋体" w:cs="宋体"/>
          <w:b/>
          <w:color w:val="auto"/>
          <w:sz w:val="21"/>
          <w:szCs w:val="21"/>
          <w:highlight w:val="none"/>
          <w:lang w:val="en-US" w:eastAsia="zh-CN"/>
        </w:rPr>
        <w:t>四</w:t>
      </w:r>
      <w:r>
        <w:rPr>
          <w:rFonts w:hint="eastAsia" w:hAnsi="宋体" w:cs="宋体"/>
          <w:b/>
          <w:color w:val="auto"/>
          <w:sz w:val="21"/>
          <w:szCs w:val="21"/>
          <w:highlight w:val="none"/>
        </w:rPr>
        <w:t>、履约保证金</w:t>
      </w:r>
      <w:r>
        <w:rPr>
          <w:rFonts w:hint="eastAsia" w:hAnsi="宋体" w:cs="宋体"/>
          <w:b/>
          <w:color w:val="auto"/>
          <w:sz w:val="21"/>
          <w:szCs w:val="21"/>
          <w:highlight w:val="none"/>
          <w:lang w:eastAsia="zh-CN"/>
        </w:rPr>
        <w:t>（</w:t>
      </w:r>
      <w:r>
        <w:rPr>
          <w:rFonts w:hint="eastAsia" w:hAnsi="宋体" w:cs="宋体"/>
          <w:b/>
          <w:color w:val="auto"/>
          <w:sz w:val="21"/>
          <w:szCs w:val="21"/>
          <w:highlight w:val="none"/>
          <w:lang w:val="en-US" w:eastAsia="zh-CN"/>
        </w:rPr>
        <w:t>不适用</w:t>
      </w:r>
      <w:r>
        <w:rPr>
          <w:rFonts w:hint="eastAsia" w:hAnsi="宋体" w:cs="宋体"/>
          <w:b/>
          <w:color w:val="auto"/>
          <w:sz w:val="21"/>
          <w:szCs w:val="21"/>
          <w:highlight w:val="none"/>
          <w:lang w:eastAsia="zh-CN"/>
        </w:rPr>
        <w:t>）</w:t>
      </w:r>
    </w:p>
    <w:p w14:paraId="7B47AA25">
      <w:pPr>
        <w:snapToGrid w:val="0"/>
        <w:spacing w:before="120" w:beforeLines="50" w:after="120" w:afterLines="50" w:line="420" w:lineRule="exact"/>
        <w:rPr>
          <w:rFonts w:hint="eastAsia" w:ascii="宋体" w:hAnsi="宋体" w:cs="宋体"/>
          <w:b/>
          <w:color w:val="auto"/>
          <w:szCs w:val="21"/>
          <w:highlight w:val="none"/>
        </w:rPr>
      </w:pPr>
      <w:r>
        <w:rPr>
          <w:rFonts w:hint="eastAsia" w:ascii="宋体" w:hAnsi="宋体" w:cs="宋体"/>
          <w:b/>
          <w:color w:val="auto"/>
          <w:szCs w:val="21"/>
          <w:highlight w:val="none"/>
          <w:lang w:eastAsia="zh-CN"/>
        </w:rPr>
        <w:t>五、</w:t>
      </w:r>
      <w:r>
        <w:rPr>
          <w:rFonts w:hint="eastAsia" w:ascii="宋体" w:hAnsi="宋体" w:cs="宋体"/>
          <w:b/>
          <w:color w:val="auto"/>
          <w:szCs w:val="21"/>
          <w:highlight w:val="none"/>
        </w:rPr>
        <w:t>转包或分包</w:t>
      </w:r>
    </w:p>
    <w:p w14:paraId="504B0608">
      <w:pPr>
        <w:snapToGrid w:val="0"/>
        <w:spacing w:before="120" w:beforeLines="50" w:after="120" w:afterLines="50" w:line="420" w:lineRule="exact"/>
        <w:rPr>
          <w:rFonts w:hint="eastAsia" w:ascii="宋体" w:hAnsi="宋体" w:cs="宋体"/>
          <w:color w:val="auto"/>
          <w:szCs w:val="21"/>
          <w:highlight w:val="none"/>
        </w:rPr>
      </w:pPr>
      <w:r>
        <w:rPr>
          <w:rFonts w:hint="eastAsia" w:ascii="宋体" w:hAnsi="宋体" w:cs="宋体"/>
          <w:color w:val="auto"/>
          <w:szCs w:val="21"/>
          <w:highlight w:val="none"/>
        </w:rPr>
        <w:t>5.1本合同范围的服务，应由乙方直接供应，不得转让他人供应；</w:t>
      </w:r>
    </w:p>
    <w:p w14:paraId="791D0E6D">
      <w:pPr>
        <w:snapToGrid w:val="0"/>
        <w:spacing w:before="120" w:beforeLines="50" w:after="120" w:afterLines="50" w:line="420" w:lineRule="exact"/>
        <w:rPr>
          <w:rFonts w:hint="eastAsia" w:ascii="宋体" w:hAnsi="宋体" w:cs="宋体"/>
          <w:color w:val="auto"/>
          <w:szCs w:val="21"/>
          <w:highlight w:val="none"/>
        </w:rPr>
      </w:pPr>
      <w:r>
        <w:rPr>
          <w:rFonts w:hint="eastAsia" w:ascii="宋体" w:hAnsi="宋体" w:cs="宋体"/>
          <w:color w:val="auto"/>
          <w:szCs w:val="21"/>
          <w:highlight w:val="none"/>
        </w:rPr>
        <w:t>5.2 除非得到甲方的书面同意，乙方不得部分分包给他人供应。甲方有绝对权力阻止分包。</w:t>
      </w:r>
    </w:p>
    <w:p w14:paraId="47FDCF90">
      <w:pPr>
        <w:snapToGrid w:val="0"/>
        <w:spacing w:before="120" w:beforeLines="50" w:after="120" w:afterLines="50" w:line="420" w:lineRule="exact"/>
        <w:rPr>
          <w:rFonts w:hint="eastAsia" w:ascii="宋体" w:hAnsi="宋体" w:cs="宋体"/>
          <w:color w:val="auto"/>
          <w:szCs w:val="21"/>
          <w:highlight w:val="none"/>
        </w:rPr>
      </w:pPr>
      <w:r>
        <w:rPr>
          <w:rFonts w:hint="eastAsia" w:ascii="宋体" w:hAnsi="宋体" w:cs="宋体"/>
          <w:color w:val="auto"/>
          <w:szCs w:val="21"/>
          <w:highlight w:val="none"/>
        </w:rPr>
        <w:t>5.3如有转让和未经甲方同意的分包行为，甲方有权给予终止合同。</w:t>
      </w:r>
    </w:p>
    <w:p w14:paraId="3DDAD799">
      <w:pPr>
        <w:pStyle w:val="18"/>
        <w:snapToGrid w:val="0"/>
        <w:spacing w:before="120" w:after="120" w:line="420" w:lineRule="exact"/>
        <w:ind w:left="358" w:hanging="358" w:hangingChars="170"/>
        <w:rPr>
          <w:rFonts w:hint="eastAsia" w:hAnsi="宋体" w:cs="宋体"/>
          <w:b/>
          <w:color w:val="auto"/>
          <w:sz w:val="21"/>
          <w:szCs w:val="21"/>
          <w:highlight w:val="none"/>
        </w:rPr>
      </w:pPr>
      <w:r>
        <w:rPr>
          <w:rFonts w:hint="eastAsia" w:hAnsi="宋体" w:cs="宋体"/>
          <w:b/>
          <w:color w:val="auto"/>
          <w:sz w:val="21"/>
          <w:szCs w:val="21"/>
          <w:highlight w:val="none"/>
          <w:lang w:val="en-US" w:eastAsia="zh-CN"/>
        </w:rPr>
        <w:t>六</w:t>
      </w:r>
      <w:r>
        <w:rPr>
          <w:rFonts w:hint="eastAsia" w:hAnsi="宋体" w:cs="宋体"/>
          <w:b/>
          <w:color w:val="auto"/>
          <w:szCs w:val="21"/>
          <w:highlight w:val="none"/>
        </w:rPr>
        <w:t>、</w:t>
      </w:r>
      <w:r>
        <w:rPr>
          <w:rFonts w:hint="eastAsia" w:hAnsi="宋体" w:cs="宋体"/>
          <w:b/>
          <w:color w:val="auto"/>
          <w:sz w:val="21"/>
          <w:szCs w:val="21"/>
          <w:highlight w:val="none"/>
        </w:rPr>
        <w:t>款项支付</w:t>
      </w:r>
    </w:p>
    <w:p w14:paraId="6A8D8674">
      <w:pPr>
        <w:pStyle w:val="18"/>
        <w:snapToGrid w:val="0"/>
        <w:spacing w:before="120" w:after="120" w:line="420" w:lineRule="exact"/>
        <w:rPr>
          <w:rFonts w:hint="eastAsia"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6</w:t>
      </w:r>
      <w:r>
        <w:rPr>
          <w:rFonts w:hint="eastAsia" w:hAnsi="宋体" w:cs="宋体"/>
          <w:bCs/>
          <w:color w:val="auto"/>
          <w:sz w:val="21"/>
          <w:szCs w:val="21"/>
          <w:highlight w:val="none"/>
        </w:rPr>
        <w:t xml:space="preserve">.1 </w:t>
      </w:r>
      <w:r>
        <w:rPr>
          <w:rFonts w:hint="eastAsia" w:hAnsi="宋体" w:cs="宋体"/>
          <w:bCs/>
          <w:color w:val="auto"/>
          <w:sz w:val="21"/>
          <w:szCs w:val="21"/>
          <w:highlight w:val="none"/>
          <w:lang w:val="en-US" w:eastAsia="zh-CN"/>
        </w:rPr>
        <w:t>本项目各药品所需数量按招标人实际所需为准，据实结算。</w:t>
      </w:r>
    </w:p>
    <w:p w14:paraId="527244DF">
      <w:pPr>
        <w:pStyle w:val="18"/>
        <w:snapToGrid w:val="0"/>
        <w:spacing w:before="120" w:after="120" w:line="420" w:lineRule="exact"/>
        <w:rPr>
          <w:rFonts w:hint="eastAsia"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6.2根据医院实际情况进行结算，最长不超过12个月。实际结算金额以实际送货数量为依据，</w:t>
      </w:r>
      <w:r>
        <w:rPr>
          <w:rFonts w:hint="eastAsia" w:hAnsi="宋体" w:cs="宋体"/>
          <w:b w:val="0"/>
          <w:bCs/>
          <w:color w:val="auto"/>
          <w:sz w:val="21"/>
          <w:szCs w:val="21"/>
          <w:highlight w:val="none"/>
          <w:lang w:val="en-US" w:eastAsia="zh-CN"/>
        </w:rPr>
        <w:t>以宁波市价格协会最新公布执行的《宁波市中药饮片价格信息单》中各类中药配方颗粒医保支付标准为基数进行计算，</w:t>
      </w:r>
      <w:r>
        <w:rPr>
          <w:rFonts w:hint="eastAsia" w:hAnsi="宋体" w:cs="宋体"/>
          <w:bCs/>
          <w:color w:val="auto"/>
          <w:sz w:val="21"/>
          <w:szCs w:val="21"/>
          <w:highlight w:val="none"/>
          <w:lang w:val="en-US" w:eastAsia="zh-CN"/>
        </w:rPr>
        <w:t>列入《全国中药饮片采购联盟集中采购》的按照国家集采中标价格执行。</w:t>
      </w:r>
    </w:p>
    <w:p w14:paraId="189C8C7C">
      <w:pPr>
        <w:pStyle w:val="18"/>
        <w:snapToGrid w:val="0"/>
        <w:spacing w:before="120" w:after="120" w:line="420" w:lineRule="exact"/>
        <w:rPr>
          <w:rFonts w:hint="eastAsia" w:hAnsi="宋体" w:cs="宋体"/>
          <w:bCs/>
          <w:color w:val="auto"/>
          <w:sz w:val="21"/>
          <w:szCs w:val="21"/>
          <w:highlight w:val="none"/>
          <w:lang w:val="en-US" w:eastAsia="zh-CN"/>
        </w:rPr>
      </w:pPr>
      <w:r>
        <w:rPr>
          <w:rFonts w:hint="eastAsia" w:hAnsi="宋体" w:cs="宋体"/>
          <w:b w:val="0"/>
          <w:bCs/>
          <w:color w:val="auto"/>
          <w:sz w:val="21"/>
          <w:szCs w:val="21"/>
          <w:highlight w:val="none"/>
          <w:lang w:val="en-US" w:eastAsia="zh-CN"/>
        </w:rPr>
        <w:t>结算价格=中标报价（折扣系数）×价格基数×克数</w:t>
      </w:r>
      <w:r>
        <w:rPr>
          <w:rFonts w:hint="eastAsia" w:hAnsi="宋体" w:cs="宋体"/>
          <w:bCs/>
          <w:color w:val="auto"/>
          <w:sz w:val="21"/>
          <w:szCs w:val="21"/>
          <w:highlight w:val="none"/>
          <w:lang w:val="en-US" w:eastAsia="zh-CN"/>
        </w:rPr>
        <w:t>。</w:t>
      </w:r>
    </w:p>
    <w:p w14:paraId="21B6D29A">
      <w:pPr>
        <w:pStyle w:val="18"/>
        <w:snapToGrid w:val="0"/>
        <w:spacing w:before="120" w:after="120" w:line="420" w:lineRule="exact"/>
        <w:rPr>
          <w:rFonts w:hint="eastAsia"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6.3乙方应在甲方付款前，向甲方提供等额增值税专用发票、送货清单。</w:t>
      </w:r>
    </w:p>
    <w:p w14:paraId="0BD55E2C">
      <w:pPr>
        <w:pStyle w:val="18"/>
        <w:snapToGrid w:val="0"/>
        <w:spacing w:before="120" w:after="120" w:line="420" w:lineRule="exact"/>
        <w:rPr>
          <w:rFonts w:hint="default"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6.4乙方应当积极组织调拨资源满足招标人要求，在24小时内组织到货，市场上确无货源的除外。</w:t>
      </w:r>
    </w:p>
    <w:p w14:paraId="60830C07">
      <w:pPr>
        <w:snapToGrid w:val="0"/>
        <w:spacing w:before="120" w:beforeLines="50" w:after="120" w:afterLines="50" w:line="420" w:lineRule="exact"/>
        <w:rPr>
          <w:rFonts w:hint="eastAsia" w:ascii="宋体" w:hAnsi="宋体" w:cs="宋体"/>
          <w:b/>
          <w:color w:val="auto"/>
          <w:szCs w:val="21"/>
          <w:highlight w:val="none"/>
        </w:rPr>
      </w:pPr>
      <w:r>
        <w:rPr>
          <w:rFonts w:hint="eastAsia" w:ascii="宋体" w:hAnsi="宋体" w:cs="宋体"/>
          <w:b/>
          <w:color w:val="auto"/>
          <w:szCs w:val="21"/>
          <w:highlight w:val="none"/>
        </w:rPr>
        <w:t>七、税费</w:t>
      </w:r>
    </w:p>
    <w:p w14:paraId="546D54E6">
      <w:pPr>
        <w:snapToGrid w:val="0"/>
        <w:spacing w:before="120" w:beforeLines="50" w:after="120" w:afterLines="50" w:line="420" w:lineRule="exact"/>
        <w:rPr>
          <w:rFonts w:hint="eastAsia" w:ascii="宋体" w:hAnsi="宋体" w:cs="宋体"/>
          <w:color w:val="auto"/>
          <w:szCs w:val="21"/>
          <w:highlight w:val="none"/>
        </w:rPr>
      </w:pPr>
      <w:r>
        <w:rPr>
          <w:rFonts w:hint="eastAsia" w:ascii="宋体" w:hAnsi="宋体" w:cs="宋体"/>
          <w:color w:val="auto"/>
          <w:szCs w:val="21"/>
          <w:highlight w:val="none"/>
        </w:rPr>
        <w:t>7.1本合同执行中相关的一切税费均由乙方负担。</w:t>
      </w:r>
    </w:p>
    <w:p w14:paraId="2C35C241">
      <w:pPr>
        <w:snapToGrid w:val="0"/>
        <w:spacing w:before="120" w:beforeLines="50" w:after="120" w:afterLines="50" w:line="420" w:lineRule="exact"/>
        <w:rPr>
          <w:rFonts w:hint="eastAsia" w:ascii="宋体" w:hAnsi="宋体" w:cs="宋体"/>
          <w:b/>
          <w:color w:val="auto"/>
          <w:szCs w:val="21"/>
          <w:highlight w:val="none"/>
        </w:rPr>
      </w:pPr>
      <w:r>
        <w:rPr>
          <w:rFonts w:hint="eastAsia" w:ascii="宋体" w:hAnsi="宋体" w:cs="宋体"/>
          <w:b/>
          <w:color w:val="auto"/>
          <w:szCs w:val="21"/>
          <w:highlight w:val="none"/>
        </w:rPr>
        <w:t>八、服务承诺</w:t>
      </w:r>
    </w:p>
    <w:p w14:paraId="11E42D44">
      <w:pPr>
        <w:pStyle w:val="18"/>
        <w:snapToGrid w:val="0"/>
        <w:spacing w:before="120" w:after="120" w:line="420" w:lineRule="exact"/>
        <w:rPr>
          <w:rFonts w:hint="eastAsia"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8.1工作人员着装整洁，微笑服务，工作热情、主动。</w:t>
      </w:r>
    </w:p>
    <w:p w14:paraId="0D827582">
      <w:pPr>
        <w:pStyle w:val="18"/>
        <w:snapToGrid w:val="0"/>
        <w:spacing w:before="120" w:after="120" w:line="420" w:lineRule="exact"/>
        <w:rPr>
          <w:rFonts w:hint="eastAsia"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8.2严格执行各项规章制度，防止差错事故的发生。</w:t>
      </w:r>
    </w:p>
    <w:p w14:paraId="3E1E3908">
      <w:pPr>
        <w:pStyle w:val="18"/>
        <w:snapToGrid w:val="0"/>
        <w:spacing w:before="120" w:after="120" w:line="420" w:lineRule="exact"/>
        <w:rPr>
          <w:rFonts w:hint="eastAsia"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8.3接受甲方提出改进意见，及时妥善处理。</w:t>
      </w:r>
    </w:p>
    <w:p w14:paraId="26929330">
      <w:pPr>
        <w:pStyle w:val="18"/>
        <w:snapToGrid w:val="0"/>
        <w:spacing w:before="120" w:after="120" w:line="420" w:lineRule="exact"/>
        <w:rPr>
          <w:rFonts w:hint="eastAsia"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8.4乙方投标文件中承诺的各项内容。</w:t>
      </w:r>
    </w:p>
    <w:p w14:paraId="6DD936E0">
      <w:pPr>
        <w:pStyle w:val="18"/>
        <w:snapToGrid w:val="0"/>
        <w:spacing w:before="120" w:after="120" w:line="420" w:lineRule="exact"/>
        <w:rPr>
          <w:rFonts w:hint="eastAsia"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8.5乙方应在接到甲方通知起24小时内运送至医院指定地点，急需药品2小时配送到位，保证一周多次送货。</w:t>
      </w:r>
    </w:p>
    <w:p w14:paraId="6931BCF9">
      <w:pPr>
        <w:pStyle w:val="18"/>
        <w:snapToGrid w:val="0"/>
        <w:spacing w:before="120" w:after="120" w:line="420" w:lineRule="exact"/>
        <w:rPr>
          <w:rFonts w:hint="eastAsia"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8.6甲方临时急需个别药品，乙方无条件配合甲方。</w:t>
      </w:r>
    </w:p>
    <w:p w14:paraId="14814463">
      <w:pPr>
        <w:pStyle w:val="18"/>
        <w:snapToGrid w:val="0"/>
        <w:spacing w:before="120" w:after="120" w:line="420" w:lineRule="exact"/>
        <w:rPr>
          <w:rFonts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8.7对药品质量问题应在30分钟内响应，2小时以内到现场解决问题；不能当场解决的，必须采取更换等措施，以保证甲方的正常使用，如因药品质量问题造成食用人的不良反应，乙方须负全部责任。</w:t>
      </w:r>
    </w:p>
    <w:p w14:paraId="3F73552C">
      <w:pPr>
        <w:pStyle w:val="18"/>
        <w:snapToGrid w:val="0"/>
        <w:spacing w:before="120" w:after="120" w:line="420" w:lineRule="exact"/>
        <w:rPr>
          <w:rFonts w:hint="eastAsia" w:hAnsi="宋体" w:cs="宋体"/>
          <w:b/>
          <w:color w:val="auto"/>
          <w:sz w:val="21"/>
          <w:szCs w:val="21"/>
          <w:highlight w:val="none"/>
        </w:rPr>
      </w:pPr>
      <w:r>
        <w:rPr>
          <w:rFonts w:hint="eastAsia" w:hAnsi="宋体" w:cs="宋体"/>
          <w:b/>
          <w:color w:val="auto"/>
          <w:sz w:val="21"/>
          <w:szCs w:val="21"/>
          <w:highlight w:val="none"/>
          <w:lang w:val="en-US" w:eastAsia="zh-CN"/>
        </w:rPr>
        <w:t>九</w:t>
      </w:r>
      <w:r>
        <w:rPr>
          <w:rFonts w:hint="eastAsia" w:hAnsi="宋体" w:cs="宋体"/>
          <w:b/>
          <w:color w:val="auto"/>
          <w:sz w:val="21"/>
          <w:szCs w:val="21"/>
          <w:highlight w:val="none"/>
        </w:rPr>
        <w:t>、合同续签</w:t>
      </w:r>
    </w:p>
    <w:p w14:paraId="4BF6A911">
      <w:pPr>
        <w:pStyle w:val="18"/>
        <w:snapToGrid w:val="0"/>
        <w:spacing w:before="120" w:after="120" w:line="420" w:lineRule="exact"/>
        <w:rPr>
          <w:rFonts w:hint="eastAsia"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9.1合同期满后，乙方全部完成合同约定，甲方应优先考虑乙方续订合同。若不续订合同应在合同期满一个月前向对方书面告知。</w:t>
      </w:r>
    </w:p>
    <w:p w14:paraId="3412BD7B">
      <w:pPr>
        <w:pStyle w:val="18"/>
        <w:snapToGrid w:val="0"/>
        <w:spacing w:before="120" w:after="120" w:line="420" w:lineRule="exact"/>
        <w:rPr>
          <w:rFonts w:hint="eastAsia" w:hAnsi="宋体" w:cs="宋体"/>
          <w:b/>
          <w:color w:val="auto"/>
          <w:sz w:val="21"/>
          <w:szCs w:val="21"/>
          <w:highlight w:val="none"/>
        </w:rPr>
      </w:pPr>
      <w:r>
        <w:rPr>
          <w:rFonts w:hint="eastAsia" w:hAnsi="宋体" w:cs="宋体"/>
          <w:b/>
          <w:color w:val="auto"/>
          <w:sz w:val="21"/>
          <w:szCs w:val="21"/>
          <w:highlight w:val="none"/>
        </w:rPr>
        <w:t>十</w:t>
      </w:r>
      <w:r>
        <w:rPr>
          <w:rFonts w:hint="eastAsia" w:hAnsi="宋体" w:cs="宋体"/>
          <w:b/>
          <w:color w:val="auto"/>
          <w:sz w:val="21"/>
          <w:szCs w:val="21"/>
          <w:highlight w:val="none"/>
          <w:lang w:eastAsia="zh-CN"/>
        </w:rPr>
        <w:t>、</w:t>
      </w:r>
      <w:r>
        <w:rPr>
          <w:rFonts w:hint="eastAsia" w:hAnsi="宋体" w:cs="宋体"/>
          <w:b/>
          <w:color w:val="auto"/>
          <w:sz w:val="21"/>
          <w:szCs w:val="21"/>
          <w:highlight w:val="none"/>
        </w:rPr>
        <w:t>违约责任</w:t>
      </w:r>
    </w:p>
    <w:p w14:paraId="01C4CAF0">
      <w:pPr>
        <w:pStyle w:val="18"/>
        <w:snapToGrid w:val="0"/>
        <w:spacing w:before="120" w:after="120" w:line="420" w:lineRule="exact"/>
        <w:rPr>
          <w:rFonts w:hint="eastAsia" w:hAnsi="宋体" w:cs="宋体"/>
          <w:color w:val="auto"/>
          <w:sz w:val="21"/>
          <w:szCs w:val="21"/>
          <w:highlight w:val="none"/>
        </w:rPr>
      </w:pPr>
      <w:r>
        <w:rPr>
          <w:rFonts w:hint="eastAsia" w:hAnsi="宋体" w:cs="宋体"/>
          <w:color w:val="auto"/>
          <w:sz w:val="21"/>
          <w:szCs w:val="21"/>
          <w:highlight w:val="none"/>
          <w:lang w:val="en-US" w:eastAsia="zh-CN"/>
        </w:rPr>
        <w:t>10.1合同期间，如乙方累计5次配送延误造成甲方损失的</w:t>
      </w:r>
      <w:r>
        <w:rPr>
          <w:rFonts w:hint="eastAsia" w:hAnsi="宋体" w:cs="宋体"/>
          <w:color w:val="auto"/>
          <w:sz w:val="21"/>
          <w:szCs w:val="21"/>
          <w:highlight w:val="none"/>
        </w:rPr>
        <w:t>，甲方有权单方解除本合同</w:t>
      </w:r>
      <w:r>
        <w:rPr>
          <w:rFonts w:hint="eastAsia" w:hAnsi="宋体" w:cs="宋体"/>
          <w:color w:val="auto"/>
          <w:sz w:val="21"/>
          <w:szCs w:val="21"/>
          <w:highlight w:val="none"/>
          <w:lang w:val="en-US" w:eastAsia="zh-CN"/>
        </w:rPr>
        <w:t>并要求乙方赔偿所有损失</w:t>
      </w:r>
      <w:r>
        <w:rPr>
          <w:rFonts w:hint="eastAsia" w:hAnsi="宋体" w:cs="宋体"/>
          <w:color w:val="auto"/>
          <w:sz w:val="21"/>
          <w:szCs w:val="21"/>
          <w:highlight w:val="none"/>
        </w:rPr>
        <w:t>。</w:t>
      </w:r>
    </w:p>
    <w:p w14:paraId="78E71F90">
      <w:pPr>
        <w:pStyle w:val="18"/>
        <w:snapToGrid w:val="0"/>
        <w:spacing w:before="120" w:after="120" w:line="420" w:lineRule="exact"/>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10.2合同期间，若发现假药、劣药等质量问题，甲方有权单方解除本合同并要求乙方赔偿所有损失。</w:t>
      </w:r>
    </w:p>
    <w:p w14:paraId="5B0C8B0E">
      <w:pPr>
        <w:pStyle w:val="18"/>
        <w:snapToGrid w:val="0"/>
        <w:spacing w:before="120" w:after="120" w:line="420" w:lineRule="exact"/>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10.3合同履行过程中乙方如未按照投标承诺提供相关服务，则甲方有权取消其中标资格，乙方承担一切由此造成的责任。</w:t>
      </w:r>
    </w:p>
    <w:p w14:paraId="7BFB8F10">
      <w:pPr>
        <w:pStyle w:val="18"/>
        <w:snapToGrid w:val="0"/>
        <w:spacing w:before="120" w:after="120" w:line="420" w:lineRule="exact"/>
        <w:rPr>
          <w:rFonts w:hint="eastAsia" w:hAnsi="宋体" w:cs="宋体"/>
          <w:b/>
          <w:color w:val="auto"/>
          <w:sz w:val="21"/>
          <w:szCs w:val="21"/>
          <w:highlight w:val="none"/>
        </w:rPr>
      </w:pPr>
      <w:r>
        <w:rPr>
          <w:rFonts w:hint="eastAsia" w:hAnsi="宋体" w:cs="宋体"/>
          <w:b/>
          <w:color w:val="auto"/>
          <w:sz w:val="21"/>
          <w:szCs w:val="21"/>
          <w:highlight w:val="none"/>
        </w:rPr>
        <w:t>十</w:t>
      </w:r>
      <w:r>
        <w:rPr>
          <w:rFonts w:hint="eastAsia" w:hAnsi="宋体" w:cs="宋体"/>
          <w:b/>
          <w:color w:val="auto"/>
          <w:sz w:val="21"/>
          <w:szCs w:val="21"/>
          <w:highlight w:val="none"/>
          <w:lang w:val="en-US" w:eastAsia="zh-CN"/>
        </w:rPr>
        <w:t>一</w:t>
      </w:r>
      <w:r>
        <w:rPr>
          <w:rFonts w:hint="eastAsia" w:hAnsi="宋体" w:cs="宋体"/>
          <w:b/>
          <w:color w:val="auto"/>
          <w:sz w:val="21"/>
          <w:szCs w:val="21"/>
          <w:highlight w:val="none"/>
        </w:rPr>
        <w:t>、不可抗力事件处理</w:t>
      </w:r>
    </w:p>
    <w:p w14:paraId="53106A0F">
      <w:pPr>
        <w:pStyle w:val="18"/>
        <w:snapToGrid w:val="0"/>
        <w:spacing w:before="120" w:after="120" w:line="420" w:lineRule="exact"/>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.1 在合同有效期内，任何一方因不可抗力事件导致不能履行合同，则合同履行期可延长，其延长期与不可抗力影响期相同。</w:t>
      </w:r>
    </w:p>
    <w:p w14:paraId="0F51A589">
      <w:pPr>
        <w:pStyle w:val="18"/>
        <w:snapToGrid w:val="0"/>
        <w:spacing w:before="120" w:after="120" w:line="420" w:lineRule="exact"/>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.2 不可抗力事件发生后，应立即通知对方，并寄送有关权威机构出具的证明。</w:t>
      </w:r>
    </w:p>
    <w:p w14:paraId="094DBDA7">
      <w:pPr>
        <w:pStyle w:val="18"/>
        <w:snapToGrid w:val="0"/>
        <w:spacing w:before="120" w:after="120" w:line="420" w:lineRule="exact"/>
        <w:ind w:left="420" w:hanging="420" w:hangingChars="20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.3 不可抗力事件延续120天以上，双方应通过友好协商，确定是否继续履行合同。</w:t>
      </w:r>
    </w:p>
    <w:p w14:paraId="0C68DE6A">
      <w:pPr>
        <w:pStyle w:val="18"/>
        <w:snapToGrid w:val="0"/>
        <w:spacing w:before="120" w:after="120" w:line="420" w:lineRule="exact"/>
        <w:rPr>
          <w:rFonts w:hint="eastAsia" w:hAnsi="宋体" w:cs="宋体"/>
          <w:b/>
          <w:color w:val="auto"/>
          <w:sz w:val="21"/>
          <w:szCs w:val="21"/>
          <w:highlight w:val="none"/>
        </w:rPr>
      </w:pPr>
      <w:r>
        <w:rPr>
          <w:rFonts w:hint="eastAsia" w:hAnsi="宋体" w:cs="宋体"/>
          <w:b/>
          <w:color w:val="auto"/>
          <w:sz w:val="21"/>
          <w:szCs w:val="21"/>
          <w:highlight w:val="none"/>
        </w:rPr>
        <w:t>十</w:t>
      </w:r>
      <w:r>
        <w:rPr>
          <w:rFonts w:hint="eastAsia" w:hAnsi="宋体" w:cs="宋体"/>
          <w:b/>
          <w:color w:val="auto"/>
          <w:sz w:val="21"/>
          <w:szCs w:val="21"/>
          <w:highlight w:val="none"/>
          <w:lang w:val="en-US" w:eastAsia="zh-CN"/>
        </w:rPr>
        <w:t>二</w:t>
      </w:r>
      <w:r>
        <w:rPr>
          <w:rFonts w:hint="eastAsia" w:hAnsi="宋体" w:cs="宋体"/>
          <w:b/>
          <w:color w:val="auto"/>
          <w:sz w:val="21"/>
          <w:szCs w:val="21"/>
          <w:highlight w:val="none"/>
        </w:rPr>
        <w:t>、诉讼</w:t>
      </w:r>
    </w:p>
    <w:p w14:paraId="1DB566FF">
      <w:pPr>
        <w:pStyle w:val="18"/>
        <w:snapToGrid w:val="0"/>
        <w:spacing w:before="120" w:after="120" w:line="420" w:lineRule="exact"/>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.1 双方在执行合同中所发生的一切争议，应通过协商解决。如协商不成，可向合同签订地法院起诉。</w:t>
      </w:r>
    </w:p>
    <w:p w14:paraId="418FF1DF">
      <w:pPr>
        <w:pStyle w:val="18"/>
        <w:snapToGrid w:val="0"/>
        <w:spacing w:before="120" w:after="120" w:line="420" w:lineRule="exact"/>
        <w:rPr>
          <w:rFonts w:hint="eastAsia" w:hAnsi="宋体" w:cs="宋体"/>
          <w:b/>
          <w:color w:val="auto"/>
          <w:sz w:val="21"/>
          <w:szCs w:val="21"/>
          <w:highlight w:val="none"/>
        </w:rPr>
      </w:pPr>
      <w:r>
        <w:rPr>
          <w:rFonts w:hint="eastAsia" w:hAnsi="宋体" w:cs="宋体"/>
          <w:b/>
          <w:color w:val="auto"/>
          <w:sz w:val="21"/>
          <w:szCs w:val="21"/>
          <w:highlight w:val="none"/>
        </w:rPr>
        <w:t>十</w:t>
      </w:r>
      <w:r>
        <w:rPr>
          <w:rFonts w:hint="eastAsia" w:hAnsi="宋体" w:cs="宋体"/>
          <w:b/>
          <w:color w:val="auto"/>
          <w:sz w:val="21"/>
          <w:szCs w:val="21"/>
          <w:highlight w:val="none"/>
          <w:lang w:val="en-US" w:eastAsia="zh-CN"/>
        </w:rPr>
        <w:t>三</w:t>
      </w:r>
      <w:r>
        <w:rPr>
          <w:rFonts w:hint="eastAsia" w:hAnsi="宋体" w:cs="宋体"/>
          <w:b/>
          <w:color w:val="auto"/>
          <w:sz w:val="21"/>
          <w:szCs w:val="21"/>
          <w:highlight w:val="none"/>
        </w:rPr>
        <w:t>、合同生效及其</w:t>
      </w:r>
      <w:r>
        <w:rPr>
          <w:rFonts w:hint="eastAsia" w:hAnsi="宋体" w:cs="宋体"/>
          <w:b/>
          <w:color w:val="auto"/>
          <w:sz w:val="21"/>
          <w:szCs w:val="21"/>
          <w:highlight w:val="none"/>
          <w:lang w:eastAsia="zh-CN"/>
        </w:rPr>
        <w:t>他</w:t>
      </w:r>
    </w:p>
    <w:p w14:paraId="0800C97E">
      <w:pPr>
        <w:pStyle w:val="18"/>
        <w:snapToGrid w:val="0"/>
        <w:spacing w:before="120" w:after="120" w:line="420" w:lineRule="exact"/>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.1 合同经双方法定代表人或负责人或授权委托代理人签字并加盖单位公章后生效。</w:t>
      </w:r>
    </w:p>
    <w:p w14:paraId="1F7EE945">
      <w:pPr>
        <w:pStyle w:val="18"/>
        <w:snapToGrid w:val="0"/>
        <w:spacing w:before="120" w:after="120" w:line="420" w:lineRule="exact"/>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.2合同执行中涉及采购资金和采购内容修改或补充的，双方协商，并签书面补充协议，作为主合同不可分割的一部分。</w:t>
      </w:r>
    </w:p>
    <w:p w14:paraId="4CC4037B">
      <w:pPr>
        <w:pStyle w:val="18"/>
        <w:snapToGrid w:val="0"/>
        <w:spacing w:before="120" w:after="120" w:line="420" w:lineRule="exact"/>
        <w:ind w:left="420" w:hanging="420" w:hangingChars="20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.3本合同未尽事宜，遵照有关</w:t>
      </w:r>
      <w:r>
        <w:rPr>
          <w:rFonts w:hint="eastAsia" w:hAnsi="宋体" w:cs="宋体"/>
          <w:color w:val="auto"/>
          <w:sz w:val="21"/>
          <w:szCs w:val="21"/>
          <w:highlight w:val="none"/>
          <w:lang w:val="en-US" w:eastAsia="zh-CN"/>
        </w:rPr>
        <w:t>法律法规</w:t>
      </w:r>
      <w:r>
        <w:rPr>
          <w:rFonts w:hint="eastAsia" w:hAnsi="宋体" w:cs="宋体"/>
          <w:color w:val="auto"/>
          <w:sz w:val="21"/>
          <w:szCs w:val="21"/>
          <w:highlight w:val="none"/>
        </w:rPr>
        <w:t>条文执行。</w:t>
      </w:r>
    </w:p>
    <w:p w14:paraId="6E62C0B4">
      <w:pPr>
        <w:pStyle w:val="18"/>
        <w:snapToGrid w:val="0"/>
        <w:spacing w:before="120" w:after="120" w:line="420" w:lineRule="exact"/>
        <w:ind w:left="420" w:hanging="420" w:hangingChars="20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.4 本合同正本一式两份，具有同等法律效力，甲乙双方各执一份；副本</w:t>
      </w:r>
      <w:r>
        <w:rPr>
          <w:rFonts w:hint="eastAsia" w:hAnsi="宋体" w:cs="宋体"/>
          <w:b/>
          <w:color w:val="auto"/>
          <w:sz w:val="21"/>
          <w:szCs w:val="21"/>
          <w:highlight w:val="none"/>
        </w:rPr>
        <w:t>△</w:t>
      </w:r>
      <w:r>
        <w:rPr>
          <w:rFonts w:hint="eastAsia" w:hAnsi="宋体" w:cs="宋体"/>
          <w:color w:val="auto"/>
          <w:sz w:val="21"/>
          <w:szCs w:val="21"/>
          <w:highlight w:val="none"/>
        </w:rPr>
        <w:t>份，</w:t>
      </w:r>
      <w:r>
        <w:rPr>
          <w:rFonts w:hint="eastAsia" w:hAnsi="宋体" w:cs="宋体"/>
          <w:color w:val="auto"/>
          <w:sz w:val="21"/>
          <w:szCs w:val="21"/>
          <w:highlight w:val="none"/>
          <w:lang w:eastAsia="zh-CN"/>
        </w:rPr>
        <w:t>（</w:t>
      </w:r>
      <w:r>
        <w:rPr>
          <w:rFonts w:hint="eastAsia" w:hAnsi="宋体" w:cs="宋体"/>
          <w:color w:val="auto"/>
          <w:sz w:val="21"/>
          <w:szCs w:val="21"/>
          <w:highlight w:val="none"/>
        </w:rPr>
        <w:t>用途</w:t>
      </w:r>
      <w:r>
        <w:rPr>
          <w:rFonts w:hint="eastAsia" w:hAnsi="宋体" w:cs="宋体"/>
          <w:color w:val="auto"/>
          <w:sz w:val="21"/>
          <w:szCs w:val="21"/>
          <w:highlight w:val="none"/>
          <w:lang w:eastAsia="zh-CN"/>
        </w:rPr>
        <w:t>）</w:t>
      </w:r>
      <w:r>
        <w:rPr>
          <w:rFonts w:hint="eastAsia" w:hAnsi="宋体" w:cs="宋体"/>
          <w:color w:val="auto"/>
          <w:sz w:val="21"/>
          <w:szCs w:val="21"/>
          <w:highlight w:val="none"/>
        </w:rPr>
        <w:t>。</w:t>
      </w:r>
    </w:p>
    <w:p w14:paraId="25F60E8A">
      <w:pPr>
        <w:pStyle w:val="18"/>
        <w:spacing w:before="120" w:after="120"/>
        <w:ind w:left="420" w:hanging="420" w:hangingChars="200"/>
        <w:rPr>
          <w:rFonts w:hint="eastAsia" w:hAnsi="宋体" w:cs="宋体"/>
          <w:color w:val="auto"/>
          <w:sz w:val="21"/>
          <w:szCs w:val="21"/>
          <w:highlight w:val="none"/>
        </w:rPr>
      </w:pPr>
      <w:r>
        <w:rPr>
          <w:rFonts w:hint="eastAsia" w:hAnsi="宋体" w:cs="宋体"/>
          <w:color w:val="auto"/>
          <w:sz w:val="21"/>
          <w:szCs w:val="21"/>
          <w:highlight w:val="none"/>
        </w:rPr>
        <w:t xml:space="preserve">  甲方：                                   乙方： </w:t>
      </w:r>
    </w:p>
    <w:p w14:paraId="476A2A3E">
      <w:pPr>
        <w:pStyle w:val="18"/>
        <w:spacing w:before="120" w:after="120"/>
        <w:rPr>
          <w:rFonts w:hint="eastAsia" w:hAnsi="宋体" w:cs="宋体"/>
          <w:color w:val="auto"/>
          <w:sz w:val="21"/>
          <w:szCs w:val="21"/>
          <w:highlight w:val="none"/>
        </w:rPr>
      </w:pPr>
      <w:r>
        <w:rPr>
          <w:rFonts w:hint="eastAsia" w:hAnsi="宋体" w:cs="宋体"/>
          <w:color w:val="auto"/>
          <w:sz w:val="21"/>
          <w:szCs w:val="21"/>
          <w:highlight w:val="none"/>
        </w:rPr>
        <w:t xml:space="preserve">  地址：                                   地址： </w:t>
      </w:r>
    </w:p>
    <w:p w14:paraId="57DB31A0">
      <w:pPr>
        <w:pStyle w:val="18"/>
        <w:spacing w:before="120" w:after="120"/>
        <w:rPr>
          <w:rFonts w:hint="eastAsia" w:hAnsi="宋体" w:cs="宋体"/>
          <w:color w:val="auto"/>
          <w:sz w:val="21"/>
          <w:szCs w:val="21"/>
          <w:highlight w:val="none"/>
        </w:rPr>
      </w:pPr>
      <w:r>
        <w:rPr>
          <w:rFonts w:hint="eastAsia" w:hAnsi="宋体" w:cs="宋体"/>
          <w:color w:val="auto"/>
          <w:sz w:val="21"/>
          <w:szCs w:val="21"/>
          <w:highlight w:val="none"/>
        </w:rPr>
        <w:t xml:space="preserve">  法定代表人或负责人：                     法定代表人或负责人：</w:t>
      </w:r>
    </w:p>
    <w:p w14:paraId="64F56B52">
      <w:pPr>
        <w:pStyle w:val="18"/>
        <w:spacing w:before="120" w:after="120"/>
        <w:rPr>
          <w:rFonts w:hAnsi="宋体"/>
          <w:color w:val="auto"/>
          <w:szCs w:val="21"/>
          <w:highlight w:val="none"/>
        </w:rPr>
      </w:pPr>
      <w:r>
        <w:rPr>
          <w:rFonts w:hint="eastAsia" w:hAnsi="宋体" w:cs="宋体"/>
          <w:color w:val="auto"/>
          <w:sz w:val="21"/>
          <w:szCs w:val="21"/>
          <w:highlight w:val="none"/>
        </w:rPr>
        <w:t xml:space="preserve">  签订地点：                               签订日期：    </w:t>
      </w:r>
    </w:p>
    <w:p w14:paraId="65457607">
      <w:pPr>
        <w:pStyle w:val="2"/>
        <w:spacing w:line="360" w:lineRule="auto"/>
        <w:jc w:val="center"/>
        <w:rPr>
          <w:rFonts w:hint="eastAsia" w:ascii="宋体" w:hAnsi="宋体"/>
          <w:color w:val="auto"/>
          <w:sz w:val="24"/>
          <w:szCs w:val="24"/>
          <w:highlight w:val="none"/>
        </w:rPr>
      </w:pPr>
      <w:r>
        <w:rPr>
          <w:rFonts w:ascii="宋体" w:hAnsi="宋体"/>
          <w:color w:val="auto"/>
          <w:highlight w:val="none"/>
        </w:rPr>
        <w:br w:type="page"/>
      </w:r>
      <w:bookmarkStart w:id="7" w:name="_Toc14659"/>
      <w:r>
        <w:rPr>
          <w:rFonts w:hint="eastAsia" w:ascii="宋体" w:hAnsi="宋体"/>
          <w:color w:val="auto"/>
          <w:sz w:val="24"/>
          <w:szCs w:val="24"/>
          <w:highlight w:val="none"/>
        </w:rPr>
        <w:t>第六章　投标文件格式</w:t>
      </w:r>
      <w:bookmarkEnd w:id="7"/>
    </w:p>
    <w:p w14:paraId="748FA898">
      <w:pPr>
        <w:snapToGrid w:val="0"/>
        <w:spacing w:before="50" w:after="50"/>
        <w:outlineLvl w:val="1"/>
        <w:rPr>
          <w:rFonts w:ascii="宋体" w:hAnsi="宋体"/>
          <w:color w:val="auto"/>
          <w:sz w:val="32"/>
          <w:szCs w:val="20"/>
          <w:highlight w:val="none"/>
        </w:rPr>
      </w:pPr>
    </w:p>
    <w:p w14:paraId="71697258">
      <w:pPr>
        <w:jc w:val="center"/>
        <w:rPr>
          <w:rFonts w:ascii="宋体" w:hAnsi="宋体"/>
          <w:color w:val="auto"/>
          <w:highlight w:val="none"/>
        </w:rPr>
      </w:pPr>
      <w:r>
        <w:rPr>
          <w:rFonts w:hint="eastAsia" w:ascii="宋体" w:hAnsi="宋体"/>
          <w:color w:val="auto"/>
          <w:highlight w:val="none"/>
        </w:rPr>
        <w:t>一、投标文件外层包装封面格式</w:t>
      </w:r>
    </w:p>
    <w:p w14:paraId="3E6BE63A">
      <w:pPr>
        <w:snapToGrid w:val="0"/>
        <w:spacing w:before="120" w:beforeLines="50" w:after="5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.所有投标文件的外包装封面格式：</w:t>
      </w:r>
      <w:r>
        <w:rPr>
          <w:rFonts w:hint="eastAsia" w:ascii="宋体" w:hAnsi="宋体"/>
          <w:color w:val="auto"/>
          <w:szCs w:val="21"/>
          <w:highlight w:val="none"/>
          <w:lang w:eastAsia="zh-CN"/>
        </w:rPr>
        <w:t>（</w:t>
      </w:r>
      <w:r>
        <w:rPr>
          <w:rFonts w:hint="eastAsia" w:ascii="宋体" w:hAnsi="宋体"/>
          <w:color w:val="auto"/>
          <w:szCs w:val="21"/>
          <w:highlight w:val="none"/>
        </w:rPr>
        <w:t>可选用</w:t>
      </w:r>
      <w:r>
        <w:rPr>
          <w:rFonts w:hint="eastAsia" w:ascii="宋体" w:hAnsi="宋体"/>
          <w:color w:val="auto"/>
          <w:szCs w:val="21"/>
          <w:highlight w:val="none"/>
          <w:lang w:eastAsia="zh-CN"/>
        </w:rPr>
        <w:t>）</w:t>
      </w:r>
    </w:p>
    <w:p w14:paraId="68DA24FA">
      <w:pPr>
        <w:snapToGrid w:val="0"/>
        <w:spacing w:before="120" w:beforeLines="50" w:after="50"/>
        <w:jc w:val="center"/>
        <w:rPr>
          <w:rFonts w:ascii="宋体" w:hAnsi="宋体"/>
          <w:bCs/>
          <w:color w:val="auto"/>
          <w:szCs w:val="21"/>
          <w:highlight w:val="none"/>
        </w:rPr>
      </w:pPr>
    </w:p>
    <w:p w14:paraId="625C049D">
      <w:pPr>
        <w:snapToGrid w:val="0"/>
        <w:spacing w:before="120" w:beforeLines="50" w:after="50"/>
        <w:jc w:val="center"/>
        <w:rPr>
          <w:rFonts w:ascii="宋体" w:hAnsi="宋体"/>
          <w:bCs/>
          <w:color w:val="auto"/>
          <w:szCs w:val="21"/>
          <w:highlight w:val="none"/>
        </w:rPr>
      </w:pPr>
      <w:r>
        <w:rPr>
          <w:rFonts w:hint="eastAsia" w:ascii="宋体" w:hAnsi="宋体"/>
          <w:bCs/>
          <w:color w:val="auto"/>
          <w:szCs w:val="21"/>
          <w:highlight w:val="none"/>
        </w:rPr>
        <w:t>投</w:t>
      </w:r>
      <w:r>
        <w:rPr>
          <w:rFonts w:ascii="宋体" w:hAnsi="宋体"/>
          <w:bCs/>
          <w:color w:val="auto"/>
          <w:szCs w:val="21"/>
          <w:highlight w:val="none"/>
        </w:rPr>
        <w:t xml:space="preserve"> </w:t>
      </w:r>
      <w:r>
        <w:rPr>
          <w:rFonts w:hint="eastAsia" w:ascii="宋体" w:hAnsi="宋体"/>
          <w:bCs/>
          <w:color w:val="auto"/>
          <w:szCs w:val="21"/>
          <w:highlight w:val="none"/>
        </w:rPr>
        <w:t>标</w:t>
      </w:r>
      <w:r>
        <w:rPr>
          <w:rFonts w:ascii="宋体" w:hAnsi="宋体"/>
          <w:bCs/>
          <w:color w:val="auto"/>
          <w:szCs w:val="21"/>
          <w:highlight w:val="none"/>
        </w:rPr>
        <w:t xml:space="preserve"> </w:t>
      </w:r>
      <w:r>
        <w:rPr>
          <w:rFonts w:hint="eastAsia" w:ascii="宋体" w:hAnsi="宋体"/>
          <w:bCs/>
          <w:color w:val="auto"/>
          <w:szCs w:val="21"/>
          <w:highlight w:val="none"/>
        </w:rPr>
        <w:t>文</w:t>
      </w:r>
      <w:r>
        <w:rPr>
          <w:rFonts w:ascii="宋体" w:hAnsi="宋体"/>
          <w:bCs/>
          <w:color w:val="auto"/>
          <w:szCs w:val="21"/>
          <w:highlight w:val="none"/>
        </w:rPr>
        <w:t xml:space="preserve"> </w:t>
      </w:r>
      <w:r>
        <w:rPr>
          <w:rFonts w:hint="eastAsia" w:ascii="宋体" w:hAnsi="宋体"/>
          <w:bCs/>
          <w:color w:val="auto"/>
          <w:szCs w:val="21"/>
          <w:highlight w:val="none"/>
        </w:rPr>
        <w:t>件</w:t>
      </w:r>
    </w:p>
    <w:p w14:paraId="12D8BDCF">
      <w:pPr>
        <w:snapToGrid w:val="0"/>
        <w:spacing w:before="120" w:beforeLines="50" w:after="50"/>
        <w:rPr>
          <w:rFonts w:ascii="宋体" w:hAnsi="宋体"/>
          <w:bCs/>
          <w:color w:val="auto"/>
          <w:szCs w:val="21"/>
          <w:highlight w:val="none"/>
        </w:rPr>
      </w:pPr>
    </w:p>
    <w:p w14:paraId="31B9663B">
      <w:pPr>
        <w:snapToGrid w:val="0"/>
        <w:spacing w:before="120" w:beforeLines="50" w:after="50"/>
        <w:ind w:firstLine="932" w:firstLineChars="444"/>
        <w:rPr>
          <w:rFonts w:hint="eastAsia" w:ascii="宋体" w:hAnsi="宋体"/>
          <w:bCs/>
          <w:color w:val="auto"/>
          <w:szCs w:val="21"/>
          <w:highlight w:val="none"/>
        </w:rPr>
      </w:pPr>
      <w:r>
        <w:rPr>
          <w:rFonts w:hint="eastAsia" w:ascii="宋体" w:hAnsi="宋体"/>
          <w:bCs/>
          <w:color w:val="auto"/>
          <w:szCs w:val="21"/>
          <w:highlight w:val="none"/>
        </w:rPr>
        <w:t>项目名称：</w:t>
      </w:r>
      <w:r>
        <w:rPr>
          <w:rFonts w:ascii="宋体" w:hAnsi="宋体"/>
          <w:bCs/>
          <w:color w:val="auto"/>
          <w:szCs w:val="21"/>
          <w:highlight w:val="none"/>
        </w:rPr>
        <w:t xml:space="preserve">  </w:t>
      </w:r>
    </w:p>
    <w:p w14:paraId="7CBE9CBC">
      <w:pPr>
        <w:snapToGrid w:val="0"/>
        <w:spacing w:before="120" w:beforeLines="50" w:after="50"/>
        <w:ind w:firstLine="932" w:firstLineChars="444"/>
        <w:rPr>
          <w:rFonts w:hint="eastAsia" w:ascii="宋体" w:hAnsi="宋体"/>
          <w:bCs/>
          <w:color w:val="auto"/>
          <w:szCs w:val="21"/>
          <w:highlight w:val="none"/>
        </w:rPr>
      </w:pPr>
      <w:r>
        <w:rPr>
          <w:rFonts w:hint="eastAsia" w:ascii="宋体" w:hAnsi="宋体"/>
          <w:bCs/>
          <w:color w:val="auto"/>
          <w:szCs w:val="21"/>
          <w:highlight w:val="none"/>
        </w:rPr>
        <w:t>项目编号：</w:t>
      </w:r>
    </w:p>
    <w:p w14:paraId="0D9B3358">
      <w:pPr>
        <w:snapToGrid w:val="0"/>
        <w:spacing w:before="120" w:beforeLines="50" w:after="50"/>
        <w:ind w:firstLine="932" w:firstLineChars="444"/>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子包号：</w:t>
      </w:r>
    </w:p>
    <w:p w14:paraId="48BCB487">
      <w:pPr>
        <w:pStyle w:val="55"/>
        <w:rPr>
          <w:rFonts w:hint="default"/>
          <w:color w:val="auto"/>
          <w:highlight w:val="none"/>
          <w:lang w:val="en-US" w:eastAsia="zh-CN"/>
        </w:rPr>
      </w:pPr>
    </w:p>
    <w:p w14:paraId="54789CCE">
      <w:pPr>
        <w:pStyle w:val="4"/>
        <w:snapToGrid w:val="0"/>
        <w:spacing w:before="50" w:after="50"/>
        <w:ind w:firstLine="932" w:firstLineChars="444"/>
        <w:rPr>
          <w:rFonts w:ascii="宋体" w:hAnsi="宋体"/>
          <w:bCs/>
          <w:color w:val="auto"/>
          <w:szCs w:val="21"/>
          <w:highlight w:val="none"/>
        </w:rPr>
      </w:pPr>
      <w:r>
        <w:rPr>
          <w:rFonts w:hint="eastAsia" w:ascii="宋体" w:hAnsi="宋体"/>
          <w:bCs/>
          <w:color w:val="auto"/>
          <w:szCs w:val="21"/>
          <w:highlight w:val="none"/>
        </w:rPr>
        <w:t>投标人名称：</w:t>
      </w:r>
    </w:p>
    <w:p w14:paraId="0BB8D55B">
      <w:pPr>
        <w:pStyle w:val="4"/>
        <w:snapToGrid w:val="0"/>
        <w:spacing w:before="50" w:after="50"/>
        <w:ind w:firstLine="932" w:firstLineChars="444"/>
        <w:rPr>
          <w:rFonts w:ascii="宋体" w:hAnsi="宋体"/>
          <w:bCs/>
          <w:color w:val="auto"/>
          <w:szCs w:val="21"/>
          <w:highlight w:val="none"/>
        </w:rPr>
      </w:pPr>
      <w:r>
        <w:rPr>
          <w:rFonts w:hint="eastAsia" w:ascii="宋体" w:hAnsi="宋体"/>
          <w:bCs/>
          <w:color w:val="auto"/>
          <w:szCs w:val="21"/>
          <w:highlight w:val="none"/>
        </w:rPr>
        <w:t>投标人地址：</w:t>
      </w:r>
    </w:p>
    <w:p w14:paraId="699500A8">
      <w:pPr>
        <w:snapToGrid w:val="0"/>
        <w:spacing w:before="120" w:beforeLines="50" w:after="50"/>
        <w:ind w:firstLine="3570" w:firstLineChars="1700"/>
        <w:rPr>
          <w:rFonts w:ascii="宋体" w:hAnsi="宋体"/>
          <w:bCs/>
          <w:color w:val="auto"/>
          <w:szCs w:val="21"/>
          <w:highlight w:val="none"/>
        </w:rPr>
      </w:pPr>
      <w:r>
        <w:rPr>
          <w:rFonts w:hint="eastAsia" w:ascii="宋体" w:hAnsi="宋体"/>
          <w:color w:val="auto"/>
          <w:highlight w:val="none"/>
        </w:rPr>
        <w:t>开标时启封</w:t>
      </w:r>
    </w:p>
    <w:p w14:paraId="641F874A">
      <w:pPr>
        <w:snapToGrid w:val="0"/>
        <w:spacing w:before="120" w:beforeLines="50" w:after="50"/>
        <w:ind w:firstLine="645"/>
        <w:jc w:val="center"/>
        <w:rPr>
          <w:rFonts w:ascii="宋体" w:hAnsi="宋体"/>
          <w:bCs/>
          <w:color w:val="auto"/>
          <w:szCs w:val="21"/>
          <w:highlight w:val="none"/>
        </w:rPr>
      </w:pPr>
      <w:r>
        <w:rPr>
          <w:rFonts w:ascii="宋体" w:hAnsi="宋体"/>
          <w:bCs/>
          <w:color w:val="auto"/>
          <w:szCs w:val="21"/>
          <w:highlight w:val="none"/>
        </w:rPr>
        <w:t xml:space="preserve">                        </w:t>
      </w:r>
      <w:r>
        <w:rPr>
          <w:rFonts w:hint="eastAsia" w:ascii="宋体" w:hAnsi="宋体"/>
          <w:bCs/>
          <w:color w:val="auto"/>
          <w:szCs w:val="21"/>
          <w:highlight w:val="none"/>
        </w:rPr>
        <w:t>年</w:t>
      </w:r>
      <w:r>
        <w:rPr>
          <w:rFonts w:ascii="宋体" w:hAnsi="宋体"/>
          <w:bCs/>
          <w:color w:val="auto"/>
          <w:szCs w:val="21"/>
          <w:highlight w:val="none"/>
        </w:rPr>
        <w:t xml:space="preserve">  </w:t>
      </w:r>
      <w:r>
        <w:rPr>
          <w:rFonts w:hint="eastAsia" w:ascii="宋体" w:hAnsi="宋体"/>
          <w:bCs/>
          <w:color w:val="auto"/>
          <w:szCs w:val="21"/>
          <w:highlight w:val="none"/>
        </w:rPr>
        <w:t>月</w:t>
      </w:r>
      <w:r>
        <w:rPr>
          <w:rFonts w:ascii="宋体" w:hAnsi="宋体"/>
          <w:bCs/>
          <w:color w:val="auto"/>
          <w:szCs w:val="21"/>
          <w:highlight w:val="none"/>
        </w:rPr>
        <w:t xml:space="preserve">  </w:t>
      </w:r>
      <w:r>
        <w:rPr>
          <w:rFonts w:hint="eastAsia" w:ascii="宋体" w:hAnsi="宋体"/>
          <w:bCs/>
          <w:color w:val="auto"/>
          <w:szCs w:val="21"/>
          <w:highlight w:val="none"/>
        </w:rPr>
        <w:t>日</w:t>
      </w:r>
    </w:p>
    <w:p w14:paraId="1A991905">
      <w:pPr>
        <w:snapToGrid w:val="0"/>
        <w:spacing w:before="120" w:beforeLines="50" w:after="50"/>
        <w:jc w:val="center"/>
        <w:outlineLvl w:val="1"/>
        <w:rPr>
          <w:rFonts w:hint="eastAsia" w:ascii="宋体" w:hAnsi="宋体"/>
          <w:color w:val="auto"/>
          <w:szCs w:val="21"/>
          <w:highlight w:val="none"/>
        </w:rPr>
      </w:pPr>
    </w:p>
    <w:p w14:paraId="3FADEA73">
      <w:pPr>
        <w:snapToGrid w:val="0"/>
        <w:spacing w:before="120" w:beforeLines="50" w:after="50"/>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2. 投标文件封面格式：</w:t>
      </w:r>
      <w:r>
        <w:rPr>
          <w:rFonts w:ascii="宋体" w:hAnsi="宋体"/>
          <w:color w:val="auto"/>
          <w:szCs w:val="21"/>
          <w:highlight w:val="none"/>
        </w:rPr>
        <w:t xml:space="preserve"> </w:t>
      </w:r>
    </w:p>
    <w:p w14:paraId="0841AD64">
      <w:pPr>
        <w:snapToGrid w:val="0"/>
        <w:spacing w:before="120" w:beforeLines="50" w:after="50"/>
        <w:rPr>
          <w:rFonts w:ascii="宋体" w:hAnsi="宋体"/>
          <w:b/>
          <w:bCs/>
          <w:color w:val="auto"/>
          <w:szCs w:val="21"/>
          <w:highlight w:val="none"/>
        </w:rPr>
      </w:pPr>
      <w:r>
        <w:rPr>
          <w:rFonts w:ascii="宋体" w:hAnsi="宋体"/>
          <w:color w:val="auto"/>
          <w:szCs w:val="21"/>
          <w:highlight w:val="none"/>
        </w:rPr>
        <w:t xml:space="preserve">                                                    </w:t>
      </w:r>
      <w:r>
        <w:rPr>
          <w:rFonts w:hint="eastAsia" w:ascii="宋体" w:hAnsi="宋体"/>
          <w:b/>
          <w:bCs/>
          <w:color w:val="auto"/>
          <w:szCs w:val="21"/>
          <w:highlight w:val="none"/>
        </w:rPr>
        <w:t>正本</w:t>
      </w:r>
      <w:r>
        <w:rPr>
          <w:rFonts w:ascii="宋体" w:hAnsi="宋体"/>
          <w:b/>
          <w:bCs/>
          <w:color w:val="auto"/>
          <w:szCs w:val="21"/>
          <w:highlight w:val="none"/>
        </w:rPr>
        <w:t>/</w:t>
      </w:r>
      <w:r>
        <w:rPr>
          <w:rFonts w:hint="eastAsia" w:ascii="宋体" w:hAnsi="宋体"/>
          <w:b/>
          <w:bCs/>
          <w:color w:val="auto"/>
          <w:szCs w:val="21"/>
          <w:highlight w:val="none"/>
        </w:rPr>
        <w:t>或副本</w:t>
      </w:r>
    </w:p>
    <w:p w14:paraId="04B848F0">
      <w:pPr>
        <w:snapToGrid w:val="0"/>
        <w:spacing w:before="120" w:beforeLines="50" w:after="50"/>
        <w:rPr>
          <w:rFonts w:ascii="宋体" w:hAnsi="宋体"/>
          <w:color w:val="auto"/>
          <w:szCs w:val="21"/>
          <w:highlight w:val="none"/>
        </w:rPr>
      </w:pPr>
    </w:p>
    <w:p w14:paraId="0F80C1F6">
      <w:pPr>
        <w:snapToGrid w:val="0"/>
        <w:spacing w:before="120" w:beforeLines="50" w:after="50"/>
        <w:jc w:val="center"/>
        <w:rPr>
          <w:rFonts w:ascii="宋体" w:hAnsi="宋体"/>
          <w:bCs/>
          <w:color w:val="auto"/>
          <w:szCs w:val="21"/>
          <w:highlight w:val="none"/>
        </w:rPr>
      </w:pPr>
    </w:p>
    <w:p w14:paraId="5A468488">
      <w:pPr>
        <w:snapToGrid w:val="0"/>
        <w:spacing w:before="120" w:beforeLines="50" w:after="50"/>
        <w:ind w:firstLine="3255" w:firstLineChars="1550"/>
        <w:rPr>
          <w:rFonts w:ascii="宋体" w:hAnsi="宋体"/>
          <w:bCs/>
          <w:color w:val="auto"/>
          <w:szCs w:val="21"/>
          <w:highlight w:val="none"/>
        </w:rPr>
      </w:pPr>
      <w:r>
        <w:rPr>
          <w:rFonts w:hint="eastAsia" w:ascii="宋体" w:hAnsi="宋体"/>
          <w:color w:val="auto"/>
          <w:szCs w:val="21"/>
          <w:highlight w:val="none"/>
        </w:rPr>
        <w:t>投标文件</w:t>
      </w:r>
    </w:p>
    <w:p w14:paraId="0A3D4F62">
      <w:pPr>
        <w:snapToGrid w:val="0"/>
        <w:spacing w:before="120" w:beforeLines="50" w:after="50"/>
        <w:ind w:firstLine="932" w:firstLineChars="444"/>
        <w:rPr>
          <w:rFonts w:hint="eastAsia" w:ascii="宋体" w:hAnsi="宋体"/>
          <w:bCs/>
          <w:color w:val="auto"/>
          <w:szCs w:val="21"/>
          <w:highlight w:val="none"/>
        </w:rPr>
      </w:pPr>
      <w:r>
        <w:rPr>
          <w:rFonts w:hint="eastAsia" w:ascii="宋体" w:hAnsi="宋体"/>
          <w:bCs/>
          <w:color w:val="auto"/>
          <w:szCs w:val="21"/>
          <w:highlight w:val="none"/>
        </w:rPr>
        <w:t>项目名称：</w:t>
      </w:r>
    </w:p>
    <w:p w14:paraId="7FED3B4F">
      <w:pPr>
        <w:snapToGrid w:val="0"/>
        <w:spacing w:before="120" w:beforeLines="50" w:after="50"/>
        <w:ind w:firstLine="932" w:firstLineChars="444"/>
        <w:rPr>
          <w:rFonts w:hint="eastAsia" w:ascii="宋体" w:hAnsi="宋体"/>
          <w:bCs/>
          <w:color w:val="auto"/>
          <w:szCs w:val="21"/>
          <w:highlight w:val="none"/>
        </w:rPr>
      </w:pPr>
      <w:r>
        <w:rPr>
          <w:rFonts w:hint="eastAsia" w:ascii="宋体" w:hAnsi="宋体"/>
          <w:bCs/>
          <w:color w:val="auto"/>
          <w:szCs w:val="21"/>
          <w:highlight w:val="none"/>
        </w:rPr>
        <w:t>项目编号：</w:t>
      </w:r>
    </w:p>
    <w:p w14:paraId="08E07898">
      <w:pPr>
        <w:snapToGrid w:val="0"/>
        <w:spacing w:before="120" w:beforeLines="50" w:after="50"/>
        <w:ind w:firstLine="932" w:firstLineChars="444"/>
        <w:rPr>
          <w:rFonts w:hint="eastAsia" w:ascii="宋体" w:hAnsi="宋体"/>
          <w:bCs/>
          <w:color w:val="auto"/>
          <w:szCs w:val="21"/>
          <w:highlight w:val="none"/>
        </w:rPr>
      </w:pPr>
      <w:r>
        <w:rPr>
          <w:rFonts w:hint="eastAsia" w:ascii="宋体" w:hAnsi="宋体"/>
          <w:bCs/>
          <w:color w:val="auto"/>
          <w:szCs w:val="21"/>
          <w:highlight w:val="none"/>
          <w:lang w:val="en-US" w:eastAsia="zh-CN"/>
        </w:rPr>
        <w:t>子包号：</w:t>
      </w:r>
    </w:p>
    <w:p w14:paraId="6572254D">
      <w:pPr>
        <w:snapToGrid w:val="0"/>
        <w:spacing w:before="120" w:beforeLines="50" w:after="50"/>
        <w:ind w:firstLine="932" w:firstLineChars="444"/>
        <w:rPr>
          <w:rFonts w:hint="eastAsia" w:ascii="宋体" w:hAnsi="宋体"/>
          <w:bCs/>
          <w:color w:val="auto"/>
          <w:szCs w:val="21"/>
          <w:highlight w:val="none"/>
        </w:rPr>
      </w:pPr>
    </w:p>
    <w:p w14:paraId="3EF7A72B">
      <w:pPr>
        <w:snapToGrid w:val="0"/>
        <w:spacing w:before="120" w:beforeLines="50" w:after="50"/>
        <w:ind w:firstLine="932" w:firstLineChars="444"/>
        <w:rPr>
          <w:rFonts w:ascii="宋体" w:hAnsi="宋体"/>
          <w:bCs/>
          <w:color w:val="auto"/>
          <w:szCs w:val="21"/>
          <w:highlight w:val="none"/>
        </w:rPr>
      </w:pPr>
      <w:r>
        <w:rPr>
          <w:rFonts w:hint="eastAsia" w:ascii="宋体" w:hAnsi="宋体"/>
          <w:bCs/>
          <w:color w:val="auto"/>
          <w:szCs w:val="21"/>
          <w:highlight w:val="none"/>
        </w:rPr>
        <w:t>投标人名称：</w:t>
      </w:r>
    </w:p>
    <w:p w14:paraId="3C6A3F6C">
      <w:pPr>
        <w:pStyle w:val="4"/>
        <w:snapToGrid w:val="0"/>
        <w:spacing w:before="50" w:after="50"/>
        <w:ind w:firstLine="932" w:firstLineChars="444"/>
        <w:rPr>
          <w:rFonts w:ascii="宋体" w:hAnsi="宋体"/>
          <w:bCs/>
          <w:color w:val="auto"/>
          <w:szCs w:val="21"/>
          <w:highlight w:val="none"/>
        </w:rPr>
      </w:pPr>
      <w:r>
        <w:rPr>
          <w:rFonts w:hint="eastAsia" w:ascii="宋体" w:hAnsi="宋体"/>
          <w:bCs/>
          <w:color w:val="auto"/>
          <w:szCs w:val="21"/>
          <w:highlight w:val="none"/>
        </w:rPr>
        <w:t>投标人地址：</w:t>
      </w:r>
    </w:p>
    <w:p w14:paraId="119C8D3C">
      <w:pPr>
        <w:pStyle w:val="4"/>
        <w:snapToGrid w:val="0"/>
        <w:spacing w:before="50" w:after="50"/>
        <w:ind w:firstLine="840" w:firstLineChars="400"/>
        <w:rPr>
          <w:rFonts w:ascii="宋体" w:hAnsi="宋体"/>
          <w:bCs/>
          <w:color w:val="auto"/>
          <w:szCs w:val="21"/>
          <w:highlight w:val="none"/>
        </w:rPr>
      </w:pPr>
    </w:p>
    <w:p w14:paraId="1853CADB">
      <w:pPr>
        <w:pStyle w:val="4"/>
        <w:snapToGrid w:val="0"/>
        <w:spacing w:before="50" w:after="50"/>
        <w:ind w:firstLine="873" w:firstLineChars="416"/>
        <w:rPr>
          <w:rFonts w:ascii="宋体" w:hAnsi="宋体"/>
          <w:color w:val="auto"/>
          <w:szCs w:val="21"/>
          <w:highlight w:val="none"/>
        </w:rPr>
      </w:pPr>
    </w:p>
    <w:p w14:paraId="679B76E6">
      <w:pPr>
        <w:snapToGrid w:val="0"/>
        <w:spacing w:before="120" w:beforeLines="50" w:after="50"/>
        <w:ind w:firstLine="645"/>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14:paraId="102D7BB1">
      <w:pPr>
        <w:snapToGrid w:val="0"/>
        <w:spacing w:before="120" w:beforeLines="50" w:after="50"/>
        <w:rPr>
          <w:rFonts w:ascii="宋体" w:hAnsi="宋体"/>
          <w:color w:val="auto"/>
          <w:szCs w:val="21"/>
          <w:highlight w:val="none"/>
        </w:rPr>
      </w:pPr>
    </w:p>
    <w:p w14:paraId="1AE55884">
      <w:pPr>
        <w:snapToGrid w:val="0"/>
        <w:spacing w:before="120" w:beforeLines="50" w:after="50"/>
        <w:rPr>
          <w:rFonts w:ascii="宋体" w:hAnsi="宋体"/>
          <w:color w:val="auto"/>
          <w:szCs w:val="21"/>
          <w:highlight w:val="none"/>
        </w:rPr>
      </w:pPr>
    </w:p>
    <w:p w14:paraId="1F62B323">
      <w:pPr>
        <w:snapToGrid w:val="0"/>
        <w:spacing w:before="50" w:after="50"/>
        <w:rPr>
          <w:rFonts w:ascii="宋体" w:hAnsi="宋体"/>
          <w:color w:val="auto"/>
          <w:szCs w:val="21"/>
          <w:highlight w:val="none"/>
        </w:rPr>
      </w:pPr>
    </w:p>
    <w:p w14:paraId="7034FA7A">
      <w:pPr>
        <w:snapToGrid w:val="0"/>
        <w:spacing w:before="120" w:beforeLines="50" w:after="50"/>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3. 投标函格式：</w:t>
      </w:r>
    </w:p>
    <w:p w14:paraId="21474486">
      <w:pPr>
        <w:snapToGrid w:val="0"/>
        <w:spacing w:before="120" w:beforeLines="50" w:after="50"/>
        <w:jc w:val="center"/>
        <w:rPr>
          <w:rFonts w:hint="eastAsia" w:ascii="宋体" w:hAnsi="宋体"/>
          <w:b/>
          <w:color w:val="auto"/>
          <w:szCs w:val="21"/>
          <w:highlight w:val="none"/>
        </w:rPr>
      </w:pPr>
      <w:r>
        <w:rPr>
          <w:rFonts w:hint="eastAsia" w:ascii="宋体" w:hAnsi="宋体"/>
          <w:b/>
          <w:color w:val="auto"/>
          <w:szCs w:val="21"/>
          <w:highlight w:val="none"/>
        </w:rPr>
        <w:t>投</w:t>
      </w:r>
      <w:r>
        <w:rPr>
          <w:rFonts w:ascii="宋体" w:hAnsi="宋体"/>
          <w:b/>
          <w:color w:val="auto"/>
          <w:szCs w:val="21"/>
          <w:highlight w:val="none"/>
        </w:rPr>
        <w:t xml:space="preserve"> </w:t>
      </w:r>
      <w:r>
        <w:rPr>
          <w:rFonts w:hint="eastAsia" w:ascii="宋体" w:hAnsi="宋体"/>
          <w:b/>
          <w:color w:val="auto"/>
          <w:szCs w:val="21"/>
          <w:highlight w:val="none"/>
        </w:rPr>
        <w:t>标</w:t>
      </w:r>
      <w:r>
        <w:rPr>
          <w:rFonts w:ascii="宋体" w:hAnsi="宋体"/>
          <w:b/>
          <w:color w:val="auto"/>
          <w:szCs w:val="21"/>
          <w:highlight w:val="none"/>
        </w:rPr>
        <w:t xml:space="preserve"> </w:t>
      </w:r>
      <w:r>
        <w:rPr>
          <w:rFonts w:hint="eastAsia" w:ascii="宋体" w:hAnsi="宋体"/>
          <w:b/>
          <w:color w:val="auto"/>
          <w:szCs w:val="21"/>
          <w:highlight w:val="none"/>
        </w:rPr>
        <w:t>函</w:t>
      </w:r>
    </w:p>
    <w:p w14:paraId="48F541ED">
      <w:pPr>
        <w:snapToGrid w:val="0"/>
        <w:spacing w:before="120" w:beforeLines="50" w:after="50"/>
        <w:jc w:val="center"/>
        <w:rPr>
          <w:rFonts w:ascii="宋体" w:hAnsi="宋体"/>
          <w:b/>
          <w:color w:val="auto"/>
          <w:szCs w:val="21"/>
          <w:highlight w:val="none"/>
        </w:rPr>
      </w:pPr>
    </w:p>
    <w:p w14:paraId="39D44C8D">
      <w:pPr>
        <w:snapToGrid w:val="0"/>
        <w:spacing w:line="360" w:lineRule="auto"/>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（招标采购单位名称）：</w:t>
      </w:r>
    </w:p>
    <w:p w14:paraId="103997A4">
      <w:pPr>
        <w:snapToGrid w:val="0"/>
        <w:spacing w:line="360" w:lineRule="auto"/>
        <w:ind w:firstLine="480"/>
        <w:rPr>
          <w:rFonts w:ascii="宋体" w:hAnsi="宋体"/>
          <w:color w:val="auto"/>
          <w:szCs w:val="21"/>
          <w:highlight w:val="none"/>
        </w:rPr>
      </w:pPr>
      <w:r>
        <w:rPr>
          <w:rFonts w:hint="eastAsia" w:ascii="宋体" w:hAnsi="宋体"/>
          <w:color w:val="auto"/>
          <w:szCs w:val="21"/>
          <w:highlight w:val="none"/>
        </w:rPr>
        <w:t>根据贵方</w:t>
      </w:r>
      <w:r>
        <w:rPr>
          <w:rFonts w:ascii="宋体" w:hAnsi="宋体"/>
          <w:color w:val="auto"/>
          <w:szCs w:val="21"/>
          <w:highlight w:val="none"/>
          <w:u w:val="single"/>
        </w:rPr>
        <w:t xml:space="preserve">                       </w:t>
      </w:r>
      <w:r>
        <w:rPr>
          <w:rFonts w:hint="eastAsia" w:ascii="宋体" w:hAnsi="宋体"/>
          <w:color w:val="auto"/>
          <w:szCs w:val="21"/>
          <w:highlight w:val="none"/>
        </w:rPr>
        <w:t>项目的招标公告（项目编号：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），签字代表</w:t>
      </w:r>
      <w:r>
        <w:rPr>
          <w:rFonts w:hint="eastAsia" w:ascii="宋体" w:hAnsi="宋体"/>
          <w:color w:val="auto"/>
          <w:szCs w:val="21"/>
          <w:highlight w:val="none"/>
          <w:u w:val="single"/>
        </w:rPr>
        <w:t xml:space="preserve">         </w:t>
      </w:r>
      <w:r>
        <w:rPr>
          <w:rFonts w:hint="eastAsia" w:ascii="宋体" w:hAnsi="宋体"/>
          <w:color w:val="auto"/>
          <w:szCs w:val="21"/>
          <w:highlight w:val="none"/>
        </w:rPr>
        <w:t>（全名）经正式授权并代表投标人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（投标人名称）提交资信技术文件、报价文件正本各一份、副本</w:t>
      </w:r>
      <w:r>
        <w:rPr>
          <w:rFonts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电子文件一份</w:t>
      </w:r>
      <w:r>
        <w:rPr>
          <w:rFonts w:hint="eastAsia" w:ascii="宋体" w:hAnsi="宋体"/>
          <w:color w:val="auto"/>
          <w:szCs w:val="21"/>
          <w:highlight w:val="none"/>
        </w:rPr>
        <w:t>。</w:t>
      </w:r>
    </w:p>
    <w:p w14:paraId="52871FB4">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据此函，签字代表宣布同意如下：</w:t>
      </w:r>
    </w:p>
    <w:p w14:paraId="19ADBBD0">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.投标人已详细审查全部“招标文件”，包括修改文件（如有的话）以及全部参考资料和有关附件，已经了解我方对于招标文件、采购过程、采购结果有依法进行询问、质疑、投诉的权利及相关渠道和要求。</w:t>
      </w:r>
    </w:p>
    <w:p w14:paraId="009FB4A2">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.投标人在投标之前已经与贵方进行了充分的沟通，完全理解并接受招标文件的各项规定和要求，对招标文件的合理性、合法性不再有异议。</w:t>
      </w:r>
    </w:p>
    <w:p w14:paraId="3CF49A14">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.本投标有效期自开标日起</w:t>
      </w:r>
      <w:r>
        <w:rPr>
          <w:rFonts w:hint="eastAsia" w:ascii="宋体" w:hAnsi="宋体"/>
          <w:color w:val="auto"/>
          <w:szCs w:val="21"/>
          <w:highlight w:val="none"/>
          <w:u w:val="single"/>
        </w:rPr>
        <w:t xml:space="preserve"> 90 </w:t>
      </w:r>
      <w:r>
        <w:rPr>
          <w:rFonts w:hint="eastAsia" w:ascii="宋体" w:hAnsi="宋体"/>
          <w:color w:val="auto"/>
          <w:szCs w:val="21"/>
          <w:highlight w:val="none"/>
        </w:rPr>
        <w:t>个日。</w:t>
      </w:r>
    </w:p>
    <w:p w14:paraId="0687041A">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.如中标，本投标文件至本项目合同履行完毕止均保持有效，本投标人将按“招标文件”及采购法律、法规的规定履行合同责任和义务。</w:t>
      </w:r>
    </w:p>
    <w:p w14:paraId="03430450">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.投标人同意按照贵方要求提供与投标有关的一切数据或资料。</w:t>
      </w:r>
    </w:p>
    <w:p w14:paraId="06DE9C3F">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.与本投标有关的一切正式往来信函请寄：</w:t>
      </w:r>
    </w:p>
    <w:p w14:paraId="149F7D43">
      <w:pPr>
        <w:snapToGrid w:val="0"/>
        <w:spacing w:line="360" w:lineRule="auto"/>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r>
        <w:rPr>
          <w:rFonts w:hint="eastAsia" w:ascii="宋体" w:hAnsi="宋体"/>
          <w:color w:val="auto"/>
          <w:szCs w:val="21"/>
          <w:highlight w:val="none"/>
        </w:rPr>
        <w:t>邮编：</w:t>
      </w:r>
      <w:r>
        <w:rPr>
          <w:rFonts w:ascii="宋体" w:hAnsi="宋体"/>
          <w:color w:val="auto"/>
          <w:szCs w:val="21"/>
          <w:highlight w:val="none"/>
        </w:rPr>
        <w:t xml:space="preserve">__________   </w:t>
      </w:r>
      <w:r>
        <w:rPr>
          <w:rFonts w:hint="eastAsia" w:ascii="宋体" w:hAnsi="宋体"/>
          <w:color w:val="auto"/>
          <w:szCs w:val="21"/>
          <w:highlight w:val="none"/>
        </w:rPr>
        <w:t>电话：</w:t>
      </w:r>
      <w:r>
        <w:rPr>
          <w:rFonts w:ascii="宋体" w:hAnsi="宋体"/>
          <w:color w:val="auto"/>
          <w:szCs w:val="21"/>
          <w:highlight w:val="none"/>
        </w:rPr>
        <w:t>______________</w:t>
      </w:r>
    </w:p>
    <w:p w14:paraId="19459D47">
      <w:pPr>
        <w:snapToGrid w:val="0"/>
        <w:spacing w:line="360" w:lineRule="auto"/>
        <w:rPr>
          <w:rFonts w:ascii="宋体" w:hAnsi="宋体"/>
          <w:color w:val="auto"/>
          <w:szCs w:val="21"/>
          <w:highlight w:val="none"/>
        </w:rPr>
      </w:pPr>
      <w:r>
        <w:rPr>
          <w:rFonts w:hint="eastAsia" w:ascii="宋体" w:hAnsi="宋体"/>
          <w:color w:val="auto"/>
          <w:szCs w:val="21"/>
          <w:highlight w:val="none"/>
        </w:rPr>
        <w:t>传真：</w:t>
      </w:r>
      <w:r>
        <w:rPr>
          <w:rFonts w:ascii="宋体" w:hAnsi="宋体"/>
          <w:color w:val="auto"/>
          <w:szCs w:val="21"/>
          <w:highlight w:val="none"/>
        </w:rPr>
        <w:t>______________</w:t>
      </w:r>
      <w:r>
        <w:rPr>
          <w:rFonts w:hint="eastAsia" w:ascii="宋体" w:hAnsi="宋体"/>
          <w:color w:val="auto"/>
          <w:szCs w:val="21"/>
          <w:highlight w:val="none"/>
        </w:rPr>
        <w:t>投标人代表姓名</w:t>
      </w:r>
      <w:r>
        <w:rPr>
          <w:rFonts w:ascii="宋体" w:hAnsi="宋体"/>
          <w:color w:val="auto"/>
          <w:szCs w:val="21"/>
          <w:highlight w:val="none"/>
        </w:rPr>
        <w:t xml:space="preserve"> ___________  </w:t>
      </w:r>
      <w:r>
        <w:rPr>
          <w:rFonts w:hint="eastAsia" w:ascii="宋体" w:hAnsi="宋体"/>
          <w:color w:val="auto"/>
          <w:szCs w:val="21"/>
          <w:highlight w:val="none"/>
        </w:rPr>
        <w:t>职务：</w:t>
      </w:r>
      <w:r>
        <w:rPr>
          <w:rFonts w:ascii="宋体" w:hAnsi="宋体"/>
          <w:color w:val="auto"/>
          <w:szCs w:val="21"/>
          <w:highlight w:val="none"/>
        </w:rPr>
        <w:t>______</w:t>
      </w:r>
      <w:r>
        <w:rPr>
          <w:rFonts w:ascii="宋体" w:hAnsi="宋体"/>
          <w:color w:val="auto"/>
          <w:szCs w:val="21"/>
          <w:highlight w:val="none"/>
          <w:u w:val="single"/>
        </w:rPr>
        <w:t xml:space="preserve"> </w:t>
      </w:r>
      <w:r>
        <w:rPr>
          <w:rFonts w:ascii="宋体" w:hAnsi="宋体"/>
          <w:color w:val="auto"/>
          <w:szCs w:val="21"/>
          <w:highlight w:val="none"/>
        </w:rPr>
        <w:t>_______</w:t>
      </w:r>
    </w:p>
    <w:p w14:paraId="60DF24AC">
      <w:pPr>
        <w:snapToGrid w:val="0"/>
        <w:spacing w:line="360" w:lineRule="auto"/>
        <w:rPr>
          <w:rFonts w:ascii="宋体" w:hAnsi="宋体"/>
          <w:color w:val="auto"/>
          <w:szCs w:val="21"/>
          <w:highlight w:val="none"/>
        </w:rPr>
      </w:pPr>
      <w:r>
        <w:rPr>
          <w:rFonts w:hint="eastAsia" w:ascii="宋体" w:hAnsi="宋体"/>
          <w:color w:val="auto"/>
          <w:szCs w:val="21"/>
          <w:highlight w:val="none"/>
        </w:rPr>
        <w:t>投标人名称</w:t>
      </w:r>
      <w:r>
        <w:rPr>
          <w:rFonts w:hint="eastAsia" w:ascii="宋体" w:hAnsi="宋体"/>
          <w:color w:val="auto"/>
          <w:szCs w:val="21"/>
          <w:highlight w:val="none"/>
          <w:lang w:eastAsia="zh-CN"/>
        </w:rPr>
        <w:t>（</w:t>
      </w:r>
      <w:r>
        <w:rPr>
          <w:rFonts w:hint="eastAsia" w:ascii="宋体" w:hAnsi="宋体"/>
          <w:color w:val="auto"/>
          <w:szCs w:val="21"/>
          <w:highlight w:val="none"/>
        </w:rPr>
        <w:t>公章</w:t>
      </w:r>
      <w:r>
        <w:rPr>
          <w:rFonts w:hint="eastAsia" w:ascii="宋体" w:hAnsi="宋体"/>
          <w:color w:val="auto"/>
          <w:szCs w:val="21"/>
          <w:highlight w:val="none"/>
          <w:lang w:eastAsia="zh-CN"/>
        </w:rPr>
        <w:t>）</w:t>
      </w:r>
      <w:r>
        <w:rPr>
          <w:rFonts w:ascii="宋体" w:hAnsi="宋体"/>
          <w:color w:val="auto"/>
          <w:szCs w:val="21"/>
          <w:highlight w:val="none"/>
        </w:rPr>
        <w:t>:___________________</w:t>
      </w:r>
    </w:p>
    <w:p w14:paraId="735FA95D">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银行</w:t>
      </w:r>
      <w:r>
        <w:rPr>
          <w:rFonts w:hint="eastAsia" w:ascii="宋体" w:hAnsi="宋体"/>
          <w:color w:val="auto"/>
          <w:szCs w:val="21"/>
          <w:highlight w:val="none"/>
          <w:lang w:val="en-US" w:eastAsia="zh-CN"/>
        </w:rPr>
        <w:t>账号</w:t>
      </w:r>
      <w:r>
        <w:rPr>
          <w:rFonts w:hint="eastAsia"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 xml:space="preserve"> </w:t>
      </w:r>
    </w:p>
    <w:p w14:paraId="3A088A12">
      <w:pPr>
        <w:snapToGrid w:val="0"/>
        <w:spacing w:before="50" w:after="120" w:afterLines="50"/>
        <w:jc w:val="left"/>
        <w:rPr>
          <w:rFonts w:hint="eastAsia" w:ascii="宋体" w:hAnsi="宋体"/>
          <w:color w:val="auto"/>
          <w:szCs w:val="21"/>
          <w:highlight w:val="none"/>
        </w:rPr>
        <w:sectPr>
          <w:footerReference r:id="rId7" w:type="even"/>
          <w:pgSz w:w="11906" w:h="16838"/>
          <w:pgMar w:top="1985" w:right="1531" w:bottom="1588" w:left="1644" w:header="851" w:footer="992" w:gutter="0"/>
          <w:cols w:space="720" w:num="1"/>
          <w:rtlGutter w:val="1"/>
          <w:docGrid w:linePitch="602" w:charSpace="-1675"/>
        </w:sectPr>
      </w:pPr>
      <w:r>
        <w:rPr>
          <w:rFonts w:hint="eastAsia" w:ascii="宋体" w:hAnsi="宋体"/>
          <w:color w:val="auto"/>
          <w:szCs w:val="21"/>
          <w:highlight w:val="none"/>
        </w:rPr>
        <w:t>授权代表签字</w:t>
      </w:r>
      <w:r>
        <w:rPr>
          <w:rFonts w:hint="eastAsia" w:ascii="宋体" w:hAnsi="宋体"/>
          <w:color w:val="auto"/>
          <w:szCs w:val="21"/>
          <w:highlight w:val="none"/>
          <w:lang w:eastAsia="zh-CN"/>
        </w:rPr>
        <w:t>：</w:t>
      </w:r>
      <w:r>
        <w:rPr>
          <w:rFonts w:ascii="宋体" w:hAnsi="宋体"/>
          <w:color w:val="auto"/>
          <w:szCs w:val="21"/>
          <w:highlight w:val="none"/>
        </w:rPr>
        <w:t xml:space="preserve">___________                      </w:t>
      </w:r>
      <w:r>
        <w:rPr>
          <w:rFonts w:hint="eastAsia" w:ascii="宋体" w:hAnsi="宋体"/>
          <w:color w:val="auto"/>
          <w:szCs w:val="21"/>
          <w:highlight w:val="none"/>
        </w:rPr>
        <w:t>日期</w:t>
      </w:r>
      <w:r>
        <w:rPr>
          <w:rFonts w:hint="eastAsia" w:ascii="宋体" w:hAnsi="宋体"/>
          <w:color w:val="auto"/>
          <w:szCs w:val="21"/>
          <w:highlight w:val="none"/>
          <w:lang w:eastAsia="zh-CN"/>
        </w:rPr>
        <w:t>：</w:t>
      </w:r>
      <w:r>
        <w:rPr>
          <w:rFonts w:ascii="宋体" w:hAnsi="宋体"/>
          <w:color w:val="auto"/>
          <w:szCs w:val="21"/>
          <w:highlight w:val="none"/>
        </w:rPr>
        <w:t>_____</w:t>
      </w:r>
      <w:r>
        <w:rPr>
          <w:rFonts w:hint="eastAsia" w:ascii="宋体" w:hAnsi="宋体"/>
          <w:color w:val="auto"/>
          <w:szCs w:val="21"/>
          <w:highlight w:val="none"/>
        </w:rPr>
        <w:t>年</w:t>
      </w:r>
      <w:r>
        <w:rPr>
          <w:rFonts w:ascii="宋体" w:hAnsi="宋体"/>
          <w:color w:val="auto"/>
          <w:szCs w:val="21"/>
          <w:highlight w:val="none"/>
        </w:rPr>
        <w:t>___</w:t>
      </w:r>
      <w:r>
        <w:rPr>
          <w:rFonts w:hint="eastAsia" w:ascii="宋体" w:hAnsi="宋体"/>
          <w:color w:val="auto"/>
          <w:szCs w:val="21"/>
          <w:highlight w:val="none"/>
        </w:rPr>
        <w:t>月</w:t>
      </w:r>
      <w:r>
        <w:rPr>
          <w:rFonts w:ascii="宋体" w:hAnsi="宋体"/>
          <w:color w:val="auto"/>
          <w:szCs w:val="21"/>
          <w:highlight w:val="none"/>
        </w:rPr>
        <w:t>___</w:t>
      </w:r>
      <w:r>
        <w:rPr>
          <w:rFonts w:hint="eastAsia" w:ascii="宋体" w:hAnsi="宋体"/>
          <w:color w:val="auto"/>
          <w:szCs w:val="21"/>
          <w:highlight w:val="none"/>
        </w:rPr>
        <w:t>日</w:t>
      </w:r>
    </w:p>
    <w:p w14:paraId="16B0AEC1">
      <w:pPr>
        <w:numPr>
          <w:ilvl w:val="0"/>
          <w:numId w:val="0"/>
        </w:numPr>
        <w:adjustRightInd/>
        <w:snapToGrid w:val="0"/>
        <w:spacing w:before="190" w:beforeLines="50" w:after="50" w:line="240" w:lineRule="auto"/>
        <w:jc w:val="both"/>
        <w:textAlignment w:val="auto"/>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lang w:val="en-US" w:eastAsia="zh-CN"/>
        </w:rPr>
        <w:t>4.开标</w:t>
      </w:r>
      <w:r>
        <w:rPr>
          <w:rFonts w:hint="eastAsia" w:ascii="宋体" w:hAnsi="宋体" w:eastAsia="宋体" w:cs="宋体"/>
          <w:b w:val="0"/>
          <w:bCs/>
          <w:color w:val="auto"/>
          <w:kern w:val="2"/>
          <w:sz w:val="21"/>
          <w:szCs w:val="21"/>
          <w:highlight w:val="none"/>
        </w:rPr>
        <w:t>一览表</w:t>
      </w:r>
    </w:p>
    <w:p w14:paraId="5308A848">
      <w:pPr>
        <w:numPr>
          <w:ilvl w:val="0"/>
          <w:numId w:val="0"/>
        </w:numPr>
        <w:adjustRightInd/>
        <w:snapToGrid w:val="0"/>
        <w:spacing w:before="190" w:beforeLines="50" w:after="50" w:line="240" w:lineRule="auto"/>
        <w:jc w:val="center"/>
        <w:textAlignment w:val="auto"/>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rPr>
        <w:t>开标</w:t>
      </w:r>
      <w:r>
        <w:rPr>
          <w:rFonts w:hint="eastAsia" w:ascii="宋体" w:hAnsi="宋体" w:eastAsia="宋体" w:cs="宋体"/>
          <w:b/>
          <w:color w:val="auto"/>
          <w:kern w:val="2"/>
          <w:sz w:val="21"/>
          <w:szCs w:val="21"/>
          <w:highlight w:val="none"/>
        </w:rPr>
        <w:t>一览表</w:t>
      </w:r>
    </w:p>
    <w:p w14:paraId="31B42173">
      <w:pPr>
        <w:adjustRightInd/>
        <w:snapToGrid w:val="0"/>
        <w:spacing w:before="50" w:after="50" w:line="240" w:lineRule="auto"/>
        <w:jc w:val="center"/>
        <w:textAlignment w:val="auto"/>
        <w:rPr>
          <w:rFonts w:hint="eastAsia" w:ascii="宋体" w:hAnsi="宋体" w:eastAsia="宋体" w:cs="宋体"/>
          <w:b/>
          <w:color w:val="auto"/>
          <w:kern w:val="2"/>
          <w:sz w:val="21"/>
          <w:szCs w:val="21"/>
          <w:highlight w:val="none"/>
        </w:rPr>
      </w:pPr>
    </w:p>
    <w:p w14:paraId="67F64A57">
      <w:pPr>
        <w:adjustRightInd/>
        <w:snapToGrid w:val="0"/>
        <w:spacing w:before="50" w:line="240" w:lineRule="auto"/>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 xml:space="preserve">项目编号：                   项目名称：                   </w:t>
      </w:r>
      <w:r>
        <w:rPr>
          <w:rFonts w:hint="eastAsia" w:ascii="宋体" w:hAnsi="宋体" w:eastAsia="宋体" w:cs="宋体"/>
          <w:color w:val="auto"/>
          <w:kern w:val="2"/>
          <w:sz w:val="21"/>
          <w:szCs w:val="21"/>
          <w:highlight w:val="none"/>
          <w:lang w:val="en-US" w:eastAsia="zh-CN"/>
        </w:rPr>
        <w:t>子包号：</w:t>
      </w:r>
      <w:r>
        <w:rPr>
          <w:rFonts w:hint="eastAsia" w:ascii="宋体" w:hAnsi="宋体" w:eastAsia="宋体" w:cs="宋体"/>
          <w:color w:val="auto"/>
          <w:kern w:val="2"/>
          <w:sz w:val="21"/>
          <w:szCs w:val="21"/>
          <w:highlight w:val="none"/>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0"/>
        <w:gridCol w:w="3076"/>
        <w:gridCol w:w="4896"/>
      </w:tblGrid>
      <w:tr w14:paraId="21844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360" w:type="dxa"/>
            <w:tcBorders>
              <w:top w:val="single" w:color="auto" w:sz="4" w:space="0"/>
              <w:left w:val="single" w:color="auto" w:sz="4" w:space="0"/>
              <w:bottom w:val="single" w:color="auto" w:sz="4" w:space="0"/>
              <w:right w:val="single" w:color="auto" w:sz="4" w:space="0"/>
            </w:tcBorders>
            <w:noWrap w:val="0"/>
            <w:vAlign w:val="center"/>
          </w:tcPr>
          <w:p w14:paraId="6E7BC2BE">
            <w:pPr>
              <w:keepNext w:val="0"/>
              <w:keepLines w:val="0"/>
              <w:suppressLineNumbers w:val="0"/>
              <w:adjustRightInd/>
              <w:snapToGrid w:val="0"/>
              <w:spacing w:before="50" w:beforeAutospacing="0" w:after="50" w:afterAutospacing="0" w:line="240" w:lineRule="auto"/>
              <w:ind w:left="0" w:right="0"/>
              <w:jc w:val="center"/>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序号</w:t>
            </w:r>
          </w:p>
        </w:tc>
        <w:tc>
          <w:tcPr>
            <w:tcW w:w="3076" w:type="dxa"/>
            <w:tcBorders>
              <w:top w:val="single" w:color="auto" w:sz="4" w:space="0"/>
              <w:left w:val="single" w:color="auto" w:sz="4" w:space="0"/>
              <w:bottom w:val="single" w:color="auto" w:sz="4" w:space="0"/>
              <w:right w:val="single" w:color="auto" w:sz="4" w:space="0"/>
            </w:tcBorders>
            <w:noWrap w:val="0"/>
            <w:vAlign w:val="center"/>
          </w:tcPr>
          <w:p w14:paraId="2881E70B">
            <w:pPr>
              <w:keepNext w:val="0"/>
              <w:keepLines w:val="0"/>
              <w:suppressLineNumbers w:val="0"/>
              <w:adjustRightInd/>
              <w:snapToGrid w:val="0"/>
              <w:spacing w:before="50" w:beforeAutospacing="0" w:after="50" w:afterAutospacing="0" w:line="240" w:lineRule="auto"/>
              <w:ind w:left="0" w:right="0"/>
              <w:jc w:val="center"/>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rPr>
              <w:t>采购内容</w:t>
            </w:r>
          </w:p>
        </w:tc>
        <w:tc>
          <w:tcPr>
            <w:tcW w:w="4896" w:type="dxa"/>
            <w:tcBorders>
              <w:top w:val="single" w:color="auto" w:sz="4" w:space="0"/>
              <w:left w:val="single" w:color="auto" w:sz="4" w:space="0"/>
              <w:bottom w:val="single" w:color="auto" w:sz="4" w:space="0"/>
              <w:right w:val="single" w:color="auto" w:sz="4" w:space="0"/>
            </w:tcBorders>
            <w:noWrap w:val="0"/>
            <w:vAlign w:val="center"/>
          </w:tcPr>
          <w:p w14:paraId="553DF1B9">
            <w:pPr>
              <w:keepNext w:val="0"/>
              <w:keepLines w:val="0"/>
              <w:suppressLineNumbers w:val="0"/>
              <w:adjustRightInd/>
              <w:snapToGrid w:val="0"/>
              <w:spacing w:before="50" w:beforeAutospacing="0" w:after="50" w:afterAutospacing="0" w:line="240" w:lineRule="auto"/>
              <w:ind w:left="0" w:right="0"/>
              <w:jc w:val="center"/>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rPr>
              <w:t>服务期限</w:t>
            </w:r>
          </w:p>
        </w:tc>
      </w:tr>
      <w:tr w14:paraId="69A27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30" w:hRule="atLeast"/>
          <w:jc w:val="center"/>
        </w:trPr>
        <w:tc>
          <w:tcPr>
            <w:tcW w:w="1360" w:type="dxa"/>
            <w:tcBorders>
              <w:top w:val="single" w:color="auto" w:sz="4" w:space="0"/>
              <w:left w:val="single" w:color="auto" w:sz="4" w:space="0"/>
              <w:bottom w:val="single" w:color="auto" w:sz="4" w:space="0"/>
              <w:right w:val="single" w:color="auto" w:sz="4" w:space="0"/>
            </w:tcBorders>
            <w:noWrap w:val="0"/>
            <w:vAlign w:val="center"/>
          </w:tcPr>
          <w:p w14:paraId="347ABCB8">
            <w:pPr>
              <w:keepNext w:val="0"/>
              <w:keepLines w:val="0"/>
              <w:suppressLineNumbers w:val="0"/>
              <w:adjustRightInd/>
              <w:snapToGrid w:val="0"/>
              <w:spacing w:before="50" w:beforeAutospacing="0" w:after="50" w:afterAutospacing="0" w:line="24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p>
        </w:tc>
        <w:tc>
          <w:tcPr>
            <w:tcW w:w="3076" w:type="dxa"/>
            <w:tcBorders>
              <w:top w:val="single" w:color="auto" w:sz="4" w:space="0"/>
              <w:left w:val="single" w:color="auto" w:sz="4" w:space="0"/>
              <w:bottom w:val="single" w:color="auto" w:sz="4" w:space="0"/>
              <w:right w:val="single" w:color="auto" w:sz="4" w:space="0"/>
            </w:tcBorders>
            <w:noWrap w:val="0"/>
            <w:vAlign w:val="center"/>
          </w:tcPr>
          <w:p w14:paraId="1B29F6D3">
            <w:pPr>
              <w:keepNext w:val="0"/>
              <w:keepLines w:val="0"/>
              <w:suppressLineNumbers w:val="0"/>
              <w:adjustRightInd/>
              <w:snapToGrid w:val="0"/>
              <w:spacing w:before="50" w:beforeAutospacing="0" w:after="50" w:afterAutospacing="0" w:line="240" w:lineRule="auto"/>
              <w:ind w:left="0" w:right="0"/>
              <w:jc w:val="center"/>
              <w:textAlignment w:val="auto"/>
              <w:rPr>
                <w:rFonts w:hint="eastAsia" w:ascii="宋体" w:hAnsi="宋体" w:eastAsia="宋体" w:cs="宋体"/>
                <w:bCs/>
                <w:color w:val="auto"/>
                <w:kern w:val="2"/>
                <w:sz w:val="21"/>
                <w:szCs w:val="21"/>
                <w:highlight w:val="none"/>
              </w:rPr>
            </w:pPr>
          </w:p>
        </w:tc>
        <w:tc>
          <w:tcPr>
            <w:tcW w:w="4896" w:type="dxa"/>
            <w:tcBorders>
              <w:top w:val="single" w:color="auto" w:sz="4" w:space="0"/>
              <w:left w:val="single" w:color="auto" w:sz="4" w:space="0"/>
              <w:right w:val="single" w:color="auto" w:sz="4" w:space="0"/>
            </w:tcBorders>
            <w:noWrap w:val="0"/>
            <w:vAlign w:val="center"/>
          </w:tcPr>
          <w:p w14:paraId="118CCC0A">
            <w:pPr>
              <w:keepNext w:val="0"/>
              <w:keepLines w:val="0"/>
              <w:suppressLineNumbers w:val="0"/>
              <w:adjustRightInd/>
              <w:snapToGrid w:val="0"/>
              <w:spacing w:before="50" w:beforeAutospacing="0" w:after="50" w:afterAutospacing="0" w:line="240" w:lineRule="auto"/>
              <w:ind w:left="0" w:right="0"/>
              <w:jc w:val="center"/>
              <w:textAlignment w:val="auto"/>
              <w:rPr>
                <w:rFonts w:hint="eastAsia" w:ascii="宋体" w:hAnsi="宋体" w:eastAsia="宋体" w:cs="宋体"/>
                <w:color w:val="auto"/>
                <w:kern w:val="2"/>
                <w:sz w:val="21"/>
                <w:szCs w:val="21"/>
                <w:highlight w:val="none"/>
              </w:rPr>
            </w:pPr>
          </w:p>
        </w:tc>
      </w:tr>
      <w:tr w14:paraId="1C30D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75" w:hRule="atLeast"/>
          <w:jc w:val="center"/>
        </w:trPr>
        <w:tc>
          <w:tcPr>
            <w:tcW w:w="4436" w:type="dxa"/>
            <w:gridSpan w:val="2"/>
            <w:tcBorders>
              <w:top w:val="single" w:color="auto" w:sz="4" w:space="0"/>
              <w:left w:val="single" w:color="auto" w:sz="4" w:space="0"/>
              <w:bottom w:val="single" w:color="auto" w:sz="4" w:space="0"/>
              <w:right w:val="single" w:color="auto" w:sz="4" w:space="0"/>
            </w:tcBorders>
            <w:noWrap w:val="0"/>
            <w:vAlign w:val="center"/>
          </w:tcPr>
          <w:p w14:paraId="5DB2BE32">
            <w:pPr>
              <w:keepNext w:val="0"/>
              <w:keepLines w:val="0"/>
              <w:suppressLineNumbers w:val="0"/>
              <w:adjustRightInd/>
              <w:snapToGrid w:val="0"/>
              <w:spacing w:before="50" w:beforeAutospacing="0" w:after="50" w:afterAutospacing="0" w:line="240" w:lineRule="auto"/>
              <w:ind w:left="0" w:right="0"/>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投标</w:t>
            </w:r>
            <w:r>
              <w:rPr>
                <w:rFonts w:hint="eastAsia" w:ascii="宋体" w:hAnsi="宋体" w:eastAsia="宋体" w:cs="宋体"/>
                <w:bCs/>
                <w:color w:val="auto"/>
                <w:kern w:val="2"/>
                <w:sz w:val="21"/>
                <w:szCs w:val="21"/>
                <w:highlight w:val="none"/>
                <w:lang w:val="en-US" w:eastAsia="zh-CN"/>
              </w:rPr>
              <w:t>报价</w:t>
            </w:r>
          </w:p>
        </w:tc>
        <w:tc>
          <w:tcPr>
            <w:tcW w:w="4896" w:type="dxa"/>
            <w:tcBorders>
              <w:top w:val="single" w:color="auto" w:sz="4" w:space="0"/>
              <w:left w:val="single" w:color="auto" w:sz="4" w:space="0"/>
              <w:bottom w:val="single" w:color="auto" w:sz="4" w:space="0"/>
              <w:right w:val="single" w:color="auto" w:sz="4" w:space="0"/>
            </w:tcBorders>
            <w:noWrap w:val="0"/>
            <w:vAlign w:val="center"/>
          </w:tcPr>
          <w:p w14:paraId="79553175">
            <w:pPr>
              <w:keepNext w:val="0"/>
              <w:keepLines w:val="0"/>
              <w:suppressLineNumbers w:val="0"/>
              <w:adjustRightInd/>
              <w:snapToGrid w:val="0"/>
              <w:spacing w:before="50" w:beforeAutospacing="0" w:after="50" w:afterAutospacing="0" w:line="240" w:lineRule="auto"/>
              <w:ind w:left="0" w:right="0"/>
              <w:jc w:val="left"/>
              <w:textAlignment w:val="auto"/>
              <w:rPr>
                <w:rFonts w:hint="eastAsia" w:ascii="宋体" w:hAnsi="宋体" w:cs="宋体"/>
                <w:bCs/>
                <w:color w:val="auto"/>
                <w:kern w:val="2"/>
                <w:sz w:val="21"/>
                <w:szCs w:val="21"/>
                <w:highlight w:val="none"/>
                <w:u w:val="single"/>
                <w:lang w:val="en-US" w:eastAsia="zh-CN"/>
              </w:rPr>
            </w:pPr>
            <w:r>
              <w:rPr>
                <w:rFonts w:hint="eastAsia" w:ascii="宋体" w:hAnsi="宋体" w:cs="宋体"/>
                <w:bCs/>
                <w:color w:val="auto"/>
                <w:kern w:val="2"/>
                <w:sz w:val="21"/>
                <w:szCs w:val="21"/>
                <w:highlight w:val="none"/>
                <w:lang w:val="en-US" w:eastAsia="zh-CN"/>
              </w:rPr>
              <w:t>大写：百分之</w:t>
            </w:r>
            <w:r>
              <w:rPr>
                <w:rFonts w:hint="eastAsia" w:ascii="宋体" w:hAnsi="宋体" w:cs="宋体"/>
                <w:bCs/>
                <w:color w:val="auto"/>
                <w:kern w:val="2"/>
                <w:sz w:val="21"/>
                <w:szCs w:val="21"/>
                <w:highlight w:val="none"/>
                <w:u w:val="single"/>
                <w:lang w:val="en-US" w:eastAsia="zh-CN"/>
              </w:rPr>
              <w:t xml:space="preserve">     </w:t>
            </w:r>
          </w:p>
          <w:p w14:paraId="6D44C698">
            <w:pPr>
              <w:keepNext w:val="0"/>
              <w:keepLines w:val="0"/>
              <w:suppressLineNumbers w:val="0"/>
              <w:adjustRightInd/>
              <w:snapToGrid w:val="0"/>
              <w:spacing w:before="50" w:beforeAutospacing="0" w:after="50" w:afterAutospacing="0" w:line="240" w:lineRule="auto"/>
              <w:ind w:left="0" w:right="0"/>
              <w:jc w:val="left"/>
              <w:textAlignment w:val="auto"/>
              <w:rPr>
                <w:rFonts w:hint="eastAsia" w:ascii="宋体" w:hAnsi="宋体" w:cs="宋体"/>
                <w:bCs/>
                <w:color w:val="auto"/>
                <w:kern w:val="2"/>
                <w:sz w:val="21"/>
                <w:szCs w:val="21"/>
                <w:highlight w:val="none"/>
                <w:u w:val="single"/>
                <w:lang w:val="en-US" w:eastAsia="zh-CN"/>
              </w:rPr>
            </w:pPr>
          </w:p>
          <w:p w14:paraId="0B5F5FD8">
            <w:pPr>
              <w:keepNext w:val="0"/>
              <w:keepLines w:val="0"/>
              <w:suppressLineNumbers w:val="0"/>
              <w:adjustRightInd/>
              <w:snapToGrid w:val="0"/>
              <w:spacing w:before="50" w:beforeAutospacing="0" w:after="50" w:afterAutospacing="0" w:line="240" w:lineRule="auto"/>
              <w:ind w:left="0" w:right="0"/>
              <w:jc w:val="left"/>
              <w:textAlignment w:val="auto"/>
              <w:rPr>
                <w:rFonts w:hint="default" w:ascii="宋体" w:hAnsi="宋体" w:eastAsia="宋体" w:cs="宋体"/>
                <w:bCs/>
                <w:color w:val="auto"/>
                <w:kern w:val="2"/>
                <w:sz w:val="21"/>
                <w:szCs w:val="21"/>
                <w:highlight w:val="none"/>
                <w:lang w:val="en-US"/>
              </w:rPr>
            </w:pPr>
            <w:r>
              <w:rPr>
                <w:rFonts w:hint="eastAsia" w:ascii="宋体" w:hAnsi="宋体" w:cs="宋体"/>
                <w:bCs/>
                <w:color w:val="auto"/>
                <w:kern w:val="2"/>
                <w:sz w:val="21"/>
                <w:szCs w:val="21"/>
                <w:highlight w:val="none"/>
                <w:u w:val="none"/>
                <w:lang w:val="en-US" w:eastAsia="zh-CN"/>
              </w:rPr>
              <w:t>小写：</w:t>
            </w:r>
            <w:r>
              <w:rPr>
                <w:rFonts w:hint="eastAsia" w:ascii="宋体" w:hAnsi="宋体" w:cs="宋体"/>
                <w:bCs/>
                <w:color w:val="auto"/>
                <w:kern w:val="2"/>
                <w:sz w:val="21"/>
                <w:szCs w:val="21"/>
                <w:highlight w:val="none"/>
                <w:u w:val="single"/>
                <w:lang w:val="en-US" w:eastAsia="zh-CN"/>
              </w:rPr>
              <w:t xml:space="preserve">    %</w:t>
            </w:r>
          </w:p>
        </w:tc>
      </w:tr>
      <w:tr w14:paraId="22393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4" w:hRule="atLeast"/>
          <w:jc w:val="center"/>
        </w:trPr>
        <w:tc>
          <w:tcPr>
            <w:tcW w:w="4436" w:type="dxa"/>
            <w:gridSpan w:val="2"/>
            <w:tcBorders>
              <w:top w:val="single" w:color="auto" w:sz="4" w:space="0"/>
              <w:left w:val="single" w:color="auto" w:sz="4" w:space="0"/>
              <w:bottom w:val="single" w:color="auto" w:sz="4" w:space="0"/>
              <w:right w:val="single" w:color="auto" w:sz="4" w:space="0"/>
            </w:tcBorders>
            <w:noWrap w:val="0"/>
            <w:vAlign w:val="center"/>
          </w:tcPr>
          <w:p w14:paraId="5FC99B4D">
            <w:pPr>
              <w:keepNext w:val="0"/>
              <w:keepLines w:val="0"/>
              <w:suppressLineNumbers w:val="0"/>
              <w:adjustRightInd/>
              <w:snapToGrid w:val="0"/>
              <w:spacing w:before="50" w:beforeAutospacing="0" w:after="50" w:afterAutospacing="0" w:line="24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投标声明</w:t>
            </w:r>
          </w:p>
        </w:tc>
        <w:tc>
          <w:tcPr>
            <w:tcW w:w="4896" w:type="dxa"/>
            <w:tcBorders>
              <w:top w:val="single" w:color="auto" w:sz="4" w:space="0"/>
              <w:left w:val="single" w:color="auto" w:sz="4" w:space="0"/>
              <w:bottom w:val="single" w:color="auto" w:sz="4" w:space="0"/>
              <w:right w:val="single" w:color="auto" w:sz="4" w:space="0"/>
            </w:tcBorders>
            <w:noWrap w:val="0"/>
            <w:vAlign w:val="center"/>
          </w:tcPr>
          <w:p w14:paraId="25E1135C">
            <w:pPr>
              <w:keepNext w:val="0"/>
              <w:keepLines w:val="0"/>
              <w:suppressLineNumbers w:val="0"/>
              <w:adjustRightInd/>
              <w:snapToGrid w:val="0"/>
              <w:spacing w:before="50" w:beforeAutospacing="0" w:after="50" w:afterAutospacing="0" w:line="240" w:lineRule="auto"/>
              <w:ind w:left="0" w:right="0"/>
              <w:textAlignment w:val="auto"/>
              <w:rPr>
                <w:rFonts w:hint="eastAsia" w:ascii="宋体" w:hAnsi="宋体" w:eastAsia="宋体" w:cs="宋体"/>
                <w:color w:val="auto"/>
                <w:kern w:val="2"/>
                <w:sz w:val="21"/>
                <w:szCs w:val="21"/>
                <w:highlight w:val="none"/>
              </w:rPr>
            </w:pPr>
          </w:p>
        </w:tc>
      </w:tr>
    </w:tbl>
    <w:p w14:paraId="32AD4DB2">
      <w:pPr>
        <w:adjustRightInd/>
        <w:snapToGrid w:val="0"/>
        <w:spacing w:before="50" w:after="50" w:line="240" w:lineRule="auto"/>
        <w:jc w:val="left"/>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注</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 xml:space="preserve"> 1、报价一经涂改，应在涂改处加盖单位公章或者由法定代表人或授权代表签字或盖章，否则其投标作无效标处理。</w:t>
      </w:r>
      <w:r>
        <w:rPr>
          <w:rFonts w:hint="eastAsia" w:ascii="宋体" w:hAnsi="宋体" w:eastAsia="宋体" w:cs="宋体"/>
          <w:color w:val="auto"/>
          <w:kern w:val="2"/>
          <w:sz w:val="21"/>
          <w:szCs w:val="21"/>
          <w:highlight w:val="none"/>
          <w:lang w:val="en-US" w:eastAsia="zh-CN"/>
        </w:rPr>
        <w:t>2、投标人未按投标报价格式内容响应的，其投标作无效标处理。</w:t>
      </w:r>
    </w:p>
    <w:p w14:paraId="13D45EB1">
      <w:pPr>
        <w:adjustRightInd/>
        <w:snapToGrid w:val="0"/>
        <w:spacing w:before="50" w:after="50" w:line="240" w:lineRule="auto"/>
        <w:ind w:firstLine="420" w:firstLineChars="200"/>
        <w:textAlignment w:val="auto"/>
        <w:rPr>
          <w:rFonts w:hint="eastAsia" w:ascii="宋体" w:hAnsi="宋体" w:eastAsia="宋体" w:cs="宋体"/>
          <w:color w:val="auto"/>
          <w:kern w:val="2"/>
          <w:sz w:val="21"/>
          <w:szCs w:val="21"/>
          <w:highlight w:val="none"/>
        </w:rPr>
      </w:pPr>
    </w:p>
    <w:p w14:paraId="285611FC">
      <w:pPr>
        <w:adjustRightInd/>
        <w:snapToGrid w:val="0"/>
        <w:spacing w:before="50" w:after="50" w:line="240" w:lineRule="auto"/>
        <w:ind w:firstLine="420" w:firstLineChars="200"/>
        <w:textAlignment w:val="auto"/>
        <w:rPr>
          <w:rFonts w:hint="eastAsia" w:ascii="宋体" w:hAnsi="宋体" w:eastAsia="宋体" w:cs="宋体"/>
          <w:color w:val="auto"/>
          <w:kern w:val="2"/>
          <w:sz w:val="21"/>
          <w:szCs w:val="21"/>
          <w:highlight w:val="none"/>
        </w:rPr>
      </w:pPr>
    </w:p>
    <w:p w14:paraId="2BEA3BF4">
      <w:pPr>
        <w:adjustRightInd/>
        <w:snapToGrid w:val="0"/>
        <w:spacing w:before="50" w:after="50" w:line="240" w:lineRule="auto"/>
        <w:ind w:firstLine="420" w:firstLineChars="200"/>
        <w:textAlignment w:val="auto"/>
        <w:rPr>
          <w:rFonts w:hint="eastAsia" w:ascii="宋体" w:hAnsi="宋体" w:eastAsia="宋体" w:cs="宋体"/>
          <w:color w:val="auto"/>
          <w:kern w:val="2"/>
          <w:sz w:val="21"/>
          <w:szCs w:val="21"/>
          <w:highlight w:val="none"/>
        </w:rPr>
      </w:pPr>
    </w:p>
    <w:p w14:paraId="657E1945">
      <w:pPr>
        <w:adjustRightInd/>
        <w:snapToGrid w:val="0"/>
        <w:spacing w:before="50" w:after="50" w:line="360" w:lineRule="auto"/>
        <w:ind w:left="130" w:hanging="130" w:hangingChars="62"/>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法定代表人或授权代表（签字或盖章）：                    </w:t>
      </w:r>
    </w:p>
    <w:p w14:paraId="328A22B1">
      <w:pPr>
        <w:adjustRightInd/>
        <w:snapToGrid w:val="0"/>
        <w:spacing w:before="50" w:after="50"/>
        <w:ind w:left="130" w:hanging="130" w:hangingChars="62"/>
        <w:textAlignment w:val="auto"/>
        <w:rPr>
          <w:rFonts w:hint="default" w:hAnsi="宋体" w:eastAsia="宋体" w:cs="宋体"/>
          <w:color w:val="auto"/>
          <w:kern w:val="2"/>
          <w:sz w:val="21"/>
          <w:highlight w:val="none"/>
          <w:lang w:val="en-US" w:eastAsia="zh-CN"/>
        </w:rPr>
        <w:sectPr>
          <w:footerReference r:id="rId8" w:type="default"/>
          <w:footnotePr>
            <w:numFmt w:val="decimalEnclosedCircleChinese"/>
          </w:footnotePr>
          <w:pgSz w:w="11906" w:h="16838"/>
          <w:pgMar w:top="1701" w:right="1134" w:bottom="1304" w:left="1134" w:header="964" w:footer="567" w:gutter="567"/>
          <w:cols w:space="720" w:num="1"/>
          <w:docGrid w:type="lines" w:linePitch="381" w:charSpace="0"/>
        </w:sectPr>
      </w:pPr>
      <w:r>
        <w:rPr>
          <w:rFonts w:hint="eastAsia" w:ascii="宋体" w:hAnsi="宋体" w:eastAsia="宋体" w:cs="宋体"/>
          <w:color w:val="auto"/>
          <w:kern w:val="2"/>
          <w:sz w:val="21"/>
          <w:szCs w:val="21"/>
          <w:highlight w:val="none"/>
        </w:rPr>
        <w:t>投标人名称（盖章）：                                     日期：    年   月</w:t>
      </w:r>
      <w:r>
        <w:rPr>
          <w:rFonts w:hint="eastAsia" w:ascii="宋体" w:hAnsi="宋体" w:eastAsia="宋体" w:cs="宋体"/>
          <w:color w:val="auto"/>
          <w:kern w:val="2"/>
          <w:sz w:val="21"/>
          <w:szCs w:val="21"/>
          <w:highlight w:val="none"/>
          <w:lang w:val="en-US" w:eastAsia="zh-CN"/>
        </w:rPr>
        <w:t xml:space="preserve">   日</w:t>
      </w:r>
    </w:p>
    <w:p w14:paraId="2A6F4349">
      <w:pPr>
        <w:pStyle w:val="31"/>
        <w:rPr>
          <w:color w:val="auto"/>
          <w:highlight w:val="none"/>
        </w:rPr>
      </w:pPr>
    </w:p>
    <w:p w14:paraId="3A5F7FD5">
      <w:pPr>
        <w:spacing w:line="360" w:lineRule="auto"/>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 投标声明书格式：</w:t>
      </w:r>
    </w:p>
    <w:p w14:paraId="28D9D40E">
      <w:pPr>
        <w:snapToGrid w:val="0"/>
        <w:spacing w:before="120" w:beforeLines="50" w:after="50"/>
        <w:jc w:val="center"/>
        <w:rPr>
          <w:rFonts w:ascii="宋体" w:hAnsi="宋体"/>
          <w:color w:val="auto"/>
          <w:szCs w:val="21"/>
          <w:highlight w:val="none"/>
        </w:rPr>
      </w:pPr>
      <w:r>
        <w:rPr>
          <w:rFonts w:hint="eastAsia" w:ascii="宋体" w:hAnsi="宋体"/>
          <w:color w:val="auto"/>
          <w:szCs w:val="21"/>
          <w:highlight w:val="none"/>
        </w:rPr>
        <w:t>投标声明书</w:t>
      </w:r>
    </w:p>
    <w:p w14:paraId="456C1AFF">
      <w:pPr>
        <w:snapToGrid w:val="0"/>
        <w:spacing w:before="120" w:beforeLines="50" w:after="50"/>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（招标采购单位名称）：</w:t>
      </w:r>
    </w:p>
    <w:p w14:paraId="71B2A7EA">
      <w:pPr>
        <w:snapToGrid w:val="0"/>
        <w:spacing w:before="120" w:beforeLines="50" w:after="50"/>
        <w:ind w:firstLine="630" w:firstLineChars="3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（投标人名称）系中华人民共和国合法企业，经营地址</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757BA90">
      <w:pPr>
        <w:snapToGrid w:val="0"/>
        <w:spacing w:before="120" w:beforeLines="50" w:after="50"/>
        <w:ind w:firstLine="645"/>
        <w:rPr>
          <w:rFonts w:ascii="宋体" w:hAnsi="宋体"/>
          <w:color w:val="auto"/>
          <w:szCs w:val="21"/>
          <w:highlight w:val="none"/>
        </w:rPr>
      </w:pPr>
      <w:r>
        <w:rPr>
          <w:rFonts w:hint="eastAsia" w:ascii="宋体" w:hAnsi="宋体"/>
          <w:color w:val="auto"/>
          <w:szCs w:val="21"/>
          <w:highlight w:val="none"/>
        </w:rPr>
        <w:t>我</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（投标人名称）的法定代表人，我方愿意参加贵方组织的</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项目的投标，为便于贵方公正、择优地确定中标人及其投标产品和服务，我方就本次投标有关事项郑重声明如下：</w:t>
      </w:r>
    </w:p>
    <w:p w14:paraId="6BB6AB5E">
      <w:pPr>
        <w:snapToGrid w:val="0"/>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我方向贵方提交的所有投标文件、资料都是准确的和真实的</w:t>
      </w:r>
      <w:r>
        <w:rPr>
          <w:rFonts w:hint="eastAsia" w:ascii="宋体" w:hAnsi="宋体"/>
          <w:color w:val="auto"/>
          <w:szCs w:val="21"/>
          <w:highlight w:val="none"/>
        </w:rPr>
        <w:t>。</w:t>
      </w:r>
    </w:p>
    <w:p w14:paraId="3C6075FD">
      <w:pPr>
        <w:snapToGrid w:val="0"/>
        <w:spacing w:before="120" w:beforeLines="50"/>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我方不是</w:t>
      </w:r>
      <w:r>
        <w:rPr>
          <w:rFonts w:hint="eastAsia" w:ascii="宋体" w:hAnsi="宋体"/>
          <w:color w:val="auto"/>
          <w:szCs w:val="21"/>
          <w:highlight w:val="none"/>
        </w:rPr>
        <w:t>招标人</w:t>
      </w:r>
      <w:r>
        <w:rPr>
          <w:rFonts w:ascii="宋体" w:hAnsi="宋体"/>
          <w:color w:val="auto"/>
          <w:szCs w:val="21"/>
          <w:highlight w:val="none"/>
        </w:rPr>
        <w:t>的附属机构；在获知本项目采购信息后，与</w:t>
      </w:r>
      <w:r>
        <w:rPr>
          <w:rFonts w:hint="eastAsia" w:ascii="宋体" w:hAnsi="宋体"/>
          <w:color w:val="auto"/>
          <w:szCs w:val="21"/>
          <w:highlight w:val="none"/>
        </w:rPr>
        <w:t>招标人</w:t>
      </w:r>
      <w:r>
        <w:rPr>
          <w:rFonts w:ascii="宋体" w:hAnsi="宋体"/>
          <w:color w:val="auto"/>
          <w:szCs w:val="21"/>
          <w:highlight w:val="none"/>
        </w:rPr>
        <w:t>聘请的为此项目提供咨询服务的公司及其附属机构没有任何联系。</w:t>
      </w:r>
    </w:p>
    <w:p w14:paraId="5FE3D12C">
      <w:pPr>
        <w:pStyle w:val="14"/>
        <w:snapToGrid w:val="0"/>
        <w:spacing w:line="240" w:lineRule="auto"/>
        <w:ind w:firstLine="344" w:firstLineChars="200"/>
        <w:rPr>
          <w:rFonts w:hAnsi="宋体"/>
          <w:color w:val="auto"/>
          <w:sz w:val="21"/>
          <w:szCs w:val="21"/>
          <w:highlight w:val="none"/>
        </w:rPr>
      </w:pPr>
      <w:r>
        <w:rPr>
          <w:rFonts w:hAnsi="宋体"/>
          <w:color w:val="auto"/>
          <w:szCs w:val="21"/>
          <w:highlight w:val="none"/>
        </w:rPr>
        <w:t>3</w:t>
      </w:r>
      <w:r>
        <w:rPr>
          <w:rFonts w:hint="eastAsia" w:hAnsi="宋体"/>
          <w:color w:val="auto"/>
          <w:szCs w:val="21"/>
          <w:highlight w:val="none"/>
        </w:rPr>
        <w:t>.</w:t>
      </w:r>
      <w:r>
        <w:rPr>
          <w:rFonts w:hint="eastAsia" w:hAnsi="宋体"/>
          <w:color w:val="auto"/>
          <w:sz w:val="21"/>
          <w:szCs w:val="21"/>
          <w:highlight w:val="none"/>
        </w:rPr>
        <w:t>我方及由本人担任法定代表人的其他机构</w:t>
      </w:r>
      <w:r>
        <w:rPr>
          <w:rFonts w:hAnsi="宋体"/>
          <w:color w:val="auto"/>
          <w:sz w:val="21"/>
          <w:szCs w:val="21"/>
          <w:highlight w:val="none"/>
        </w:rPr>
        <w:t>最近三年内</w:t>
      </w:r>
      <w:r>
        <w:rPr>
          <w:rFonts w:hint="eastAsia" w:hAnsi="宋体"/>
          <w:color w:val="auto"/>
          <w:sz w:val="21"/>
          <w:szCs w:val="21"/>
          <w:highlight w:val="none"/>
        </w:rPr>
        <w:t>在经营活动中重大违法记录有</w:t>
      </w:r>
      <w:r>
        <w:rPr>
          <w:rFonts w:hAnsi="宋体"/>
          <w:color w:val="auto"/>
          <w:sz w:val="21"/>
          <w:szCs w:val="21"/>
          <w:highlight w:val="none"/>
        </w:rPr>
        <w:t>：</w:t>
      </w:r>
    </w:p>
    <w:p w14:paraId="4BB3520A">
      <w:pPr>
        <w:snapToGrid w:val="0"/>
        <w:spacing w:before="120" w:beforeLines="50"/>
        <w:ind w:firstLine="420" w:firstLineChars="200"/>
        <w:rPr>
          <w:rFonts w:ascii="宋体" w:hAnsi="宋体"/>
          <w:color w:val="auto"/>
          <w:szCs w:val="21"/>
          <w:highlight w:val="none"/>
          <w:u w:val="single"/>
        </w:rPr>
      </w:pPr>
      <w:r>
        <w:rPr>
          <w:rFonts w:hint="eastAsia" w:ascii="宋体" w:hAnsi="宋体"/>
          <w:color w:val="auto"/>
          <w:szCs w:val="21"/>
          <w:highlight w:val="none"/>
          <w:u w:val="single"/>
        </w:rPr>
        <w:t>　　　　　　　　　　　　　　　　　　　　　　　　　　　</w:t>
      </w:r>
    </w:p>
    <w:p w14:paraId="3332E23B">
      <w:pPr>
        <w:snapToGrid w:val="0"/>
        <w:spacing w:before="120" w:beforeLines="50"/>
        <w:ind w:firstLine="420" w:firstLineChars="200"/>
        <w:rPr>
          <w:rFonts w:ascii="宋体" w:hAnsi="宋体"/>
          <w:color w:val="auto"/>
          <w:szCs w:val="21"/>
          <w:highlight w:val="none"/>
          <w:u w:val="single"/>
        </w:rPr>
      </w:pPr>
      <w:r>
        <w:rPr>
          <w:rFonts w:hint="eastAsia" w:ascii="宋体" w:hAnsi="宋体"/>
          <w:color w:val="auto"/>
          <w:szCs w:val="21"/>
          <w:highlight w:val="none"/>
          <w:u w:val="single"/>
        </w:rPr>
        <w:t>　　　　　　　　　　　　　　　　　　　　　　　　　　　</w:t>
      </w:r>
    </w:p>
    <w:p w14:paraId="57521122">
      <w:pPr>
        <w:snapToGrid w:val="0"/>
        <w:ind w:firstLine="420" w:firstLineChars="200"/>
        <w:rPr>
          <w:rFonts w:hint="eastAsia" w:ascii="宋体" w:hAnsi="宋体"/>
          <w:color w:val="auto"/>
          <w:szCs w:val="21"/>
          <w:highlight w:val="none"/>
        </w:rPr>
      </w:pPr>
      <w:r>
        <w:rPr>
          <w:rFonts w:hint="eastAsia" w:ascii="宋体" w:hAnsi="宋体"/>
          <w:color w:val="auto"/>
          <w:szCs w:val="21"/>
          <w:highlight w:val="none"/>
        </w:rPr>
        <w:t>4.以上事项如有虚假或隐瞒，我方愿意承担一切后果，并不再寻求任何旨在减轻或免除法律责任的辩解。</w:t>
      </w:r>
    </w:p>
    <w:p w14:paraId="43FD6F92">
      <w:pPr>
        <w:pStyle w:val="16"/>
        <w:tabs>
          <w:tab w:val="left" w:pos="939"/>
        </w:tabs>
        <w:snapToGrid w:val="0"/>
        <w:ind w:left="716" w:leftChars="150" w:hanging="401" w:hangingChars="191"/>
        <w:rPr>
          <w:rFonts w:ascii="宋体" w:hAnsi="宋体"/>
          <w:color w:val="auto"/>
          <w:sz w:val="21"/>
          <w:szCs w:val="21"/>
          <w:highlight w:val="none"/>
        </w:rPr>
      </w:pPr>
    </w:p>
    <w:p w14:paraId="7F03147B">
      <w:pPr>
        <w:pStyle w:val="98"/>
        <w:snapToGrid w:val="0"/>
        <w:spacing w:before="120" w:beforeLines="50"/>
        <w:ind w:firstLine="200"/>
        <w:rPr>
          <w:rFonts w:ascii="宋体" w:hAnsi="宋体"/>
          <w:color w:val="auto"/>
          <w:sz w:val="21"/>
          <w:szCs w:val="21"/>
          <w:highlight w:val="none"/>
        </w:rPr>
      </w:pPr>
    </w:p>
    <w:p w14:paraId="69B591EA">
      <w:pPr>
        <w:snapToGrid w:val="0"/>
        <w:spacing w:before="120" w:beforeLines="50"/>
        <w:ind w:firstLine="200"/>
        <w:rPr>
          <w:rFonts w:ascii="宋体" w:hAnsi="宋体"/>
          <w:color w:val="auto"/>
          <w:szCs w:val="21"/>
          <w:highlight w:val="none"/>
          <w:u w:val="single"/>
        </w:rPr>
      </w:pPr>
      <w:r>
        <w:rPr>
          <w:rFonts w:hint="eastAsia" w:ascii="宋体" w:hAnsi="宋体"/>
          <w:color w:val="auto"/>
          <w:szCs w:val="21"/>
          <w:highlight w:val="none"/>
        </w:rPr>
        <w:t>法定代表人签字：</w:t>
      </w:r>
      <w:r>
        <w:rPr>
          <w:rFonts w:ascii="宋体" w:hAnsi="宋体"/>
          <w:color w:val="auto"/>
          <w:szCs w:val="21"/>
          <w:highlight w:val="none"/>
          <w:u w:val="single"/>
        </w:rPr>
        <w:t xml:space="preserve">             </w:t>
      </w:r>
    </w:p>
    <w:p w14:paraId="67DCED2E">
      <w:pPr>
        <w:snapToGrid w:val="0"/>
        <w:spacing w:before="120" w:beforeLines="50" w:after="50"/>
        <w:ind w:firstLine="210" w:firstLineChars="100"/>
        <w:rPr>
          <w:rFonts w:ascii="宋体" w:hAnsi="宋体"/>
          <w:color w:val="auto"/>
          <w:szCs w:val="21"/>
          <w:highlight w:val="none"/>
        </w:rPr>
      </w:pPr>
      <w:r>
        <w:rPr>
          <w:rFonts w:hint="eastAsia" w:ascii="宋体" w:hAnsi="宋体"/>
          <w:color w:val="auto"/>
          <w:szCs w:val="21"/>
          <w:highlight w:val="none"/>
        </w:rPr>
        <w:t>投标人公章：</w:t>
      </w:r>
      <w:r>
        <w:rPr>
          <w:rFonts w:ascii="宋体" w:hAnsi="宋体"/>
          <w:color w:val="auto"/>
          <w:szCs w:val="21"/>
          <w:highlight w:val="none"/>
          <w:u w:val="single"/>
        </w:rPr>
        <w:t xml:space="preserve">               </w:t>
      </w:r>
      <w:r>
        <w:rPr>
          <w:rFonts w:ascii="宋体" w:hAnsi="宋体"/>
          <w:color w:val="auto"/>
          <w:szCs w:val="21"/>
          <w:highlight w:val="none"/>
        </w:rPr>
        <w:t xml:space="preserve">                      年    月    日</w:t>
      </w:r>
    </w:p>
    <w:p w14:paraId="2155E075">
      <w:pPr>
        <w:snapToGrid w:val="0"/>
        <w:spacing w:before="120" w:beforeLines="50" w:after="50"/>
        <w:ind w:firstLine="4200" w:firstLineChars="2000"/>
        <w:rPr>
          <w:rFonts w:ascii="宋体" w:hAnsi="宋体"/>
          <w:color w:val="auto"/>
          <w:szCs w:val="21"/>
          <w:highlight w:val="none"/>
        </w:rPr>
      </w:pPr>
    </w:p>
    <w:p w14:paraId="1BC0564B">
      <w:pPr>
        <w:pStyle w:val="18"/>
        <w:snapToGrid w:val="0"/>
        <w:spacing w:before="120" w:after="120" w:line="240" w:lineRule="auto"/>
        <w:rPr>
          <w:rFonts w:hAnsi="宋体"/>
          <w:color w:val="auto"/>
          <w:sz w:val="21"/>
          <w:szCs w:val="21"/>
          <w:highlight w:val="none"/>
        </w:rPr>
      </w:pPr>
    </w:p>
    <w:p w14:paraId="3E7BA13F">
      <w:pPr>
        <w:snapToGrid w:val="0"/>
        <w:spacing w:before="120" w:beforeLines="50" w:after="50"/>
        <w:jc w:val="left"/>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lang w:val="en-US" w:eastAsia="zh-CN"/>
        </w:rPr>
        <w:t>6</w:t>
      </w:r>
      <w:r>
        <w:rPr>
          <w:rFonts w:hint="eastAsia" w:ascii="宋体" w:hAnsi="宋体"/>
          <w:color w:val="auto"/>
          <w:szCs w:val="21"/>
          <w:highlight w:val="none"/>
        </w:rPr>
        <w:t>.法定代表人授权委托书格式：</w:t>
      </w:r>
    </w:p>
    <w:p w14:paraId="3EED5BC1">
      <w:pPr>
        <w:snapToGrid w:val="0"/>
        <w:spacing w:before="120" w:beforeLines="50" w:after="50"/>
        <w:jc w:val="center"/>
        <w:rPr>
          <w:rFonts w:ascii="宋体" w:hAnsi="宋体"/>
          <w:color w:val="auto"/>
          <w:szCs w:val="21"/>
          <w:highlight w:val="none"/>
        </w:rPr>
      </w:pPr>
    </w:p>
    <w:p w14:paraId="0ACF1311">
      <w:pPr>
        <w:snapToGrid w:val="0"/>
        <w:spacing w:before="120" w:beforeLines="50" w:after="50"/>
        <w:jc w:val="center"/>
        <w:rPr>
          <w:rFonts w:ascii="宋体" w:hAnsi="宋体"/>
          <w:b/>
          <w:color w:val="auto"/>
          <w:szCs w:val="21"/>
          <w:highlight w:val="none"/>
        </w:rPr>
      </w:pPr>
      <w:r>
        <w:rPr>
          <w:rFonts w:hint="eastAsia" w:ascii="宋体" w:hAnsi="宋体"/>
          <w:b/>
          <w:color w:val="auto"/>
          <w:szCs w:val="21"/>
          <w:highlight w:val="none"/>
        </w:rPr>
        <w:t>法定代表人授权委托书</w:t>
      </w:r>
    </w:p>
    <w:p w14:paraId="64C697F3">
      <w:pPr>
        <w:snapToGrid w:val="0"/>
        <w:spacing w:line="360" w:lineRule="auto"/>
        <w:rPr>
          <w:rFonts w:ascii="宋体" w:hAnsi="宋体"/>
          <w:b/>
          <w:bCs/>
          <w:color w:val="auto"/>
          <w:szCs w:val="21"/>
          <w:highlight w:val="none"/>
        </w:rPr>
      </w:pPr>
      <w:r>
        <w:rPr>
          <w:rFonts w:hint="eastAsia" w:ascii="宋体" w:hAnsi="宋体"/>
          <w:bCs/>
          <w:color w:val="auto"/>
          <w:szCs w:val="21"/>
          <w:highlight w:val="none"/>
        </w:rPr>
        <w:t>致：</w:t>
      </w:r>
      <w:r>
        <w:rPr>
          <w:rFonts w:ascii="宋体" w:hAnsi="宋体"/>
          <w:color w:val="auto"/>
          <w:highlight w:val="none"/>
          <w:u w:val="single"/>
        </w:rPr>
        <w:t xml:space="preserve">                </w:t>
      </w:r>
      <w:r>
        <w:rPr>
          <w:rFonts w:hint="eastAsia" w:ascii="宋体" w:hAnsi="宋体"/>
          <w:color w:val="auto"/>
          <w:szCs w:val="21"/>
          <w:highlight w:val="none"/>
        </w:rPr>
        <w:t>（招标采购单位名称）：</w:t>
      </w:r>
    </w:p>
    <w:p w14:paraId="3F9034EF">
      <w:pPr>
        <w:snapToGrid w:val="0"/>
        <w:spacing w:line="360" w:lineRule="auto"/>
        <w:ind w:firstLine="403" w:firstLineChars="192"/>
        <w:rPr>
          <w:rFonts w:ascii="宋体" w:hAnsi="宋体"/>
          <w:color w:val="auto"/>
          <w:szCs w:val="21"/>
          <w:highlight w:val="none"/>
        </w:rPr>
      </w:pPr>
      <w:r>
        <w:rPr>
          <w:rFonts w:hint="eastAsia" w:ascii="宋体" w:hAnsi="宋体"/>
          <w:color w:val="auto"/>
          <w:szCs w:val="21"/>
          <w:highlight w:val="none"/>
        </w:rPr>
        <w:t>我</w:t>
      </w:r>
      <w:r>
        <w:rPr>
          <w:rFonts w:ascii="宋体" w:hAnsi="宋体"/>
          <w:color w:val="auto"/>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（投标人名称）的法定代表人，现授权委托本单位在职职工</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（姓名）以我方的名义参加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项目的投标活动，并代表我方全权办理针对上述项目的投标、开标、评标、签约等具体事务和签署相关文件。</w:t>
      </w:r>
    </w:p>
    <w:p w14:paraId="02DCCF30">
      <w:pPr>
        <w:snapToGrid w:val="0"/>
        <w:spacing w:line="360" w:lineRule="auto"/>
        <w:ind w:firstLine="403" w:firstLineChars="192"/>
        <w:rPr>
          <w:rFonts w:ascii="宋体" w:hAnsi="宋体"/>
          <w:color w:val="auto"/>
          <w:szCs w:val="21"/>
          <w:highlight w:val="none"/>
        </w:rPr>
      </w:pPr>
      <w:r>
        <w:rPr>
          <w:rFonts w:hint="eastAsia" w:ascii="宋体" w:hAnsi="宋体"/>
          <w:color w:val="auto"/>
          <w:szCs w:val="21"/>
          <w:highlight w:val="none"/>
        </w:rPr>
        <w:t>我方对被授权人的签名事项负全部责任。</w:t>
      </w:r>
    </w:p>
    <w:p w14:paraId="67D514EA">
      <w:pPr>
        <w:snapToGrid w:val="0"/>
        <w:spacing w:line="360" w:lineRule="auto"/>
        <w:ind w:firstLine="403" w:firstLineChars="192"/>
        <w:rPr>
          <w:rFonts w:ascii="宋体" w:hAnsi="宋体"/>
          <w:color w:val="auto"/>
          <w:szCs w:val="21"/>
          <w:highlight w:val="none"/>
        </w:rPr>
      </w:pPr>
      <w:r>
        <w:rPr>
          <w:rFonts w:hint="eastAsia" w:ascii="宋体" w:hAnsi="宋体"/>
          <w:color w:val="auto"/>
          <w:szCs w:val="21"/>
          <w:highlight w:val="none"/>
          <w:u w:val="single"/>
        </w:rPr>
        <w:t>在撤销授权的书面通知以前，本授权书一直有效。</w:t>
      </w:r>
      <w:r>
        <w:rPr>
          <w:rFonts w:hint="eastAsia" w:ascii="宋体" w:hAnsi="宋体"/>
          <w:color w:val="auto"/>
          <w:szCs w:val="21"/>
          <w:highlight w:val="none"/>
        </w:rPr>
        <w:t>被授权人在授权书有效期内签署的所有文件不因授权的撤销而失效。</w:t>
      </w:r>
    </w:p>
    <w:p w14:paraId="35BBB312">
      <w:pPr>
        <w:snapToGrid w:val="0"/>
        <w:spacing w:line="360" w:lineRule="auto"/>
        <w:ind w:firstLine="403" w:firstLineChars="192"/>
        <w:rPr>
          <w:rFonts w:ascii="宋体" w:hAnsi="宋体"/>
          <w:color w:val="auto"/>
          <w:szCs w:val="21"/>
          <w:highlight w:val="none"/>
        </w:rPr>
      </w:pPr>
      <w:r>
        <w:rPr>
          <w:rFonts w:hint="eastAsia" w:ascii="宋体" w:hAnsi="宋体"/>
          <w:color w:val="auto"/>
          <w:szCs w:val="21"/>
          <w:highlight w:val="none"/>
        </w:rPr>
        <w:t>被授权人无转委托权，特此委托。</w:t>
      </w:r>
    </w:p>
    <w:p w14:paraId="7ED95E3B">
      <w:pPr>
        <w:snapToGrid w:val="0"/>
        <w:spacing w:before="120" w:beforeLines="50" w:after="50"/>
        <w:rPr>
          <w:rFonts w:ascii="宋体" w:hAnsi="宋体"/>
          <w:color w:val="auto"/>
          <w:szCs w:val="21"/>
          <w:highlight w:val="none"/>
        </w:rPr>
      </w:pPr>
    </w:p>
    <w:p w14:paraId="55C39901">
      <w:pPr>
        <w:snapToGrid w:val="0"/>
        <w:spacing w:before="120" w:beforeLines="50" w:after="50"/>
        <w:rPr>
          <w:rFonts w:ascii="宋体" w:hAnsi="宋体"/>
          <w:color w:val="auto"/>
          <w:szCs w:val="21"/>
          <w:highlight w:val="none"/>
          <w:u w:val="single"/>
        </w:rPr>
      </w:pPr>
      <w:r>
        <w:rPr>
          <w:rFonts w:hint="eastAsia" w:ascii="宋体" w:hAnsi="宋体"/>
          <w:color w:val="auto"/>
          <w:szCs w:val="21"/>
          <w:highlight w:val="none"/>
        </w:rPr>
        <w:t>被授权人签名：</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法定代表人签名：</w:t>
      </w:r>
      <w:r>
        <w:rPr>
          <w:rFonts w:ascii="宋体" w:hAnsi="宋体"/>
          <w:color w:val="auto"/>
          <w:szCs w:val="21"/>
          <w:highlight w:val="none"/>
          <w:u w:val="single"/>
        </w:rPr>
        <w:t xml:space="preserve">          </w:t>
      </w:r>
    </w:p>
    <w:p w14:paraId="525E59B1">
      <w:pPr>
        <w:snapToGrid w:val="0"/>
        <w:spacing w:before="120" w:beforeLines="50" w:after="50"/>
        <w:ind w:firstLine="840" w:firstLineChars="400"/>
        <w:rPr>
          <w:rFonts w:ascii="宋体" w:hAnsi="宋体"/>
          <w:color w:val="auto"/>
          <w:szCs w:val="21"/>
          <w:highlight w:val="none"/>
        </w:rPr>
      </w:pPr>
      <w:r>
        <w:rPr>
          <w:rFonts w:hint="eastAsia" w:ascii="宋体" w:hAnsi="宋体"/>
          <w:color w:val="auto"/>
          <w:szCs w:val="21"/>
          <w:highlight w:val="none"/>
        </w:rPr>
        <w:t>职务：</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职务：</w:t>
      </w:r>
      <w:r>
        <w:rPr>
          <w:rFonts w:ascii="宋体" w:hAnsi="宋体"/>
          <w:color w:val="auto"/>
          <w:szCs w:val="21"/>
          <w:highlight w:val="none"/>
          <w:u w:val="single"/>
        </w:rPr>
        <w:t xml:space="preserve">           </w:t>
      </w:r>
    </w:p>
    <w:p w14:paraId="5159D974">
      <w:pPr>
        <w:snapToGrid w:val="0"/>
        <w:spacing w:before="120" w:beforeLines="50" w:after="50"/>
        <w:rPr>
          <w:rFonts w:ascii="宋体" w:hAnsi="宋体"/>
          <w:color w:val="auto"/>
          <w:szCs w:val="21"/>
          <w:highlight w:val="none"/>
        </w:rPr>
      </w:pPr>
      <w:r>
        <w:rPr>
          <w:rFonts w:hint="eastAsia" w:ascii="宋体" w:hAnsi="宋体"/>
          <w:color w:val="auto"/>
          <w:szCs w:val="21"/>
          <w:highlight w:val="none"/>
        </w:rPr>
        <w:t>被授权人身份证号码：</w:t>
      </w:r>
      <w:r>
        <w:rPr>
          <w:rFonts w:ascii="宋体" w:hAnsi="宋体"/>
          <w:color w:val="auto"/>
          <w:szCs w:val="21"/>
          <w:highlight w:val="none"/>
          <w:u w:val="single"/>
        </w:rPr>
        <w:t xml:space="preserve">                             </w:t>
      </w:r>
      <w:r>
        <w:rPr>
          <w:rFonts w:ascii="宋体" w:hAnsi="宋体"/>
          <w:color w:val="auto"/>
          <w:szCs w:val="21"/>
          <w:highlight w:val="none"/>
        </w:rPr>
        <w:t xml:space="preserve"> </w:t>
      </w:r>
    </w:p>
    <w:p w14:paraId="066387A5">
      <w:pPr>
        <w:snapToGrid w:val="0"/>
        <w:spacing w:before="120" w:beforeLines="50" w:after="50"/>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投标人公章：</w:t>
      </w:r>
    </w:p>
    <w:p w14:paraId="16FCB039">
      <w:pPr>
        <w:snapToGrid w:val="0"/>
        <w:spacing w:before="120" w:beforeLines="50" w:after="5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14:paraId="079CE410">
      <w:pPr>
        <w:snapToGrid w:val="0"/>
        <w:spacing w:before="120" w:beforeLines="50" w:after="50"/>
        <w:jc w:val="left"/>
        <w:rPr>
          <w:rFonts w:hint="eastAsia" w:ascii="宋体" w:hAnsi="宋体"/>
          <w:b/>
          <w:color w:val="auto"/>
          <w:szCs w:val="21"/>
          <w:highlight w:val="none"/>
        </w:rPr>
      </w:pPr>
    </w:p>
    <w:p w14:paraId="52E8E5C9">
      <w:pPr>
        <w:snapToGrid w:val="0"/>
        <w:spacing w:before="120" w:beforeLines="50" w:after="50"/>
        <w:jc w:val="left"/>
        <w:rPr>
          <w:rFonts w:hint="eastAsia" w:ascii="宋体" w:hAnsi="宋体"/>
          <w:b/>
          <w:color w:val="auto"/>
          <w:szCs w:val="21"/>
          <w:highlight w:val="none"/>
        </w:rPr>
      </w:pPr>
    </w:p>
    <w:p w14:paraId="3868FF10">
      <w:pPr>
        <w:snapToGrid w:val="0"/>
        <w:spacing w:before="120" w:beforeLines="50" w:after="50"/>
        <w:jc w:val="left"/>
        <w:rPr>
          <w:rFonts w:ascii="宋体" w:hAnsi="宋体"/>
          <w:color w:val="auto"/>
          <w:szCs w:val="21"/>
          <w:highlight w:val="none"/>
        </w:rPr>
      </w:pPr>
      <w:r>
        <w:rPr>
          <w:rFonts w:hint="eastAsia" w:ascii="宋体" w:hAnsi="宋体"/>
          <w:b/>
          <w:color w:val="auto"/>
          <w:szCs w:val="21"/>
          <w:highlight w:val="none"/>
        </w:rPr>
        <w:t>附：法定代表人身份证复印件（正反面）、授权代表身份证复印件（正反面）及</w:t>
      </w:r>
      <w:r>
        <w:rPr>
          <w:rFonts w:hint="eastAsia" w:ascii="宋体" w:hAnsi="宋体"/>
          <w:b/>
          <w:color w:val="auto"/>
          <w:szCs w:val="21"/>
          <w:highlight w:val="none"/>
          <w:lang w:val="en-US" w:eastAsia="zh-CN"/>
        </w:rPr>
        <w:t>开标前近3个</w:t>
      </w:r>
      <w:r>
        <w:rPr>
          <w:rFonts w:hint="eastAsia" w:ascii="宋体" w:hAnsi="宋体"/>
          <w:b/>
          <w:color w:val="auto"/>
          <w:szCs w:val="21"/>
          <w:highlight w:val="none"/>
        </w:rPr>
        <w:t>月当地相关部门出具的社保证明。</w:t>
      </w:r>
    </w:p>
    <w:p w14:paraId="324C5D54">
      <w:pPr>
        <w:snapToGrid w:val="0"/>
        <w:spacing w:before="120" w:beforeLines="50" w:after="50"/>
        <w:jc w:val="left"/>
        <w:rPr>
          <w:rFonts w:hint="eastAsia" w:ascii="宋体" w:hAnsi="宋体"/>
          <w:color w:val="auto"/>
          <w:szCs w:val="21"/>
          <w:highlight w:val="none"/>
        </w:rPr>
      </w:pPr>
    </w:p>
    <w:p w14:paraId="06098AC3">
      <w:pPr>
        <w:snapToGrid w:val="0"/>
        <w:spacing w:before="120" w:beforeLines="50" w:after="50"/>
        <w:rPr>
          <w:rFonts w:hint="eastAsia"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lang w:val="en-US" w:eastAsia="zh-CN"/>
        </w:rPr>
        <w:t>7</w:t>
      </w:r>
      <w:r>
        <w:rPr>
          <w:rFonts w:hint="eastAsia" w:ascii="宋体" w:hAnsi="宋体"/>
          <w:color w:val="auto"/>
          <w:szCs w:val="21"/>
          <w:highlight w:val="none"/>
        </w:rPr>
        <w:t>.投标人基本情况表</w:t>
      </w:r>
    </w:p>
    <w:p w14:paraId="127040F3">
      <w:pPr>
        <w:snapToGrid w:val="0"/>
        <w:spacing w:before="120" w:beforeLines="50" w:after="50"/>
        <w:rPr>
          <w:rFonts w:ascii="宋体" w:hAnsi="宋体"/>
          <w:color w:val="auto"/>
          <w:szCs w:val="21"/>
          <w:highlight w:val="none"/>
        </w:rPr>
      </w:pPr>
    </w:p>
    <w:p w14:paraId="2B8AA867">
      <w:pPr>
        <w:snapToGrid w:val="0"/>
        <w:spacing w:before="50" w:after="120" w:afterLines="50" w:line="360" w:lineRule="auto"/>
        <w:jc w:val="center"/>
        <w:rPr>
          <w:rFonts w:ascii="宋体" w:hAnsi="宋体"/>
          <w:b/>
          <w:bCs/>
          <w:color w:val="auto"/>
          <w:highlight w:val="none"/>
        </w:rPr>
      </w:pPr>
      <w:r>
        <w:rPr>
          <w:rFonts w:hint="eastAsia" w:ascii="宋体" w:hAnsi="宋体" w:cs="宋体"/>
          <w:b/>
          <w:bCs/>
          <w:color w:val="auto"/>
          <w:highlight w:val="none"/>
        </w:rPr>
        <w:t>投标人基本情况表</w:t>
      </w:r>
    </w:p>
    <w:tbl>
      <w:tblPr>
        <w:tblStyle w:val="3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974"/>
        <w:gridCol w:w="309"/>
        <w:gridCol w:w="1352"/>
        <w:gridCol w:w="1012"/>
        <w:gridCol w:w="349"/>
        <w:gridCol w:w="1074"/>
        <w:gridCol w:w="179"/>
        <w:gridCol w:w="352"/>
        <w:gridCol w:w="285"/>
        <w:gridCol w:w="1416"/>
      </w:tblGrid>
      <w:tr w14:paraId="046B9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666EA212">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r>
              <w:rPr>
                <w:rFonts w:hint="eastAsia" w:ascii="宋体" w:hAnsi="宋体" w:eastAsia="宋体" w:cs="宋体"/>
                <w:color w:val="auto"/>
                <w:highlight w:val="none"/>
              </w:rPr>
              <w:t>申请人名称</w:t>
            </w:r>
          </w:p>
        </w:tc>
        <w:tc>
          <w:tcPr>
            <w:tcW w:w="7302" w:type="dxa"/>
            <w:gridSpan w:val="10"/>
            <w:noWrap w:val="0"/>
            <w:vAlign w:val="center"/>
          </w:tcPr>
          <w:p w14:paraId="648F666B">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r>
      <w:tr w14:paraId="6C6C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5782572A">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r>
              <w:rPr>
                <w:rFonts w:hint="eastAsia" w:ascii="宋体" w:hAnsi="宋体" w:eastAsia="宋体" w:cs="宋体"/>
                <w:color w:val="auto"/>
                <w:highlight w:val="none"/>
              </w:rPr>
              <w:t>注册地址</w:t>
            </w:r>
          </w:p>
        </w:tc>
        <w:tc>
          <w:tcPr>
            <w:tcW w:w="3647" w:type="dxa"/>
            <w:gridSpan w:val="4"/>
            <w:noWrap w:val="0"/>
            <w:vAlign w:val="center"/>
          </w:tcPr>
          <w:p w14:paraId="035C71B9">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c>
          <w:tcPr>
            <w:tcW w:w="1602" w:type="dxa"/>
            <w:gridSpan w:val="3"/>
            <w:noWrap w:val="0"/>
            <w:vAlign w:val="center"/>
          </w:tcPr>
          <w:p w14:paraId="6FE0EFCF">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r>
              <w:rPr>
                <w:rFonts w:hint="eastAsia" w:ascii="宋体" w:hAnsi="宋体" w:eastAsia="宋体" w:cs="宋体"/>
                <w:color w:val="auto"/>
                <w:highlight w:val="none"/>
              </w:rPr>
              <w:t>邮政编码</w:t>
            </w:r>
          </w:p>
        </w:tc>
        <w:tc>
          <w:tcPr>
            <w:tcW w:w="2053" w:type="dxa"/>
            <w:gridSpan w:val="3"/>
            <w:noWrap w:val="0"/>
            <w:vAlign w:val="center"/>
          </w:tcPr>
          <w:p w14:paraId="1B1F53FD">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r>
      <w:tr w14:paraId="75DA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restart"/>
            <w:noWrap w:val="0"/>
            <w:vAlign w:val="center"/>
          </w:tcPr>
          <w:p w14:paraId="65C85AEB">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r>
              <w:rPr>
                <w:rFonts w:hint="eastAsia" w:ascii="宋体" w:hAnsi="宋体" w:eastAsia="宋体" w:cs="宋体"/>
                <w:color w:val="auto"/>
                <w:highlight w:val="none"/>
              </w:rPr>
              <w:t>联系方式</w:t>
            </w:r>
          </w:p>
        </w:tc>
        <w:tc>
          <w:tcPr>
            <w:tcW w:w="1283" w:type="dxa"/>
            <w:gridSpan w:val="2"/>
            <w:noWrap w:val="0"/>
            <w:vAlign w:val="center"/>
          </w:tcPr>
          <w:p w14:paraId="635324FD">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r>
              <w:rPr>
                <w:rFonts w:hint="eastAsia" w:ascii="宋体" w:hAnsi="宋体" w:eastAsia="宋体" w:cs="宋体"/>
                <w:color w:val="auto"/>
                <w:highlight w:val="none"/>
              </w:rPr>
              <w:t>联系人</w:t>
            </w:r>
          </w:p>
        </w:tc>
        <w:tc>
          <w:tcPr>
            <w:tcW w:w="2364" w:type="dxa"/>
            <w:gridSpan w:val="2"/>
            <w:noWrap w:val="0"/>
            <w:vAlign w:val="center"/>
          </w:tcPr>
          <w:p w14:paraId="79CFA591">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c>
          <w:tcPr>
            <w:tcW w:w="1602" w:type="dxa"/>
            <w:gridSpan w:val="3"/>
            <w:noWrap w:val="0"/>
            <w:vAlign w:val="center"/>
          </w:tcPr>
          <w:p w14:paraId="0AEBE19A">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r>
              <w:rPr>
                <w:rFonts w:hint="eastAsia" w:ascii="宋体" w:hAnsi="宋体" w:eastAsia="宋体" w:cs="宋体"/>
                <w:color w:val="auto"/>
                <w:highlight w:val="none"/>
              </w:rPr>
              <w:t>电话</w:t>
            </w:r>
          </w:p>
        </w:tc>
        <w:tc>
          <w:tcPr>
            <w:tcW w:w="2053" w:type="dxa"/>
            <w:gridSpan w:val="3"/>
            <w:noWrap w:val="0"/>
            <w:vAlign w:val="center"/>
          </w:tcPr>
          <w:p w14:paraId="1B348D79">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r>
      <w:tr w14:paraId="57F7B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continue"/>
            <w:noWrap w:val="0"/>
            <w:vAlign w:val="center"/>
          </w:tcPr>
          <w:p w14:paraId="42532B67">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c>
          <w:tcPr>
            <w:tcW w:w="1283" w:type="dxa"/>
            <w:gridSpan w:val="2"/>
            <w:noWrap w:val="0"/>
            <w:vAlign w:val="center"/>
          </w:tcPr>
          <w:p w14:paraId="37197BDC">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r>
              <w:rPr>
                <w:rFonts w:hint="eastAsia" w:ascii="宋体" w:hAnsi="宋体" w:eastAsia="宋体" w:cs="宋体"/>
                <w:color w:val="auto"/>
                <w:highlight w:val="none"/>
              </w:rPr>
              <w:t>传真</w:t>
            </w:r>
          </w:p>
        </w:tc>
        <w:tc>
          <w:tcPr>
            <w:tcW w:w="2364" w:type="dxa"/>
            <w:gridSpan w:val="2"/>
            <w:noWrap w:val="0"/>
            <w:vAlign w:val="center"/>
          </w:tcPr>
          <w:p w14:paraId="74046950">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c>
          <w:tcPr>
            <w:tcW w:w="1602" w:type="dxa"/>
            <w:gridSpan w:val="3"/>
            <w:noWrap w:val="0"/>
            <w:vAlign w:val="center"/>
          </w:tcPr>
          <w:p w14:paraId="24B2C6A3">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r>
              <w:rPr>
                <w:rFonts w:hint="eastAsia" w:ascii="宋体" w:hAnsi="宋体" w:eastAsia="宋体" w:cs="宋体"/>
                <w:color w:val="auto"/>
                <w:highlight w:val="none"/>
              </w:rPr>
              <w:t>网址</w:t>
            </w:r>
          </w:p>
        </w:tc>
        <w:tc>
          <w:tcPr>
            <w:tcW w:w="2053" w:type="dxa"/>
            <w:gridSpan w:val="3"/>
            <w:noWrap w:val="0"/>
            <w:vAlign w:val="center"/>
          </w:tcPr>
          <w:p w14:paraId="709A2AE2">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r>
      <w:tr w14:paraId="67371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7378FA95">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r>
              <w:rPr>
                <w:rFonts w:hint="eastAsia" w:ascii="宋体" w:hAnsi="宋体" w:eastAsia="宋体" w:cs="宋体"/>
                <w:color w:val="auto"/>
                <w:highlight w:val="none"/>
              </w:rPr>
              <w:t>组织结构</w:t>
            </w:r>
          </w:p>
        </w:tc>
        <w:tc>
          <w:tcPr>
            <w:tcW w:w="7302" w:type="dxa"/>
            <w:gridSpan w:val="10"/>
            <w:noWrap w:val="0"/>
            <w:vAlign w:val="center"/>
          </w:tcPr>
          <w:p w14:paraId="1BDA00AB">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r>
      <w:tr w14:paraId="6D9B4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15E22623">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r>
              <w:rPr>
                <w:rFonts w:hint="eastAsia" w:ascii="宋体" w:hAnsi="宋体" w:eastAsia="宋体" w:cs="宋体"/>
                <w:color w:val="auto"/>
                <w:highlight w:val="none"/>
              </w:rPr>
              <w:t>法定代表人</w:t>
            </w:r>
          </w:p>
        </w:tc>
        <w:tc>
          <w:tcPr>
            <w:tcW w:w="974" w:type="dxa"/>
            <w:noWrap w:val="0"/>
            <w:vAlign w:val="center"/>
          </w:tcPr>
          <w:p w14:paraId="468677BA">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r>
              <w:rPr>
                <w:rFonts w:hint="eastAsia" w:ascii="宋体" w:hAnsi="宋体" w:eastAsia="宋体" w:cs="宋体"/>
                <w:color w:val="auto"/>
                <w:highlight w:val="none"/>
              </w:rPr>
              <w:t>姓名</w:t>
            </w:r>
          </w:p>
        </w:tc>
        <w:tc>
          <w:tcPr>
            <w:tcW w:w="1661" w:type="dxa"/>
            <w:gridSpan w:val="2"/>
            <w:noWrap w:val="0"/>
            <w:vAlign w:val="center"/>
          </w:tcPr>
          <w:p w14:paraId="3235023D">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c>
          <w:tcPr>
            <w:tcW w:w="1361" w:type="dxa"/>
            <w:gridSpan w:val="2"/>
            <w:noWrap w:val="0"/>
            <w:vAlign w:val="center"/>
          </w:tcPr>
          <w:p w14:paraId="4CFDA1D1">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r>
              <w:rPr>
                <w:rFonts w:hint="eastAsia" w:ascii="宋体" w:hAnsi="宋体" w:eastAsia="宋体" w:cs="宋体"/>
                <w:color w:val="auto"/>
                <w:highlight w:val="none"/>
              </w:rPr>
              <w:t>技术职称</w:t>
            </w:r>
          </w:p>
        </w:tc>
        <w:tc>
          <w:tcPr>
            <w:tcW w:w="1074" w:type="dxa"/>
            <w:noWrap w:val="0"/>
            <w:vAlign w:val="center"/>
          </w:tcPr>
          <w:p w14:paraId="22A1F190">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c>
          <w:tcPr>
            <w:tcW w:w="816" w:type="dxa"/>
            <w:gridSpan w:val="3"/>
            <w:noWrap w:val="0"/>
            <w:vAlign w:val="center"/>
          </w:tcPr>
          <w:p w14:paraId="53E65020">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r>
              <w:rPr>
                <w:rFonts w:hint="eastAsia" w:ascii="宋体" w:hAnsi="宋体" w:eastAsia="宋体" w:cs="宋体"/>
                <w:color w:val="auto"/>
                <w:highlight w:val="none"/>
              </w:rPr>
              <w:t>电话</w:t>
            </w:r>
          </w:p>
        </w:tc>
        <w:tc>
          <w:tcPr>
            <w:tcW w:w="1416" w:type="dxa"/>
            <w:noWrap w:val="0"/>
            <w:vAlign w:val="center"/>
          </w:tcPr>
          <w:p w14:paraId="209AAF45">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r>
      <w:tr w14:paraId="7C430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2E652442">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r>
              <w:rPr>
                <w:rFonts w:hint="eastAsia" w:ascii="宋体" w:hAnsi="宋体" w:eastAsia="宋体" w:cs="宋体"/>
                <w:color w:val="auto"/>
                <w:highlight w:val="none"/>
              </w:rPr>
              <w:t>技术负责人</w:t>
            </w:r>
          </w:p>
        </w:tc>
        <w:tc>
          <w:tcPr>
            <w:tcW w:w="974" w:type="dxa"/>
            <w:noWrap w:val="0"/>
            <w:vAlign w:val="center"/>
          </w:tcPr>
          <w:p w14:paraId="1C1827CE">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r>
              <w:rPr>
                <w:rFonts w:hint="eastAsia" w:ascii="宋体" w:hAnsi="宋体" w:eastAsia="宋体" w:cs="宋体"/>
                <w:color w:val="auto"/>
                <w:highlight w:val="none"/>
              </w:rPr>
              <w:t>姓名</w:t>
            </w:r>
          </w:p>
        </w:tc>
        <w:tc>
          <w:tcPr>
            <w:tcW w:w="1661" w:type="dxa"/>
            <w:gridSpan w:val="2"/>
            <w:noWrap w:val="0"/>
            <w:vAlign w:val="center"/>
          </w:tcPr>
          <w:p w14:paraId="4DDEC018">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c>
          <w:tcPr>
            <w:tcW w:w="1361" w:type="dxa"/>
            <w:gridSpan w:val="2"/>
            <w:noWrap w:val="0"/>
            <w:vAlign w:val="center"/>
          </w:tcPr>
          <w:p w14:paraId="4D578F9B">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r>
              <w:rPr>
                <w:rFonts w:hint="eastAsia" w:ascii="宋体" w:hAnsi="宋体" w:eastAsia="宋体" w:cs="宋体"/>
                <w:color w:val="auto"/>
                <w:highlight w:val="none"/>
              </w:rPr>
              <w:t>技术职称</w:t>
            </w:r>
          </w:p>
        </w:tc>
        <w:tc>
          <w:tcPr>
            <w:tcW w:w="1074" w:type="dxa"/>
            <w:noWrap w:val="0"/>
            <w:vAlign w:val="center"/>
          </w:tcPr>
          <w:p w14:paraId="435AB88D">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c>
          <w:tcPr>
            <w:tcW w:w="816" w:type="dxa"/>
            <w:gridSpan w:val="3"/>
            <w:noWrap w:val="0"/>
            <w:vAlign w:val="center"/>
          </w:tcPr>
          <w:p w14:paraId="706DFDB0">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r>
              <w:rPr>
                <w:rFonts w:hint="eastAsia" w:ascii="宋体" w:hAnsi="宋体" w:eastAsia="宋体" w:cs="宋体"/>
                <w:color w:val="auto"/>
                <w:highlight w:val="none"/>
              </w:rPr>
              <w:t>电话</w:t>
            </w:r>
          </w:p>
        </w:tc>
        <w:tc>
          <w:tcPr>
            <w:tcW w:w="1416" w:type="dxa"/>
            <w:noWrap w:val="0"/>
            <w:vAlign w:val="center"/>
          </w:tcPr>
          <w:p w14:paraId="622DC9D8">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r>
      <w:tr w14:paraId="02DCC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59F1B599">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r>
              <w:rPr>
                <w:rFonts w:hint="eastAsia" w:ascii="宋体" w:hAnsi="宋体" w:eastAsia="宋体" w:cs="宋体"/>
                <w:color w:val="auto"/>
                <w:highlight w:val="none"/>
              </w:rPr>
              <w:t>成立时间</w:t>
            </w:r>
          </w:p>
        </w:tc>
        <w:tc>
          <w:tcPr>
            <w:tcW w:w="2635" w:type="dxa"/>
            <w:gridSpan w:val="3"/>
            <w:noWrap w:val="0"/>
            <w:vAlign w:val="center"/>
          </w:tcPr>
          <w:p w14:paraId="6F11383F">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c>
          <w:tcPr>
            <w:tcW w:w="4667" w:type="dxa"/>
            <w:gridSpan w:val="7"/>
            <w:noWrap w:val="0"/>
            <w:vAlign w:val="center"/>
          </w:tcPr>
          <w:p w14:paraId="22D05E54">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r>
              <w:rPr>
                <w:rFonts w:hint="eastAsia" w:ascii="宋体" w:hAnsi="宋体" w:eastAsia="宋体" w:cs="宋体"/>
                <w:color w:val="auto"/>
                <w:highlight w:val="none"/>
              </w:rPr>
              <w:t>员工总人数：</w:t>
            </w:r>
          </w:p>
        </w:tc>
      </w:tr>
      <w:tr w14:paraId="17A8A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3C5BEBAB">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r>
              <w:rPr>
                <w:rFonts w:hint="eastAsia" w:ascii="宋体" w:hAnsi="宋体" w:eastAsia="宋体" w:cs="宋体"/>
                <w:color w:val="auto"/>
                <w:highlight w:val="none"/>
              </w:rPr>
              <w:t>营业执照号</w:t>
            </w:r>
          </w:p>
        </w:tc>
        <w:tc>
          <w:tcPr>
            <w:tcW w:w="2635" w:type="dxa"/>
            <w:gridSpan w:val="3"/>
            <w:noWrap w:val="0"/>
            <w:vAlign w:val="center"/>
          </w:tcPr>
          <w:p w14:paraId="7357E2FB">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c>
          <w:tcPr>
            <w:tcW w:w="1012" w:type="dxa"/>
            <w:vMerge w:val="restart"/>
            <w:noWrap w:val="0"/>
            <w:vAlign w:val="center"/>
          </w:tcPr>
          <w:p w14:paraId="071399D0">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r>
              <w:rPr>
                <w:rFonts w:hint="eastAsia" w:ascii="宋体" w:hAnsi="宋体" w:eastAsia="宋体" w:cs="宋体"/>
                <w:color w:val="auto"/>
                <w:highlight w:val="none"/>
              </w:rPr>
              <w:t>其中</w:t>
            </w:r>
          </w:p>
        </w:tc>
        <w:tc>
          <w:tcPr>
            <w:tcW w:w="1954" w:type="dxa"/>
            <w:gridSpan w:val="4"/>
            <w:noWrap w:val="0"/>
            <w:vAlign w:val="center"/>
          </w:tcPr>
          <w:p w14:paraId="52B2913E">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r>
              <w:rPr>
                <w:rFonts w:hint="eastAsia" w:ascii="宋体" w:hAnsi="宋体" w:eastAsia="宋体" w:cs="宋体"/>
                <w:color w:val="auto"/>
                <w:highlight w:val="none"/>
              </w:rPr>
              <w:t>高级职称人员</w:t>
            </w:r>
          </w:p>
        </w:tc>
        <w:tc>
          <w:tcPr>
            <w:tcW w:w="1701" w:type="dxa"/>
            <w:gridSpan w:val="2"/>
            <w:noWrap w:val="0"/>
            <w:vAlign w:val="center"/>
          </w:tcPr>
          <w:p w14:paraId="315FCED6">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r>
      <w:tr w14:paraId="2EED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7B386E0F">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r>
              <w:rPr>
                <w:rFonts w:hint="eastAsia" w:ascii="宋体" w:hAnsi="宋体" w:eastAsia="宋体" w:cs="宋体"/>
                <w:color w:val="auto"/>
                <w:highlight w:val="none"/>
              </w:rPr>
              <w:t>注册资金（或开办资金）</w:t>
            </w:r>
          </w:p>
        </w:tc>
        <w:tc>
          <w:tcPr>
            <w:tcW w:w="2635" w:type="dxa"/>
            <w:gridSpan w:val="3"/>
            <w:noWrap w:val="0"/>
            <w:vAlign w:val="center"/>
          </w:tcPr>
          <w:p w14:paraId="021C3FAE">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c>
          <w:tcPr>
            <w:tcW w:w="1012" w:type="dxa"/>
            <w:vMerge w:val="continue"/>
            <w:noWrap w:val="0"/>
            <w:vAlign w:val="center"/>
          </w:tcPr>
          <w:p w14:paraId="272A4985">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c>
          <w:tcPr>
            <w:tcW w:w="1954" w:type="dxa"/>
            <w:gridSpan w:val="4"/>
            <w:noWrap w:val="0"/>
            <w:vAlign w:val="center"/>
          </w:tcPr>
          <w:p w14:paraId="2B0415BD">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r>
              <w:rPr>
                <w:rFonts w:hint="eastAsia" w:ascii="宋体" w:hAnsi="宋体" w:eastAsia="宋体" w:cs="宋体"/>
                <w:color w:val="auto"/>
                <w:highlight w:val="none"/>
              </w:rPr>
              <w:t>中级职称人员</w:t>
            </w:r>
          </w:p>
        </w:tc>
        <w:tc>
          <w:tcPr>
            <w:tcW w:w="1701" w:type="dxa"/>
            <w:gridSpan w:val="2"/>
            <w:noWrap w:val="0"/>
            <w:vAlign w:val="center"/>
          </w:tcPr>
          <w:p w14:paraId="52963F90">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r>
      <w:tr w14:paraId="543AA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2FD0593D">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r>
              <w:rPr>
                <w:rFonts w:hint="eastAsia" w:ascii="宋体" w:hAnsi="宋体" w:eastAsia="宋体" w:cs="宋体"/>
                <w:color w:val="auto"/>
                <w:highlight w:val="none"/>
              </w:rPr>
              <w:t>开户银行</w:t>
            </w:r>
          </w:p>
        </w:tc>
        <w:tc>
          <w:tcPr>
            <w:tcW w:w="2635" w:type="dxa"/>
            <w:gridSpan w:val="3"/>
            <w:noWrap w:val="0"/>
            <w:vAlign w:val="center"/>
          </w:tcPr>
          <w:p w14:paraId="1DC00ECA">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c>
          <w:tcPr>
            <w:tcW w:w="1012" w:type="dxa"/>
            <w:vMerge w:val="continue"/>
            <w:noWrap w:val="0"/>
            <w:vAlign w:val="center"/>
          </w:tcPr>
          <w:p w14:paraId="5EB1D521">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c>
          <w:tcPr>
            <w:tcW w:w="1954" w:type="dxa"/>
            <w:gridSpan w:val="4"/>
            <w:noWrap w:val="0"/>
            <w:vAlign w:val="center"/>
          </w:tcPr>
          <w:p w14:paraId="41E6D361">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r>
              <w:rPr>
                <w:rFonts w:hint="eastAsia" w:ascii="宋体" w:hAnsi="宋体" w:eastAsia="宋体" w:cs="宋体"/>
                <w:color w:val="auto"/>
                <w:highlight w:val="none"/>
              </w:rPr>
              <w:t>初级职称人员</w:t>
            </w:r>
          </w:p>
        </w:tc>
        <w:tc>
          <w:tcPr>
            <w:tcW w:w="1701" w:type="dxa"/>
            <w:gridSpan w:val="2"/>
            <w:noWrap w:val="0"/>
            <w:vAlign w:val="center"/>
          </w:tcPr>
          <w:p w14:paraId="5DC93728">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r>
      <w:tr w14:paraId="12C15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43E5A495">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r>
              <w:rPr>
                <w:rFonts w:hint="eastAsia" w:ascii="宋体" w:hAnsi="宋体" w:eastAsia="宋体" w:cs="宋体"/>
                <w:color w:val="auto"/>
                <w:highlight w:val="none"/>
              </w:rPr>
              <w:t>账号</w:t>
            </w:r>
          </w:p>
        </w:tc>
        <w:tc>
          <w:tcPr>
            <w:tcW w:w="2635" w:type="dxa"/>
            <w:gridSpan w:val="3"/>
            <w:noWrap w:val="0"/>
            <w:vAlign w:val="center"/>
          </w:tcPr>
          <w:p w14:paraId="70F3F9C8">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c>
          <w:tcPr>
            <w:tcW w:w="1012" w:type="dxa"/>
            <w:vMerge w:val="continue"/>
            <w:noWrap w:val="0"/>
            <w:vAlign w:val="center"/>
          </w:tcPr>
          <w:p w14:paraId="706C1E60">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c>
          <w:tcPr>
            <w:tcW w:w="1954" w:type="dxa"/>
            <w:gridSpan w:val="4"/>
            <w:noWrap w:val="0"/>
            <w:vAlign w:val="center"/>
          </w:tcPr>
          <w:p w14:paraId="3D0AC574">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c>
          <w:tcPr>
            <w:tcW w:w="1701" w:type="dxa"/>
            <w:gridSpan w:val="2"/>
            <w:noWrap w:val="0"/>
            <w:vAlign w:val="center"/>
          </w:tcPr>
          <w:p w14:paraId="2DC2FE7A">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r>
      <w:tr w14:paraId="23C6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trPr>
        <w:tc>
          <w:tcPr>
            <w:tcW w:w="1771" w:type="dxa"/>
            <w:noWrap w:val="0"/>
            <w:vAlign w:val="center"/>
          </w:tcPr>
          <w:p w14:paraId="0681F4F0">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r>
              <w:rPr>
                <w:rFonts w:hint="eastAsia" w:ascii="宋体" w:hAnsi="宋体" w:eastAsia="宋体" w:cs="宋体"/>
                <w:color w:val="auto"/>
                <w:highlight w:val="none"/>
              </w:rPr>
              <w:t>经营范围</w:t>
            </w:r>
          </w:p>
        </w:tc>
        <w:tc>
          <w:tcPr>
            <w:tcW w:w="7302" w:type="dxa"/>
            <w:gridSpan w:val="10"/>
            <w:noWrap w:val="0"/>
            <w:vAlign w:val="center"/>
          </w:tcPr>
          <w:p w14:paraId="0FE4130D">
            <w:pPr>
              <w:keepNext w:val="0"/>
              <w:keepLines w:val="0"/>
              <w:suppressLineNumbers w:val="0"/>
              <w:spacing w:before="0" w:beforeAutospacing="0" w:after="0" w:afterAutospacing="0" w:line="360" w:lineRule="auto"/>
              <w:ind w:left="0" w:right="0"/>
              <w:rPr>
                <w:rFonts w:ascii="宋体" w:hAnsi="宋体" w:eastAsia="宋体" w:cs="Times New Roman"/>
                <w:color w:val="auto"/>
                <w:highlight w:val="none"/>
              </w:rPr>
            </w:pPr>
          </w:p>
        </w:tc>
      </w:tr>
      <w:tr w14:paraId="117E4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71" w:type="dxa"/>
            <w:noWrap w:val="0"/>
            <w:vAlign w:val="center"/>
          </w:tcPr>
          <w:p w14:paraId="2DEE79CE">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r>
              <w:rPr>
                <w:rFonts w:hint="eastAsia" w:ascii="宋体" w:hAnsi="宋体" w:eastAsia="宋体" w:cs="宋体"/>
                <w:color w:val="auto"/>
                <w:highlight w:val="none"/>
              </w:rPr>
              <w:t>备注</w:t>
            </w:r>
          </w:p>
        </w:tc>
        <w:tc>
          <w:tcPr>
            <w:tcW w:w="7302" w:type="dxa"/>
            <w:gridSpan w:val="10"/>
            <w:noWrap w:val="0"/>
            <w:vAlign w:val="center"/>
          </w:tcPr>
          <w:p w14:paraId="72476B96">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r>
    </w:tbl>
    <w:p w14:paraId="6C62DD0C">
      <w:pPr>
        <w:snapToGrid w:val="0"/>
        <w:spacing w:before="50" w:after="120" w:afterLines="50"/>
        <w:jc w:val="left"/>
        <w:rPr>
          <w:rFonts w:hint="eastAsia" w:ascii="宋体" w:hAnsi="宋体"/>
          <w:color w:val="auto"/>
          <w:szCs w:val="21"/>
          <w:highlight w:val="none"/>
        </w:rPr>
      </w:pPr>
    </w:p>
    <w:p w14:paraId="4FB64264">
      <w:pPr>
        <w:snapToGrid w:val="0"/>
        <w:spacing w:before="50" w:after="120" w:afterLines="50"/>
        <w:jc w:val="left"/>
        <w:rPr>
          <w:rFonts w:hint="eastAsia" w:ascii="宋体" w:hAnsi="宋体"/>
          <w:color w:val="auto"/>
          <w:szCs w:val="21"/>
          <w:highlight w:val="none"/>
        </w:rPr>
      </w:pPr>
    </w:p>
    <w:p w14:paraId="4067076B">
      <w:pPr>
        <w:snapToGrid w:val="0"/>
        <w:spacing w:before="50" w:after="120" w:afterLines="50"/>
        <w:jc w:val="left"/>
        <w:rPr>
          <w:rFonts w:hint="eastAsia"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lang w:val="en-US" w:eastAsia="zh-CN"/>
        </w:rPr>
        <w:t>8</w:t>
      </w:r>
      <w:r>
        <w:rPr>
          <w:rFonts w:hint="eastAsia" w:ascii="宋体" w:hAnsi="宋体"/>
          <w:color w:val="auto"/>
          <w:szCs w:val="21"/>
          <w:highlight w:val="none"/>
        </w:rPr>
        <w:t>.合格投标人的资格承诺书格式：</w:t>
      </w:r>
    </w:p>
    <w:p w14:paraId="1CA9E5D7">
      <w:pPr>
        <w:snapToGrid w:val="0"/>
        <w:spacing w:before="50" w:after="120" w:afterLines="50"/>
        <w:jc w:val="left"/>
        <w:rPr>
          <w:rFonts w:hint="eastAsia" w:ascii="宋体" w:hAnsi="宋体"/>
          <w:color w:val="auto"/>
          <w:szCs w:val="21"/>
          <w:highlight w:val="none"/>
        </w:rPr>
      </w:pPr>
    </w:p>
    <w:p w14:paraId="2A90E1E9">
      <w:pPr>
        <w:snapToGrid w:val="0"/>
        <w:spacing w:before="50" w:after="120" w:afterLines="50"/>
        <w:jc w:val="left"/>
        <w:rPr>
          <w:rFonts w:hint="eastAsia" w:ascii="宋体" w:hAnsi="宋体"/>
          <w:color w:val="auto"/>
          <w:szCs w:val="21"/>
          <w:highlight w:val="none"/>
        </w:rPr>
      </w:pPr>
    </w:p>
    <w:p w14:paraId="6C81169D">
      <w:pPr>
        <w:widowControl/>
        <w:spacing w:line="360" w:lineRule="auto"/>
        <w:ind w:firstLine="422" w:firstLineChars="200"/>
        <w:jc w:val="center"/>
        <w:rPr>
          <w:rFonts w:hint="eastAsia" w:ascii="宋体" w:hAnsi="宋体"/>
          <w:b/>
          <w:bCs/>
          <w:color w:val="auto"/>
          <w:kern w:val="0"/>
          <w:szCs w:val="21"/>
          <w:highlight w:val="none"/>
        </w:rPr>
      </w:pPr>
      <w:r>
        <w:rPr>
          <w:rFonts w:hint="eastAsia" w:ascii="宋体" w:hAnsi="宋体"/>
          <w:b/>
          <w:bCs/>
          <w:color w:val="auto"/>
          <w:kern w:val="0"/>
          <w:szCs w:val="21"/>
          <w:highlight w:val="none"/>
        </w:rPr>
        <w:t>合格投标人的资格承诺书</w:t>
      </w:r>
    </w:p>
    <w:p w14:paraId="77DD2111">
      <w:pPr>
        <w:widowControl/>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（一）我公司（单位）符合一般资格条件：</w:t>
      </w:r>
    </w:p>
    <w:p w14:paraId="0F315C57">
      <w:pPr>
        <w:widowControl/>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1、具有独立承担民事责任的能力；</w:t>
      </w:r>
    </w:p>
    <w:p w14:paraId="188DF78D">
      <w:pPr>
        <w:widowControl/>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2、具有良好的商业信誉和健全的财务会计制度；</w:t>
      </w:r>
    </w:p>
    <w:p w14:paraId="2F98D916">
      <w:pPr>
        <w:widowControl/>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3、具有履行合同所必需的设备和专业技术能力；</w:t>
      </w:r>
    </w:p>
    <w:p w14:paraId="544FC49C">
      <w:pPr>
        <w:widowControl/>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4、有依法缴纳税收和社会保障资金的良好记录；</w:t>
      </w:r>
    </w:p>
    <w:p w14:paraId="3FC84724">
      <w:pPr>
        <w:widowControl/>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5、参加采购活动前三年内，在经营活动中没有重大违法记录；</w:t>
      </w:r>
    </w:p>
    <w:p w14:paraId="3BE49B2D">
      <w:pPr>
        <w:widowControl/>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6、法律、行政法规规定的其他条件。</w:t>
      </w:r>
    </w:p>
    <w:p w14:paraId="2D22FCD2">
      <w:pPr>
        <w:widowControl/>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（二）我公司（单位）承诺遵守以下要求：</w:t>
      </w:r>
    </w:p>
    <w:p w14:paraId="55D7C065">
      <w:pPr>
        <w:widowControl/>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单位负责人为同一人或者存在直接控股、管理关系的不同投标人，不得参加同一合同项下的采购活动。除单一来源采购项目外，为采购项目提供整体设计、规范编制或者项目管理、监理、检测等服务的投标人，不得再参加该采购项目的其他采购活动；</w:t>
      </w:r>
    </w:p>
    <w:p w14:paraId="3E272381">
      <w:pPr>
        <w:widowControl/>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特此承诺！</w:t>
      </w:r>
    </w:p>
    <w:p w14:paraId="27982916">
      <w:pPr>
        <w:widowControl/>
        <w:spacing w:line="360" w:lineRule="auto"/>
        <w:ind w:firstLine="420" w:firstLineChars="200"/>
        <w:rPr>
          <w:rFonts w:hint="eastAsia" w:ascii="宋体" w:hAnsi="宋体"/>
          <w:color w:val="auto"/>
          <w:kern w:val="0"/>
          <w:szCs w:val="21"/>
          <w:highlight w:val="none"/>
        </w:rPr>
      </w:pPr>
    </w:p>
    <w:p w14:paraId="12D017B0">
      <w:pPr>
        <w:widowControl/>
        <w:wordWrap w:val="0"/>
        <w:spacing w:line="360" w:lineRule="auto"/>
        <w:ind w:firstLine="420" w:firstLineChars="200"/>
        <w:jc w:val="right"/>
        <w:rPr>
          <w:rFonts w:hint="eastAsia" w:ascii="宋体" w:hAnsi="宋体"/>
          <w:color w:val="auto"/>
          <w:kern w:val="0"/>
          <w:szCs w:val="21"/>
          <w:highlight w:val="none"/>
        </w:rPr>
      </w:pPr>
      <w:r>
        <w:rPr>
          <w:rFonts w:hint="eastAsia" w:ascii="宋体" w:hAnsi="宋体"/>
          <w:color w:val="auto"/>
          <w:kern w:val="0"/>
          <w:szCs w:val="21"/>
          <w:highlight w:val="none"/>
        </w:rPr>
        <w:t xml:space="preserve">投标人（盖章）：        </w:t>
      </w:r>
    </w:p>
    <w:p w14:paraId="1AEC2523">
      <w:pPr>
        <w:widowControl/>
        <w:wordWrap w:val="0"/>
        <w:spacing w:line="360" w:lineRule="auto"/>
        <w:ind w:firstLine="420" w:firstLineChars="200"/>
        <w:jc w:val="right"/>
        <w:rPr>
          <w:rFonts w:hint="eastAsia" w:ascii="宋体" w:hAnsi="宋体"/>
          <w:color w:val="auto"/>
          <w:kern w:val="0"/>
          <w:szCs w:val="21"/>
          <w:highlight w:val="none"/>
        </w:rPr>
      </w:pPr>
      <w:r>
        <w:rPr>
          <w:rFonts w:hint="eastAsia" w:ascii="宋体" w:hAnsi="宋体"/>
          <w:color w:val="auto"/>
          <w:kern w:val="0"/>
          <w:szCs w:val="21"/>
          <w:highlight w:val="none"/>
        </w:rPr>
        <w:t>投标人的法定代表人或其授权委托人</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签字或印章</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 xml:space="preserve">：        </w:t>
      </w:r>
    </w:p>
    <w:p w14:paraId="37D11438">
      <w:pPr>
        <w:spacing w:line="360" w:lineRule="auto"/>
        <w:jc w:val="left"/>
        <w:rPr>
          <w:rFonts w:hint="eastAsia" w:ascii="宋体" w:hAnsi="宋体"/>
          <w:color w:val="auto"/>
          <w:szCs w:val="21"/>
          <w:highlight w:val="none"/>
        </w:rPr>
      </w:pPr>
      <w:r>
        <w:rPr>
          <w:rFonts w:hint="eastAsia" w:ascii="宋体" w:hAnsi="宋体"/>
          <w:color w:val="auto"/>
          <w:kern w:val="0"/>
          <w:szCs w:val="21"/>
          <w:highlight w:val="none"/>
        </w:rPr>
        <w:t xml:space="preserve">                                                           日  期：    </w:t>
      </w:r>
    </w:p>
    <w:p w14:paraId="67F279A5">
      <w:pPr>
        <w:spacing w:line="360" w:lineRule="auto"/>
        <w:rPr>
          <w:rFonts w:hint="eastAsia" w:ascii="宋体" w:hAnsi="宋体"/>
          <w:color w:val="auto"/>
          <w:szCs w:val="21"/>
          <w:highlight w:val="none"/>
        </w:rPr>
      </w:pPr>
    </w:p>
    <w:p w14:paraId="5FE7C355">
      <w:pPr>
        <w:spacing w:line="360" w:lineRule="auto"/>
        <w:rPr>
          <w:rFonts w:hint="eastAsia" w:ascii="宋体" w:hAnsi="宋体"/>
          <w:color w:val="auto"/>
          <w:szCs w:val="21"/>
          <w:highlight w:val="none"/>
        </w:rPr>
      </w:pPr>
    </w:p>
    <w:p w14:paraId="7F544369">
      <w:pPr>
        <w:spacing w:line="360" w:lineRule="auto"/>
        <w:rPr>
          <w:rFonts w:hint="eastAsia" w:ascii="宋体" w:hAnsi="宋体"/>
          <w:color w:val="auto"/>
          <w:szCs w:val="21"/>
          <w:highlight w:val="none"/>
        </w:rPr>
      </w:pPr>
    </w:p>
    <w:p w14:paraId="548B7D67">
      <w:pPr>
        <w:snapToGrid w:val="0"/>
        <w:spacing w:before="50"/>
        <w:jc w:val="left"/>
        <w:rPr>
          <w:rFonts w:hint="eastAsia"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lang w:val="en-US" w:eastAsia="zh-CN"/>
        </w:rPr>
        <w:t>9</w:t>
      </w:r>
      <w:r>
        <w:rPr>
          <w:rFonts w:hint="eastAsia" w:ascii="宋体" w:hAnsi="宋体"/>
          <w:color w:val="auto"/>
          <w:szCs w:val="21"/>
          <w:highlight w:val="none"/>
        </w:rPr>
        <w:t>.供应商特定资格条件的证明文件：详见“第一章 招标公告  五、合格投标人的资格要求（本项目资格后审）  2、特定资格条件”。</w:t>
      </w:r>
      <w:r>
        <w:rPr>
          <w:rFonts w:hint="eastAsia" w:ascii="宋体" w:hAnsi="宋体"/>
          <w:color w:val="auto"/>
          <w:szCs w:val="21"/>
          <w:highlight w:val="none"/>
        </w:rPr>
        <w:br w:type="page"/>
      </w:r>
      <w:r>
        <w:rPr>
          <w:rFonts w:hint="eastAsia" w:ascii="宋体" w:hAnsi="宋体"/>
          <w:color w:val="auto"/>
          <w:szCs w:val="21"/>
          <w:highlight w:val="none"/>
          <w:lang w:val="en-US" w:eastAsia="zh-CN"/>
        </w:rPr>
        <w:t>10</w:t>
      </w:r>
      <w:r>
        <w:rPr>
          <w:rFonts w:hint="eastAsia" w:ascii="宋体" w:hAnsi="宋体"/>
          <w:color w:val="auto"/>
          <w:szCs w:val="21"/>
          <w:highlight w:val="none"/>
        </w:rPr>
        <w:t>.技术条款偏离表</w:t>
      </w:r>
    </w:p>
    <w:p w14:paraId="5E337B01">
      <w:pPr>
        <w:snapToGrid w:val="0"/>
        <w:spacing w:before="50" w:after="120" w:afterLines="50" w:line="360" w:lineRule="auto"/>
        <w:jc w:val="center"/>
        <w:rPr>
          <w:rFonts w:hint="eastAsia" w:ascii="宋体" w:hAnsi="宋体" w:cs="宋体"/>
          <w:b/>
          <w:bCs/>
          <w:color w:val="auto"/>
          <w:highlight w:val="none"/>
        </w:rPr>
      </w:pPr>
      <w:r>
        <w:rPr>
          <w:rFonts w:hint="eastAsia" w:ascii="宋体" w:hAnsi="宋体" w:cs="宋体"/>
          <w:b/>
          <w:bCs/>
          <w:color w:val="auto"/>
          <w:highlight w:val="none"/>
        </w:rPr>
        <w:t>技术条款偏离表</w:t>
      </w:r>
    </w:p>
    <w:p w14:paraId="35202BDB">
      <w:pPr>
        <w:snapToGrid w:val="0"/>
        <w:spacing w:before="50"/>
        <w:jc w:val="left"/>
        <w:rPr>
          <w:rFonts w:hint="eastAsia" w:ascii="宋体" w:hAnsi="宋体"/>
          <w:color w:val="auto"/>
          <w:szCs w:val="21"/>
          <w:highlight w:val="none"/>
          <w:u w:val="single"/>
        </w:rPr>
      </w:pPr>
      <w:r>
        <w:rPr>
          <w:rFonts w:hint="eastAsia" w:ascii="宋体" w:hAnsi="宋体"/>
          <w:color w:val="auto"/>
          <w:szCs w:val="21"/>
          <w:highlight w:val="none"/>
        </w:rPr>
        <w:t xml:space="preserve">项目名称：                       项目编号：                  </w:t>
      </w:r>
    </w:p>
    <w:tbl>
      <w:tblPr>
        <w:tblStyle w:val="3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14:paraId="316CE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0"/>
            <w:vAlign w:val="center"/>
          </w:tcPr>
          <w:p w14:paraId="12AA9A40">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r>
              <w:rPr>
                <w:rFonts w:hint="eastAsia" w:ascii="宋体" w:hAnsi="宋体" w:eastAsia="宋体" w:cs="宋体"/>
                <w:color w:val="auto"/>
                <w:highlight w:val="none"/>
              </w:rPr>
              <w:t>条款号</w:t>
            </w:r>
          </w:p>
        </w:tc>
        <w:tc>
          <w:tcPr>
            <w:tcW w:w="4647" w:type="dxa"/>
            <w:noWrap w:val="0"/>
            <w:vAlign w:val="center"/>
          </w:tcPr>
          <w:p w14:paraId="2974B70E">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r>
              <w:rPr>
                <w:rFonts w:hint="eastAsia" w:ascii="宋体" w:hAnsi="宋体" w:eastAsia="宋体" w:cs="宋体"/>
                <w:color w:val="auto"/>
                <w:highlight w:val="none"/>
              </w:rPr>
              <w:t>招标文件的技术条款</w:t>
            </w:r>
          </w:p>
        </w:tc>
        <w:tc>
          <w:tcPr>
            <w:tcW w:w="1575" w:type="dxa"/>
            <w:noWrap w:val="0"/>
            <w:vAlign w:val="center"/>
          </w:tcPr>
          <w:p w14:paraId="55B3E103">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r>
              <w:rPr>
                <w:rFonts w:hint="eastAsia" w:ascii="宋体" w:hAnsi="宋体" w:eastAsia="宋体" w:cs="宋体"/>
                <w:color w:val="auto"/>
                <w:highlight w:val="none"/>
              </w:rPr>
              <w:t>投标文件的</w:t>
            </w:r>
          </w:p>
          <w:p w14:paraId="5AA02F29">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r>
              <w:rPr>
                <w:rFonts w:hint="eastAsia" w:ascii="宋体" w:hAnsi="宋体" w:eastAsia="宋体" w:cs="宋体"/>
                <w:color w:val="auto"/>
                <w:highlight w:val="none"/>
              </w:rPr>
              <w:t>响应情况</w:t>
            </w:r>
          </w:p>
        </w:tc>
        <w:tc>
          <w:tcPr>
            <w:tcW w:w="1185" w:type="dxa"/>
            <w:noWrap w:val="0"/>
            <w:vAlign w:val="center"/>
          </w:tcPr>
          <w:p w14:paraId="3FAD4A4F">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r>
              <w:rPr>
                <w:rFonts w:hint="eastAsia" w:ascii="宋体" w:hAnsi="宋体" w:eastAsia="宋体" w:cs="宋体"/>
                <w:color w:val="auto"/>
                <w:highlight w:val="none"/>
              </w:rPr>
              <w:t>说明（偏离</w:t>
            </w:r>
            <w:r>
              <w:rPr>
                <w:rFonts w:ascii="宋体" w:hAnsi="宋体" w:eastAsia="宋体" w:cs="宋体"/>
                <w:color w:val="auto"/>
                <w:highlight w:val="none"/>
              </w:rPr>
              <w:t>/</w:t>
            </w:r>
            <w:r>
              <w:rPr>
                <w:rFonts w:hint="eastAsia" w:ascii="宋体" w:hAnsi="宋体" w:eastAsia="宋体" w:cs="宋体"/>
                <w:color w:val="auto"/>
                <w:highlight w:val="none"/>
              </w:rPr>
              <w:t>响应）</w:t>
            </w:r>
          </w:p>
        </w:tc>
      </w:tr>
      <w:tr w14:paraId="5470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371EED48">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c>
          <w:tcPr>
            <w:tcW w:w="4647" w:type="dxa"/>
            <w:noWrap w:val="0"/>
            <w:vAlign w:val="center"/>
          </w:tcPr>
          <w:p w14:paraId="31622D0D">
            <w:pPr>
              <w:keepNext w:val="0"/>
              <w:keepLines w:val="0"/>
              <w:suppressLineNumbers w:val="0"/>
              <w:spacing w:before="0" w:beforeAutospacing="0" w:after="0" w:afterAutospacing="0" w:line="360" w:lineRule="auto"/>
              <w:ind w:left="0" w:right="0"/>
              <w:rPr>
                <w:rFonts w:ascii="宋体" w:hAnsi="宋体" w:eastAsia="宋体" w:cs="Times New Roman"/>
                <w:b/>
                <w:bCs/>
                <w:color w:val="auto"/>
                <w:highlight w:val="none"/>
              </w:rPr>
            </w:pPr>
          </w:p>
        </w:tc>
        <w:tc>
          <w:tcPr>
            <w:tcW w:w="1575" w:type="dxa"/>
            <w:noWrap w:val="0"/>
            <w:vAlign w:val="center"/>
          </w:tcPr>
          <w:p w14:paraId="53ECD8C8">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c>
          <w:tcPr>
            <w:tcW w:w="1185" w:type="dxa"/>
            <w:noWrap w:val="0"/>
            <w:vAlign w:val="center"/>
          </w:tcPr>
          <w:p w14:paraId="53C83E4C">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r>
      <w:tr w14:paraId="4F50A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660279FF">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c>
          <w:tcPr>
            <w:tcW w:w="4647" w:type="dxa"/>
            <w:noWrap w:val="0"/>
            <w:vAlign w:val="center"/>
          </w:tcPr>
          <w:p w14:paraId="6914D57E">
            <w:pPr>
              <w:keepNext w:val="0"/>
              <w:keepLines w:val="0"/>
              <w:suppressLineNumbers w:val="0"/>
              <w:spacing w:before="0" w:beforeAutospacing="0" w:after="0" w:afterAutospacing="0" w:line="360" w:lineRule="auto"/>
              <w:ind w:left="0" w:right="0"/>
              <w:rPr>
                <w:rFonts w:ascii="宋体" w:hAnsi="宋体" w:eastAsia="宋体" w:cs="Times New Roman"/>
                <w:b/>
                <w:bCs/>
                <w:color w:val="auto"/>
                <w:highlight w:val="none"/>
              </w:rPr>
            </w:pPr>
          </w:p>
        </w:tc>
        <w:tc>
          <w:tcPr>
            <w:tcW w:w="1575" w:type="dxa"/>
            <w:noWrap w:val="0"/>
            <w:vAlign w:val="center"/>
          </w:tcPr>
          <w:p w14:paraId="24F9B889">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c>
          <w:tcPr>
            <w:tcW w:w="1185" w:type="dxa"/>
            <w:noWrap w:val="0"/>
            <w:vAlign w:val="center"/>
          </w:tcPr>
          <w:p w14:paraId="41820752">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r>
      <w:tr w14:paraId="1B148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0DCFCB93">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c>
          <w:tcPr>
            <w:tcW w:w="4647" w:type="dxa"/>
            <w:noWrap w:val="0"/>
            <w:vAlign w:val="center"/>
          </w:tcPr>
          <w:p w14:paraId="4BA2AB7B">
            <w:pPr>
              <w:keepNext w:val="0"/>
              <w:keepLines w:val="0"/>
              <w:suppressLineNumbers w:val="0"/>
              <w:spacing w:before="0" w:beforeAutospacing="0" w:after="0" w:afterAutospacing="0" w:line="360" w:lineRule="auto"/>
              <w:ind w:left="0" w:right="0"/>
              <w:rPr>
                <w:rFonts w:ascii="宋体" w:hAnsi="宋体" w:eastAsia="宋体" w:cs="Times New Roman"/>
                <w:b/>
                <w:bCs/>
                <w:color w:val="auto"/>
                <w:highlight w:val="none"/>
              </w:rPr>
            </w:pPr>
          </w:p>
        </w:tc>
        <w:tc>
          <w:tcPr>
            <w:tcW w:w="1575" w:type="dxa"/>
            <w:noWrap w:val="0"/>
            <w:vAlign w:val="center"/>
          </w:tcPr>
          <w:p w14:paraId="5C90D6FF">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c>
          <w:tcPr>
            <w:tcW w:w="1185" w:type="dxa"/>
            <w:noWrap w:val="0"/>
            <w:vAlign w:val="center"/>
          </w:tcPr>
          <w:p w14:paraId="2807CF9F">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r>
      <w:tr w14:paraId="7FFDD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3432B27F">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c>
          <w:tcPr>
            <w:tcW w:w="4647" w:type="dxa"/>
            <w:noWrap w:val="0"/>
            <w:vAlign w:val="center"/>
          </w:tcPr>
          <w:p w14:paraId="663377F2">
            <w:pPr>
              <w:keepNext w:val="0"/>
              <w:keepLines w:val="0"/>
              <w:suppressLineNumbers w:val="0"/>
              <w:spacing w:before="0" w:beforeAutospacing="0" w:after="0" w:afterAutospacing="0" w:line="360" w:lineRule="auto"/>
              <w:ind w:left="0" w:right="0"/>
              <w:rPr>
                <w:rFonts w:ascii="宋体" w:hAnsi="宋体" w:eastAsia="宋体" w:cs="Times New Roman"/>
                <w:b/>
                <w:bCs/>
                <w:color w:val="auto"/>
                <w:highlight w:val="none"/>
              </w:rPr>
            </w:pPr>
          </w:p>
        </w:tc>
        <w:tc>
          <w:tcPr>
            <w:tcW w:w="1575" w:type="dxa"/>
            <w:noWrap w:val="0"/>
            <w:vAlign w:val="center"/>
          </w:tcPr>
          <w:p w14:paraId="136BF247">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c>
          <w:tcPr>
            <w:tcW w:w="1185" w:type="dxa"/>
            <w:noWrap w:val="0"/>
            <w:vAlign w:val="center"/>
          </w:tcPr>
          <w:p w14:paraId="0F10E0F7">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r>
      <w:tr w14:paraId="5679D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1CC84680">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c>
          <w:tcPr>
            <w:tcW w:w="4647" w:type="dxa"/>
            <w:noWrap w:val="0"/>
            <w:vAlign w:val="center"/>
          </w:tcPr>
          <w:p w14:paraId="2DAD252B">
            <w:pPr>
              <w:keepNext w:val="0"/>
              <w:keepLines w:val="0"/>
              <w:suppressLineNumbers w:val="0"/>
              <w:spacing w:before="0" w:beforeAutospacing="0" w:after="0" w:afterAutospacing="0" w:line="360" w:lineRule="auto"/>
              <w:ind w:left="0" w:right="0"/>
              <w:rPr>
                <w:rFonts w:ascii="宋体" w:hAnsi="宋体" w:eastAsia="宋体" w:cs="Times New Roman"/>
                <w:color w:val="auto"/>
                <w:highlight w:val="none"/>
              </w:rPr>
            </w:pPr>
          </w:p>
        </w:tc>
        <w:tc>
          <w:tcPr>
            <w:tcW w:w="1575" w:type="dxa"/>
            <w:noWrap w:val="0"/>
            <w:vAlign w:val="center"/>
          </w:tcPr>
          <w:p w14:paraId="58472CFA">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c>
          <w:tcPr>
            <w:tcW w:w="1185" w:type="dxa"/>
            <w:noWrap w:val="0"/>
            <w:vAlign w:val="center"/>
          </w:tcPr>
          <w:p w14:paraId="6A349928">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r>
      <w:tr w14:paraId="005D6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06B28F15">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c>
          <w:tcPr>
            <w:tcW w:w="4647" w:type="dxa"/>
            <w:noWrap w:val="0"/>
            <w:vAlign w:val="center"/>
          </w:tcPr>
          <w:p w14:paraId="09A6D6F6">
            <w:pPr>
              <w:keepNext w:val="0"/>
              <w:keepLines w:val="0"/>
              <w:suppressLineNumbers w:val="0"/>
              <w:spacing w:before="0" w:beforeAutospacing="0" w:after="0" w:afterAutospacing="0" w:line="360" w:lineRule="auto"/>
              <w:ind w:left="0" w:right="0"/>
              <w:rPr>
                <w:rFonts w:ascii="宋体" w:hAnsi="宋体" w:eastAsia="宋体" w:cs="Times New Roman"/>
                <w:color w:val="auto"/>
                <w:highlight w:val="none"/>
              </w:rPr>
            </w:pPr>
          </w:p>
        </w:tc>
        <w:tc>
          <w:tcPr>
            <w:tcW w:w="1575" w:type="dxa"/>
            <w:noWrap w:val="0"/>
            <w:vAlign w:val="center"/>
          </w:tcPr>
          <w:p w14:paraId="71F4C5BF">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c>
          <w:tcPr>
            <w:tcW w:w="1185" w:type="dxa"/>
            <w:noWrap w:val="0"/>
            <w:vAlign w:val="center"/>
          </w:tcPr>
          <w:p w14:paraId="0EB72D34">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r>
      <w:tr w14:paraId="7798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5443E621">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c>
          <w:tcPr>
            <w:tcW w:w="4647" w:type="dxa"/>
            <w:noWrap w:val="0"/>
            <w:vAlign w:val="center"/>
          </w:tcPr>
          <w:p w14:paraId="5F89D4E9">
            <w:pPr>
              <w:keepNext w:val="0"/>
              <w:keepLines w:val="0"/>
              <w:suppressLineNumbers w:val="0"/>
              <w:spacing w:before="0" w:beforeAutospacing="0" w:after="0" w:afterAutospacing="0" w:line="360" w:lineRule="auto"/>
              <w:ind w:left="0" w:right="0"/>
              <w:rPr>
                <w:rFonts w:ascii="宋体" w:hAnsi="宋体" w:eastAsia="宋体" w:cs="Times New Roman"/>
                <w:color w:val="auto"/>
                <w:highlight w:val="none"/>
              </w:rPr>
            </w:pPr>
          </w:p>
        </w:tc>
        <w:tc>
          <w:tcPr>
            <w:tcW w:w="1575" w:type="dxa"/>
            <w:noWrap w:val="0"/>
            <w:vAlign w:val="center"/>
          </w:tcPr>
          <w:p w14:paraId="2C6BE8E7">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c>
          <w:tcPr>
            <w:tcW w:w="1185" w:type="dxa"/>
            <w:noWrap w:val="0"/>
            <w:vAlign w:val="center"/>
          </w:tcPr>
          <w:p w14:paraId="5662C94B">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r>
      <w:tr w14:paraId="6060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2CA02CB4">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c>
          <w:tcPr>
            <w:tcW w:w="4647" w:type="dxa"/>
            <w:noWrap w:val="0"/>
            <w:vAlign w:val="center"/>
          </w:tcPr>
          <w:p w14:paraId="66AC196F">
            <w:pPr>
              <w:keepNext w:val="0"/>
              <w:keepLines w:val="0"/>
              <w:suppressLineNumbers w:val="0"/>
              <w:spacing w:before="0" w:beforeAutospacing="0" w:after="0" w:afterAutospacing="0" w:line="360" w:lineRule="auto"/>
              <w:ind w:left="0" w:right="0"/>
              <w:rPr>
                <w:rFonts w:ascii="宋体" w:hAnsi="宋体" w:eastAsia="宋体" w:cs="Times New Roman"/>
                <w:color w:val="auto"/>
                <w:highlight w:val="none"/>
              </w:rPr>
            </w:pPr>
          </w:p>
        </w:tc>
        <w:tc>
          <w:tcPr>
            <w:tcW w:w="1575" w:type="dxa"/>
            <w:noWrap w:val="0"/>
            <w:vAlign w:val="center"/>
          </w:tcPr>
          <w:p w14:paraId="66230270">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c>
          <w:tcPr>
            <w:tcW w:w="1185" w:type="dxa"/>
            <w:noWrap w:val="0"/>
            <w:vAlign w:val="center"/>
          </w:tcPr>
          <w:p w14:paraId="50BE1E67">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r>
      <w:tr w14:paraId="22A00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6D54CF91">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c>
          <w:tcPr>
            <w:tcW w:w="4647" w:type="dxa"/>
            <w:noWrap w:val="0"/>
            <w:vAlign w:val="center"/>
          </w:tcPr>
          <w:p w14:paraId="59873950">
            <w:pPr>
              <w:keepNext w:val="0"/>
              <w:keepLines w:val="0"/>
              <w:suppressLineNumbers w:val="0"/>
              <w:spacing w:before="0" w:beforeAutospacing="0" w:after="0" w:afterAutospacing="0" w:line="360" w:lineRule="auto"/>
              <w:ind w:left="0" w:right="0"/>
              <w:rPr>
                <w:rFonts w:ascii="宋体" w:hAnsi="宋体" w:eastAsia="宋体" w:cs="Times New Roman"/>
                <w:color w:val="auto"/>
                <w:highlight w:val="none"/>
              </w:rPr>
            </w:pPr>
          </w:p>
        </w:tc>
        <w:tc>
          <w:tcPr>
            <w:tcW w:w="1575" w:type="dxa"/>
            <w:noWrap w:val="0"/>
            <w:vAlign w:val="center"/>
          </w:tcPr>
          <w:p w14:paraId="53B2BDC8">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c>
          <w:tcPr>
            <w:tcW w:w="1185" w:type="dxa"/>
            <w:noWrap w:val="0"/>
            <w:vAlign w:val="center"/>
          </w:tcPr>
          <w:p w14:paraId="2C2E8830">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r>
      <w:tr w14:paraId="64969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7C8E7247">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c>
          <w:tcPr>
            <w:tcW w:w="4647" w:type="dxa"/>
            <w:noWrap w:val="0"/>
            <w:vAlign w:val="center"/>
          </w:tcPr>
          <w:p w14:paraId="7050D88C">
            <w:pPr>
              <w:keepNext w:val="0"/>
              <w:keepLines w:val="0"/>
              <w:suppressLineNumbers w:val="0"/>
              <w:spacing w:before="0" w:beforeAutospacing="0" w:after="0" w:afterAutospacing="0" w:line="360" w:lineRule="auto"/>
              <w:ind w:left="0" w:right="0"/>
              <w:rPr>
                <w:rFonts w:ascii="宋体" w:hAnsi="宋体" w:eastAsia="宋体" w:cs="Times New Roman"/>
                <w:color w:val="auto"/>
                <w:highlight w:val="none"/>
              </w:rPr>
            </w:pPr>
          </w:p>
        </w:tc>
        <w:tc>
          <w:tcPr>
            <w:tcW w:w="1575" w:type="dxa"/>
            <w:noWrap w:val="0"/>
            <w:vAlign w:val="center"/>
          </w:tcPr>
          <w:p w14:paraId="6B337FDA">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c>
          <w:tcPr>
            <w:tcW w:w="1185" w:type="dxa"/>
            <w:noWrap w:val="0"/>
            <w:vAlign w:val="center"/>
          </w:tcPr>
          <w:p w14:paraId="2915B487">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r>
      <w:tr w14:paraId="498E2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014DBC27">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c>
          <w:tcPr>
            <w:tcW w:w="4647" w:type="dxa"/>
            <w:noWrap w:val="0"/>
            <w:vAlign w:val="center"/>
          </w:tcPr>
          <w:p w14:paraId="5F8A6EB3">
            <w:pPr>
              <w:keepNext w:val="0"/>
              <w:keepLines w:val="0"/>
              <w:suppressLineNumbers w:val="0"/>
              <w:spacing w:before="0" w:beforeAutospacing="0" w:after="0" w:afterAutospacing="0" w:line="360" w:lineRule="auto"/>
              <w:ind w:left="0" w:right="0"/>
              <w:rPr>
                <w:rFonts w:ascii="宋体" w:hAnsi="宋体" w:eastAsia="宋体" w:cs="Times New Roman"/>
                <w:color w:val="auto"/>
                <w:highlight w:val="none"/>
              </w:rPr>
            </w:pPr>
          </w:p>
        </w:tc>
        <w:tc>
          <w:tcPr>
            <w:tcW w:w="1575" w:type="dxa"/>
            <w:noWrap w:val="0"/>
            <w:vAlign w:val="center"/>
          </w:tcPr>
          <w:p w14:paraId="7C7A7303">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c>
          <w:tcPr>
            <w:tcW w:w="1185" w:type="dxa"/>
            <w:noWrap w:val="0"/>
            <w:vAlign w:val="center"/>
          </w:tcPr>
          <w:p w14:paraId="36791804">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r>
      <w:tr w14:paraId="5CB5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1BC0AAF9">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c>
          <w:tcPr>
            <w:tcW w:w="4647" w:type="dxa"/>
            <w:noWrap w:val="0"/>
            <w:vAlign w:val="center"/>
          </w:tcPr>
          <w:p w14:paraId="74C7A7E0">
            <w:pPr>
              <w:keepNext w:val="0"/>
              <w:keepLines w:val="0"/>
              <w:suppressLineNumbers w:val="0"/>
              <w:spacing w:before="0" w:beforeAutospacing="0" w:after="0" w:afterAutospacing="0" w:line="360" w:lineRule="auto"/>
              <w:ind w:left="0" w:right="0"/>
              <w:rPr>
                <w:rFonts w:ascii="宋体" w:hAnsi="宋体" w:eastAsia="宋体" w:cs="Times New Roman"/>
                <w:color w:val="auto"/>
                <w:highlight w:val="none"/>
              </w:rPr>
            </w:pPr>
          </w:p>
        </w:tc>
        <w:tc>
          <w:tcPr>
            <w:tcW w:w="1575" w:type="dxa"/>
            <w:noWrap w:val="0"/>
            <w:vAlign w:val="center"/>
          </w:tcPr>
          <w:p w14:paraId="7DB7185A">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c>
          <w:tcPr>
            <w:tcW w:w="1185" w:type="dxa"/>
            <w:noWrap w:val="0"/>
            <w:vAlign w:val="center"/>
          </w:tcPr>
          <w:p w14:paraId="48C18514">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r>
      <w:tr w14:paraId="3EC1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115EF8B0">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c>
          <w:tcPr>
            <w:tcW w:w="4647" w:type="dxa"/>
            <w:noWrap w:val="0"/>
            <w:vAlign w:val="center"/>
          </w:tcPr>
          <w:p w14:paraId="17C363C3">
            <w:pPr>
              <w:keepNext w:val="0"/>
              <w:keepLines w:val="0"/>
              <w:suppressLineNumbers w:val="0"/>
              <w:spacing w:before="0" w:beforeAutospacing="0" w:after="0" w:afterAutospacing="0" w:line="360" w:lineRule="auto"/>
              <w:ind w:left="0" w:right="0"/>
              <w:rPr>
                <w:rFonts w:ascii="宋体" w:hAnsi="宋体" w:eastAsia="宋体" w:cs="Times New Roman"/>
                <w:color w:val="auto"/>
                <w:highlight w:val="none"/>
              </w:rPr>
            </w:pPr>
          </w:p>
        </w:tc>
        <w:tc>
          <w:tcPr>
            <w:tcW w:w="1575" w:type="dxa"/>
            <w:noWrap w:val="0"/>
            <w:vAlign w:val="center"/>
          </w:tcPr>
          <w:p w14:paraId="45839B9B">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c>
          <w:tcPr>
            <w:tcW w:w="1185" w:type="dxa"/>
            <w:noWrap w:val="0"/>
            <w:vAlign w:val="center"/>
          </w:tcPr>
          <w:p w14:paraId="354D115D">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r>
      <w:tr w14:paraId="20DA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3F7E8206">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c>
          <w:tcPr>
            <w:tcW w:w="4647" w:type="dxa"/>
            <w:noWrap w:val="0"/>
            <w:vAlign w:val="center"/>
          </w:tcPr>
          <w:p w14:paraId="7FC3734D">
            <w:pPr>
              <w:keepNext w:val="0"/>
              <w:keepLines w:val="0"/>
              <w:suppressLineNumbers w:val="0"/>
              <w:spacing w:before="0" w:beforeAutospacing="0" w:after="0" w:afterAutospacing="0" w:line="360" w:lineRule="auto"/>
              <w:ind w:left="0" w:right="0"/>
              <w:rPr>
                <w:rFonts w:ascii="宋体" w:hAnsi="宋体" w:eastAsia="宋体" w:cs="Times New Roman"/>
                <w:color w:val="auto"/>
                <w:highlight w:val="none"/>
              </w:rPr>
            </w:pPr>
          </w:p>
        </w:tc>
        <w:tc>
          <w:tcPr>
            <w:tcW w:w="1575" w:type="dxa"/>
            <w:noWrap w:val="0"/>
            <w:vAlign w:val="center"/>
          </w:tcPr>
          <w:p w14:paraId="55E9248A">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c>
          <w:tcPr>
            <w:tcW w:w="1185" w:type="dxa"/>
            <w:noWrap w:val="0"/>
            <w:vAlign w:val="center"/>
          </w:tcPr>
          <w:p w14:paraId="0CD2AC02">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r>
    </w:tbl>
    <w:p w14:paraId="5215FD04">
      <w:pPr>
        <w:snapToGrid w:val="0"/>
        <w:spacing w:before="50"/>
        <w:jc w:val="left"/>
        <w:rPr>
          <w:rFonts w:hint="eastAsia" w:ascii="宋体" w:hAnsi="宋体"/>
          <w:color w:val="auto"/>
          <w:szCs w:val="21"/>
          <w:highlight w:val="none"/>
        </w:rPr>
      </w:pPr>
    </w:p>
    <w:p w14:paraId="5CCAA134">
      <w:pPr>
        <w:snapToGrid w:val="0"/>
        <w:spacing w:before="50"/>
        <w:jc w:val="left"/>
        <w:rPr>
          <w:rFonts w:hint="eastAsia" w:ascii="宋体" w:hAnsi="宋体"/>
          <w:color w:val="auto"/>
          <w:szCs w:val="21"/>
          <w:highlight w:val="none"/>
        </w:rPr>
      </w:pPr>
      <w:r>
        <w:rPr>
          <w:rFonts w:hint="eastAsia" w:ascii="宋体" w:hAnsi="宋体"/>
          <w:color w:val="auto"/>
          <w:szCs w:val="21"/>
          <w:highlight w:val="none"/>
        </w:rPr>
        <w:t>投标人（公章）：</w:t>
      </w:r>
    </w:p>
    <w:p w14:paraId="324E9360">
      <w:pPr>
        <w:snapToGrid w:val="0"/>
        <w:spacing w:before="50"/>
        <w:jc w:val="left"/>
        <w:rPr>
          <w:rFonts w:hint="eastAsia" w:ascii="宋体" w:hAnsi="宋体"/>
          <w:color w:val="auto"/>
          <w:szCs w:val="21"/>
          <w:highlight w:val="none"/>
        </w:rPr>
      </w:pPr>
      <w:r>
        <w:rPr>
          <w:rFonts w:hint="eastAsia" w:ascii="宋体" w:hAnsi="宋体"/>
          <w:color w:val="auto"/>
          <w:szCs w:val="21"/>
          <w:highlight w:val="none"/>
        </w:rPr>
        <w:t>法定代表或授权代表（签字）：</w:t>
      </w:r>
    </w:p>
    <w:p w14:paraId="4A5CF868">
      <w:pPr>
        <w:snapToGrid w:val="0"/>
        <w:spacing w:before="50"/>
        <w:jc w:val="left"/>
        <w:rPr>
          <w:rFonts w:hint="eastAsia" w:ascii="宋体" w:hAnsi="宋体"/>
          <w:color w:val="auto"/>
          <w:szCs w:val="21"/>
          <w:highlight w:val="none"/>
        </w:rPr>
      </w:pPr>
    </w:p>
    <w:p w14:paraId="093A8F18">
      <w:pPr>
        <w:snapToGrid w:val="0"/>
        <w:spacing w:before="50"/>
        <w:jc w:val="left"/>
        <w:rPr>
          <w:rFonts w:hint="eastAsia" w:ascii="宋体" w:hAnsi="宋体"/>
          <w:color w:val="auto"/>
          <w:szCs w:val="21"/>
          <w:highlight w:val="none"/>
        </w:rPr>
      </w:pPr>
      <w:r>
        <w:rPr>
          <w:rFonts w:hint="eastAsia" w:ascii="宋体" w:hAnsi="宋体"/>
          <w:color w:val="auto"/>
          <w:szCs w:val="21"/>
          <w:highlight w:val="none"/>
        </w:rPr>
        <w:t xml:space="preserve">                                                              年    月    日</w:t>
      </w:r>
    </w:p>
    <w:p w14:paraId="3D6987B2">
      <w:pPr>
        <w:snapToGrid w:val="0"/>
        <w:spacing w:before="50"/>
        <w:jc w:val="left"/>
        <w:rPr>
          <w:rFonts w:hint="eastAsia" w:ascii="宋体" w:hAnsi="宋体"/>
          <w:color w:val="auto"/>
          <w:szCs w:val="21"/>
          <w:highlight w:val="none"/>
        </w:rPr>
      </w:pPr>
    </w:p>
    <w:p w14:paraId="3364BE3A">
      <w:pPr>
        <w:snapToGrid w:val="0"/>
        <w:spacing w:before="50"/>
        <w:jc w:val="left"/>
        <w:rPr>
          <w:rFonts w:hint="eastAsia" w:ascii="宋体" w:hAnsi="宋体"/>
          <w:color w:val="auto"/>
          <w:szCs w:val="21"/>
          <w:highlight w:val="none"/>
        </w:rPr>
      </w:pPr>
    </w:p>
    <w:p w14:paraId="1A79104F">
      <w:pPr>
        <w:snapToGrid w:val="0"/>
        <w:spacing w:before="50"/>
        <w:jc w:val="left"/>
        <w:rPr>
          <w:rFonts w:hint="eastAsia" w:ascii="宋体" w:hAnsi="宋体"/>
          <w:color w:val="auto"/>
          <w:szCs w:val="21"/>
          <w:highlight w:val="none"/>
        </w:rPr>
      </w:pPr>
    </w:p>
    <w:p w14:paraId="1914DAD0">
      <w:pPr>
        <w:snapToGrid w:val="0"/>
        <w:spacing w:before="5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.商务条款偏离表</w:t>
      </w:r>
    </w:p>
    <w:p w14:paraId="3AA74182">
      <w:pPr>
        <w:snapToGrid w:val="0"/>
        <w:spacing w:before="50" w:after="120" w:afterLines="50" w:line="360" w:lineRule="auto"/>
        <w:jc w:val="center"/>
        <w:rPr>
          <w:rFonts w:hint="eastAsia" w:ascii="宋体" w:hAnsi="宋体" w:cs="宋体"/>
          <w:b/>
          <w:bCs/>
          <w:color w:val="auto"/>
          <w:highlight w:val="none"/>
        </w:rPr>
      </w:pPr>
      <w:r>
        <w:rPr>
          <w:rFonts w:hint="eastAsia" w:ascii="宋体" w:hAnsi="宋体" w:cs="宋体"/>
          <w:b/>
          <w:bCs/>
          <w:color w:val="auto"/>
          <w:highlight w:val="none"/>
        </w:rPr>
        <w:t>商务条款偏离表</w:t>
      </w:r>
    </w:p>
    <w:p w14:paraId="2557E87B">
      <w:pPr>
        <w:snapToGrid w:val="0"/>
        <w:spacing w:before="50"/>
        <w:jc w:val="left"/>
        <w:rPr>
          <w:rFonts w:hint="eastAsia" w:ascii="宋体" w:hAnsi="宋体"/>
          <w:color w:val="auto"/>
          <w:szCs w:val="21"/>
          <w:highlight w:val="none"/>
          <w:u w:val="single"/>
        </w:rPr>
      </w:pPr>
      <w:r>
        <w:rPr>
          <w:rFonts w:hint="eastAsia" w:ascii="宋体" w:hAnsi="宋体"/>
          <w:color w:val="auto"/>
          <w:szCs w:val="21"/>
          <w:highlight w:val="none"/>
        </w:rPr>
        <w:t xml:space="preserve">项目名称：                       项目编号：                 </w:t>
      </w:r>
    </w:p>
    <w:tbl>
      <w:tblPr>
        <w:tblStyle w:val="3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14:paraId="7379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0"/>
            <w:vAlign w:val="center"/>
          </w:tcPr>
          <w:p w14:paraId="7A4C2C2B">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r>
              <w:rPr>
                <w:rFonts w:hint="eastAsia" w:ascii="宋体" w:hAnsi="宋体" w:eastAsia="宋体" w:cs="宋体"/>
                <w:color w:val="auto"/>
                <w:highlight w:val="none"/>
              </w:rPr>
              <w:t>条款号</w:t>
            </w:r>
          </w:p>
        </w:tc>
        <w:tc>
          <w:tcPr>
            <w:tcW w:w="4647" w:type="dxa"/>
            <w:noWrap w:val="0"/>
            <w:vAlign w:val="center"/>
          </w:tcPr>
          <w:p w14:paraId="147E33A3">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r>
              <w:rPr>
                <w:rFonts w:hint="eastAsia" w:ascii="宋体" w:hAnsi="宋体" w:eastAsia="宋体" w:cs="宋体"/>
                <w:color w:val="auto"/>
                <w:highlight w:val="none"/>
              </w:rPr>
              <w:t>招标文件的商务条款</w:t>
            </w:r>
          </w:p>
        </w:tc>
        <w:tc>
          <w:tcPr>
            <w:tcW w:w="1575" w:type="dxa"/>
            <w:noWrap w:val="0"/>
            <w:vAlign w:val="center"/>
          </w:tcPr>
          <w:p w14:paraId="22799BB5">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r>
              <w:rPr>
                <w:rFonts w:hint="eastAsia" w:ascii="宋体" w:hAnsi="宋体" w:eastAsia="宋体" w:cs="宋体"/>
                <w:color w:val="auto"/>
                <w:highlight w:val="none"/>
              </w:rPr>
              <w:t>投标文件的</w:t>
            </w:r>
          </w:p>
          <w:p w14:paraId="5DCEBFD6">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r>
              <w:rPr>
                <w:rFonts w:hint="eastAsia" w:ascii="宋体" w:hAnsi="宋体" w:eastAsia="宋体" w:cs="宋体"/>
                <w:color w:val="auto"/>
                <w:highlight w:val="none"/>
              </w:rPr>
              <w:t>响应情况</w:t>
            </w:r>
          </w:p>
        </w:tc>
        <w:tc>
          <w:tcPr>
            <w:tcW w:w="1185" w:type="dxa"/>
            <w:noWrap w:val="0"/>
            <w:vAlign w:val="center"/>
          </w:tcPr>
          <w:p w14:paraId="5E1B55CD">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r>
              <w:rPr>
                <w:rFonts w:hint="eastAsia" w:ascii="宋体" w:hAnsi="宋体" w:eastAsia="宋体" w:cs="宋体"/>
                <w:color w:val="auto"/>
                <w:highlight w:val="none"/>
              </w:rPr>
              <w:t>说明（偏离</w:t>
            </w:r>
            <w:r>
              <w:rPr>
                <w:rFonts w:ascii="宋体" w:hAnsi="宋体" w:eastAsia="宋体" w:cs="宋体"/>
                <w:color w:val="auto"/>
                <w:highlight w:val="none"/>
              </w:rPr>
              <w:t>/</w:t>
            </w:r>
            <w:r>
              <w:rPr>
                <w:rFonts w:hint="eastAsia" w:ascii="宋体" w:hAnsi="宋体" w:eastAsia="宋体" w:cs="宋体"/>
                <w:color w:val="auto"/>
                <w:highlight w:val="none"/>
              </w:rPr>
              <w:t>响应）</w:t>
            </w:r>
          </w:p>
        </w:tc>
      </w:tr>
      <w:tr w14:paraId="78BAB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2945439B">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c>
          <w:tcPr>
            <w:tcW w:w="4647" w:type="dxa"/>
            <w:noWrap w:val="0"/>
            <w:vAlign w:val="center"/>
          </w:tcPr>
          <w:p w14:paraId="4E4C8212">
            <w:pPr>
              <w:keepNext w:val="0"/>
              <w:keepLines w:val="0"/>
              <w:suppressLineNumbers w:val="0"/>
              <w:spacing w:before="0" w:beforeAutospacing="0" w:after="0" w:afterAutospacing="0" w:line="360" w:lineRule="auto"/>
              <w:ind w:left="0" w:right="0"/>
              <w:rPr>
                <w:rFonts w:ascii="宋体" w:hAnsi="宋体" w:eastAsia="宋体" w:cs="Times New Roman"/>
                <w:b/>
                <w:bCs/>
                <w:color w:val="auto"/>
                <w:highlight w:val="none"/>
              </w:rPr>
            </w:pPr>
          </w:p>
        </w:tc>
        <w:tc>
          <w:tcPr>
            <w:tcW w:w="1575" w:type="dxa"/>
            <w:noWrap w:val="0"/>
            <w:vAlign w:val="center"/>
          </w:tcPr>
          <w:p w14:paraId="26131FAE">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c>
          <w:tcPr>
            <w:tcW w:w="1185" w:type="dxa"/>
            <w:noWrap w:val="0"/>
            <w:vAlign w:val="center"/>
          </w:tcPr>
          <w:p w14:paraId="2B55B92B">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r>
      <w:tr w14:paraId="45C4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5AB0FCD3">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c>
          <w:tcPr>
            <w:tcW w:w="4647" w:type="dxa"/>
            <w:noWrap w:val="0"/>
            <w:vAlign w:val="center"/>
          </w:tcPr>
          <w:p w14:paraId="7D397931">
            <w:pPr>
              <w:keepNext w:val="0"/>
              <w:keepLines w:val="0"/>
              <w:suppressLineNumbers w:val="0"/>
              <w:spacing w:before="0" w:beforeAutospacing="0" w:after="0" w:afterAutospacing="0" w:line="360" w:lineRule="auto"/>
              <w:ind w:left="0" w:right="0"/>
              <w:rPr>
                <w:rFonts w:ascii="宋体" w:hAnsi="宋体" w:eastAsia="宋体" w:cs="Times New Roman"/>
                <w:b/>
                <w:bCs/>
                <w:color w:val="auto"/>
                <w:highlight w:val="none"/>
              </w:rPr>
            </w:pPr>
          </w:p>
        </w:tc>
        <w:tc>
          <w:tcPr>
            <w:tcW w:w="1575" w:type="dxa"/>
            <w:noWrap w:val="0"/>
            <w:vAlign w:val="center"/>
          </w:tcPr>
          <w:p w14:paraId="5BCD3D6B">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c>
          <w:tcPr>
            <w:tcW w:w="1185" w:type="dxa"/>
            <w:noWrap w:val="0"/>
            <w:vAlign w:val="center"/>
          </w:tcPr>
          <w:p w14:paraId="48AD657E">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r>
      <w:tr w14:paraId="1E50A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45AFC956">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c>
          <w:tcPr>
            <w:tcW w:w="4647" w:type="dxa"/>
            <w:noWrap w:val="0"/>
            <w:vAlign w:val="center"/>
          </w:tcPr>
          <w:p w14:paraId="5F170933">
            <w:pPr>
              <w:keepNext w:val="0"/>
              <w:keepLines w:val="0"/>
              <w:suppressLineNumbers w:val="0"/>
              <w:spacing w:before="0" w:beforeAutospacing="0" w:after="0" w:afterAutospacing="0" w:line="360" w:lineRule="auto"/>
              <w:ind w:left="0" w:right="0"/>
              <w:rPr>
                <w:rFonts w:ascii="宋体" w:hAnsi="宋体" w:eastAsia="宋体" w:cs="Times New Roman"/>
                <w:b/>
                <w:bCs/>
                <w:color w:val="auto"/>
                <w:highlight w:val="none"/>
              </w:rPr>
            </w:pPr>
          </w:p>
        </w:tc>
        <w:tc>
          <w:tcPr>
            <w:tcW w:w="1575" w:type="dxa"/>
            <w:noWrap w:val="0"/>
            <w:vAlign w:val="center"/>
          </w:tcPr>
          <w:p w14:paraId="53BF029A">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c>
          <w:tcPr>
            <w:tcW w:w="1185" w:type="dxa"/>
            <w:noWrap w:val="0"/>
            <w:vAlign w:val="center"/>
          </w:tcPr>
          <w:p w14:paraId="4A4FB0AB">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r>
      <w:tr w14:paraId="2DCB3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045EFED1">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c>
          <w:tcPr>
            <w:tcW w:w="4647" w:type="dxa"/>
            <w:noWrap w:val="0"/>
            <w:vAlign w:val="center"/>
          </w:tcPr>
          <w:p w14:paraId="08928520">
            <w:pPr>
              <w:keepNext w:val="0"/>
              <w:keepLines w:val="0"/>
              <w:suppressLineNumbers w:val="0"/>
              <w:spacing w:before="0" w:beforeAutospacing="0" w:after="0" w:afterAutospacing="0" w:line="360" w:lineRule="auto"/>
              <w:ind w:left="0" w:right="0"/>
              <w:rPr>
                <w:rFonts w:ascii="宋体" w:hAnsi="宋体" w:eastAsia="宋体" w:cs="Times New Roman"/>
                <w:b/>
                <w:bCs/>
                <w:color w:val="auto"/>
                <w:highlight w:val="none"/>
              </w:rPr>
            </w:pPr>
          </w:p>
        </w:tc>
        <w:tc>
          <w:tcPr>
            <w:tcW w:w="1575" w:type="dxa"/>
            <w:noWrap w:val="0"/>
            <w:vAlign w:val="center"/>
          </w:tcPr>
          <w:p w14:paraId="0FE59A8C">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c>
          <w:tcPr>
            <w:tcW w:w="1185" w:type="dxa"/>
            <w:noWrap w:val="0"/>
            <w:vAlign w:val="center"/>
          </w:tcPr>
          <w:p w14:paraId="6EA97BE4">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r>
      <w:tr w14:paraId="5A70B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14EA3186">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c>
          <w:tcPr>
            <w:tcW w:w="4647" w:type="dxa"/>
            <w:noWrap w:val="0"/>
            <w:vAlign w:val="center"/>
          </w:tcPr>
          <w:p w14:paraId="3EE35F68">
            <w:pPr>
              <w:keepNext w:val="0"/>
              <w:keepLines w:val="0"/>
              <w:suppressLineNumbers w:val="0"/>
              <w:spacing w:before="0" w:beforeAutospacing="0" w:after="0" w:afterAutospacing="0" w:line="360" w:lineRule="auto"/>
              <w:ind w:left="0" w:right="0"/>
              <w:rPr>
                <w:rFonts w:ascii="宋体" w:hAnsi="宋体" w:eastAsia="宋体" w:cs="Times New Roman"/>
                <w:color w:val="auto"/>
                <w:highlight w:val="none"/>
              </w:rPr>
            </w:pPr>
          </w:p>
        </w:tc>
        <w:tc>
          <w:tcPr>
            <w:tcW w:w="1575" w:type="dxa"/>
            <w:noWrap w:val="0"/>
            <w:vAlign w:val="center"/>
          </w:tcPr>
          <w:p w14:paraId="69278E25">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c>
          <w:tcPr>
            <w:tcW w:w="1185" w:type="dxa"/>
            <w:noWrap w:val="0"/>
            <w:vAlign w:val="center"/>
          </w:tcPr>
          <w:p w14:paraId="4D7B6A43">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r>
      <w:tr w14:paraId="2D792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7DA68772">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c>
          <w:tcPr>
            <w:tcW w:w="4647" w:type="dxa"/>
            <w:noWrap w:val="0"/>
            <w:vAlign w:val="center"/>
          </w:tcPr>
          <w:p w14:paraId="2DE97E3D">
            <w:pPr>
              <w:keepNext w:val="0"/>
              <w:keepLines w:val="0"/>
              <w:suppressLineNumbers w:val="0"/>
              <w:spacing w:before="0" w:beforeAutospacing="0" w:after="0" w:afterAutospacing="0" w:line="360" w:lineRule="auto"/>
              <w:ind w:left="0" w:right="0"/>
              <w:rPr>
                <w:rFonts w:ascii="宋体" w:hAnsi="宋体" w:eastAsia="宋体" w:cs="Times New Roman"/>
                <w:color w:val="auto"/>
                <w:highlight w:val="none"/>
              </w:rPr>
            </w:pPr>
          </w:p>
        </w:tc>
        <w:tc>
          <w:tcPr>
            <w:tcW w:w="1575" w:type="dxa"/>
            <w:noWrap w:val="0"/>
            <w:vAlign w:val="center"/>
          </w:tcPr>
          <w:p w14:paraId="25000717">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c>
          <w:tcPr>
            <w:tcW w:w="1185" w:type="dxa"/>
            <w:noWrap w:val="0"/>
            <w:vAlign w:val="center"/>
          </w:tcPr>
          <w:p w14:paraId="1D08F94B">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r>
      <w:tr w14:paraId="25608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4095B405">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c>
          <w:tcPr>
            <w:tcW w:w="4647" w:type="dxa"/>
            <w:noWrap w:val="0"/>
            <w:vAlign w:val="center"/>
          </w:tcPr>
          <w:p w14:paraId="52D3BC5B">
            <w:pPr>
              <w:keepNext w:val="0"/>
              <w:keepLines w:val="0"/>
              <w:suppressLineNumbers w:val="0"/>
              <w:spacing w:before="0" w:beforeAutospacing="0" w:after="0" w:afterAutospacing="0" w:line="360" w:lineRule="auto"/>
              <w:ind w:left="0" w:right="0"/>
              <w:rPr>
                <w:rFonts w:ascii="宋体" w:hAnsi="宋体" w:eastAsia="宋体" w:cs="Times New Roman"/>
                <w:color w:val="auto"/>
                <w:highlight w:val="none"/>
              </w:rPr>
            </w:pPr>
          </w:p>
        </w:tc>
        <w:tc>
          <w:tcPr>
            <w:tcW w:w="1575" w:type="dxa"/>
            <w:noWrap w:val="0"/>
            <w:vAlign w:val="center"/>
          </w:tcPr>
          <w:p w14:paraId="65E09775">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c>
          <w:tcPr>
            <w:tcW w:w="1185" w:type="dxa"/>
            <w:noWrap w:val="0"/>
            <w:vAlign w:val="center"/>
          </w:tcPr>
          <w:p w14:paraId="21A3B655">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r>
      <w:tr w14:paraId="5F659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66E56C8F">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c>
          <w:tcPr>
            <w:tcW w:w="4647" w:type="dxa"/>
            <w:noWrap w:val="0"/>
            <w:vAlign w:val="center"/>
          </w:tcPr>
          <w:p w14:paraId="3AF7B7B8">
            <w:pPr>
              <w:keepNext w:val="0"/>
              <w:keepLines w:val="0"/>
              <w:suppressLineNumbers w:val="0"/>
              <w:spacing w:before="0" w:beforeAutospacing="0" w:after="0" w:afterAutospacing="0" w:line="360" w:lineRule="auto"/>
              <w:ind w:left="0" w:right="0"/>
              <w:rPr>
                <w:rFonts w:ascii="宋体" w:hAnsi="宋体" w:eastAsia="宋体" w:cs="Times New Roman"/>
                <w:color w:val="auto"/>
                <w:highlight w:val="none"/>
              </w:rPr>
            </w:pPr>
          </w:p>
        </w:tc>
        <w:tc>
          <w:tcPr>
            <w:tcW w:w="1575" w:type="dxa"/>
            <w:noWrap w:val="0"/>
            <w:vAlign w:val="center"/>
          </w:tcPr>
          <w:p w14:paraId="70598A40">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c>
          <w:tcPr>
            <w:tcW w:w="1185" w:type="dxa"/>
            <w:noWrap w:val="0"/>
            <w:vAlign w:val="center"/>
          </w:tcPr>
          <w:p w14:paraId="61E24532">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r>
      <w:tr w14:paraId="13A06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04A3A358">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c>
          <w:tcPr>
            <w:tcW w:w="4647" w:type="dxa"/>
            <w:noWrap w:val="0"/>
            <w:vAlign w:val="center"/>
          </w:tcPr>
          <w:p w14:paraId="559CF8B8">
            <w:pPr>
              <w:keepNext w:val="0"/>
              <w:keepLines w:val="0"/>
              <w:suppressLineNumbers w:val="0"/>
              <w:spacing w:before="0" w:beforeAutospacing="0" w:after="0" w:afterAutospacing="0" w:line="360" w:lineRule="auto"/>
              <w:ind w:left="0" w:right="0"/>
              <w:rPr>
                <w:rFonts w:ascii="宋体" w:hAnsi="宋体" w:eastAsia="宋体" w:cs="Times New Roman"/>
                <w:color w:val="auto"/>
                <w:highlight w:val="none"/>
              </w:rPr>
            </w:pPr>
          </w:p>
        </w:tc>
        <w:tc>
          <w:tcPr>
            <w:tcW w:w="1575" w:type="dxa"/>
            <w:noWrap w:val="0"/>
            <w:vAlign w:val="center"/>
          </w:tcPr>
          <w:p w14:paraId="3CF6DB27">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c>
          <w:tcPr>
            <w:tcW w:w="1185" w:type="dxa"/>
            <w:noWrap w:val="0"/>
            <w:vAlign w:val="center"/>
          </w:tcPr>
          <w:p w14:paraId="6C325C85">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r>
      <w:tr w14:paraId="43CC1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2BA77D81">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c>
          <w:tcPr>
            <w:tcW w:w="4647" w:type="dxa"/>
            <w:noWrap w:val="0"/>
            <w:vAlign w:val="center"/>
          </w:tcPr>
          <w:p w14:paraId="358E6600">
            <w:pPr>
              <w:keepNext w:val="0"/>
              <w:keepLines w:val="0"/>
              <w:suppressLineNumbers w:val="0"/>
              <w:spacing w:before="0" w:beforeAutospacing="0" w:after="0" w:afterAutospacing="0" w:line="360" w:lineRule="auto"/>
              <w:ind w:left="0" w:right="0"/>
              <w:rPr>
                <w:rFonts w:ascii="宋体" w:hAnsi="宋体" w:eastAsia="宋体" w:cs="Times New Roman"/>
                <w:color w:val="auto"/>
                <w:highlight w:val="none"/>
              </w:rPr>
            </w:pPr>
          </w:p>
        </w:tc>
        <w:tc>
          <w:tcPr>
            <w:tcW w:w="1575" w:type="dxa"/>
            <w:noWrap w:val="0"/>
            <w:vAlign w:val="center"/>
          </w:tcPr>
          <w:p w14:paraId="247B612E">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c>
          <w:tcPr>
            <w:tcW w:w="1185" w:type="dxa"/>
            <w:noWrap w:val="0"/>
            <w:vAlign w:val="center"/>
          </w:tcPr>
          <w:p w14:paraId="7387CBDB">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r>
      <w:tr w14:paraId="3592E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42BC5EA9">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c>
          <w:tcPr>
            <w:tcW w:w="4647" w:type="dxa"/>
            <w:noWrap w:val="0"/>
            <w:vAlign w:val="center"/>
          </w:tcPr>
          <w:p w14:paraId="1AE54128">
            <w:pPr>
              <w:keepNext w:val="0"/>
              <w:keepLines w:val="0"/>
              <w:suppressLineNumbers w:val="0"/>
              <w:spacing w:before="0" w:beforeAutospacing="0" w:after="0" w:afterAutospacing="0" w:line="360" w:lineRule="auto"/>
              <w:ind w:left="0" w:right="0"/>
              <w:rPr>
                <w:rFonts w:ascii="宋体" w:hAnsi="宋体" w:eastAsia="宋体" w:cs="Times New Roman"/>
                <w:color w:val="auto"/>
                <w:highlight w:val="none"/>
              </w:rPr>
            </w:pPr>
          </w:p>
        </w:tc>
        <w:tc>
          <w:tcPr>
            <w:tcW w:w="1575" w:type="dxa"/>
            <w:noWrap w:val="0"/>
            <w:vAlign w:val="center"/>
          </w:tcPr>
          <w:p w14:paraId="565FB0AF">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c>
          <w:tcPr>
            <w:tcW w:w="1185" w:type="dxa"/>
            <w:noWrap w:val="0"/>
            <w:vAlign w:val="center"/>
          </w:tcPr>
          <w:p w14:paraId="7C9832DA">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r>
      <w:tr w14:paraId="33A4D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717619F7">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c>
          <w:tcPr>
            <w:tcW w:w="4647" w:type="dxa"/>
            <w:noWrap w:val="0"/>
            <w:vAlign w:val="center"/>
          </w:tcPr>
          <w:p w14:paraId="017A5A3E">
            <w:pPr>
              <w:keepNext w:val="0"/>
              <w:keepLines w:val="0"/>
              <w:suppressLineNumbers w:val="0"/>
              <w:spacing w:before="0" w:beforeAutospacing="0" w:after="0" w:afterAutospacing="0" w:line="360" w:lineRule="auto"/>
              <w:ind w:left="0" w:right="0"/>
              <w:rPr>
                <w:rFonts w:ascii="宋体" w:hAnsi="宋体" w:eastAsia="宋体" w:cs="Times New Roman"/>
                <w:color w:val="auto"/>
                <w:highlight w:val="none"/>
              </w:rPr>
            </w:pPr>
          </w:p>
        </w:tc>
        <w:tc>
          <w:tcPr>
            <w:tcW w:w="1575" w:type="dxa"/>
            <w:noWrap w:val="0"/>
            <w:vAlign w:val="center"/>
          </w:tcPr>
          <w:p w14:paraId="1626259A">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c>
          <w:tcPr>
            <w:tcW w:w="1185" w:type="dxa"/>
            <w:noWrap w:val="0"/>
            <w:vAlign w:val="center"/>
          </w:tcPr>
          <w:p w14:paraId="13320E8C">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r>
      <w:tr w14:paraId="25402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6DAB5182">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c>
          <w:tcPr>
            <w:tcW w:w="4647" w:type="dxa"/>
            <w:noWrap w:val="0"/>
            <w:vAlign w:val="center"/>
          </w:tcPr>
          <w:p w14:paraId="00BC5907">
            <w:pPr>
              <w:keepNext w:val="0"/>
              <w:keepLines w:val="0"/>
              <w:suppressLineNumbers w:val="0"/>
              <w:spacing w:before="0" w:beforeAutospacing="0" w:after="0" w:afterAutospacing="0" w:line="360" w:lineRule="auto"/>
              <w:ind w:left="0" w:right="0"/>
              <w:rPr>
                <w:rFonts w:ascii="宋体" w:hAnsi="宋体" w:eastAsia="宋体" w:cs="Times New Roman"/>
                <w:color w:val="auto"/>
                <w:highlight w:val="none"/>
              </w:rPr>
            </w:pPr>
          </w:p>
        </w:tc>
        <w:tc>
          <w:tcPr>
            <w:tcW w:w="1575" w:type="dxa"/>
            <w:noWrap w:val="0"/>
            <w:vAlign w:val="center"/>
          </w:tcPr>
          <w:p w14:paraId="33AA9E43">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c>
          <w:tcPr>
            <w:tcW w:w="1185" w:type="dxa"/>
            <w:noWrap w:val="0"/>
            <w:vAlign w:val="center"/>
          </w:tcPr>
          <w:p w14:paraId="16D224B0">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r>
      <w:tr w14:paraId="62024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6799790A">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highlight w:val="none"/>
              </w:rPr>
            </w:pPr>
          </w:p>
        </w:tc>
        <w:tc>
          <w:tcPr>
            <w:tcW w:w="4647" w:type="dxa"/>
            <w:noWrap w:val="0"/>
            <w:vAlign w:val="center"/>
          </w:tcPr>
          <w:p w14:paraId="491E6385">
            <w:pPr>
              <w:keepNext w:val="0"/>
              <w:keepLines w:val="0"/>
              <w:suppressLineNumbers w:val="0"/>
              <w:spacing w:before="0" w:beforeAutospacing="0" w:after="0" w:afterAutospacing="0" w:line="360" w:lineRule="auto"/>
              <w:ind w:left="0" w:right="0"/>
              <w:rPr>
                <w:rFonts w:ascii="宋体" w:hAnsi="宋体" w:eastAsia="宋体" w:cs="Times New Roman"/>
                <w:color w:val="auto"/>
                <w:highlight w:val="none"/>
              </w:rPr>
            </w:pPr>
          </w:p>
        </w:tc>
        <w:tc>
          <w:tcPr>
            <w:tcW w:w="1575" w:type="dxa"/>
            <w:noWrap w:val="0"/>
            <w:vAlign w:val="center"/>
          </w:tcPr>
          <w:p w14:paraId="346716A3">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c>
          <w:tcPr>
            <w:tcW w:w="1185" w:type="dxa"/>
            <w:noWrap w:val="0"/>
            <w:vAlign w:val="center"/>
          </w:tcPr>
          <w:p w14:paraId="1582DEFB">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 w:val="24"/>
                <w:highlight w:val="none"/>
              </w:rPr>
            </w:pPr>
          </w:p>
        </w:tc>
      </w:tr>
    </w:tbl>
    <w:p w14:paraId="5FD0B534">
      <w:pPr>
        <w:snapToGrid w:val="0"/>
        <w:spacing w:before="50"/>
        <w:jc w:val="left"/>
        <w:rPr>
          <w:rFonts w:hint="eastAsia" w:ascii="宋体" w:hAnsi="宋体"/>
          <w:color w:val="auto"/>
          <w:szCs w:val="21"/>
          <w:highlight w:val="none"/>
        </w:rPr>
      </w:pPr>
    </w:p>
    <w:p w14:paraId="74636871">
      <w:pPr>
        <w:snapToGrid w:val="0"/>
        <w:spacing w:before="50"/>
        <w:jc w:val="left"/>
        <w:rPr>
          <w:rFonts w:hint="eastAsia" w:ascii="宋体" w:hAnsi="宋体"/>
          <w:color w:val="auto"/>
          <w:szCs w:val="21"/>
          <w:highlight w:val="none"/>
        </w:rPr>
      </w:pPr>
      <w:r>
        <w:rPr>
          <w:rFonts w:hint="eastAsia" w:ascii="宋体" w:hAnsi="宋体"/>
          <w:color w:val="auto"/>
          <w:szCs w:val="21"/>
          <w:highlight w:val="none"/>
        </w:rPr>
        <w:t>投标人（公章）：</w:t>
      </w:r>
    </w:p>
    <w:p w14:paraId="498D707A">
      <w:pPr>
        <w:snapToGrid w:val="0"/>
        <w:spacing w:before="50"/>
        <w:jc w:val="left"/>
        <w:rPr>
          <w:rFonts w:hint="eastAsia" w:ascii="宋体" w:hAnsi="宋体"/>
          <w:color w:val="auto"/>
          <w:szCs w:val="21"/>
          <w:highlight w:val="none"/>
        </w:rPr>
      </w:pPr>
      <w:r>
        <w:rPr>
          <w:rFonts w:hint="eastAsia" w:ascii="宋体" w:hAnsi="宋体"/>
          <w:color w:val="auto"/>
          <w:szCs w:val="21"/>
          <w:highlight w:val="none"/>
        </w:rPr>
        <w:t>法定代表或授权代表（签字）：</w:t>
      </w:r>
    </w:p>
    <w:p w14:paraId="17E89232">
      <w:pPr>
        <w:snapToGrid w:val="0"/>
        <w:spacing w:before="50"/>
        <w:jc w:val="left"/>
        <w:rPr>
          <w:rFonts w:hint="eastAsia" w:ascii="宋体" w:hAnsi="宋体"/>
          <w:color w:val="auto"/>
          <w:szCs w:val="21"/>
          <w:highlight w:val="none"/>
        </w:rPr>
      </w:pPr>
    </w:p>
    <w:p w14:paraId="28E7CDB6">
      <w:pPr>
        <w:snapToGrid w:val="0"/>
        <w:spacing w:before="50"/>
        <w:jc w:val="left"/>
        <w:rPr>
          <w:rFonts w:hint="eastAsia" w:ascii="宋体" w:hAnsi="宋体"/>
          <w:color w:val="auto"/>
          <w:szCs w:val="21"/>
          <w:highlight w:val="none"/>
        </w:rPr>
      </w:pPr>
      <w:r>
        <w:rPr>
          <w:rFonts w:hint="eastAsia" w:ascii="宋体" w:hAnsi="宋体"/>
          <w:color w:val="auto"/>
          <w:szCs w:val="21"/>
          <w:highlight w:val="none"/>
        </w:rPr>
        <w:t xml:space="preserve">                                                              年    月    日</w:t>
      </w:r>
    </w:p>
    <w:p w14:paraId="6EE73647">
      <w:pPr>
        <w:snapToGrid w:val="0"/>
        <w:spacing w:before="50"/>
        <w:jc w:val="left"/>
        <w:rPr>
          <w:rFonts w:hint="eastAsia" w:ascii="宋体" w:hAnsi="宋体"/>
          <w:color w:val="auto"/>
          <w:szCs w:val="21"/>
          <w:highlight w:val="none"/>
        </w:rPr>
      </w:pPr>
    </w:p>
    <w:p w14:paraId="5AC6674A">
      <w:pPr>
        <w:spacing w:line="360" w:lineRule="auto"/>
        <w:rPr>
          <w:rFonts w:hint="eastAsia" w:ascii="宋体" w:hAnsi="宋体"/>
          <w:color w:val="auto"/>
          <w:szCs w:val="21"/>
          <w:highlight w:val="none"/>
        </w:rPr>
      </w:pPr>
    </w:p>
    <w:p w14:paraId="3F515DCC">
      <w:pPr>
        <w:spacing w:line="360" w:lineRule="auto"/>
        <w:rPr>
          <w:rFonts w:hint="eastAsia" w:ascii="宋体" w:hAnsi="宋体"/>
          <w:color w:val="auto"/>
          <w:szCs w:val="21"/>
          <w:highlight w:val="none"/>
        </w:rPr>
      </w:pPr>
    </w:p>
    <w:p w14:paraId="2F6D5F26">
      <w:pPr>
        <w:spacing w:line="360" w:lineRule="auto"/>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.类似项目业绩表</w:t>
      </w:r>
    </w:p>
    <w:p w14:paraId="2709B21E">
      <w:pPr>
        <w:ind w:firstLine="482"/>
        <w:jc w:val="center"/>
        <w:rPr>
          <w:rFonts w:hint="eastAsia" w:ascii="宋体" w:hAnsi="宋体"/>
          <w:b/>
          <w:bCs/>
          <w:color w:val="auto"/>
          <w:sz w:val="24"/>
          <w:highlight w:val="none"/>
        </w:rPr>
      </w:pPr>
      <w:r>
        <w:rPr>
          <w:rFonts w:hint="eastAsia" w:ascii="宋体" w:hAnsi="宋体"/>
          <w:b/>
          <w:bCs/>
          <w:color w:val="auto"/>
          <w:sz w:val="24"/>
          <w:highlight w:val="none"/>
        </w:rPr>
        <w:t>类似项目业绩表</w:t>
      </w:r>
    </w:p>
    <w:p w14:paraId="4BA038D2">
      <w:pPr>
        <w:ind w:firstLine="482"/>
        <w:rPr>
          <w:rFonts w:hint="eastAsia" w:ascii="宋体" w:hAnsi="宋体"/>
          <w:b/>
          <w:bCs/>
          <w:color w:val="auto"/>
          <w:sz w:val="24"/>
          <w:highlight w:val="none"/>
        </w:rPr>
      </w:pPr>
      <w:r>
        <w:rPr>
          <w:rFonts w:hint="eastAsia" w:ascii="宋体" w:hAnsi="宋体"/>
          <w:color w:val="auto"/>
          <w:szCs w:val="21"/>
          <w:highlight w:val="none"/>
        </w:rPr>
        <w:t xml:space="preserve">项目名称：                       项目编号：                 </w:t>
      </w:r>
    </w:p>
    <w:tbl>
      <w:tblPr>
        <w:tblStyle w:val="32"/>
        <w:tblW w:w="0" w:type="auto"/>
        <w:tblInd w:w="0" w:type="dxa"/>
        <w:tblLayout w:type="fixed"/>
        <w:tblCellMar>
          <w:top w:w="0" w:type="dxa"/>
          <w:left w:w="108" w:type="dxa"/>
          <w:bottom w:w="0" w:type="dxa"/>
          <w:right w:w="108" w:type="dxa"/>
        </w:tblCellMar>
      </w:tblPr>
      <w:tblGrid>
        <w:gridCol w:w="876"/>
        <w:gridCol w:w="2237"/>
        <w:gridCol w:w="2237"/>
        <w:gridCol w:w="2108"/>
        <w:gridCol w:w="1575"/>
      </w:tblGrid>
      <w:tr w14:paraId="30ED879B">
        <w:tblPrEx>
          <w:tblCellMar>
            <w:top w:w="0" w:type="dxa"/>
            <w:left w:w="108" w:type="dxa"/>
            <w:bottom w:w="0" w:type="dxa"/>
            <w:right w:w="108" w:type="dxa"/>
          </w:tblCellMar>
        </w:tblPrEx>
        <w:trPr>
          <w:trHeight w:val="45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7DE8E4A5">
            <w:pPr>
              <w:keepNext w:val="0"/>
              <w:keepLines w:val="0"/>
              <w:suppressLineNumbers w:val="0"/>
              <w:spacing w:before="0" w:beforeAutospacing="0" w:after="0" w:afterAutospacing="0"/>
              <w:ind w:left="0" w:right="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序号</w:t>
            </w:r>
          </w:p>
        </w:tc>
        <w:tc>
          <w:tcPr>
            <w:tcW w:w="2237" w:type="dxa"/>
            <w:tcBorders>
              <w:top w:val="single" w:color="auto" w:sz="4" w:space="0"/>
              <w:left w:val="nil"/>
              <w:bottom w:val="single" w:color="auto" w:sz="4" w:space="0"/>
              <w:right w:val="single" w:color="auto" w:sz="4" w:space="0"/>
            </w:tcBorders>
            <w:noWrap w:val="0"/>
            <w:vAlign w:val="center"/>
          </w:tcPr>
          <w:p w14:paraId="0E994BDF">
            <w:pPr>
              <w:keepNext w:val="0"/>
              <w:keepLines w:val="0"/>
              <w:suppressLineNumbers w:val="0"/>
              <w:spacing w:before="0" w:beforeAutospacing="0" w:after="0" w:afterAutospacing="0"/>
              <w:ind w:left="0" w:right="0" w:firstLine="422"/>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项目名称</w:t>
            </w:r>
          </w:p>
        </w:tc>
        <w:tc>
          <w:tcPr>
            <w:tcW w:w="2237" w:type="dxa"/>
            <w:tcBorders>
              <w:top w:val="single" w:color="auto" w:sz="4" w:space="0"/>
              <w:left w:val="nil"/>
              <w:bottom w:val="single" w:color="auto" w:sz="4" w:space="0"/>
              <w:right w:val="single" w:color="auto" w:sz="4" w:space="0"/>
            </w:tcBorders>
            <w:noWrap w:val="0"/>
            <w:vAlign w:val="center"/>
          </w:tcPr>
          <w:p w14:paraId="06C66BC6">
            <w:pPr>
              <w:keepNext w:val="0"/>
              <w:keepLines w:val="0"/>
              <w:suppressLineNumbers w:val="0"/>
              <w:spacing w:before="0" w:beforeAutospacing="0" w:after="0" w:afterAutospacing="0"/>
              <w:ind w:left="0" w:right="0" w:firstLine="422"/>
              <w:rPr>
                <w:rFonts w:ascii="宋体" w:hAnsi="宋体" w:eastAsia="宋体" w:cs="Times New Roman"/>
                <w:b/>
                <w:color w:val="auto"/>
                <w:szCs w:val="21"/>
                <w:highlight w:val="none"/>
              </w:rPr>
            </w:pPr>
            <w:r>
              <w:rPr>
                <w:rFonts w:ascii="宋体" w:hAnsi="宋体" w:eastAsia="宋体" w:cs="Times New Roman"/>
                <w:b/>
                <w:color w:val="auto"/>
                <w:szCs w:val="21"/>
                <w:highlight w:val="none"/>
              </w:rPr>
              <w:t>业主单位</w:t>
            </w:r>
          </w:p>
        </w:tc>
        <w:tc>
          <w:tcPr>
            <w:tcW w:w="2108" w:type="dxa"/>
            <w:tcBorders>
              <w:top w:val="single" w:color="auto" w:sz="4" w:space="0"/>
              <w:left w:val="nil"/>
              <w:bottom w:val="single" w:color="auto" w:sz="4" w:space="0"/>
              <w:right w:val="single" w:color="auto" w:sz="4" w:space="0"/>
            </w:tcBorders>
            <w:noWrap w:val="0"/>
            <w:vAlign w:val="center"/>
          </w:tcPr>
          <w:p w14:paraId="441D683F">
            <w:pPr>
              <w:keepNext w:val="0"/>
              <w:keepLines w:val="0"/>
              <w:suppressLineNumbers w:val="0"/>
              <w:spacing w:before="0" w:beforeAutospacing="0" w:after="0" w:afterAutospacing="0"/>
              <w:ind w:left="0" w:right="0" w:firstLine="422"/>
              <w:rPr>
                <w:rFonts w:ascii="宋体" w:hAnsi="宋体" w:eastAsia="宋体" w:cs="Times New Roman"/>
                <w:b/>
                <w:color w:val="auto"/>
                <w:szCs w:val="21"/>
                <w:highlight w:val="none"/>
              </w:rPr>
            </w:pPr>
            <w:r>
              <w:rPr>
                <w:rFonts w:ascii="宋体" w:hAnsi="宋体" w:eastAsia="宋体" w:cs="Times New Roman"/>
                <w:b/>
                <w:color w:val="auto"/>
                <w:szCs w:val="21"/>
                <w:highlight w:val="none"/>
              </w:rPr>
              <w:t>联系人电话</w:t>
            </w:r>
          </w:p>
        </w:tc>
        <w:tc>
          <w:tcPr>
            <w:tcW w:w="1575" w:type="dxa"/>
            <w:tcBorders>
              <w:top w:val="single" w:color="auto" w:sz="4" w:space="0"/>
              <w:left w:val="nil"/>
              <w:bottom w:val="single" w:color="auto" w:sz="4" w:space="0"/>
              <w:right w:val="single" w:color="auto" w:sz="4" w:space="0"/>
            </w:tcBorders>
            <w:noWrap w:val="0"/>
            <w:vAlign w:val="center"/>
          </w:tcPr>
          <w:p w14:paraId="5E6505EE">
            <w:pPr>
              <w:keepNext w:val="0"/>
              <w:keepLines w:val="0"/>
              <w:suppressLineNumbers w:val="0"/>
              <w:spacing w:before="0" w:beforeAutospacing="0" w:after="0" w:afterAutospacing="0"/>
              <w:ind w:left="0" w:right="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合同时间</w:t>
            </w:r>
          </w:p>
        </w:tc>
      </w:tr>
      <w:tr w14:paraId="25031AF1">
        <w:tblPrEx>
          <w:tblCellMar>
            <w:top w:w="0" w:type="dxa"/>
            <w:left w:w="108" w:type="dxa"/>
            <w:bottom w:w="0" w:type="dxa"/>
            <w:right w:w="108" w:type="dxa"/>
          </w:tblCellMar>
        </w:tblPrEx>
        <w:trPr>
          <w:trHeight w:val="45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20FDF957">
            <w:pPr>
              <w:keepNext w:val="0"/>
              <w:keepLines w:val="0"/>
              <w:suppressLineNumbers w:val="0"/>
              <w:spacing w:before="0" w:beforeAutospacing="0" w:after="0" w:afterAutospacing="0"/>
              <w:ind w:left="0" w:right="0" w:firstLine="422"/>
              <w:rPr>
                <w:rFonts w:ascii="宋体" w:hAnsi="宋体" w:eastAsia="宋体" w:cs="Times New Roman"/>
                <w:b/>
                <w:color w:val="auto"/>
                <w:szCs w:val="21"/>
                <w:highlight w:val="none"/>
              </w:rPr>
            </w:pPr>
          </w:p>
        </w:tc>
        <w:tc>
          <w:tcPr>
            <w:tcW w:w="2237" w:type="dxa"/>
            <w:tcBorders>
              <w:top w:val="single" w:color="auto" w:sz="4" w:space="0"/>
              <w:left w:val="nil"/>
              <w:bottom w:val="single" w:color="auto" w:sz="4" w:space="0"/>
              <w:right w:val="single" w:color="auto" w:sz="4" w:space="0"/>
            </w:tcBorders>
            <w:noWrap w:val="0"/>
            <w:vAlign w:val="center"/>
          </w:tcPr>
          <w:p w14:paraId="398244EC">
            <w:pPr>
              <w:keepNext w:val="0"/>
              <w:keepLines w:val="0"/>
              <w:suppressLineNumbers w:val="0"/>
              <w:spacing w:before="0" w:beforeAutospacing="0" w:after="0" w:afterAutospacing="0"/>
              <w:ind w:left="0" w:right="0" w:firstLine="422"/>
              <w:rPr>
                <w:rFonts w:ascii="宋体" w:hAnsi="宋体" w:eastAsia="宋体" w:cs="Times New Roman"/>
                <w:b/>
                <w:color w:val="auto"/>
                <w:szCs w:val="21"/>
                <w:highlight w:val="none"/>
              </w:rPr>
            </w:pPr>
          </w:p>
        </w:tc>
        <w:tc>
          <w:tcPr>
            <w:tcW w:w="2237" w:type="dxa"/>
            <w:tcBorders>
              <w:top w:val="single" w:color="auto" w:sz="4" w:space="0"/>
              <w:left w:val="nil"/>
              <w:bottom w:val="single" w:color="auto" w:sz="4" w:space="0"/>
              <w:right w:val="single" w:color="auto" w:sz="4" w:space="0"/>
            </w:tcBorders>
            <w:noWrap w:val="0"/>
            <w:vAlign w:val="center"/>
          </w:tcPr>
          <w:p w14:paraId="6EF74700">
            <w:pPr>
              <w:keepNext w:val="0"/>
              <w:keepLines w:val="0"/>
              <w:suppressLineNumbers w:val="0"/>
              <w:spacing w:before="0" w:beforeAutospacing="0" w:after="0" w:afterAutospacing="0"/>
              <w:ind w:left="0" w:right="0" w:firstLine="422"/>
              <w:rPr>
                <w:rFonts w:ascii="宋体" w:hAnsi="宋体" w:eastAsia="宋体" w:cs="Times New Roman"/>
                <w:b/>
                <w:color w:val="auto"/>
                <w:szCs w:val="21"/>
                <w:highlight w:val="none"/>
              </w:rPr>
            </w:pPr>
          </w:p>
        </w:tc>
        <w:tc>
          <w:tcPr>
            <w:tcW w:w="2108" w:type="dxa"/>
            <w:tcBorders>
              <w:top w:val="single" w:color="auto" w:sz="4" w:space="0"/>
              <w:left w:val="nil"/>
              <w:bottom w:val="single" w:color="auto" w:sz="4" w:space="0"/>
              <w:right w:val="single" w:color="auto" w:sz="4" w:space="0"/>
            </w:tcBorders>
            <w:noWrap w:val="0"/>
            <w:vAlign w:val="center"/>
          </w:tcPr>
          <w:p w14:paraId="0403297A">
            <w:pPr>
              <w:keepNext w:val="0"/>
              <w:keepLines w:val="0"/>
              <w:suppressLineNumbers w:val="0"/>
              <w:spacing w:before="0" w:beforeAutospacing="0" w:after="0" w:afterAutospacing="0"/>
              <w:ind w:left="0" w:right="0" w:firstLine="422"/>
              <w:rPr>
                <w:rFonts w:ascii="宋体" w:hAnsi="宋体" w:eastAsia="宋体" w:cs="Times New Roman"/>
                <w:b/>
                <w:color w:val="auto"/>
                <w:szCs w:val="21"/>
                <w:highlight w:val="none"/>
              </w:rPr>
            </w:pPr>
          </w:p>
        </w:tc>
        <w:tc>
          <w:tcPr>
            <w:tcW w:w="1575" w:type="dxa"/>
            <w:tcBorders>
              <w:top w:val="single" w:color="auto" w:sz="4" w:space="0"/>
              <w:left w:val="nil"/>
              <w:bottom w:val="single" w:color="auto" w:sz="4" w:space="0"/>
              <w:right w:val="single" w:color="auto" w:sz="4" w:space="0"/>
            </w:tcBorders>
            <w:noWrap w:val="0"/>
            <w:vAlign w:val="center"/>
          </w:tcPr>
          <w:p w14:paraId="17468239">
            <w:pPr>
              <w:keepNext w:val="0"/>
              <w:keepLines w:val="0"/>
              <w:suppressLineNumbers w:val="0"/>
              <w:spacing w:before="0" w:beforeAutospacing="0" w:after="0" w:afterAutospacing="0"/>
              <w:ind w:left="0" w:right="0" w:firstLine="422"/>
              <w:rPr>
                <w:rFonts w:ascii="宋体" w:hAnsi="宋体" w:eastAsia="宋体" w:cs="Times New Roman"/>
                <w:b/>
                <w:color w:val="auto"/>
                <w:szCs w:val="21"/>
                <w:highlight w:val="none"/>
              </w:rPr>
            </w:pPr>
          </w:p>
        </w:tc>
      </w:tr>
      <w:tr w14:paraId="3C64B1ED">
        <w:tblPrEx>
          <w:tblCellMar>
            <w:top w:w="0" w:type="dxa"/>
            <w:left w:w="108" w:type="dxa"/>
            <w:bottom w:w="0" w:type="dxa"/>
            <w:right w:w="108" w:type="dxa"/>
          </w:tblCellMar>
        </w:tblPrEx>
        <w:trPr>
          <w:trHeight w:val="45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203E2F04">
            <w:pPr>
              <w:keepNext w:val="0"/>
              <w:keepLines w:val="0"/>
              <w:suppressLineNumbers w:val="0"/>
              <w:spacing w:before="0" w:beforeAutospacing="0" w:after="0" w:afterAutospacing="0"/>
              <w:ind w:left="0" w:right="0" w:firstLine="420"/>
              <w:rPr>
                <w:rFonts w:ascii="宋体" w:hAnsi="宋体" w:eastAsia="宋体" w:cs="Times New Roman"/>
                <w:color w:val="auto"/>
                <w:szCs w:val="21"/>
                <w:highlight w:val="none"/>
              </w:rPr>
            </w:pPr>
          </w:p>
        </w:tc>
        <w:tc>
          <w:tcPr>
            <w:tcW w:w="2237" w:type="dxa"/>
            <w:tcBorders>
              <w:top w:val="single" w:color="auto" w:sz="4" w:space="0"/>
              <w:left w:val="nil"/>
              <w:bottom w:val="single" w:color="auto" w:sz="4" w:space="0"/>
              <w:right w:val="single" w:color="auto" w:sz="4" w:space="0"/>
            </w:tcBorders>
            <w:noWrap w:val="0"/>
            <w:vAlign w:val="center"/>
          </w:tcPr>
          <w:p w14:paraId="7E5C6D69">
            <w:pPr>
              <w:keepNext w:val="0"/>
              <w:keepLines w:val="0"/>
              <w:suppressLineNumbers w:val="0"/>
              <w:spacing w:before="0" w:beforeAutospacing="0" w:after="0" w:afterAutospacing="0"/>
              <w:ind w:left="0" w:right="0" w:firstLine="420"/>
              <w:rPr>
                <w:rFonts w:ascii="宋体" w:hAnsi="宋体" w:eastAsia="宋体" w:cs="Times New Roman"/>
                <w:color w:val="auto"/>
                <w:szCs w:val="21"/>
                <w:highlight w:val="none"/>
              </w:rPr>
            </w:pPr>
          </w:p>
        </w:tc>
        <w:tc>
          <w:tcPr>
            <w:tcW w:w="2237" w:type="dxa"/>
            <w:tcBorders>
              <w:top w:val="single" w:color="auto" w:sz="4" w:space="0"/>
              <w:left w:val="nil"/>
              <w:bottom w:val="single" w:color="auto" w:sz="4" w:space="0"/>
              <w:right w:val="single" w:color="auto" w:sz="4" w:space="0"/>
            </w:tcBorders>
            <w:noWrap w:val="0"/>
            <w:vAlign w:val="center"/>
          </w:tcPr>
          <w:p w14:paraId="3C6D8304">
            <w:pPr>
              <w:keepNext w:val="0"/>
              <w:keepLines w:val="0"/>
              <w:suppressLineNumbers w:val="0"/>
              <w:spacing w:before="0" w:beforeAutospacing="0" w:after="0" w:afterAutospacing="0"/>
              <w:ind w:left="0" w:right="0" w:firstLine="420"/>
              <w:rPr>
                <w:rFonts w:ascii="宋体" w:hAnsi="宋体" w:eastAsia="宋体" w:cs="Times New Roman"/>
                <w:color w:val="auto"/>
                <w:szCs w:val="21"/>
                <w:highlight w:val="none"/>
              </w:rPr>
            </w:pPr>
          </w:p>
        </w:tc>
        <w:tc>
          <w:tcPr>
            <w:tcW w:w="2108" w:type="dxa"/>
            <w:tcBorders>
              <w:top w:val="single" w:color="auto" w:sz="4" w:space="0"/>
              <w:left w:val="nil"/>
              <w:bottom w:val="single" w:color="auto" w:sz="4" w:space="0"/>
              <w:right w:val="single" w:color="auto" w:sz="4" w:space="0"/>
            </w:tcBorders>
            <w:noWrap w:val="0"/>
            <w:vAlign w:val="center"/>
          </w:tcPr>
          <w:p w14:paraId="30C55AE1">
            <w:pPr>
              <w:keepNext w:val="0"/>
              <w:keepLines w:val="0"/>
              <w:suppressLineNumbers w:val="0"/>
              <w:spacing w:before="0" w:beforeAutospacing="0" w:after="0" w:afterAutospacing="0"/>
              <w:ind w:left="0" w:right="0" w:firstLine="420"/>
              <w:rPr>
                <w:rFonts w:ascii="宋体" w:hAnsi="宋体" w:eastAsia="宋体" w:cs="Times New Roman"/>
                <w:color w:val="auto"/>
                <w:szCs w:val="21"/>
                <w:highlight w:val="none"/>
              </w:rPr>
            </w:pPr>
          </w:p>
        </w:tc>
        <w:tc>
          <w:tcPr>
            <w:tcW w:w="1575" w:type="dxa"/>
            <w:tcBorders>
              <w:top w:val="single" w:color="auto" w:sz="4" w:space="0"/>
              <w:left w:val="nil"/>
              <w:bottom w:val="single" w:color="auto" w:sz="4" w:space="0"/>
              <w:right w:val="single" w:color="auto" w:sz="4" w:space="0"/>
            </w:tcBorders>
            <w:noWrap w:val="0"/>
            <w:vAlign w:val="center"/>
          </w:tcPr>
          <w:p w14:paraId="499A54B3">
            <w:pPr>
              <w:keepNext w:val="0"/>
              <w:keepLines w:val="0"/>
              <w:suppressLineNumbers w:val="0"/>
              <w:spacing w:before="0" w:beforeAutospacing="0" w:after="0" w:afterAutospacing="0"/>
              <w:ind w:left="0" w:right="0" w:firstLine="420"/>
              <w:rPr>
                <w:rFonts w:ascii="宋体" w:hAnsi="宋体" w:eastAsia="宋体" w:cs="Times New Roman"/>
                <w:color w:val="auto"/>
                <w:szCs w:val="21"/>
                <w:highlight w:val="none"/>
              </w:rPr>
            </w:pPr>
          </w:p>
        </w:tc>
      </w:tr>
      <w:tr w14:paraId="5FEA8E27">
        <w:tblPrEx>
          <w:tblCellMar>
            <w:top w:w="0" w:type="dxa"/>
            <w:left w:w="108" w:type="dxa"/>
            <w:bottom w:w="0" w:type="dxa"/>
            <w:right w:w="108" w:type="dxa"/>
          </w:tblCellMar>
        </w:tblPrEx>
        <w:trPr>
          <w:trHeight w:val="45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1504978B">
            <w:pPr>
              <w:keepNext w:val="0"/>
              <w:keepLines w:val="0"/>
              <w:suppressLineNumbers w:val="0"/>
              <w:spacing w:before="0" w:beforeAutospacing="0" w:after="0" w:afterAutospacing="0"/>
              <w:ind w:left="0" w:right="0" w:firstLine="420"/>
              <w:rPr>
                <w:rFonts w:ascii="宋体" w:hAnsi="宋体" w:eastAsia="宋体" w:cs="Times New Roman"/>
                <w:color w:val="auto"/>
                <w:szCs w:val="21"/>
                <w:highlight w:val="none"/>
              </w:rPr>
            </w:pPr>
          </w:p>
        </w:tc>
        <w:tc>
          <w:tcPr>
            <w:tcW w:w="2237" w:type="dxa"/>
            <w:tcBorders>
              <w:top w:val="single" w:color="auto" w:sz="4" w:space="0"/>
              <w:left w:val="nil"/>
              <w:bottom w:val="single" w:color="auto" w:sz="4" w:space="0"/>
              <w:right w:val="single" w:color="auto" w:sz="4" w:space="0"/>
            </w:tcBorders>
            <w:noWrap w:val="0"/>
            <w:vAlign w:val="center"/>
          </w:tcPr>
          <w:p w14:paraId="6CEA85A1">
            <w:pPr>
              <w:keepNext w:val="0"/>
              <w:keepLines w:val="0"/>
              <w:suppressLineNumbers w:val="0"/>
              <w:spacing w:before="0" w:beforeAutospacing="0" w:after="0" w:afterAutospacing="0"/>
              <w:ind w:left="0" w:right="0" w:firstLine="420"/>
              <w:rPr>
                <w:rFonts w:ascii="宋体" w:hAnsi="宋体" w:eastAsia="宋体" w:cs="Times New Roman"/>
                <w:color w:val="auto"/>
                <w:szCs w:val="21"/>
                <w:highlight w:val="none"/>
              </w:rPr>
            </w:pPr>
          </w:p>
        </w:tc>
        <w:tc>
          <w:tcPr>
            <w:tcW w:w="2237" w:type="dxa"/>
            <w:tcBorders>
              <w:top w:val="single" w:color="auto" w:sz="4" w:space="0"/>
              <w:left w:val="nil"/>
              <w:bottom w:val="single" w:color="auto" w:sz="4" w:space="0"/>
              <w:right w:val="single" w:color="auto" w:sz="4" w:space="0"/>
            </w:tcBorders>
            <w:noWrap w:val="0"/>
            <w:vAlign w:val="center"/>
          </w:tcPr>
          <w:p w14:paraId="4AB30BCA">
            <w:pPr>
              <w:keepNext w:val="0"/>
              <w:keepLines w:val="0"/>
              <w:suppressLineNumbers w:val="0"/>
              <w:spacing w:before="0" w:beforeAutospacing="0" w:after="0" w:afterAutospacing="0"/>
              <w:ind w:left="0" w:right="0" w:firstLine="420"/>
              <w:rPr>
                <w:rFonts w:ascii="宋体" w:hAnsi="宋体" w:eastAsia="宋体" w:cs="Times New Roman"/>
                <w:color w:val="auto"/>
                <w:szCs w:val="21"/>
                <w:highlight w:val="none"/>
              </w:rPr>
            </w:pPr>
          </w:p>
        </w:tc>
        <w:tc>
          <w:tcPr>
            <w:tcW w:w="2108" w:type="dxa"/>
            <w:tcBorders>
              <w:top w:val="single" w:color="auto" w:sz="4" w:space="0"/>
              <w:left w:val="nil"/>
              <w:bottom w:val="single" w:color="auto" w:sz="4" w:space="0"/>
              <w:right w:val="single" w:color="auto" w:sz="4" w:space="0"/>
            </w:tcBorders>
            <w:noWrap w:val="0"/>
            <w:vAlign w:val="center"/>
          </w:tcPr>
          <w:p w14:paraId="696B784A">
            <w:pPr>
              <w:keepNext w:val="0"/>
              <w:keepLines w:val="0"/>
              <w:suppressLineNumbers w:val="0"/>
              <w:spacing w:before="0" w:beforeAutospacing="0" w:after="0" w:afterAutospacing="0"/>
              <w:ind w:left="0" w:right="0" w:firstLine="420"/>
              <w:rPr>
                <w:rFonts w:ascii="宋体" w:hAnsi="宋体" w:eastAsia="宋体" w:cs="Times New Roman"/>
                <w:color w:val="auto"/>
                <w:szCs w:val="21"/>
                <w:highlight w:val="none"/>
              </w:rPr>
            </w:pPr>
          </w:p>
        </w:tc>
        <w:tc>
          <w:tcPr>
            <w:tcW w:w="1575" w:type="dxa"/>
            <w:tcBorders>
              <w:top w:val="single" w:color="auto" w:sz="4" w:space="0"/>
              <w:left w:val="nil"/>
              <w:bottom w:val="single" w:color="auto" w:sz="4" w:space="0"/>
              <w:right w:val="single" w:color="auto" w:sz="4" w:space="0"/>
            </w:tcBorders>
            <w:noWrap w:val="0"/>
            <w:vAlign w:val="center"/>
          </w:tcPr>
          <w:p w14:paraId="7656867D">
            <w:pPr>
              <w:keepNext w:val="0"/>
              <w:keepLines w:val="0"/>
              <w:suppressLineNumbers w:val="0"/>
              <w:spacing w:before="0" w:beforeAutospacing="0" w:after="0" w:afterAutospacing="0"/>
              <w:ind w:left="0" w:right="0" w:firstLine="420"/>
              <w:rPr>
                <w:rFonts w:ascii="宋体" w:hAnsi="宋体" w:eastAsia="宋体" w:cs="Times New Roman"/>
                <w:color w:val="auto"/>
                <w:szCs w:val="21"/>
                <w:highlight w:val="none"/>
              </w:rPr>
            </w:pPr>
          </w:p>
        </w:tc>
      </w:tr>
      <w:tr w14:paraId="141F9630">
        <w:tblPrEx>
          <w:tblCellMar>
            <w:top w:w="0" w:type="dxa"/>
            <w:left w:w="108" w:type="dxa"/>
            <w:bottom w:w="0" w:type="dxa"/>
            <w:right w:w="108" w:type="dxa"/>
          </w:tblCellMar>
        </w:tblPrEx>
        <w:trPr>
          <w:trHeight w:val="45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1D2BB696">
            <w:pPr>
              <w:keepNext w:val="0"/>
              <w:keepLines w:val="0"/>
              <w:suppressLineNumbers w:val="0"/>
              <w:spacing w:before="0" w:beforeAutospacing="0" w:after="0" w:afterAutospacing="0"/>
              <w:ind w:left="0" w:right="0" w:firstLine="420"/>
              <w:rPr>
                <w:rFonts w:ascii="宋体" w:hAnsi="宋体" w:eastAsia="宋体" w:cs="Times New Roman"/>
                <w:color w:val="auto"/>
                <w:szCs w:val="21"/>
                <w:highlight w:val="none"/>
              </w:rPr>
            </w:pPr>
          </w:p>
        </w:tc>
        <w:tc>
          <w:tcPr>
            <w:tcW w:w="2237" w:type="dxa"/>
            <w:tcBorders>
              <w:top w:val="single" w:color="auto" w:sz="4" w:space="0"/>
              <w:left w:val="nil"/>
              <w:bottom w:val="single" w:color="auto" w:sz="4" w:space="0"/>
              <w:right w:val="single" w:color="auto" w:sz="4" w:space="0"/>
            </w:tcBorders>
            <w:noWrap w:val="0"/>
            <w:vAlign w:val="center"/>
          </w:tcPr>
          <w:p w14:paraId="673F6033">
            <w:pPr>
              <w:keepNext w:val="0"/>
              <w:keepLines w:val="0"/>
              <w:suppressLineNumbers w:val="0"/>
              <w:spacing w:before="0" w:beforeAutospacing="0" w:after="0" w:afterAutospacing="0"/>
              <w:ind w:left="0" w:right="0" w:firstLine="420"/>
              <w:rPr>
                <w:rFonts w:ascii="宋体" w:hAnsi="宋体" w:eastAsia="宋体" w:cs="Times New Roman"/>
                <w:color w:val="auto"/>
                <w:szCs w:val="21"/>
                <w:highlight w:val="none"/>
              </w:rPr>
            </w:pPr>
          </w:p>
        </w:tc>
        <w:tc>
          <w:tcPr>
            <w:tcW w:w="2237" w:type="dxa"/>
            <w:tcBorders>
              <w:top w:val="single" w:color="auto" w:sz="4" w:space="0"/>
              <w:left w:val="nil"/>
              <w:bottom w:val="single" w:color="auto" w:sz="4" w:space="0"/>
              <w:right w:val="single" w:color="auto" w:sz="4" w:space="0"/>
            </w:tcBorders>
            <w:noWrap w:val="0"/>
            <w:vAlign w:val="center"/>
          </w:tcPr>
          <w:p w14:paraId="0C77622B">
            <w:pPr>
              <w:keepNext w:val="0"/>
              <w:keepLines w:val="0"/>
              <w:suppressLineNumbers w:val="0"/>
              <w:spacing w:before="0" w:beforeAutospacing="0" w:after="0" w:afterAutospacing="0"/>
              <w:ind w:left="0" w:right="0" w:firstLine="420"/>
              <w:rPr>
                <w:rFonts w:ascii="宋体" w:hAnsi="宋体" w:eastAsia="宋体" w:cs="Times New Roman"/>
                <w:color w:val="auto"/>
                <w:szCs w:val="21"/>
                <w:highlight w:val="none"/>
              </w:rPr>
            </w:pPr>
          </w:p>
        </w:tc>
        <w:tc>
          <w:tcPr>
            <w:tcW w:w="2108" w:type="dxa"/>
            <w:tcBorders>
              <w:top w:val="single" w:color="auto" w:sz="4" w:space="0"/>
              <w:left w:val="nil"/>
              <w:bottom w:val="single" w:color="auto" w:sz="4" w:space="0"/>
              <w:right w:val="single" w:color="auto" w:sz="4" w:space="0"/>
            </w:tcBorders>
            <w:noWrap w:val="0"/>
            <w:vAlign w:val="center"/>
          </w:tcPr>
          <w:p w14:paraId="195D56AC">
            <w:pPr>
              <w:keepNext w:val="0"/>
              <w:keepLines w:val="0"/>
              <w:suppressLineNumbers w:val="0"/>
              <w:spacing w:before="0" w:beforeAutospacing="0" w:after="0" w:afterAutospacing="0"/>
              <w:ind w:left="0" w:right="0" w:firstLine="420"/>
              <w:rPr>
                <w:rFonts w:ascii="宋体" w:hAnsi="宋体" w:eastAsia="宋体" w:cs="Times New Roman"/>
                <w:color w:val="auto"/>
                <w:szCs w:val="21"/>
                <w:highlight w:val="none"/>
              </w:rPr>
            </w:pPr>
          </w:p>
        </w:tc>
        <w:tc>
          <w:tcPr>
            <w:tcW w:w="1575" w:type="dxa"/>
            <w:tcBorders>
              <w:top w:val="single" w:color="auto" w:sz="4" w:space="0"/>
              <w:left w:val="nil"/>
              <w:bottom w:val="single" w:color="auto" w:sz="4" w:space="0"/>
              <w:right w:val="single" w:color="auto" w:sz="4" w:space="0"/>
            </w:tcBorders>
            <w:noWrap w:val="0"/>
            <w:vAlign w:val="center"/>
          </w:tcPr>
          <w:p w14:paraId="6D311FC6">
            <w:pPr>
              <w:keepNext w:val="0"/>
              <w:keepLines w:val="0"/>
              <w:suppressLineNumbers w:val="0"/>
              <w:spacing w:before="0" w:beforeAutospacing="0" w:after="0" w:afterAutospacing="0"/>
              <w:ind w:left="0" w:right="0" w:firstLine="420"/>
              <w:rPr>
                <w:rFonts w:ascii="宋体" w:hAnsi="宋体" w:eastAsia="宋体" w:cs="Times New Roman"/>
                <w:color w:val="auto"/>
                <w:szCs w:val="21"/>
                <w:highlight w:val="none"/>
              </w:rPr>
            </w:pPr>
          </w:p>
        </w:tc>
      </w:tr>
    </w:tbl>
    <w:p w14:paraId="516F9C2D">
      <w:pPr>
        <w:ind w:firstLine="480"/>
        <w:rPr>
          <w:rFonts w:hint="eastAsia" w:ascii="宋体" w:hAnsi="宋体"/>
          <w:color w:val="auto"/>
          <w:sz w:val="24"/>
          <w:highlight w:val="none"/>
        </w:rPr>
      </w:pPr>
    </w:p>
    <w:p w14:paraId="3FBBB7C7">
      <w:pPr>
        <w:rPr>
          <w:rFonts w:hint="eastAsia" w:ascii="宋体" w:hAnsi="宋体"/>
          <w:color w:val="auto"/>
          <w:szCs w:val="21"/>
          <w:highlight w:val="none"/>
        </w:rPr>
      </w:pPr>
      <w:r>
        <w:rPr>
          <w:rFonts w:hint="eastAsia" w:ascii="宋体" w:hAnsi="宋体"/>
          <w:color w:val="auto"/>
          <w:szCs w:val="21"/>
          <w:highlight w:val="none"/>
        </w:rPr>
        <w:t>投标人  （盖章）：</w:t>
      </w:r>
    </w:p>
    <w:p w14:paraId="31A3EF3C">
      <w:pPr>
        <w:rPr>
          <w:rFonts w:hint="eastAsia" w:ascii="宋体" w:hAnsi="宋体"/>
          <w:color w:val="auto"/>
          <w:szCs w:val="21"/>
          <w:highlight w:val="none"/>
        </w:rPr>
      </w:pPr>
      <w:r>
        <w:rPr>
          <w:rFonts w:hint="eastAsia" w:ascii="宋体" w:hAnsi="宋体"/>
          <w:color w:val="auto"/>
          <w:szCs w:val="21"/>
          <w:highlight w:val="none"/>
        </w:rPr>
        <w:t>法定代表或其授权代表：（签字或盖章）</w:t>
      </w:r>
    </w:p>
    <w:p w14:paraId="13E91643">
      <w:pPr>
        <w:rPr>
          <w:rFonts w:ascii="宋体" w:hAnsi="宋体"/>
          <w:color w:val="auto"/>
          <w:szCs w:val="21"/>
          <w:highlight w:val="none"/>
        </w:rPr>
      </w:pPr>
      <w:r>
        <w:rPr>
          <w:rFonts w:hint="eastAsia" w:ascii="宋体" w:hAnsi="宋体"/>
          <w:color w:val="auto"/>
          <w:szCs w:val="21"/>
          <w:highlight w:val="none"/>
        </w:rPr>
        <w:t>日     期：</w:t>
      </w:r>
    </w:p>
    <w:p w14:paraId="4D6B9999">
      <w:pPr>
        <w:pStyle w:val="14"/>
        <w:tabs>
          <w:tab w:val="left" w:pos="4841"/>
        </w:tabs>
        <w:ind w:firstLine="466"/>
        <w:rPr>
          <w:rFonts w:hint="eastAsia" w:hAnsi="宋体"/>
          <w:b/>
          <w:color w:val="auto"/>
          <w:sz w:val="24"/>
          <w:highlight w:val="none"/>
        </w:rPr>
      </w:pPr>
    </w:p>
    <w:p w14:paraId="4AC83BFB">
      <w:pPr>
        <w:spacing w:line="360" w:lineRule="auto"/>
        <w:rPr>
          <w:rFonts w:hint="eastAsia" w:ascii="宋体" w:hAnsi="宋体"/>
          <w:color w:val="auto"/>
          <w:szCs w:val="21"/>
          <w:highlight w:val="none"/>
        </w:rPr>
      </w:pPr>
    </w:p>
    <w:p w14:paraId="4258F446">
      <w:pPr>
        <w:spacing w:line="360" w:lineRule="auto"/>
        <w:rPr>
          <w:rFonts w:hint="eastAsia" w:ascii="宋体" w:hAnsi="宋体"/>
          <w:color w:val="auto"/>
          <w:szCs w:val="21"/>
          <w:highlight w:val="none"/>
        </w:rPr>
      </w:pPr>
    </w:p>
    <w:p w14:paraId="49457858">
      <w:pPr>
        <w:spacing w:line="360" w:lineRule="auto"/>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.评标索引表格式：</w:t>
      </w:r>
    </w:p>
    <w:p w14:paraId="03B69123">
      <w:pPr>
        <w:spacing w:line="360" w:lineRule="auto"/>
        <w:rPr>
          <w:rFonts w:hint="eastAsia" w:ascii="宋体" w:hAnsi="宋体"/>
          <w:color w:val="auto"/>
          <w:szCs w:val="21"/>
          <w:highlight w:val="none"/>
        </w:rPr>
      </w:pPr>
      <w:r>
        <w:rPr>
          <w:rFonts w:hint="eastAsia" w:ascii="宋体" w:hAnsi="宋体"/>
          <w:color w:val="auto"/>
          <w:szCs w:val="21"/>
          <w:highlight w:val="none"/>
        </w:rPr>
        <w:t>评标索引表</w:t>
      </w:r>
    </w:p>
    <w:tbl>
      <w:tblPr>
        <w:tblStyle w:val="32"/>
        <w:tblW w:w="9928"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6709"/>
        <w:gridCol w:w="1214"/>
        <w:gridCol w:w="1214"/>
      </w:tblGrid>
      <w:tr w14:paraId="0D51A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791" w:type="dxa"/>
            <w:noWrap w:val="0"/>
            <w:vAlign w:val="center"/>
          </w:tcPr>
          <w:p w14:paraId="1F34249F">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序号</w:t>
            </w:r>
          </w:p>
        </w:tc>
        <w:tc>
          <w:tcPr>
            <w:tcW w:w="6709" w:type="dxa"/>
            <w:noWrap w:val="0"/>
            <w:vAlign w:val="center"/>
          </w:tcPr>
          <w:p w14:paraId="1C9E3400">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评标内容</w:t>
            </w:r>
          </w:p>
        </w:tc>
        <w:tc>
          <w:tcPr>
            <w:tcW w:w="1214" w:type="dxa"/>
            <w:noWrap w:val="0"/>
            <w:vAlign w:val="center"/>
          </w:tcPr>
          <w:p w14:paraId="2042D0AF">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投标文件响应页码</w:t>
            </w:r>
          </w:p>
        </w:tc>
        <w:tc>
          <w:tcPr>
            <w:tcW w:w="1214" w:type="dxa"/>
            <w:noWrap w:val="0"/>
            <w:vAlign w:val="center"/>
          </w:tcPr>
          <w:p w14:paraId="00564474">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投标人自评分</w:t>
            </w:r>
          </w:p>
        </w:tc>
      </w:tr>
      <w:tr w14:paraId="722ED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791" w:type="dxa"/>
            <w:noWrap w:val="0"/>
            <w:vAlign w:val="center"/>
          </w:tcPr>
          <w:p w14:paraId="74CE806D">
            <w:pPr>
              <w:keepNext w:val="0"/>
              <w:keepLines w:val="0"/>
              <w:suppressLineNumbers w:val="0"/>
              <w:spacing w:before="0" w:beforeAutospacing="0" w:after="0" w:afterAutospacing="0" w:line="360" w:lineRule="auto"/>
              <w:ind w:left="0" w:right="0"/>
              <w:rPr>
                <w:rFonts w:hint="eastAsia" w:ascii="宋体" w:hAnsi="宋体" w:eastAsia="宋体" w:cs="Times New Roman"/>
                <w:color w:val="auto"/>
                <w:szCs w:val="21"/>
                <w:highlight w:val="none"/>
              </w:rPr>
            </w:pPr>
          </w:p>
        </w:tc>
        <w:tc>
          <w:tcPr>
            <w:tcW w:w="6709" w:type="dxa"/>
            <w:noWrap w:val="0"/>
            <w:vAlign w:val="center"/>
          </w:tcPr>
          <w:p w14:paraId="2F054D11">
            <w:pPr>
              <w:keepNext w:val="0"/>
              <w:keepLines w:val="0"/>
              <w:suppressLineNumbers w:val="0"/>
              <w:spacing w:before="0" w:beforeAutospacing="0" w:after="0" w:afterAutospacing="0" w:line="360" w:lineRule="auto"/>
              <w:ind w:left="0" w:right="0"/>
              <w:rPr>
                <w:rFonts w:hint="eastAsia" w:ascii="宋体" w:hAnsi="宋体" w:eastAsia="宋体" w:cs="Times New Roman"/>
                <w:color w:val="auto"/>
                <w:szCs w:val="21"/>
                <w:highlight w:val="none"/>
              </w:rPr>
            </w:pPr>
          </w:p>
        </w:tc>
        <w:tc>
          <w:tcPr>
            <w:tcW w:w="1214" w:type="dxa"/>
            <w:noWrap w:val="0"/>
            <w:vAlign w:val="center"/>
          </w:tcPr>
          <w:p w14:paraId="01059A33">
            <w:pPr>
              <w:keepNext w:val="0"/>
              <w:keepLines w:val="0"/>
              <w:suppressLineNumbers w:val="0"/>
              <w:spacing w:before="0" w:beforeAutospacing="0" w:after="0" w:afterAutospacing="0" w:line="360" w:lineRule="auto"/>
              <w:ind w:left="0" w:right="0"/>
              <w:rPr>
                <w:rFonts w:hint="eastAsia" w:ascii="宋体" w:hAnsi="宋体" w:eastAsia="宋体" w:cs="Times New Roman"/>
                <w:color w:val="auto"/>
                <w:szCs w:val="21"/>
                <w:highlight w:val="none"/>
              </w:rPr>
            </w:pPr>
          </w:p>
        </w:tc>
        <w:tc>
          <w:tcPr>
            <w:tcW w:w="1214" w:type="dxa"/>
            <w:noWrap w:val="0"/>
            <w:vAlign w:val="center"/>
          </w:tcPr>
          <w:p w14:paraId="67F41E7A">
            <w:pPr>
              <w:keepNext w:val="0"/>
              <w:keepLines w:val="0"/>
              <w:suppressLineNumbers w:val="0"/>
              <w:spacing w:before="0" w:beforeAutospacing="0" w:after="0" w:afterAutospacing="0" w:line="360" w:lineRule="auto"/>
              <w:ind w:left="0" w:right="0"/>
              <w:rPr>
                <w:rFonts w:hint="eastAsia" w:ascii="宋体" w:hAnsi="宋体" w:eastAsia="宋体" w:cs="Times New Roman"/>
                <w:color w:val="auto"/>
                <w:szCs w:val="21"/>
                <w:highlight w:val="none"/>
              </w:rPr>
            </w:pPr>
          </w:p>
        </w:tc>
      </w:tr>
      <w:tr w14:paraId="02D08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791" w:type="dxa"/>
            <w:noWrap w:val="0"/>
            <w:vAlign w:val="center"/>
          </w:tcPr>
          <w:p w14:paraId="7754BCC9">
            <w:pPr>
              <w:keepNext w:val="0"/>
              <w:keepLines w:val="0"/>
              <w:suppressLineNumbers w:val="0"/>
              <w:spacing w:before="0" w:beforeAutospacing="0" w:after="0" w:afterAutospacing="0" w:line="360" w:lineRule="auto"/>
              <w:ind w:left="0" w:right="0"/>
              <w:rPr>
                <w:rFonts w:hint="eastAsia" w:ascii="宋体" w:hAnsi="宋体" w:eastAsia="宋体" w:cs="Times New Roman"/>
                <w:color w:val="auto"/>
                <w:szCs w:val="21"/>
                <w:highlight w:val="none"/>
              </w:rPr>
            </w:pPr>
          </w:p>
        </w:tc>
        <w:tc>
          <w:tcPr>
            <w:tcW w:w="6709" w:type="dxa"/>
            <w:noWrap w:val="0"/>
            <w:vAlign w:val="center"/>
          </w:tcPr>
          <w:p w14:paraId="3127405E">
            <w:pPr>
              <w:keepNext w:val="0"/>
              <w:keepLines w:val="0"/>
              <w:suppressLineNumbers w:val="0"/>
              <w:spacing w:before="0" w:beforeAutospacing="0" w:after="0" w:afterAutospacing="0" w:line="360" w:lineRule="auto"/>
              <w:ind w:left="0" w:right="0"/>
              <w:rPr>
                <w:rFonts w:hint="eastAsia" w:ascii="宋体" w:hAnsi="宋体" w:eastAsia="宋体" w:cs="Times New Roman"/>
                <w:color w:val="auto"/>
                <w:szCs w:val="21"/>
                <w:highlight w:val="none"/>
              </w:rPr>
            </w:pPr>
          </w:p>
        </w:tc>
        <w:tc>
          <w:tcPr>
            <w:tcW w:w="1214" w:type="dxa"/>
            <w:noWrap w:val="0"/>
            <w:vAlign w:val="center"/>
          </w:tcPr>
          <w:p w14:paraId="7C8DF559">
            <w:pPr>
              <w:keepNext w:val="0"/>
              <w:keepLines w:val="0"/>
              <w:suppressLineNumbers w:val="0"/>
              <w:spacing w:before="0" w:beforeAutospacing="0" w:after="0" w:afterAutospacing="0" w:line="360" w:lineRule="auto"/>
              <w:ind w:left="0" w:right="0"/>
              <w:rPr>
                <w:rFonts w:hint="eastAsia" w:ascii="宋体" w:hAnsi="宋体" w:eastAsia="宋体" w:cs="Times New Roman"/>
                <w:color w:val="auto"/>
                <w:szCs w:val="21"/>
                <w:highlight w:val="none"/>
              </w:rPr>
            </w:pPr>
          </w:p>
        </w:tc>
        <w:tc>
          <w:tcPr>
            <w:tcW w:w="1214" w:type="dxa"/>
            <w:noWrap w:val="0"/>
            <w:vAlign w:val="center"/>
          </w:tcPr>
          <w:p w14:paraId="01A66D59">
            <w:pPr>
              <w:keepNext w:val="0"/>
              <w:keepLines w:val="0"/>
              <w:suppressLineNumbers w:val="0"/>
              <w:spacing w:before="0" w:beforeAutospacing="0" w:after="0" w:afterAutospacing="0" w:line="360" w:lineRule="auto"/>
              <w:ind w:left="0" w:right="0"/>
              <w:rPr>
                <w:rFonts w:hint="eastAsia" w:ascii="宋体" w:hAnsi="宋体" w:eastAsia="宋体" w:cs="Times New Roman"/>
                <w:color w:val="auto"/>
                <w:szCs w:val="21"/>
                <w:highlight w:val="none"/>
              </w:rPr>
            </w:pPr>
          </w:p>
        </w:tc>
      </w:tr>
      <w:tr w14:paraId="741F6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791" w:type="dxa"/>
            <w:noWrap w:val="0"/>
            <w:vAlign w:val="center"/>
          </w:tcPr>
          <w:p w14:paraId="7AD90FC9">
            <w:pPr>
              <w:keepNext w:val="0"/>
              <w:keepLines w:val="0"/>
              <w:suppressLineNumbers w:val="0"/>
              <w:spacing w:before="0" w:beforeAutospacing="0" w:after="0" w:afterAutospacing="0" w:line="360" w:lineRule="auto"/>
              <w:ind w:left="0" w:right="0"/>
              <w:rPr>
                <w:rFonts w:hint="eastAsia" w:ascii="宋体" w:hAnsi="宋体" w:eastAsia="宋体" w:cs="Times New Roman"/>
                <w:color w:val="auto"/>
                <w:szCs w:val="21"/>
                <w:highlight w:val="none"/>
              </w:rPr>
            </w:pPr>
          </w:p>
        </w:tc>
        <w:tc>
          <w:tcPr>
            <w:tcW w:w="6709" w:type="dxa"/>
            <w:noWrap w:val="0"/>
            <w:vAlign w:val="center"/>
          </w:tcPr>
          <w:p w14:paraId="674372C6">
            <w:pPr>
              <w:keepNext w:val="0"/>
              <w:keepLines w:val="0"/>
              <w:suppressLineNumbers w:val="0"/>
              <w:spacing w:before="0" w:beforeAutospacing="0" w:after="0" w:afterAutospacing="0" w:line="360" w:lineRule="auto"/>
              <w:ind w:left="0" w:right="0"/>
              <w:rPr>
                <w:rFonts w:hint="eastAsia" w:ascii="宋体" w:hAnsi="宋体" w:eastAsia="宋体" w:cs="Times New Roman"/>
                <w:color w:val="auto"/>
                <w:szCs w:val="21"/>
                <w:highlight w:val="none"/>
              </w:rPr>
            </w:pPr>
          </w:p>
        </w:tc>
        <w:tc>
          <w:tcPr>
            <w:tcW w:w="1214" w:type="dxa"/>
            <w:noWrap w:val="0"/>
            <w:vAlign w:val="center"/>
          </w:tcPr>
          <w:p w14:paraId="4BD4DE1D">
            <w:pPr>
              <w:keepNext w:val="0"/>
              <w:keepLines w:val="0"/>
              <w:suppressLineNumbers w:val="0"/>
              <w:spacing w:before="0" w:beforeAutospacing="0" w:after="0" w:afterAutospacing="0" w:line="360" w:lineRule="auto"/>
              <w:ind w:left="0" w:right="0"/>
              <w:rPr>
                <w:rFonts w:hint="eastAsia" w:ascii="宋体" w:hAnsi="宋体" w:eastAsia="宋体" w:cs="Times New Roman"/>
                <w:color w:val="auto"/>
                <w:szCs w:val="21"/>
                <w:highlight w:val="none"/>
              </w:rPr>
            </w:pPr>
          </w:p>
        </w:tc>
        <w:tc>
          <w:tcPr>
            <w:tcW w:w="1214" w:type="dxa"/>
            <w:noWrap w:val="0"/>
            <w:vAlign w:val="center"/>
          </w:tcPr>
          <w:p w14:paraId="3E11C818">
            <w:pPr>
              <w:keepNext w:val="0"/>
              <w:keepLines w:val="0"/>
              <w:suppressLineNumbers w:val="0"/>
              <w:spacing w:before="0" w:beforeAutospacing="0" w:after="0" w:afterAutospacing="0" w:line="360" w:lineRule="auto"/>
              <w:ind w:left="0" w:right="0"/>
              <w:rPr>
                <w:rFonts w:hint="eastAsia" w:ascii="宋体" w:hAnsi="宋体" w:eastAsia="宋体" w:cs="Times New Roman"/>
                <w:color w:val="auto"/>
                <w:szCs w:val="21"/>
                <w:highlight w:val="none"/>
              </w:rPr>
            </w:pPr>
          </w:p>
        </w:tc>
      </w:tr>
      <w:tr w14:paraId="0EB60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791" w:type="dxa"/>
            <w:noWrap w:val="0"/>
            <w:vAlign w:val="center"/>
          </w:tcPr>
          <w:p w14:paraId="05BE3C45">
            <w:pPr>
              <w:keepNext w:val="0"/>
              <w:keepLines w:val="0"/>
              <w:suppressLineNumbers w:val="0"/>
              <w:spacing w:before="0" w:beforeAutospacing="0" w:after="0" w:afterAutospacing="0" w:line="360" w:lineRule="auto"/>
              <w:ind w:left="0" w:right="0"/>
              <w:rPr>
                <w:rFonts w:hint="eastAsia" w:ascii="宋体" w:hAnsi="宋体" w:eastAsia="宋体" w:cs="Times New Roman"/>
                <w:color w:val="auto"/>
                <w:szCs w:val="21"/>
                <w:highlight w:val="none"/>
              </w:rPr>
            </w:pPr>
          </w:p>
        </w:tc>
        <w:tc>
          <w:tcPr>
            <w:tcW w:w="6709" w:type="dxa"/>
            <w:noWrap w:val="0"/>
            <w:vAlign w:val="center"/>
          </w:tcPr>
          <w:p w14:paraId="50E1CE7E">
            <w:pPr>
              <w:keepNext w:val="0"/>
              <w:keepLines w:val="0"/>
              <w:suppressLineNumbers w:val="0"/>
              <w:spacing w:before="0" w:beforeAutospacing="0" w:after="0" w:afterAutospacing="0" w:line="360" w:lineRule="auto"/>
              <w:ind w:left="0" w:right="0"/>
              <w:rPr>
                <w:rFonts w:hint="eastAsia" w:ascii="宋体" w:hAnsi="宋体" w:eastAsia="宋体" w:cs="Times New Roman"/>
                <w:color w:val="auto"/>
                <w:szCs w:val="21"/>
                <w:highlight w:val="none"/>
              </w:rPr>
            </w:pPr>
          </w:p>
        </w:tc>
        <w:tc>
          <w:tcPr>
            <w:tcW w:w="1214" w:type="dxa"/>
            <w:noWrap w:val="0"/>
            <w:vAlign w:val="center"/>
          </w:tcPr>
          <w:p w14:paraId="576D0751">
            <w:pPr>
              <w:keepNext w:val="0"/>
              <w:keepLines w:val="0"/>
              <w:suppressLineNumbers w:val="0"/>
              <w:spacing w:before="0" w:beforeAutospacing="0" w:after="0" w:afterAutospacing="0" w:line="360" w:lineRule="auto"/>
              <w:ind w:left="0" w:right="0"/>
              <w:rPr>
                <w:rFonts w:hint="eastAsia" w:ascii="宋体" w:hAnsi="宋体" w:eastAsia="宋体" w:cs="Times New Roman"/>
                <w:color w:val="auto"/>
                <w:szCs w:val="21"/>
                <w:highlight w:val="none"/>
              </w:rPr>
            </w:pPr>
          </w:p>
        </w:tc>
        <w:tc>
          <w:tcPr>
            <w:tcW w:w="1214" w:type="dxa"/>
            <w:noWrap w:val="0"/>
            <w:vAlign w:val="center"/>
          </w:tcPr>
          <w:p w14:paraId="0A54A446">
            <w:pPr>
              <w:keepNext w:val="0"/>
              <w:keepLines w:val="0"/>
              <w:suppressLineNumbers w:val="0"/>
              <w:spacing w:before="0" w:beforeAutospacing="0" w:after="0" w:afterAutospacing="0" w:line="360" w:lineRule="auto"/>
              <w:ind w:left="0" w:right="0"/>
              <w:rPr>
                <w:rFonts w:hint="eastAsia" w:ascii="宋体" w:hAnsi="宋体" w:eastAsia="宋体" w:cs="Times New Roman"/>
                <w:color w:val="auto"/>
                <w:szCs w:val="21"/>
                <w:highlight w:val="none"/>
              </w:rPr>
            </w:pPr>
          </w:p>
        </w:tc>
      </w:tr>
      <w:tr w14:paraId="7038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791" w:type="dxa"/>
            <w:noWrap w:val="0"/>
            <w:vAlign w:val="center"/>
          </w:tcPr>
          <w:p w14:paraId="4372E2FD">
            <w:pPr>
              <w:keepNext w:val="0"/>
              <w:keepLines w:val="0"/>
              <w:suppressLineNumbers w:val="0"/>
              <w:spacing w:before="0" w:beforeAutospacing="0" w:after="0" w:afterAutospacing="0" w:line="360" w:lineRule="auto"/>
              <w:ind w:left="0" w:right="0"/>
              <w:rPr>
                <w:rFonts w:hint="eastAsia" w:ascii="宋体" w:hAnsi="宋体" w:eastAsia="宋体" w:cs="Times New Roman"/>
                <w:color w:val="auto"/>
                <w:szCs w:val="21"/>
                <w:highlight w:val="none"/>
              </w:rPr>
            </w:pPr>
          </w:p>
        </w:tc>
        <w:tc>
          <w:tcPr>
            <w:tcW w:w="6709" w:type="dxa"/>
            <w:noWrap w:val="0"/>
            <w:vAlign w:val="center"/>
          </w:tcPr>
          <w:p w14:paraId="0863940C">
            <w:pPr>
              <w:keepNext w:val="0"/>
              <w:keepLines w:val="0"/>
              <w:suppressLineNumbers w:val="0"/>
              <w:spacing w:before="0" w:beforeAutospacing="0" w:after="0" w:afterAutospacing="0" w:line="360" w:lineRule="auto"/>
              <w:ind w:left="0" w:right="0"/>
              <w:rPr>
                <w:rFonts w:hint="eastAsia" w:ascii="宋体" w:hAnsi="宋体" w:eastAsia="宋体" w:cs="Times New Roman"/>
                <w:color w:val="auto"/>
                <w:szCs w:val="21"/>
                <w:highlight w:val="none"/>
              </w:rPr>
            </w:pPr>
          </w:p>
        </w:tc>
        <w:tc>
          <w:tcPr>
            <w:tcW w:w="1214" w:type="dxa"/>
            <w:noWrap w:val="0"/>
            <w:vAlign w:val="center"/>
          </w:tcPr>
          <w:p w14:paraId="7CF42A44">
            <w:pPr>
              <w:keepNext w:val="0"/>
              <w:keepLines w:val="0"/>
              <w:suppressLineNumbers w:val="0"/>
              <w:spacing w:before="0" w:beforeAutospacing="0" w:after="0" w:afterAutospacing="0" w:line="360" w:lineRule="auto"/>
              <w:ind w:left="0" w:right="0"/>
              <w:rPr>
                <w:rFonts w:hint="eastAsia" w:ascii="宋体" w:hAnsi="宋体" w:eastAsia="宋体" w:cs="Times New Roman"/>
                <w:color w:val="auto"/>
                <w:szCs w:val="21"/>
                <w:highlight w:val="none"/>
              </w:rPr>
            </w:pPr>
          </w:p>
        </w:tc>
        <w:tc>
          <w:tcPr>
            <w:tcW w:w="1214" w:type="dxa"/>
            <w:noWrap w:val="0"/>
            <w:vAlign w:val="center"/>
          </w:tcPr>
          <w:p w14:paraId="276F3F9D">
            <w:pPr>
              <w:keepNext w:val="0"/>
              <w:keepLines w:val="0"/>
              <w:suppressLineNumbers w:val="0"/>
              <w:spacing w:before="0" w:beforeAutospacing="0" w:after="0" w:afterAutospacing="0" w:line="360" w:lineRule="auto"/>
              <w:ind w:left="0" w:right="0"/>
              <w:rPr>
                <w:rFonts w:hint="eastAsia" w:ascii="宋体" w:hAnsi="宋体" w:eastAsia="宋体" w:cs="Times New Roman"/>
                <w:color w:val="auto"/>
                <w:szCs w:val="21"/>
                <w:highlight w:val="none"/>
              </w:rPr>
            </w:pPr>
          </w:p>
        </w:tc>
      </w:tr>
    </w:tbl>
    <w:p w14:paraId="46C202DE">
      <w:pPr>
        <w:spacing w:line="360" w:lineRule="auto"/>
        <w:rPr>
          <w:rFonts w:hint="eastAsia" w:ascii="宋体" w:hAnsi="宋体"/>
          <w:color w:val="auto"/>
          <w:szCs w:val="21"/>
          <w:highlight w:val="none"/>
        </w:rPr>
      </w:pPr>
    </w:p>
    <w:p w14:paraId="5ADFBDEE">
      <w:pPr>
        <w:spacing w:line="360" w:lineRule="auto"/>
        <w:rPr>
          <w:rFonts w:hint="eastAsia" w:ascii="宋体" w:hAnsi="宋体"/>
          <w:b/>
          <w:bCs/>
          <w:color w:val="auto"/>
          <w:szCs w:val="21"/>
          <w:highlight w:val="none"/>
        </w:rPr>
      </w:pPr>
      <w:r>
        <w:rPr>
          <w:rFonts w:hint="eastAsia" w:ascii="宋体" w:hAnsi="宋体"/>
          <w:b/>
          <w:bCs/>
          <w:color w:val="auto"/>
          <w:szCs w:val="21"/>
          <w:highlight w:val="none"/>
        </w:rPr>
        <w:t>注：请各投标人将评分标准对应本表放在投标文件目录前。</w:t>
      </w:r>
    </w:p>
    <w:p w14:paraId="355D512F">
      <w:pPr>
        <w:pStyle w:val="12"/>
        <w:rPr>
          <w:rFonts w:ascii="宋体" w:hAnsi="宋体"/>
          <w:b/>
          <w:bCs/>
          <w:color w:val="auto"/>
          <w:sz w:val="21"/>
          <w:szCs w:val="21"/>
          <w:highlight w:val="none"/>
        </w:rPr>
      </w:pPr>
      <w:r>
        <w:rPr>
          <w:rFonts w:hint="eastAsia" w:ascii="宋体" w:hAnsi="宋体"/>
          <w:b/>
          <w:bCs/>
          <w:color w:val="auto"/>
          <w:szCs w:val="21"/>
          <w:highlight w:val="none"/>
        </w:rPr>
        <w:br w:type="page"/>
      </w:r>
      <w:r>
        <w:rPr>
          <w:rFonts w:hint="eastAsia" w:ascii="宋体" w:hAnsi="宋体"/>
          <w:b/>
          <w:bCs/>
          <w:color w:val="auto"/>
          <w:sz w:val="21"/>
          <w:szCs w:val="21"/>
          <w:highlight w:val="none"/>
        </w:rPr>
        <w:t>1</w:t>
      </w:r>
      <w:r>
        <w:rPr>
          <w:rFonts w:hint="eastAsia" w:hAnsi="宋体"/>
          <w:b/>
          <w:bCs/>
          <w:color w:val="auto"/>
          <w:sz w:val="21"/>
          <w:szCs w:val="21"/>
          <w:highlight w:val="none"/>
          <w:lang w:val="en-US" w:eastAsia="zh-CN"/>
        </w:rPr>
        <w:t>4</w:t>
      </w:r>
      <w:r>
        <w:rPr>
          <w:rFonts w:hint="eastAsia" w:ascii="宋体" w:hAnsi="宋体"/>
          <w:b/>
          <w:bCs/>
          <w:color w:val="auto"/>
          <w:sz w:val="21"/>
          <w:szCs w:val="21"/>
          <w:highlight w:val="none"/>
        </w:rPr>
        <w:t>.</w:t>
      </w:r>
      <w:r>
        <w:rPr>
          <w:rFonts w:hint="eastAsia" w:hAnsi="宋体"/>
          <w:b/>
          <w:bCs/>
          <w:color w:val="auto"/>
          <w:sz w:val="21"/>
          <w:szCs w:val="21"/>
          <w:highlight w:val="none"/>
        </w:rPr>
        <w:t>投标人针对本项目第二章采购需求及第四章评分标准中的条款拟定各种方案及相关证明文件。</w:t>
      </w:r>
    </w:p>
    <w:sectPr>
      <w:footerReference r:id="rId9" w:type="default"/>
      <w:pgSz w:w="11906" w:h="16838"/>
      <w:pgMar w:top="1985" w:right="1531" w:bottom="1588" w:left="1644" w:header="851" w:footer="992" w:gutter="0"/>
      <w:cols w:space="720" w:num="1"/>
      <w:rtlGutter w:val="1"/>
      <w:docGrid w:linePitch="602"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Sun-ExtB">
    <w:panose1 w:val="02010609060101010101"/>
    <w:charset w:val="86"/>
    <w:family w:val="modern"/>
    <w:pitch w:val="default"/>
    <w:sig w:usb0="00000001" w:usb1="02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PGothic">
    <w:panose1 w:val="020B0600070205080204"/>
    <w:charset w:val="80"/>
    <w:family w:val="swiss"/>
    <w:pitch w:val="default"/>
    <w:sig w:usb0="E00002FF" w:usb1="6AC7FDFB" w:usb2="08000012" w:usb3="00000000" w:csb0="4002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Helvetica">
    <w:panose1 w:val="020B0604020202020204"/>
    <w:charset w:val="00"/>
    <w:family w:val="swiss"/>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FCCE7">
    <w:pPr>
      <w:pStyle w:val="2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38C49">
    <w:pPr>
      <w:pStyle w:val="22"/>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862791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CbkVeH1AEAAKYDAAAOAAAAAAAAAAEAIAAA&#10;ACIBAABkcnMvZTJvRG9jLnhtbFBLBQYAAAAABgAGAFkBAABoBQAAAAA=&#10;">
              <v:fill on="f" focussize="0,0"/>
              <v:stroke on="f" weight="1.25pt"/>
              <v:imagedata o:title=""/>
              <o:lock v:ext="edit" aspectratio="f"/>
              <v:textbox inset="0mm,0mm,0mm,0mm" style="mso-fit-shape-to-text:t;">
                <w:txbxContent>
                  <w:p w14:paraId="1862791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C6F0F">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87147D9">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3s5fTAQAApg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dVnVSaHBQ4OJ9x5T4/jOjbg3yz3gZSI+ymDSFykRjKO+56u+YoyEp0d1VdclhjjGFgfxi8fn&#10;PkB8L5whyWhpwAFmXdnpI8QpdUlJ1ay7U1rnIWpLBkS9qd/c5BfXEKJri0USi6nbZMVxP87U9q47&#10;I7MBt6ClFpeeEv3BoshpYRYjLMZ+MY4+qEOPTa5zPfBvjxHbyV2mChPsXBjHl3nOq5b2428/Zz3+&#10;Xt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L+3s5fTAQAApgMAAA4AAAAAAAAAAQAgAAAA&#10;IgEAAGRycy9lMm9Eb2MueG1sUEsFBgAAAAAGAAYAWQEAAGcFAAAAAA==&#10;">
              <v:fill on="f" focussize="0,0"/>
              <v:stroke on="f" weight="1.25pt"/>
              <v:imagedata o:title=""/>
              <o:lock v:ext="edit" aspectratio="f"/>
              <v:textbox inset="0mm,0mm,0mm,0mm" style="mso-fit-shape-to-text:t;">
                <w:txbxContent>
                  <w:p w14:paraId="087147D9">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2C994">
    <w:pPr>
      <w:pStyle w:val="22"/>
      <w:framePr w:wrap="around" w:vAnchor="text" w:hAnchor="margin" w:xAlign="outside" w:y="1"/>
      <w:rPr>
        <w:rStyle w:val="36"/>
      </w:rPr>
    </w:pPr>
    <w:r>
      <w:fldChar w:fldCharType="begin"/>
    </w:r>
    <w:r>
      <w:rPr>
        <w:rStyle w:val="36"/>
      </w:rPr>
      <w:instrText xml:space="preserve">PAGE  </w:instrText>
    </w:r>
    <w:r>
      <w:fldChar w:fldCharType="separate"/>
    </w:r>
    <w:r>
      <w:rPr>
        <w:rStyle w:val="36"/>
      </w:rPr>
      <w:t>2</w:t>
    </w:r>
    <w:r>
      <w:fldChar w:fldCharType="end"/>
    </w:r>
  </w:p>
  <w:p w14:paraId="5DD2B5DD">
    <w:pPr>
      <w:pStyle w:val="2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4D3F8">
    <w:pPr>
      <w:widowControl w:val="0"/>
      <w:adjustRightInd w:val="0"/>
      <w:snapToGrid w:val="0"/>
      <w:spacing w:line="240" w:lineRule="atLeast"/>
      <w:jc w:val="center"/>
      <w:textAlignment w:val="baseline"/>
      <w:rPr>
        <w:rFonts w:hint="eastAsia" w:ascii="宋体" w:hAnsi="Times New Roman" w:eastAsia="仿宋" w:cs="Times New Roman"/>
        <w:sz w:val="18"/>
        <w:szCs w:val="18"/>
        <w:lang w:val="en-US" w:eastAsia="zh-CN" w:bidi="ar-SA"/>
      </w:rPr>
    </w:pPr>
    <w:r>
      <w:rPr>
        <w:rFonts w:ascii="宋体" w:hAnsi="Times New Roman" w:eastAsia="仿宋" w:cs="Times New Roman"/>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370CB93">
                          <w:pPr>
                            <w:adjustRightInd w:val="0"/>
                            <w:snapToGrid w:val="0"/>
                            <w:spacing w:line="360" w:lineRule="auto"/>
                            <w:textAlignment w:val="baseline"/>
                            <w:rPr>
                              <w:rFonts w:hint="eastAsia" w:ascii="宋体" w:hAnsi="Times New Roman" w:eastAsia="仿宋" w:cs="Times New Roman"/>
                              <w:kern w:val="0"/>
                              <w:sz w:val="18"/>
                              <w:szCs w:val="21"/>
                            </w:rPr>
                          </w:pPr>
                          <w:r>
                            <w:rPr>
                              <w:rFonts w:hint="eastAsia" w:ascii="宋体" w:hAnsi="Times New Roman" w:eastAsia="仿宋" w:cs="Times New Roman"/>
                              <w:kern w:val="0"/>
                              <w:sz w:val="18"/>
                              <w:szCs w:val="21"/>
                            </w:rPr>
                            <w:fldChar w:fldCharType="begin"/>
                          </w:r>
                          <w:r>
                            <w:rPr>
                              <w:rFonts w:hint="eastAsia" w:ascii="宋体" w:hAnsi="Times New Roman" w:eastAsia="仿宋" w:cs="Times New Roman"/>
                              <w:kern w:val="0"/>
                              <w:sz w:val="18"/>
                              <w:szCs w:val="21"/>
                            </w:rPr>
                            <w:instrText xml:space="preserve"> PAGE  \* MERGEFORMAT </w:instrText>
                          </w:r>
                          <w:r>
                            <w:rPr>
                              <w:rFonts w:hint="eastAsia" w:ascii="宋体" w:hAnsi="Times New Roman" w:eastAsia="仿宋" w:cs="Times New Roman"/>
                              <w:kern w:val="0"/>
                              <w:sz w:val="18"/>
                              <w:szCs w:val="21"/>
                            </w:rPr>
                            <w:fldChar w:fldCharType="separate"/>
                          </w:r>
                          <w:r>
                            <w:rPr>
                              <w:rFonts w:ascii="宋体" w:hAnsi="Times New Roman" w:eastAsia="仿宋" w:cs="Times New Roman"/>
                              <w:kern w:val="0"/>
                              <w:sz w:val="18"/>
                              <w:szCs w:val="21"/>
                            </w:rPr>
                            <w:t>34</w:t>
                          </w:r>
                          <w:r>
                            <w:rPr>
                              <w:rFonts w:hint="eastAsia" w:ascii="宋体" w:hAnsi="Times New Roman" w:eastAsia="仿宋" w:cs="Times New Roman"/>
                              <w:kern w:val="0"/>
                              <w:sz w:val="18"/>
                              <w:szCs w:val="21"/>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QfT3bUAQAApgMAAA4AAABkcnMvZTJvRG9jLnhtbK1TzY7TMBC+&#10;I/EOlu80aVc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LK8WiaFeg81Jt55TI3DBzfg3sz3gJeJ+CCDSV+kRDCO+p4u+oohEp4eVauqKjHEMTY7iF88&#10;PPcB4kfhDElGQwMOMOvKjp8hjqlzSqpm3a3SOg9RW9Ij6nX17jq/uIQQXVsskliM3SYrDrthorZz&#10;7QmZ9bgFDbW49JToTxZFTgszG2E2drNx8EHtu7xRqRXw7w8R28ldpgoj7FQYx5d5TquW9uN/P2c9&#10;/F6b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DUH0921AEAAKYDAAAOAAAAAAAAAAEAIAAA&#10;ACIBAABkcnMvZTJvRG9jLnhtbFBLBQYAAAAABgAGAFkBAABoBQAAAAA=&#10;">
              <v:fill on="f" focussize="0,0"/>
              <v:stroke on="f" weight="1.25pt"/>
              <v:imagedata o:title=""/>
              <o:lock v:ext="edit" aspectratio="f"/>
              <v:textbox inset="0mm,0mm,0mm,0mm" style="mso-fit-shape-to-text:t;">
                <w:txbxContent>
                  <w:p w14:paraId="3370CB93">
                    <w:pPr>
                      <w:adjustRightInd w:val="0"/>
                      <w:snapToGrid w:val="0"/>
                      <w:spacing w:line="360" w:lineRule="auto"/>
                      <w:textAlignment w:val="baseline"/>
                      <w:rPr>
                        <w:rFonts w:hint="eastAsia" w:ascii="宋体" w:hAnsi="Times New Roman" w:eastAsia="仿宋" w:cs="Times New Roman"/>
                        <w:kern w:val="0"/>
                        <w:sz w:val="18"/>
                        <w:szCs w:val="21"/>
                      </w:rPr>
                    </w:pPr>
                    <w:r>
                      <w:rPr>
                        <w:rFonts w:hint="eastAsia" w:ascii="宋体" w:hAnsi="Times New Roman" w:eastAsia="仿宋" w:cs="Times New Roman"/>
                        <w:kern w:val="0"/>
                        <w:sz w:val="18"/>
                        <w:szCs w:val="21"/>
                      </w:rPr>
                      <w:fldChar w:fldCharType="begin"/>
                    </w:r>
                    <w:r>
                      <w:rPr>
                        <w:rFonts w:hint="eastAsia" w:ascii="宋体" w:hAnsi="Times New Roman" w:eastAsia="仿宋" w:cs="Times New Roman"/>
                        <w:kern w:val="0"/>
                        <w:sz w:val="18"/>
                        <w:szCs w:val="21"/>
                      </w:rPr>
                      <w:instrText xml:space="preserve"> PAGE  \* MERGEFORMAT </w:instrText>
                    </w:r>
                    <w:r>
                      <w:rPr>
                        <w:rFonts w:hint="eastAsia" w:ascii="宋体" w:hAnsi="Times New Roman" w:eastAsia="仿宋" w:cs="Times New Roman"/>
                        <w:kern w:val="0"/>
                        <w:sz w:val="18"/>
                        <w:szCs w:val="21"/>
                      </w:rPr>
                      <w:fldChar w:fldCharType="separate"/>
                    </w:r>
                    <w:r>
                      <w:rPr>
                        <w:rFonts w:ascii="宋体" w:hAnsi="Times New Roman" w:eastAsia="仿宋" w:cs="Times New Roman"/>
                        <w:kern w:val="0"/>
                        <w:sz w:val="18"/>
                        <w:szCs w:val="21"/>
                      </w:rPr>
                      <w:t>34</w:t>
                    </w:r>
                    <w:r>
                      <w:rPr>
                        <w:rFonts w:hint="eastAsia" w:ascii="宋体" w:hAnsi="Times New Roman" w:eastAsia="仿宋" w:cs="Times New Roman"/>
                        <w:kern w:val="0"/>
                        <w:sz w:val="18"/>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842D9">
    <w:pPr>
      <w:pStyle w:val="22"/>
      <w:jc w:val="center"/>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E00B27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CuPuu71AEAAKYDAAAOAAAAAAAAAAEAIAAA&#10;ACIBAABkcnMvZTJvRG9jLnhtbFBLBQYAAAAABgAGAFkBAABoBQAAAAA=&#10;">
              <v:fill on="f" focussize="0,0"/>
              <v:stroke on="f" weight="1.25pt"/>
              <v:imagedata o:title=""/>
              <o:lock v:ext="edit" aspectratio="f"/>
              <v:textbox inset="0mm,0mm,0mm,0mm" style="mso-fit-shape-to-text:t;">
                <w:txbxContent>
                  <w:p w14:paraId="2E00B27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6ED04">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decimal"/>
      <w:pStyle w:val="15"/>
      <w:lvlText w:val="%1."/>
      <w:lvlJc w:val="left"/>
      <w:pPr>
        <w:tabs>
          <w:tab w:val="left" w:pos="1200"/>
        </w:tabs>
        <w:ind w:left="1200" w:hanging="360"/>
      </w:pPr>
    </w:lvl>
  </w:abstractNum>
  <w:abstractNum w:abstractNumId="1">
    <w:nsid w:val="00000009"/>
    <w:multiLevelType w:val="multilevel"/>
    <w:tmpl w:val="00000009"/>
    <w:lvl w:ilvl="0" w:tentative="0">
      <w:start w:val="9"/>
      <w:numFmt w:val="decimal"/>
      <w:pStyle w:val="97"/>
      <w:suff w:val="space"/>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D5DA450"/>
    <w:multiLevelType w:val="singleLevel"/>
    <w:tmpl w:val="4D5DA450"/>
    <w:lvl w:ilvl="0" w:tentative="0">
      <w:start w:val="7"/>
      <w:numFmt w:val="chineseCounting"/>
      <w:suff w:val="nothing"/>
      <w:lvlText w:val="%1、"/>
      <w:lvlJc w:val="left"/>
      <w:rPr>
        <w:rFonts w:hint="eastAsia"/>
      </w:rPr>
    </w:lvl>
  </w:abstractNum>
  <w:abstractNum w:abstractNumId="3">
    <w:nsid w:val="70B81545"/>
    <w:multiLevelType w:val="multilevel"/>
    <w:tmpl w:val="70B81545"/>
    <w:lvl w:ilvl="0" w:tentative="0">
      <w:start w:val="1"/>
      <w:numFmt w:val="lowerLetter"/>
      <w:pStyle w:val="102"/>
      <w:lvlText w:val="%1)"/>
      <w:lvlJc w:val="left"/>
      <w:pPr>
        <w:ind w:left="903" w:hanging="477"/>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1"/>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YzU3ZTkyOGRhNWUxN2Q2YTRiN2YxZTJjZDcwNWUifQ=="/>
  </w:docVars>
  <w:rsids>
    <w:rsidRoot w:val="00172A27"/>
    <w:rsid w:val="0002716F"/>
    <w:rsid w:val="00043D0E"/>
    <w:rsid w:val="000550CC"/>
    <w:rsid w:val="000978B3"/>
    <w:rsid w:val="000E5BA3"/>
    <w:rsid w:val="00114FB4"/>
    <w:rsid w:val="001D77E0"/>
    <w:rsid w:val="00220EDF"/>
    <w:rsid w:val="00226F68"/>
    <w:rsid w:val="0025293D"/>
    <w:rsid w:val="002675B5"/>
    <w:rsid w:val="00290432"/>
    <w:rsid w:val="00307978"/>
    <w:rsid w:val="00354039"/>
    <w:rsid w:val="003A6AAE"/>
    <w:rsid w:val="00407A4C"/>
    <w:rsid w:val="005312AC"/>
    <w:rsid w:val="0053652C"/>
    <w:rsid w:val="00577431"/>
    <w:rsid w:val="005B7C4C"/>
    <w:rsid w:val="00604C3D"/>
    <w:rsid w:val="00614C3F"/>
    <w:rsid w:val="00646808"/>
    <w:rsid w:val="00654909"/>
    <w:rsid w:val="007A4B06"/>
    <w:rsid w:val="0082665B"/>
    <w:rsid w:val="0088487B"/>
    <w:rsid w:val="0089354F"/>
    <w:rsid w:val="008D3B15"/>
    <w:rsid w:val="00A5752A"/>
    <w:rsid w:val="00A82E9F"/>
    <w:rsid w:val="00A904F2"/>
    <w:rsid w:val="00AB47F2"/>
    <w:rsid w:val="00AF06DE"/>
    <w:rsid w:val="00B058E6"/>
    <w:rsid w:val="00B10ECE"/>
    <w:rsid w:val="00B328CF"/>
    <w:rsid w:val="00B75F11"/>
    <w:rsid w:val="00B80F26"/>
    <w:rsid w:val="00BF4A2D"/>
    <w:rsid w:val="00CD4852"/>
    <w:rsid w:val="00CF62AA"/>
    <w:rsid w:val="00D7407A"/>
    <w:rsid w:val="00DC20BF"/>
    <w:rsid w:val="00DF0ACD"/>
    <w:rsid w:val="00E244A0"/>
    <w:rsid w:val="00E54B96"/>
    <w:rsid w:val="00ED003F"/>
    <w:rsid w:val="00ED2D0D"/>
    <w:rsid w:val="00EF3694"/>
    <w:rsid w:val="00F52B53"/>
    <w:rsid w:val="00FD4A18"/>
    <w:rsid w:val="01285A29"/>
    <w:rsid w:val="01557E4C"/>
    <w:rsid w:val="01745C8F"/>
    <w:rsid w:val="018D23D0"/>
    <w:rsid w:val="019C7AF3"/>
    <w:rsid w:val="02E212F5"/>
    <w:rsid w:val="03317E61"/>
    <w:rsid w:val="036B28DE"/>
    <w:rsid w:val="04660B90"/>
    <w:rsid w:val="04FC32A7"/>
    <w:rsid w:val="05325B08"/>
    <w:rsid w:val="060924BB"/>
    <w:rsid w:val="06260A13"/>
    <w:rsid w:val="06303F45"/>
    <w:rsid w:val="06977416"/>
    <w:rsid w:val="06CF625A"/>
    <w:rsid w:val="06D66C68"/>
    <w:rsid w:val="07776294"/>
    <w:rsid w:val="07942A55"/>
    <w:rsid w:val="079D469A"/>
    <w:rsid w:val="07D61756"/>
    <w:rsid w:val="08012593"/>
    <w:rsid w:val="08A5324B"/>
    <w:rsid w:val="08B767C5"/>
    <w:rsid w:val="08DB4AB2"/>
    <w:rsid w:val="08EE6006"/>
    <w:rsid w:val="08EF0E12"/>
    <w:rsid w:val="09594C9C"/>
    <w:rsid w:val="098637B0"/>
    <w:rsid w:val="09E0043F"/>
    <w:rsid w:val="0A1A1F41"/>
    <w:rsid w:val="0A257B66"/>
    <w:rsid w:val="0A305BFF"/>
    <w:rsid w:val="0BB56F8C"/>
    <w:rsid w:val="0BCD6199"/>
    <w:rsid w:val="0BD729B7"/>
    <w:rsid w:val="0C013FEF"/>
    <w:rsid w:val="0C082400"/>
    <w:rsid w:val="0C0D03D8"/>
    <w:rsid w:val="0C9600FF"/>
    <w:rsid w:val="0C9F0B4B"/>
    <w:rsid w:val="0D3E3118"/>
    <w:rsid w:val="0D69371B"/>
    <w:rsid w:val="0D733D1A"/>
    <w:rsid w:val="0D8818E3"/>
    <w:rsid w:val="0EC75C36"/>
    <w:rsid w:val="0F103DDF"/>
    <w:rsid w:val="103F6690"/>
    <w:rsid w:val="10902C8C"/>
    <w:rsid w:val="11131439"/>
    <w:rsid w:val="11251F55"/>
    <w:rsid w:val="118C636C"/>
    <w:rsid w:val="11CE4C2B"/>
    <w:rsid w:val="12970740"/>
    <w:rsid w:val="13951D55"/>
    <w:rsid w:val="13ED3490"/>
    <w:rsid w:val="146E015A"/>
    <w:rsid w:val="15387789"/>
    <w:rsid w:val="161B13B8"/>
    <w:rsid w:val="164B1D39"/>
    <w:rsid w:val="16C34F93"/>
    <w:rsid w:val="179B48F8"/>
    <w:rsid w:val="17B34D32"/>
    <w:rsid w:val="17B86064"/>
    <w:rsid w:val="17C36820"/>
    <w:rsid w:val="17D411F6"/>
    <w:rsid w:val="196514D9"/>
    <w:rsid w:val="1A585C89"/>
    <w:rsid w:val="1AC76095"/>
    <w:rsid w:val="1B3A47C6"/>
    <w:rsid w:val="1C537A03"/>
    <w:rsid w:val="1C9A6B24"/>
    <w:rsid w:val="1CB56451"/>
    <w:rsid w:val="1CD912C1"/>
    <w:rsid w:val="1D0B05E4"/>
    <w:rsid w:val="1D8316F5"/>
    <w:rsid w:val="1D935E9B"/>
    <w:rsid w:val="1DEE34AF"/>
    <w:rsid w:val="1E575BC4"/>
    <w:rsid w:val="1EBE0CB0"/>
    <w:rsid w:val="1F31709F"/>
    <w:rsid w:val="1F376A90"/>
    <w:rsid w:val="1F772206"/>
    <w:rsid w:val="1F9B41D1"/>
    <w:rsid w:val="1FAE6DF3"/>
    <w:rsid w:val="1FBF453A"/>
    <w:rsid w:val="20827A42"/>
    <w:rsid w:val="20DB54DB"/>
    <w:rsid w:val="2151770C"/>
    <w:rsid w:val="22901410"/>
    <w:rsid w:val="22B12A4B"/>
    <w:rsid w:val="232A6D8A"/>
    <w:rsid w:val="232C356D"/>
    <w:rsid w:val="23891784"/>
    <w:rsid w:val="241943A3"/>
    <w:rsid w:val="25142870"/>
    <w:rsid w:val="253E6E85"/>
    <w:rsid w:val="257C3418"/>
    <w:rsid w:val="26586FB0"/>
    <w:rsid w:val="268250E2"/>
    <w:rsid w:val="26F4462D"/>
    <w:rsid w:val="27305D74"/>
    <w:rsid w:val="273E5829"/>
    <w:rsid w:val="289B1FE8"/>
    <w:rsid w:val="28C36468"/>
    <w:rsid w:val="29FD7285"/>
    <w:rsid w:val="2A3519BF"/>
    <w:rsid w:val="2A5127BB"/>
    <w:rsid w:val="2A58206F"/>
    <w:rsid w:val="2AFA053A"/>
    <w:rsid w:val="2B28622F"/>
    <w:rsid w:val="2BC96B1A"/>
    <w:rsid w:val="2C6D7983"/>
    <w:rsid w:val="2D8C0E5F"/>
    <w:rsid w:val="2DCF4F72"/>
    <w:rsid w:val="2E682295"/>
    <w:rsid w:val="2F923429"/>
    <w:rsid w:val="302321C2"/>
    <w:rsid w:val="3095731D"/>
    <w:rsid w:val="30E944AE"/>
    <w:rsid w:val="324B41D1"/>
    <w:rsid w:val="32BC5A78"/>
    <w:rsid w:val="332B5EF2"/>
    <w:rsid w:val="33582884"/>
    <w:rsid w:val="33874EB8"/>
    <w:rsid w:val="33E24B8E"/>
    <w:rsid w:val="34BD3BEC"/>
    <w:rsid w:val="354E1B31"/>
    <w:rsid w:val="36285839"/>
    <w:rsid w:val="36AD4B12"/>
    <w:rsid w:val="3797338D"/>
    <w:rsid w:val="382F3BD9"/>
    <w:rsid w:val="38C22AB9"/>
    <w:rsid w:val="38FB06E7"/>
    <w:rsid w:val="39400E66"/>
    <w:rsid w:val="39904B12"/>
    <w:rsid w:val="39AD2526"/>
    <w:rsid w:val="3A9D50FE"/>
    <w:rsid w:val="3ABA3010"/>
    <w:rsid w:val="3BE276E2"/>
    <w:rsid w:val="3C42653E"/>
    <w:rsid w:val="3C6C2F34"/>
    <w:rsid w:val="3CEE670C"/>
    <w:rsid w:val="3CF3516A"/>
    <w:rsid w:val="3E5040DA"/>
    <w:rsid w:val="3E6039B9"/>
    <w:rsid w:val="3E6F6D93"/>
    <w:rsid w:val="3F11426F"/>
    <w:rsid w:val="3F597685"/>
    <w:rsid w:val="3F9A2539"/>
    <w:rsid w:val="3FC55063"/>
    <w:rsid w:val="40943578"/>
    <w:rsid w:val="40A4535A"/>
    <w:rsid w:val="419249A3"/>
    <w:rsid w:val="41D36868"/>
    <w:rsid w:val="420A3AEF"/>
    <w:rsid w:val="4228119B"/>
    <w:rsid w:val="42DD4399"/>
    <w:rsid w:val="433C288F"/>
    <w:rsid w:val="433E3D1B"/>
    <w:rsid w:val="434A3ABA"/>
    <w:rsid w:val="438C782F"/>
    <w:rsid w:val="44D02BC2"/>
    <w:rsid w:val="45586156"/>
    <w:rsid w:val="459A44BE"/>
    <w:rsid w:val="45E42AB8"/>
    <w:rsid w:val="46115182"/>
    <w:rsid w:val="4646138E"/>
    <w:rsid w:val="46723FAD"/>
    <w:rsid w:val="46C76D9D"/>
    <w:rsid w:val="46C9580A"/>
    <w:rsid w:val="47D468C7"/>
    <w:rsid w:val="48005302"/>
    <w:rsid w:val="48285C05"/>
    <w:rsid w:val="4892419C"/>
    <w:rsid w:val="48C52542"/>
    <w:rsid w:val="4977404A"/>
    <w:rsid w:val="49F32C8D"/>
    <w:rsid w:val="4A972E43"/>
    <w:rsid w:val="4AC073C4"/>
    <w:rsid w:val="4B546722"/>
    <w:rsid w:val="4C3C28EB"/>
    <w:rsid w:val="4CDB3BA6"/>
    <w:rsid w:val="4CED1B7D"/>
    <w:rsid w:val="4CF6154D"/>
    <w:rsid w:val="4D85417D"/>
    <w:rsid w:val="4E544F51"/>
    <w:rsid w:val="4E925C17"/>
    <w:rsid w:val="4E940F59"/>
    <w:rsid w:val="4F5D483E"/>
    <w:rsid w:val="4F8623FC"/>
    <w:rsid w:val="4FF76C0F"/>
    <w:rsid w:val="50A42BB2"/>
    <w:rsid w:val="50FC75C7"/>
    <w:rsid w:val="51680D42"/>
    <w:rsid w:val="52035A69"/>
    <w:rsid w:val="520368CD"/>
    <w:rsid w:val="526409F5"/>
    <w:rsid w:val="538359F3"/>
    <w:rsid w:val="53A530E0"/>
    <w:rsid w:val="54443D43"/>
    <w:rsid w:val="545C0D20"/>
    <w:rsid w:val="54F02622"/>
    <w:rsid w:val="55025501"/>
    <w:rsid w:val="557776DE"/>
    <w:rsid w:val="55B45BEE"/>
    <w:rsid w:val="55D35BE9"/>
    <w:rsid w:val="56F11F05"/>
    <w:rsid w:val="57286AFD"/>
    <w:rsid w:val="57340605"/>
    <w:rsid w:val="57563947"/>
    <w:rsid w:val="57564D33"/>
    <w:rsid w:val="57AD4F8E"/>
    <w:rsid w:val="58844A17"/>
    <w:rsid w:val="58A81A34"/>
    <w:rsid w:val="58BA4FE2"/>
    <w:rsid w:val="58C018F5"/>
    <w:rsid w:val="5983051E"/>
    <w:rsid w:val="59B900D6"/>
    <w:rsid w:val="5A390F13"/>
    <w:rsid w:val="5A461504"/>
    <w:rsid w:val="5A833B8D"/>
    <w:rsid w:val="5B1934AA"/>
    <w:rsid w:val="5BB828C4"/>
    <w:rsid w:val="5C5422FA"/>
    <w:rsid w:val="5D1D4073"/>
    <w:rsid w:val="5E151C16"/>
    <w:rsid w:val="5EA10986"/>
    <w:rsid w:val="5F2A014C"/>
    <w:rsid w:val="5FD57908"/>
    <w:rsid w:val="60634BD8"/>
    <w:rsid w:val="60923AAB"/>
    <w:rsid w:val="61316A8B"/>
    <w:rsid w:val="61ED37A5"/>
    <w:rsid w:val="6271323B"/>
    <w:rsid w:val="62B82CCB"/>
    <w:rsid w:val="62C601ED"/>
    <w:rsid w:val="6439213D"/>
    <w:rsid w:val="64760BB6"/>
    <w:rsid w:val="64AD799F"/>
    <w:rsid w:val="65A26F1B"/>
    <w:rsid w:val="65DB61A0"/>
    <w:rsid w:val="66D53FD0"/>
    <w:rsid w:val="67357D32"/>
    <w:rsid w:val="67846424"/>
    <w:rsid w:val="67D153DE"/>
    <w:rsid w:val="67E079C1"/>
    <w:rsid w:val="685A1A82"/>
    <w:rsid w:val="68B555AB"/>
    <w:rsid w:val="69494D8F"/>
    <w:rsid w:val="6A067120"/>
    <w:rsid w:val="6A2A25A6"/>
    <w:rsid w:val="6A3E04D2"/>
    <w:rsid w:val="6A83624B"/>
    <w:rsid w:val="6B0F0867"/>
    <w:rsid w:val="6B29213D"/>
    <w:rsid w:val="6B6878D5"/>
    <w:rsid w:val="6B9929AE"/>
    <w:rsid w:val="6BF70DFD"/>
    <w:rsid w:val="6C001B36"/>
    <w:rsid w:val="6CB56020"/>
    <w:rsid w:val="6D0841DC"/>
    <w:rsid w:val="6D177792"/>
    <w:rsid w:val="6DEB68AF"/>
    <w:rsid w:val="6E0D30CB"/>
    <w:rsid w:val="6E8745E5"/>
    <w:rsid w:val="6EC34823"/>
    <w:rsid w:val="6EFE7417"/>
    <w:rsid w:val="6F251265"/>
    <w:rsid w:val="6F3C2F66"/>
    <w:rsid w:val="6F4A7F72"/>
    <w:rsid w:val="6F615302"/>
    <w:rsid w:val="6F9603E0"/>
    <w:rsid w:val="6F994DD6"/>
    <w:rsid w:val="70071C3B"/>
    <w:rsid w:val="70477F50"/>
    <w:rsid w:val="70E15C5E"/>
    <w:rsid w:val="719B6D5C"/>
    <w:rsid w:val="724E0F2A"/>
    <w:rsid w:val="72601662"/>
    <w:rsid w:val="729961BE"/>
    <w:rsid w:val="72C35D63"/>
    <w:rsid w:val="72D20396"/>
    <w:rsid w:val="72DC56AE"/>
    <w:rsid w:val="737857CC"/>
    <w:rsid w:val="74236F5B"/>
    <w:rsid w:val="74EB3364"/>
    <w:rsid w:val="752F2B0A"/>
    <w:rsid w:val="75431665"/>
    <w:rsid w:val="75F04938"/>
    <w:rsid w:val="7726263F"/>
    <w:rsid w:val="7745696E"/>
    <w:rsid w:val="775B69F5"/>
    <w:rsid w:val="781A6380"/>
    <w:rsid w:val="783201C2"/>
    <w:rsid w:val="78654DF4"/>
    <w:rsid w:val="79491964"/>
    <w:rsid w:val="796177A1"/>
    <w:rsid w:val="79E55D34"/>
    <w:rsid w:val="7AC4546C"/>
    <w:rsid w:val="7AED2E7F"/>
    <w:rsid w:val="7AF34EC9"/>
    <w:rsid w:val="7B814186"/>
    <w:rsid w:val="7BA42675"/>
    <w:rsid w:val="7C524AF7"/>
    <w:rsid w:val="7CE8220C"/>
    <w:rsid w:val="7D291821"/>
    <w:rsid w:val="7D516BA4"/>
    <w:rsid w:val="7D61655E"/>
    <w:rsid w:val="7D62119D"/>
    <w:rsid w:val="7E673E88"/>
    <w:rsid w:val="7E6FC304"/>
    <w:rsid w:val="7E7A77E0"/>
    <w:rsid w:val="7E7F2291"/>
    <w:rsid w:val="7F2A6A74"/>
    <w:rsid w:val="7F346FBB"/>
    <w:rsid w:val="7F790A6A"/>
    <w:rsid w:val="7FCE0995"/>
    <w:rsid w:val="FFE9C36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1" w:name="heading 5"/>
    <w:lsdException w:qFormat="1" w:uiPriority="1" w:name="heading 6"/>
    <w:lsdException w:qFormat="1" w:uiPriority="1" w:name="heading 7"/>
    <w:lsdException w:qFormat="1" w:uiPriority="1" w:name="heading 8"/>
    <w:lsdException w:qFormat="1" w:uiPriority="1"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qFormat="1" w:unhideWhenUsed="0" w:uiPriority="39" w:semiHidden="0" w:name="toc 1"/>
    <w:lsdException w:qFormat="1" w:uiPriority="39" w:semiHidden="0" w:name="toc 2"/>
    <w:lsdException w:qFormat="1" w:uiPriority="39" w:semiHidden="0" w:name="toc 3"/>
    <w:lsdException w:uiPriority="1" w:name="toc 4"/>
    <w:lsdException w:uiPriority="1" w:name="toc 5"/>
    <w:lsdException w:uiPriority="1" w:name="toc 6"/>
    <w:lsdException w:uiPriority="1" w:name="toc 7"/>
    <w:lsdException w:uiPriority="1" w:name="toc 8"/>
    <w:lsdException w:uiPriority="1" w:name="toc 9"/>
    <w:lsdException w:qFormat="1" w:unhideWhenUsed="0" w:uiPriority="0" w:semiHidden="0" w:name="Normal Indent"/>
    <w:lsdException w:uiPriority="1" w:name="footnote text"/>
    <w:lsdException w:qFormat="1" w:uiPriority="99" w:semiHidden="0" w:name="annotation text"/>
    <w:lsdException w:qFormat="1" w:unhideWhenUsed="0" w:uiPriority="99" w:semiHidden="0" w:name="header"/>
    <w:lsdException w:qFormat="1" w:unhideWhenUsed="0" w:uiPriority="99" w:semiHidden="0" w:name="footer"/>
    <w:lsdException w:uiPriority="1" w:name="index heading"/>
    <w:lsdException w:qFormat="1" w:unhideWhenUsed="0" w:uiPriority="0" w:semiHidden="0" w:name="caption"/>
    <w:lsdException w:uiPriority="1" w:name="table of figures"/>
    <w:lsdException w:uiPriority="1" w:name="envelope address"/>
    <w:lsdException w:uiPriority="1" w:name="envelope return"/>
    <w:lsdException w:uiPriority="1" w:name="footnote reference"/>
    <w:lsdException w:qFormat="1" w:uiPriority="99" w:semiHidden="0" w:name="annotation reference"/>
    <w:lsdException w:uiPriority="1" w:name="line number"/>
    <w:lsdException w:qFormat="1" w:unhideWhenUsed="0" w:uiPriority="0" w:semiHidden="0" w:name="page number"/>
    <w:lsdException w:uiPriority="1" w:name="endnote reference"/>
    <w:lsdException w:uiPriority="1" w:name="endnote text"/>
    <w:lsdException w:uiPriority="1" w:name="table of authorities"/>
    <w:lsdException w:uiPriority="1" w:name="macro"/>
    <w:lsdException w:uiPriority="1" w:name="toa heading"/>
    <w:lsdException w:qFormat="1" w:unhideWhenUsed="0" w:uiPriority="0" w:semiHidden="0" w:name="List"/>
    <w:lsdException w:uiPriority="1" w:name="List Bullet"/>
    <w:lsdException w:qFormat="1" w:unhideWhenUsed="0" w:uiPriority="0" w:semiHidden="0" w:name="List Number"/>
    <w:lsdException w:qFormat="1" w:unhideWhenUsed="0" w:uiPriority="0" w:semiHidden="0"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qFormat="1" w:unhideWhenUsed="0" w:uiPriority="0" w:semiHidden="0" w:name="List Number 3"/>
    <w:lsdException w:uiPriority="1" w:name="List Number 4"/>
    <w:lsdException w:uiPriority="1" w:name="List Number 5"/>
    <w:lsdException w:qFormat="1" w:unhideWhenUsed="0" w:uiPriority="1" w:semiHidden="0" w:name="Title"/>
    <w:lsdException w:uiPriority="1" w:name="Closing"/>
    <w:lsdException w:uiPriority="1"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uiPriority="1"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1"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1"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1" w:name="E-mail Signature"/>
    <w:lsdException w:qFormat="1" w:unhideWhenUsed="0" w:uiPriority="0" w:semiHidden="0" w:name="Normal (Web)"/>
    <w:lsdException w:qFormat="1" w:uiPriority="99" w:semiHidden="0" w:name="HTML Acronym"/>
    <w:lsdException w:uiPriority="1" w:name="HTML Address"/>
    <w:lsdException w:qFormat="1" w:uiPriority="99" w:semiHidden="0" w:name="HTML Cite"/>
    <w:lsdException w:qFormat="1" w:uiPriority="99" w:semiHidden="0" w:name="HTML Code"/>
    <w:lsdException w:qFormat="1" w:uiPriority="99" w:semiHidden="0" w:name="HTML Definition"/>
    <w:lsdException w:uiPriority="1" w:name="HTML Keyboard"/>
    <w:lsdException w:uiPriority="1" w:name="HTML Preformatted"/>
    <w:lsdException w:uiPriority="1" w:name="HTML Sample"/>
    <w:lsdException w:uiPriority="1" w:name="HTML Typewriter"/>
    <w:lsdException w:qFormat="1" w:uiPriority="99" w:semiHidden="0" w:name="HTML Variable"/>
    <w:lsdException w:uiPriority="99" w:semiHidden="0" w:name="Normal Table"/>
    <w:lsdException w:qFormat="1" w:uiPriority="99"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semiHidden="0" w:name="Balloon Text"/>
    <w:lsdException w:qFormat="1" w:unhideWhenUsed="0" w:uiPriority="59" w:semiHidden="0" w:name="Table Grid"/>
    <w:lsdException w:uiPriority="1"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4"/>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34">
    <w:name w:val="Default Paragraph Font"/>
    <w:qFormat/>
    <w:uiPriority w:val="0"/>
  </w:style>
  <w:style w:type="table" w:default="1" w:styleId="32">
    <w:name w:val="Normal Table"/>
    <w:unhideWhenUsed/>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7">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Document Map"/>
    <w:basedOn w:val="1"/>
    <w:link w:val="46"/>
    <w:unhideWhenUsed/>
    <w:qFormat/>
    <w:uiPriority w:val="99"/>
    <w:rPr>
      <w:rFonts w:ascii="宋体"/>
      <w:sz w:val="18"/>
      <w:szCs w:val="18"/>
    </w:rPr>
  </w:style>
  <w:style w:type="paragraph" w:styleId="10">
    <w:name w:val="annotation text"/>
    <w:basedOn w:val="1"/>
    <w:link w:val="47"/>
    <w:unhideWhenUsed/>
    <w:qFormat/>
    <w:uiPriority w:val="99"/>
    <w:pPr>
      <w:jc w:val="left"/>
    </w:pPr>
  </w:style>
  <w:style w:type="paragraph" w:styleId="11">
    <w:name w:val="Body Text 3"/>
    <w:basedOn w:val="1"/>
    <w:qFormat/>
    <w:uiPriority w:val="0"/>
    <w:pPr>
      <w:snapToGrid w:val="0"/>
      <w:spacing w:before="50" w:after="50"/>
    </w:pPr>
    <w:rPr>
      <w:rFonts w:hAnsi="宋体" w:eastAsia="仿宋_GB2312"/>
      <w:b/>
      <w:bCs/>
      <w:sz w:val="24"/>
      <w:szCs w:val="20"/>
    </w:rPr>
  </w:style>
  <w:style w:type="paragraph" w:styleId="12">
    <w:name w:val="Body Text"/>
    <w:basedOn w:val="1"/>
    <w:next w:val="13"/>
    <w:link w:val="48"/>
    <w:qFormat/>
    <w:uiPriority w:val="0"/>
    <w:pPr>
      <w:spacing w:after="120"/>
    </w:pPr>
    <w:rPr>
      <w:sz w:val="28"/>
    </w:rPr>
  </w:style>
  <w:style w:type="paragraph" w:styleId="13">
    <w:name w:val="Body Text First Indent"/>
    <w:basedOn w:val="12"/>
    <w:next w:val="1"/>
    <w:qFormat/>
    <w:uiPriority w:val="0"/>
    <w:pPr>
      <w:ind w:firstLine="420" w:firstLineChars="100"/>
    </w:pPr>
  </w:style>
  <w:style w:type="paragraph" w:styleId="14">
    <w:name w:val="Body Text Indent"/>
    <w:basedOn w:val="1"/>
    <w:link w:val="49"/>
    <w:qFormat/>
    <w:uiPriority w:val="0"/>
    <w:pPr>
      <w:spacing w:line="200" w:lineRule="exact"/>
      <w:ind w:firstLine="301"/>
    </w:pPr>
    <w:rPr>
      <w:rFonts w:ascii="宋体" w:hAnsi="Courier New"/>
      <w:spacing w:val="-4"/>
      <w:sz w:val="18"/>
      <w:szCs w:val="20"/>
    </w:rPr>
  </w:style>
  <w:style w:type="paragraph" w:styleId="15">
    <w:name w:val="List Number 3"/>
    <w:basedOn w:val="1"/>
    <w:qFormat/>
    <w:uiPriority w:val="0"/>
    <w:pPr>
      <w:numPr>
        <w:ilvl w:val="0"/>
        <w:numId w:val="1"/>
      </w:numPr>
    </w:pPr>
  </w:style>
  <w:style w:type="paragraph" w:styleId="16">
    <w:name w:val="List 2"/>
    <w:basedOn w:val="1"/>
    <w:qFormat/>
    <w:uiPriority w:val="0"/>
    <w:pPr>
      <w:ind w:left="100" w:leftChars="200" w:hanging="200" w:hangingChars="200"/>
    </w:pPr>
    <w:rPr>
      <w:sz w:val="28"/>
    </w:rPr>
  </w:style>
  <w:style w:type="paragraph" w:styleId="17">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szCs w:val="22"/>
    </w:rPr>
  </w:style>
  <w:style w:type="paragraph" w:styleId="18">
    <w:name w:val="Plain Text"/>
    <w:basedOn w:val="1"/>
    <w:link w:val="50"/>
    <w:qFormat/>
    <w:uiPriority w:val="0"/>
    <w:pPr>
      <w:spacing w:beforeLines="50" w:afterLines="50" w:line="400" w:lineRule="exact"/>
    </w:pPr>
    <w:rPr>
      <w:rFonts w:ascii="宋体" w:hAnsi="Courier New"/>
      <w:sz w:val="24"/>
    </w:rPr>
  </w:style>
  <w:style w:type="paragraph" w:styleId="19">
    <w:name w:val="Date"/>
    <w:basedOn w:val="1"/>
    <w:next w:val="1"/>
    <w:link w:val="51"/>
    <w:qFormat/>
    <w:uiPriority w:val="0"/>
    <w:pPr>
      <w:ind w:leftChars="2500"/>
    </w:pPr>
    <w:rPr>
      <w:rFonts w:eastAsia="楷体_GB2312"/>
      <w:sz w:val="32"/>
      <w:szCs w:val="20"/>
    </w:rPr>
  </w:style>
  <w:style w:type="paragraph" w:styleId="20">
    <w:name w:val="Body Text Indent 2"/>
    <w:basedOn w:val="1"/>
    <w:qFormat/>
    <w:uiPriority w:val="0"/>
    <w:pPr>
      <w:snapToGrid w:val="0"/>
      <w:ind w:firstLine="542" w:firstLineChars="225"/>
    </w:pPr>
    <w:rPr>
      <w:rFonts w:ascii="仿宋_GB2312" w:hAnsi="宋体" w:cs="Arial"/>
      <w:b/>
      <w:bCs/>
      <w:color w:val="000000"/>
      <w:sz w:val="24"/>
    </w:rPr>
  </w:style>
  <w:style w:type="paragraph" w:styleId="21">
    <w:name w:val="Balloon Text"/>
    <w:basedOn w:val="1"/>
    <w:qFormat/>
    <w:uiPriority w:val="0"/>
    <w:rPr>
      <w:sz w:val="18"/>
      <w:szCs w:val="18"/>
    </w:rPr>
  </w:style>
  <w:style w:type="paragraph" w:styleId="22">
    <w:name w:val="footer"/>
    <w:basedOn w:val="1"/>
    <w:link w:val="52"/>
    <w:qFormat/>
    <w:uiPriority w:val="99"/>
    <w:pPr>
      <w:tabs>
        <w:tab w:val="center" w:pos="4153"/>
        <w:tab w:val="right" w:pos="8306"/>
      </w:tabs>
      <w:snapToGrid w:val="0"/>
      <w:jc w:val="left"/>
    </w:pPr>
    <w:rPr>
      <w:rFonts w:eastAsia="黑体"/>
      <w:snapToGrid w:val="0"/>
      <w:sz w:val="18"/>
      <w:szCs w:val="18"/>
    </w:rPr>
  </w:style>
  <w:style w:type="paragraph" w:styleId="23">
    <w:name w:val="header"/>
    <w:basedOn w:val="1"/>
    <w:link w:val="53"/>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24">
    <w:name w:val="toc 1"/>
    <w:basedOn w:val="1"/>
    <w:next w:val="1"/>
    <w:qFormat/>
    <w:uiPriority w:val="39"/>
  </w:style>
  <w:style w:type="paragraph" w:styleId="25">
    <w:name w:val="List"/>
    <w:basedOn w:val="1"/>
    <w:qFormat/>
    <w:uiPriority w:val="0"/>
    <w:pPr>
      <w:ind w:left="200" w:hanging="200" w:hangingChars="200"/>
    </w:pPr>
    <w:rPr>
      <w:sz w:val="28"/>
    </w:rPr>
  </w:style>
  <w:style w:type="paragraph" w:styleId="26">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27">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szCs w:val="22"/>
    </w:rPr>
  </w:style>
  <w:style w:type="paragraph" w:styleId="28">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29">
    <w:name w:val="Normal (Web)"/>
    <w:basedOn w:val="1"/>
    <w:qFormat/>
    <w:uiPriority w:val="0"/>
    <w:pPr>
      <w:widowControl/>
      <w:spacing w:before="100" w:beforeAutospacing="1" w:after="100" w:afterAutospacing="1"/>
      <w:jc w:val="left"/>
    </w:pPr>
    <w:rPr>
      <w:kern w:val="0"/>
      <w:sz w:val="24"/>
    </w:rPr>
  </w:style>
  <w:style w:type="paragraph" w:styleId="30">
    <w:name w:val="annotation subject"/>
    <w:basedOn w:val="10"/>
    <w:next w:val="10"/>
    <w:link w:val="54"/>
    <w:unhideWhenUsed/>
    <w:qFormat/>
    <w:uiPriority w:val="99"/>
    <w:rPr>
      <w:b/>
      <w:bCs/>
    </w:rPr>
  </w:style>
  <w:style w:type="paragraph" w:styleId="31">
    <w:name w:val="Body Text First Indent 2"/>
    <w:basedOn w:val="14"/>
    <w:next w:val="1"/>
    <w:qFormat/>
    <w:uiPriority w:val="0"/>
    <w:pPr>
      <w:ind w:firstLine="420" w:firstLineChars="200"/>
    </w:pPr>
  </w:style>
  <w:style w:type="table" w:styleId="33">
    <w:name w:val="Table Grid"/>
    <w:basedOn w:val="3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22"/>
    <w:rPr>
      <w:b/>
      <w:sz w:val="24"/>
      <w:szCs w:val="24"/>
    </w:rPr>
  </w:style>
  <w:style w:type="character" w:styleId="36">
    <w:name w:val="page number"/>
    <w:basedOn w:val="34"/>
    <w:qFormat/>
    <w:uiPriority w:val="0"/>
  </w:style>
  <w:style w:type="character" w:styleId="37">
    <w:name w:val="FollowedHyperlink"/>
    <w:unhideWhenUsed/>
    <w:qFormat/>
    <w:uiPriority w:val="99"/>
    <w:rPr>
      <w:color w:val="800080"/>
      <w:u w:val="none"/>
    </w:rPr>
  </w:style>
  <w:style w:type="character" w:styleId="38">
    <w:name w:val="Emphasis"/>
    <w:qFormat/>
    <w:uiPriority w:val="0"/>
    <w:rPr>
      <w:i/>
      <w:iCs/>
    </w:rPr>
  </w:style>
  <w:style w:type="character" w:styleId="39">
    <w:name w:val="HTML Definition"/>
    <w:unhideWhenUsed/>
    <w:qFormat/>
    <w:uiPriority w:val="99"/>
  </w:style>
  <w:style w:type="character" w:styleId="40">
    <w:name w:val="HTML Acronym"/>
    <w:basedOn w:val="34"/>
    <w:unhideWhenUsed/>
    <w:qFormat/>
    <w:uiPriority w:val="99"/>
  </w:style>
  <w:style w:type="character" w:styleId="41">
    <w:name w:val="HTML Variable"/>
    <w:unhideWhenUsed/>
    <w:qFormat/>
    <w:uiPriority w:val="99"/>
  </w:style>
  <w:style w:type="character" w:styleId="42">
    <w:name w:val="Hyperlink"/>
    <w:qFormat/>
    <w:uiPriority w:val="99"/>
    <w:rPr>
      <w:color w:val="0000FF"/>
      <w:u w:val="none"/>
    </w:rPr>
  </w:style>
  <w:style w:type="character" w:styleId="43">
    <w:name w:val="HTML Code"/>
    <w:unhideWhenUsed/>
    <w:qFormat/>
    <w:uiPriority w:val="99"/>
    <w:rPr>
      <w:rFonts w:ascii="Courier New" w:hAnsi="Courier New"/>
      <w:sz w:val="20"/>
    </w:rPr>
  </w:style>
  <w:style w:type="character" w:styleId="44">
    <w:name w:val="annotation reference"/>
    <w:unhideWhenUsed/>
    <w:qFormat/>
    <w:uiPriority w:val="99"/>
    <w:rPr>
      <w:sz w:val="21"/>
      <w:szCs w:val="21"/>
    </w:rPr>
  </w:style>
  <w:style w:type="character" w:styleId="45">
    <w:name w:val="HTML Cite"/>
    <w:unhideWhenUsed/>
    <w:qFormat/>
    <w:uiPriority w:val="99"/>
    <w:rPr>
      <w:sz w:val="24"/>
      <w:szCs w:val="24"/>
    </w:rPr>
  </w:style>
  <w:style w:type="character" w:customStyle="1" w:styleId="46">
    <w:name w:val="文档结构图 Char"/>
    <w:link w:val="9"/>
    <w:semiHidden/>
    <w:qFormat/>
    <w:uiPriority w:val="99"/>
    <w:rPr>
      <w:rFonts w:ascii="宋体"/>
      <w:kern w:val="2"/>
      <w:sz w:val="18"/>
      <w:szCs w:val="18"/>
    </w:rPr>
  </w:style>
  <w:style w:type="character" w:customStyle="1" w:styleId="47">
    <w:name w:val="批注文字 Char"/>
    <w:link w:val="10"/>
    <w:semiHidden/>
    <w:qFormat/>
    <w:uiPriority w:val="99"/>
    <w:rPr>
      <w:kern w:val="2"/>
      <w:sz w:val="21"/>
      <w:szCs w:val="24"/>
    </w:rPr>
  </w:style>
  <w:style w:type="character" w:customStyle="1" w:styleId="48">
    <w:name w:val="正文文本 Char"/>
    <w:basedOn w:val="34"/>
    <w:link w:val="12"/>
    <w:qFormat/>
    <w:uiPriority w:val="0"/>
    <w:rPr>
      <w:kern w:val="2"/>
      <w:sz w:val="28"/>
      <w:szCs w:val="24"/>
    </w:rPr>
  </w:style>
  <w:style w:type="character" w:customStyle="1" w:styleId="49">
    <w:name w:val="正文文本缩进 Char"/>
    <w:link w:val="14"/>
    <w:qFormat/>
    <w:uiPriority w:val="0"/>
    <w:rPr>
      <w:rFonts w:ascii="宋体" w:hAnsi="Courier New"/>
      <w:spacing w:val="-4"/>
      <w:kern w:val="2"/>
      <w:sz w:val="18"/>
    </w:rPr>
  </w:style>
  <w:style w:type="character" w:customStyle="1" w:styleId="50">
    <w:name w:val="纯文本 Char"/>
    <w:link w:val="18"/>
    <w:qFormat/>
    <w:uiPriority w:val="0"/>
    <w:rPr>
      <w:rFonts w:ascii="宋体" w:hAnsi="Courier New"/>
      <w:kern w:val="2"/>
      <w:sz w:val="24"/>
      <w:szCs w:val="24"/>
    </w:rPr>
  </w:style>
  <w:style w:type="character" w:customStyle="1" w:styleId="51">
    <w:name w:val="日期 Char"/>
    <w:link w:val="19"/>
    <w:qFormat/>
    <w:uiPriority w:val="0"/>
    <w:rPr>
      <w:rFonts w:eastAsia="楷体_GB2312"/>
      <w:kern w:val="2"/>
      <w:sz w:val="32"/>
    </w:rPr>
  </w:style>
  <w:style w:type="character" w:customStyle="1" w:styleId="52">
    <w:name w:val="页脚 Char"/>
    <w:link w:val="22"/>
    <w:qFormat/>
    <w:uiPriority w:val="99"/>
    <w:rPr>
      <w:rFonts w:eastAsia="黑体"/>
      <w:snapToGrid w:val="0"/>
      <w:kern w:val="2"/>
      <w:sz w:val="18"/>
      <w:szCs w:val="18"/>
    </w:rPr>
  </w:style>
  <w:style w:type="character" w:customStyle="1" w:styleId="53">
    <w:name w:val="页眉 Char"/>
    <w:link w:val="23"/>
    <w:qFormat/>
    <w:uiPriority w:val="99"/>
    <w:rPr>
      <w:rFonts w:eastAsia="仿宋_GB2312"/>
      <w:kern w:val="2"/>
      <w:sz w:val="18"/>
    </w:rPr>
  </w:style>
  <w:style w:type="character" w:customStyle="1" w:styleId="54">
    <w:name w:val="批注主题 Char"/>
    <w:link w:val="30"/>
    <w:semiHidden/>
    <w:qFormat/>
    <w:uiPriority w:val="99"/>
    <w:rPr>
      <w:b/>
      <w:bCs/>
      <w:kern w:val="2"/>
      <w:sz w:val="21"/>
      <w:szCs w:val="24"/>
    </w:rPr>
  </w:style>
  <w:style w:type="paragraph" w:customStyle="1" w:styleId="55">
    <w:name w:val="首行缩进"/>
    <w:basedOn w:val="1"/>
    <w:qFormat/>
    <w:uiPriority w:val="0"/>
    <w:pPr>
      <w:spacing w:line="360" w:lineRule="auto"/>
      <w:ind w:firstLine="480" w:firstLineChars="200"/>
      <w:jc w:val="left"/>
    </w:pPr>
    <w:rPr>
      <w:rFonts w:ascii="宋体" w:hAnsi="宋体"/>
      <w:sz w:val="24"/>
    </w:rPr>
  </w:style>
  <w:style w:type="character" w:customStyle="1" w:styleId="56">
    <w:name w:val="pl8"/>
    <w:basedOn w:val="34"/>
    <w:qFormat/>
    <w:uiPriority w:val="0"/>
  </w:style>
  <w:style w:type="character" w:customStyle="1" w:styleId="57">
    <w:name w:val="icon-play"/>
    <w:basedOn w:val="34"/>
    <w:qFormat/>
    <w:uiPriority w:val="0"/>
  </w:style>
  <w:style w:type="character" w:customStyle="1" w:styleId="58">
    <w:name w:val="apple-style-span"/>
    <w:basedOn w:val="34"/>
    <w:qFormat/>
    <w:uiPriority w:val="0"/>
  </w:style>
  <w:style w:type="character" w:customStyle="1" w:styleId="59">
    <w:name w:val="pl"/>
    <w:basedOn w:val="34"/>
    <w:qFormat/>
    <w:uiPriority w:val="0"/>
  </w:style>
  <w:style w:type="character" w:customStyle="1" w:styleId="60">
    <w:name w:val="font21"/>
    <w:qFormat/>
    <w:uiPriority w:val="0"/>
    <w:rPr>
      <w:rFonts w:ascii="SimSun-ExtB" w:hAnsi="SimSun-ExtB" w:eastAsia="SimSun-ExtB" w:cs="SimSun-ExtB"/>
      <w:b/>
      <w:color w:val="000000"/>
      <w:sz w:val="24"/>
      <w:szCs w:val="24"/>
      <w:u w:val="none"/>
    </w:rPr>
  </w:style>
  <w:style w:type="character" w:customStyle="1" w:styleId="61">
    <w:name w:val="reason"/>
    <w:qFormat/>
    <w:uiPriority w:val="0"/>
    <w:rPr>
      <w:color w:val="999999"/>
    </w:rPr>
  </w:style>
  <w:style w:type="character" w:customStyle="1" w:styleId="62">
    <w:name w:val=" Char Char1"/>
    <w:qFormat/>
    <w:uiPriority w:val="0"/>
    <w:rPr>
      <w:rFonts w:eastAsia="黑体"/>
      <w:snapToGrid w:val="0"/>
      <w:sz w:val="18"/>
      <w:szCs w:val="18"/>
      <w:lang w:val="en-US" w:eastAsia="zh-CN" w:bidi="ar-SA"/>
    </w:rPr>
  </w:style>
  <w:style w:type="character" w:customStyle="1" w:styleId="63">
    <w:name w:val="inq1"/>
    <w:basedOn w:val="34"/>
    <w:qFormat/>
    <w:uiPriority w:val="0"/>
  </w:style>
  <w:style w:type="character" w:customStyle="1" w:styleId="64">
    <w:name w:val=" Char Char12"/>
    <w:qFormat/>
    <w:uiPriority w:val="0"/>
    <w:rPr>
      <w:rFonts w:ascii="宋体" w:hAnsi="Courier New"/>
      <w:spacing w:val="-4"/>
      <w:kern w:val="2"/>
      <w:sz w:val="18"/>
    </w:rPr>
  </w:style>
  <w:style w:type="character" w:customStyle="1" w:styleId="65">
    <w:name w:val="del"/>
    <w:basedOn w:val="34"/>
    <w:qFormat/>
    <w:uiPriority w:val="0"/>
  </w:style>
  <w:style w:type="character" w:customStyle="1" w:styleId="66">
    <w:name w:val="now2"/>
    <w:basedOn w:val="34"/>
    <w:qFormat/>
    <w:uiPriority w:val="0"/>
  </w:style>
  <w:style w:type="character" w:customStyle="1" w:styleId="67">
    <w:name w:val="无间隔 Char"/>
    <w:link w:val="68"/>
    <w:qFormat/>
    <w:uiPriority w:val="1"/>
    <w:rPr>
      <w:sz w:val="22"/>
      <w:szCs w:val="22"/>
      <w:lang w:val="en-US" w:eastAsia="zh-CN" w:bidi="ar-SA"/>
    </w:rPr>
  </w:style>
  <w:style w:type="paragraph" w:styleId="68">
    <w:name w:val="No Spacing"/>
    <w:link w:val="67"/>
    <w:qFormat/>
    <w:uiPriority w:val="1"/>
    <w:rPr>
      <w:rFonts w:ascii="Times New Roman" w:hAnsi="Times New Roman" w:eastAsia="宋体" w:cs="Times New Roman"/>
      <w:sz w:val="22"/>
      <w:szCs w:val="22"/>
      <w:lang w:val="en-US" w:eastAsia="zh-CN" w:bidi="ar-SA"/>
    </w:rPr>
  </w:style>
  <w:style w:type="character" w:customStyle="1" w:styleId="69">
    <w:name w:val="icon-down"/>
    <w:basedOn w:val="34"/>
    <w:qFormat/>
    <w:uiPriority w:val="0"/>
  </w:style>
  <w:style w:type="character" w:customStyle="1" w:styleId="70">
    <w:name w:val="now3"/>
    <w:basedOn w:val="34"/>
    <w:qFormat/>
    <w:uiPriority w:val="0"/>
  </w:style>
  <w:style w:type="character" w:customStyle="1" w:styleId="71">
    <w:name w:val="submit"/>
    <w:basedOn w:val="34"/>
    <w:qFormat/>
    <w:uiPriority w:val="0"/>
  </w:style>
  <w:style w:type="character" w:customStyle="1" w:styleId="72">
    <w:name w:val=" Char Char"/>
    <w:qFormat/>
    <w:uiPriority w:val="0"/>
    <w:rPr>
      <w:rFonts w:ascii="宋体" w:hAnsi="Courier New" w:eastAsia="宋体"/>
      <w:kern w:val="2"/>
      <w:sz w:val="24"/>
      <w:szCs w:val="24"/>
      <w:lang w:val="en-US" w:eastAsia="zh-CN" w:bidi="ar-SA"/>
    </w:rPr>
  </w:style>
  <w:style w:type="character" w:customStyle="1" w:styleId="73">
    <w:name w:val="up2"/>
    <w:basedOn w:val="34"/>
    <w:qFormat/>
    <w:uiPriority w:val="0"/>
  </w:style>
  <w:style w:type="character" w:customStyle="1" w:styleId="74">
    <w:name w:val="样式 标题 1合同标题卷标题H1h1Level 1 Topic HeadingH11H12H111H13H1... Char"/>
    <w:qFormat/>
    <w:uiPriority w:val="0"/>
    <w:rPr>
      <w:rFonts w:ascii="宋体" w:hAnsi="宋体" w:eastAsia="宋体"/>
      <w:b/>
      <w:bCs/>
      <w:kern w:val="44"/>
      <w:sz w:val="24"/>
      <w:szCs w:val="44"/>
      <w:lang w:val="en-US" w:eastAsia="zh-CN" w:bidi="ar-SA"/>
    </w:rPr>
  </w:style>
  <w:style w:type="character" w:customStyle="1" w:styleId="75">
    <w:name w:val="del2"/>
    <w:qFormat/>
    <w:uiPriority w:val="0"/>
    <w:rPr>
      <w:vanish/>
    </w:rPr>
  </w:style>
  <w:style w:type="character" w:customStyle="1" w:styleId="76">
    <w:name w:val="tab"/>
    <w:qFormat/>
    <w:uiPriority w:val="0"/>
    <w:rPr>
      <w:color w:val="A4BCD6"/>
    </w:rPr>
  </w:style>
  <w:style w:type="character" w:customStyle="1" w:styleId="7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78">
    <w:name w:val="now4"/>
    <w:basedOn w:val="34"/>
    <w:qFormat/>
    <w:uiPriority w:val="0"/>
  </w:style>
  <w:style w:type="character" w:customStyle="1" w:styleId="79">
    <w:name w:val="info"/>
    <w:qFormat/>
    <w:uiPriority w:val="0"/>
    <w:rPr>
      <w:color w:val="666666"/>
    </w:rPr>
  </w:style>
  <w:style w:type="character" w:customStyle="1" w:styleId="80">
    <w:name w:val="font31"/>
    <w:qFormat/>
    <w:uiPriority w:val="0"/>
    <w:rPr>
      <w:rFonts w:ascii="MS PGothic" w:hAnsi="MS PGothic" w:eastAsia="MS PGothic" w:cs="MS PGothic"/>
      <w:b/>
      <w:color w:val="000000"/>
      <w:sz w:val="24"/>
      <w:szCs w:val="24"/>
      <w:u w:val="none"/>
    </w:rPr>
  </w:style>
  <w:style w:type="character" w:customStyle="1" w:styleId="81">
    <w:name w:val="font01"/>
    <w:qFormat/>
    <w:uiPriority w:val="0"/>
    <w:rPr>
      <w:rFonts w:hint="eastAsia" w:ascii="宋体" w:hAnsi="宋体" w:eastAsia="宋体" w:cs="宋体"/>
      <w:color w:val="0070C0"/>
      <w:sz w:val="22"/>
      <w:szCs w:val="22"/>
      <w:u w:val="none"/>
    </w:rPr>
  </w:style>
  <w:style w:type="character" w:customStyle="1" w:styleId="82">
    <w:name w:val="inq"/>
    <w:qFormat/>
    <w:uiPriority w:val="0"/>
    <w:rPr>
      <w:color w:val="333333"/>
    </w:rPr>
  </w:style>
  <w:style w:type="character" w:customStyle="1" w:styleId="83">
    <w:name w:val="up"/>
    <w:basedOn w:val="34"/>
    <w:qFormat/>
    <w:uiPriority w:val="0"/>
  </w:style>
  <w:style w:type="character" w:customStyle="1" w:styleId="84">
    <w:name w:val="font11"/>
    <w:qFormat/>
    <w:uiPriority w:val="0"/>
    <w:rPr>
      <w:rFonts w:ascii="MingLiU" w:hAnsi="MingLiU" w:eastAsia="MingLiU" w:cs="MingLiU"/>
      <w:b/>
      <w:color w:val="000000"/>
      <w:sz w:val="24"/>
      <w:szCs w:val="24"/>
      <w:u w:val="none"/>
    </w:rPr>
  </w:style>
  <w:style w:type="character" w:customStyle="1" w:styleId="85">
    <w:name w:val="pl1"/>
    <w:basedOn w:val="34"/>
    <w:qFormat/>
    <w:uiPriority w:val="0"/>
  </w:style>
  <w:style w:type="character" w:customStyle="1" w:styleId="86">
    <w:name w:val="arr"/>
    <w:basedOn w:val="34"/>
    <w:qFormat/>
    <w:uiPriority w:val="0"/>
  </w:style>
  <w:style w:type="character" w:customStyle="1" w:styleId="87">
    <w:name w:val="apple-converted-space"/>
    <w:basedOn w:val="34"/>
    <w:qFormat/>
    <w:uiPriority w:val="0"/>
  </w:style>
  <w:style w:type="character" w:customStyle="1" w:styleId="88">
    <w:name w:val="now1"/>
    <w:basedOn w:val="34"/>
    <w:qFormat/>
    <w:uiPriority w:val="0"/>
  </w:style>
  <w:style w:type="character" w:customStyle="1" w:styleId="89">
    <w:name w:val="pl7"/>
    <w:basedOn w:val="34"/>
    <w:qFormat/>
    <w:uiPriority w:val="0"/>
  </w:style>
  <w:style w:type="character" w:customStyle="1" w:styleId="90">
    <w:name w:val="font41"/>
    <w:qFormat/>
    <w:uiPriority w:val="0"/>
    <w:rPr>
      <w:rFonts w:hint="eastAsia" w:ascii="宋体" w:hAnsi="宋体" w:eastAsia="宋体" w:cs="宋体"/>
      <w:b/>
      <w:color w:val="000000"/>
      <w:sz w:val="24"/>
      <w:szCs w:val="24"/>
      <w:u w:val="none"/>
    </w:rPr>
  </w:style>
  <w:style w:type="character" w:customStyle="1" w:styleId="91">
    <w:name w:val="icon-read"/>
    <w:basedOn w:val="34"/>
    <w:qFormat/>
    <w:uiPriority w:val="0"/>
  </w:style>
  <w:style w:type="character" w:customStyle="1" w:styleId="92">
    <w:name w:val="icon-doc"/>
    <w:basedOn w:val="34"/>
    <w:qFormat/>
    <w:uiPriority w:val="0"/>
  </w:style>
  <w:style w:type="character" w:customStyle="1" w:styleId="93">
    <w:name w:val="xl29 Char Char"/>
    <w:link w:val="94"/>
    <w:qFormat/>
    <w:uiPriority w:val="0"/>
    <w:rPr>
      <w:rFonts w:ascii="Arial Unicode MS" w:hAnsi="Arial Unicode MS" w:eastAsia="Arial Unicode MS"/>
      <w:sz w:val="24"/>
      <w:szCs w:val="24"/>
    </w:rPr>
  </w:style>
  <w:style w:type="paragraph" w:customStyle="1" w:styleId="94">
    <w:name w:val="xl29"/>
    <w:basedOn w:val="1"/>
    <w:link w:val="93"/>
    <w:qFormat/>
    <w:uiPriority w:val="0"/>
    <w:pPr>
      <w:widowControl/>
      <w:spacing w:before="100" w:beforeAutospacing="1" w:after="100" w:afterAutospacing="1"/>
      <w:jc w:val="center"/>
    </w:pPr>
    <w:rPr>
      <w:rFonts w:ascii="Arial Unicode MS" w:hAnsi="Arial Unicode MS" w:eastAsia="Arial Unicode MS"/>
      <w:kern w:val="0"/>
      <w:sz w:val="24"/>
    </w:rPr>
  </w:style>
  <w:style w:type="character" w:customStyle="1" w:styleId="95">
    <w:name w:val="del1"/>
    <w:qFormat/>
    <w:uiPriority w:val="0"/>
    <w:rPr>
      <w:vanish/>
      <w:color w:val="666666"/>
      <w:sz w:val="18"/>
      <w:szCs w:val="18"/>
      <w:u w:val="single"/>
    </w:rPr>
  </w:style>
  <w:style w:type="character" w:customStyle="1" w:styleId="96">
    <w:name w:val="icon-game"/>
    <w:basedOn w:val="34"/>
    <w:qFormat/>
    <w:uiPriority w:val="0"/>
  </w:style>
  <w:style w:type="paragraph" w:customStyle="1" w:styleId="97">
    <w:name w:val="正文1"/>
    <w:basedOn w:val="1"/>
    <w:qFormat/>
    <w:uiPriority w:val="0"/>
    <w:pPr>
      <w:widowControl w:val="0"/>
      <w:numPr>
        <w:ilvl w:val="0"/>
        <w:numId w:val="2"/>
      </w:numPr>
      <w:spacing w:line="360" w:lineRule="auto"/>
      <w:ind w:left="357" w:hanging="357"/>
      <w:jc w:val="both"/>
    </w:pPr>
    <w:rPr>
      <w:rFonts w:ascii="宋体" w:hAnsi="宋体"/>
      <w:color w:val="FF0000"/>
      <w:kern w:val="2"/>
      <w:szCs w:val="24"/>
    </w:rPr>
  </w:style>
  <w:style w:type="paragraph" w:customStyle="1" w:styleId="98">
    <w:name w:val="默认段落字体 Para Char Char Char Char Char Char Char Char Char1 Char Char Char Char"/>
    <w:basedOn w:val="1"/>
    <w:qFormat/>
    <w:uiPriority w:val="0"/>
    <w:rPr>
      <w:rFonts w:ascii="Tahoma" w:hAnsi="Tahoma"/>
      <w:sz w:val="24"/>
      <w:szCs w:val="20"/>
    </w:rPr>
  </w:style>
  <w:style w:type="paragraph" w:customStyle="1" w:styleId="99">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00">
    <w:name w:val="表格用"/>
    <w:basedOn w:val="1"/>
    <w:qFormat/>
    <w:uiPriority w:val="0"/>
    <w:pPr>
      <w:ind w:firstLine="0" w:firstLineChars="0"/>
    </w:pPr>
    <w:rPr>
      <w:rFonts w:cs="Times New Roman"/>
      <w:kern w:val="0"/>
    </w:rPr>
  </w:style>
  <w:style w:type="paragraph" w:customStyle="1" w:styleId="101">
    <w:name w:val=" Char1"/>
    <w:basedOn w:val="1"/>
    <w:qFormat/>
    <w:uiPriority w:val="0"/>
    <w:rPr>
      <w:rFonts w:ascii="Tahoma" w:hAnsi="Tahoma"/>
      <w:sz w:val="24"/>
      <w:szCs w:val="20"/>
    </w:rPr>
  </w:style>
  <w:style w:type="paragraph" w:customStyle="1" w:styleId="102">
    <w:name w:val="一级列项a）"/>
    <w:qFormat/>
    <w:locked/>
    <w:uiPriority w:val="6"/>
    <w:pPr>
      <w:widowControl w:val="0"/>
      <w:numPr>
        <w:ilvl w:val="0"/>
        <w:numId w:val="3"/>
      </w:numPr>
      <w:adjustRightInd w:val="0"/>
      <w:spacing w:line="300" w:lineRule="auto"/>
      <w:jc w:val="both"/>
    </w:pPr>
    <w:rPr>
      <w:rFonts w:ascii="Times New Roman" w:hAnsi="Times New Roman" w:eastAsia="宋体" w:cs="Times New Roman"/>
      <w:color w:val="000000"/>
      <w:kern w:val="2"/>
      <w:sz w:val="24"/>
      <w:szCs w:val="21"/>
      <w:lang w:val="en-US" w:eastAsia="zh-CN" w:bidi="ar-SA"/>
    </w:rPr>
  </w:style>
  <w:style w:type="paragraph" w:customStyle="1" w:styleId="103">
    <w:name w:val="样式1"/>
    <w:basedOn w:val="6"/>
    <w:qFormat/>
    <w:uiPriority w:val="0"/>
  </w:style>
  <w:style w:type="paragraph" w:customStyle="1" w:styleId="10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05">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106">
    <w:name w:val="_Style 105"/>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07">
    <w:name w:val="cm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8">
    <w:name w:val="正文段"/>
    <w:basedOn w:val="1"/>
    <w:qFormat/>
    <w:uiPriority w:val="0"/>
    <w:pPr>
      <w:widowControl/>
      <w:snapToGrid w:val="0"/>
      <w:spacing w:afterLines="50"/>
      <w:ind w:firstLine="200" w:firstLineChars="200"/>
    </w:pPr>
    <w:rPr>
      <w:kern w:val="0"/>
      <w:sz w:val="24"/>
      <w:szCs w:val="20"/>
    </w:rPr>
  </w:style>
  <w:style w:type="paragraph" w:customStyle="1" w:styleId="109">
    <w:name w:val="默认段落字体 Para Char Char Char Char Char Char Char"/>
    <w:basedOn w:val="23"/>
    <w:next w:val="106"/>
    <w:qFormat/>
    <w:uiPriority w:val="0"/>
    <w:pPr>
      <w:pBdr>
        <w:bottom w:val="none" w:color="auto" w:sz="0" w:space="0"/>
      </w:pBdr>
      <w:shd w:val="clear" w:color="auto" w:fill="000080"/>
      <w:tabs>
        <w:tab w:val="clear" w:pos="4153"/>
        <w:tab w:val="clear" w:pos="8306"/>
      </w:tabs>
      <w:adjustRightInd w:val="0"/>
      <w:snapToGrid/>
      <w:spacing w:line="436" w:lineRule="exact"/>
      <w:ind w:left="357"/>
      <w:jc w:val="left"/>
      <w:outlineLvl w:val="3"/>
    </w:pPr>
    <w:rPr>
      <w:rFonts w:eastAsia="宋体"/>
      <w:sz w:val="21"/>
    </w:rPr>
  </w:style>
  <w:style w:type="paragraph" w:customStyle="1" w:styleId="11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_Style 6"/>
    <w:basedOn w:val="1"/>
    <w:next w:val="112"/>
    <w:qFormat/>
    <w:uiPriority w:val="34"/>
    <w:pPr>
      <w:ind w:firstLine="420" w:firstLineChars="200"/>
    </w:pPr>
    <w:rPr>
      <w:rFonts w:ascii="Times New Roman" w:hAnsi="Times New Roman" w:eastAsia="宋体" w:cs="Times New Roman"/>
      <w:szCs w:val="24"/>
    </w:rPr>
  </w:style>
  <w:style w:type="paragraph" w:styleId="112">
    <w:name w:val="List Paragraph"/>
    <w:basedOn w:val="1"/>
    <w:qFormat/>
    <w:uiPriority w:val="34"/>
    <w:pPr>
      <w:ind w:firstLine="420" w:firstLineChars="200"/>
    </w:pPr>
    <w:rPr>
      <w:rFonts w:ascii="等线" w:hAnsi="等线" w:eastAsia="等线" w:cs="Times New Roman"/>
      <w:szCs w:val="22"/>
    </w:rPr>
  </w:style>
  <w:style w:type="paragraph" w:customStyle="1" w:styleId="113">
    <w:name w:val="List Paragraph1"/>
    <w:basedOn w:val="1"/>
    <w:qFormat/>
    <w:uiPriority w:val="34"/>
    <w:pPr>
      <w:ind w:firstLine="420" w:firstLineChars="200"/>
    </w:pPr>
  </w:style>
  <w:style w:type="paragraph" w:customStyle="1" w:styleId="114">
    <w:name w:val="列出段落1"/>
    <w:basedOn w:val="1"/>
    <w:qFormat/>
    <w:uiPriority w:val="0"/>
    <w:pPr>
      <w:ind w:firstLine="420" w:firstLineChars="200"/>
    </w:pPr>
    <w:rPr>
      <w:rFonts w:ascii="Calibri" w:hAnsi="Calibri" w:eastAsia="宋体" w:cs="Times New Roman"/>
    </w:rPr>
  </w:style>
  <w:style w:type="table" w:customStyle="1" w:styleId="11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16508</Words>
  <Characters>17101</Characters>
  <Lines>140</Lines>
  <Paragraphs>39</Paragraphs>
  <TotalTime>3</TotalTime>
  <ScaleCrop>false</ScaleCrop>
  <LinksUpToDate>false</LinksUpToDate>
  <CharactersWithSpaces>18491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2017-06-14T14:31:00Z</dcterms:created>
  <dc:creator>Administrator</dc:creator>
  <cp:lastModifiedBy>May</cp:lastModifiedBy>
  <cp:lastPrinted>2025-07-03T11:59:00Z</cp:lastPrinted>
  <dcterms:modified xsi:type="dcterms:W3CDTF">2025-07-11T07:17:22Z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2F9418E79BB54D6381B7CB07F307E5C7_13</vt:lpwstr>
  </property>
  <property fmtid="{D5CDD505-2E9C-101B-9397-08002B2CF9AE}" pid="4" name="KSOTemplateDocerSaveRecord">
    <vt:lpwstr>eyJoZGlkIjoiOTAzMWZiOWRlMTk0MzBjYTg0NWY0YjkzOWFjNDAyNmQiLCJ1c2VySWQiOiIxNzg2MzQ1MCJ9</vt:lpwstr>
  </property>
</Properties>
</file>