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EB1B5">
      <w:pPr>
        <w:keepNext/>
        <w:keepLines/>
        <w:pageBreakBefore w:val="0"/>
        <w:widowControl w:val="0"/>
        <w:tabs>
          <w:tab w:val="left" w:pos="432"/>
        </w:tabs>
        <w:kinsoku/>
        <w:wordWrap/>
        <w:topLinePunct w:val="0"/>
        <w:bidi w:val="0"/>
        <w:adjustRightInd w:val="0"/>
        <w:snapToGrid w:val="0"/>
        <w:spacing w:line="360" w:lineRule="auto"/>
        <w:jc w:val="center"/>
        <w:outlineLvl w:val="0"/>
        <w:rPr>
          <w:rFonts w:hint="eastAsia" w:ascii="宋体" w:hAnsi="宋体" w:eastAsia="宋体" w:cs="宋体"/>
          <w:b/>
          <w:bCs/>
          <w:kern w:val="44"/>
          <w:sz w:val="44"/>
          <w:szCs w:val="44"/>
          <w:highlight w:val="none"/>
          <w:lang w:val="en-US" w:eastAsia="zh-CN" w:bidi="ar-SA"/>
        </w:rPr>
      </w:pPr>
      <w:r>
        <w:rPr>
          <w:rFonts w:hint="eastAsia" w:ascii="宋体" w:hAnsi="宋体" w:eastAsia="宋体" w:cs="宋体"/>
          <w:b/>
          <w:bCs/>
          <w:kern w:val="44"/>
          <w:sz w:val="44"/>
          <w:szCs w:val="44"/>
          <w:highlight w:val="none"/>
          <w:lang w:val="en-US" w:eastAsia="zh-CN" w:bidi="ar-SA"/>
        </w:rPr>
        <w:t>采购需求</w:t>
      </w:r>
    </w:p>
    <w:p w14:paraId="147F6D6E">
      <w:pPr>
        <w:keepNext w:val="0"/>
        <w:keepLines w:val="0"/>
        <w:pageBreakBefore w:val="0"/>
        <w:widowControl w:val="0"/>
        <w:kinsoku/>
        <w:wordWrap w:val="0"/>
        <w:overflowPunct/>
        <w:topLinePunct/>
        <w:autoSpaceDE/>
        <w:autoSpaceDN/>
        <w:bidi w:val="0"/>
        <w:adjustRightInd w:val="0"/>
        <w:snapToGrid w:val="0"/>
        <w:spacing w:line="360" w:lineRule="auto"/>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一、项目概述：</w:t>
      </w:r>
    </w:p>
    <w:p w14:paraId="4F35DB8E">
      <w:pPr>
        <w:keepNext w:val="0"/>
        <w:keepLines w:val="0"/>
        <w:pageBreakBefore w:val="0"/>
        <w:widowControl w:val="0"/>
        <w:kinsoku/>
        <w:wordWrap w:val="0"/>
        <w:overflowPunct/>
        <w:topLinePunct/>
        <w:autoSpaceDE/>
        <w:autoSpaceDN/>
        <w:bidi w:val="0"/>
        <w:adjustRightInd w:val="0"/>
        <w:snapToGrid w:val="0"/>
        <w:spacing w:line="360" w:lineRule="auto"/>
        <w:ind w:firstLine="352" w:firstLineChars="147"/>
        <w:jc w:val="both"/>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本项目为</w:t>
      </w:r>
      <w:r>
        <w:rPr>
          <w:rFonts w:hint="eastAsia" w:ascii="宋体" w:hAnsi="宋体" w:eastAsia="宋体" w:cs="宋体"/>
          <w:bCs/>
          <w:sz w:val="24"/>
          <w:szCs w:val="24"/>
          <w:highlight w:val="none"/>
          <w:lang w:val="en-US" w:eastAsia="zh-CN"/>
        </w:rPr>
        <w:t>杭州市余杭区第二人民医院医共体2025年主副食配送服务</w:t>
      </w:r>
      <w:r>
        <w:rPr>
          <w:rFonts w:hint="eastAsia" w:cs="宋体"/>
          <w:bCs/>
          <w:sz w:val="24"/>
          <w:szCs w:val="24"/>
          <w:highlight w:val="none"/>
          <w:lang w:val="en-US" w:eastAsia="zh-CN"/>
        </w:rPr>
        <w:t>，包括总院、余杭分院、仓前分院、五常分院、闲林分院、中泰分院</w:t>
      </w:r>
      <w:r>
        <w:rPr>
          <w:rFonts w:hint="eastAsia" w:ascii="宋体" w:hAnsi="宋体" w:eastAsia="宋体" w:cs="宋体"/>
          <w:bCs/>
          <w:sz w:val="24"/>
          <w:szCs w:val="24"/>
          <w:highlight w:val="none"/>
          <w:lang w:eastAsia="zh-CN"/>
        </w:rPr>
        <w:t>，采购内容</w:t>
      </w:r>
      <w:r>
        <w:rPr>
          <w:rFonts w:hint="eastAsia" w:ascii="宋体" w:hAnsi="宋体" w:eastAsia="宋体" w:cs="宋体"/>
          <w:bCs/>
          <w:sz w:val="24"/>
          <w:szCs w:val="24"/>
          <w:highlight w:val="none"/>
        </w:rPr>
        <w:t>为</w:t>
      </w:r>
      <w:r>
        <w:rPr>
          <w:rFonts w:hint="eastAsia" w:ascii="宋体" w:hAnsi="宋体" w:eastAsia="宋体" w:cs="宋体"/>
          <w:bCs/>
          <w:sz w:val="24"/>
          <w:szCs w:val="24"/>
          <w:highlight w:val="none"/>
          <w:lang w:val="en-US" w:eastAsia="zh-CN"/>
        </w:rPr>
        <w:t>杭州市余杭区第二人民医院医共体2025年主副食配送</w:t>
      </w:r>
      <w:r>
        <w:rPr>
          <w:rFonts w:hint="eastAsia" w:ascii="宋体" w:hAnsi="宋体" w:eastAsia="宋体" w:cs="宋体"/>
          <w:bCs/>
          <w:sz w:val="24"/>
          <w:szCs w:val="24"/>
          <w:highlight w:val="none"/>
          <w:lang w:eastAsia="zh-CN"/>
        </w:rPr>
        <w:t>物资的采购、运输、装卸和相关维护等。服务包括物资配送过程中需要配置的各种设备运输、装卸搬运、人工等费用及售后服务费、有关部门的验收费、招标代理服务费、政策性文件规定及合同包含的所有费用、责任等各项全部费用。</w:t>
      </w:r>
    </w:p>
    <w:p w14:paraId="713E5CA6">
      <w:pPr>
        <w:keepNext w:val="0"/>
        <w:keepLines w:val="0"/>
        <w:pageBreakBefore w:val="0"/>
        <w:widowControl w:val="0"/>
        <w:numPr>
          <w:ilvl w:val="0"/>
          <w:numId w:val="1"/>
        </w:numPr>
        <w:kinsoku/>
        <w:wordWrap w:val="0"/>
        <w:overflowPunct/>
        <w:topLinePunct/>
        <w:autoSpaceDE/>
        <w:autoSpaceDN/>
        <w:bidi w:val="0"/>
        <w:adjustRightInd w:val="0"/>
        <w:snapToGrid w:val="0"/>
        <w:spacing w:line="360" w:lineRule="auto"/>
        <w:jc w:val="both"/>
        <w:textAlignment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采购清单：</w:t>
      </w:r>
    </w:p>
    <w:p w14:paraId="4D0D4CC1">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firstLine="0" w:firstLineChars="0"/>
        <w:jc w:val="both"/>
        <w:rPr>
          <w:rFonts w:hint="eastAsia" w:eastAsia="宋体" w:cs="宋体"/>
          <w:b/>
          <w:bCs/>
          <w:sz w:val="24"/>
          <w:szCs w:val="24"/>
          <w:highlight w:val="none"/>
          <w:lang w:val="en-US" w:eastAsia="zh-CN"/>
        </w:rPr>
      </w:pPr>
      <w:r>
        <w:rPr>
          <w:rFonts w:hint="eastAsia" w:eastAsia="宋体" w:cs="宋体"/>
          <w:b/>
          <w:bCs/>
          <w:sz w:val="24"/>
          <w:szCs w:val="24"/>
          <w:highlight w:val="none"/>
          <w:lang w:val="en-US" w:eastAsia="zh-CN"/>
        </w:rPr>
        <w:t>标项一：食堂食材配送（种类仅供参考，以实际供货为主，两年需求量）</w:t>
      </w:r>
    </w:p>
    <w:tbl>
      <w:tblPr>
        <w:tblStyle w:val="4"/>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910"/>
        <w:gridCol w:w="1528"/>
        <w:gridCol w:w="1212"/>
        <w:gridCol w:w="1212"/>
      </w:tblGrid>
      <w:tr w14:paraId="15E6D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8" w:type="dxa"/>
            <w:noWrap w:val="0"/>
            <w:vAlign w:val="center"/>
          </w:tcPr>
          <w:p w14:paraId="1C2774A1">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序号</w:t>
            </w:r>
          </w:p>
        </w:tc>
        <w:tc>
          <w:tcPr>
            <w:tcW w:w="3910" w:type="dxa"/>
            <w:noWrap w:val="0"/>
            <w:vAlign w:val="center"/>
          </w:tcPr>
          <w:p w14:paraId="61E76DAA">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项目</w:t>
            </w:r>
          </w:p>
        </w:tc>
        <w:tc>
          <w:tcPr>
            <w:tcW w:w="1528" w:type="dxa"/>
            <w:noWrap w:val="0"/>
            <w:vAlign w:val="center"/>
          </w:tcPr>
          <w:p w14:paraId="7ECCFC56">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预算价</w:t>
            </w:r>
          </w:p>
        </w:tc>
        <w:tc>
          <w:tcPr>
            <w:tcW w:w="1212" w:type="dxa"/>
            <w:noWrap w:val="0"/>
            <w:vAlign w:val="center"/>
          </w:tcPr>
          <w:p w14:paraId="54ACD7F5">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单位</w:t>
            </w:r>
          </w:p>
        </w:tc>
        <w:tc>
          <w:tcPr>
            <w:tcW w:w="1212" w:type="dxa"/>
            <w:noWrap w:val="0"/>
            <w:vAlign w:val="center"/>
          </w:tcPr>
          <w:p w14:paraId="13B0E017">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数量</w:t>
            </w:r>
          </w:p>
        </w:tc>
      </w:tr>
      <w:tr w14:paraId="7BA32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8" w:type="dxa"/>
            <w:noWrap w:val="0"/>
            <w:vAlign w:val="center"/>
          </w:tcPr>
          <w:p w14:paraId="14B221E0">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A</w:t>
            </w:r>
          </w:p>
        </w:tc>
        <w:tc>
          <w:tcPr>
            <w:tcW w:w="3910" w:type="dxa"/>
            <w:noWrap w:val="0"/>
            <w:vAlign w:val="center"/>
          </w:tcPr>
          <w:p w14:paraId="48F18203">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冷冻品类（包含速冻面食）</w:t>
            </w:r>
          </w:p>
        </w:tc>
        <w:tc>
          <w:tcPr>
            <w:tcW w:w="1528" w:type="dxa"/>
            <w:vMerge w:val="restart"/>
            <w:noWrap w:val="0"/>
            <w:vAlign w:val="center"/>
          </w:tcPr>
          <w:p w14:paraId="443B4156">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配送物资的预算价均为周边大中型农贸市场的最低价格（由采购人组织询价小组采集价格）</w:t>
            </w:r>
          </w:p>
        </w:tc>
        <w:tc>
          <w:tcPr>
            <w:tcW w:w="1212" w:type="dxa"/>
            <w:vMerge w:val="restart"/>
            <w:noWrap w:val="0"/>
            <w:vAlign w:val="center"/>
          </w:tcPr>
          <w:p w14:paraId="45BA5882">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default" w:eastAsia="宋体" w:cs="宋体"/>
                <w:b w:val="0"/>
                <w:bCs w:val="0"/>
                <w:sz w:val="24"/>
                <w:szCs w:val="24"/>
                <w:highlight w:val="none"/>
                <w:lang w:val="en-US" w:eastAsia="zh-CN"/>
              </w:rPr>
            </w:pPr>
            <w:r>
              <w:rPr>
                <w:rFonts w:hint="eastAsia" w:cs="宋体"/>
                <w:b w:val="0"/>
                <w:bCs w:val="0"/>
                <w:sz w:val="24"/>
                <w:szCs w:val="24"/>
                <w:highlight w:val="none"/>
                <w:lang w:val="en-US" w:eastAsia="zh-CN"/>
              </w:rPr>
              <w:t>斤</w:t>
            </w:r>
          </w:p>
        </w:tc>
        <w:tc>
          <w:tcPr>
            <w:tcW w:w="1212" w:type="dxa"/>
            <w:vMerge w:val="restart"/>
            <w:noWrap w:val="0"/>
            <w:vAlign w:val="center"/>
          </w:tcPr>
          <w:p w14:paraId="161AA503">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按实结算</w:t>
            </w:r>
          </w:p>
        </w:tc>
      </w:tr>
      <w:tr w14:paraId="2113B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8" w:type="dxa"/>
            <w:noWrap w:val="0"/>
            <w:vAlign w:val="center"/>
          </w:tcPr>
          <w:p w14:paraId="30F20F72">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B</w:t>
            </w:r>
          </w:p>
        </w:tc>
        <w:tc>
          <w:tcPr>
            <w:tcW w:w="3910" w:type="dxa"/>
            <w:noWrap w:val="0"/>
            <w:vAlign w:val="center"/>
          </w:tcPr>
          <w:p w14:paraId="217D5FFB">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豆制品类</w:t>
            </w:r>
          </w:p>
        </w:tc>
        <w:tc>
          <w:tcPr>
            <w:tcW w:w="1528" w:type="dxa"/>
            <w:vMerge w:val="continue"/>
            <w:noWrap w:val="0"/>
            <w:vAlign w:val="center"/>
          </w:tcPr>
          <w:p w14:paraId="6064A9AC">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p>
        </w:tc>
        <w:tc>
          <w:tcPr>
            <w:tcW w:w="1212" w:type="dxa"/>
            <w:vMerge w:val="continue"/>
            <w:noWrap w:val="0"/>
            <w:vAlign w:val="center"/>
          </w:tcPr>
          <w:p w14:paraId="2C39411A">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p>
        </w:tc>
        <w:tc>
          <w:tcPr>
            <w:tcW w:w="1212" w:type="dxa"/>
            <w:vMerge w:val="continue"/>
            <w:noWrap w:val="0"/>
            <w:vAlign w:val="center"/>
          </w:tcPr>
          <w:p w14:paraId="543C2C25">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p>
        </w:tc>
      </w:tr>
      <w:tr w14:paraId="1DEC7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8" w:type="dxa"/>
            <w:noWrap w:val="0"/>
            <w:vAlign w:val="center"/>
          </w:tcPr>
          <w:p w14:paraId="0983BAE0">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C</w:t>
            </w:r>
          </w:p>
        </w:tc>
        <w:tc>
          <w:tcPr>
            <w:tcW w:w="3910" w:type="dxa"/>
            <w:noWrap w:val="0"/>
            <w:vAlign w:val="center"/>
          </w:tcPr>
          <w:p w14:paraId="2C307E20">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蔬菜类</w:t>
            </w:r>
          </w:p>
        </w:tc>
        <w:tc>
          <w:tcPr>
            <w:tcW w:w="1528" w:type="dxa"/>
            <w:vMerge w:val="continue"/>
            <w:noWrap w:val="0"/>
            <w:vAlign w:val="center"/>
          </w:tcPr>
          <w:p w14:paraId="6DDE6052">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p>
        </w:tc>
        <w:tc>
          <w:tcPr>
            <w:tcW w:w="1212" w:type="dxa"/>
            <w:vMerge w:val="continue"/>
            <w:noWrap w:val="0"/>
            <w:vAlign w:val="center"/>
          </w:tcPr>
          <w:p w14:paraId="4AE8D31A">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p>
        </w:tc>
        <w:tc>
          <w:tcPr>
            <w:tcW w:w="1212" w:type="dxa"/>
            <w:vMerge w:val="continue"/>
            <w:noWrap w:val="0"/>
            <w:vAlign w:val="center"/>
          </w:tcPr>
          <w:p w14:paraId="749B4724">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p>
        </w:tc>
      </w:tr>
      <w:tr w14:paraId="64BC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8" w:type="dxa"/>
            <w:noWrap w:val="0"/>
            <w:vAlign w:val="center"/>
          </w:tcPr>
          <w:p w14:paraId="0619F97E">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D</w:t>
            </w:r>
          </w:p>
        </w:tc>
        <w:tc>
          <w:tcPr>
            <w:tcW w:w="3910" w:type="dxa"/>
            <w:noWrap w:val="0"/>
            <w:vAlign w:val="center"/>
          </w:tcPr>
          <w:p w14:paraId="19E3239C">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蛋类</w:t>
            </w:r>
          </w:p>
        </w:tc>
        <w:tc>
          <w:tcPr>
            <w:tcW w:w="1528" w:type="dxa"/>
            <w:vMerge w:val="continue"/>
            <w:noWrap w:val="0"/>
            <w:vAlign w:val="center"/>
          </w:tcPr>
          <w:p w14:paraId="3ACCACD6">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p>
        </w:tc>
        <w:tc>
          <w:tcPr>
            <w:tcW w:w="1212" w:type="dxa"/>
            <w:vMerge w:val="continue"/>
            <w:noWrap w:val="0"/>
            <w:vAlign w:val="center"/>
          </w:tcPr>
          <w:p w14:paraId="6998C99F">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p>
        </w:tc>
        <w:tc>
          <w:tcPr>
            <w:tcW w:w="1212" w:type="dxa"/>
            <w:vMerge w:val="continue"/>
            <w:noWrap w:val="0"/>
            <w:vAlign w:val="center"/>
          </w:tcPr>
          <w:p w14:paraId="60974B14">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p>
        </w:tc>
      </w:tr>
      <w:tr w14:paraId="1A138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8" w:type="dxa"/>
            <w:noWrap w:val="0"/>
            <w:vAlign w:val="center"/>
          </w:tcPr>
          <w:p w14:paraId="11907416">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E</w:t>
            </w:r>
          </w:p>
        </w:tc>
        <w:tc>
          <w:tcPr>
            <w:tcW w:w="3910" w:type="dxa"/>
            <w:noWrap w:val="0"/>
            <w:vAlign w:val="center"/>
          </w:tcPr>
          <w:p w14:paraId="63C09BF4">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水产类</w:t>
            </w:r>
          </w:p>
        </w:tc>
        <w:tc>
          <w:tcPr>
            <w:tcW w:w="1528" w:type="dxa"/>
            <w:vMerge w:val="continue"/>
            <w:noWrap w:val="0"/>
            <w:vAlign w:val="center"/>
          </w:tcPr>
          <w:p w14:paraId="4719C888">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p>
        </w:tc>
        <w:tc>
          <w:tcPr>
            <w:tcW w:w="1212" w:type="dxa"/>
            <w:vMerge w:val="continue"/>
            <w:noWrap w:val="0"/>
            <w:vAlign w:val="center"/>
          </w:tcPr>
          <w:p w14:paraId="76C5FEE2">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p>
        </w:tc>
        <w:tc>
          <w:tcPr>
            <w:tcW w:w="1212" w:type="dxa"/>
            <w:vMerge w:val="continue"/>
            <w:noWrap w:val="0"/>
            <w:vAlign w:val="center"/>
          </w:tcPr>
          <w:p w14:paraId="63666B6C">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p>
        </w:tc>
      </w:tr>
      <w:tr w14:paraId="41710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8" w:type="dxa"/>
            <w:noWrap w:val="0"/>
            <w:vAlign w:val="center"/>
          </w:tcPr>
          <w:p w14:paraId="2EFCA99C">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F</w:t>
            </w:r>
          </w:p>
        </w:tc>
        <w:tc>
          <w:tcPr>
            <w:tcW w:w="3910" w:type="dxa"/>
            <w:noWrap w:val="0"/>
            <w:vAlign w:val="center"/>
          </w:tcPr>
          <w:p w14:paraId="7876C915">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肉类（包含腌制品）</w:t>
            </w:r>
          </w:p>
        </w:tc>
        <w:tc>
          <w:tcPr>
            <w:tcW w:w="1528" w:type="dxa"/>
            <w:vMerge w:val="continue"/>
            <w:noWrap w:val="0"/>
            <w:vAlign w:val="center"/>
          </w:tcPr>
          <w:p w14:paraId="256C780E">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p>
        </w:tc>
        <w:tc>
          <w:tcPr>
            <w:tcW w:w="1212" w:type="dxa"/>
            <w:vMerge w:val="continue"/>
            <w:noWrap w:val="0"/>
            <w:vAlign w:val="center"/>
          </w:tcPr>
          <w:p w14:paraId="56441471">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p>
        </w:tc>
        <w:tc>
          <w:tcPr>
            <w:tcW w:w="1212" w:type="dxa"/>
            <w:vMerge w:val="continue"/>
            <w:noWrap w:val="0"/>
            <w:vAlign w:val="center"/>
          </w:tcPr>
          <w:p w14:paraId="6AC602A1">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p>
        </w:tc>
      </w:tr>
      <w:tr w14:paraId="0F353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8" w:type="dxa"/>
            <w:noWrap w:val="0"/>
            <w:vAlign w:val="center"/>
          </w:tcPr>
          <w:p w14:paraId="6C6F616D">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G</w:t>
            </w:r>
          </w:p>
        </w:tc>
        <w:tc>
          <w:tcPr>
            <w:tcW w:w="3910" w:type="dxa"/>
            <w:noWrap w:val="0"/>
            <w:vAlign w:val="center"/>
          </w:tcPr>
          <w:p w14:paraId="4BA056F2">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禽类（包含腌制品）</w:t>
            </w:r>
          </w:p>
        </w:tc>
        <w:tc>
          <w:tcPr>
            <w:tcW w:w="1528" w:type="dxa"/>
            <w:vMerge w:val="continue"/>
            <w:noWrap w:val="0"/>
            <w:vAlign w:val="center"/>
          </w:tcPr>
          <w:p w14:paraId="6F8328BC">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p>
        </w:tc>
        <w:tc>
          <w:tcPr>
            <w:tcW w:w="1212" w:type="dxa"/>
            <w:vMerge w:val="continue"/>
            <w:noWrap w:val="0"/>
            <w:vAlign w:val="center"/>
          </w:tcPr>
          <w:p w14:paraId="227D7CC9">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p>
        </w:tc>
        <w:tc>
          <w:tcPr>
            <w:tcW w:w="1212" w:type="dxa"/>
            <w:vMerge w:val="continue"/>
            <w:noWrap w:val="0"/>
            <w:vAlign w:val="center"/>
          </w:tcPr>
          <w:p w14:paraId="662E4076">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p>
        </w:tc>
      </w:tr>
      <w:tr w14:paraId="6628D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8" w:type="dxa"/>
            <w:noWrap w:val="0"/>
            <w:vAlign w:val="center"/>
          </w:tcPr>
          <w:p w14:paraId="1651880F">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H</w:t>
            </w:r>
          </w:p>
        </w:tc>
        <w:tc>
          <w:tcPr>
            <w:tcW w:w="3910" w:type="dxa"/>
            <w:noWrap w:val="0"/>
            <w:vAlign w:val="center"/>
          </w:tcPr>
          <w:p w14:paraId="42AF1731">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干货类</w:t>
            </w:r>
          </w:p>
        </w:tc>
        <w:tc>
          <w:tcPr>
            <w:tcW w:w="1528" w:type="dxa"/>
            <w:vMerge w:val="continue"/>
            <w:noWrap w:val="0"/>
            <w:vAlign w:val="center"/>
          </w:tcPr>
          <w:p w14:paraId="53DDB641">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p>
        </w:tc>
        <w:tc>
          <w:tcPr>
            <w:tcW w:w="1212" w:type="dxa"/>
            <w:vMerge w:val="continue"/>
            <w:noWrap w:val="0"/>
            <w:vAlign w:val="center"/>
          </w:tcPr>
          <w:p w14:paraId="500A7489">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p>
        </w:tc>
        <w:tc>
          <w:tcPr>
            <w:tcW w:w="1212" w:type="dxa"/>
            <w:vMerge w:val="continue"/>
            <w:noWrap w:val="0"/>
            <w:vAlign w:val="center"/>
          </w:tcPr>
          <w:p w14:paraId="3F60BD50">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p>
        </w:tc>
      </w:tr>
    </w:tbl>
    <w:p w14:paraId="5C89B3ED">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firstLine="0" w:firstLineChars="0"/>
        <w:jc w:val="center"/>
        <w:rPr>
          <w:rFonts w:hint="eastAsia" w:eastAsia="宋体" w:cs="宋体"/>
          <w:b/>
          <w:bCs/>
          <w:sz w:val="24"/>
          <w:szCs w:val="24"/>
          <w:highlight w:val="none"/>
          <w:lang w:val="en-US" w:eastAsia="zh-CN"/>
        </w:rPr>
      </w:pPr>
    </w:p>
    <w:p w14:paraId="301C5F12">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firstLine="0" w:firstLineChars="0"/>
        <w:jc w:val="both"/>
        <w:rPr>
          <w:rFonts w:hint="eastAsia" w:eastAsia="宋体" w:cs="宋体"/>
          <w:b/>
          <w:bCs/>
          <w:sz w:val="24"/>
          <w:szCs w:val="24"/>
          <w:highlight w:val="none"/>
          <w:lang w:val="en-US" w:eastAsia="zh-CN"/>
        </w:rPr>
      </w:pPr>
      <w:r>
        <w:rPr>
          <w:rFonts w:hint="eastAsia" w:eastAsia="宋体" w:cs="宋体"/>
          <w:b/>
          <w:bCs/>
          <w:sz w:val="24"/>
          <w:szCs w:val="24"/>
          <w:highlight w:val="none"/>
          <w:lang w:val="en-US" w:eastAsia="zh-CN"/>
        </w:rPr>
        <w:t>标项二：食堂食材配送（种类仅供参考，以实际供货为主，两年需求量）</w:t>
      </w:r>
    </w:p>
    <w:tbl>
      <w:tblPr>
        <w:tblStyle w:val="4"/>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910"/>
        <w:gridCol w:w="1528"/>
        <w:gridCol w:w="1223"/>
        <w:gridCol w:w="1224"/>
      </w:tblGrid>
      <w:tr w14:paraId="20467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8" w:type="dxa"/>
            <w:noWrap w:val="0"/>
            <w:vAlign w:val="center"/>
          </w:tcPr>
          <w:p w14:paraId="267AA3A2">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序号</w:t>
            </w:r>
          </w:p>
        </w:tc>
        <w:tc>
          <w:tcPr>
            <w:tcW w:w="3910" w:type="dxa"/>
            <w:noWrap w:val="0"/>
            <w:vAlign w:val="center"/>
          </w:tcPr>
          <w:p w14:paraId="00A3E653">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项目</w:t>
            </w:r>
          </w:p>
        </w:tc>
        <w:tc>
          <w:tcPr>
            <w:tcW w:w="1528" w:type="dxa"/>
            <w:noWrap w:val="0"/>
            <w:vAlign w:val="center"/>
          </w:tcPr>
          <w:p w14:paraId="385B2E46">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预算价</w:t>
            </w:r>
          </w:p>
        </w:tc>
        <w:tc>
          <w:tcPr>
            <w:tcW w:w="1223" w:type="dxa"/>
            <w:noWrap w:val="0"/>
            <w:vAlign w:val="center"/>
          </w:tcPr>
          <w:p w14:paraId="018F6C0E">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单位</w:t>
            </w:r>
          </w:p>
        </w:tc>
        <w:tc>
          <w:tcPr>
            <w:tcW w:w="1224" w:type="dxa"/>
            <w:noWrap w:val="0"/>
            <w:vAlign w:val="center"/>
          </w:tcPr>
          <w:p w14:paraId="633BF61F">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数量</w:t>
            </w:r>
          </w:p>
        </w:tc>
      </w:tr>
      <w:tr w14:paraId="51D2E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8" w:type="dxa"/>
            <w:noWrap w:val="0"/>
            <w:vAlign w:val="center"/>
          </w:tcPr>
          <w:p w14:paraId="7C3D3700">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A</w:t>
            </w:r>
          </w:p>
        </w:tc>
        <w:tc>
          <w:tcPr>
            <w:tcW w:w="3910" w:type="dxa"/>
            <w:noWrap w:val="0"/>
            <w:vAlign w:val="center"/>
          </w:tcPr>
          <w:p w14:paraId="56FB0306">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冷冻品类（包含速冻面食）</w:t>
            </w:r>
          </w:p>
        </w:tc>
        <w:tc>
          <w:tcPr>
            <w:tcW w:w="1528" w:type="dxa"/>
            <w:vMerge w:val="restart"/>
            <w:noWrap w:val="0"/>
            <w:vAlign w:val="center"/>
          </w:tcPr>
          <w:p w14:paraId="22DF13AB">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配送物资的预算价均为周边大中型农贸市场的最低价格（由采购人组织询价小组采集价格）</w:t>
            </w:r>
          </w:p>
        </w:tc>
        <w:tc>
          <w:tcPr>
            <w:tcW w:w="1223" w:type="dxa"/>
            <w:vMerge w:val="restart"/>
            <w:noWrap w:val="0"/>
            <w:vAlign w:val="center"/>
          </w:tcPr>
          <w:p w14:paraId="684A89E2">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default" w:eastAsia="宋体" w:cs="宋体"/>
                <w:b w:val="0"/>
                <w:bCs w:val="0"/>
                <w:sz w:val="24"/>
                <w:szCs w:val="24"/>
                <w:highlight w:val="none"/>
                <w:lang w:val="en-US" w:eastAsia="zh-CN"/>
              </w:rPr>
            </w:pPr>
            <w:r>
              <w:rPr>
                <w:rFonts w:hint="eastAsia" w:cs="宋体"/>
                <w:b w:val="0"/>
                <w:bCs w:val="0"/>
                <w:sz w:val="24"/>
                <w:szCs w:val="24"/>
                <w:highlight w:val="none"/>
                <w:lang w:val="en-US" w:eastAsia="zh-CN"/>
              </w:rPr>
              <w:t>斤</w:t>
            </w:r>
          </w:p>
        </w:tc>
        <w:tc>
          <w:tcPr>
            <w:tcW w:w="1224" w:type="dxa"/>
            <w:vMerge w:val="restart"/>
            <w:noWrap w:val="0"/>
            <w:vAlign w:val="center"/>
          </w:tcPr>
          <w:p w14:paraId="757178BF">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按实结算</w:t>
            </w:r>
          </w:p>
        </w:tc>
      </w:tr>
      <w:tr w14:paraId="0229C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8" w:type="dxa"/>
            <w:noWrap w:val="0"/>
            <w:vAlign w:val="center"/>
          </w:tcPr>
          <w:p w14:paraId="7B5C71B2">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B</w:t>
            </w:r>
          </w:p>
        </w:tc>
        <w:tc>
          <w:tcPr>
            <w:tcW w:w="3910" w:type="dxa"/>
            <w:noWrap w:val="0"/>
            <w:vAlign w:val="center"/>
          </w:tcPr>
          <w:p w14:paraId="17D43EF8">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豆制品类</w:t>
            </w:r>
          </w:p>
        </w:tc>
        <w:tc>
          <w:tcPr>
            <w:tcW w:w="1528" w:type="dxa"/>
            <w:vMerge w:val="continue"/>
            <w:noWrap w:val="0"/>
            <w:vAlign w:val="center"/>
          </w:tcPr>
          <w:p w14:paraId="5EB84C0C">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p>
        </w:tc>
        <w:tc>
          <w:tcPr>
            <w:tcW w:w="1223" w:type="dxa"/>
            <w:vMerge w:val="continue"/>
            <w:noWrap w:val="0"/>
            <w:vAlign w:val="center"/>
          </w:tcPr>
          <w:p w14:paraId="2D8176DB">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p>
        </w:tc>
        <w:tc>
          <w:tcPr>
            <w:tcW w:w="1224" w:type="dxa"/>
            <w:vMerge w:val="continue"/>
            <w:noWrap w:val="0"/>
            <w:vAlign w:val="center"/>
          </w:tcPr>
          <w:p w14:paraId="6D6E2006">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p>
        </w:tc>
      </w:tr>
      <w:tr w14:paraId="30E9C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8" w:type="dxa"/>
            <w:noWrap w:val="0"/>
            <w:vAlign w:val="center"/>
          </w:tcPr>
          <w:p w14:paraId="6D5CD848">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C</w:t>
            </w:r>
          </w:p>
        </w:tc>
        <w:tc>
          <w:tcPr>
            <w:tcW w:w="3910" w:type="dxa"/>
            <w:noWrap w:val="0"/>
            <w:vAlign w:val="center"/>
          </w:tcPr>
          <w:p w14:paraId="62B02CBD">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蔬菜类</w:t>
            </w:r>
          </w:p>
        </w:tc>
        <w:tc>
          <w:tcPr>
            <w:tcW w:w="1528" w:type="dxa"/>
            <w:vMerge w:val="continue"/>
            <w:noWrap w:val="0"/>
            <w:vAlign w:val="center"/>
          </w:tcPr>
          <w:p w14:paraId="76C7A9BF">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p>
        </w:tc>
        <w:tc>
          <w:tcPr>
            <w:tcW w:w="1223" w:type="dxa"/>
            <w:vMerge w:val="continue"/>
            <w:noWrap w:val="0"/>
            <w:vAlign w:val="center"/>
          </w:tcPr>
          <w:p w14:paraId="4AA25959">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p>
        </w:tc>
        <w:tc>
          <w:tcPr>
            <w:tcW w:w="1224" w:type="dxa"/>
            <w:vMerge w:val="continue"/>
            <w:noWrap w:val="0"/>
            <w:vAlign w:val="center"/>
          </w:tcPr>
          <w:p w14:paraId="66246FB6">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p>
        </w:tc>
      </w:tr>
      <w:tr w14:paraId="398B2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8" w:type="dxa"/>
            <w:noWrap w:val="0"/>
            <w:vAlign w:val="center"/>
          </w:tcPr>
          <w:p w14:paraId="622BD627">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D</w:t>
            </w:r>
          </w:p>
        </w:tc>
        <w:tc>
          <w:tcPr>
            <w:tcW w:w="3910" w:type="dxa"/>
            <w:noWrap w:val="0"/>
            <w:vAlign w:val="center"/>
          </w:tcPr>
          <w:p w14:paraId="2EBD53E9">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蛋类</w:t>
            </w:r>
          </w:p>
        </w:tc>
        <w:tc>
          <w:tcPr>
            <w:tcW w:w="1528" w:type="dxa"/>
            <w:vMerge w:val="continue"/>
            <w:noWrap w:val="0"/>
            <w:vAlign w:val="center"/>
          </w:tcPr>
          <w:p w14:paraId="6E5A13FF">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p>
        </w:tc>
        <w:tc>
          <w:tcPr>
            <w:tcW w:w="1223" w:type="dxa"/>
            <w:vMerge w:val="continue"/>
            <w:noWrap w:val="0"/>
            <w:vAlign w:val="center"/>
          </w:tcPr>
          <w:p w14:paraId="23A01961">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p>
        </w:tc>
        <w:tc>
          <w:tcPr>
            <w:tcW w:w="1224" w:type="dxa"/>
            <w:vMerge w:val="continue"/>
            <w:noWrap w:val="0"/>
            <w:vAlign w:val="center"/>
          </w:tcPr>
          <w:p w14:paraId="538EB66C">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p>
        </w:tc>
      </w:tr>
      <w:tr w14:paraId="126F9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8" w:type="dxa"/>
            <w:noWrap w:val="0"/>
            <w:vAlign w:val="center"/>
          </w:tcPr>
          <w:p w14:paraId="36D3BFBA">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E</w:t>
            </w:r>
          </w:p>
        </w:tc>
        <w:tc>
          <w:tcPr>
            <w:tcW w:w="3910" w:type="dxa"/>
            <w:noWrap w:val="0"/>
            <w:vAlign w:val="center"/>
          </w:tcPr>
          <w:p w14:paraId="46A225CF">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水产类</w:t>
            </w:r>
          </w:p>
        </w:tc>
        <w:tc>
          <w:tcPr>
            <w:tcW w:w="1528" w:type="dxa"/>
            <w:vMerge w:val="continue"/>
            <w:noWrap w:val="0"/>
            <w:vAlign w:val="center"/>
          </w:tcPr>
          <w:p w14:paraId="5317F002">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p>
        </w:tc>
        <w:tc>
          <w:tcPr>
            <w:tcW w:w="1223" w:type="dxa"/>
            <w:vMerge w:val="continue"/>
            <w:noWrap w:val="0"/>
            <w:vAlign w:val="center"/>
          </w:tcPr>
          <w:p w14:paraId="48181E79">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p>
        </w:tc>
        <w:tc>
          <w:tcPr>
            <w:tcW w:w="1224" w:type="dxa"/>
            <w:vMerge w:val="continue"/>
            <w:noWrap w:val="0"/>
            <w:vAlign w:val="center"/>
          </w:tcPr>
          <w:p w14:paraId="2D8AA5A2">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p>
        </w:tc>
      </w:tr>
      <w:tr w14:paraId="35EF8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8" w:type="dxa"/>
            <w:noWrap w:val="0"/>
            <w:vAlign w:val="center"/>
          </w:tcPr>
          <w:p w14:paraId="3973EF98">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F</w:t>
            </w:r>
          </w:p>
        </w:tc>
        <w:tc>
          <w:tcPr>
            <w:tcW w:w="3910" w:type="dxa"/>
            <w:noWrap w:val="0"/>
            <w:vAlign w:val="center"/>
          </w:tcPr>
          <w:p w14:paraId="3675269E">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肉类（包含腌制品）</w:t>
            </w:r>
          </w:p>
        </w:tc>
        <w:tc>
          <w:tcPr>
            <w:tcW w:w="1528" w:type="dxa"/>
            <w:vMerge w:val="continue"/>
            <w:noWrap w:val="0"/>
            <w:vAlign w:val="center"/>
          </w:tcPr>
          <w:p w14:paraId="4F593ED9">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p>
        </w:tc>
        <w:tc>
          <w:tcPr>
            <w:tcW w:w="1223" w:type="dxa"/>
            <w:vMerge w:val="continue"/>
            <w:noWrap w:val="0"/>
            <w:vAlign w:val="center"/>
          </w:tcPr>
          <w:p w14:paraId="6E07A463">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p>
        </w:tc>
        <w:tc>
          <w:tcPr>
            <w:tcW w:w="1224" w:type="dxa"/>
            <w:vMerge w:val="continue"/>
            <w:noWrap w:val="0"/>
            <w:vAlign w:val="center"/>
          </w:tcPr>
          <w:p w14:paraId="4AA8BB6B">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p>
        </w:tc>
      </w:tr>
      <w:tr w14:paraId="6BF11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8" w:type="dxa"/>
            <w:noWrap w:val="0"/>
            <w:vAlign w:val="center"/>
          </w:tcPr>
          <w:p w14:paraId="6740DB93">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G</w:t>
            </w:r>
          </w:p>
        </w:tc>
        <w:tc>
          <w:tcPr>
            <w:tcW w:w="3910" w:type="dxa"/>
            <w:noWrap w:val="0"/>
            <w:vAlign w:val="center"/>
          </w:tcPr>
          <w:p w14:paraId="00CCD4D7">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禽类（包含腌制品）</w:t>
            </w:r>
          </w:p>
        </w:tc>
        <w:tc>
          <w:tcPr>
            <w:tcW w:w="1528" w:type="dxa"/>
            <w:vMerge w:val="continue"/>
            <w:noWrap w:val="0"/>
            <w:vAlign w:val="center"/>
          </w:tcPr>
          <w:p w14:paraId="776309BC">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p>
        </w:tc>
        <w:tc>
          <w:tcPr>
            <w:tcW w:w="1223" w:type="dxa"/>
            <w:vMerge w:val="continue"/>
            <w:noWrap w:val="0"/>
            <w:vAlign w:val="center"/>
          </w:tcPr>
          <w:p w14:paraId="023EEDE7">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p>
        </w:tc>
        <w:tc>
          <w:tcPr>
            <w:tcW w:w="1224" w:type="dxa"/>
            <w:vMerge w:val="continue"/>
            <w:noWrap w:val="0"/>
            <w:vAlign w:val="center"/>
          </w:tcPr>
          <w:p w14:paraId="051B9091">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p>
        </w:tc>
      </w:tr>
      <w:tr w14:paraId="2D278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8" w:type="dxa"/>
            <w:noWrap w:val="0"/>
            <w:vAlign w:val="center"/>
          </w:tcPr>
          <w:p w14:paraId="0ED678DF">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H</w:t>
            </w:r>
          </w:p>
        </w:tc>
        <w:tc>
          <w:tcPr>
            <w:tcW w:w="3910" w:type="dxa"/>
            <w:noWrap w:val="0"/>
            <w:vAlign w:val="center"/>
          </w:tcPr>
          <w:p w14:paraId="2828639E">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干货类</w:t>
            </w:r>
          </w:p>
        </w:tc>
        <w:tc>
          <w:tcPr>
            <w:tcW w:w="1528" w:type="dxa"/>
            <w:vMerge w:val="continue"/>
            <w:noWrap w:val="0"/>
            <w:vAlign w:val="center"/>
          </w:tcPr>
          <w:p w14:paraId="320DD871">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p>
        </w:tc>
        <w:tc>
          <w:tcPr>
            <w:tcW w:w="1223" w:type="dxa"/>
            <w:vMerge w:val="continue"/>
            <w:noWrap w:val="0"/>
            <w:vAlign w:val="center"/>
          </w:tcPr>
          <w:p w14:paraId="427A3417">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p>
        </w:tc>
        <w:tc>
          <w:tcPr>
            <w:tcW w:w="1224" w:type="dxa"/>
            <w:vMerge w:val="continue"/>
            <w:noWrap w:val="0"/>
            <w:vAlign w:val="center"/>
          </w:tcPr>
          <w:p w14:paraId="52D3C370">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p>
        </w:tc>
      </w:tr>
    </w:tbl>
    <w:p w14:paraId="24EB13AA">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firstLine="0" w:firstLineChars="0"/>
        <w:jc w:val="center"/>
        <w:rPr>
          <w:rFonts w:hint="eastAsia" w:eastAsia="宋体" w:cs="宋体"/>
          <w:b/>
          <w:bCs/>
          <w:sz w:val="24"/>
          <w:szCs w:val="24"/>
          <w:highlight w:val="none"/>
          <w:lang w:val="en-US" w:eastAsia="zh-CN"/>
        </w:rPr>
      </w:pPr>
    </w:p>
    <w:p w14:paraId="09D6B9A5">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firstLine="0" w:firstLineChars="0"/>
        <w:jc w:val="both"/>
        <w:rPr>
          <w:rFonts w:hint="eastAsia" w:eastAsia="宋体" w:cs="宋体"/>
          <w:b/>
          <w:bCs/>
          <w:sz w:val="24"/>
          <w:szCs w:val="24"/>
          <w:highlight w:val="none"/>
          <w:lang w:val="en-US" w:eastAsia="zh-CN"/>
        </w:rPr>
      </w:pPr>
      <w:r>
        <w:rPr>
          <w:rFonts w:hint="eastAsia" w:eastAsia="宋体" w:cs="宋体"/>
          <w:b/>
          <w:bCs/>
          <w:sz w:val="24"/>
          <w:szCs w:val="24"/>
          <w:highlight w:val="none"/>
          <w:lang w:val="en-US" w:eastAsia="zh-CN"/>
        </w:rPr>
        <w:t>标项三：换购</w:t>
      </w:r>
      <w:r>
        <w:rPr>
          <w:rFonts w:hint="eastAsia" w:cs="宋体"/>
          <w:b/>
          <w:bCs/>
          <w:sz w:val="24"/>
          <w:szCs w:val="24"/>
          <w:highlight w:val="none"/>
          <w:lang w:val="en-US" w:eastAsia="zh-CN"/>
        </w:rPr>
        <w:t>及食堂</w:t>
      </w:r>
      <w:r>
        <w:rPr>
          <w:rFonts w:hint="eastAsia" w:eastAsia="宋体" w:cs="宋体"/>
          <w:b/>
          <w:bCs/>
          <w:sz w:val="24"/>
          <w:szCs w:val="24"/>
          <w:highlight w:val="none"/>
          <w:lang w:val="en-US" w:eastAsia="zh-CN"/>
        </w:rPr>
        <w:t>主副食采购</w:t>
      </w:r>
      <w:r>
        <w:rPr>
          <w:rFonts w:hint="eastAsia" w:cs="宋体"/>
          <w:b/>
          <w:bCs/>
          <w:sz w:val="24"/>
          <w:szCs w:val="24"/>
          <w:highlight w:val="none"/>
          <w:lang w:val="en-US" w:eastAsia="zh-CN"/>
        </w:rPr>
        <w:t>等</w:t>
      </w:r>
      <w:r>
        <w:rPr>
          <w:rFonts w:hint="eastAsia" w:eastAsia="宋体" w:cs="宋体"/>
          <w:b/>
          <w:bCs/>
          <w:sz w:val="24"/>
          <w:szCs w:val="24"/>
          <w:highlight w:val="none"/>
          <w:lang w:val="en-US" w:eastAsia="zh-CN"/>
        </w:rPr>
        <w:t>（种类仅供参考，以实际供货为主，一年需求量）</w:t>
      </w:r>
    </w:p>
    <w:tbl>
      <w:tblPr>
        <w:tblStyle w:val="5"/>
        <w:tblW w:w="9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4840"/>
        <w:gridCol w:w="1535"/>
        <w:gridCol w:w="1202"/>
        <w:gridCol w:w="1202"/>
      </w:tblGrid>
      <w:tr w14:paraId="26AB1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86" w:type="dxa"/>
            <w:noWrap w:val="0"/>
            <w:vAlign w:val="center"/>
          </w:tcPr>
          <w:p w14:paraId="3AB5B458">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名称</w:t>
            </w:r>
          </w:p>
        </w:tc>
        <w:tc>
          <w:tcPr>
            <w:tcW w:w="4840" w:type="dxa"/>
            <w:noWrap w:val="0"/>
            <w:vAlign w:val="center"/>
          </w:tcPr>
          <w:p w14:paraId="18218E64">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种类</w:t>
            </w:r>
          </w:p>
        </w:tc>
        <w:tc>
          <w:tcPr>
            <w:tcW w:w="1535" w:type="dxa"/>
            <w:noWrap w:val="0"/>
            <w:vAlign w:val="center"/>
          </w:tcPr>
          <w:p w14:paraId="09CA3449">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预算价</w:t>
            </w:r>
          </w:p>
        </w:tc>
        <w:tc>
          <w:tcPr>
            <w:tcW w:w="1202" w:type="dxa"/>
            <w:noWrap w:val="0"/>
            <w:vAlign w:val="center"/>
          </w:tcPr>
          <w:p w14:paraId="7332B6D5">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default" w:eastAsia="宋体" w:cs="宋体"/>
                <w:b w:val="0"/>
                <w:bCs w:val="0"/>
                <w:sz w:val="24"/>
                <w:szCs w:val="24"/>
                <w:highlight w:val="none"/>
                <w:lang w:val="en-US" w:eastAsia="zh-CN"/>
              </w:rPr>
            </w:pPr>
            <w:r>
              <w:rPr>
                <w:rFonts w:hint="eastAsia" w:cs="宋体"/>
                <w:b w:val="0"/>
                <w:bCs w:val="0"/>
                <w:sz w:val="24"/>
                <w:szCs w:val="24"/>
                <w:highlight w:val="none"/>
                <w:lang w:val="en-US" w:eastAsia="zh-CN"/>
              </w:rPr>
              <w:t>单位</w:t>
            </w:r>
          </w:p>
        </w:tc>
        <w:tc>
          <w:tcPr>
            <w:tcW w:w="1202" w:type="dxa"/>
            <w:noWrap w:val="0"/>
            <w:vAlign w:val="center"/>
          </w:tcPr>
          <w:p w14:paraId="673A704E">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default" w:eastAsia="宋体" w:cs="宋体"/>
                <w:b w:val="0"/>
                <w:bCs w:val="0"/>
                <w:sz w:val="24"/>
                <w:szCs w:val="24"/>
                <w:highlight w:val="none"/>
                <w:lang w:val="en-US" w:eastAsia="zh-CN"/>
              </w:rPr>
            </w:pPr>
            <w:r>
              <w:rPr>
                <w:rFonts w:hint="eastAsia" w:cs="宋体"/>
                <w:b w:val="0"/>
                <w:bCs w:val="0"/>
                <w:sz w:val="24"/>
                <w:szCs w:val="24"/>
                <w:highlight w:val="none"/>
                <w:lang w:val="en-US" w:eastAsia="zh-CN"/>
              </w:rPr>
              <w:t>数量</w:t>
            </w:r>
          </w:p>
        </w:tc>
      </w:tr>
      <w:tr w14:paraId="77468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86" w:type="dxa"/>
            <w:noWrap w:val="0"/>
            <w:vAlign w:val="center"/>
          </w:tcPr>
          <w:p w14:paraId="06C5CAB1">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米</w:t>
            </w:r>
          </w:p>
        </w:tc>
        <w:tc>
          <w:tcPr>
            <w:tcW w:w="4840" w:type="dxa"/>
            <w:noWrap w:val="0"/>
            <w:vAlign w:val="center"/>
          </w:tcPr>
          <w:p w14:paraId="11DFD7B6">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各类大米</w:t>
            </w:r>
          </w:p>
        </w:tc>
        <w:tc>
          <w:tcPr>
            <w:tcW w:w="1535" w:type="dxa"/>
            <w:vMerge w:val="restart"/>
            <w:noWrap w:val="0"/>
            <w:vAlign w:val="center"/>
          </w:tcPr>
          <w:p w14:paraId="41D0F054">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配送物资的预算价均为周边大中型超市的最低价格（由采购人组织询价小组采集价格）</w:t>
            </w:r>
          </w:p>
        </w:tc>
        <w:tc>
          <w:tcPr>
            <w:tcW w:w="1202" w:type="dxa"/>
            <w:vMerge w:val="restart"/>
            <w:noWrap w:val="0"/>
            <w:vAlign w:val="center"/>
          </w:tcPr>
          <w:p w14:paraId="341CA00B">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盒、瓶、罐、袋、箱</w:t>
            </w:r>
          </w:p>
        </w:tc>
        <w:tc>
          <w:tcPr>
            <w:tcW w:w="1202" w:type="dxa"/>
            <w:vMerge w:val="restart"/>
            <w:noWrap w:val="0"/>
            <w:vAlign w:val="center"/>
          </w:tcPr>
          <w:p w14:paraId="0784C17A">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按实结算</w:t>
            </w:r>
          </w:p>
        </w:tc>
      </w:tr>
      <w:tr w14:paraId="4EEC5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86" w:type="dxa"/>
            <w:noWrap w:val="0"/>
            <w:vAlign w:val="center"/>
          </w:tcPr>
          <w:p w14:paraId="77D6A386">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面食类</w:t>
            </w:r>
          </w:p>
        </w:tc>
        <w:tc>
          <w:tcPr>
            <w:tcW w:w="4840" w:type="dxa"/>
            <w:noWrap w:val="0"/>
            <w:vAlign w:val="center"/>
          </w:tcPr>
          <w:p w14:paraId="58B66BCD">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面粉、面包、馒头、馄饨、水饺、发糕、小米糕、手抓饼、油条、麻球、方便面等。</w:t>
            </w:r>
          </w:p>
        </w:tc>
        <w:tc>
          <w:tcPr>
            <w:tcW w:w="1535" w:type="dxa"/>
            <w:vMerge w:val="continue"/>
            <w:noWrap w:val="0"/>
            <w:vAlign w:val="center"/>
          </w:tcPr>
          <w:p w14:paraId="2CC5B80E">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p>
        </w:tc>
        <w:tc>
          <w:tcPr>
            <w:tcW w:w="1202" w:type="dxa"/>
            <w:vMerge w:val="continue"/>
            <w:noWrap w:val="0"/>
            <w:vAlign w:val="center"/>
          </w:tcPr>
          <w:p w14:paraId="7E664BE8">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p>
        </w:tc>
        <w:tc>
          <w:tcPr>
            <w:tcW w:w="1202" w:type="dxa"/>
            <w:vMerge w:val="continue"/>
            <w:noWrap w:val="0"/>
            <w:vAlign w:val="center"/>
          </w:tcPr>
          <w:p w14:paraId="1108D44A">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p>
        </w:tc>
      </w:tr>
      <w:tr w14:paraId="72257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86" w:type="dxa"/>
            <w:noWrap w:val="0"/>
            <w:vAlign w:val="center"/>
          </w:tcPr>
          <w:p w14:paraId="1E332692">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油</w:t>
            </w:r>
          </w:p>
        </w:tc>
        <w:tc>
          <w:tcPr>
            <w:tcW w:w="4840" w:type="dxa"/>
            <w:noWrap w:val="0"/>
            <w:vAlign w:val="center"/>
          </w:tcPr>
          <w:p w14:paraId="16E059A5">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各类食用油</w:t>
            </w:r>
          </w:p>
        </w:tc>
        <w:tc>
          <w:tcPr>
            <w:tcW w:w="1535" w:type="dxa"/>
            <w:vMerge w:val="continue"/>
            <w:noWrap w:val="0"/>
            <w:vAlign w:val="center"/>
          </w:tcPr>
          <w:p w14:paraId="1D5B8A54">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p>
        </w:tc>
        <w:tc>
          <w:tcPr>
            <w:tcW w:w="1202" w:type="dxa"/>
            <w:vMerge w:val="continue"/>
            <w:noWrap w:val="0"/>
            <w:vAlign w:val="center"/>
          </w:tcPr>
          <w:p w14:paraId="46BD4EDF">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p>
        </w:tc>
        <w:tc>
          <w:tcPr>
            <w:tcW w:w="1202" w:type="dxa"/>
            <w:vMerge w:val="continue"/>
            <w:noWrap w:val="0"/>
            <w:vAlign w:val="center"/>
          </w:tcPr>
          <w:p w14:paraId="570CC3F7">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p>
        </w:tc>
      </w:tr>
      <w:tr w14:paraId="31CBF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86" w:type="dxa"/>
            <w:noWrap w:val="0"/>
            <w:vAlign w:val="center"/>
          </w:tcPr>
          <w:p w14:paraId="2A23D2CC">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调味品</w:t>
            </w:r>
          </w:p>
        </w:tc>
        <w:tc>
          <w:tcPr>
            <w:tcW w:w="4840" w:type="dxa"/>
            <w:noWrap w:val="0"/>
            <w:vAlign w:val="center"/>
          </w:tcPr>
          <w:p w14:paraId="17AEA0D4">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生粉、黄酒、生抽、老抽、白糖、醋、盐、酵母、黄豆酱、雪菜、海鲜酱、蚝油、鸡精、胡椒粉、鸡汁、排骨酱、黄油、奶油、火腿肠、辣椒酱等。</w:t>
            </w:r>
          </w:p>
        </w:tc>
        <w:tc>
          <w:tcPr>
            <w:tcW w:w="1535" w:type="dxa"/>
            <w:vMerge w:val="continue"/>
            <w:noWrap w:val="0"/>
            <w:vAlign w:val="center"/>
          </w:tcPr>
          <w:p w14:paraId="1E1B3462">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p>
        </w:tc>
        <w:tc>
          <w:tcPr>
            <w:tcW w:w="1202" w:type="dxa"/>
            <w:vMerge w:val="continue"/>
            <w:noWrap w:val="0"/>
            <w:vAlign w:val="center"/>
          </w:tcPr>
          <w:p w14:paraId="77A7FC2E">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p>
        </w:tc>
        <w:tc>
          <w:tcPr>
            <w:tcW w:w="1202" w:type="dxa"/>
            <w:vMerge w:val="continue"/>
            <w:noWrap w:val="0"/>
            <w:vAlign w:val="center"/>
          </w:tcPr>
          <w:p w14:paraId="0676626A">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p>
        </w:tc>
      </w:tr>
      <w:tr w14:paraId="00F9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86" w:type="dxa"/>
            <w:noWrap w:val="0"/>
            <w:vAlign w:val="center"/>
          </w:tcPr>
          <w:p w14:paraId="5F9F3115">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饮料/奶制品</w:t>
            </w:r>
          </w:p>
        </w:tc>
        <w:tc>
          <w:tcPr>
            <w:tcW w:w="4840" w:type="dxa"/>
            <w:noWrap w:val="0"/>
            <w:vAlign w:val="center"/>
          </w:tcPr>
          <w:p w14:paraId="17B6B494">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鲜奶、酸奶、纯牛奶、旺仔、椰树椰汁、可乐、雪碧、矿泉水、豆浆粉（无糖）、老酸奶、早餐奶等。</w:t>
            </w:r>
          </w:p>
        </w:tc>
        <w:tc>
          <w:tcPr>
            <w:tcW w:w="1535" w:type="dxa"/>
            <w:vMerge w:val="continue"/>
            <w:noWrap w:val="0"/>
            <w:vAlign w:val="center"/>
          </w:tcPr>
          <w:p w14:paraId="7CE6828E">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p>
        </w:tc>
        <w:tc>
          <w:tcPr>
            <w:tcW w:w="1202" w:type="dxa"/>
            <w:vMerge w:val="continue"/>
            <w:noWrap w:val="0"/>
            <w:vAlign w:val="center"/>
          </w:tcPr>
          <w:p w14:paraId="2E5610BF">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p>
        </w:tc>
        <w:tc>
          <w:tcPr>
            <w:tcW w:w="1202" w:type="dxa"/>
            <w:vMerge w:val="continue"/>
            <w:noWrap w:val="0"/>
            <w:vAlign w:val="center"/>
          </w:tcPr>
          <w:p w14:paraId="16D8BFB9">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p>
        </w:tc>
      </w:tr>
      <w:tr w14:paraId="18340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86" w:type="dxa"/>
            <w:noWrap w:val="0"/>
            <w:vAlign w:val="center"/>
          </w:tcPr>
          <w:p w14:paraId="3564A4CC">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预包装食材</w:t>
            </w:r>
          </w:p>
        </w:tc>
        <w:tc>
          <w:tcPr>
            <w:tcW w:w="4840" w:type="dxa"/>
            <w:noWrap w:val="0"/>
            <w:vAlign w:val="center"/>
          </w:tcPr>
          <w:p w14:paraId="366AA9AB">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预包装食品如：饼干、面包、坚果、膨化食品、零食、预制肉类、腌制品、冷饮等。</w:t>
            </w:r>
          </w:p>
        </w:tc>
        <w:tc>
          <w:tcPr>
            <w:tcW w:w="1535" w:type="dxa"/>
            <w:vMerge w:val="continue"/>
            <w:noWrap w:val="0"/>
            <w:vAlign w:val="center"/>
          </w:tcPr>
          <w:p w14:paraId="526F2727">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p>
        </w:tc>
        <w:tc>
          <w:tcPr>
            <w:tcW w:w="1202" w:type="dxa"/>
            <w:vMerge w:val="continue"/>
            <w:noWrap w:val="0"/>
            <w:vAlign w:val="center"/>
          </w:tcPr>
          <w:p w14:paraId="53A1F3B7">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p>
        </w:tc>
        <w:tc>
          <w:tcPr>
            <w:tcW w:w="1202" w:type="dxa"/>
            <w:vMerge w:val="continue"/>
            <w:noWrap w:val="0"/>
            <w:vAlign w:val="center"/>
          </w:tcPr>
          <w:p w14:paraId="3C66EE33">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p>
        </w:tc>
      </w:tr>
      <w:tr w14:paraId="1877D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86" w:type="dxa"/>
            <w:noWrap w:val="0"/>
            <w:vAlign w:val="center"/>
          </w:tcPr>
          <w:p w14:paraId="76BB35F1">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水果</w:t>
            </w:r>
          </w:p>
        </w:tc>
        <w:tc>
          <w:tcPr>
            <w:tcW w:w="4840" w:type="dxa"/>
            <w:noWrap w:val="0"/>
            <w:vAlign w:val="center"/>
          </w:tcPr>
          <w:p w14:paraId="377BD97E">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散装水果、箱装水果、果篮等。</w:t>
            </w:r>
          </w:p>
        </w:tc>
        <w:tc>
          <w:tcPr>
            <w:tcW w:w="1535" w:type="dxa"/>
            <w:vMerge w:val="continue"/>
            <w:noWrap w:val="0"/>
            <w:vAlign w:val="center"/>
          </w:tcPr>
          <w:p w14:paraId="24B60CC9">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p>
        </w:tc>
        <w:tc>
          <w:tcPr>
            <w:tcW w:w="1202" w:type="dxa"/>
            <w:vMerge w:val="continue"/>
            <w:noWrap w:val="0"/>
            <w:vAlign w:val="center"/>
          </w:tcPr>
          <w:p w14:paraId="162A7239">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p>
        </w:tc>
        <w:tc>
          <w:tcPr>
            <w:tcW w:w="1202" w:type="dxa"/>
            <w:vMerge w:val="continue"/>
            <w:noWrap w:val="0"/>
            <w:vAlign w:val="center"/>
          </w:tcPr>
          <w:p w14:paraId="51EDF934">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p>
        </w:tc>
      </w:tr>
      <w:tr w14:paraId="5A96E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86" w:type="dxa"/>
            <w:noWrap w:val="0"/>
            <w:vAlign w:val="center"/>
          </w:tcPr>
          <w:p w14:paraId="1B5E09AF">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default"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厨房</w:t>
            </w:r>
            <w:r>
              <w:rPr>
                <w:rFonts w:hint="eastAsia" w:cs="宋体"/>
                <w:b w:val="0"/>
                <w:bCs w:val="0"/>
                <w:sz w:val="24"/>
                <w:szCs w:val="24"/>
                <w:highlight w:val="none"/>
                <w:lang w:val="en-US" w:eastAsia="zh-CN"/>
              </w:rPr>
              <w:t>配材及西点</w:t>
            </w:r>
          </w:p>
        </w:tc>
        <w:tc>
          <w:tcPr>
            <w:tcW w:w="4840" w:type="dxa"/>
            <w:noWrap w:val="0"/>
            <w:vAlign w:val="center"/>
          </w:tcPr>
          <w:p w14:paraId="10ED6CB9">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一次性餐盒、包装袋、筷子、勺子；洗涤用品、纸巾等易耗用品、西点配料等</w:t>
            </w:r>
          </w:p>
        </w:tc>
        <w:tc>
          <w:tcPr>
            <w:tcW w:w="1535" w:type="dxa"/>
            <w:vMerge w:val="continue"/>
            <w:noWrap w:val="0"/>
            <w:vAlign w:val="center"/>
          </w:tcPr>
          <w:p w14:paraId="271EAB54">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p>
        </w:tc>
        <w:tc>
          <w:tcPr>
            <w:tcW w:w="1202" w:type="dxa"/>
            <w:vMerge w:val="continue"/>
            <w:noWrap w:val="0"/>
            <w:vAlign w:val="center"/>
          </w:tcPr>
          <w:p w14:paraId="1BEE3C55">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p>
        </w:tc>
        <w:tc>
          <w:tcPr>
            <w:tcW w:w="1202" w:type="dxa"/>
            <w:vMerge w:val="continue"/>
            <w:noWrap w:val="0"/>
            <w:vAlign w:val="center"/>
          </w:tcPr>
          <w:p w14:paraId="4FD14416">
            <w:pPr>
              <w:pStyle w:val="3"/>
              <w:keepNext w:val="0"/>
              <w:keepLines w:val="0"/>
              <w:pageBreakBefore w:val="0"/>
              <w:widowControl w:val="0"/>
              <w:kinsoku/>
              <w:wordWrap w:val="0"/>
              <w:overflowPunct/>
              <w:topLinePunct/>
              <w:autoSpaceDE/>
              <w:autoSpaceDN/>
              <w:bidi w:val="0"/>
              <w:adjustRightInd w:val="0"/>
              <w:snapToGrid w:val="0"/>
              <w:spacing w:line="240" w:lineRule="auto"/>
              <w:ind w:left="0" w:leftChars="0" w:firstLine="0" w:firstLineChars="0"/>
              <w:jc w:val="center"/>
              <w:rPr>
                <w:rFonts w:hint="eastAsia" w:eastAsia="宋体" w:cs="宋体"/>
                <w:b w:val="0"/>
                <w:bCs w:val="0"/>
                <w:sz w:val="24"/>
                <w:szCs w:val="24"/>
                <w:highlight w:val="none"/>
                <w:lang w:val="en-US" w:eastAsia="zh-CN"/>
              </w:rPr>
            </w:pPr>
          </w:p>
        </w:tc>
      </w:tr>
    </w:tbl>
    <w:p w14:paraId="5DA37CD3">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firstLine="0" w:firstLineChars="0"/>
        <w:jc w:val="both"/>
        <w:rPr>
          <w:rFonts w:hint="eastAsia" w:eastAsia="宋体" w:cs="宋体"/>
          <w:b w:val="0"/>
          <w:bCs w:val="0"/>
          <w:sz w:val="24"/>
          <w:szCs w:val="24"/>
          <w:highlight w:val="none"/>
          <w:lang w:val="en-US" w:eastAsia="zh-CN"/>
        </w:rPr>
      </w:pPr>
    </w:p>
    <w:p w14:paraId="2251A786">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firstLine="0" w:firstLineChars="0"/>
        <w:jc w:val="both"/>
        <w:rPr>
          <w:rFonts w:hint="eastAsia" w:eastAsia="宋体" w:cs="宋体"/>
          <w:b/>
          <w:bCs/>
          <w:sz w:val="24"/>
          <w:szCs w:val="24"/>
          <w:highlight w:val="none"/>
          <w:lang w:val="en-US" w:eastAsia="zh-CN"/>
        </w:rPr>
      </w:pPr>
      <w:r>
        <w:rPr>
          <w:rFonts w:hint="eastAsia" w:eastAsia="宋体" w:cs="宋体"/>
          <w:b/>
          <w:bCs/>
          <w:sz w:val="24"/>
          <w:szCs w:val="24"/>
          <w:highlight w:val="none"/>
          <w:lang w:val="en-US" w:eastAsia="zh-CN"/>
        </w:rPr>
        <w:t>三、配送要求：</w:t>
      </w:r>
    </w:p>
    <w:p w14:paraId="25CB0962">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firstLine="480" w:firstLineChars="200"/>
        <w:jc w:val="both"/>
        <w:rPr>
          <w:rFonts w:hint="eastAsia" w:eastAsia="宋体" w:cs="宋体"/>
          <w:b w:val="0"/>
          <w:bCs w:val="0"/>
          <w:sz w:val="24"/>
          <w:szCs w:val="24"/>
          <w:highlight w:val="none"/>
          <w:lang w:val="en-US" w:eastAsia="zh-CN"/>
        </w:rPr>
      </w:pPr>
      <w:r>
        <w:rPr>
          <w:rFonts w:hint="eastAsia" w:eastAsia="宋体" w:cs="宋体"/>
          <w:b w:val="0"/>
          <w:bCs w:val="0"/>
          <w:sz w:val="24"/>
          <w:szCs w:val="24"/>
          <w:highlight w:val="none"/>
          <w:lang w:val="en-US" w:eastAsia="zh-CN"/>
        </w:rPr>
        <w:t>为加强菜品价格和质量控制，形成良性竞争，提高职工满意度，本项目共有三个标项。</w:t>
      </w:r>
    </w:p>
    <w:p w14:paraId="7DACD605">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firstLine="480" w:firstLineChars="200"/>
        <w:jc w:val="both"/>
        <w:rPr>
          <w:rFonts w:hint="eastAsia" w:eastAsia="宋体" w:cs="宋体"/>
          <w:b/>
          <w:bCs/>
          <w:sz w:val="24"/>
          <w:szCs w:val="24"/>
          <w:highlight w:val="none"/>
          <w:lang w:val="en-US" w:eastAsia="zh-CN"/>
        </w:rPr>
      </w:pPr>
      <w:r>
        <w:rPr>
          <w:rFonts w:hint="eastAsia" w:eastAsia="宋体" w:cs="宋体"/>
          <w:b w:val="0"/>
          <w:bCs w:val="0"/>
          <w:sz w:val="24"/>
          <w:szCs w:val="24"/>
          <w:highlight w:val="none"/>
          <w:lang w:val="en-US" w:eastAsia="zh-CN"/>
        </w:rPr>
        <w:t>标项一、标项二中的蔬菜、水产、肉类、禽蛋类、冷冻类等以月为单位由标项一、二两家中标方</w:t>
      </w:r>
      <w:r>
        <w:rPr>
          <w:rFonts w:hint="eastAsia" w:eastAsia="宋体" w:cs="宋体"/>
          <w:b/>
          <w:bCs/>
          <w:sz w:val="24"/>
          <w:szCs w:val="24"/>
          <w:highlight w:val="none"/>
          <w:lang w:val="en-US" w:eastAsia="zh-CN"/>
        </w:rPr>
        <w:t>交替配送</w:t>
      </w:r>
      <w:r>
        <w:rPr>
          <w:rFonts w:hint="eastAsia" w:eastAsia="宋体" w:cs="宋体"/>
          <w:b w:val="0"/>
          <w:bCs w:val="0"/>
          <w:sz w:val="24"/>
          <w:szCs w:val="24"/>
          <w:highlight w:val="none"/>
          <w:lang w:val="en-US" w:eastAsia="zh-CN"/>
        </w:rPr>
        <w:t>，采购人每月对配送商进行评估考核，不合格的，将暂停一个月配送，</w:t>
      </w:r>
      <w:r>
        <w:rPr>
          <w:rFonts w:hint="eastAsia" w:eastAsia="宋体" w:cs="宋体"/>
          <w:b w:val="0"/>
          <w:bCs w:val="0"/>
          <w:sz w:val="24"/>
          <w:szCs w:val="24"/>
          <w:highlight w:val="green"/>
          <w:lang w:val="en-US" w:eastAsia="zh-CN"/>
        </w:rPr>
        <w:t>由另一家代替配送</w:t>
      </w:r>
      <w:r>
        <w:rPr>
          <w:rFonts w:hint="eastAsia" w:eastAsia="宋体" w:cs="宋体"/>
          <w:b w:val="0"/>
          <w:bCs w:val="0"/>
          <w:sz w:val="24"/>
          <w:szCs w:val="24"/>
          <w:highlight w:val="none"/>
          <w:lang w:val="en-US" w:eastAsia="zh-CN"/>
        </w:rPr>
        <w:t>，直至承诺整改完成后恢复。标项三为</w:t>
      </w:r>
      <w:r>
        <w:rPr>
          <w:rFonts w:hint="eastAsia" w:eastAsia="宋体" w:cs="宋体"/>
          <w:b/>
          <w:bCs/>
          <w:sz w:val="24"/>
          <w:szCs w:val="24"/>
          <w:highlight w:val="none"/>
          <w:lang w:val="en-US" w:eastAsia="zh-CN"/>
        </w:rPr>
        <w:t>换购</w:t>
      </w:r>
      <w:r>
        <w:rPr>
          <w:rFonts w:hint="eastAsia" w:cs="宋体"/>
          <w:b/>
          <w:bCs/>
          <w:sz w:val="24"/>
          <w:szCs w:val="24"/>
          <w:highlight w:val="none"/>
          <w:lang w:val="en-US" w:eastAsia="zh-CN"/>
        </w:rPr>
        <w:t>及食堂</w:t>
      </w:r>
      <w:r>
        <w:rPr>
          <w:rFonts w:hint="eastAsia" w:eastAsia="宋体" w:cs="宋体"/>
          <w:b/>
          <w:bCs/>
          <w:sz w:val="24"/>
          <w:szCs w:val="24"/>
          <w:highlight w:val="none"/>
          <w:lang w:val="en-US" w:eastAsia="zh-CN"/>
        </w:rPr>
        <w:t>主副食采购</w:t>
      </w:r>
      <w:r>
        <w:rPr>
          <w:rFonts w:hint="eastAsia" w:eastAsia="宋体" w:cs="宋体"/>
          <w:b w:val="0"/>
          <w:bCs w:val="0"/>
          <w:sz w:val="24"/>
          <w:szCs w:val="24"/>
          <w:highlight w:val="none"/>
          <w:lang w:val="en-US" w:eastAsia="zh-CN"/>
        </w:rPr>
        <w:t>，对应标项内清单由中标方按月配送。</w:t>
      </w:r>
    </w:p>
    <w:p w14:paraId="2F8000AD">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firstLine="0" w:firstLineChars="0"/>
        <w:jc w:val="both"/>
        <w:rPr>
          <w:rFonts w:hint="eastAsia" w:eastAsia="宋体" w:cs="宋体"/>
          <w:b/>
          <w:bCs/>
          <w:sz w:val="24"/>
          <w:szCs w:val="24"/>
          <w:highlight w:val="none"/>
          <w:lang w:val="en-US" w:eastAsia="zh-CN"/>
        </w:rPr>
      </w:pPr>
      <w:r>
        <w:rPr>
          <w:rFonts w:hint="eastAsia" w:eastAsia="宋体" w:cs="宋体"/>
          <w:b/>
          <w:bCs/>
          <w:sz w:val="24"/>
          <w:szCs w:val="24"/>
          <w:highlight w:val="none"/>
          <w:lang w:val="en-US" w:eastAsia="zh-CN"/>
        </w:rPr>
        <w:t>四、定价方法：</w:t>
      </w:r>
    </w:p>
    <w:p w14:paraId="64FCAA5A">
      <w:pPr>
        <w:pStyle w:val="3"/>
        <w:bidi w:val="0"/>
        <w:rPr>
          <w:rFonts w:hint="eastAsia"/>
          <w:lang w:val="en-US" w:eastAsia="zh-CN"/>
        </w:rPr>
      </w:pPr>
      <w:r>
        <w:rPr>
          <w:rFonts w:hint="eastAsia"/>
          <w:lang w:val="en-US" w:eastAsia="zh-CN"/>
        </w:rPr>
        <w:t>1、所有配送食堂物资的价格</w:t>
      </w:r>
      <w:r>
        <w:rPr>
          <w:rFonts w:hint="eastAsia"/>
          <w:highlight w:val="green"/>
          <w:lang w:val="en-US" w:eastAsia="zh-CN"/>
        </w:rPr>
        <w:t>由采购人组织询价小组根据采购物资种类到周边大中型农贸市场、周边大中型超市采集价格</w:t>
      </w:r>
      <w:r>
        <w:rPr>
          <w:rFonts w:hint="eastAsia"/>
          <w:lang w:val="en-US" w:eastAsia="zh-CN"/>
        </w:rPr>
        <w:t>，每半月定价一次。</w:t>
      </w:r>
    </w:p>
    <w:p w14:paraId="291CB268">
      <w:pPr>
        <w:pStyle w:val="3"/>
        <w:bidi w:val="0"/>
        <w:rPr>
          <w:rFonts w:hint="eastAsia"/>
          <w:lang w:val="en-US" w:eastAsia="zh-CN"/>
        </w:rPr>
      </w:pPr>
      <w:r>
        <w:rPr>
          <w:rFonts w:hint="eastAsia"/>
          <w:lang w:val="en-US" w:eastAsia="zh-CN"/>
        </w:rPr>
        <w:t>2、在每个结算周期供货完成（月底日），经双方账目核对无误，成交供应商向采购人提交结算金额的全额增值税发票后，采购人在下个月15日前向供货方付款。（如遇节假日顺延）</w:t>
      </w:r>
    </w:p>
    <w:p w14:paraId="77AC24A5">
      <w:pPr>
        <w:pStyle w:val="3"/>
        <w:bidi w:val="0"/>
        <w:rPr>
          <w:rFonts w:hint="eastAsia"/>
          <w:lang w:val="en-US" w:eastAsia="zh-CN"/>
        </w:rPr>
      </w:pPr>
      <w:r>
        <w:rPr>
          <w:rFonts w:hint="eastAsia"/>
          <w:lang w:val="en-US" w:eastAsia="zh-CN"/>
        </w:rPr>
        <w:t>3、配送价格以中标费率*对应预算价*配送数量进行结算。</w:t>
      </w:r>
    </w:p>
    <w:p w14:paraId="6156F106">
      <w:pPr>
        <w:pStyle w:val="3"/>
        <w:bidi w:val="0"/>
        <w:rPr>
          <w:rFonts w:hint="eastAsia"/>
          <w:lang w:val="en-US" w:eastAsia="zh-CN"/>
        </w:rPr>
      </w:pPr>
      <w:r>
        <w:rPr>
          <w:rFonts w:hint="eastAsia"/>
          <w:lang w:val="en-US" w:eastAsia="zh-CN"/>
        </w:rPr>
        <w:t>（例：如中标费率为90.00%，预算价为32.00元/斤，数量为10斤，即结算价=32.00元/斤×90.00%×10斤）（小数点后保留两位小数）。</w:t>
      </w:r>
    </w:p>
    <w:p w14:paraId="26A80254">
      <w:pPr>
        <w:pStyle w:val="3"/>
        <w:bidi w:val="0"/>
        <w:rPr>
          <w:rFonts w:hint="eastAsia" w:eastAsia="宋体" w:cs="宋体"/>
          <w:b/>
          <w:bCs/>
          <w:sz w:val="24"/>
          <w:szCs w:val="24"/>
          <w:highlight w:val="none"/>
          <w:lang w:val="en-US" w:eastAsia="zh-CN"/>
        </w:rPr>
      </w:pPr>
      <w:r>
        <w:rPr>
          <w:rFonts w:hint="eastAsia"/>
          <w:lang w:val="en-US" w:eastAsia="zh-CN"/>
        </w:rPr>
        <w:t>4、配送价格应包含乙方所有税费、成本、利润、运输、装卸、人工费及各类劳保、保险等一切费用。</w:t>
      </w:r>
    </w:p>
    <w:p w14:paraId="1F56CD87">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firstLine="0" w:firstLineChars="0"/>
        <w:jc w:val="both"/>
        <w:rPr>
          <w:rFonts w:hint="eastAsia" w:eastAsia="宋体" w:cs="宋体"/>
          <w:b/>
          <w:bCs/>
          <w:sz w:val="24"/>
          <w:szCs w:val="24"/>
          <w:highlight w:val="none"/>
          <w:lang w:val="en-US" w:eastAsia="zh-CN"/>
        </w:rPr>
      </w:pPr>
      <w:r>
        <w:rPr>
          <w:rFonts w:hint="eastAsia" w:eastAsia="宋体" w:cs="宋体"/>
          <w:b/>
          <w:bCs/>
          <w:sz w:val="24"/>
          <w:szCs w:val="24"/>
          <w:highlight w:val="none"/>
          <w:lang w:val="en-US" w:eastAsia="zh-CN"/>
        </w:rPr>
        <w:t>五、下订单订货：</w:t>
      </w:r>
    </w:p>
    <w:p w14:paraId="2C6C2880">
      <w:pPr>
        <w:pStyle w:val="3"/>
        <w:bidi w:val="0"/>
        <w:rPr>
          <w:rFonts w:hint="eastAsia"/>
          <w:lang w:val="en-US" w:eastAsia="zh-CN"/>
        </w:rPr>
      </w:pPr>
      <w:r>
        <w:rPr>
          <w:rFonts w:hint="eastAsia"/>
          <w:lang w:val="en-US" w:eastAsia="zh-CN"/>
        </w:rPr>
        <w:t>1、采购人每天下午5：00前向供应商下达第二天的订单，采购人以传真或电话方式直接通知供应商，订单内容包括名称、种类、规格、数量、运送时间、送达地点、订单联系人等具体要求。</w:t>
      </w:r>
    </w:p>
    <w:p w14:paraId="42A7E65F">
      <w:pPr>
        <w:pStyle w:val="3"/>
        <w:bidi w:val="0"/>
        <w:rPr>
          <w:rFonts w:hint="eastAsia"/>
          <w:lang w:val="en-US" w:eastAsia="zh-CN"/>
        </w:rPr>
      </w:pPr>
      <w:r>
        <w:rPr>
          <w:rFonts w:hint="eastAsia"/>
          <w:lang w:val="en-US" w:eastAsia="zh-CN"/>
        </w:rPr>
        <w:t>2、临时性的追加订单，供应商应在接到采购人通知后 15 分钟内响应，一小时内完成配送。</w:t>
      </w:r>
    </w:p>
    <w:p w14:paraId="6245F42B">
      <w:pPr>
        <w:pStyle w:val="3"/>
        <w:bidi w:val="0"/>
        <w:rPr>
          <w:rFonts w:hint="eastAsia" w:ascii="宋体" w:hAnsi="宋体" w:eastAsia="宋体" w:cs="宋体"/>
          <w:b/>
          <w:bCs/>
          <w:sz w:val="24"/>
          <w:szCs w:val="24"/>
          <w:highlight w:val="none"/>
          <w:lang w:val="en-US" w:eastAsia="zh-CN"/>
        </w:rPr>
      </w:pPr>
      <w:r>
        <w:rPr>
          <w:rFonts w:hint="eastAsia"/>
          <w:lang w:val="en-US" w:eastAsia="zh-CN"/>
        </w:rPr>
        <w:t>3、供应商接到采购人订单后，个别品种因缺货而无法提供的，供应商应在接到订单当天内及时知会采购人并协商好解决方法。</w:t>
      </w:r>
    </w:p>
    <w:p w14:paraId="7D0850EC">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firstLine="0" w:firstLineChars="0"/>
        <w:jc w:val="both"/>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六、交货要求：</w:t>
      </w:r>
    </w:p>
    <w:p w14:paraId="1BA87D7D">
      <w:pPr>
        <w:pStyle w:val="3"/>
        <w:bidi w:val="0"/>
        <w:rPr>
          <w:rFonts w:hint="eastAsia"/>
          <w:lang w:val="en-US" w:eastAsia="zh-CN"/>
        </w:rPr>
      </w:pPr>
      <w:r>
        <w:rPr>
          <w:rFonts w:hint="eastAsia"/>
          <w:lang w:val="en-US" w:eastAsia="zh-CN"/>
        </w:rPr>
        <w:t>1、供应商每天早上6：30将订单内所有物资送到采购人指定的地点并配送完毕，供应商提供《送货清单》一式两份，双方现场过秤并验收签名，作结算凭证。</w:t>
      </w:r>
    </w:p>
    <w:p w14:paraId="6AFCCE8E">
      <w:pPr>
        <w:pStyle w:val="3"/>
        <w:bidi w:val="0"/>
        <w:rPr>
          <w:rFonts w:hint="eastAsia"/>
          <w:lang w:val="en-US" w:eastAsia="zh-CN"/>
        </w:rPr>
      </w:pPr>
      <w:r>
        <w:rPr>
          <w:rFonts w:hint="eastAsia"/>
          <w:lang w:val="en-US" w:eastAsia="zh-CN"/>
        </w:rPr>
        <w:t>2、所有品种按除箱净重过磅，最终交易重量以双方确认的过磅数为准。</w:t>
      </w:r>
    </w:p>
    <w:p w14:paraId="48BA2E0F">
      <w:pPr>
        <w:pStyle w:val="3"/>
        <w:bidi w:val="0"/>
        <w:rPr>
          <w:rFonts w:hint="eastAsia"/>
          <w:lang w:val="en-US" w:eastAsia="zh-CN"/>
        </w:rPr>
      </w:pPr>
      <w:r>
        <w:rPr>
          <w:rFonts w:hint="eastAsia"/>
          <w:lang w:val="en-US" w:eastAsia="zh-CN"/>
        </w:rPr>
        <w:t>3、数量、质量、品质要求</w:t>
      </w:r>
    </w:p>
    <w:p w14:paraId="63234172">
      <w:pPr>
        <w:pStyle w:val="3"/>
        <w:bidi w:val="0"/>
        <w:rPr>
          <w:rFonts w:hint="eastAsia"/>
          <w:lang w:val="en-US" w:eastAsia="zh-CN"/>
        </w:rPr>
      </w:pPr>
      <w:r>
        <w:rPr>
          <w:rFonts w:hint="eastAsia"/>
          <w:lang w:val="en-US" w:eastAsia="zh-CN"/>
        </w:rPr>
        <w:t>①、每个品种的重量以双方核准的净重过磅数为准，双方签字确认作为结算凭证。</w:t>
      </w:r>
    </w:p>
    <w:p w14:paraId="3F71336F">
      <w:pPr>
        <w:pStyle w:val="3"/>
        <w:bidi w:val="0"/>
        <w:rPr>
          <w:rFonts w:hint="eastAsia"/>
          <w:lang w:val="en-US" w:eastAsia="zh-CN"/>
        </w:rPr>
      </w:pPr>
      <w:r>
        <w:rPr>
          <w:rFonts w:hint="eastAsia"/>
          <w:lang w:val="en-US" w:eastAsia="zh-CN"/>
        </w:rPr>
        <w:t>②、质量必须符合国家相关食品安全卫生标准，由采购人质量验收员签字为准。</w:t>
      </w:r>
    </w:p>
    <w:p w14:paraId="2E602399">
      <w:pPr>
        <w:pStyle w:val="3"/>
        <w:bidi w:val="0"/>
        <w:rPr>
          <w:rFonts w:hint="eastAsia"/>
          <w:lang w:val="en-US" w:eastAsia="zh-CN"/>
        </w:rPr>
      </w:pPr>
      <w:r>
        <w:rPr>
          <w:rFonts w:hint="eastAsia"/>
          <w:lang w:val="en-US" w:eastAsia="zh-CN"/>
        </w:rPr>
        <w:t>4、食品原料采购、运输的卫生管理相关制度和规划，并符合卫生管理要求。</w:t>
      </w:r>
    </w:p>
    <w:p w14:paraId="055815D7">
      <w:pPr>
        <w:pStyle w:val="3"/>
        <w:bidi w:val="0"/>
        <w:rPr>
          <w:rFonts w:hint="eastAsia"/>
          <w:lang w:val="en-US" w:eastAsia="zh-CN"/>
        </w:rPr>
      </w:pPr>
      <w:r>
        <w:rPr>
          <w:rFonts w:hint="eastAsia"/>
          <w:lang w:val="en-US" w:eastAsia="zh-CN"/>
        </w:rPr>
        <w:t>5、调料类、主食类，采购人有指定品牌的，中标单位须按采购人要求进行配送。</w:t>
      </w:r>
    </w:p>
    <w:p w14:paraId="17D40BE9">
      <w:pPr>
        <w:pStyle w:val="3"/>
        <w:bidi w:val="0"/>
        <w:rPr>
          <w:rFonts w:hint="eastAsia" w:ascii="宋体" w:hAnsi="宋体" w:eastAsia="宋体" w:cs="宋体"/>
          <w:b/>
          <w:bCs/>
          <w:sz w:val="24"/>
          <w:szCs w:val="24"/>
          <w:highlight w:val="none"/>
          <w:lang w:val="en-US" w:eastAsia="zh-CN"/>
        </w:rPr>
      </w:pPr>
      <w:r>
        <w:rPr>
          <w:rFonts w:hint="eastAsia"/>
          <w:lang w:val="en-US" w:eastAsia="zh-CN"/>
        </w:rPr>
        <w:t>6、每批次货物随带必要的质量证明材料，如动物检疫证明、肉品品质检验合格证、蔬菜检测报告、豆制品合格证明或质量保证文件。</w:t>
      </w:r>
    </w:p>
    <w:p w14:paraId="1C8D1712">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firstLine="0" w:firstLineChars="0"/>
        <w:jc w:val="both"/>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七、服务期限、地点：</w:t>
      </w:r>
    </w:p>
    <w:p w14:paraId="00A4A796">
      <w:pPr>
        <w:pStyle w:val="3"/>
        <w:bidi w:val="0"/>
        <w:rPr>
          <w:rFonts w:hint="eastAsia"/>
          <w:highlight w:val="green"/>
          <w:lang w:val="en-US" w:eastAsia="zh-CN"/>
        </w:rPr>
      </w:pPr>
      <w:r>
        <w:rPr>
          <w:rFonts w:hint="eastAsia"/>
          <w:highlight w:val="green"/>
          <w:lang w:val="en-US" w:eastAsia="zh-CN"/>
        </w:rPr>
        <w:t>1、本项目服务期限：</w:t>
      </w:r>
    </w:p>
    <w:p w14:paraId="5513F869">
      <w:pPr>
        <w:pStyle w:val="3"/>
        <w:bidi w:val="0"/>
        <w:rPr>
          <w:rFonts w:hint="eastAsia"/>
          <w:highlight w:val="green"/>
          <w:lang w:val="en-US" w:eastAsia="zh-CN"/>
        </w:rPr>
      </w:pPr>
      <w:r>
        <w:rPr>
          <w:rFonts w:hint="eastAsia"/>
          <w:highlight w:val="green"/>
          <w:lang w:val="en-US" w:eastAsia="zh-CN"/>
        </w:rPr>
        <w:t>标项一、二两项服务期限为自合同生效之日起二年，经年度考核合格后一年一签。年度考核不合格的，甲方有权无条件终止合同。</w:t>
      </w:r>
    </w:p>
    <w:p w14:paraId="2FB7F43D">
      <w:pPr>
        <w:pStyle w:val="3"/>
        <w:bidi w:val="0"/>
        <w:rPr>
          <w:rFonts w:hint="eastAsia"/>
          <w:highlight w:val="green"/>
          <w:lang w:val="en-US" w:eastAsia="zh-CN"/>
        </w:rPr>
      </w:pPr>
      <w:r>
        <w:rPr>
          <w:rFonts w:hint="eastAsia"/>
          <w:highlight w:val="green"/>
          <w:lang w:val="en-US" w:eastAsia="zh-CN"/>
        </w:rPr>
        <w:t>标项三服务期限为自合同生效之日起一年。</w:t>
      </w:r>
    </w:p>
    <w:p w14:paraId="5889860A">
      <w:pPr>
        <w:pStyle w:val="3"/>
        <w:bidi w:val="0"/>
        <w:rPr>
          <w:rFonts w:hint="eastAsia"/>
          <w:lang w:val="en-US" w:eastAsia="zh-CN"/>
        </w:rPr>
      </w:pPr>
      <w:r>
        <w:rPr>
          <w:rFonts w:hint="eastAsia"/>
          <w:lang w:val="en-US" w:eastAsia="zh-CN"/>
        </w:rPr>
        <w:t>2、在服务期内中标人需要严格履行合同，如中标供应商在服务期内违反合同约定，经考核不合格，采购单位有权提前终止合同；</w:t>
      </w:r>
    </w:p>
    <w:p w14:paraId="5200A6AC">
      <w:pPr>
        <w:pStyle w:val="3"/>
        <w:bidi w:val="0"/>
        <w:rPr>
          <w:rFonts w:hint="eastAsia" w:ascii="宋体" w:hAnsi="宋体" w:eastAsia="宋体" w:cs="宋体"/>
          <w:b/>
          <w:bCs/>
          <w:sz w:val="24"/>
          <w:szCs w:val="24"/>
          <w:highlight w:val="none"/>
          <w:lang w:val="en-US" w:eastAsia="zh-CN"/>
        </w:rPr>
      </w:pPr>
      <w:r>
        <w:rPr>
          <w:rFonts w:hint="eastAsia"/>
          <w:lang w:val="en-US" w:eastAsia="zh-CN"/>
        </w:rPr>
        <w:t>3、服务地点：采购人指定地点。</w:t>
      </w:r>
    </w:p>
    <w:p w14:paraId="329F8996">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firstLine="0" w:firstLineChars="0"/>
        <w:jc w:val="both"/>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八、履约保证金的缴纳和退付：</w:t>
      </w:r>
      <w:r>
        <w:rPr>
          <w:rFonts w:hint="eastAsia" w:eastAsia="宋体" w:cs="宋体"/>
          <w:b w:val="0"/>
          <w:bCs w:val="0"/>
          <w:sz w:val="24"/>
          <w:szCs w:val="24"/>
          <w:highlight w:val="none"/>
          <w:lang w:val="en-US" w:eastAsia="zh-CN"/>
        </w:rPr>
        <w:t>本项目不收取。</w:t>
      </w:r>
    </w:p>
    <w:p w14:paraId="5D21F8EC">
      <w:pPr>
        <w:pStyle w:val="3"/>
        <w:keepNext w:val="0"/>
        <w:keepLines w:val="0"/>
        <w:pageBreakBefore w:val="0"/>
        <w:widowControl w:val="0"/>
        <w:kinsoku/>
        <w:wordWrap w:val="0"/>
        <w:overflowPunct/>
        <w:topLinePunct/>
        <w:autoSpaceDE/>
        <w:autoSpaceDN/>
        <w:bidi w:val="0"/>
        <w:adjustRightInd w:val="0"/>
        <w:snapToGrid w:val="0"/>
        <w:spacing w:line="360" w:lineRule="auto"/>
        <w:ind w:left="0" w:leftChars="0" w:firstLine="0" w:firstLineChars="0"/>
        <w:jc w:val="both"/>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九、采购人其他要求：</w:t>
      </w:r>
    </w:p>
    <w:p w14:paraId="16E7DC89">
      <w:pPr>
        <w:pStyle w:val="3"/>
        <w:bidi w:val="0"/>
        <w:rPr>
          <w:rFonts w:hint="eastAsia"/>
          <w:lang w:val="en-US" w:eastAsia="zh-CN"/>
        </w:rPr>
      </w:pPr>
      <w:r>
        <w:rPr>
          <w:rFonts w:hint="eastAsia"/>
          <w:lang w:val="en-US" w:eastAsia="zh-CN"/>
        </w:rPr>
        <w:t>1、所有配送产品必须优质、新鲜，采购人必须按经招标的品牌、品名、规格等要求进行认真验收。采购人和配送供应商分别建立采购和供应台账，确定专人负责验收和送货，禁用非统一配送物品、无QS标志的相关食品进入食堂，禁止禁用的食物成品、半成品。对于出现不符规格、以次充好等现象，采购人有权退货，配送供应商必须无条件退换，退换时间不得超过1小时，并保证使用单位正常就餐。采购人接报查实后，视情节作出处罚决定。</w:t>
      </w:r>
    </w:p>
    <w:p w14:paraId="20ADE0CC">
      <w:pPr>
        <w:pStyle w:val="3"/>
        <w:bidi w:val="0"/>
        <w:rPr>
          <w:rFonts w:hint="eastAsia"/>
          <w:lang w:val="en-US" w:eastAsia="zh-CN"/>
        </w:rPr>
      </w:pPr>
      <w:r>
        <w:rPr>
          <w:rFonts w:hint="eastAsia"/>
          <w:lang w:val="en-US" w:eastAsia="zh-CN"/>
        </w:rPr>
        <w:t>2、中标人所提供的食材必须符合相关的卫生、食品安全、环保等国家标准。</w:t>
      </w:r>
    </w:p>
    <w:p w14:paraId="510A8C46">
      <w:pPr>
        <w:pStyle w:val="3"/>
        <w:bidi w:val="0"/>
        <w:rPr>
          <w:rFonts w:hint="eastAsia"/>
          <w:lang w:val="en-US" w:eastAsia="zh-CN"/>
        </w:rPr>
      </w:pPr>
      <w:r>
        <w:rPr>
          <w:rFonts w:hint="eastAsia"/>
          <w:lang w:val="en-US" w:eastAsia="zh-CN"/>
        </w:rPr>
        <w:t>3、所有预包装食品要求标注“食品生产许可证”编号，每批次送货时须提供产品合格证。</w:t>
      </w:r>
    </w:p>
    <w:p w14:paraId="20F6967C">
      <w:pPr>
        <w:pStyle w:val="3"/>
        <w:bidi w:val="0"/>
        <w:rPr>
          <w:rFonts w:hint="eastAsia"/>
          <w:lang w:val="en-US" w:eastAsia="zh-CN"/>
        </w:rPr>
      </w:pPr>
      <w:r>
        <w:rPr>
          <w:rFonts w:hint="eastAsia"/>
          <w:lang w:val="en-US" w:eastAsia="zh-CN"/>
        </w:rPr>
        <w:t>4、蔬菜类要求为新鲜、安全、成熟度适中，无烂枯叶、黄叶，按要求去皮、去壳、去叶、去泥等，适宜用切菜机操作。农残量不得超过国家标准，送货时提交农残自检报告、无公害农产品证书复印件。具体感观要求：从蔬菜色泽看，各种蔬菜都应具有本品种固有的颜色，大多数有发亮的光泽，以此显示蔬菜的成熟度及鲜嫩程度；从蔬菜气味看，多数蔬菜具有清馨、甘辛香、甜酸香等气味，可凭嗅觉识别不同品种的质量，不允许有腐烂变质的亚硝酸盐味和其他异常气味；从蔬菜滋味看，因品种不同而各异，多数蔬菜滋味甘淡、甜酸、清爽鲜美，少数具有辛酸、苦涩等特殊风味以刺激食欲，如失去本品种原有的滋味即为异常；从蔬菜形态看，应尽量避免由于客观因素而造成的各种非正常、不新鲜的蔬菜，例如萎蔫、枯塌、损伤、病变、虫害侵蚀等引起的形态异常等。</w:t>
      </w:r>
    </w:p>
    <w:p w14:paraId="7387048C">
      <w:pPr>
        <w:pStyle w:val="3"/>
        <w:bidi w:val="0"/>
        <w:rPr>
          <w:rFonts w:hint="eastAsia"/>
          <w:lang w:val="en-US" w:eastAsia="zh-CN"/>
        </w:rPr>
      </w:pPr>
      <w:r>
        <w:rPr>
          <w:rFonts w:hint="eastAsia"/>
          <w:lang w:val="en-US" w:eastAsia="zh-CN"/>
        </w:rPr>
        <w:t>豆制品要求提供食品检测合格证明。</w:t>
      </w:r>
    </w:p>
    <w:p w14:paraId="684B569D">
      <w:pPr>
        <w:pStyle w:val="3"/>
        <w:bidi w:val="0"/>
        <w:rPr>
          <w:rFonts w:hint="eastAsia"/>
          <w:lang w:val="en-US" w:eastAsia="zh-CN"/>
        </w:rPr>
      </w:pPr>
      <w:r>
        <w:rPr>
          <w:rFonts w:hint="eastAsia"/>
          <w:lang w:val="en-US" w:eastAsia="zh-CN"/>
        </w:rPr>
        <w:t>5、肉类、水产、禽蛋等须按国家要求提供每批次检验检疫证等合格证明，特殊食材还需提供抗生素、兴奋剂、瘦肉精含量检测。</w:t>
      </w:r>
    </w:p>
    <w:p w14:paraId="5C918F01">
      <w:pPr>
        <w:pStyle w:val="3"/>
        <w:bidi w:val="0"/>
        <w:rPr>
          <w:rFonts w:hint="eastAsia"/>
          <w:lang w:val="en-US" w:eastAsia="zh-CN"/>
        </w:rPr>
      </w:pPr>
      <w:r>
        <w:rPr>
          <w:rFonts w:hint="eastAsia"/>
          <w:lang w:val="en-US" w:eastAsia="zh-CN"/>
        </w:rPr>
        <w:t>6、中标人在供货期间，如发生质量纠纷时采购人须对被投诉食材质量进行检测的，不论检测结果如何，因检测产生的相关费用须由中标人承担。</w:t>
      </w:r>
    </w:p>
    <w:p w14:paraId="11E33172">
      <w:pPr>
        <w:pStyle w:val="3"/>
        <w:bidi w:val="0"/>
        <w:rPr>
          <w:rFonts w:hint="eastAsia"/>
          <w:lang w:val="en-US" w:eastAsia="zh-CN"/>
        </w:rPr>
      </w:pPr>
      <w:r>
        <w:rPr>
          <w:rFonts w:hint="eastAsia"/>
          <w:lang w:val="en-US" w:eastAsia="zh-CN"/>
        </w:rPr>
        <w:t>7、保质期要求：</w:t>
      </w:r>
    </w:p>
    <w:p w14:paraId="052C7824">
      <w:pPr>
        <w:pStyle w:val="3"/>
        <w:bidi w:val="0"/>
        <w:rPr>
          <w:rFonts w:hint="eastAsia"/>
          <w:lang w:val="en-US" w:eastAsia="zh-CN"/>
        </w:rPr>
      </w:pPr>
      <w:r>
        <w:rPr>
          <w:rFonts w:hint="eastAsia"/>
          <w:lang w:val="en-US" w:eastAsia="zh-CN"/>
        </w:rPr>
        <w:t>7.1、肉类要求为24小时内屠宰。</w:t>
      </w:r>
    </w:p>
    <w:p w14:paraId="3C7600F5">
      <w:pPr>
        <w:pStyle w:val="3"/>
        <w:bidi w:val="0"/>
        <w:rPr>
          <w:rFonts w:hint="eastAsia"/>
          <w:lang w:val="en-US" w:eastAsia="zh-CN"/>
        </w:rPr>
      </w:pPr>
      <w:r>
        <w:rPr>
          <w:rFonts w:hint="eastAsia"/>
          <w:lang w:val="en-US" w:eastAsia="zh-CN"/>
        </w:rPr>
        <w:t>7.2、蔬菜、豆制品要求新鲜，无腐烂变质现象。</w:t>
      </w:r>
    </w:p>
    <w:p w14:paraId="521D1BBE">
      <w:pPr>
        <w:pStyle w:val="3"/>
        <w:bidi w:val="0"/>
        <w:rPr>
          <w:rFonts w:hint="eastAsia"/>
          <w:lang w:val="en-US" w:eastAsia="zh-CN"/>
        </w:rPr>
      </w:pPr>
      <w:r>
        <w:rPr>
          <w:rFonts w:hint="eastAsia"/>
          <w:lang w:val="en-US" w:eastAsia="zh-CN"/>
        </w:rPr>
        <w:t>7.3、预包装食品保质期不得超出生产厂商标注保质期限的一半时间。</w:t>
      </w:r>
    </w:p>
    <w:p w14:paraId="4BA088CF">
      <w:pPr>
        <w:pStyle w:val="3"/>
        <w:bidi w:val="0"/>
        <w:rPr>
          <w:rFonts w:hint="eastAsia"/>
          <w:lang w:val="en-US" w:eastAsia="zh-CN"/>
        </w:rPr>
      </w:pPr>
      <w:r>
        <w:rPr>
          <w:rFonts w:hint="eastAsia"/>
          <w:lang w:val="en-US" w:eastAsia="zh-CN"/>
        </w:rPr>
        <w:t>7.4、其他所有食材保质期不得超出生产厂商标注保质期限的三分之二时间。</w:t>
      </w:r>
    </w:p>
    <w:p w14:paraId="1DE57185">
      <w:pPr>
        <w:pStyle w:val="3"/>
        <w:bidi w:val="0"/>
        <w:rPr>
          <w:rFonts w:hint="eastAsia"/>
          <w:lang w:val="en-US" w:eastAsia="zh-CN"/>
        </w:rPr>
      </w:pPr>
      <w:r>
        <w:rPr>
          <w:rFonts w:hint="eastAsia"/>
          <w:lang w:val="en-US" w:eastAsia="zh-CN"/>
        </w:rPr>
        <w:t>7.5、鱼虾蟹必须保证鲜活。</w:t>
      </w:r>
    </w:p>
    <w:p w14:paraId="267EDF79">
      <w:pPr>
        <w:pStyle w:val="3"/>
        <w:bidi w:val="0"/>
        <w:rPr>
          <w:rFonts w:hint="eastAsia"/>
          <w:highlight w:val="green"/>
          <w:lang w:val="en-US" w:eastAsia="zh-CN"/>
        </w:rPr>
      </w:pPr>
      <w:r>
        <w:rPr>
          <w:rFonts w:hint="eastAsia"/>
          <w:highlight w:val="green"/>
          <w:lang w:val="en-US" w:eastAsia="zh-CN"/>
        </w:rPr>
        <w:t>8、中标人在供货期间接受采购人考核办法的考核，并无条件接受考核结果。</w:t>
      </w:r>
    </w:p>
    <w:p w14:paraId="24C86DE8">
      <w:pPr>
        <w:pStyle w:val="3"/>
        <w:bidi w:val="0"/>
        <w:rPr>
          <w:rFonts w:hint="eastAsia" w:eastAsia="宋体" w:cs="宋体"/>
          <w:b/>
          <w:bCs/>
          <w:sz w:val="24"/>
          <w:szCs w:val="24"/>
          <w:highlight w:val="green"/>
          <w:lang w:val="en-US" w:eastAsia="zh-CN"/>
        </w:rPr>
      </w:pPr>
      <w:r>
        <w:rPr>
          <w:rFonts w:hint="eastAsia"/>
          <w:highlight w:val="green"/>
          <w:lang w:val="en-US" w:eastAsia="zh-CN"/>
        </w:rPr>
        <w:t>9、采购人有权每周不定期组织院内膳食监督小组人员对中标人供货数量、质量进行抽查，一旦查到缺斤短两，且拒不更正的，按当日该食材进货量放大3倍进行罚款，质量存在问题的食材，且拒不改正的，按当日该食材进货量放大5倍进行罚款，累计发生三次的，将暂停服务一个月。</w:t>
      </w:r>
    </w:p>
    <w:p w14:paraId="4E6FDDB2">
      <w:pPr>
        <w:rPr>
          <w:rFonts w:hint="eastAsia" w:cs="宋体"/>
          <w:b/>
          <w:sz w:val="32"/>
          <w:szCs w:val="32"/>
          <w:highlight w:val="none"/>
          <w:lang w:val="en-US" w:eastAsia="zh-CN"/>
        </w:rPr>
      </w:pPr>
      <w:r>
        <w:rPr>
          <w:rFonts w:hint="eastAsia" w:cs="宋体"/>
          <w:b/>
          <w:sz w:val="32"/>
          <w:szCs w:val="32"/>
          <w:highlight w:val="none"/>
          <w:lang w:val="en-US" w:eastAsia="zh-CN"/>
        </w:rPr>
        <w:br w:type="page"/>
      </w:r>
    </w:p>
    <w:p w14:paraId="3019FEDE">
      <w:pPr>
        <w:snapToGrid w:val="0"/>
        <w:spacing w:line="360" w:lineRule="auto"/>
        <w:jc w:val="center"/>
        <w:outlineLvl w:val="0"/>
        <w:rPr>
          <w:rFonts w:hint="default" w:ascii="宋体" w:hAnsi="宋体" w:eastAsia="宋体" w:cs="宋体"/>
          <w:b/>
          <w:sz w:val="32"/>
          <w:szCs w:val="32"/>
          <w:highlight w:val="none"/>
          <w:lang w:val="en-US" w:eastAsia="zh-CN"/>
        </w:rPr>
      </w:pPr>
      <w:r>
        <w:rPr>
          <w:rFonts w:hint="eastAsia" w:cs="宋体"/>
          <w:b/>
          <w:sz w:val="32"/>
          <w:szCs w:val="32"/>
          <w:highlight w:val="none"/>
          <w:lang w:val="en-US" w:eastAsia="zh-CN"/>
        </w:rPr>
        <w:t>第四部分 评</w:t>
      </w:r>
      <w:bookmarkStart w:id="1" w:name="_GoBack"/>
      <w:bookmarkEnd w:id="1"/>
      <w:r>
        <w:rPr>
          <w:rFonts w:hint="eastAsia" w:cs="宋体"/>
          <w:b/>
          <w:sz w:val="32"/>
          <w:szCs w:val="32"/>
          <w:highlight w:val="none"/>
          <w:lang w:val="en-US" w:eastAsia="zh-CN"/>
        </w:rPr>
        <w:t>标办法</w:t>
      </w:r>
    </w:p>
    <w:p w14:paraId="6AD3346F">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8"/>
          <w:szCs w:val="28"/>
          <w:highlight w:val="none"/>
        </w:rPr>
        <w:t>评标办法前附表（标项一、标项二</w:t>
      </w:r>
      <w:r>
        <w:rPr>
          <w:rFonts w:hint="eastAsia" w:ascii="宋体" w:hAnsi="宋体" w:eastAsia="宋体" w:cs="宋体"/>
          <w:b/>
          <w:sz w:val="28"/>
          <w:szCs w:val="28"/>
          <w:highlight w:val="none"/>
          <w:lang w:eastAsia="zh-CN"/>
        </w:rPr>
        <w:t>、</w:t>
      </w:r>
      <w:r>
        <w:rPr>
          <w:rFonts w:hint="eastAsia" w:ascii="宋体" w:hAnsi="宋体" w:eastAsia="宋体" w:cs="宋体"/>
          <w:b/>
          <w:sz w:val="28"/>
          <w:szCs w:val="28"/>
          <w:highlight w:val="none"/>
          <w:lang w:val="en-US" w:eastAsia="zh-CN"/>
        </w:rPr>
        <w:t>标项三</w:t>
      </w:r>
      <w:r>
        <w:rPr>
          <w:rFonts w:hint="eastAsia" w:ascii="宋体" w:hAnsi="宋体" w:eastAsia="宋体" w:cs="宋体"/>
          <w:b/>
          <w:sz w:val="28"/>
          <w:szCs w:val="28"/>
          <w:highlight w:val="none"/>
        </w:rPr>
        <w:t>）</w:t>
      </w:r>
    </w:p>
    <w:tbl>
      <w:tblPr>
        <w:tblStyle w:val="5"/>
        <w:tblW w:w="9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5531"/>
        <w:gridCol w:w="804"/>
        <w:gridCol w:w="1085"/>
        <w:gridCol w:w="1296"/>
      </w:tblGrid>
      <w:tr w14:paraId="1BF81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1" w:type="dxa"/>
            <w:vAlign w:val="center"/>
          </w:tcPr>
          <w:p w14:paraId="7EFAEB17">
            <w:pPr>
              <w:snapToGrid w:val="0"/>
              <w:spacing w:line="360" w:lineRule="auto"/>
              <w:jc w:val="center"/>
              <w:rPr>
                <w:rFonts w:hint="eastAsia" w:ascii="宋体" w:hAnsi="宋体" w:eastAsia="宋体" w:cs="宋体"/>
                <w:bCs/>
                <w:sz w:val="24"/>
                <w:highlight w:val="none"/>
              </w:rPr>
            </w:pPr>
            <w:r>
              <w:rPr>
                <w:rFonts w:hint="eastAsia" w:ascii="宋体" w:hAnsi="宋体" w:eastAsia="宋体" w:cs="宋体"/>
                <w:bCs/>
                <w:sz w:val="24"/>
                <w:highlight w:val="none"/>
              </w:rPr>
              <w:t>序号</w:t>
            </w:r>
          </w:p>
        </w:tc>
        <w:tc>
          <w:tcPr>
            <w:tcW w:w="5531" w:type="dxa"/>
            <w:vAlign w:val="center"/>
          </w:tcPr>
          <w:p w14:paraId="012EDF86">
            <w:pPr>
              <w:snapToGrid w:val="0"/>
              <w:spacing w:line="360" w:lineRule="auto"/>
              <w:jc w:val="center"/>
              <w:rPr>
                <w:rFonts w:hint="eastAsia" w:ascii="宋体" w:hAnsi="宋体" w:eastAsia="宋体" w:cs="宋体"/>
                <w:bCs/>
                <w:sz w:val="24"/>
                <w:highlight w:val="none"/>
              </w:rPr>
            </w:pPr>
            <w:r>
              <w:rPr>
                <w:rFonts w:hint="eastAsia" w:ascii="宋体" w:hAnsi="宋体" w:eastAsia="宋体" w:cs="宋体"/>
                <w:bCs/>
                <w:sz w:val="24"/>
                <w:highlight w:val="none"/>
              </w:rPr>
              <w:t>评标标准</w:t>
            </w:r>
          </w:p>
        </w:tc>
        <w:tc>
          <w:tcPr>
            <w:tcW w:w="804" w:type="dxa"/>
            <w:vAlign w:val="center"/>
          </w:tcPr>
          <w:p w14:paraId="466A95FB">
            <w:pPr>
              <w:snapToGrid w:val="0"/>
              <w:spacing w:line="360" w:lineRule="auto"/>
              <w:jc w:val="center"/>
              <w:rPr>
                <w:rFonts w:hint="eastAsia" w:ascii="宋体" w:hAnsi="宋体" w:eastAsia="宋体" w:cs="宋体"/>
                <w:bCs/>
                <w:sz w:val="24"/>
                <w:highlight w:val="none"/>
              </w:rPr>
            </w:pPr>
            <w:r>
              <w:rPr>
                <w:rFonts w:hint="eastAsia" w:ascii="宋体" w:hAnsi="宋体" w:eastAsia="宋体" w:cs="宋体"/>
                <w:bCs/>
                <w:sz w:val="24"/>
                <w:highlight w:val="none"/>
              </w:rPr>
              <w:t>权重</w:t>
            </w:r>
          </w:p>
        </w:tc>
        <w:tc>
          <w:tcPr>
            <w:tcW w:w="1085" w:type="dxa"/>
            <w:vAlign w:val="center"/>
          </w:tcPr>
          <w:p w14:paraId="6E90473B">
            <w:pPr>
              <w:snapToGrid w:val="0"/>
              <w:spacing w:line="360" w:lineRule="auto"/>
              <w:jc w:val="center"/>
              <w:rPr>
                <w:rFonts w:hint="eastAsia" w:ascii="宋体" w:hAnsi="宋体" w:eastAsia="宋体" w:cs="宋体"/>
                <w:bCs/>
                <w:sz w:val="24"/>
                <w:highlight w:val="none"/>
              </w:rPr>
            </w:pPr>
            <w:r>
              <w:rPr>
                <w:rFonts w:hint="eastAsia" w:ascii="宋体" w:hAnsi="宋体" w:eastAsia="宋体" w:cs="宋体"/>
                <w:bCs/>
                <w:sz w:val="24"/>
                <w:highlight w:val="none"/>
              </w:rPr>
              <w:t>主观分/客观分属性</w:t>
            </w:r>
          </w:p>
        </w:tc>
        <w:tc>
          <w:tcPr>
            <w:tcW w:w="1296" w:type="dxa"/>
            <w:vAlign w:val="top"/>
          </w:tcPr>
          <w:p w14:paraId="3EA86776">
            <w:pPr>
              <w:snapToGrid w:val="0"/>
              <w:spacing w:line="360" w:lineRule="auto"/>
              <w:jc w:val="center"/>
              <w:rPr>
                <w:rFonts w:hint="eastAsia" w:ascii="宋体" w:hAnsi="宋体" w:eastAsia="宋体" w:cs="宋体"/>
                <w:bCs/>
                <w:sz w:val="24"/>
                <w:highlight w:val="none"/>
              </w:rPr>
            </w:pPr>
            <w:r>
              <w:rPr>
                <w:rFonts w:hint="eastAsia" w:ascii="宋体" w:hAnsi="宋体" w:eastAsia="宋体" w:cs="宋体"/>
                <w:bCs/>
                <w:sz w:val="18"/>
                <w:szCs w:val="18"/>
                <w:highlight w:val="none"/>
              </w:rPr>
              <w:t>投标文件中评标标准相应的商务技术资料目录*</w:t>
            </w:r>
          </w:p>
        </w:tc>
      </w:tr>
      <w:tr w14:paraId="3D66C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1" w:type="dxa"/>
            <w:vAlign w:val="center"/>
          </w:tcPr>
          <w:p w14:paraId="40250509">
            <w:pPr>
              <w:numPr>
                <w:ilvl w:val="0"/>
                <w:numId w:val="2"/>
              </w:numPr>
              <w:snapToGrid w:val="0"/>
              <w:spacing w:line="360" w:lineRule="auto"/>
              <w:ind w:left="425" w:leftChars="0" w:hanging="425" w:firstLineChars="0"/>
              <w:jc w:val="center"/>
              <w:rPr>
                <w:rFonts w:hint="eastAsia" w:ascii="宋体" w:hAnsi="宋体" w:eastAsia="宋体" w:cs="宋体"/>
                <w:bCs/>
                <w:sz w:val="24"/>
                <w:highlight w:val="none"/>
                <w:lang w:val="en-US" w:eastAsia="zh-CN"/>
              </w:rPr>
            </w:pPr>
          </w:p>
        </w:tc>
        <w:tc>
          <w:tcPr>
            <w:tcW w:w="5531" w:type="dxa"/>
            <w:shd w:val="clear" w:color="auto" w:fill="auto"/>
            <w:vAlign w:val="center"/>
          </w:tcPr>
          <w:p w14:paraId="76E65543">
            <w:pPr>
              <w:snapToGrid w:val="0"/>
              <w:spacing w:line="360" w:lineRule="auto"/>
              <w:jc w:val="both"/>
              <w:rPr>
                <w:rFonts w:hint="eastAsia" w:ascii="宋体" w:hAnsi="宋体" w:eastAsia="宋体" w:cs="宋体"/>
                <w:sz w:val="24"/>
                <w:highlight w:val="green"/>
              </w:rPr>
            </w:pPr>
            <w:r>
              <w:rPr>
                <w:rFonts w:hint="eastAsia" w:ascii="宋体" w:hAnsi="宋体" w:eastAsia="宋体" w:cs="宋体"/>
                <w:sz w:val="24"/>
              </w:rPr>
              <w:t>拟投入本项目的具备健康证人员配置情况：1-19人的得1分，20-29人的得3分,30人及以上得5分。</w:t>
            </w:r>
          </w:p>
          <w:p w14:paraId="477C609C">
            <w:pPr>
              <w:snapToGrid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b/>
                <w:bCs/>
                <w:sz w:val="24"/>
              </w:rPr>
              <w:t>投标文件中提供健康证（有效期内）</w:t>
            </w:r>
            <w:r>
              <w:rPr>
                <w:rFonts w:hint="eastAsia" w:cs="宋体"/>
                <w:b/>
                <w:bCs/>
                <w:sz w:val="24"/>
                <w:lang w:val="en-US" w:eastAsia="zh-CN"/>
              </w:rPr>
              <w:t>及人员在本单位最近一个月的社保缴纳记录复制件并加盖公章</w:t>
            </w:r>
            <w:r>
              <w:rPr>
                <w:rFonts w:hint="eastAsia" w:ascii="宋体" w:hAnsi="宋体" w:eastAsia="宋体" w:cs="宋体"/>
                <w:b/>
                <w:bCs/>
                <w:sz w:val="24"/>
              </w:rPr>
              <w:t>，否则不得分。</w:t>
            </w:r>
          </w:p>
        </w:tc>
        <w:tc>
          <w:tcPr>
            <w:tcW w:w="804" w:type="dxa"/>
            <w:shd w:val="clear" w:color="auto" w:fill="auto"/>
            <w:vAlign w:val="center"/>
          </w:tcPr>
          <w:p w14:paraId="6AFECCB1">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5</w:t>
            </w:r>
          </w:p>
        </w:tc>
        <w:tc>
          <w:tcPr>
            <w:tcW w:w="1085" w:type="dxa"/>
            <w:shd w:val="clear" w:color="auto" w:fill="auto"/>
            <w:vAlign w:val="center"/>
          </w:tcPr>
          <w:p w14:paraId="1F1D42CC">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客观分</w:t>
            </w:r>
          </w:p>
        </w:tc>
        <w:tc>
          <w:tcPr>
            <w:tcW w:w="1296" w:type="dxa"/>
            <w:vAlign w:val="center"/>
          </w:tcPr>
          <w:p w14:paraId="4639B689">
            <w:pPr>
              <w:snapToGrid w:val="0"/>
              <w:spacing w:line="360" w:lineRule="auto"/>
              <w:jc w:val="center"/>
              <w:rPr>
                <w:rFonts w:hint="eastAsia" w:ascii="宋体" w:hAnsi="宋体" w:eastAsia="宋体" w:cs="宋体"/>
                <w:bCs/>
                <w:sz w:val="24"/>
                <w:highlight w:val="none"/>
              </w:rPr>
            </w:pPr>
          </w:p>
        </w:tc>
      </w:tr>
      <w:tr w14:paraId="758E4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1" w:type="dxa"/>
            <w:vAlign w:val="center"/>
          </w:tcPr>
          <w:p w14:paraId="744BA670">
            <w:pPr>
              <w:numPr>
                <w:ilvl w:val="0"/>
                <w:numId w:val="2"/>
              </w:numPr>
              <w:snapToGrid w:val="0"/>
              <w:spacing w:line="360" w:lineRule="auto"/>
              <w:ind w:left="425" w:leftChars="0" w:hanging="425" w:firstLineChars="0"/>
              <w:jc w:val="center"/>
              <w:rPr>
                <w:rFonts w:hint="eastAsia" w:ascii="宋体" w:hAnsi="宋体" w:eastAsia="宋体" w:cs="宋体"/>
                <w:bCs/>
                <w:sz w:val="24"/>
                <w:highlight w:val="none"/>
                <w:lang w:val="en-US" w:eastAsia="zh-CN"/>
              </w:rPr>
            </w:pPr>
          </w:p>
        </w:tc>
        <w:tc>
          <w:tcPr>
            <w:tcW w:w="5531" w:type="dxa"/>
            <w:shd w:val="clear" w:color="auto" w:fill="auto"/>
            <w:vAlign w:val="center"/>
          </w:tcPr>
          <w:p w14:paraId="50F86984">
            <w:pPr>
              <w:tabs>
                <w:tab w:val="left" w:pos="2581"/>
              </w:tabs>
              <w:snapToGrid w:val="0"/>
              <w:spacing w:line="360" w:lineRule="auto"/>
              <w:jc w:val="both"/>
              <w:rPr>
                <w:rFonts w:hint="eastAsia" w:ascii="宋体" w:hAnsi="宋体" w:eastAsia="宋体" w:cs="宋体"/>
                <w:sz w:val="24"/>
              </w:rPr>
            </w:pPr>
            <w:r>
              <w:rPr>
                <w:rFonts w:hint="eastAsia" w:ascii="宋体" w:hAnsi="宋体" w:eastAsia="宋体" w:cs="宋体"/>
                <w:sz w:val="24"/>
              </w:rPr>
              <w:t>拟投入本项目的食品安全管理员：同时具有食品安全管理员证书（有效期内）和健康证（有效期内）的得5分。</w:t>
            </w:r>
          </w:p>
          <w:p w14:paraId="08B7205E">
            <w:pPr>
              <w:tabs>
                <w:tab w:val="left" w:pos="2581"/>
              </w:tabs>
              <w:snapToGrid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b/>
                <w:bCs/>
                <w:sz w:val="24"/>
              </w:rPr>
              <w:t>投标文件中提供</w:t>
            </w:r>
            <w:r>
              <w:rPr>
                <w:rFonts w:hint="eastAsia" w:ascii="宋体" w:hAnsi="宋体" w:eastAsia="宋体" w:cs="宋体"/>
                <w:b/>
                <w:bCs/>
                <w:sz w:val="24"/>
                <w:lang w:eastAsia="zh-CN"/>
              </w:rPr>
              <w:t>食品安全管理员证书（有效期内）、健康证（有效期内）</w:t>
            </w:r>
            <w:r>
              <w:rPr>
                <w:rFonts w:hint="eastAsia" w:ascii="宋体" w:hAnsi="宋体" w:eastAsia="宋体" w:cs="宋体"/>
                <w:b/>
                <w:bCs/>
                <w:sz w:val="24"/>
                <w:lang w:val="en-US" w:eastAsia="zh-CN"/>
              </w:rPr>
              <w:t>及人员在本单位最近一个月的社保缴纳记录复制件并加盖公章</w:t>
            </w:r>
            <w:r>
              <w:rPr>
                <w:rFonts w:hint="eastAsia" w:ascii="宋体" w:hAnsi="宋体" w:eastAsia="宋体" w:cs="宋体"/>
                <w:b/>
                <w:bCs/>
                <w:sz w:val="24"/>
              </w:rPr>
              <w:t>，否则不得分。</w:t>
            </w:r>
          </w:p>
        </w:tc>
        <w:tc>
          <w:tcPr>
            <w:tcW w:w="804" w:type="dxa"/>
            <w:shd w:val="clear" w:color="auto" w:fill="auto"/>
            <w:vAlign w:val="center"/>
          </w:tcPr>
          <w:p w14:paraId="4DF8627B">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5</w:t>
            </w:r>
          </w:p>
        </w:tc>
        <w:tc>
          <w:tcPr>
            <w:tcW w:w="1085" w:type="dxa"/>
            <w:shd w:val="clear" w:color="auto" w:fill="auto"/>
            <w:vAlign w:val="center"/>
          </w:tcPr>
          <w:p w14:paraId="44C8A5F9">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客观分</w:t>
            </w:r>
          </w:p>
        </w:tc>
        <w:tc>
          <w:tcPr>
            <w:tcW w:w="1296" w:type="dxa"/>
            <w:vAlign w:val="center"/>
          </w:tcPr>
          <w:p w14:paraId="3D2417D7">
            <w:pPr>
              <w:snapToGrid w:val="0"/>
              <w:spacing w:line="360" w:lineRule="auto"/>
              <w:jc w:val="center"/>
              <w:rPr>
                <w:rFonts w:hint="eastAsia" w:ascii="宋体" w:hAnsi="宋体" w:eastAsia="宋体" w:cs="宋体"/>
                <w:bCs/>
                <w:sz w:val="24"/>
                <w:highlight w:val="none"/>
              </w:rPr>
            </w:pPr>
          </w:p>
        </w:tc>
      </w:tr>
      <w:tr w14:paraId="1B286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1" w:type="dxa"/>
            <w:vAlign w:val="center"/>
          </w:tcPr>
          <w:p w14:paraId="7E59605A">
            <w:pPr>
              <w:numPr>
                <w:ilvl w:val="0"/>
                <w:numId w:val="2"/>
              </w:numPr>
              <w:snapToGrid w:val="0"/>
              <w:spacing w:line="360" w:lineRule="auto"/>
              <w:ind w:left="425" w:leftChars="0" w:hanging="425" w:firstLineChars="0"/>
              <w:jc w:val="center"/>
              <w:rPr>
                <w:rFonts w:hint="eastAsia" w:ascii="宋体" w:hAnsi="宋体" w:eastAsia="宋体" w:cs="宋体"/>
                <w:bCs/>
                <w:sz w:val="24"/>
                <w:highlight w:val="none"/>
                <w:lang w:val="en-US" w:eastAsia="zh-CN"/>
              </w:rPr>
            </w:pPr>
          </w:p>
        </w:tc>
        <w:tc>
          <w:tcPr>
            <w:tcW w:w="5531" w:type="dxa"/>
            <w:shd w:val="clear" w:color="auto" w:fill="auto"/>
            <w:vAlign w:val="center"/>
          </w:tcPr>
          <w:p w14:paraId="25FFB1EF">
            <w:pPr>
              <w:snapToGrid w:val="0"/>
              <w:spacing w:line="360" w:lineRule="auto"/>
              <w:jc w:val="both"/>
              <w:rPr>
                <w:rFonts w:hint="eastAsia" w:cs="宋体"/>
                <w:sz w:val="24"/>
                <w:lang w:eastAsia="zh-CN"/>
              </w:rPr>
            </w:pPr>
            <w:r>
              <w:rPr>
                <w:rFonts w:hint="eastAsia" w:ascii="宋体" w:hAnsi="宋体" w:eastAsia="宋体" w:cs="宋体"/>
                <w:sz w:val="24"/>
              </w:rPr>
              <w:t>拟投入本项目的食品检验人员：同时具有食品检验员证书、大专及以上学历（食品、生物、化学、医药等相关专业）和健康证（有效期内）得5分</w:t>
            </w:r>
            <w:r>
              <w:rPr>
                <w:rFonts w:hint="eastAsia" w:cs="宋体"/>
                <w:sz w:val="24"/>
                <w:lang w:eastAsia="zh-CN"/>
              </w:rPr>
              <w:t>。</w:t>
            </w:r>
          </w:p>
          <w:p w14:paraId="67510012">
            <w:pPr>
              <w:snapToGrid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b/>
                <w:bCs/>
                <w:sz w:val="24"/>
              </w:rPr>
              <w:t>投标文件中提供</w:t>
            </w:r>
            <w:r>
              <w:rPr>
                <w:rFonts w:hint="eastAsia" w:ascii="宋体" w:hAnsi="宋体" w:eastAsia="宋体" w:cs="宋体"/>
                <w:b/>
                <w:bCs/>
                <w:sz w:val="24"/>
                <w:lang w:eastAsia="zh-CN"/>
              </w:rPr>
              <w:t>食品检验员证书、</w:t>
            </w:r>
            <w:r>
              <w:rPr>
                <w:rFonts w:hint="eastAsia" w:ascii="宋体" w:hAnsi="宋体" w:eastAsia="宋体" w:cs="宋体"/>
                <w:b/>
                <w:bCs/>
                <w:sz w:val="24"/>
                <w:lang w:val="en-US" w:eastAsia="zh-CN"/>
              </w:rPr>
              <w:t>学历证明材料</w:t>
            </w:r>
            <w:r>
              <w:rPr>
                <w:rFonts w:hint="eastAsia" w:cs="宋体"/>
                <w:b/>
                <w:bCs/>
                <w:sz w:val="24"/>
                <w:lang w:val="en-US" w:eastAsia="zh-CN"/>
              </w:rPr>
              <w:t>、健康证（有效期内）及人员在本单位最近一个月的社保缴纳记录复制件并加盖公章</w:t>
            </w:r>
            <w:r>
              <w:rPr>
                <w:rFonts w:hint="eastAsia" w:ascii="宋体" w:hAnsi="宋体" w:eastAsia="宋体" w:cs="宋体"/>
                <w:b/>
                <w:bCs/>
                <w:sz w:val="24"/>
              </w:rPr>
              <w:t>，否则不得分。</w:t>
            </w:r>
          </w:p>
        </w:tc>
        <w:tc>
          <w:tcPr>
            <w:tcW w:w="804" w:type="dxa"/>
            <w:shd w:val="clear" w:color="auto" w:fill="auto"/>
            <w:vAlign w:val="center"/>
          </w:tcPr>
          <w:p w14:paraId="4CDFEA46">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5</w:t>
            </w:r>
          </w:p>
        </w:tc>
        <w:tc>
          <w:tcPr>
            <w:tcW w:w="1085" w:type="dxa"/>
            <w:shd w:val="clear" w:color="auto" w:fill="auto"/>
            <w:vAlign w:val="center"/>
          </w:tcPr>
          <w:p w14:paraId="05CF3FFE">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客观分</w:t>
            </w:r>
          </w:p>
        </w:tc>
        <w:tc>
          <w:tcPr>
            <w:tcW w:w="1296" w:type="dxa"/>
            <w:vAlign w:val="center"/>
          </w:tcPr>
          <w:p w14:paraId="02D89A51">
            <w:pPr>
              <w:snapToGrid w:val="0"/>
              <w:spacing w:line="360" w:lineRule="auto"/>
              <w:jc w:val="center"/>
              <w:rPr>
                <w:rFonts w:hint="eastAsia" w:ascii="宋体" w:hAnsi="宋体" w:eastAsia="宋体" w:cs="宋体"/>
                <w:bCs/>
                <w:sz w:val="24"/>
                <w:highlight w:val="none"/>
                <w:lang w:val="en-US" w:eastAsia="zh-CN"/>
              </w:rPr>
            </w:pPr>
          </w:p>
        </w:tc>
      </w:tr>
      <w:tr w14:paraId="60719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1" w:type="dxa"/>
            <w:vAlign w:val="center"/>
          </w:tcPr>
          <w:p w14:paraId="5311A162">
            <w:pPr>
              <w:numPr>
                <w:ilvl w:val="0"/>
                <w:numId w:val="2"/>
              </w:numPr>
              <w:snapToGrid w:val="0"/>
              <w:spacing w:line="360" w:lineRule="auto"/>
              <w:ind w:left="425" w:leftChars="0" w:hanging="425" w:firstLineChars="0"/>
              <w:jc w:val="center"/>
              <w:rPr>
                <w:rFonts w:hint="eastAsia" w:ascii="宋体" w:hAnsi="宋体" w:eastAsia="宋体" w:cs="宋体"/>
                <w:bCs/>
                <w:sz w:val="24"/>
                <w:highlight w:val="none"/>
                <w:lang w:val="en-US" w:eastAsia="zh-CN"/>
              </w:rPr>
            </w:pPr>
          </w:p>
        </w:tc>
        <w:tc>
          <w:tcPr>
            <w:tcW w:w="5531" w:type="dxa"/>
            <w:shd w:val="clear" w:color="auto" w:fill="auto"/>
            <w:vAlign w:val="center"/>
          </w:tcPr>
          <w:p w14:paraId="51291806">
            <w:pPr>
              <w:snapToGrid w:val="0"/>
              <w:spacing w:line="360" w:lineRule="auto"/>
              <w:jc w:val="both"/>
              <w:rPr>
                <w:rFonts w:hint="eastAsia" w:ascii="宋体" w:hAnsi="宋体" w:eastAsia="宋体" w:cs="宋体"/>
                <w:sz w:val="24"/>
              </w:rPr>
            </w:pPr>
            <w:r>
              <w:rPr>
                <w:rFonts w:hint="eastAsia" w:ascii="宋体" w:hAnsi="宋体" w:eastAsia="宋体" w:cs="宋体"/>
                <w:sz w:val="24"/>
              </w:rPr>
              <w:t>拟投入本项目的驾驶员：</w:t>
            </w:r>
            <w:r>
              <w:rPr>
                <w:rFonts w:hint="eastAsia" w:cs="宋体"/>
                <w:sz w:val="24"/>
                <w:lang w:val="en-US" w:eastAsia="zh-CN"/>
              </w:rPr>
              <w:t>具有</w:t>
            </w:r>
            <w:r>
              <w:rPr>
                <w:rFonts w:hint="eastAsia" w:ascii="宋体" w:hAnsi="宋体" w:eastAsia="宋体" w:cs="宋体"/>
                <w:sz w:val="24"/>
              </w:rPr>
              <w:t>5年及以上驾龄</w:t>
            </w:r>
            <w:r>
              <w:rPr>
                <w:rFonts w:hint="eastAsia" w:cs="宋体"/>
                <w:sz w:val="24"/>
                <w:lang w:eastAsia="zh-CN"/>
              </w:rPr>
              <w:t>，</w:t>
            </w:r>
            <w:r>
              <w:rPr>
                <w:rFonts w:hint="eastAsia" w:ascii="宋体" w:hAnsi="宋体" w:eastAsia="宋体" w:cs="宋体"/>
                <w:sz w:val="24"/>
              </w:rPr>
              <w:t>持C照及以上驾驶员证，每人得</w:t>
            </w:r>
            <w:r>
              <w:rPr>
                <w:rFonts w:hint="eastAsia" w:cs="宋体"/>
                <w:sz w:val="24"/>
                <w:lang w:val="en-US" w:eastAsia="zh-CN"/>
              </w:rPr>
              <w:t>1</w:t>
            </w:r>
            <w:r>
              <w:rPr>
                <w:rFonts w:hint="eastAsia" w:ascii="宋体" w:hAnsi="宋体" w:eastAsia="宋体" w:cs="宋体"/>
                <w:sz w:val="24"/>
              </w:rPr>
              <w:t>分，最多得6分。</w:t>
            </w:r>
          </w:p>
          <w:p w14:paraId="4BDC91E3">
            <w:pPr>
              <w:snapToGrid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b/>
                <w:bCs/>
                <w:sz w:val="24"/>
              </w:rPr>
              <w:t>投标文件中提供人员有效期内驾驶证</w:t>
            </w:r>
            <w:r>
              <w:rPr>
                <w:rFonts w:hint="eastAsia" w:ascii="宋体" w:hAnsi="宋体" w:eastAsia="宋体" w:cs="宋体"/>
                <w:b/>
                <w:bCs/>
                <w:sz w:val="24"/>
                <w:lang w:val="en-US" w:eastAsia="zh-CN"/>
              </w:rPr>
              <w:t>及人员在本单位</w:t>
            </w:r>
            <w:r>
              <w:rPr>
                <w:rFonts w:hint="eastAsia" w:cs="宋体"/>
                <w:b/>
                <w:bCs/>
                <w:sz w:val="24"/>
                <w:lang w:val="en-US" w:eastAsia="zh-CN"/>
              </w:rPr>
              <w:t>最近一个月</w:t>
            </w:r>
            <w:r>
              <w:rPr>
                <w:rFonts w:hint="eastAsia" w:ascii="宋体" w:hAnsi="宋体" w:eastAsia="宋体" w:cs="宋体"/>
                <w:b/>
                <w:bCs/>
                <w:sz w:val="24"/>
                <w:lang w:val="en-US" w:eastAsia="zh-CN"/>
              </w:rPr>
              <w:t>的社保缴纳记录复制件并加盖公章</w:t>
            </w:r>
            <w:r>
              <w:rPr>
                <w:rFonts w:hint="eastAsia" w:ascii="宋体" w:hAnsi="宋体" w:eastAsia="宋体" w:cs="宋体"/>
                <w:b/>
                <w:bCs/>
                <w:sz w:val="24"/>
              </w:rPr>
              <w:t>，否则不得分。</w:t>
            </w:r>
          </w:p>
        </w:tc>
        <w:tc>
          <w:tcPr>
            <w:tcW w:w="804" w:type="dxa"/>
            <w:shd w:val="clear" w:color="auto" w:fill="auto"/>
            <w:vAlign w:val="center"/>
          </w:tcPr>
          <w:p w14:paraId="2AE24462">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6</w:t>
            </w:r>
          </w:p>
        </w:tc>
        <w:tc>
          <w:tcPr>
            <w:tcW w:w="1085" w:type="dxa"/>
            <w:shd w:val="clear" w:color="auto" w:fill="auto"/>
            <w:vAlign w:val="center"/>
          </w:tcPr>
          <w:p w14:paraId="4985F14D">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客观分</w:t>
            </w:r>
          </w:p>
        </w:tc>
        <w:tc>
          <w:tcPr>
            <w:tcW w:w="1296" w:type="dxa"/>
            <w:vAlign w:val="center"/>
          </w:tcPr>
          <w:p w14:paraId="5F0D9A93">
            <w:pPr>
              <w:snapToGrid w:val="0"/>
              <w:spacing w:line="360" w:lineRule="auto"/>
              <w:jc w:val="center"/>
              <w:rPr>
                <w:rFonts w:hint="eastAsia" w:ascii="宋体" w:hAnsi="宋体" w:eastAsia="宋体" w:cs="宋体"/>
                <w:bCs/>
                <w:sz w:val="24"/>
                <w:highlight w:val="none"/>
                <w:lang w:val="en-US" w:eastAsia="zh-CN"/>
              </w:rPr>
            </w:pPr>
          </w:p>
        </w:tc>
      </w:tr>
      <w:tr w14:paraId="5E7F8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1" w:type="dxa"/>
            <w:vAlign w:val="center"/>
          </w:tcPr>
          <w:p w14:paraId="54EF6B75">
            <w:pPr>
              <w:numPr>
                <w:ilvl w:val="0"/>
                <w:numId w:val="2"/>
              </w:numPr>
              <w:snapToGrid w:val="0"/>
              <w:spacing w:line="360" w:lineRule="auto"/>
              <w:ind w:left="425" w:leftChars="0" w:hanging="425" w:firstLineChars="0"/>
              <w:jc w:val="center"/>
              <w:rPr>
                <w:rFonts w:hint="eastAsia" w:ascii="宋体" w:hAnsi="宋体" w:eastAsia="宋体" w:cs="宋体"/>
                <w:bCs/>
                <w:sz w:val="24"/>
                <w:highlight w:val="none"/>
                <w:lang w:val="en-US" w:eastAsia="zh-CN"/>
              </w:rPr>
            </w:pPr>
          </w:p>
        </w:tc>
        <w:tc>
          <w:tcPr>
            <w:tcW w:w="5531" w:type="dxa"/>
            <w:shd w:val="clear" w:color="auto" w:fill="auto"/>
            <w:vAlign w:val="center"/>
          </w:tcPr>
          <w:p w14:paraId="506A2F76">
            <w:pPr>
              <w:snapToGrid w:val="0"/>
              <w:spacing w:line="360" w:lineRule="auto"/>
              <w:jc w:val="both"/>
              <w:rPr>
                <w:rFonts w:hint="eastAsia" w:ascii="宋体" w:hAnsi="宋体" w:eastAsia="宋体" w:cs="宋体"/>
                <w:sz w:val="24"/>
              </w:rPr>
            </w:pPr>
            <w:r>
              <w:rPr>
                <w:rFonts w:hint="eastAsia" w:ascii="宋体" w:hAnsi="宋体" w:eastAsia="宋体" w:cs="宋体"/>
                <w:sz w:val="24"/>
              </w:rPr>
              <w:t>运输能力：提供普通厢式货车每辆得</w:t>
            </w:r>
            <w:r>
              <w:rPr>
                <w:rFonts w:hint="eastAsia" w:cs="宋体"/>
                <w:sz w:val="24"/>
                <w:lang w:val="en-US" w:eastAsia="zh-CN"/>
              </w:rPr>
              <w:t>1</w:t>
            </w:r>
            <w:r>
              <w:rPr>
                <w:rFonts w:hint="eastAsia" w:ascii="宋体" w:hAnsi="宋体" w:eastAsia="宋体" w:cs="宋体"/>
                <w:sz w:val="24"/>
              </w:rPr>
              <w:t>分，最高得2分；提供冷藏车的每辆得</w:t>
            </w:r>
            <w:r>
              <w:rPr>
                <w:rFonts w:hint="eastAsia" w:cs="宋体"/>
                <w:sz w:val="24"/>
                <w:lang w:val="en-US" w:eastAsia="zh-CN"/>
              </w:rPr>
              <w:t>1</w:t>
            </w:r>
            <w:r>
              <w:rPr>
                <w:rFonts w:hint="eastAsia" w:ascii="宋体" w:hAnsi="宋体" w:eastAsia="宋体" w:cs="宋体"/>
                <w:sz w:val="24"/>
              </w:rPr>
              <w:t>分，最高得4分。</w:t>
            </w:r>
          </w:p>
          <w:p w14:paraId="4C7C8CA6">
            <w:pPr>
              <w:snapToGrid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b/>
                <w:bCs/>
                <w:sz w:val="24"/>
              </w:rPr>
              <w:t>自有的在投标文件中提供：行驶证复制件，冷藏车还需提供能够证明具备冷藏属性的相关证明材料复制件，否则不得分；租赁的在提供上述证明材料的同时还需提供租赁合同复制件，否则不得分</w:t>
            </w:r>
          </w:p>
        </w:tc>
        <w:tc>
          <w:tcPr>
            <w:tcW w:w="804" w:type="dxa"/>
            <w:shd w:val="clear" w:color="auto" w:fill="auto"/>
            <w:vAlign w:val="center"/>
          </w:tcPr>
          <w:p w14:paraId="2805C479">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6</w:t>
            </w:r>
          </w:p>
        </w:tc>
        <w:tc>
          <w:tcPr>
            <w:tcW w:w="1085" w:type="dxa"/>
            <w:shd w:val="clear" w:color="auto" w:fill="auto"/>
            <w:vAlign w:val="center"/>
          </w:tcPr>
          <w:p w14:paraId="1EC71451">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客观分</w:t>
            </w:r>
          </w:p>
        </w:tc>
        <w:tc>
          <w:tcPr>
            <w:tcW w:w="1296" w:type="dxa"/>
            <w:vAlign w:val="center"/>
          </w:tcPr>
          <w:p w14:paraId="54A3D0B1">
            <w:pPr>
              <w:snapToGrid w:val="0"/>
              <w:spacing w:line="360" w:lineRule="auto"/>
              <w:jc w:val="center"/>
              <w:rPr>
                <w:rFonts w:hint="eastAsia" w:ascii="宋体" w:hAnsi="宋体" w:eastAsia="宋体" w:cs="宋体"/>
                <w:bCs/>
                <w:sz w:val="24"/>
                <w:highlight w:val="none"/>
              </w:rPr>
            </w:pPr>
          </w:p>
        </w:tc>
      </w:tr>
      <w:tr w14:paraId="26547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1" w:type="dxa"/>
            <w:vAlign w:val="center"/>
          </w:tcPr>
          <w:p w14:paraId="3B7AFB18">
            <w:pPr>
              <w:numPr>
                <w:ilvl w:val="0"/>
                <w:numId w:val="2"/>
              </w:numPr>
              <w:snapToGrid w:val="0"/>
              <w:spacing w:line="360" w:lineRule="auto"/>
              <w:ind w:left="425" w:leftChars="0" w:hanging="425" w:firstLineChars="0"/>
              <w:jc w:val="center"/>
              <w:rPr>
                <w:rFonts w:hint="eastAsia" w:ascii="宋体" w:hAnsi="宋体" w:eastAsia="宋体" w:cs="宋体"/>
                <w:bCs/>
                <w:sz w:val="24"/>
                <w:highlight w:val="none"/>
                <w:lang w:val="en-US" w:eastAsia="zh-CN"/>
              </w:rPr>
            </w:pPr>
          </w:p>
        </w:tc>
        <w:tc>
          <w:tcPr>
            <w:tcW w:w="5531" w:type="dxa"/>
            <w:shd w:val="clear" w:color="auto" w:fill="auto"/>
            <w:vAlign w:val="center"/>
          </w:tcPr>
          <w:p w14:paraId="64FFAF31">
            <w:pPr>
              <w:spacing w:line="360" w:lineRule="auto"/>
              <w:jc w:val="both"/>
              <w:rPr>
                <w:rFonts w:hint="eastAsia" w:ascii="宋体" w:hAnsi="宋体" w:eastAsia="宋体" w:cs="宋体"/>
                <w:sz w:val="24"/>
              </w:rPr>
            </w:pPr>
            <w:r>
              <w:rPr>
                <w:rFonts w:hint="eastAsia" w:ascii="宋体" w:hAnsi="宋体" w:eastAsia="宋体" w:cs="宋体"/>
                <w:sz w:val="24"/>
              </w:rPr>
              <w:t>有效期内的认证体系：投标人具有质量管理体系认证证书得1分；投标人具有环境管理体系认证证书的得1分；投标人具有职业健康安全管理体系认证证书的得1分；投标人具有食品安全管理体系认证证书的得1分；投标人具有危害分析与关键控制点认证证书的得1分。</w:t>
            </w:r>
          </w:p>
          <w:p w14:paraId="370CB735">
            <w:pPr>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b/>
                <w:bCs/>
                <w:sz w:val="24"/>
                <w:lang w:val="en-US" w:eastAsia="zh-CN"/>
              </w:rPr>
              <w:t>投标文件中提供证书扫描件或复印件及全国认证认可信息公共服务平台（http://cx.cnca.cn/CertECloud/index/index/page）的证书网页截图复印件并加盖公章，否则不得分。</w:t>
            </w:r>
          </w:p>
        </w:tc>
        <w:tc>
          <w:tcPr>
            <w:tcW w:w="804" w:type="dxa"/>
            <w:shd w:val="clear" w:color="auto" w:fill="auto"/>
            <w:vAlign w:val="center"/>
          </w:tcPr>
          <w:p w14:paraId="773FF7D1">
            <w:pPr>
              <w:snapToGrid w:val="0"/>
              <w:spacing w:line="360" w:lineRule="auto"/>
              <w:jc w:val="center"/>
              <w:rPr>
                <w:rFonts w:hint="eastAsia" w:ascii="宋体" w:hAnsi="宋体" w:eastAsia="宋体" w:cs="宋体"/>
                <w:kern w:val="2"/>
                <w:sz w:val="24"/>
                <w:szCs w:val="24"/>
                <w:lang w:val="en-US" w:eastAsia="zh-CN" w:bidi="ar-SA"/>
              </w:rPr>
            </w:pPr>
            <w:r>
              <w:rPr>
                <w:rFonts w:hint="eastAsia" w:cs="宋体"/>
                <w:sz w:val="24"/>
                <w:lang w:val="en-US" w:eastAsia="zh-CN"/>
              </w:rPr>
              <w:t>5</w:t>
            </w:r>
          </w:p>
        </w:tc>
        <w:tc>
          <w:tcPr>
            <w:tcW w:w="1085" w:type="dxa"/>
            <w:shd w:val="clear" w:color="auto" w:fill="auto"/>
            <w:vAlign w:val="center"/>
          </w:tcPr>
          <w:p w14:paraId="5DB4CCC2">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客观分</w:t>
            </w:r>
          </w:p>
        </w:tc>
        <w:tc>
          <w:tcPr>
            <w:tcW w:w="1296" w:type="dxa"/>
            <w:vAlign w:val="center"/>
          </w:tcPr>
          <w:p w14:paraId="32FAC12B">
            <w:pPr>
              <w:snapToGrid w:val="0"/>
              <w:spacing w:line="360" w:lineRule="auto"/>
              <w:jc w:val="center"/>
              <w:rPr>
                <w:rFonts w:hint="eastAsia" w:ascii="宋体" w:hAnsi="宋体" w:eastAsia="宋体" w:cs="宋体"/>
                <w:bCs/>
                <w:sz w:val="24"/>
                <w:highlight w:val="none"/>
                <w:lang w:val="en-US" w:eastAsia="zh-CN"/>
              </w:rPr>
            </w:pPr>
          </w:p>
        </w:tc>
      </w:tr>
      <w:tr w14:paraId="31BA1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1" w:type="dxa"/>
            <w:vAlign w:val="center"/>
          </w:tcPr>
          <w:p w14:paraId="4AB560E0">
            <w:pPr>
              <w:numPr>
                <w:ilvl w:val="0"/>
                <w:numId w:val="2"/>
              </w:numPr>
              <w:snapToGrid w:val="0"/>
              <w:spacing w:line="360" w:lineRule="auto"/>
              <w:ind w:left="425" w:leftChars="0" w:hanging="425" w:firstLineChars="0"/>
              <w:jc w:val="center"/>
              <w:rPr>
                <w:rFonts w:hint="eastAsia" w:ascii="宋体" w:hAnsi="宋体" w:eastAsia="宋体" w:cs="宋体"/>
                <w:bCs/>
                <w:sz w:val="24"/>
                <w:highlight w:val="none"/>
                <w:lang w:val="en-US" w:eastAsia="zh-CN"/>
              </w:rPr>
            </w:pPr>
          </w:p>
        </w:tc>
        <w:tc>
          <w:tcPr>
            <w:tcW w:w="5531" w:type="dxa"/>
            <w:shd w:val="clear" w:color="auto" w:fill="auto"/>
            <w:vAlign w:val="center"/>
          </w:tcPr>
          <w:p w14:paraId="1D56BB4A">
            <w:pPr>
              <w:spacing w:line="360" w:lineRule="auto"/>
              <w:jc w:val="both"/>
              <w:rPr>
                <w:rFonts w:hint="eastAsia" w:ascii="宋体" w:hAnsi="宋体" w:eastAsia="宋体" w:cs="宋体"/>
                <w:sz w:val="24"/>
              </w:rPr>
            </w:pPr>
            <w:r>
              <w:rPr>
                <w:rFonts w:hint="eastAsia" w:ascii="宋体" w:hAnsi="宋体" w:eastAsia="宋体" w:cs="宋体"/>
                <w:sz w:val="24"/>
              </w:rPr>
              <w:t>投标人投保食品安全责任保险（有效期内）的且保额在1000万及以上的得</w:t>
            </w:r>
            <w:r>
              <w:rPr>
                <w:rFonts w:hint="eastAsia" w:cs="宋体"/>
                <w:sz w:val="24"/>
                <w:lang w:val="en-US" w:eastAsia="zh-CN"/>
              </w:rPr>
              <w:t>3</w:t>
            </w:r>
            <w:r>
              <w:rPr>
                <w:rFonts w:hint="eastAsia" w:ascii="宋体" w:hAnsi="宋体" w:eastAsia="宋体" w:cs="宋体"/>
                <w:sz w:val="24"/>
              </w:rPr>
              <w:t>分。</w:t>
            </w:r>
          </w:p>
          <w:p w14:paraId="3C04844D">
            <w:pPr>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b/>
                <w:bCs/>
                <w:sz w:val="24"/>
              </w:rPr>
              <w:t>投标文件中提供投标保单</w:t>
            </w:r>
            <w:r>
              <w:rPr>
                <w:rFonts w:hint="eastAsia" w:ascii="宋体" w:hAnsi="宋体" w:eastAsia="宋体" w:cs="宋体"/>
                <w:b/>
                <w:bCs/>
                <w:sz w:val="24"/>
                <w:lang w:eastAsia="zh-CN"/>
              </w:rPr>
              <w:t>复印件</w:t>
            </w:r>
            <w:r>
              <w:rPr>
                <w:rFonts w:hint="eastAsia" w:ascii="宋体" w:hAnsi="宋体" w:eastAsia="宋体" w:cs="宋体"/>
                <w:b/>
                <w:bCs/>
                <w:sz w:val="24"/>
              </w:rPr>
              <w:t>，否则不得分。</w:t>
            </w:r>
          </w:p>
        </w:tc>
        <w:tc>
          <w:tcPr>
            <w:tcW w:w="804" w:type="dxa"/>
            <w:shd w:val="clear" w:color="auto" w:fill="auto"/>
            <w:vAlign w:val="center"/>
          </w:tcPr>
          <w:p w14:paraId="77FC7FCB">
            <w:pPr>
              <w:snapToGrid w:val="0"/>
              <w:spacing w:line="360" w:lineRule="auto"/>
              <w:jc w:val="center"/>
              <w:rPr>
                <w:rFonts w:hint="eastAsia" w:ascii="宋体" w:hAnsi="宋体" w:eastAsia="宋体" w:cs="宋体"/>
                <w:kern w:val="2"/>
                <w:sz w:val="24"/>
                <w:szCs w:val="24"/>
                <w:lang w:val="en-US" w:eastAsia="zh-CN" w:bidi="ar-SA"/>
              </w:rPr>
            </w:pPr>
            <w:r>
              <w:rPr>
                <w:rFonts w:hint="eastAsia" w:cs="宋体"/>
                <w:sz w:val="24"/>
                <w:lang w:val="en-US" w:eastAsia="zh-CN"/>
              </w:rPr>
              <w:t>3</w:t>
            </w:r>
          </w:p>
        </w:tc>
        <w:tc>
          <w:tcPr>
            <w:tcW w:w="1085" w:type="dxa"/>
            <w:shd w:val="clear" w:color="auto" w:fill="auto"/>
            <w:vAlign w:val="center"/>
          </w:tcPr>
          <w:p w14:paraId="4DE32A6D">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客观分</w:t>
            </w:r>
          </w:p>
        </w:tc>
        <w:tc>
          <w:tcPr>
            <w:tcW w:w="1296" w:type="dxa"/>
            <w:vAlign w:val="center"/>
          </w:tcPr>
          <w:p w14:paraId="1A39B626">
            <w:pPr>
              <w:snapToGrid w:val="0"/>
              <w:spacing w:line="360" w:lineRule="auto"/>
              <w:jc w:val="center"/>
              <w:rPr>
                <w:rFonts w:hint="eastAsia" w:ascii="宋体" w:hAnsi="宋体" w:eastAsia="宋体" w:cs="宋体"/>
                <w:bCs/>
                <w:sz w:val="24"/>
                <w:highlight w:val="none"/>
                <w:lang w:val="en-US" w:eastAsia="zh-CN"/>
              </w:rPr>
            </w:pPr>
          </w:p>
        </w:tc>
      </w:tr>
      <w:tr w14:paraId="23F90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1" w:type="dxa"/>
            <w:vAlign w:val="center"/>
          </w:tcPr>
          <w:p w14:paraId="2E26C856">
            <w:pPr>
              <w:numPr>
                <w:ilvl w:val="0"/>
                <w:numId w:val="2"/>
              </w:numPr>
              <w:snapToGrid w:val="0"/>
              <w:spacing w:line="360" w:lineRule="auto"/>
              <w:ind w:left="425" w:leftChars="0" w:hanging="425" w:firstLineChars="0"/>
              <w:jc w:val="center"/>
              <w:rPr>
                <w:rFonts w:hint="eastAsia" w:ascii="宋体" w:hAnsi="宋体" w:eastAsia="宋体" w:cs="宋体"/>
                <w:bCs/>
                <w:sz w:val="24"/>
                <w:highlight w:val="none"/>
                <w:lang w:val="en-US" w:eastAsia="zh-CN"/>
              </w:rPr>
            </w:pPr>
          </w:p>
        </w:tc>
        <w:tc>
          <w:tcPr>
            <w:tcW w:w="5531" w:type="dxa"/>
            <w:shd w:val="clear" w:color="auto" w:fill="auto"/>
            <w:vAlign w:val="center"/>
          </w:tcPr>
          <w:p w14:paraId="1CA99D56">
            <w:pPr>
              <w:snapToGrid w:val="0"/>
              <w:spacing w:line="360" w:lineRule="auto"/>
              <w:jc w:val="both"/>
              <w:rPr>
                <w:rFonts w:hint="eastAsia" w:ascii="宋体" w:hAnsi="宋体" w:eastAsia="宋体" w:cs="宋体"/>
                <w:sz w:val="24"/>
              </w:rPr>
            </w:pPr>
            <w:r>
              <w:rPr>
                <w:rFonts w:hint="eastAsia" w:ascii="宋体" w:hAnsi="宋体" w:eastAsia="宋体" w:cs="宋体"/>
                <w:sz w:val="24"/>
              </w:rPr>
              <w:t>投标人具有蔬果农药残留检测设备得1分，投标人具有肉类药品残留检测设备的得1分，投标人具有金属探测仪的得1分。</w:t>
            </w:r>
          </w:p>
          <w:p w14:paraId="3CE4D12E">
            <w:pPr>
              <w:snapToGrid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b/>
                <w:sz w:val="24"/>
              </w:rPr>
              <w:t>投标文件中提供检测设备照片和发票</w:t>
            </w:r>
            <w:r>
              <w:rPr>
                <w:rFonts w:hint="eastAsia" w:cs="宋体"/>
                <w:b/>
                <w:sz w:val="24"/>
                <w:lang w:eastAsia="zh-CN"/>
              </w:rPr>
              <w:t>复印件</w:t>
            </w:r>
            <w:r>
              <w:rPr>
                <w:rFonts w:hint="eastAsia" w:ascii="宋体" w:hAnsi="宋体" w:eastAsia="宋体" w:cs="宋体"/>
                <w:b/>
                <w:sz w:val="24"/>
              </w:rPr>
              <w:t>，否则不得分。</w:t>
            </w:r>
          </w:p>
        </w:tc>
        <w:tc>
          <w:tcPr>
            <w:tcW w:w="804" w:type="dxa"/>
            <w:shd w:val="clear" w:color="auto" w:fill="auto"/>
            <w:vAlign w:val="center"/>
          </w:tcPr>
          <w:p w14:paraId="344B5151">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3</w:t>
            </w:r>
          </w:p>
        </w:tc>
        <w:tc>
          <w:tcPr>
            <w:tcW w:w="1085" w:type="dxa"/>
            <w:shd w:val="clear" w:color="auto" w:fill="auto"/>
            <w:vAlign w:val="center"/>
          </w:tcPr>
          <w:p w14:paraId="05B4DDDF">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客观分</w:t>
            </w:r>
          </w:p>
        </w:tc>
        <w:tc>
          <w:tcPr>
            <w:tcW w:w="1296" w:type="dxa"/>
            <w:vAlign w:val="center"/>
          </w:tcPr>
          <w:p w14:paraId="605A19DA">
            <w:pPr>
              <w:snapToGrid w:val="0"/>
              <w:spacing w:line="360" w:lineRule="auto"/>
              <w:jc w:val="center"/>
              <w:rPr>
                <w:rFonts w:hint="eastAsia" w:ascii="宋体" w:hAnsi="宋体" w:eastAsia="宋体" w:cs="宋体"/>
                <w:bCs/>
                <w:sz w:val="24"/>
                <w:highlight w:val="none"/>
                <w:lang w:val="en-US" w:eastAsia="zh-CN"/>
              </w:rPr>
            </w:pPr>
          </w:p>
        </w:tc>
      </w:tr>
      <w:tr w14:paraId="3481F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1" w:type="dxa"/>
            <w:vAlign w:val="center"/>
          </w:tcPr>
          <w:p w14:paraId="2FAD584B">
            <w:pPr>
              <w:numPr>
                <w:ilvl w:val="0"/>
                <w:numId w:val="2"/>
              </w:numPr>
              <w:snapToGrid w:val="0"/>
              <w:spacing w:line="360" w:lineRule="auto"/>
              <w:ind w:left="425" w:leftChars="0" w:hanging="425" w:firstLineChars="0"/>
              <w:jc w:val="center"/>
              <w:rPr>
                <w:rFonts w:hint="eastAsia" w:ascii="宋体" w:hAnsi="宋体" w:eastAsia="宋体" w:cs="宋体"/>
                <w:bCs/>
                <w:sz w:val="24"/>
                <w:highlight w:val="none"/>
                <w:lang w:val="en-US" w:eastAsia="zh-CN"/>
              </w:rPr>
            </w:pPr>
          </w:p>
        </w:tc>
        <w:tc>
          <w:tcPr>
            <w:tcW w:w="5531" w:type="dxa"/>
            <w:shd w:val="clear" w:color="auto" w:fill="auto"/>
            <w:vAlign w:val="center"/>
          </w:tcPr>
          <w:p w14:paraId="18189761">
            <w:pPr>
              <w:snapToGrid w:val="0"/>
              <w:spacing w:line="360" w:lineRule="auto"/>
              <w:jc w:val="both"/>
              <w:rPr>
                <w:rFonts w:hint="eastAsia" w:ascii="宋体" w:hAnsi="宋体" w:eastAsia="宋体" w:cs="宋体"/>
                <w:bCs/>
                <w:sz w:val="24"/>
              </w:rPr>
            </w:pPr>
            <w:r>
              <w:rPr>
                <w:rFonts w:hint="eastAsia" w:ascii="宋体" w:hAnsi="宋体" w:eastAsia="宋体" w:cs="宋体"/>
                <w:bCs/>
                <w:sz w:val="24"/>
              </w:rPr>
              <w:t>投标人具有清洗、加工、分拣、存储、消毒、防灭虫设备，每类设备得0.5分，累计最高得3分。</w:t>
            </w:r>
          </w:p>
          <w:p w14:paraId="796DC70D">
            <w:pPr>
              <w:snapToGrid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b/>
                <w:sz w:val="24"/>
              </w:rPr>
              <w:t>投标文件中提供检测设备照片和发票</w:t>
            </w:r>
            <w:r>
              <w:rPr>
                <w:rFonts w:hint="eastAsia" w:cs="宋体"/>
                <w:b/>
                <w:sz w:val="24"/>
                <w:lang w:eastAsia="zh-CN"/>
              </w:rPr>
              <w:t>复印件</w:t>
            </w:r>
            <w:r>
              <w:rPr>
                <w:rFonts w:hint="eastAsia" w:ascii="宋体" w:hAnsi="宋体" w:eastAsia="宋体" w:cs="宋体"/>
                <w:b/>
                <w:sz w:val="24"/>
              </w:rPr>
              <w:t>，否则不得分。</w:t>
            </w:r>
          </w:p>
        </w:tc>
        <w:tc>
          <w:tcPr>
            <w:tcW w:w="804" w:type="dxa"/>
            <w:shd w:val="clear" w:color="auto" w:fill="auto"/>
            <w:vAlign w:val="center"/>
          </w:tcPr>
          <w:p w14:paraId="5492CAA5">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3</w:t>
            </w:r>
          </w:p>
        </w:tc>
        <w:tc>
          <w:tcPr>
            <w:tcW w:w="1085" w:type="dxa"/>
            <w:shd w:val="clear" w:color="auto" w:fill="auto"/>
            <w:vAlign w:val="center"/>
          </w:tcPr>
          <w:p w14:paraId="096A7986">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客观分</w:t>
            </w:r>
          </w:p>
        </w:tc>
        <w:tc>
          <w:tcPr>
            <w:tcW w:w="1296" w:type="dxa"/>
            <w:vAlign w:val="center"/>
          </w:tcPr>
          <w:p w14:paraId="6ED74335">
            <w:pPr>
              <w:snapToGrid w:val="0"/>
              <w:spacing w:line="360" w:lineRule="auto"/>
              <w:jc w:val="center"/>
              <w:rPr>
                <w:rFonts w:hint="eastAsia" w:ascii="宋体" w:hAnsi="宋体" w:eastAsia="宋体" w:cs="宋体"/>
                <w:bCs/>
                <w:sz w:val="24"/>
                <w:highlight w:val="none"/>
                <w:lang w:val="en-US" w:eastAsia="zh-CN"/>
              </w:rPr>
            </w:pPr>
          </w:p>
        </w:tc>
      </w:tr>
      <w:tr w14:paraId="6F5B7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1" w:type="dxa"/>
            <w:vAlign w:val="center"/>
          </w:tcPr>
          <w:p w14:paraId="7054E2DA">
            <w:pPr>
              <w:numPr>
                <w:ilvl w:val="0"/>
                <w:numId w:val="2"/>
              </w:numPr>
              <w:snapToGrid w:val="0"/>
              <w:spacing w:line="360" w:lineRule="auto"/>
              <w:ind w:left="425" w:leftChars="0" w:hanging="425" w:firstLineChars="0"/>
              <w:jc w:val="center"/>
              <w:rPr>
                <w:rFonts w:hint="eastAsia" w:ascii="宋体" w:hAnsi="宋体" w:eastAsia="宋体" w:cs="宋体"/>
                <w:bCs/>
                <w:sz w:val="24"/>
                <w:highlight w:val="none"/>
                <w:lang w:val="en-US" w:eastAsia="zh-CN"/>
              </w:rPr>
            </w:pPr>
          </w:p>
        </w:tc>
        <w:tc>
          <w:tcPr>
            <w:tcW w:w="5531" w:type="dxa"/>
            <w:shd w:val="clear" w:color="auto" w:fill="auto"/>
            <w:vAlign w:val="center"/>
          </w:tcPr>
          <w:p w14:paraId="16A68CAF">
            <w:pPr>
              <w:snapToGrid w:val="0"/>
              <w:spacing w:line="360" w:lineRule="auto"/>
              <w:jc w:val="both"/>
              <w:rPr>
                <w:rFonts w:hint="eastAsia" w:ascii="宋体" w:hAnsi="宋体" w:eastAsia="宋体" w:cs="宋体"/>
                <w:sz w:val="24"/>
              </w:rPr>
            </w:pPr>
            <w:r>
              <w:rPr>
                <w:rFonts w:hint="eastAsia" w:ascii="宋体" w:hAnsi="宋体" w:eastAsia="宋体" w:cs="宋体"/>
                <w:sz w:val="24"/>
              </w:rPr>
              <w:t>1、所供货物的进货渠道（注：蔬菜、水产、水果、肉类、禽蛋类）的进货渠道，供应物品的追溯及索证。有一样得1分，最高得5分。</w:t>
            </w:r>
          </w:p>
          <w:p w14:paraId="4550D111">
            <w:pPr>
              <w:snapToGrid w:val="0"/>
              <w:spacing w:line="360" w:lineRule="auto"/>
              <w:jc w:val="both"/>
              <w:rPr>
                <w:rFonts w:hint="eastAsia" w:ascii="宋体" w:hAnsi="宋体" w:eastAsia="宋体" w:cs="宋体"/>
                <w:b/>
                <w:sz w:val="24"/>
              </w:rPr>
            </w:pPr>
            <w:r>
              <w:rPr>
                <w:rFonts w:hint="eastAsia" w:ascii="宋体" w:hAnsi="宋体" w:eastAsia="宋体" w:cs="宋体"/>
                <w:b/>
                <w:sz w:val="24"/>
              </w:rPr>
              <w:t>投标文件中提供相应证明材料</w:t>
            </w:r>
            <w:r>
              <w:rPr>
                <w:rFonts w:hint="eastAsia" w:cs="宋体"/>
                <w:b/>
                <w:sz w:val="24"/>
                <w:lang w:eastAsia="zh-CN"/>
              </w:rPr>
              <w:t>复印件</w:t>
            </w:r>
            <w:r>
              <w:rPr>
                <w:rFonts w:hint="eastAsia" w:ascii="宋体" w:hAnsi="宋体" w:eastAsia="宋体" w:cs="宋体"/>
                <w:b/>
                <w:sz w:val="24"/>
              </w:rPr>
              <w:t>，否则不得分。</w:t>
            </w:r>
          </w:p>
          <w:p w14:paraId="0A778A2D">
            <w:pPr>
              <w:snapToGrid w:val="0"/>
              <w:spacing w:line="360" w:lineRule="auto"/>
              <w:jc w:val="both"/>
              <w:rPr>
                <w:rFonts w:hint="eastAsia" w:ascii="宋体" w:hAnsi="宋体" w:eastAsia="宋体" w:cs="宋体"/>
                <w:sz w:val="24"/>
              </w:rPr>
            </w:pPr>
            <w:r>
              <w:rPr>
                <w:rFonts w:hint="eastAsia" w:ascii="宋体" w:hAnsi="宋体" w:eastAsia="宋体" w:cs="宋体"/>
                <w:b/>
                <w:sz w:val="24"/>
              </w:rPr>
              <w:t>2、</w:t>
            </w:r>
            <w:r>
              <w:rPr>
                <w:rFonts w:hint="eastAsia" w:ascii="宋体" w:hAnsi="宋体" w:eastAsia="宋体" w:cs="宋体"/>
                <w:sz w:val="24"/>
              </w:rPr>
              <w:t>蔬菜、水产、水果、肉类、禽蛋类投标单位所供货物送第三方检测机构检测报告，有一份得1分，最高得5分。</w:t>
            </w:r>
          </w:p>
          <w:p w14:paraId="67D295DB">
            <w:pPr>
              <w:snapToGrid w:val="0"/>
              <w:spacing w:line="360" w:lineRule="auto"/>
              <w:jc w:val="both"/>
              <w:rPr>
                <w:rFonts w:hint="eastAsia" w:ascii="宋体" w:hAnsi="宋体" w:eastAsia="宋体" w:cs="宋体"/>
                <w:b/>
                <w:kern w:val="2"/>
                <w:sz w:val="24"/>
                <w:szCs w:val="24"/>
                <w:lang w:val="en-US" w:eastAsia="zh-CN" w:bidi="ar-SA"/>
              </w:rPr>
            </w:pPr>
            <w:r>
              <w:rPr>
                <w:rFonts w:hint="eastAsia" w:ascii="宋体" w:hAnsi="宋体" w:eastAsia="宋体" w:cs="宋体"/>
                <w:b/>
                <w:sz w:val="24"/>
              </w:rPr>
              <w:t>投标文件中提供检测报告</w:t>
            </w:r>
            <w:r>
              <w:rPr>
                <w:rFonts w:hint="eastAsia" w:cs="宋体"/>
                <w:b/>
                <w:sz w:val="24"/>
                <w:lang w:eastAsia="zh-CN"/>
              </w:rPr>
              <w:t>复印件</w:t>
            </w:r>
            <w:r>
              <w:rPr>
                <w:rFonts w:hint="eastAsia" w:ascii="宋体" w:hAnsi="宋体" w:eastAsia="宋体" w:cs="宋体"/>
                <w:b/>
                <w:sz w:val="24"/>
              </w:rPr>
              <w:t>，否则不得分。</w:t>
            </w:r>
          </w:p>
        </w:tc>
        <w:tc>
          <w:tcPr>
            <w:tcW w:w="804" w:type="dxa"/>
            <w:shd w:val="clear" w:color="auto" w:fill="auto"/>
            <w:vAlign w:val="center"/>
          </w:tcPr>
          <w:p w14:paraId="41E9D2BF">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10</w:t>
            </w:r>
          </w:p>
        </w:tc>
        <w:tc>
          <w:tcPr>
            <w:tcW w:w="1085" w:type="dxa"/>
            <w:shd w:val="clear" w:color="auto" w:fill="auto"/>
            <w:vAlign w:val="center"/>
          </w:tcPr>
          <w:p w14:paraId="41CC7DC8">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客观分</w:t>
            </w:r>
          </w:p>
        </w:tc>
        <w:tc>
          <w:tcPr>
            <w:tcW w:w="1296" w:type="dxa"/>
            <w:vAlign w:val="center"/>
          </w:tcPr>
          <w:p w14:paraId="5D1091B6">
            <w:pPr>
              <w:snapToGrid w:val="0"/>
              <w:spacing w:line="360" w:lineRule="auto"/>
              <w:jc w:val="center"/>
              <w:rPr>
                <w:rFonts w:hint="eastAsia" w:ascii="宋体" w:hAnsi="宋体" w:eastAsia="宋体" w:cs="宋体"/>
                <w:bCs/>
                <w:sz w:val="24"/>
                <w:highlight w:val="none"/>
                <w:lang w:val="en-US" w:eastAsia="zh-CN"/>
              </w:rPr>
            </w:pPr>
          </w:p>
        </w:tc>
      </w:tr>
      <w:tr w14:paraId="1A8F8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1" w:type="dxa"/>
            <w:vAlign w:val="center"/>
          </w:tcPr>
          <w:p w14:paraId="59782BE5">
            <w:pPr>
              <w:numPr>
                <w:ilvl w:val="0"/>
                <w:numId w:val="2"/>
              </w:numPr>
              <w:snapToGrid w:val="0"/>
              <w:spacing w:line="360" w:lineRule="auto"/>
              <w:ind w:left="425" w:leftChars="0" w:hanging="425" w:firstLineChars="0"/>
              <w:jc w:val="center"/>
              <w:rPr>
                <w:rFonts w:hint="eastAsia" w:ascii="宋体" w:hAnsi="宋体" w:eastAsia="宋体" w:cs="宋体"/>
                <w:bCs/>
                <w:sz w:val="24"/>
                <w:highlight w:val="none"/>
                <w:lang w:val="en-US" w:eastAsia="zh-CN"/>
              </w:rPr>
            </w:pPr>
          </w:p>
        </w:tc>
        <w:tc>
          <w:tcPr>
            <w:tcW w:w="5531" w:type="dxa"/>
            <w:shd w:val="clear" w:color="auto" w:fill="auto"/>
            <w:vAlign w:val="center"/>
          </w:tcPr>
          <w:p w14:paraId="6A017213">
            <w:pPr>
              <w:snapToGrid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sz w:val="24"/>
              </w:rPr>
              <w:t>公司管理制度及公司财务制度和供货质量控制制度：公司管理制度及公司财务制度的规范和供货质量控制制度的健全及合理性的得5分；公司管理制度及公司财务制度的较规范和供货质量控制制度的较健全及较合理性的得3分；仅有公司管理制度及公司财务制度和供货质量控制制度的得1分；其他不得分。</w:t>
            </w:r>
          </w:p>
        </w:tc>
        <w:tc>
          <w:tcPr>
            <w:tcW w:w="804" w:type="dxa"/>
            <w:shd w:val="clear" w:color="auto" w:fill="auto"/>
            <w:vAlign w:val="center"/>
          </w:tcPr>
          <w:p w14:paraId="600D6EC3">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5</w:t>
            </w:r>
          </w:p>
        </w:tc>
        <w:tc>
          <w:tcPr>
            <w:tcW w:w="1085" w:type="dxa"/>
            <w:shd w:val="clear" w:color="auto" w:fill="auto"/>
            <w:vAlign w:val="center"/>
          </w:tcPr>
          <w:p w14:paraId="0880A43E">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主观分</w:t>
            </w:r>
          </w:p>
        </w:tc>
        <w:tc>
          <w:tcPr>
            <w:tcW w:w="1296" w:type="dxa"/>
            <w:vAlign w:val="center"/>
          </w:tcPr>
          <w:p w14:paraId="461C8821">
            <w:pPr>
              <w:snapToGrid w:val="0"/>
              <w:spacing w:line="360" w:lineRule="auto"/>
              <w:jc w:val="center"/>
              <w:rPr>
                <w:rFonts w:hint="eastAsia" w:ascii="宋体" w:hAnsi="宋体" w:eastAsia="宋体" w:cs="宋体"/>
                <w:bCs/>
                <w:sz w:val="24"/>
                <w:highlight w:val="none"/>
                <w:lang w:val="en-US" w:eastAsia="zh-CN"/>
              </w:rPr>
            </w:pPr>
          </w:p>
        </w:tc>
      </w:tr>
      <w:tr w14:paraId="30018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1" w:type="dxa"/>
            <w:vAlign w:val="center"/>
          </w:tcPr>
          <w:p w14:paraId="0FEE92A6">
            <w:pPr>
              <w:numPr>
                <w:ilvl w:val="0"/>
                <w:numId w:val="2"/>
              </w:numPr>
              <w:snapToGrid w:val="0"/>
              <w:spacing w:line="360" w:lineRule="auto"/>
              <w:ind w:left="425" w:leftChars="0" w:hanging="425" w:firstLineChars="0"/>
              <w:jc w:val="center"/>
              <w:rPr>
                <w:rFonts w:hint="eastAsia" w:ascii="宋体" w:hAnsi="宋体" w:eastAsia="宋体" w:cs="宋体"/>
                <w:bCs/>
                <w:sz w:val="24"/>
                <w:highlight w:val="none"/>
                <w:lang w:val="en-US" w:eastAsia="zh-CN"/>
              </w:rPr>
            </w:pPr>
          </w:p>
        </w:tc>
        <w:tc>
          <w:tcPr>
            <w:tcW w:w="5531" w:type="dxa"/>
            <w:shd w:val="clear" w:color="auto" w:fill="auto"/>
            <w:vAlign w:val="center"/>
          </w:tcPr>
          <w:p w14:paraId="21ACC60E">
            <w:pPr>
              <w:snapToGrid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sz w:val="24"/>
              </w:rPr>
              <w:t>针对本项目的配送实施方案：总体部署科学、供货措施合理、运输、现场管理计划可行的得5分；总体部署较科学、供货措施较合理、运输、现场管理计划较可行的得3分；总体部署一般、供货措施一般、运输、现场管理计划一般的得1分；其他不得分。</w:t>
            </w:r>
          </w:p>
        </w:tc>
        <w:tc>
          <w:tcPr>
            <w:tcW w:w="804" w:type="dxa"/>
            <w:shd w:val="clear" w:color="auto" w:fill="auto"/>
            <w:vAlign w:val="center"/>
          </w:tcPr>
          <w:p w14:paraId="58A28A19">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5</w:t>
            </w:r>
          </w:p>
        </w:tc>
        <w:tc>
          <w:tcPr>
            <w:tcW w:w="1085" w:type="dxa"/>
            <w:shd w:val="clear" w:color="auto" w:fill="auto"/>
            <w:vAlign w:val="center"/>
          </w:tcPr>
          <w:p w14:paraId="32296F7F">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主观分</w:t>
            </w:r>
          </w:p>
        </w:tc>
        <w:tc>
          <w:tcPr>
            <w:tcW w:w="1296" w:type="dxa"/>
            <w:vAlign w:val="center"/>
          </w:tcPr>
          <w:p w14:paraId="0B59AA69">
            <w:pPr>
              <w:snapToGrid w:val="0"/>
              <w:spacing w:line="360" w:lineRule="auto"/>
              <w:jc w:val="center"/>
              <w:rPr>
                <w:rFonts w:hint="eastAsia" w:ascii="宋体" w:hAnsi="宋体" w:eastAsia="宋体" w:cs="宋体"/>
                <w:bCs/>
                <w:sz w:val="24"/>
                <w:highlight w:val="none"/>
                <w:lang w:val="en-US" w:eastAsia="zh-CN"/>
              </w:rPr>
            </w:pPr>
          </w:p>
        </w:tc>
      </w:tr>
      <w:tr w14:paraId="7D210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1" w:type="dxa"/>
            <w:vAlign w:val="center"/>
          </w:tcPr>
          <w:p w14:paraId="36473A8C">
            <w:pPr>
              <w:numPr>
                <w:ilvl w:val="0"/>
                <w:numId w:val="2"/>
              </w:numPr>
              <w:snapToGrid w:val="0"/>
              <w:spacing w:line="360" w:lineRule="auto"/>
              <w:ind w:left="425" w:leftChars="0" w:hanging="425" w:firstLineChars="0"/>
              <w:jc w:val="center"/>
              <w:rPr>
                <w:rFonts w:hint="eastAsia" w:ascii="宋体" w:hAnsi="宋体" w:eastAsia="宋体" w:cs="宋体"/>
                <w:bCs/>
                <w:sz w:val="24"/>
                <w:highlight w:val="none"/>
                <w:lang w:val="en-US" w:eastAsia="zh-CN"/>
              </w:rPr>
            </w:pPr>
          </w:p>
        </w:tc>
        <w:tc>
          <w:tcPr>
            <w:tcW w:w="5531" w:type="dxa"/>
            <w:shd w:val="clear" w:color="auto" w:fill="auto"/>
            <w:vAlign w:val="center"/>
          </w:tcPr>
          <w:p w14:paraId="18FEF341">
            <w:pPr>
              <w:snapToGrid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sz w:val="24"/>
              </w:rPr>
              <w:t>投标单位针对本项目提供的退货承诺及处置措施科学合理的得5分；退货承诺及处置措施较科学较合理的得3分；退货承诺及处置措施一般的得1分；其他不得分。</w:t>
            </w:r>
          </w:p>
        </w:tc>
        <w:tc>
          <w:tcPr>
            <w:tcW w:w="804" w:type="dxa"/>
            <w:shd w:val="clear" w:color="auto" w:fill="auto"/>
            <w:vAlign w:val="center"/>
          </w:tcPr>
          <w:p w14:paraId="58B79C8E">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5</w:t>
            </w:r>
          </w:p>
        </w:tc>
        <w:tc>
          <w:tcPr>
            <w:tcW w:w="1085" w:type="dxa"/>
            <w:shd w:val="clear" w:color="auto" w:fill="auto"/>
            <w:vAlign w:val="center"/>
          </w:tcPr>
          <w:p w14:paraId="0E33BDEA">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主观分</w:t>
            </w:r>
          </w:p>
        </w:tc>
        <w:tc>
          <w:tcPr>
            <w:tcW w:w="1296" w:type="dxa"/>
            <w:vAlign w:val="center"/>
          </w:tcPr>
          <w:p w14:paraId="25BF30E0">
            <w:pPr>
              <w:snapToGrid w:val="0"/>
              <w:spacing w:line="360" w:lineRule="auto"/>
              <w:jc w:val="center"/>
              <w:rPr>
                <w:rFonts w:hint="eastAsia" w:ascii="宋体" w:hAnsi="宋体" w:eastAsia="宋体" w:cs="宋体"/>
                <w:bCs/>
                <w:sz w:val="24"/>
                <w:highlight w:val="none"/>
                <w:lang w:val="en-US" w:eastAsia="zh-CN"/>
              </w:rPr>
            </w:pPr>
          </w:p>
        </w:tc>
      </w:tr>
      <w:tr w14:paraId="76CC5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1" w:type="dxa"/>
            <w:vAlign w:val="center"/>
          </w:tcPr>
          <w:p w14:paraId="20196991">
            <w:pPr>
              <w:numPr>
                <w:ilvl w:val="0"/>
                <w:numId w:val="2"/>
              </w:numPr>
              <w:snapToGrid w:val="0"/>
              <w:spacing w:line="360" w:lineRule="auto"/>
              <w:ind w:left="425" w:leftChars="0" w:hanging="425" w:firstLineChars="0"/>
              <w:jc w:val="center"/>
              <w:rPr>
                <w:rFonts w:hint="eastAsia" w:ascii="宋体" w:hAnsi="宋体" w:eastAsia="宋体" w:cs="宋体"/>
                <w:bCs/>
                <w:sz w:val="24"/>
                <w:highlight w:val="none"/>
                <w:lang w:val="en-US" w:eastAsia="zh-CN"/>
              </w:rPr>
            </w:pPr>
          </w:p>
        </w:tc>
        <w:tc>
          <w:tcPr>
            <w:tcW w:w="5531" w:type="dxa"/>
            <w:shd w:val="clear" w:color="auto" w:fill="auto"/>
            <w:vAlign w:val="center"/>
          </w:tcPr>
          <w:p w14:paraId="4EF7F0D8">
            <w:pPr>
              <w:snapToGrid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sz w:val="24"/>
              </w:rPr>
              <w:t>投标单位针对本项目食材配送过程中，发生的恶劣天气及交通意外等紧急状况的应急实施方案科学合理的得5分；针对本项目食材配送过程中，发生的恶劣天气及交通意外等紧急状况的应急实施方案较科学较合理的得3分；仅有针对本项目食材配送过程中，发生的恶劣天气及交通意外等紧急状况的应急实施的得1分；其他不得分。</w:t>
            </w:r>
          </w:p>
        </w:tc>
        <w:tc>
          <w:tcPr>
            <w:tcW w:w="804" w:type="dxa"/>
            <w:shd w:val="clear" w:color="auto" w:fill="auto"/>
            <w:vAlign w:val="center"/>
          </w:tcPr>
          <w:p w14:paraId="24AAC563">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5</w:t>
            </w:r>
          </w:p>
        </w:tc>
        <w:tc>
          <w:tcPr>
            <w:tcW w:w="1085" w:type="dxa"/>
            <w:shd w:val="clear" w:color="auto" w:fill="auto"/>
            <w:vAlign w:val="center"/>
          </w:tcPr>
          <w:p w14:paraId="472BADFD">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主观分</w:t>
            </w:r>
          </w:p>
        </w:tc>
        <w:tc>
          <w:tcPr>
            <w:tcW w:w="1296" w:type="dxa"/>
            <w:vAlign w:val="center"/>
          </w:tcPr>
          <w:p w14:paraId="29544AA0">
            <w:pPr>
              <w:snapToGrid w:val="0"/>
              <w:spacing w:line="360" w:lineRule="auto"/>
              <w:jc w:val="center"/>
              <w:rPr>
                <w:rFonts w:hint="eastAsia" w:ascii="宋体" w:hAnsi="宋体" w:eastAsia="宋体" w:cs="宋体"/>
                <w:bCs/>
                <w:sz w:val="24"/>
                <w:highlight w:val="none"/>
                <w:lang w:val="en-US" w:eastAsia="zh-CN"/>
              </w:rPr>
            </w:pPr>
          </w:p>
        </w:tc>
      </w:tr>
      <w:tr w14:paraId="2DC84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1" w:type="dxa"/>
            <w:vAlign w:val="center"/>
          </w:tcPr>
          <w:p w14:paraId="2EF5245D">
            <w:pPr>
              <w:numPr>
                <w:ilvl w:val="0"/>
                <w:numId w:val="2"/>
              </w:numPr>
              <w:snapToGrid w:val="0"/>
              <w:spacing w:line="360" w:lineRule="auto"/>
              <w:ind w:left="425" w:leftChars="0" w:hanging="425" w:firstLineChars="0"/>
              <w:jc w:val="center"/>
              <w:rPr>
                <w:rFonts w:hint="eastAsia" w:ascii="宋体" w:hAnsi="宋体" w:eastAsia="宋体" w:cs="宋体"/>
                <w:bCs/>
                <w:sz w:val="24"/>
                <w:highlight w:val="none"/>
                <w:lang w:val="en-US" w:eastAsia="zh-CN"/>
              </w:rPr>
            </w:pPr>
          </w:p>
        </w:tc>
        <w:tc>
          <w:tcPr>
            <w:tcW w:w="5531" w:type="dxa"/>
            <w:shd w:val="clear" w:color="auto" w:fill="auto"/>
            <w:vAlign w:val="center"/>
          </w:tcPr>
          <w:p w14:paraId="2F09000D">
            <w:pPr>
              <w:snapToGrid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sz w:val="24"/>
              </w:rPr>
              <w:t>投标单位针对本项目难点、特点、重点分析及应对措施：对本次配送服务重点、特点、难点的理解和应对措施科学合理的得5分；针对本项目难点、重点分析及应对措施：对本次配送服务重点、特点、难点的理解和应对措施较科学较合理的得3分；仅有针对本项目难点、重点分析及应对措施的得1分；其他不得分。</w:t>
            </w:r>
          </w:p>
        </w:tc>
        <w:tc>
          <w:tcPr>
            <w:tcW w:w="804" w:type="dxa"/>
            <w:shd w:val="clear" w:color="auto" w:fill="auto"/>
            <w:vAlign w:val="center"/>
          </w:tcPr>
          <w:p w14:paraId="1C0B905B">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5</w:t>
            </w:r>
          </w:p>
        </w:tc>
        <w:tc>
          <w:tcPr>
            <w:tcW w:w="1085" w:type="dxa"/>
            <w:shd w:val="clear" w:color="auto" w:fill="auto"/>
            <w:vAlign w:val="center"/>
          </w:tcPr>
          <w:p w14:paraId="04B3A8BF">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主观分</w:t>
            </w:r>
          </w:p>
        </w:tc>
        <w:tc>
          <w:tcPr>
            <w:tcW w:w="1296" w:type="dxa"/>
            <w:vAlign w:val="center"/>
          </w:tcPr>
          <w:p w14:paraId="3C56CB6A">
            <w:pPr>
              <w:snapToGrid w:val="0"/>
              <w:spacing w:line="360" w:lineRule="auto"/>
              <w:jc w:val="center"/>
              <w:rPr>
                <w:rFonts w:hint="eastAsia" w:ascii="宋体" w:hAnsi="宋体" w:eastAsia="宋体" w:cs="宋体"/>
                <w:bCs/>
                <w:sz w:val="24"/>
                <w:highlight w:val="none"/>
                <w:lang w:val="en-US" w:eastAsia="zh-CN"/>
              </w:rPr>
            </w:pPr>
          </w:p>
        </w:tc>
      </w:tr>
      <w:tr w14:paraId="1087F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1" w:type="dxa"/>
            <w:vAlign w:val="center"/>
          </w:tcPr>
          <w:p w14:paraId="10135FD0">
            <w:pPr>
              <w:numPr>
                <w:ilvl w:val="0"/>
                <w:numId w:val="2"/>
              </w:numPr>
              <w:snapToGrid w:val="0"/>
              <w:spacing w:line="360" w:lineRule="auto"/>
              <w:ind w:left="425" w:leftChars="0" w:hanging="425" w:firstLineChars="0"/>
              <w:jc w:val="center"/>
              <w:rPr>
                <w:rFonts w:hint="eastAsia" w:ascii="宋体" w:hAnsi="宋体" w:eastAsia="宋体" w:cs="宋体"/>
                <w:bCs/>
                <w:sz w:val="24"/>
                <w:highlight w:val="none"/>
                <w:lang w:val="en-US" w:eastAsia="zh-CN"/>
              </w:rPr>
            </w:pPr>
          </w:p>
        </w:tc>
        <w:tc>
          <w:tcPr>
            <w:tcW w:w="5531" w:type="dxa"/>
            <w:shd w:val="clear" w:color="auto" w:fill="auto"/>
            <w:vAlign w:val="center"/>
          </w:tcPr>
          <w:p w14:paraId="1BAE32CF">
            <w:pPr>
              <w:snapToGrid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sz w:val="24"/>
              </w:rPr>
              <w:t>售后服务方案及售后服务人员安排情况，提供姓名、售后岗位、岗位职责、联系方式，服务响应时间、售后服务解决方案；响应时间短、人员配备充足、职责清晰和解决方案充分得5分；响应时间一般，人员配备较充足、职责较清晰和解决方案较合理得3分；响应时间长，人员配备、职责和解决方案一般1分，其他不得分。</w:t>
            </w:r>
          </w:p>
        </w:tc>
        <w:tc>
          <w:tcPr>
            <w:tcW w:w="804" w:type="dxa"/>
            <w:shd w:val="clear" w:color="auto" w:fill="auto"/>
            <w:vAlign w:val="center"/>
          </w:tcPr>
          <w:p w14:paraId="7D1517C6">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5</w:t>
            </w:r>
          </w:p>
        </w:tc>
        <w:tc>
          <w:tcPr>
            <w:tcW w:w="1085" w:type="dxa"/>
            <w:shd w:val="clear" w:color="auto" w:fill="auto"/>
            <w:vAlign w:val="center"/>
          </w:tcPr>
          <w:p w14:paraId="057860E0">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主观分</w:t>
            </w:r>
          </w:p>
        </w:tc>
        <w:tc>
          <w:tcPr>
            <w:tcW w:w="1296" w:type="dxa"/>
            <w:vAlign w:val="center"/>
          </w:tcPr>
          <w:p w14:paraId="610A901A">
            <w:pPr>
              <w:snapToGrid w:val="0"/>
              <w:spacing w:line="360" w:lineRule="auto"/>
              <w:jc w:val="center"/>
              <w:rPr>
                <w:rFonts w:hint="eastAsia" w:ascii="宋体" w:hAnsi="宋体" w:eastAsia="宋体" w:cs="宋体"/>
                <w:bCs/>
                <w:sz w:val="24"/>
                <w:highlight w:val="none"/>
                <w:lang w:val="en-US" w:eastAsia="zh-CN"/>
              </w:rPr>
            </w:pPr>
          </w:p>
        </w:tc>
      </w:tr>
      <w:tr w14:paraId="335DF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1" w:type="dxa"/>
            <w:vAlign w:val="center"/>
          </w:tcPr>
          <w:p w14:paraId="3355CC1D">
            <w:pPr>
              <w:numPr>
                <w:ilvl w:val="0"/>
                <w:numId w:val="2"/>
              </w:numPr>
              <w:snapToGrid w:val="0"/>
              <w:spacing w:line="360" w:lineRule="auto"/>
              <w:ind w:left="425" w:leftChars="0" w:hanging="425" w:firstLineChars="0"/>
              <w:jc w:val="center"/>
              <w:rPr>
                <w:rFonts w:hint="eastAsia" w:ascii="宋体" w:hAnsi="宋体" w:eastAsia="宋体" w:cs="宋体"/>
                <w:bCs/>
                <w:sz w:val="24"/>
                <w:highlight w:val="none"/>
                <w:lang w:val="en-US" w:eastAsia="zh-CN"/>
              </w:rPr>
            </w:pPr>
          </w:p>
        </w:tc>
        <w:tc>
          <w:tcPr>
            <w:tcW w:w="5531" w:type="dxa"/>
            <w:shd w:val="clear" w:color="auto" w:fill="auto"/>
            <w:vAlign w:val="center"/>
          </w:tcPr>
          <w:p w14:paraId="1164A24A">
            <w:pPr>
              <w:snapToGrid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sz w:val="24"/>
              </w:rPr>
              <w:t>优惠条件、特色服务及合理化建议，评标委员会根据各投标人提供的优惠条件及特色服务及合理化建议；符合的得5分；部分符合的得3分；其他不得分。</w:t>
            </w:r>
          </w:p>
        </w:tc>
        <w:tc>
          <w:tcPr>
            <w:tcW w:w="804" w:type="dxa"/>
            <w:shd w:val="clear" w:color="auto" w:fill="auto"/>
            <w:vAlign w:val="center"/>
          </w:tcPr>
          <w:p w14:paraId="301E5B69">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5</w:t>
            </w:r>
          </w:p>
        </w:tc>
        <w:tc>
          <w:tcPr>
            <w:tcW w:w="1085" w:type="dxa"/>
            <w:shd w:val="clear" w:color="auto" w:fill="auto"/>
            <w:vAlign w:val="center"/>
          </w:tcPr>
          <w:p w14:paraId="5BA26596">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主观分</w:t>
            </w:r>
          </w:p>
        </w:tc>
        <w:tc>
          <w:tcPr>
            <w:tcW w:w="1296" w:type="dxa"/>
            <w:vAlign w:val="center"/>
          </w:tcPr>
          <w:p w14:paraId="20F5AC23">
            <w:pPr>
              <w:snapToGrid w:val="0"/>
              <w:spacing w:line="360" w:lineRule="auto"/>
              <w:jc w:val="center"/>
              <w:rPr>
                <w:rFonts w:hint="eastAsia" w:ascii="宋体" w:hAnsi="宋体" w:eastAsia="宋体" w:cs="宋体"/>
                <w:bCs/>
                <w:sz w:val="24"/>
                <w:highlight w:val="none"/>
                <w:lang w:val="en-US" w:eastAsia="zh-CN"/>
              </w:rPr>
            </w:pPr>
          </w:p>
        </w:tc>
      </w:tr>
      <w:tr w14:paraId="4E9C9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1" w:type="dxa"/>
            <w:vAlign w:val="center"/>
          </w:tcPr>
          <w:p w14:paraId="2A60C925">
            <w:pPr>
              <w:numPr>
                <w:ilvl w:val="0"/>
                <w:numId w:val="2"/>
              </w:numPr>
              <w:snapToGrid w:val="0"/>
              <w:spacing w:line="360" w:lineRule="auto"/>
              <w:ind w:left="425" w:leftChars="0" w:hanging="425" w:firstLineChars="0"/>
              <w:jc w:val="center"/>
              <w:rPr>
                <w:rFonts w:hint="eastAsia" w:ascii="宋体" w:hAnsi="宋体" w:eastAsia="宋体" w:cs="宋体"/>
                <w:bCs/>
                <w:sz w:val="24"/>
                <w:highlight w:val="none"/>
                <w:lang w:val="en-US" w:eastAsia="zh-CN"/>
              </w:rPr>
            </w:pPr>
          </w:p>
        </w:tc>
        <w:tc>
          <w:tcPr>
            <w:tcW w:w="5531" w:type="dxa"/>
            <w:shd w:val="clear" w:color="auto" w:fill="auto"/>
            <w:vAlign w:val="center"/>
          </w:tcPr>
          <w:p w14:paraId="061758B3">
            <w:pPr>
              <w:snapToGrid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sz w:val="24"/>
              </w:rPr>
              <w:t>货源保障情况：货物的来源、供货渠道情况以及保障各环节食品安全的措施和制度。渠道正规，来源可追溯，符合得4分，部分满足得2分，其他不得分。</w:t>
            </w:r>
          </w:p>
        </w:tc>
        <w:tc>
          <w:tcPr>
            <w:tcW w:w="804" w:type="dxa"/>
            <w:shd w:val="clear" w:color="auto" w:fill="auto"/>
            <w:vAlign w:val="center"/>
          </w:tcPr>
          <w:p w14:paraId="3C24F59F">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4</w:t>
            </w:r>
          </w:p>
        </w:tc>
        <w:tc>
          <w:tcPr>
            <w:tcW w:w="1085" w:type="dxa"/>
            <w:shd w:val="clear" w:color="auto" w:fill="auto"/>
            <w:vAlign w:val="center"/>
          </w:tcPr>
          <w:p w14:paraId="68BC190C">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主观分</w:t>
            </w:r>
          </w:p>
        </w:tc>
        <w:tc>
          <w:tcPr>
            <w:tcW w:w="1296" w:type="dxa"/>
            <w:vAlign w:val="center"/>
          </w:tcPr>
          <w:p w14:paraId="2CF78B9B">
            <w:pPr>
              <w:snapToGrid w:val="0"/>
              <w:spacing w:line="360" w:lineRule="auto"/>
              <w:jc w:val="center"/>
              <w:rPr>
                <w:rFonts w:hint="eastAsia" w:ascii="宋体" w:hAnsi="宋体" w:eastAsia="宋体" w:cs="宋体"/>
                <w:bCs/>
                <w:sz w:val="24"/>
                <w:highlight w:val="none"/>
                <w:lang w:val="en-US" w:eastAsia="zh-CN"/>
              </w:rPr>
            </w:pPr>
          </w:p>
        </w:tc>
      </w:tr>
      <w:tr w14:paraId="44587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1" w:type="dxa"/>
            <w:vAlign w:val="center"/>
          </w:tcPr>
          <w:p w14:paraId="669DD9B5">
            <w:pPr>
              <w:numPr>
                <w:ilvl w:val="0"/>
                <w:numId w:val="2"/>
              </w:numPr>
              <w:snapToGrid w:val="0"/>
              <w:spacing w:line="360" w:lineRule="auto"/>
              <w:ind w:left="425" w:leftChars="0" w:hanging="425" w:firstLineChars="0"/>
              <w:jc w:val="center"/>
              <w:rPr>
                <w:rFonts w:hint="eastAsia" w:ascii="宋体" w:hAnsi="宋体" w:eastAsia="宋体" w:cs="宋体"/>
                <w:bCs/>
                <w:sz w:val="24"/>
                <w:highlight w:val="none"/>
                <w:lang w:val="en-US" w:eastAsia="zh-CN"/>
              </w:rPr>
            </w:pPr>
          </w:p>
        </w:tc>
        <w:tc>
          <w:tcPr>
            <w:tcW w:w="5531" w:type="dxa"/>
            <w:shd w:val="clear" w:color="auto" w:fill="auto"/>
            <w:vAlign w:val="center"/>
          </w:tcPr>
          <w:p w14:paraId="420DE9F0">
            <w:pPr>
              <w:spacing w:line="360" w:lineRule="auto"/>
              <w:jc w:val="both"/>
              <w:rPr>
                <w:rFonts w:hint="eastAsia" w:ascii="宋体" w:hAnsi="宋体" w:eastAsia="宋体" w:cs="宋体"/>
                <w:b/>
                <w:bCs/>
                <w:sz w:val="24"/>
              </w:rPr>
            </w:pPr>
            <w:r>
              <w:rPr>
                <w:rFonts w:hint="eastAsia" w:ascii="宋体" w:hAnsi="宋体" w:eastAsia="宋体" w:cs="宋体"/>
                <w:b/>
                <w:bCs/>
                <w:sz w:val="24"/>
              </w:rPr>
              <w:t>标项一：</w:t>
            </w:r>
          </w:p>
          <w:p w14:paraId="4EF0ED5B">
            <w:pPr>
              <w:spacing w:line="360" w:lineRule="auto"/>
              <w:jc w:val="both"/>
              <w:rPr>
                <w:rFonts w:hint="eastAsia" w:ascii="宋体" w:hAnsi="宋体" w:eastAsia="宋体" w:cs="宋体"/>
                <w:sz w:val="24"/>
              </w:rPr>
            </w:pPr>
            <w:r>
              <w:rPr>
                <w:rFonts w:hint="eastAsia" w:ascii="宋体" w:hAnsi="宋体" w:eastAsia="宋体" w:cs="宋体"/>
                <w:sz w:val="24"/>
              </w:rPr>
              <w:t>有效投标报价的最低价作为评标基准价，其最低报价为满分；按［投标报价得分=（评标基准价/投标报价）*权重］的计算公式计算（报价得分保留两位小数，后一位四舍五入）。</w:t>
            </w:r>
          </w:p>
          <w:p w14:paraId="4CF49B22">
            <w:pPr>
              <w:spacing w:line="360" w:lineRule="auto"/>
              <w:jc w:val="both"/>
              <w:rPr>
                <w:rFonts w:hint="eastAsia" w:ascii="宋体" w:hAnsi="宋体" w:eastAsia="宋体" w:cs="宋体"/>
                <w:sz w:val="24"/>
              </w:rPr>
            </w:pPr>
            <w:r>
              <w:rPr>
                <w:rFonts w:hint="eastAsia" w:ascii="宋体" w:hAnsi="宋体" w:eastAsia="宋体" w:cs="宋体"/>
                <w:sz w:val="24"/>
              </w:rPr>
              <w:t>评标过程中，不得去掉报价中的最高报价和最低报价。</w:t>
            </w:r>
          </w:p>
          <w:p w14:paraId="4CE6AD68">
            <w:pPr>
              <w:spacing w:line="360" w:lineRule="auto"/>
              <w:jc w:val="both"/>
              <w:rPr>
                <w:rFonts w:hint="eastAsia" w:ascii="宋体" w:hAnsi="宋体" w:eastAsia="宋体" w:cs="宋体"/>
                <w:sz w:val="24"/>
              </w:rPr>
            </w:pPr>
            <w:r>
              <w:rPr>
                <w:rFonts w:hint="eastAsia" w:ascii="宋体" w:hAnsi="宋体" w:eastAsia="宋体" w:cs="宋体"/>
                <w:sz w:val="24"/>
              </w:rPr>
              <w:t>分值分配：</w:t>
            </w:r>
            <w:bookmarkStart w:id="0" w:name="OLE_LINK2"/>
            <w:r>
              <w:rPr>
                <w:rFonts w:hint="eastAsia" w:ascii="宋体" w:hAnsi="宋体" w:eastAsia="宋体" w:cs="宋体"/>
                <w:sz w:val="24"/>
              </w:rPr>
              <w:t>冷冻品类</w:t>
            </w:r>
            <w:r>
              <w:rPr>
                <w:rFonts w:hint="eastAsia" w:ascii="宋体" w:hAnsi="宋体" w:eastAsia="宋体" w:cs="宋体"/>
                <w:sz w:val="24"/>
                <w:lang w:val="en-US"/>
              </w:rPr>
              <w:t>（包含速冻面食）</w:t>
            </w:r>
            <w:r>
              <w:rPr>
                <w:rFonts w:hint="eastAsia" w:ascii="宋体" w:hAnsi="宋体" w:eastAsia="宋体" w:cs="宋体"/>
                <w:sz w:val="24"/>
              </w:rPr>
              <w:t>（1分）+豆制品类（1分）+蔬菜类（1分）+蛋类（</w:t>
            </w:r>
            <w:r>
              <w:rPr>
                <w:rFonts w:hint="eastAsia" w:cs="宋体"/>
                <w:sz w:val="24"/>
                <w:lang w:val="en-US" w:eastAsia="zh-CN"/>
              </w:rPr>
              <w:t>1</w:t>
            </w:r>
            <w:r>
              <w:rPr>
                <w:rFonts w:hint="eastAsia" w:ascii="宋体" w:hAnsi="宋体" w:eastAsia="宋体" w:cs="宋体"/>
                <w:sz w:val="24"/>
              </w:rPr>
              <w:t>分）+水产类（1分）+肉类</w:t>
            </w:r>
            <w:r>
              <w:rPr>
                <w:rFonts w:hint="eastAsia" w:ascii="宋体" w:hAnsi="宋体" w:eastAsia="宋体" w:cs="宋体"/>
                <w:sz w:val="24"/>
                <w:lang w:val="en-US"/>
              </w:rPr>
              <w:t>（包含腌制品）</w:t>
            </w:r>
            <w:r>
              <w:rPr>
                <w:rFonts w:hint="eastAsia" w:ascii="宋体" w:hAnsi="宋体" w:eastAsia="宋体" w:cs="宋体"/>
                <w:sz w:val="24"/>
              </w:rPr>
              <w:t>（</w:t>
            </w:r>
            <w:r>
              <w:rPr>
                <w:rFonts w:hint="eastAsia" w:cs="宋体"/>
                <w:sz w:val="24"/>
                <w:lang w:val="en-US" w:eastAsia="zh-CN"/>
              </w:rPr>
              <w:t>2</w:t>
            </w:r>
            <w:r>
              <w:rPr>
                <w:rFonts w:hint="eastAsia" w:ascii="宋体" w:hAnsi="宋体" w:eastAsia="宋体" w:cs="宋体"/>
                <w:sz w:val="24"/>
              </w:rPr>
              <w:t>分）+禽类</w:t>
            </w:r>
            <w:r>
              <w:rPr>
                <w:rFonts w:hint="eastAsia" w:ascii="宋体" w:hAnsi="宋体" w:eastAsia="宋体" w:cs="宋体"/>
                <w:sz w:val="24"/>
                <w:lang w:val="en-US"/>
              </w:rPr>
              <w:t>（包含腌制品）</w:t>
            </w:r>
            <w:r>
              <w:rPr>
                <w:rFonts w:hint="eastAsia" w:ascii="宋体" w:hAnsi="宋体" w:eastAsia="宋体" w:cs="宋体"/>
                <w:sz w:val="24"/>
              </w:rPr>
              <w:t>（1.5分）+干货类（1.5分）</w:t>
            </w:r>
            <w:bookmarkEnd w:id="0"/>
            <w:r>
              <w:rPr>
                <w:rFonts w:hint="eastAsia" w:ascii="宋体" w:hAnsi="宋体" w:eastAsia="宋体" w:cs="宋体"/>
                <w:sz w:val="24"/>
              </w:rPr>
              <w:t>=10分。</w:t>
            </w:r>
          </w:p>
          <w:p w14:paraId="068F9928">
            <w:pPr>
              <w:spacing w:line="360" w:lineRule="auto"/>
              <w:jc w:val="both"/>
              <w:rPr>
                <w:rFonts w:hint="eastAsia" w:ascii="宋体" w:hAnsi="宋体" w:eastAsia="宋体" w:cs="宋体"/>
                <w:b/>
                <w:bCs/>
                <w:sz w:val="24"/>
              </w:rPr>
            </w:pPr>
            <w:r>
              <w:rPr>
                <w:rFonts w:hint="eastAsia" w:ascii="宋体" w:hAnsi="宋体" w:eastAsia="宋体" w:cs="宋体"/>
                <w:b/>
                <w:bCs/>
                <w:sz w:val="24"/>
              </w:rPr>
              <w:t>标项二：</w:t>
            </w:r>
          </w:p>
          <w:p w14:paraId="0CC9BC8D">
            <w:pPr>
              <w:spacing w:line="360" w:lineRule="auto"/>
              <w:jc w:val="both"/>
              <w:rPr>
                <w:rFonts w:hint="eastAsia" w:ascii="宋体" w:hAnsi="宋体" w:eastAsia="宋体" w:cs="宋体"/>
                <w:sz w:val="24"/>
              </w:rPr>
            </w:pPr>
            <w:r>
              <w:rPr>
                <w:rFonts w:hint="eastAsia" w:ascii="宋体" w:hAnsi="宋体" w:eastAsia="宋体" w:cs="宋体"/>
                <w:sz w:val="24"/>
              </w:rPr>
              <w:t>有效投标报价的最低价作为评标基准价，其最低报价为满分；按［投标报价得分=（评标基准价/投标报价）*权重］的计算公式计算（报价得分保留两位小数，后一位四舍五入）。</w:t>
            </w:r>
          </w:p>
          <w:p w14:paraId="0852F23D">
            <w:pPr>
              <w:spacing w:line="360" w:lineRule="auto"/>
              <w:jc w:val="both"/>
              <w:rPr>
                <w:rFonts w:hint="eastAsia" w:ascii="宋体" w:hAnsi="宋体" w:eastAsia="宋体" w:cs="宋体"/>
                <w:sz w:val="24"/>
              </w:rPr>
            </w:pPr>
            <w:r>
              <w:rPr>
                <w:rFonts w:hint="eastAsia" w:ascii="宋体" w:hAnsi="宋体" w:eastAsia="宋体" w:cs="宋体"/>
                <w:sz w:val="24"/>
              </w:rPr>
              <w:t>评标过程中，不得去掉报价中的最高报价和最低报价。</w:t>
            </w:r>
          </w:p>
          <w:p w14:paraId="14765354">
            <w:pPr>
              <w:spacing w:line="360" w:lineRule="auto"/>
              <w:jc w:val="both"/>
              <w:rPr>
                <w:rFonts w:hint="eastAsia" w:ascii="宋体" w:hAnsi="宋体" w:eastAsia="宋体" w:cs="宋体"/>
                <w:sz w:val="24"/>
              </w:rPr>
            </w:pPr>
            <w:r>
              <w:rPr>
                <w:rFonts w:hint="eastAsia" w:ascii="宋体" w:hAnsi="宋体" w:eastAsia="宋体" w:cs="宋体"/>
                <w:sz w:val="24"/>
              </w:rPr>
              <w:t>分值分配：冷冻品类</w:t>
            </w:r>
            <w:r>
              <w:rPr>
                <w:rFonts w:hint="eastAsia" w:ascii="宋体" w:hAnsi="宋体" w:eastAsia="宋体" w:cs="宋体"/>
                <w:sz w:val="24"/>
                <w:lang w:val="en-US"/>
              </w:rPr>
              <w:t>（包含速冻面食）</w:t>
            </w:r>
            <w:r>
              <w:rPr>
                <w:rFonts w:hint="eastAsia" w:ascii="宋体" w:hAnsi="宋体" w:eastAsia="宋体" w:cs="宋体"/>
                <w:sz w:val="24"/>
              </w:rPr>
              <w:t>（1分）+豆制品类（1分）+蔬菜类（1分）+蛋类（</w:t>
            </w:r>
            <w:r>
              <w:rPr>
                <w:rFonts w:hint="eastAsia" w:ascii="宋体" w:hAnsi="宋体" w:eastAsia="宋体" w:cs="宋体"/>
                <w:sz w:val="24"/>
                <w:lang w:val="en-US" w:eastAsia="zh-CN"/>
              </w:rPr>
              <w:t>1</w:t>
            </w:r>
            <w:r>
              <w:rPr>
                <w:rFonts w:hint="eastAsia" w:ascii="宋体" w:hAnsi="宋体" w:eastAsia="宋体" w:cs="宋体"/>
                <w:sz w:val="24"/>
              </w:rPr>
              <w:t>分）+水产类（1分）+肉类</w:t>
            </w:r>
            <w:r>
              <w:rPr>
                <w:rFonts w:hint="eastAsia" w:ascii="宋体" w:hAnsi="宋体" w:eastAsia="宋体" w:cs="宋体"/>
                <w:sz w:val="24"/>
                <w:lang w:val="en-US"/>
              </w:rPr>
              <w:t>（包含腌制品）</w:t>
            </w: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rPr>
              <w:t>分）+禽类</w:t>
            </w:r>
            <w:r>
              <w:rPr>
                <w:rFonts w:hint="eastAsia" w:ascii="宋体" w:hAnsi="宋体" w:eastAsia="宋体" w:cs="宋体"/>
                <w:sz w:val="24"/>
                <w:lang w:val="en-US"/>
              </w:rPr>
              <w:t>（包含腌制品）</w:t>
            </w:r>
            <w:r>
              <w:rPr>
                <w:rFonts w:hint="eastAsia" w:ascii="宋体" w:hAnsi="宋体" w:eastAsia="宋体" w:cs="宋体"/>
                <w:sz w:val="24"/>
              </w:rPr>
              <w:t>（1.5分）+干货类（1.5分）=10分。</w:t>
            </w:r>
          </w:p>
          <w:p w14:paraId="09E30440">
            <w:pPr>
              <w:spacing w:line="360" w:lineRule="auto"/>
              <w:jc w:val="both"/>
              <w:rPr>
                <w:rFonts w:hint="eastAsia" w:ascii="宋体" w:hAnsi="宋体" w:eastAsia="宋体" w:cs="宋体"/>
                <w:b/>
                <w:bCs/>
                <w:sz w:val="24"/>
              </w:rPr>
            </w:pPr>
            <w:r>
              <w:rPr>
                <w:rFonts w:hint="eastAsia" w:ascii="宋体" w:hAnsi="宋体" w:eastAsia="宋体" w:cs="宋体"/>
                <w:b/>
                <w:bCs/>
                <w:sz w:val="24"/>
              </w:rPr>
              <w:t>标项</w:t>
            </w:r>
            <w:r>
              <w:rPr>
                <w:rFonts w:hint="eastAsia" w:cs="宋体"/>
                <w:b/>
                <w:bCs/>
                <w:sz w:val="24"/>
                <w:lang w:val="en-US" w:eastAsia="zh-CN"/>
              </w:rPr>
              <w:t>三</w:t>
            </w:r>
            <w:r>
              <w:rPr>
                <w:rFonts w:hint="eastAsia" w:ascii="宋体" w:hAnsi="宋体" w:eastAsia="宋体" w:cs="宋体"/>
                <w:b/>
                <w:bCs/>
                <w:sz w:val="24"/>
              </w:rPr>
              <w:t>：</w:t>
            </w:r>
          </w:p>
          <w:p w14:paraId="2FDDF063">
            <w:pPr>
              <w:spacing w:line="360" w:lineRule="auto"/>
              <w:jc w:val="both"/>
              <w:rPr>
                <w:rFonts w:hint="eastAsia" w:ascii="宋体" w:hAnsi="宋体" w:eastAsia="宋体" w:cs="宋体"/>
                <w:sz w:val="24"/>
              </w:rPr>
            </w:pPr>
            <w:r>
              <w:rPr>
                <w:rFonts w:hint="eastAsia" w:ascii="宋体" w:hAnsi="宋体" w:eastAsia="宋体" w:cs="宋体"/>
                <w:sz w:val="24"/>
              </w:rPr>
              <w:t>有效投标报价的最低价作为评标基准价，其最低报价为满分；按［投标报价得分=（评标基准价/投标报价）*权重］的计算公式计算（报价得分保留两位小数，后一位四舍五入）。</w:t>
            </w:r>
          </w:p>
          <w:p w14:paraId="0C9615C2">
            <w:pPr>
              <w:spacing w:line="360" w:lineRule="auto"/>
              <w:jc w:val="both"/>
              <w:rPr>
                <w:rFonts w:hint="eastAsia" w:ascii="宋体" w:hAnsi="宋体" w:eastAsia="宋体" w:cs="宋体"/>
                <w:sz w:val="24"/>
              </w:rPr>
            </w:pPr>
            <w:r>
              <w:rPr>
                <w:rFonts w:hint="eastAsia" w:ascii="宋体" w:hAnsi="宋体" w:eastAsia="宋体" w:cs="宋体"/>
                <w:sz w:val="24"/>
              </w:rPr>
              <w:t>评标过程中，不得去掉报价中的最高报价和最低报价。</w:t>
            </w:r>
          </w:p>
          <w:p w14:paraId="7B257DEA">
            <w:pPr>
              <w:spacing w:line="360" w:lineRule="auto"/>
              <w:jc w:val="both"/>
              <w:rPr>
                <w:rFonts w:hint="eastAsia"/>
                <w:lang w:val="en-US" w:eastAsia="zh-CN"/>
              </w:rPr>
            </w:pPr>
            <w:r>
              <w:rPr>
                <w:rFonts w:hint="eastAsia" w:ascii="宋体" w:hAnsi="宋体" w:eastAsia="宋体" w:cs="宋体"/>
                <w:sz w:val="24"/>
              </w:rPr>
              <w:t>分值分配：</w:t>
            </w:r>
            <w:r>
              <w:rPr>
                <w:rFonts w:hint="eastAsia" w:ascii="宋体" w:hAnsi="宋体" w:eastAsia="宋体" w:cs="宋体"/>
                <w:sz w:val="24"/>
                <w:lang w:val="en-US" w:eastAsia="zh-CN"/>
              </w:rPr>
              <w:t>米</w:t>
            </w:r>
            <w:r>
              <w:rPr>
                <w:rFonts w:hint="eastAsia" w:ascii="宋体" w:hAnsi="宋体" w:eastAsia="宋体" w:cs="宋体"/>
                <w:sz w:val="24"/>
              </w:rPr>
              <w:t>（1分）+</w:t>
            </w:r>
            <w:r>
              <w:rPr>
                <w:rFonts w:hint="eastAsia" w:ascii="宋体" w:hAnsi="宋体" w:eastAsia="宋体" w:cs="宋体"/>
                <w:sz w:val="24"/>
                <w:lang w:val="en-US" w:eastAsia="zh-CN"/>
              </w:rPr>
              <w:t>面食类</w:t>
            </w:r>
            <w:r>
              <w:rPr>
                <w:rFonts w:hint="eastAsia" w:ascii="宋体" w:hAnsi="宋体" w:eastAsia="宋体" w:cs="宋体"/>
                <w:sz w:val="24"/>
              </w:rPr>
              <w:t>（1分）+</w:t>
            </w:r>
            <w:r>
              <w:rPr>
                <w:rFonts w:hint="eastAsia" w:ascii="宋体" w:hAnsi="宋体" w:eastAsia="宋体" w:cs="宋体"/>
                <w:sz w:val="24"/>
                <w:lang w:val="en-US" w:eastAsia="zh-CN"/>
              </w:rPr>
              <w:t>油</w:t>
            </w:r>
            <w:r>
              <w:rPr>
                <w:rFonts w:hint="eastAsia" w:ascii="宋体" w:hAnsi="宋体" w:eastAsia="宋体" w:cs="宋体"/>
                <w:sz w:val="24"/>
              </w:rPr>
              <w:t>（1分）+</w:t>
            </w:r>
            <w:r>
              <w:rPr>
                <w:rFonts w:hint="eastAsia" w:ascii="宋体" w:hAnsi="宋体" w:eastAsia="宋体" w:cs="宋体"/>
                <w:sz w:val="24"/>
                <w:lang w:val="en-US" w:eastAsia="zh-CN"/>
              </w:rPr>
              <w:t>调味品</w:t>
            </w:r>
            <w:r>
              <w:rPr>
                <w:rFonts w:hint="eastAsia" w:ascii="宋体" w:hAnsi="宋体" w:eastAsia="宋体" w:cs="宋体"/>
                <w:sz w:val="24"/>
              </w:rPr>
              <w:t>（</w:t>
            </w:r>
            <w:r>
              <w:rPr>
                <w:rFonts w:hint="eastAsia" w:ascii="宋体" w:hAnsi="宋体" w:eastAsia="宋体" w:cs="宋体"/>
                <w:sz w:val="24"/>
                <w:lang w:val="en-US" w:eastAsia="zh-CN"/>
              </w:rPr>
              <w:t>1</w:t>
            </w:r>
            <w:r>
              <w:rPr>
                <w:rFonts w:hint="eastAsia" w:ascii="宋体" w:hAnsi="宋体" w:eastAsia="宋体" w:cs="宋体"/>
                <w:sz w:val="24"/>
              </w:rPr>
              <w:t>分）+</w:t>
            </w:r>
            <w:r>
              <w:rPr>
                <w:rFonts w:hint="eastAsia" w:ascii="宋体" w:hAnsi="宋体" w:eastAsia="宋体" w:cs="宋体"/>
                <w:sz w:val="24"/>
                <w:lang w:val="en-US" w:eastAsia="zh-CN"/>
              </w:rPr>
              <w:t>饮料/奶制品</w:t>
            </w: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rPr>
              <w:t>分）+</w:t>
            </w:r>
            <w:r>
              <w:rPr>
                <w:rFonts w:hint="eastAsia" w:ascii="宋体" w:hAnsi="宋体" w:eastAsia="宋体" w:cs="宋体"/>
                <w:sz w:val="24"/>
                <w:lang w:val="en-US" w:eastAsia="zh-CN"/>
              </w:rPr>
              <w:t>预包装食材</w:t>
            </w:r>
            <w:r>
              <w:rPr>
                <w:rFonts w:hint="eastAsia" w:ascii="宋体" w:hAnsi="宋体" w:eastAsia="宋体" w:cs="宋体"/>
                <w:sz w:val="24"/>
              </w:rPr>
              <w:t>（1分）+</w:t>
            </w:r>
            <w:r>
              <w:rPr>
                <w:rFonts w:hint="eastAsia" w:ascii="宋体" w:hAnsi="宋体" w:eastAsia="宋体" w:cs="宋体"/>
                <w:sz w:val="24"/>
                <w:lang w:val="en-US" w:eastAsia="zh-CN"/>
              </w:rPr>
              <w:t>水果</w:t>
            </w: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rPr>
              <w:t>分）+</w:t>
            </w:r>
            <w:r>
              <w:rPr>
                <w:rFonts w:hint="eastAsia" w:eastAsia="宋体" w:cs="宋体"/>
                <w:b w:val="0"/>
                <w:bCs w:val="0"/>
                <w:sz w:val="24"/>
                <w:szCs w:val="24"/>
                <w:highlight w:val="none"/>
                <w:lang w:val="en-US" w:eastAsia="zh-CN"/>
              </w:rPr>
              <w:t>厨房</w:t>
            </w:r>
            <w:r>
              <w:rPr>
                <w:rFonts w:hint="eastAsia" w:cs="宋体"/>
                <w:b w:val="0"/>
                <w:bCs w:val="0"/>
                <w:sz w:val="24"/>
                <w:szCs w:val="24"/>
                <w:highlight w:val="none"/>
                <w:lang w:val="en-US" w:eastAsia="zh-CN"/>
              </w:rPr>
              <w:t>配材及西点</w:t>
            </w:r>
            <w:r>
              <w:rPr>
                <w:rFonts w:hint="eastAsia" w:ascii="宋体" w:hAnsi="宋体" w:eastAsia="宋体" w:cs="宋体"/>
                <w:sz w:val="24"/>
              </w:rPr>
              <w:t>（</w:t>
            </w:r>
            <w:r>
              <w:rPr>
                <w:rFonts w:hint="eastAsia" w:ascii="宋体" w:hAnsi="宋体" w:eastAsia="宋体" w:cs="宋体"/>
                <w:sz w:val="24"/>
                <w:lang w:val="en-US" w:eastAsia="zh-CN"/>
              </w:rPr>
              <w:t>1</w:t>
            </w:r>
            <w:r>
              <w:rPr>
                <w:rFonts w:hint="eastAsia" w:ascii="宋体" w:hAnsi="宋体" w:eastAsia="宋体" w:cs="宋体"/>
                <w:sz w:val="24"/>
              </w:rPr>
              <w:t>分）=10分</w:t>
            </w:r>
          </w:p>
        </w:tc>
        <w:tc>
          <w:tcPr>
            <w:tcW w:w="804" w:type="dxa"/>
            <w:shd w:val="clear" w:color="auto" w:fill="auto"/>
            <w:vAlign w:val="center"/>
          </w:tcPr>
          <w:p w14:paraId="26D8D3D8">
            <w:pPr>
              <w:spacing w:line="360" w:lineRule="auto"/>
              <w:jc w:val="center"/>
              <w:outlineLvl w:val="0"/>
              <w:rPr>
                <w:rFonts w:hint="eastAsia" w:ascii="宋体" w:hAnsi="宋体" w:eastAsia="宋体" w:cs="宋体"/>
                <w:kern w:val="2"/>
                <w:sz w:val="24"/>
                <w:szCs w:val="24"/>
                <w:lang w:val="en-US" w:eastAsia="zh-CN" w:bidi="ar-SA"/>
              </w:rPr>
            </w:pPr>
            <w:r>
              <w:rPr>
                <w:rFonts w:hint="eastAsia" w:ascii="宋体" w:hAnsi="宋体" w:eastAsia="宋体" w:cs="宋体"/>
                <w:sz w:val="24"/>
              </w:rPr>
              <w:t>10</w:t>
            </w:r>
          </w:p>
        </w:tc>
        <w:tc>
          <w:tcPr>
            <w:tcW w:w="1085" w:type="dxa"/>
            <w:shd w:val="clear" w:color="auto" w:fill="auto"/>
            <w:vAlign w:val="center"/>
          </w:tcPr>
          <w:p w14:paraId="43DAB155">
            <w:pPr>
              <w:spacing w:line="360" w:lineRule="auto"/>
              <w:jc w:val="center"/>
              <w:outlineLvl w:val="0"/>
              <w:rPr>
                <w:rFonts w:hint="eastAsia" w:ascii="宋体" w:hAnsi="宋体" w:eastAsia="宋体" w:cs="宋体"/>
                <w:kern w:val="2"/>
                <w:sz w:val="24"/>
                <w:szCs w:val="24"/>
                <w:lang w:val="en-US" w:eastAsia="zh-CN" w:bidi="ar-SA"/>
              </w:rPr>
            </w:pPr>
            <w:r>
              <w:rPr>
                <w:rFonts w:hint="eastAsia" w:ascii="宋体" w:hAnsi="宋体" w:eastAsia="宋体" w:cs="宋体"/>
                <w:sz w:val="24"/>
              </w:rPr>
              <w:t>/</w:t>
            </w:r>
          </w:p>
        </w:tc>
        <w:tc>
          <w:tcPr>
            <w:tcW w:w="1296" w:type="dxa"/>
            <w:vAlign w:val="center"/>
          </w:tcPr>
          <w:p w14:paraId="536B8417">
            <w:pPr>
              <w:snapToGrid w:val="0"/>
              <w:spacing w:line="360" w:lineRule="auto"/>
              <w:jc w:val="center"/>
              <w:rPr>
                <w:rFonts w:hint="eastAsia" w:ascii="宋体" w:hAnsi="宋体" w:eastAsia="宋体" w:cs="宋体"/>
                <w:bCs/>
                <w:sz w:val="24"/>
                <w:highlight w:val="none"/>
                <w:lang w:val="en-US" w:eastAsia="zh-CN"/>
              </w:rPr>
            </w:pPr>
          </w:p>
        </w:tc>
      </w:tr>
    </w:tbl>
    <w:p w14:paraId="6E71899D"/>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A28F9A"/>
    <w:multiLevelType w:val="singleLevel"/>
    <w:tmpl w:val="8BA28F9A"/>
    <w:lvl w:ilvl="0" w:tentative="0">
      <w:start w:val="2"/>
      <w:numFmt w:val="chineseCounting"/>
      <w:suff w:val="nothing"/>
      <w:lvlText w:val="%1、"/>
      <w:lvlJc w:val="left"/>
      <w:rPr>
        <w:rFonts w:hint="eastAsia"/>
      </w:rPr>
    </w:lvl>
  </w:abstractNum>
  <w:abstractNum w:abstractNumId="1">
    <w:nsid w:val="797469CD"/>
    <w:multiLevelType w:val="singleLevel"/>
    <w:tmpl w:val="797469CD"/>
    <w:lvl w:ilvl="0" w:tentative="0">
      <w:start w:val="1"/>
      <w:numFmt w:val="decimal"/>
      <w:suff w:val="nothing"/>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FE5F9B"/>
    <w:rsid w:val="66FE5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pageBreakBefore w:val="0"/>
      <w:widowControl w:val="0"/>
      <w:kinsoku/>
      <w:wordWrap w:val="0"/>
      <w:topLinePunct/>
      <w:bidi w:val="0"/>
      <w:adjustRightInd w:val="0"/>
      <w:snapToGrid w:val="0"/>
      <w:spacing w:line="360" w:lineRule="auto"/>
      <w:jc w:val="both"/>
    </w:pPr>
    <w:rPr>
      <w:rFonts w:ascii="宋体" w:hAnsi="宋体" w:eastAsia="宋体" w:cs="宋体"/>
      <w:kern w:val="2"/>
      <w:sz w:val="24"/>
      <w:szCs w:val="24"/>
      <w:lang w:val="en-US" w:eastAsia="zh-CN" w:bidi="ar-SA"/>
    </w:rPr>
  </w:style>
  <w:style w:type="paragraph" w:styleId="2">
    <w:name w:val="heading 2"/>
    <w:basedOn w:val="1"/>
    <w:next w:val="1"/>
    <w:qFormat/>
    <w:uiPriority w:val="0"/>
    <w:pPr>
      <w:keepNext/>
      <w:keepLines/>
      <w:tabs>
        <w:tab w:val="left" w:pos="432"/>
      </w:tabs>
      <w:adjustRightInd/>
      <w:spacing w:line="360" w:lineRule="auto"/>
      <w:ind w:left="431" w:hanging="431"/>
      <w:jc w:val="center"/>
      <w:outlineLvl w:val="1"/>
    </w:pPr>
    <w:rPr>
      <w:rFonts w:ascii="仿宋_GB2312" w:hAnsi="仿宋_GB2312" w:eastAsia="宋体"/>
      <w:b/>
      <w:bCs/>
      <w:sz w:val="32"/>
      <w:szCs w:val="32"/>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Indent"/>
    <w:basedOn w:val="1"/>
    <w:next w:val="1"/>
    <w:qFormat/>
    <w:uiPriority w:val="0"/>
    <w:pPr>
      <w:spacing w:line="360" w:lineRule="auto"/>
      <w:ind w:firstLine="480" w:firstLineChars="200"/>
    </w:pPr>
    <w:rPr>
      <w:rFonts w:ascii="宋体" w:hAnsi="宋体"/>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2025-06-03T14:18:00Z</dcterms:created>
  <dc:creator>12121</dc:creator>
  <cp:lastModifiedBy>12121</cp:lastModifiedBy>
  <dcterms:modified xsi:type="dcterms:W3CDTF">2025-06-03T14:19:03Z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2DC2854839CC42A49A987ADA00531200_11</vt:lpwstr>
  </property>
  <property fmtid="{D5CDD505-2E9C-101B-9397-08002B2CF9AE}" pid="4" name="KSOTemplateDocerSaveRecord">
    <vt:lpwstr>eyJoZGlkIjoiMjIxZTU5YWVmMjEwMjIyYmEzZTE1YjA1ZmE0NDQyZjMiLCJ1c2VySWQiOiIyMzA0NTQ1NjEifQ==</vt:lpwstr>
  </property>
</Properties>
</file>