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adjustRightInd/>
        <w:spacing w:line="360" w:lineRule="auto"/>
        <w:jc w:val="center"/>
        <w:outlineLvl w:val="0"/>
        <w:rPr>
          <w:rFonts w:hint="eastAsia" w:ascii="宋体" w:hAnsi="宋体" w:eastAsia="宋体" w:cs="宋体"/>
          <w:b/>
          <w:color w:val="auto"/>
          <w:sz w:val="72"/>
          <w:szCs w:val="72"/>
          <w:highlight w:val="none"/>
        </w:rPr>
      </w:pPr>
      <w:bookmarkStart w:id="0" w:name="_Toc21891"/>
      <w:bookmarkStart w:id="1" w:name="_Toc26006"/>
      <w:r>
        <w:rPr>
          <w:rFonts w:hint="eastAsia" w:ascii="宋体" w:hAnsi="宋体" w:eastAsia="宋体" w:cs="宋体"/>
          <w:b/>
          <w:bCs/>
          <w:color w:val="auto"/>
          <w:w w:val="95"/>
          <w:sz w:val="72"/>
          <w:szCs w:val="72"/>
          <w:highlight w:val="none"/>
          <w:lang w:val="zh-CN"/>
        </w:rPr>
        <w:t>竞争性磋商</w:t>
      </w:r>
      <w:r>
        <w:rPr>
          <w:rFonts w:hint="eastAsia" w:ascii="宋体" w:hAnsi="宋体" w:eastAsia="宋体" w:cs="宋体"/>
          <w:b/>
          <w:color w:val="auto"/>
          <w:sz w:val="72"/>
          <w:szCs w:val="72"/>
          <w:highlight w:val="none"/>
        </w:rPr>
        <w:t>文件</w:t>
      </w:r>
      <w:bookmarkEnd w:id="0"/>
      <w:bookmarkEnd w:id="1"/>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（电子交易）</w:t>
      </w:r>
    </w:p>
    <w:p>
      <w:pPr>
        <w:snapToGrid w:val="0"/>
        <w:spacing w:line="360" w:lineRule="auto"/>
        <w:jc w:val="center"/>
        <w:rPr>
          <w:rFonts w:hint="eastAsia" w:ascii="宋体" w:hAnsi="宋体" w:eastAsia="宋体" w:cs="宋体"/>
          <w:color w:val="auto"/>
          <w:sz w:val="30"/>
          <w:szCs w:val="30"/>
          <w:highlight w:val="none"/>
        </w:rPr>
      </w:pPr>
    </w:p>
    <w:p>
      <w:pPr>
        <w:snapToGrid w:val="0"/>
        <w:spacing w:line="360" w:lineRule="auto"/>
        <w:rPr>
          <w:rFonts w:hint="eastAsia" w:ascii="宋体" w:hAnsi="宋体" w:eastAsia="宋体" w:cs="宋体"/>
          <w:color w:val="auto"/>
          <w:sz w:val="30"/>
          <w:szCs w:val="30"/>
          <w:highlight w:val="none"/>
        </w:rPr>
      </w:pPr>
      <w:bookmarkStart w:id="2" w:name="_Toc30047"/>
    </w:p>
    <w:p>
      <w:pPr>
        <w:snapToGrid w:val="0"/>
        <w:spacing w:line="360" w:lineRule="auto"/>
        <w:jc w:val="center"/>
        <w:rPr>
          <w:rFonts w:hint="default"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rPr>
        <w:t>项目编号</w:t>
      </w:r>
      <w:bookmarkEnd w:id="2"/>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KXZJ-2025170</w:t>
      </w:r>
    </w:p>
    <w:p>
      <w:pPr>
        <w:snapToGrid w:val="0"/>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项目名称：</w:t>
      </w:r>
      <w:r>
        <w:rPr>
          <w:rFonts w:hint="eastAsia" w:ascii="宋体" w:hAnsi="宋体" w:cs="宋体"/>
          <w:color w:val="auto"/>
          <w:sz w:val="32"/>
          <w:szCs w:val="32"/>
          <w:highlight w:val="none"/>
          <w:lang w:eastAsia="zh-CN"/>
        </w:rPr>
        <w:t>宁海县公安局内部维修改造项目</w:t>
      </w: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widowControl w:val="0"/>
        <w:adjustRightInd w:val="0"/>
        <w:spacing w:before="0" w:beforeAutospacing="0" w:after="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p>
    <w:p>
      <w:pPr>
        <w:widowControl w:val="0"/>
        <w:adjustRightInd w:val="0"/>
        <w:spacing w:before="0" w:beforeAutospacing="0" w:after="0" w:afterAutospacing="0" w:line="360" w:lineRule="auto"/>
        <w:jc w:val="center"/>
        <w:textAlignment w:val="auto"/>
        <w:rPr>
          <w:rFonts w:hint="eastAsia" w:ascii="宋体" w:hAnsi="宋体" w:eastAsia="宋体" w:cs="宋体"/>
          <w:color w:val="auto"/>
          <w:kern w:val="2"/>
          <w:sz w:val="24"/>
          <w:szCs w:val="24"/>
          <w:highlight w:val="none"/>
          <w:lang w:val="en-US" w:eastAsia="zh-CN" w:bidi="ar-SA"/>
        </w:rPr>
      </w:pPr>
    </w:p>
    <w:p>
      <w:pPr>
        <w:widowControl w:val="0"/>
        <w:adjustRightInd w:val="0"/>
        <w:spacing w:before="0" w:beforeAutospacing="0" w:after="0" w:afterAutospacing="0" w:line="360" w:lineRule="auto"/>
        <w:jc w:val="center"/>
        <w:textAlignment w:val="auto"/>
        <w:rPr>
          <w:rFonts w:hint="eastAsia" w:ascii="宋体" w:hAnsi="宋体" w:eastAsia="宋体" w:cs="宋体"/>
          <w:b/>
          <w:color w:val="auto"/>
          <w:sz w:val="24"/>
          <w:highlight w:val="none"/>
        </w:rPr>
      </w:pPr>
    </w:p>
    <w:p>
      <w:pPr>
        <w:snapToGrid w:val="0"/>
        <w:spacing w:line="360" w:lineRule="auto"/>
        <w:jc w:val="center"/>
        <w:rPr>
          <w:rFonts w:hint="eastAsia" w:ascii="宋体" w:hAnsi="宋体" w:eastAsia="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rPr>
      </w:pPr>
      <w:bookmarkStart w:id="3" w:name="_Toc24447"/>
    </w:p>
    <w:p>
      <w:pPr>
        <w:snapToGrid w:val="0"/>
        <w:spacing w:line="360" w:lineRule="auto"/>
        <w:ind w:firstLine="1600" w:firstLineChars="500"/>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采购人：</w:t>
      </w:r>
      <w:bookmarkEnd w:id="3"/>
      <w:r>
        <w:rPr>
          <w:rFonts w:hint="eastAsia" w:ascii="宋体" w:hAnsi="宋体" w:cs="宋体"/>
          <w:color w:val="auto"/>
          <w:sz w:val="32"/>
          <w:szCs w:val="32"/>
          <w:highlight w:val="none"/>
          <w:lang w:eastAsia="zh-CN"/>
        </w:rPr>
        <w:t>宁海县公安局</w:t>
      </w:r>
    </w:p>
    <w:p>
      <w:pPr>
        <w:spacing w:line="360" w:lineRule="auto"/>
        <w:ind w:firstLine="1600" w:firstLineChars="500"/>
        <w:jc w:val="both"/>
        <w:rPr>
          <w:rFonts w:hint="eastAsia" w:ascii="宋体" w:hAnsi="宋体" w:eastAsia="宋体" w:cs="宋体"/>
          <w:bCs/>
          <w:color w:val="auto"/>
          <w:sz w:val="32"/>
          <w:szCs w:val="32"/>
          <w:highlight w:val="none"/>
          <w:lang w:eastAsia="zh-CN"/>
        </w:rPr>
      </w:pPr>
      <w:bookmarkStart w:id="4" w:name="_Toc7448"/>
      <w:r>
        <w:rPr>
          <w:rFonts w:hint="eastAsia" w:ascii="宋体" w:hAnsi="宋体" w:eastAsia="宋体" w:cs="宋体"/>
          <w:bCs/>
          <w:color w:val="auto"/>
          <w:sz w:val="32"/>
          <w:szCs w:val="32"/>
          <w:highlight w:val="none"/>
        </w:rPr>
        <w:t>采购代理机构：</w:t>
      </w:r>
      <w:bookmarkEnd w:id="4"/>
      <w:r>
        <w:rPr>
          <w:rFonts w:hint="eastAsia" w:ascii="宋体" w:hAnsi="宋体" w:cs="宋体"/>
          <w:bCs/>
          <w:color w:val="auto"/>
          <w:sz w:val="32"/>
          <w:szCs w:val="32"/>
          <w:highlight w:val="none"/>
          <w:lang w:eastAsia="zh-CN"/>
        </w:rPr>
        <w:t>浙江凯翔工程咨询管理有限公司</w:t>
      </w:r>
    </w:p>
    <w:p>
      <w:pPr>
        <w:snapToGrid w:val="0"/>
        <w:spacing w:line="360" w:lineRule="auto"/>
        <w:jc w:val="center"/>
        <w:rPr>
          <w:rFonts w:hint="eastAsia" w:ascii="宋体" w:hAnsi="宋体" w:eastAsia="宋体" w:cs="宋体"/>
          <w:bCs/>
          <w:color w:val="auto"/>
          <w:sz w:val="32"/>
          <w:szCs w:val="32"/>
          <w:highlight w:val="none"/>
        </w:rPr>
      </w:pPr>
    </w:p>
    <w:p>
      <w:pPr>
        <w:snapToGrid w:val="0"/>
        <w:spacing w:line="360" w:lineRule="auto"/>
        <w:jc w:val="center"/>
        <w:rPr>
          <w:rFonts w:hint="eastAsia" w:ascii="宋体" w:hAnsi="宋体" w:eastAsia="宋体" w:cs="宋体"/>
          <w:bCs/>
          <w:color w:val="auto"/>
          <w:sz w:val="32"/>
          <w:szCs w:val="32"/>
          <w:highlight w:val="none"/>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七月</w:t>
      </w:r>
    </w:p>
    <w:p>
      <w:pPr>
        <w:snapToGrid w:val="0"/>
        <w:spacing w:line="360" w:lineRule="auto"/>
        <w:jc w:val="both"/>
        <w:rPr>
          <w:rFonts w:hint="eastAsia" w:ascii="宋体" w:hAnsi="宋体" w:eastAsia="宋体" w:cs="宋体"/>
          <w:color w:val="auto"/>
          <w:sz w:val="24"/>
          <w:highlight w:val="none"/>
        </w:rPr>
        <w:sectPr>
          <w:footerReference r:id="rId4" w:type="first"/>
          <w:footerReference r:id="rId3" w:type="default"/>
          <w:pgSz w:w="11906" w:h="16838"/>
          <w:pgMar w:top="1440" w:right="1080" w:bottom="1440" w:left="1080" w:header="851" w:footer="992" w:gutter="0"/>
          <w:pgNumType w:fmt="decimal" w:start="1"/>
          <w:cols w:space="720" w:num="1"/>
          <w:titlePg/>
          <w:docGrid w:linePitch="312" w:charSpace="0"/>
        </w:sectPr>
      </w:pPr>
    </w:p>
    <w:p>
      <w:pPr>
        <w:pStyle w:val="26"/>
        <w:rPr>
          <w:rFonts w:hint="eastAsia"/>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sdt>
      <w:sdtPr>
        <w:rPr>
          <w:rFonts w:ascii="宋体" w:hAnsi="宋体" w:eastAsia="宋体" w:cs="Times New Roman"/>
          <w:color w:val="auto"/>
          <w:kern w:val="2"/>
          <w:sz w:val="21"/>
          <w:szCs w:val="24"/>
          <w:highlight w:val="none"/>
          <w:lang w:val="en-US" w:eastAsia="zh-CN" w:bidi="ar-SA"/>
        </w:rPr>
        <w:id w:val="147465850"/>
        <w15:color w:val="DBDBDB"/>
        <w:docPartObj>
          <w:docPartGallery w:val="Table of Contents"/>
          <w:docPartUnique/>
        </w:docPartObj>
      </w:sdtPr>
      <w:sdtEndPr>
        <w:rPr>
          <w:rFonts w:hint="eastAsia" w:ascii="宋体" w:hAnsi="宋体" w:eastAsia="宋体" w:cs="宋体"/>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_Toc4180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竞争性磋商公告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_Toc4180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_Toc23841 </w:instrText>
          </w:r>
          <w:r>
            <w:rPr>
              <w:rFonts w:hint="eastAsia" w:ascii="宋体" w:hAnsi="宋体" w:eastAsia="宋体" w:cs="宋体"/>
              <w:color w:val="auto"/>
              <w:sz w:val="32"/>
              <w:szCs w:val="32"/>
              <w:highlight w:val="none"/>
            </w:rPr>
            <w:fldChar w:fldCharType="separate"/>
          </w:r>
          <w:r>
            <w:rPr>
              <w:rFonts w:hint="eastAsia" w:ascii="宋体" w:hAnsi="宋体" w:eastAsia="宋体" w:cs="宋体"/>
              <w:snapToGrid/>
              <w:color w:val="auto"/>
              <w:sz w:val="32"/>
              <w:szCs w:val="32"/>
              <w:highlight w:val="none"/>
            </w:rPr>
            <w:t>第二部分 供应商须知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_Toc23841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_Toc561 </w:instrText>
          </w:r>
          <w:r>
            <w:rPr>
              <w:rFonts w:hint="eastAsia" w:ascii="宋体" w:hAnsi="宋体" w:eastAsia="宋体" w:cs="宋体"/>
              <w:color w:val="auto"/>
              <w:sz w:val="32"/>
              <w:szCs w:val="32"/>
              <w:highlight w:val="none"/>
            </w:rPr>
            <w:fldChar w:fldCharType="separate"/>
          </w:r>
          <w:r>
            <w:rPr>
              <w:rFonts w:hint="eastAsia" w:ascii="宋体" w:hAnsi="宋体" w:eastAsia="宋体" w:cs="宋体"/>
              <w:snapToGrid/>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_Toc561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25</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_Toc31295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评审办法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_Toc31295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_Toc27383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_Toc27383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965"/>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_Toc10046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_Toc10046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pPr>
        <w:pStyle w:val="26"/>
        <w:rPr>
          <w:rFonts w:hint="eastAsia"/>
          <w:color w:val="auto"/>
          <w:highlight w:val="none"/>
        </w:rPr>
        <w:sectPr>
          <w:footerReference r:id="rId5" w:type="default"/>
          <w:pgSz w:w="11906" w:h="16838"/>
          <w:pgMar w:top="1440" w:right="1080" w:bottom="1440" w:left="1080" w:header="851" w:footer="992" w:gutter="0"/>
          <w:pgNumType w:fmt="decimal"/>
          <w:cols w:space="720" w:num="1"/>
          <w:docGrid w:linePitch="312" w:charSpace="0"/>
        </w:sectPr>
      </w:pPr>
      <w:bookmarkStart w:id="5" w:name="_Hlt91233176"/>
      <w:bookmarkEnd w:id="5"/>
      <w:bookmarkStart w:id="6" w:name="_Toc91899869"/>
    </w:p>
    <w:bookmarkEnd w:id="6"/>
    <w:p>
      <w:pPr>
        <w:adjustRightInd/>
        <w:spacing w:line="360" w:lineRule="auto"/>
        <w:jc w:val="center"/>
        <w:outlineLvl w:val="0"/>
        <w:rPr>
          <w:rFonts w:hint="eastAsia" w:ascii="宋体" w:hAnsi="宋体" w:eastAsia="宋体" w:cs="宋体"/>
          <w:b/>
          <w:color w:val="auto"/>
          <w:sz w:val="36"/>
          <w:szCs w:val="20"/>
          <w:highlight w:val="none"/>
        </w:rPr>
      </w:pPr>
      <w:bookmarkStart w:id="7" w:name="_Toc4180"/>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竞争性磋商公告</w:t>
      </w:r>
      <w:bookmarkEnd w:id="7"/>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eastAsia="zh-CN"/>
        </w:rPr>
        <w:t>宁海县公安局内部维修改造项目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的潜在供应商应在政采云平台（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XX</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XX</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XX</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XX</w:t>
      </w:r>
      <w:r>
        <w:rPr>
          <w:rFonts w:hint="eastAsia" w:ascii="宋体" w:hAnsi="宋体" w:eastAsia="宋体" w:cs="宋体"/>
          <w:color w:val="auto"/>
          <w:sz w:val="24"/>
          <w:highlight w:val="none"/>
          <w:u w:val="single"/>
        </w:rPr>
        <w:t>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提交（上传）响应文件。</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KXZJ-2025170</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宁海县公安局内部维修改造项目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3898768.00</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3703830.00</w:t>
      </w:r>
    </w:p>
    <w:p>
      <w:pPr>
        <w:pStyle w:val="6"/>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eastAsia="宋体" w:cs="宋体"/>
          <w:b w:val="0"/>
          <w:bCs/>
          <w:color w:val="auto"/>
          <w:sz w:val="24"/>
          <w:highlight w:val="none"/>
          <w:lang w:val="en-US" w:eastAsia="zh-CN"/>
        </w:rPr>
        <w:t>工程建设地点</w:t>
      </w:r>
      <w:r>
        <w:rPr>
          <w:rFonts w:hint="eastAsia" w:hAnsi="宋体" w:cs="宋体"/>
          <w:b w:val="0"/>
          <w:bCs/>
          <w:color w:val="auto"/>
          <w:sz w:val="24"/>
          <w:highlight w:val="none"/>
          <w:lang w:val="en-US" w:eastAsia="zh-CN"/>
        </w:rPr>
        <w:t>宁海县公安局，</w:t>
      </w:r>
      <w:r>
        <w:rPr>
          <w:rFonts w:hint="eastAsia" w:ascii="宋体" w:hAnsi="宋体" w:eastAsia="宋体" w:cs="宋体"/>
          <w:b w:val="0"/>
          <w:bCs/>
          <w:color w:val="auto"/>
          <w:sz w:val="24"/>
          <w:highlight w:val="none"/>
          <w:lang w:val="en-US" w:eastAsia="zh-CN"/>
        </w:rPr>
        <w:t>该工程为</w:t>
      </w:r>
      <w:r>
        <w:rPr>
          <w:rFonts w:hint="eastAsia" w:hAnsi="宋体" w:cs="宋体"/>
          <w:b w:val="0"/>
          <w:bCs/>
          <w:color w:val="auto"/>
          <w:sz w:val="24"/>
          <w:highlight w:val="none"/>
          <w:lang w:val="en-US" w:eastAsia="zh-CN"/>
        </w:rPr>
        <w:t>主</w:t>
      </w:r>
      <w:r>
        <w:rPr>
          <w:rFonts w:hint="eastAsia" w:ascii="宋体" w:hAnsi="宋体" w:eastAsia="宋体" w:cs="宋体"/>
          <w:b w:val="0"/>
          <w:bCs/>
          <w:color w:val="auto"/>
          <w:sz w:val="24"/>
          <w:highlight w:val="none"/>
          <w:lang w:val="en-US" w:eastAsia="zh-CN"/>
        </w:rPr>
        <w:t>楼</w:t>
      </w:r>
      <w:r>
        <w:rPr>
          <w:rFonts w:hint="eastAsia" w:hAnsi="宋体" w:cs="宋体"/>
          <w:b w:val="0"/>
          <w:bCs/>
          <w:color w:val="auto"/>
          <w:sz w:val="24"/>
          <w:highlight w:val="none"/>
          <w:lang w:val="en-US" w:eastAsia="zh-CN"/>
        </w:rPr>
        <w:t>的</w:t>
      </w:r>
      <w:r>
        <w:rPr>
          <w:rFonts w:hint="eastAsia" w:ascii="宋体" w:hAnsi="宋体" w:eastAsia="宋体" w:cs="宋体"/>
          <w:b w:val="0"/>
          <w:bCs/>
          <w:color w:val="auto"/>
          <w:sz w:val="24"/>
          <w:highlight w:val="none"/>
          <w:lang w:val="en-US" w:eastAsia="zh-CN"/>
        </w:rPr>
        <w:t>内部装修改造</w:t>
      </w:r>
      <w:r>
        <w:rPr>
          <w:rFonts w:hint="eastAsia" w:ascii="宋体" w:hAnsi="宋体" w:eastAsia="宋体" w:cs="宋体"/>
          <w:b w:val="0"/>
          <w:bCs/>
          <w:color w:val="auto"/>
          <w:sz w:val="24"/>
          <w:highlight w:val="none"/>
        </w:rPr>
        <w:t>。</w:t>
      </w:r>
      <w:r>
        <w:rPr>
          <w:rFonts w:hint="eastAsia" w:ascii="宋体" w:hAnsi="宋体" w:eastAsia="宋体" w:cs="宋体"/>
          <w:bCs/>
          <w:snapToGrid/>
          <w:color w:val="auto"/>
          <w:kern w:val="2"/>
          <w:sz w:val="24"/>
          <w:szCs w:val="24"/>
          <w:highlight w:val="none"/>
          <w:lang w:eastAsia="zh-CN"/>
        </w:rPr>
        <w:t>具体以招标文件第三部分采购需求为准，供应商可点击本公告下方“浏览采购文件”查看采购需求。</w:t>
      </w:r>
    </w:p>
    <w:p>
      <w:pPr>
        <w:pStyle w:val="129"/>
        <w:keepNext w:val="0"/>
        <w:keepLines w:val="0"/>
        <w:pageBreakBefore w:val="0"/>
        <w:kinsoku/>
        <w:wordWrap/>
        <w:overflowPunct/>
        <w:topLinePunct w:val="0"/>
        <w:autoSpaceDE/>
        <w:autoSpaceDN/>
        <w:bidi w:val="0"/>
        <w:adjustRightInd w:val="0"/>
        <w:snapToGrid w:val="0"/>
        <w:spacing w:before="0" w:line="360" w:lineRule="auto"/>
        <w:ind w:firstLine="482"/>
        <w:textAlignment w:val="auto"/>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cs="宋体"/>
          <w:b/>
          <w:color w:val="auto"/>
          <w:highlight w:val="none"/>
          <w:lang w:val="en-US" w:eastAsia="zh-CN"/>
        </w:rPr>
        <w:t>90</w:t>
      </w:r>
      <w:r>
        <w:rPr>
          <w:rFonts w:hint="eastAsia" w:ascii="宋体" w:hAnsi="宋体" w:cs="宋体"/>
          <w:bCs/>
          <w:snapToGrid/>
          <w:color w:val="auto"/>
          <w:kern w:val="2"/>
          <w:sz w:val="24"/>
          <w:szCs w:val="24"/>
          <w:highlight w:val="none"/>
          <w:lang w:val="en-US" w:eastAsia="zh-CN" w:bidi="ar-SA"/>
        </w:rPr>
        <w:t>日历日内完成工程施工，并通过验收。</w:t>
      </w:r>
    </w:p>
    <w:p>
      <w:pPr>
        <w:pStyle w:val="6"/>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color w:val="auto"/>
          <w:sz w:val="24"/>
          <w:highlight w:val="none"/>
        </w:rPr>
        <w:t>是；</w:t>
      </w:r>
      <w:sdt>
        <w:sdtPr>
          <w:rPr>
            <w:rFonts w:hint="eastAsia" w:ascii="宋体" w:hAnsi="宋体" w:eastAsia="宋体" w:cs="宋体"/>
            <w:color w:val="auto"/>
            <w:sz w:val="24"/>
            <w:highlight w:val="none"/>
          </w:rPr>
          <w:id w:val="3"/>
          <w14:checkbox>
            <w14:checked w14:val="1"/>
            <w14:checkedState w14:val="00FE" w14:font="Wingdings"/>
            <w14:uncheckedState w14:val="2610" w14:font="MS Gothic"/>
          </w14:checkbox>
        </w:sdtPr>
        <w:sdtEndPr>
          <w:rPr>
            <w:rFonts w:hint="eastAsia" w:ascii="宋体" w:hAnsi="宋体" w:eastAsia="宋体" w:cs="宋体"/>
            <w:color w:val="auto"/>
            <w:sz w:val="24"/>
            <w:highlight w:val="none"/>
          </w:rPr>
        </w:sdtEndPr>
        <w:sdtContent>
          <w:r>
            <w:rPr>
              <w:rFonts w:hint="eastAsia" w:ascii="Wingdings" w:hAnsi="Wingdings" w:eastAsia="宋体" w:cs="宋体"/>
              <w:snapToGrid w:val="0"/>
              <w:color w:val="auto"/>
              <w:kern w:val="28"/>
              <w:sz w:val="24"/>
              <w:szCs w:val="20"/>
              <w:highlight w:val="none"/>
              <w:lang w:val="en-US" w:eastAsia="zh-CN" w:bidi="ar-SA"/>
            </w:rPr>
            <w:t>þ</w:t>
          </w:r>
        </w:sdtContent>
      </w:sdt>
      <w:r>
        <w:rPr>
          <w:rFonts w:hint="eastAsia" w:ascii="宋体" w:hAnsi="宋体" w:eastAsia="宋体" w:cs="宋体"/>
          <w:color w:val="auto"/>
          <w:sz w:val="24"/>
          <w:highlight w:val="none"/>
        </w:rPr>
        <w:t>否</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即：重大税收违法失信主体</w:t>
      </w:r>
      <w:r>
        <w:rPr>
          <w:rFonts w:hint="eastAsia" w:ascii="宋体" w:hAnsi="宋体" w:cs="宋体"/>
          <w:snapToGrid w:val="0"/>
          <w:color w:val="auto"/>
          <w:kern w:val="28"/>
          <w:sz w:val="24"/>
          <w:szCs w:val="20"/>
          <w:highlight w:val="none"/>
          <w:lang w:val="en-US" w:eastAsia="zh-CN"/>
        </w:rPr>
        <w:t>）</w:t>
      </w:r>
      <w:r>
        <w:rPr>
          <w:rFonts w:hint="eastAsia" w:ascii="宋体" w:hAnsi="宋体" w:eastAsia="宋体" w:cs="宋体"/>
          <w:snapToGrid w:val="0"/>
          <w:color w:val="auto"/>
          <w:kern w:val="28"/>
          <w:sz w:val="24"/>
          <w:szCs w:val="20"/>
          <w:highlight w:val="none"/>
        </w:rPr>
        <w:t>、政府采购严重违法失信行为记录名单；</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以联合体形式参与的，提供联合协议</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本项目不接受联合体或者供应商不以联合体形式参与的，则不需要提供</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无；</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sz w:val="24"/>
          <w:highlight w:val="none"/>
        </w:rPr>
        <w:t>工程全部由符合政策要求的中小企业承建，提供中小企业声明函；</w:t>
      </w:r>
    </w:p>
    <w:p>
      <w:pPr>
        <w:keepNext w:val="0"/>
        <w:keepLines w:val="0"/>
        <w:pageBreakBefore w:val="0"/>
        <w:kinsoku/>
        <w:wordWrap/>
        <w:overflowPunct/>
        <w:topLinePunct w:val="0"/>
        <w:autoSpaceDE/>
        <w:autoSpaceDN/>
        <w:bidi w:val="0"/>
        <w:adjustRightInd w:val="0"/>
        <w:spacing w:line="360" w:lineRule="auto"/>
        <w:ind w:firstLine="897" w:firstLineChars="374"/>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工程全部由符合政策要求的小微企业承建，提供中小企业声明函；</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bookmarkStart w:id="12" w:name="_Hlk101132524"/>
        </w:sdtContent>
      </w:sdt>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要求合同分包，提供分包意向协议和中小企业声明函，分包意向协议中中小企业合同金额应当</w:t>
      </w:r>
      <w:r>
        <w:rPr>
          <w:rFonts w:hint="eastAsia" w:ascii="宋体" w:hAnsi="宋体" w:cs="宋体"/>
          <w:color w:val="auto"/>
          <w:sz w:val="24"/>
          <w:highlight w:val="none"/>
          <w:lang w:eastAsia="zh-CN"/>
        </w:rPr>
        <w:t>达到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eastAsia="宋体" w:cs="宋体"/>
          <w:color w:val="auto"/>
          <w:sz w:val="24"/>
          <w:highlight w:val="none"/>
        </w:rPr>
        <w:t>；</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本项目的特定资格要求：</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.1</w:t>
      </w:r>
      <w:r>
        <w:rPr>
          <w:rFonts w:hint="eastAsia" w:ascii="宋体" w:hAnsi="宋体" w:eastAsia="宋体" w:cs="宋体"/>
          <w:color w:val="auto"/>
          <w:sz w:val="24"/>
          <w:highlight w:val="none"/>
          <w:lang w:val="en-US" w:eastAsia="zh-CN"/>
        </w:rPr>
        <w:t>.</w:t>
      </w:r>
      <w:r>
        <w:rPr>
          <w:rFonts w:hint="eastAsia" w:ascii="宋体" w:hAnsi="宋体" w:eastAsia="宋体" w:cs="宋体"/>
          <w:b/>
          <w:bCs/>
          <w:color w:val="auto"/>
          <w:sz w:val="24"/>
          <w:highlight w:val="none"/>
          <w:lang w:val="en-US" w:eastAsia="zh-CN"/>
        </w:rPr>
        <w:t>供应商须具备建筑装修装饰工程专业承包二级及以上资质（资质须在有效期内），并具备有效的安全生产许可证。注：</w:t>
      </w:r>
      <w:r>
        <w:rPr>
          <w:rFonts w:hint="eastAsia" w:ascii="宋体" w:hAnsi="宋体" w:eastAsia="宋体" w:cs="宋体"/>
          <w:b/>
          <w:bCs/>
          <w:color w:val="auto"/>
          <w:sz w:val="24"/>
          <w:highlight w:val="none"/>
          <w:lang w:eastAsia="zh-CN"/>
        </w:rPr>
        <w:t>响应文件中须提供资质证书复印件加盖公章。</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lang w:val="en-US" w:eastAsia="zh-CN"/>
        </w:rPr>
        <w:t>.项目负责人须具备建筑工程贰级及以上注册建造师资格，具有有效的安全生产考核合格证（B类）</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注：</w:t>
      </w:r>
      <w:r>
        <w:rPr>
          <w:rFonts w:hint="eastAsia" w:ascii="宋体" w:hAnsi="宋体" w:eastAsia="宋体" w:cs="宋体"/>
          <w:b/>
          <w:bCs/>
          <w:color w:val="auto"/>
          <w:sz w:val="24"/>
          <w:highlight w:val="none"/>
          <w:lang w:eastAsia="zh-CN"/>
        </w:rPr>
        <w:t>响应文件中须同时提供人员证书复印件</w:t>
      </w:r>
      <w:r>
        <w:rPr>
          <w:rFonts w:hint="eastAsia" w:ascii="宋体" w:hAnsi="宋体" w:eastAsia="宋体" w:cs="宋体"/>
          <w:b/>
          <w:bCs/>
          <w:color w:val="auto"/>
          <w:sz w:val="24"/>
          <w:highlight w:val="none"/>
          <w:lang w:val="en-US" w:eastAsia="zh-CN"/>
        </w:rPr>
        <w:t>和距开标日近三个月（其中一个月即可）供应商为其缴纳的</w:t>
      </w:r>
      <w:r>
        <w:rPr>
          <w:rFonts w:hint="eastAsia" w:ascii="宋体" w:hAnsi="宋体" w:eastAsia="宋体" w:cs="宋体"/>
          <w:b/>
          <w:bCs/>
          <w:color w:val="auto"/>
          <w:sz w:val="24"/>
          <w:highlight w:val="none"/>
          <w:lang w:eastAsia="zh-CN"/>
        </w:rPr>
        <w:t>社保证明并加盖公章。</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三、获取采购文件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cs="宋体"/>
          <w:b w:val="0"/>
          <w:bCs/>
          <w:color w:val="auto"/>
          <w:sz w:val="24"/>
          <w:highlight w:val="none"/>
          <w:lang w:eastAsia="zh-CN"/>
        </w:rPr>
        <w:t>202</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rPr>
        <w:t>年</w:t>
      </w:r>
      <w:r>
        <w:rPr>
          <w:rFonts w:hint="eastAsia" w:ascii="宋体" w:hAnsi="宋体" w:cs="宋体"/>
          <w:b w:val="0"/>
          <w:bCs/>
          <w:color w:val="auto"/>
          <w:sz w:val="24"/>
          <w:highlight w:val="none"/>
          <w:lang w:val="en-US" w:eastAsia="zh-CN"/>
        </w:rPr>
        <w:t>XX</w:t>
      </w:r>
      <w:r>
        <w:rPr>
          <w:rFonts w:hint="eastAsia" w:ascii="宋体" w:hAnsi="宋体" w:eastAsia="宋体" w:cs="宋体"/>
          <w:b w:val="0"/>
          <w:bCs/>
          <w:color w:val="auto"/>
          <w:sz w:val="24"/>
          <w:highlight w:val="none"/>
        </w:rPr>
        <w:t>月</w:t>
      </w:r>
      <w:r>
        <w:rPr>
          <w:rFonts w:hint="eastAsia" w:ascii="宋体" w:hAnsi="宋体" w:cs="宋体"/>
          <w:b w:val="0"/>
          <w:bCs/>
          <w:color w:val="auto"/>
          <w:sz w:val="24"/>
          <w:highlight w:val="none"/>
          <w:lang w:val="en-US" w:eastAsia="zh-CN"/>
        </w:rPr>
        <w:t>XX</w:t>
      </w:r>
      <w:r>
        <w:rPr>
          <w:rFonts w:hint="eastAsia" w:ascii="宋体" w:hAnsi="宋体" w:eastAsia="宋体" w:cs="宋体"/>
          <w:b w:val="0"/>
          <w:bCs/>
          <w:color w:val="auto"/>
          <w:sz w:val="24"/>
          <w:highlight w:val="none"/>
        </w:rPr>
        <w:t>日至</w:t>
      </w:r>
      <w:r>
        <w:rPr>
          <w:rFonts w:hint="eastAsia" w:ascii="宋体" w:hAnsi="宋体" w:cs="宋体"/>
          <w:b w:val="0"/>
          <w:bCs/>
          <w:color w:val="auto"/>
          <w:sz w:val="24"/>
          <w:highlight w:val="none"/>
          <w:lang w:eastAsia="zh-CN"/>
        </w:rPr>
        <w:t>202</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rPr>
        <w:t>年</w:t>
      </w:r>
      <w:r>
        <w:rPr>
          <w:rFonts w:hint="eastAsia" w:ascii="宋体" w:hAnsi="宋体" w:cs="宋体"/>
          <w:b w:val="0"/>
          <w:bCs/>
          <w:color w:val="auto"/>
          <w:sz w:val="24"/>
          <w:highlight w:val="none"/>
          <w:lang w:val="en-US" w:eastAsia="zh-CN"/>
        </w:rPr>
        <w:t>XX</w:t>
      </w:r>
      <w:r>
        <w:rPr>
          <w:rFonts w:hint="eastAsia" w:ascii="宋体" w:hAnsi="宋体" w:eastAsia="宋体" w:cs="宋体"/>
          <w:b w:val="0"/>
          <w:bCs/>
          <w:color w:val="auto"/>
          <w:sz w:val="24"/>
          <w:highlight w:val="none"/>
        </w:rPr>
        <w:t>月</w:t>
      </w:r>
      <w:r>
        <w:rPr>
          <w:rFonts w:hint="eastAsia" w:ascii="宋体" w:hAnsi="宋体" w:cs="宋体"/>
          <w:b w:val="0"/>
          <w:bCs/>
          <w:color w:val="auto"/>
          <w:sz w:val="24"/>
          <w:highlight w:val="none"/>
          <w:lang w:val="en-US" w:eastAsia="zh-CN"/>
        </w:rPr>
        <w:t>XX</w:t>
      </w:r>
      <w:r>
        <w:rPr>
          <w:rFonts w:hint="eastAsia" w:ascii="宋体" w:hAnsi="宋体" w:eastAsia="宋体" w:cs="宋体"/>
          <w:b w:val="0"/>
          <w:bCs/>
          <w:color w:val="auto"/>
          <w:sz w:val="24"/>
          <w:highlight w:val="non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四、响应文件提交（上传）</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截止时间：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XX</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XX</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rPr>
        <w:t>（北京时间）</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val="en-US" w:eastAsia="zh-CN"/>
        </w:rPr>
        <w:t>政府采购云平台（http://www.zcygov.cn/）</w:t>
      </w:r>
      <w:r>
        <w:rPr>
          <w:rFonts w:hint="eastAsia" w:ascii="宋体" w:hAnsi="宋体" w:eastAsia="宋体" w:cs="宋体"/>
          <w:color w:val="auto"/>
          <w:sz w:val="24"/>
          <w:highlight w:val="none"/>
          <w:lang w:eastAsia="zh-CN"/>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五、响应文件开启 </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开启时间：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年</w:t>
      </w:r>
      <w:r>
        <w:rPr>
          <w:rFonts w:hint="eastAsia" w:ascii="宋体" w:hAnsi="宋体" w:cs="宋体"/>
          <w:color w:val="auto"/>
          <w:sz w:val="24"/>
          <w:highlight w:val="none"/>
          <w:u w:val="single"/>
          <w:lang w:val="en-US" w:eastAsia="zh-CN"/>
        </w:rPr>
        <w:t>XX</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XX</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lang w:eastAsia="zh-CN"/>
        </w:rPr>
        <w:t>0分</w:t>
      </w:r>
    </w:p>
    <w:p>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lang w:val="en-US" w:eastAsia="zh-CN"/>
        </w:rPr>
        <w:t>政府采购云平台（http://www.zcygov.cn/）</w:t>
      </w:r>
      <w:r>
        <w:rPr>
          <w:rFonts w:hint="eastAsia" w:ascii="宋体" w:hAnsi="宋体" w:eastAsia="宋体" w:cs="宋体"/>
          <w:color w:val="auto"/>
          <w:sz w:val="24"/>
          <w:highlight w:val="none"/>
          <w:lang w:eastAsia="zh-CN"/>
        </w:rPr>
        <w:t>。</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六、公告期限 </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自本公告发布之日起3个工作日。</w:t>
      </w:r>
    </w:p>
    <w:p>
      <w:pPr>
        <w:keepNext w:val="0"/>
        <w:keepLines w:val="0"/>
        <w:pageBreakBefore w:val="0"/>
        <w:kinsoku/>
        <w:wordWrap/>
        <w:overflowPunct/>
        <w:topLinePunct w:val="0"/>
        <w:autoSpaceDE/>
        <w:autoSpaceDN/>
        <w:bidi w:val="0"/>
        <w:adjustRightIn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七、其他补充事宜</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（1）需要落实的政府采购政策：包括节约资源、保护环境、支持创新、促进中小企业发展等。详见招标文件的第二部分总则。</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文件后缀为：jmbs）：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（3）招标文件公告期限与招标公告的公告期限一致。</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（4）《第一部分  竞争性磋商公告》中二、申请人的资格要求：第一条中的“重大税收违法案件当事人名单”即为“重大税收违法失信主体”。</w:t>
      </w:r>
    </w:p>
    <w:p>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八、对本次采购提出询问、质疑、投诉，请按以下方式联系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1.采购人信息</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宁海县公安局</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址：宁海县金水东路1号</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传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 xml:space="preserve"> 真：/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项目联系人（询问）：</w:t>
      </w:r>
      <w:r>
        <w:rPr>
          <w:rFonts w:hint="eastAsia" w:ascii="宋体" w:hAnsi="宋体" w:eastAsia="宋体" w:cs="宋体"/>
          <w:color w:val="auto"/>
          <w:sz w:val="24"/>
          <w:highlight w:val="none"/>
          <w:lang w:val="en-US" w:eastAsia="zh-CN"/>
        </w:rPr>
        <w:t>薛警官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项目联系方式（询问）：0574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65347073</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质疑联系人：吴</w:t>
      </w:r>
      <w:r>
        <w:rPr>
          <w:rFonts w:hint="eastAsia" w:ascii="宋体" w:hAnsi="宋体" w:eastAsia="宋体" w:cs="宋体"/>
          <w:color w:val="auto"/>
          <w:sz w:val="24"/>
          <w:highlight w:val="none"/>
          <w:lang w:val="en-US" w:eastAsia="zh-CN"/>
        </w:rPr>
        <w:t>警官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质疑联系方式：</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0574-65347071</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2.采购代理机构信息            </w:t>
      </w:r>
    </w:p>
    <w:p>
      <w:pPr>
        <w:adjustRightInd/>
        <w:spacing w:line="360" w:lineRule="auto"/>
        <w:ind w:firstLine="480" w:firstLineChars="200"/>
        <w:rPr>
          <w:rFonts w:hint="default" w:ascii="宋体" w:hAnsi="宋体" w:eastAsia="宋体" w:cs="宋体"/>
          <w:b w:val="0"/>
          <w:bCs w:val="0"/>
          <w:color w:val="000000"/>
          <w:sz w:val="24"/>
          <w:highlight w:val="none"/>
          <w:lang w:val="en-US" w:eastAsia="zh-CN"/>
        </w:rPr>
      </w:pPr>
      <w:r>
        <w:rPr>
          <w:rFonts w:hint="eastAsia" w:ascii="宋体" w:hAnsi="宋体" w:eastAsia="宋体" w:cs="宋体"/>
          <w:b w:val="0"/>
          <w:bCs w:val="0"/>
          <w:color w:val="000000"/>
          <w:sz w:val="24"/>
          <w:highlight w:val="none"/>
        </w:rPr>
        <w:t>名    称：浙江凯翔工程咨询管理有限公司</w:t>
      </w:r>
      <w:r>
        <w:rPr>
          <w:rFonts w:hint="eastAsia" w:ascii="宋体" w:hAnsi="宋体" w:eastAsia="宋体" w:cs="宋体"/>
          <w:b w:val="0"/>
          <w:bCs w:val="0"/>
          <w:color w:val="000000"/>
          <w:sz w:val="24"/>
          <w:highlight w:val="none"/>
          <w:lang w:val="en-US" w:eastAsia="zh-CN"/>
        </w:rPr>
        <w:t xml:space="preserve">                           </w:t>
      </w:r>
    </w:p>
    <w:p>
      <w:pPr>
        <w:adjustRightInd/>
        <w:spacing w:line="360" w:lineRule="auto"/>
        <w:ind w:firstLine="480" w:firstLineChars="200"/>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地    址：宁波市鄞州区云龙镇云彩路487号218室</w:t>
      </w:r>
    </w:p>
    <w:p>
      <w:pPr>
        <w:adjustRightInd/>
        <w:spacing w:line="360" w:lineRule="auto"/>
        <w:ind w:firstLine="480" w:firstLineChars="200"/>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传    真：0574-83033198</w:t>
      </w:r>
    </w:p>
    <w:p>
      <w:pPr>
        <w:adjustRightInd/>
        <w:spacing w:line="360" w:lineRule="auto"/>
        <w:ind w:firstLine="480" w:firstLineChars="200"/>
        <w:rPr>
          <w:rFonts w:hint="default" w:ascii="宋体" w:hAnsi="宋体" w:eastAsia="宋体" w:cs="宋体"/>
          <w:b w:val="0"/>
          <w:bCs w:val="0"/>
          <w:color w:val="000000"/>
          <w:sz w:val="24"/>
          <w:highlight w:val="none"/>
          <w:lang w:val="en-US" w:eastAsia="zh-CN"/>
        </w:rPr>
      </w:pPr>
      <w:r>
        <w:rPr>
          <w:rFonts w:hint="eastAsia" w:ascii="宋体" w:hAnsi="宋体" w:eastAsia="宋体" w:cs="宋体"/>
          <w:b w:val="0"/>
          <w:bCs w:val="0"/>
          <w:color w:val="000000"/>
          <w:sz w:val="24"/>
          <w:highlight w:val="none"/>
        </w:rPr>
        <w:t>项目联系人（询问）：</w:t>
      </w:r>
      <w:r>
        <w:rPr>
          <w:rFonts w:hint="eastAsia" w:ascii="宋体" w:hAnsi="宋体" w:eastAsia="宋体" w:cs="宋体"/>
          <w:b w:val="0"/>
          <w:bCs w:val="0"/>
          <w:color w:val="000000"/>
          <w:sz w:val="24"/>
          <w:highlight w:val="none"/>
          <w:lang w:val="en-US" w:eastAsia="zh-CN"/>
        </w:rPr>
        <w:t>周盛、邬力</w:t>
      </w:r>
    </w:p>
    <w:p>
      <w:pPr>
        <w:adjustRightInd/>
        <w:spacing w:line="360" w:lineRule="auto"/>
        <w:ind w:firstLine="480" w:firstLineChars="200"/>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项目联系方式（询问）：0574-83033198</w:t>
      </w:r>
    </w:p>
    <w:p>
      <w:pPr>
        <w:adjustRightInd/>
        <w:spacing w:line="360" w:lineRule="auto"/>
        <w:ind w:firstLine="480" w:firstLineChars="200"/>
        <w:rPr>
          <w:rFonts w:hint="default" w:ascii="宋体" w:hAnsi="宋体" w:eastAsia="宋体" w:cs="宋体"/>
          <w:b w:val="0"/>
          <w:bCs w:val="0"/>
          <w:color w:val="000000"/>
          <w:sz w:val="24"/>
          <w:highlight w:val="none"/>
          <w:lang w:val="en-US" w:eastAsia="zh-CN"/>
        </w:rPr>
      </w:pPr>
      <w:r>
        <w:rPr>
          <w:rFonts w:hint="eastAsia" w:ascii="宋体" w:hAnsi="宋体" w:eastAsia="宋体" w:cs="宋体"/>
          <w:b w:val="0"/>
          <w:bCs w:val="0"/>
          <w:color w:val="000000"/>
          <w:sz w:val="24"/>
          <w:highlight w:val="none"/>
        </w:rPr>
        <w:t>质疑联系人：</w:t>
      </w:r>
      <w:r>
        <w:rPr>
          <w:rFonts w:hint="eastAsia" w:ascii="宋体" w:hAnsi="宋体" w:eastAsia="宋体" w:cs="宋体"/>
          <w:b w:val="0"/>
          <w:bCs w:val="0"/>
          <w:color w:val="000000"/>
          <w:sz w:val="24"/>
          <w:highlight w:val="none"/>
          <w:lang w:val="en-US" w:eastAsia="zh-CN"/>
        </w:rPr>
        <w:t>徐新宇</w:t>
      </w:r>
    </w:p>
    <w:p>
      <w:pPr>
        <w:adjustRightInd/>
        <w:spacing w:line="360" w:lineRule="auto"/>
        <w:ind w:firstLine="480" w:firstLineChars="200"/>
        <w:rPr>
          <w:rFonts w:hint="eastAsia" w:ascii="宋体" w:hAnsi="宋体" w:eastAsia="宋体" w:cs="宋体"/>
          <w:b w:val="0"/>
          <w:bCs w:val="0"/>
          <w:color w:val="000000"/>
          <w:sz w:val="24"/>
          <w:highlight w:val="none"/>
        </w:rPr>
      </w:pPr>
      <w:r>
        <w:rPr>
          <w:rFonts w:hint="eastAsia" w:ascii="宋体" w:hAnsi="宋体" w:eastAsia="宋体" w:cs="宋体"/>
          <w:b w:val="0"/>
          <w:bCs w:val="0"/>
          <w:color w:val="000000"/>
          <w:sz w:val="24"/>
          <w:highlight w:val="none"/>
        </w:rPr>
        <w:t>质疑联系方式：0574-83033198</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3.同级政府采购监督管理部门：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名    称：宁海县政府采购管理办公室</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地    址：宁海县跃龙街道桃源中路218号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传    真：0574-65265612</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联系人 ：王老师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监督投诉电话：0574-65265668</w:t>
      </w:r>
    </w:p>
    <w:p>
      <w:pPr>
        <w:keepNext w:val="0"/>
        <w:keepLines w:val="0"/>
        <w:pageBreakBefore w:val="0"/>
        <w:kinsoku/>
        <w:wordWrap/>
        <w:overflowPunct/>
        <w:topLinePunct w:val="0"/>
        <w:autoSpaceDE/>
        <w:autoSpaceDN/>
        <w:bidi w:val="0"/>
        <w:adjustRightInd w:val="0"/>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95763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获取热线服务帮助。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4"/>
        <w:outlineLvl w:val="9"/>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sectPr>
          <w:footerReference r:id="rId6" w:type="default"/>
          <w:pgSz w:w="11906" w:h="16838"/>
          <w:pgMar w:top="1440" w:right="1080" w:bottom="1440" w:left="1080" w:header="851" w:footer="992" w:gutter="0"/>
          <w:pgNumType w:fmt="decimal"/>
          <w:cols w:space="720" w:num="1"/>
          <w:docGrid w:linePitch="312" w:charSpace="0"/>
        </w:sectPr>
      </w:pPr>
    </w:p>
    <w:p>
      <w:pPr>
        <w:pStyle w:val="34"/>
        <w:spacing w:line="360" w:lineRule="auto"/>
        <w:jc w:val="center"/>
        <w:outlineLvl w:val="0"/>
        <w:rPr>
          <w:rFonts w:hint="eastAsia" w:ascii="宋体" w:hAnsi="宋体" w:eastAsia="宋体" w:cs="宋体"/>
          <w:b/>
          <w:snapToGrid/>
          <w:color w:val="auto"/>
          <w:sz w:val="36"/>
          <w:szCs w:val="20"/>
          <w:highlight w:val="none"/>
        </w:rPr>
      </w:pPr>
      <w:bookmarkStart w:id="13" w:name="_Toc23841"/>
      <w:r>
        <w:rPr>
          <w:rFonts w:hint="eastAsia" w:ascii="宋体" w:hAnsi="宋体" w:eastAsia="宋体" w:cs="宋体"/>
          <w:b/>
          <w:snapToGrid/>
          <w:color w:val="auto"/>
          <w:sz w:val="36"/>
          <w:szCs w:val="20"/>
          <w:highlight w:val="none"/>
        </w:rPr>
        <w:t>第二部分</w:t>
      </w:r>
      <w:bookmarkEnd w:id="8"/>
      <w:r>
        <w:rPr>
          <w:rFonts w:hint="eastAsia" w:ascii="宋体" w:hAnsi="宋体" w:eastAsia="宋体" w:cs="宋体"/>
          <w:b/>
          <w:snapToGrid/>
          <w:color w:val="auto"/>
          <w:sz w:val="36"/>
          <w:szCs w:val="20"/>
          <w:highlight w:val="none"/>
        </w:rPr>
        <w:t xml:space="preserve"> 供应商须知</w:t>
      </w:r>
      <w:bookmarkEnd w:id="9"/>
      <w:bookmarkEnd w:id="13"/>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971"/>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4" w:type="dxa"/>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97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290"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97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7290" w:type="dxa"/>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kern w:val="0"/>
                <w:sz w:val="24"/>
                <w:highlight w:val="none"/>
              </w:rPr>
              <w:t>工程</w:t>
            </w:r>
            <w:r>
              <w:rPr>
                <w:rFonts w:hint="eastAsia" w:ascii="宋体" w:hAnsi="宋体" w:eastAsia="宋体" w:cs="宋体"/>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97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7290" w:type="dxa"/>
            <w:vAlign w:val="center"/>
          </w:tcPr>
          <w:p>
            <w:pPr>
              <w:snapToGrid w:val="0"/>
              <w:spacing w:line="36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u w:val="single"/>
                <w:lang w:eastAsia="zh-CN"/>
              </w:rPr>
              <w:t>宁海县公安局内部维修改造项目</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建筑业</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97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7290" w:type="dxa"/>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r>
              <w:rPr>
                <w:rFonts w:hint="eastAsia" w:ascii="宋体" w:hAnsi="宋体" w:eastAsia="宋体" w:cs="宋体"/>
                <w:color w:val="auto"/>
                <w:kern w:val="0"/>
                <w:sz w:val="24"/>
                <w:highlight w:val="none"/>
                <w:lang w:eastAsia="zh-CN"/>
              </w:rPr>
              <w:t>，具体品牌详见清单</w:t>
            </w:r>
            <w:r>
              <w:rPr>
                <w:rFonts w:hint="eastAsia" w:ascii="宋体" w:hAnsi="宋体" w:eastAsia="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97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290" w:type="dxa"/>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97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磋商前答疑会或现场考察</w:t>
            </w:r>
          </w:p>
        </w:tc>
        <w:tc>
          <w:tcPr>
            <w:tcW w:w="7290" w:type="dxa"/>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shd w:val="clear"/>
                </w:rPr>
              </w:sdtEndPr>
              <w:sdtContent>
                <w:r>
                  <w:rPr>
                    <w:rFonts w:hint="eastAsia" w:ascii="MS Gothic" w:hAnsi="MS Gothic" w:eastAsia="宋体" w:cs="宋体"/>
                    <w:color w:val="auto"/>
                    <w:kern w:val="0"/>
                    <w:sz w:val="24"/>
                    <w:szCs w:val="24"/>
                    <w:highlight w:val="none"/>
                    <w:shd w:val="clear"/>
                    <w:lang w:val="en-US" w:eastAsia="zh-CN" w:bidi="ar-SA"/>
                  </w:rPr>
                  <w:t>☐</w:t>
                </w:r>
              </w:sdtContent>
            </w:sdt>
            <w:r>
              <w:rPr>
                <w:rFonts w:hint="eastAsia" w:ascii="宋体" w:hAnsi="宋体" w:eastAsia="宋体" w:cs="宋体"/>
                <w:color w:val="auto"/>
                <w:kern w:val="0"/>
                <w:sz w:val="24"/>
                <w:highlight w:val="none"/>
                <w:shd w:val="clear"/>
              </w:rPr>
              <w:t>B组织</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。勘察现场所发生的费用由供应商自己承担。不论何种原因所造成，在勘察过程中，供应商自行对由此次踏勘现场而造成的死亡、人身伤害、财产损失、损害以及</w:t>
            </w:r>
            <w:r>
              <w:rPr>
                <w:rFonts w:hint="eastAsia" w:ascii="宋体" w:hAnsi="宋体" w:cs="宋体"/>
                <w:color w:val="auto"/>
                <w:sz w:val="24"/>
                <w:szCs w:val="20"/>
                <w:highlight w:val="none"/>
                <w:lang w:eastAsia="zh-CN"/>
              </w:rPr>
              <w:t>任何其他</w:t>
            </w:r>
            <w:r>
              <w:rPr>
                <w:rFonts w:hint="eastAsia" w:ascii="宋体" w:hAnsi="宋体" w:eastAsia="宋体" w:cs="宋体"/>
                <w:color w:val="auto"/>
                <w:sz w:val="24"/>
                <w:szCs w:val="20"/>
                <w:highlight w:val="none"/>
              </w:rPr>
              <w:t>损失、损害和引起的费用和开支承担责任。</w:t>
            </w:r>
            <w:r>
              <w:rPr>
                <w:rFonts w:hint="eastAsia" w:ascii="宋体" w:hAnsi="宋体" w:eastAsia="宋体" w:cs="宋体"/>
                <w:color w:val="auto"/>
                <w:sz w:val="24"/>
                <w:szCs w:val="20"/>
                <w:highlight w:val="none"/>
                <w:lang w:eastAsia="zh-CN"/>
              </w:rPr>
              <w:t>若因供应商自身原因未参加踏勘而对项目理解有误造成自身损失等后果均由供应商自己承担。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97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7290" w:type="dxa"/>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评审办法</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。请供应商在上述时间内提供样品并按规定位置安装完毕。超过截止时间的，采购人或采购代理机构将不予接收，并将清场并封闭样品现场。</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采购活动结束后，对于未成交供应商提供的样品，采购人、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将通知未成交供应商在规定的时间内取回，逾期未取回的，采购人、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不负保管义务；对于成交供应商提供的样品，采购人将进行保管、封存，并作为履约验收的参考。</w:t>
            </w:r>
          </w:p>
          <w:p>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971" w:type="dxa"/>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7290" w:type="dxa"/>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B组织。</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（1）在评审时安排每个供应商进行方案讲解演示。每个供应商时间不超过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分钟，讲解次序以响应文件解密时间先后次序为准，讲解演示人员不超过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人。讲解演示结束后按要求解答磋商小组提问。</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方式一：政采云平台在线讲解演示。政采云平台在线讲解需供应商根据政采云平台操作要求做好准备工作，提前完善软硬件配置环境。</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，讲解演示所用电脑等设备由供应商自备。现场讲解演示人员进场时提供讲解人员名单（加盖公章或授权代表签名）及身份证明，否则不得讲解演示。</w:t>
            </w:r>
          </w:p>
          <w:p>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Merge w:val="restart"/>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971" w:type="dxa"/>
            <w:vMerge w:val="restart"/>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供应商应当提供的资格、资信证明文件</w:t>
            </w:r>
          </w:p>
        </w:tc>
        <w:tc>
          <w:tcPr>
            <w:tcW w:w="7290" w:type="dxa"/>
            <w:vAlign w:val="center"/>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（1）资格证明文件：见采购文件第二部分11.1。</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Merge w:val="continue"/>
            <w:vAlign w:val="center"/>
          </w:tcPr>
          <w:p>
            <w:pPr>
              <w:snapToGrid w:val="0"/>
              <w:spacing w:line="360" w:lineRule="auto"/>
              <w:jc w:val="center"/>
              <w:rPr>
                <w:rFonts w:hint="eastAsia" w:ascii="宋体" w:hAnsi="宋体" w:eastAsia="宋体" w:cs="宋体"/>
                <w:color w:val="auto"/>
                <w:sz w:val="24"/>
                <w:highlight w:val="none"/>
              </w:rPr>
            </w:pPr>
          </w:p>
        </w:tc>
        <w:tc>
          <w:tcPr>
            <w:tcW w:w="1971" w:type="dxa"/>
            <w:vMerge w:val="continue"/>
            <w:vAlign w:val="center"/>
          </w:tcPr>
          <w:p>
            <w:pPr>
              <w:snapToGrid w:val="0"/>
              <w:spacing w:line="360" w:lineRule="auto"/>
              <w:jc w:val="center"/>
              <w:rPr>
                <w:rFonts w:hint="eastAsia" w:ascii="宋体" w:hAnsi="宋体" w:eastAsia="宋体" w:cs="宋体"/>
                <w:b/>
                <w:color w:val="auto"/>
                <w:sz w:val="24"/>
                <w:highlight w:val="none"/>
              </w:rPr>
            </w:pPr>
          </w:p>
        </w:tc>
        <w:tc>
          <w:tcPr>
            <w:tcW w:w="7290" w:type="dxa"/>
            <w:vAlign w:val="center"/>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97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7290" w:type="dxa"/>
            <w:vAlign w:val="center"/>
          </w:tcPr>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97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290"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有关本项目实施所需的所有费用（含税费）均计入报价。响应文件中价格全部采用人民币报价。</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lang w:val="zh-CN"/>
              </w:rPr>
              <w:t>文件未列明，而供应商认为必需的费用也需列入报价。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本项目投标总价（人民币报价）包括所有招标内容，投标价格包括但不限于设备费、材料费、运输、二次搬运、备品备件、检验检测费、安装调试费、安全生产、文明施工、验收、培训费用、售后服务、招标代理服务费、税、利润、政策性文件规定及合同包含的所有风险、责任等各项应有的费用，即完成招标内容及要求本项目所提供服务涉及的全部费用。注：投标综合单价根据比例进行调整。计算公式：投标综合单价=《已标价工程量清单》的综合单价×【（最后报价（投标总价）</w:t>
            </w:r>
            <w:r>
              <w:rPr>
                <w:rFonts w:hint="eastAsia" w:ascii="宋体" w:hAnsi="宋体" w:eastAsia="宋体" w:cs="宋体"/>
                <w:color w:val="auto"/>
                <w:kern w:val="0"/>
                <w:sz w:val="24"/>
                <w:highlight w:val="none"/>
                <w:lang w:val="zh-CN" w:eastAsia="zh-CN"/>
              </w:rPr>
              <w:t>-暂列金额</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预算金额-暂列金额</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zh-CN" w:eastAsia="zh-CN"/>
              </w:rPr>
              <w:t>暂列金额不参与调整</w:t>
            </w:r>
            <w:r>
              <w:rPr>
                <w:rFonts w:hint="eastAsia" w:ascii="宋体" w:hAnsi="宋体" w:eastAsia="宋体" w:cs="宋体"/>
                <w:color w:val="auto"/>
                <w:kern w:val="0"/>
                <w:sz w:val="24"/>
                <w:highlight w:val="none"/>
                <w:lang w:val="zh-CN"/>
              </w:rPr>
              <w:t>。</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最后报价出现下列情形的，响应文件无效：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响应文件出现不是唯一的、有选择性最后报价的；</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最后报价超过采购文件中规定的预算金额或者最高限价的；</w:t>
            </w:r>
          </w:p>
          <w:p>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kern w:val="0"/>
                <w:sz w:val="24"/>
                <w:highlight w:val="none"/>
                <w:lang w:eastAsia="zh-CN"/>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供应商对根据修正原则修正后的报价不确认的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97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29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供应商成交后也可在“政采云”平台申请政采贷：操作路径：登录政采云平台</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金融服务中心</w:t>
            </w:r>
            <w:r>
              <w:rPr>
                <w:rFonts w:hint="eastAsia" w:ascii="宋体" w:hAnsi="宋体" w:cs="宋体"/>
                <w:snapToGrid w:val="0"/>
                <w:color w:val="auto"/>
                <w:kern w:val="28"/>
                <w:sz w:val="24"/>
                <w:highlight w:val="none"/>
                <w:lang w:eastAsia="zh-CN"/>
              </w:rPr>
              <w:t>－</w:t>
            </w:r>
            <w:r>
              <w:rPr>
                <w:rFonts w:hint="eastAsia" w:ascii="宋体" w:hAnsi="宋体" w:eastAsia="宋体" w:cs="宋体"/>
                <w:snapToGrid w:val="0"/>
                <w:color w:val="auto"/>
                <w:kern w:val="28"/>
                <w:sz w:val="24"/>
                <w:highlight w:val="none"/>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97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备份响应文件送达地点和签收人员</w:t>
            </w:r>
          </w:p>
        </w:tc>
        <w:tc>
          <w:tcPr>
            <w:tcW w:w="7290" w:type="dxa"/>
            <w:vAlign w:val="center"/>
          </w:tcPr>
          <w:p>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供应商可以准备U盘存储的电子备份响应文件1份，按政府采购云平台要求制作的电子备份响应文件，以用于异常情况处理。</w:t>
            </w:r>
          </w:p>
          <w:p>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如提供备份响应文件的，应于响应文件提交（上传）截止时间前，将以U盘存储的电子备份响应文件密封，递交至</w:t>
            </w:r>
            <w:r>
              <w:rPr>
                <w:rFonts w:hint="eastAsia" w:ascii="宋体" w:hAnsi="宋体" w:eastAsia="宋体" w:cs="宋体"/>
                <w:snapToGrid w:val="0"/>
                <w:color w:val="auto"/>
                <w:kern w:val="28"/>
                <w:sz w:val="24"/>
                <w:szCs w:val="24"/>
                <w:highlight w:val="none"/>
                <w:u w:val="single"/>
                <w:lang w:val="en-US" w:eastAsia="zh-CN" w:bidi="ar-SA"/>
              </w:rPr>
              <w:t>宁海县政务服务中心（宁海县桃源街道金水东路5号五楼）</w:t>
            </w:r>
            <w:r>
              <w:rPr>
                <w:rFonts w:hint="eastAsia" w:ascii="宋体" w:hAnsi="宋体" w:eastAsia="宋体" w:cs="宋体"/>
                <w:snapToGrid w:val="0"/>
                <w:color w:val="auto"/>
                <w:kern w:val="28"/>
                <w:sz w:val="24"/>
                <w:szCs w:val="24"/>
                <w:highlight w:val="none"/>
                <w:lang w:val="en-US" w:eastAsia="zh-CN" w:bidi="ar-SA"/>
              </w:rPr>
              <w:t>，逾期送达或未密封将予以拒收。</w:t>
            </w:r>
          </w:p>
          <w:p>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供应商可采用邮寄（含快递）方式递交备份响应文件。</w:t>
            </w:r>
          </w:p>
          <w:p>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pPr>
              <w:pStyle w:val="34"/>
              <w:spacing w:line="360" w:lineRule="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拟在开标前一个工作日的16:00前到件的邮寄地址为：</w:t>
            </w:r>
          </w:p>
          <w:p>
            <w:pPr>
              <w:pStyle w:val="34"/>
              <w:spacing w:line="360" w:lineRule="auto"/>
              <w:rPr>
                <w:rFonts w:hint="eastAsia" w:ascii="宋体" w:hAnsi="宋体" w:eastAsia="宋体" w:cs="宋体"/>
                <w:b/>
                <w:bCs/>
                <w:kern w:val="28"/>
                <w:sz w:val="24"/>
                <w:szCs w:val="24"/>
                <w:highlight w:val="none"/>
              </w:rPr>
            </w:pPr>
            <w:r>
              <w:rPr>
                <w:rFonts w:hint="eastAsia" w:ascii="宋体" w:hAnsi="宋体" w:cs="宋体"/>
                <w:b/>
                <w:bCs/>
                <w:color w:val="auto"/>
                <w:sz w:val="24"/>
                <w:highlight w:val="none"/>
              </w:rPr>
              <w:t>宁波市鄞州区云龙镇云彩路487号2</w:t>
            </w:r>
            <w:r>
              <w:rPr>
                <w:rFonts w:hint="eastAsia" w:ascii="宋体" w:hAnsi="宋体" w:cs="宋体"/>
                <w:b/>
                <w:bCs/>
                <w:color w:val="auto"/>
                <w:sz w:val="24"/>
                <w:highlight w:val="none"/>
                <w:lang w:val="en-US" w:eastAsia="zh-CN"/>
              </w:rPr>
              <w:t>05</w:t>
            </w:r>
            <w:r>
              <w:rPr>
                <w:rFonts w:hint="eastAsia" w:ascii="宋体" w:hAnsi="宋体" w:cs="宋体"/>
                <w:b/>
                <w:bCs/>
                <w:color w:val="auto"/>
                <w:sz w:val="24"/>
                <w:highlight w:val="none"/>
              </w:rPr>
              <w:t>室</w:t>
            </w:r>
            <w:r>
              <w:rPr>
                <w:rFonts w:hint="eastAsia" w:ascii="宋体" w:hAnsi="宋体" w:eastAsia="宋体" w:cs="宋体"/>
                <w:b/>
                <w:bCs/>
                <w:kern w:val="28"/>
                <w:sz w:val="24"/>
                <w:szCs w:val="24"/>
                <w:highlight w:val="none"/>
              </w:rPr>
              <w:t>；</w:t>
            </w:r>
          </w:p>
          <w:p>
            <w:pPr>
              <w:pStyle w:val="34"/>
              <w:spacing w:line="360" w:lineRule="auto"/>
              <w:rPr>
                <w:rFonts w:hint="default" w:ascii="宋体" w:hAnsi="宋体" w:eastAsia="宋体" w:cs="宋体"/>
                <w:snapToGrid w:val="0"/>
                <w:color w:val="auto"/>
                <w:kern w:val="28"/>
                <w:sz w:val="24"/>
                <w:szCs w:val="24"/>
                <w:highlight w:val="none"/>
                <w:lang w:val="en-US" w:eastAsia="zh-CN" w:bidi="ar-SA"/>
              </w:rPr>
            </w:pPr>
            <w:r>
              <w:rPr>
                <w:rFonts w:hint="eastAsia" w:ascii="宋体" w:hAnsi="宋体" w:eastAsia="宋体" w:cs="宋体"/>
                <w:b/>
                <w:bCs/>
                <w:kern w:val="28"/>
                <w:sz w:val="24"/>
                <w:szCs w:val="24"/>
                <w:highlight w:val="none"/>
              </w:rPr>
              <w:t>收件人：</w:t>
            </w:r>
            <w:r>
              <w:rPr>
                <w:rFonts w:hint="eastAsia" w:hAnsi="宋体" w:eastAsia="宋体" w:cs="宋体"/>
                <w:b/>
                <w:bCs/>
                <w:kern w:val="28"/>
                <w:sz w:val="24"/>
                <w:szCs w:val="24"/>
                <w:highlight w:val="none"/>
                <w:lang w:val="en-US" w:eastAsia="zh-CN"/>
              </w:rPr>
              <w:t>周盛</w:t>
            </w:r>
            <w:r>
              <w:rPr>
                <w:rFonts w:hint="eastAsia" w:ascii="宋体" w:hAnsi="宋体" w:eastAsia="宋体" w:cs="宋体"/>
                <w:b/>
                <w:bCs/>
                <w:kern w:val="28"/>
                <w:sz w:val="24"/>
                <w:szCs w:val="24"/>
                <w:highlight w:val="none"/>
              </w:rPr>
              <w:t xml:space="preserve">  联系方式：18958290050</w:t>
            </w:r>
          </w:p>
          <w:p>
            <w:pPr>
              <w:keepNext w:val="0"/>
              <w:keepLines w:val="0"/>
              <w:pageBreakBefore w:val="0"/>
              <w:widowControl w:val="0"/>
              <w:kinsoku/>
              <w:wordWrap/>
              <w:overflowPunct/>
              <w:topLinePunct w:val="0"/>
              <w:autoSpaceDE/>
              <w:autoSpaceDN/>
              <w:bidi w:val="0"/>
              <w:adjustRightInd w:val="0"/>
              <w:spacing w:line="336" w:lineRule="auto"/>
              <w:jc w:val="both"/>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bidi="ar-SA"/>
              </w:rPr>
              <w:t>请各供应商确保密封包装在邮寄过程密封包装完好，因邮寄过程的密封破损造成不符合开标要求的，本采购代理及采购人概不负责。</w:t>
            </w:r>
          </w:p>
          <w:p>
            <w:pPr>
              <w:pStyle w:val="34"/>
              <w:spacing w:line="360" w:lineRule="auto"/>
              <w:rPr>
                <w:rFonts w:hint="eastAsia" w:ascii="宋体" w:hAnsi="宋体" w:eastAsia="宋体" w:cs="宋体"/>
                <w:color w:val="auto"/>
                <w:kern w:val="28"/>
                <w:sz w:val="24"/>
                <w:highlight w:val="none"/>
              </w:rPr>
            </w:pPr>
            <w:r>
              <w:rPr>
                <w:rFonts w:hint="eastAsia" w:ascii="宋体" w:hAnsi="宋体" w:eastAsia="宋体" w:cs="宋体"/>
                <w:b/>
                <w:bCs/>
                <w:snapToGrid w:val="0"/>
                <w:color w:val="auto"/>
                <w:kern w:val="28"/>
                <w:sz w:val="24"/>
                <w:szCs w:val="24"/>
                <w:highlight w:val="none"/>
                <w:lang w:val="en-US" w:eastAsia="zh-CN" w:bidi="ar-SA"/>
              </w:rPr>
              <w:t>采购人、采购代理机构不强制或变相强制供应商提交备份响应文件</w:t>
            </w:r>
            <w:r>
              <w:rPr>
                <w:rFonts w:hint="eastAsia" w:ascii="宋体" w:hAnsi="宋体" w:eastAsia="宋体" w:cs="宋体"/>
                <w:b/>
                <w:bCs/>
                <w:snapToGrid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97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其它说明</w:t>
            </w:r>
          </w:p>
        </w:tc>
        <w:tc>
          <w:tcPr>
            <w:tcW w:w="7290" w:type="dxa"/>
            <w:vAlign w:val="center"/>
          </w:tcPr>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971" w:type="dxa"/>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招标代理服务费</w:t>
            </w:r>
          </w:p>
        </w:tc>
        <w:tc>
          <w:tcPr>
            <w:tcW w:w="7290" w:type="dxa"/>
            <w:vAlign w:val="center"/>
          </w:tcPr>
          <w:p>
            <w:pPr>
              <w:keepNext w:val="0"/>
              <w:keepLines w:val="0"/>
              <w:pageBreakBefore w:val="0"/>
              <w:widowControl w:val="0"/>
              <w:kinsoku/>
              <w:wordWrap/>
              <w:overflowPunct/>
              <w:topLinePunct w:val="0"/>
              <w:autoSpaceDE/>
              <w:autoSpaceDN/>
              <w:bidi w:val="0"/>
              <w:adjustRightInd w:val="0"/>
              <w:spacing w:line="336" w:lineRule="auto"/>
              <w:textAlignment w:val="auto"/>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招标代理服务费的收取标准：</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采购代理向</w:t>
            </w:r>
            <w:r>
              <w:rPr>
                <w:rFonts w:hint="eastAsia" w:ascii="宋体" w:hAnsi="宋体" w:eastAsia="宋体" w:cs="宋体"/>
                <w:color w:val="auto"/>
                <w:kern w:val="0"/>
                <w:sz w:val="24"/>
                <w:highlight w:val="none"/>
                <w:lang w:eastAsia="zh-CN"/>
              </w:rPr>
              <w:t>成交人</w:t>
            </w:r>
            <w:r>
              <w:rPr>
                <w:rFonts w:hint="eastAsia" w:ascii="宋体" w:hAnsi="宋体" w:eastAsia="宋体" w:cs="宋体"/>
                <w:color w:val="auto"/>
                <w:kern w:val="0"/>
                <w:sz w:val="24"/>
                <w:highlight w:val="none"/>
              </w:rPr>
              <w:t>收取招标代理服务费</w:t>
            </w:r>
            <w:r>
              <w:rPr>
                <w:rFonts w:hint="eastAsia" w:ascii="宋体" w:hAnsi="宋体" w:cs="宋体"/>
                <w:color w:val="auto"/>
                <w:kern w:val="0"/>
                <w:sz w:val="24"/>
                <w:highlight w:val="none"/>
                <w:lang w:val="en-US" w:eastAsia="zh-CN"/>
              </w:rPr>
              <w:t>18000元</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关于本次采购的服务费汇入以下账户：</w:t>
            </w:r>
          </w:p>
          <w:p>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开户银行：宁波银行股份有限公司鄞州中心区支行</w:t>
            </w:r>
          </w:p>
          <w:p>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账    号：30010122001229488</w:t>
            </w:r>
          </w:p>
          <w:p>
            <w:pPr>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户    名：</w:t>
            </w:r>
            <w:r>
              <w:rPr>
                <w:rFonts w:hint="eastAsia" w:ascii="宋体" w:hAnsi="宋体" w:cs="宋体"/>
                <w:color w:val="auto"/>
                <w:kern w:val="0"/>
                <w:sz w:val="24"/>
                <w:highlight w:val="none"/>
                <w:lang w:val="en-US" w:eastAsia="zh-CN"/>
              </w:rPr>
              <w:t>浙江凯翔工程咨询管理有限公司</w:t>
            </w:r>
          </w:p>
          <w:p>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highlight w:val="none"/>
                <w:lang w:val="en-US" w:eastAsia="zh-CN"/>
              </w:rPr>
              <w:t>注：成交人接到本公司通知后5个工作日内向本采购代理机构领取成交通知书（根据成交人需求可采用邮寄或到采购代理机构现场领取）。</w:t>
            </w:r>
          </w:p>
        </w:tc>
      </w:tr>
      <w:bookmarkEnd w:id="10"/>
    </w:tbl>
    <w:p>
      <w:pPr>
        <w:widowControl/>
        <w:adjustRightInd/>
        <w:jc w:val="left"/>
        <w:rPr>
          <w:rFonts w:hint="eastAsia" w:ascii="宋体" w:hAnsi="宋体" w:eastAsia="宋体" w:cs="宋体"/>
          <w:b/>
          <w:color w:val="auto"/>
          <w:sz w:val="32"/>
          <w:szCs w:val="20"/>
          <w:highlight w:val="none"/>
        </w:rPr>
      </w:pPr>
      <w:bookmarkStart w:id="14" w:name="第三部分"/>
      <w:bookmarkStart w:id="15" w:name="_Toc164416483"/>
      <w:r>
        <w:rPr>
          <w:rFonts w:hint="eastAsia" w:ascii="宋体" w:hAnsi="宋体" w:eastAsia="宋体" w:cs="宋体"/>
          <w:b/>
          <w:color w:val="auto"/>
          <w:sz w:val="32"/>
          <w:szCs w:val="20"/>
          <w:highlight w:val="none"/>
        </w:rPr>
        <w:br w:type="page"/>
      </w:r>
    </w:p>
    <w:p>
      <w:pPr>
        <w:snapToGrid w:val="0"/>
        <w:spacing w:line="360" w:lineRule="auto"/>
        <w:jc w:val="center"/>
        <w:outlineLvl w:val="0"/>
        <w:rPr>
          <w:rFonts w:hint="eastAsia" w:ascii="宋体" w:hAnsi="宋体" w:eastAsia="宋体" w:cs="宋体"/>
          <w:b/>
          <w:color w:val="auto"/>
          <w:sz w:val="32"/>
          <w:szCs w:val="20"/>
          <w:highlight w:val="none"/>
        </w:rPr>
      </w:pPr>
      <w:bookmarkStart w:id="16" w:name="_Toc17569"/>
      <w:r>
        <w:rPr>
          <w:rFonts w:hint="eastAsia" w:ascii="宋体" w:hAnsi="宋体" w:eastAsia="宋体" w:cs="宋体"/>
          <w:b/>
          <w:color w:val="auto"/>
          <w:sz w:val="32"/>
          <w:szCs w:val="20"/>
          <w:highlight w:val="none"/>
        </w:rPr>
        <w:t>一、总则</w:t>
      </w:r>
      <w:bookmarkEnd w:id="16"/>
    </w:p>
    <w:p>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outlineLvl w:val="0"/>
        <w:rPr>
          <w:rFonts w:hint="eastAsia" w:ascii="宋体" w:hAnsi="宋体" w:eastAsia="宋体" w:cs="宋体"/>
          <w:b/>
          <w:color w:val="auto"/>
          <w:sz w:val="24"/>
          <w:highlight w:val="none"/>
        </w:rPr>
      </w:pPr>
      <w:bookmarkStart w:id="17" w:name="_Toc18298"/>
      <w:r>
        <w:rPr>
          <w:rFonts w:hint="eastAsia" w:ascii="宋体" w:hAnsi="宋体" w:eastAsia="宋体" w:cs="宋体"/>
          <w:b/>
          <w:color w:val="auto"/>
          <w:sz w:val="24"/>
          <w:highlight w:val="none"/>
        </w:rPr>
        <w:t>2.定义</w:t>
      </w:r>
      <w:bookmarkEnd w:id="17"/>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“采购人”系指竞争性磋商公告中载明的本项目的采购人。</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”系指竞争性磋商公告中载明的本项目的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“供应商”系指是指提交响应文件和报价、参与竞争性磋商采购活动的法人、其他组织或者自然人。</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“成交人”系指经评审确定的成交供应商。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“响应文件”系指供应商提交的资格文件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商务技术文件</w:t>
      </w:r>
      <w:r>
        <w:rPr>
          <w:rFonts w:hint="eastAsia" w:ascii="宋体" w:hAnsi="宋体" w:eastAsia="宋体" w:cs="宋体"/>
          <w:color w:val="auto"/>
          <w:sz w:val="24"/>
          <w:highlight w:val="none"/>
          <w:lang w:eastAsia="zh-CN"/>
        </w:rPr>
        <w:t>、报价文件</w:t>
      </w:r>
      <w:r>
        <w:rPr>
          <w:rFonts w:hint="eastAsia" w:ascii="宋体" w:hAnsi="宋体" w:eastAsia="宋体" w:cs="宋体"/>
          <w:color w:val="auto"/>
          <w:sz w:val="24"/>
          <w:highlight w:val="none"/>
        </w:rPr>
        <w:t>。供应商提交最后报价后，最后报价是供应商响应文件的有效组成部分。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2.7 </w:t>
      </w:r>
      <w:r>
        <w:rPr>
          <w:rFonts w:hint="eastAsia" w:ascii="宋体" w:hAnsi="宋体" w:eastAsia="宋体" w:cs="宋体"/>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 xml:space="preserve">8 </w:t>
      </w:r>
      <w:r>
        <w:rPr>
          <w:rFonts w:hint="eastAsia" w:ascii="宋体" w:hAnsi="宋体" w:eastAsia="宋体" w:cs="宋体"/>
          <w:color w:val="auto"/>
          <w:sz w:val="24"/>
          <w:highlight w:val="none"/>
        </w:rPr>
        <w:t>“电子交易平台”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 “书面形式”包括数据电文形式与纸质形式。数据电文形式与纸质形式的采购活动具有同等法律效力。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”系指不适用本项目的要求，“※”系指磋商过程中可能实质性变动的内容。</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w:t>
      </w:r>
      <w:r>
        <w:rPr>
          <w:rFonts w:hint="eastAsia" w:ascii="宋体" w:hAnsi="宋体" w:eastAsia="宋体" w:cs="宋体"/>
          <w:color w:val="auto"/>
          <w:sz w:val="24"/>
          <w:highlight w:val="none"/>
          <w:lang w:val="en-US" w:eastAsia="zh-CN"/>
        </w:rPr>
        <w:t>竞争性磋商文件</w:t>
      </w:r>
      <w:r>
        <w:rPr>
          <w:rFonts w:hint="eastAsia" w:ascii="宋体" w:hAnsi="宋体" w:eastAsia="宋体" w:cs="宋体"/>
          <w:color w:val="auto"/>
          <w:sz w:val="24"/>
          <w:highlight w:val="none"/>
        </w:rPr>
        <w:t>要求提供相关产品认证证书。</w:t>
      </w:r>
      <w:r>
        <w:rPr>
          <w:rFonts w:hint="eastAsia" w:ascii="宋体" w:hAnsi="宋体" w:cs="宋体"/>
          <w:color w:val="auto"/>
          <w:sz w:val="24"/>
          <w:highlight w:val="none"/>
          <w:lang w:eastAsia="zh-CN"/>
        </w:rPr>
        <w:t>★</w:t>
      </w:r>
      <w:r>
        <w:rPr>
          <w:rFonts w:hint="eastAsia" w:ascii="宋体" w:hAnsi="宋体" w:eastAsia="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pStyle w:val="4"/>
        <w:tabs>
          <w:tab w:val="left" w:pos="0"/>
          <w:tab w:val="clear" w:pos="432"/>
        </w:tabs>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在政府采购活动中，供应商提供的工程符合下列情形的，享受中小企业扶持政策：</w:t>
      </w:r>
      <w:r>
        <w:rPr>
          <w:rFonts w:hint="eastAsia" w:ascii="宋体" w:hAnsi="宋体" w:eastAsia="宋体" w:cs="宋体"/>
          <w:color w:val="auto"/>
          <w:sz w:val="24"/>
          <w:highlight w:val="none"/>
        </w:rPr>
        <w:t>在工程采购项目中，工程由中小企业承建，即工程施工单位为中小企业</w:t>
      </w:r>
      <w:r>
        <w:rPr>
          <w:rFonts w:hint="eastAsia" w:ascii="宋体" w:hAnsi="宋体" w:eastAsia="宋体" w:cs="宋体"/>
          <w:color w:val="auto"/>
          <w:kern w:val="0"/>
          <w:sz w:val="24"/>
          <w:highlight w:val="none"/>
        </w:rPr>
        <w:t>。</w:t>
      </w:r>
    </w:p>
    <w:p>
      <w:pPr>
        <w:widowControl/>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%的扣除，用扣除后的价格参与评审。接受大中型企业与小微企业组成联合体或者允许大中型企业向一家或者多家小微企业分包的政府采购工程项目，对于</w:t>
      </w:r>
      <w:bookmarkStart w:id="18"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8"/>
      <w:r>
        <w:rPr>
          <w:rFonts w:hint="eastAsia" w:ascii="宋体" w:hAnsi="宋体" w:eastAsia="宋体" w:cs="宋体"/>
          <w:color w:val="auto"/>
          <w:sz w:val="24"/>
          <w:highlight w:val="none"/>
        </w:rPr>
        <w:t>，对联合体或者大中型企业的报价给予</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3.3.4符合《关于促进残疾人就业政府采购政策的通知》（财库〔2017〕141号）规定的条件并提供《残疾人福利性单位声明函》的残疾人福利性单位视同小型、微型企业；</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3.4支持创新发展</w:t>
      </w:r>
    </w:p>
    <w:p>
      <w:pPr>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3.4.1对省级以上主管部门认定的首台套产品，自纳入《省推广应用指导目录》起三年内参加政府采购活动，视同已具备相应销售业绩，业绩分为满分。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4.1在线询问、质疑、投诉</w:t>
      </w:r>
    </w:p>
    <w:p>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根据《浙江省财政厅关于进一步促进政府采购公平竞争打造最优营商环境的通知》（浙财采监（2021）22号）文件关于“健全行政裁决机制”要求，鼓励供应商在线提起询问，路径为：政采云</w:t>
      </w:r>
      <w:r>
        <w:rPr>
          <w:rFonts w:hint="eastAsia" w:cs="宋体"/>
          <w:color w:val="auto"/>
          <w:highlight w:val="none"/>
          <w:lang w:eastAsia="zh-CN"/>
        </w:rPr>
        <w:t>－</w:t>
      </w:r>
      <w:r>
        <w:rPr>
          <w:rFonts w:hint="eastAsia" w:ascii="宋体" w:hAnsi="宋体" w:eastAsia="宋体" w:cs="宋体"/>
          <w:color w:val="auto"/>
          <w:highlight w:val="none"/>
        </w:rPr>
        <w:t>项目采购</w:t>
      </w:r>
      <w:r>
        <w:rPr>
          <w:rFonts w:hint="eastAsia" w:cs="宋体"/>
          <w:color w:val="auto"/>
          <w:highlight w:val="none"/>
          <w:lang w:eastAsia="zh-CN"/>
        </w:rPr>
        <w:t>－</w:t>
      </w:r>
      <w:r>
        <w:rPr>
          <w:rFonts w:hint="eastAsia" w:ascii="宋体" w:hAnsi="宋体" w:eastAsia="宋体" w:cs="宋体"/>
          <w:color w:val="auto"/>
          <w:highlight w:val="none"/>
        </w:rPr>
        <w:t>询问质疑投诉</w:t>
      </w:r>
      <w:r>
        <w:rPr>
          <w:rFonts w:hint="eastAsia" w:cs="宋体"/>
          <w:color w:val="auto"/>
          <w:highlight w:val="none"/>
          <w:lang w:eastAsia="zh-CN"/>
        </w:rPr>
        <w:t>－</w:t>
      </w:r>
      <w:r>
        <w:rPr>
          <w:rFonts w:hint="eastAsia" w:ascii="宋体" w:hAnsi="宋体" w:eastAsia="宋体" w:cs="宋体"/>
          <w:color w:val="auto"/>
          <w:highlight w:val="none"/>
        </w:rPr>
        <w:t>询问列表；鼓励供应商在线提起质疑，路径为：政采云</w:t>
      </w:r>
      <w:r>
        <w:rPr>
          <w:rFonts w:hint="eastAsia" w:cs="宋体"/>
          <w:color w:val="auto"/>
          <w:highlight w:val="none"/>
          <w:lang w:eastAsia="zh-CN"/>
        </w:rPr>
        <w:t>－</w:t>
      </w:r>
      <w:r>
        <w:rPr>
          <w:rFonts w:hint="eastAsia" w:ascii="宋体" w:hAnsi="宋体" w:eastAsia="宋体" w:cs="宋体"/>
          <w:color w:val="auto"/>
          <w:highlight w:val="none"/>
        </w:rPr>
        <w:t>项目采购</w:t>
      </w:r>
      <w:r>
        <w:rPr>
          <w:rFonts w:hint="eastAsia" w:cs="宋体"/>
          <w:color w:val="auto"/>
          <w:highlight w:val="none"/>
          <w:lang w:eastAsia="zh-CN"/>
        </w:rPr>
        <w:t>－</w:t>
      </w:r>
      <w:r>
        <w:rPr>
          <w:rFonts w:hint="eastAsia" w:ascii="宋体" w:hAnsi="宋体" w:eastAsia="宋体" w:cs="宋体"/>
          <w:color w:val="auto"/>
          <w:highlight w:val="none"/>
        </w:rPr>
        <w:t>询问质疑投诉</w:t>
      </w:r>
      <w:r>
        <w:rPr>
          <w:rFonts w:hint="eastAsia" w:cs="宋体"/>
          <w:color w:val="auto"/>
          <w:highlight w:val="none"/>
          <w:lang w:eastAsia="zh-CN"/>
        </w:rPr>
        <w:t>－</w:t>
      </w:r>
      <w:r>
        <w:rPr>
          <w:rFonts w:hint="eastAsia" w:ascii="宋体" w:hAnsi="宋体" w:eastAsia="宋体" w:cs="宋体"/>
          <w:color w:val="auto"/>
          <w:highlight w:val="none"/>
        </w:rPr>
        <w:t>质疑列表。质疑供应商对在线质疑答复不满意的，可在线提起投诉，路径为：浙江政府服务网</w:t>
      </w:r>
      <w:r>
        <w:rPr>
          <w:rFonts w:hint="eastAsia" w:cs="宋体"/>
          <w:color w:val="auto"/>
          <w:highlight w:val="none"/>
          <w:lang w:eastAsia="zh-CN"/>
        </w:rPr>
        <w:t>－</w:t>
      </w:r>
      <w:r>
        <w:rPr>
          <w:rFonts w:hint="eastAsia" w:ascii="宋体" w:hAnsi="宋体" w:eastAsia="宋体" w:cs="宋体"/>
          <w:color w:val="auto"/>
          <w:highlight w:val="none"/>
        </w:rPr>
        <w:t>政府采购投诉处理</w:t>
      </w:r>
      <w:r>
        <w:rPr>
          <w:rFonts w:hint="eastAsia" w:cs="宋体"/>
          <w:color w:val="auto"/>
          <w:highlight w:val="none"/>
          <w:lang w:eastAsia="zh-CN"/>
        </w:rPr>
        <w:t>－</w:t>
      </w:r>
      <w:r>
        <w:rPr>
          <w:rFonts w:hint="eastAsia" w:ascii="宋体" w:hAnsi="宋体" w:eastAsia="宋体" w:cs="宋体"/>
          <w:color w:val="auto"/>
          <w:highlight w:val="none"/>
        </w:rPr>
        <w:t>在线办理。</w:t>
      </w:r>
    </w:p>
    <w:p>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p>
    <w:p>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.1提出质疑的供应商应当是参与所质疑项目采购活动的供应商。潜在供应商已依法获取其可质疑的采购文件的，可以对该文件提出质疑。</w:t>
      </w:r>
    </w:p>
    <w:p>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pPr>
        <w:pStyle w:val="6"/>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4.3.2.1对采购文件提出质疑的，质疑期限为供应商获得采购文件之日或者采购文件公告期限届满之日起计算。</w:t>
      </w:r>
    </w:p>
    <w:p>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w:t>
      </w:r>
    </w:p>
    <w:p>
      <w:pPr>
        <w:pStyle w:val="34"/>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4.3.2.3对采购结果提出质疑的，质疑期限自采购结果公告期限届满之日起计算。</w:t>
      </w:r>
    </w:p>
    <w:p>
      <w:pPr>
        <w:pStyle w:val="34"/>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4.3.3.1供应商的姓名或者名称、地址、邮编、联系人及联系电话；</w:t>
      </w:r>
    </w:p>
    <w:p>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4.3.3.2质疑项目的名称、编号；</w:t>
      </w:r>
    </w:p>
    <w:p>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4.3.3.3具体、明确的质疑事项和与质疑事项相关的请求；</w:t>
      </w:r>
    </w:p>
    <w:p>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4.3.3.4事实依据；</w:t>
      </w:r>
    </w:p>
    <w:p>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4.3.3.5必要的法律依据；</w:t>
      </w:r>
    </w:p>
    <w:p>
      <w:pPr>
        <w:pStyle w:val="34"/>
        <w:snapToGrid w:val="0"/>
        <w:spacing w:line="360" w:lineRule="auto"/>
        <w:ind w:firstLine="720" w:firstLineChars="3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w:t>
      </w:r>
      <w:r>
        <w:rPr>
          <w:rFonts w:hint="eastAsia" w:cs="宋体"/>
          <w:color w:val="auto"/>
          <w:highlight w:val="none"/>
          <w:lang w:val="en-US" w:eastAsia="zh-CN"/>
        </w:rPr>
        <w:t>1</w:t>
      </w:r>
      <w:r>
        <w:rPr>
          <w:rFonts w:hint="eastAsia" w:ascii="宋体" w:hAnsi="宋体" w:eastAsia="宋体" w:cs="宋体"/>
          <w:color w:val="auto"/>
          <w:highlight w:val="none"/>
        </w:rPr>
        <w:t>。</w:t>
      </w:r>
    </w:p>
    <w:p>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pPr>
        <w:pStyle w:val="886"/>
        <w:shd w:val="clear" w:color="auto"/>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浙江省财政厅</w:t>
      </w:r>
      <w:r>
        <w:rPr>
          <w:rFonts w:hint="eastAsia" w:ascii="宋体" w:hAnsi="宋体" w:eastAsia="宋体" w:cs="宋体"/>
          <w:color w:val="auto"/>
          <w:sz w:val="24"/>
          <w:highlight w:val="none"/>
        </w:rPr>
        <w:t>关于进一步加强政府采购公</w:t>
      </w:r>
      <w:r>
        <w:rPr>
          <w:rFonts w:hint="eastAsia" w:ascii="宋体" w:hAnsi="宋体" w:eastAsia="宋体" w:cs="宋体"/>
          <w:color w:val="auto"/>
          <w:sz w:val="24"/>
          <w:highlight w:val="none"/>
          <w:lang w:val="en-US" w:eastAsia="zh-CN"/>
        </w:rPr>
        <w:t>平竞争打造最</w:t>
      </w:r>
      <w:r>
        <w:rPr>
          <w:rFonts w:hint="eastAsia" w:ascii="宋体" w:hAnsi="宋体" w:eastAsia="宋体" w:cs="宋体"/>
          <w:color w:val="auto"/>
          <w:sz w:val="24"/>
          <w:highlight w:val="none"/>
        </w:rPr>
        <w:t>优营商环境的通知》（</w:t>
      </w:r>
      <w:r>
        <w:rPr>
          <w:rFonts w:hint="eastAsia" w:ascii="宋体" w:hAnsi="宋体" w:eastAsia="宋体" w:cs="宋体"/>
          <w:color w:val="auto"/>
          <w:sz w:val="24"/>
          <w:highlight w:val="none"/>
          <w:lang w:val="en-US" w:eastAsia="zh-CN"/>
        </w:rPr>
        <w:t>浙</w:t>
      </w:r>
      <w:r>
        <w:rPr>
          <w:rFonts w:hint="eastAsia" w:ascii="宋体" w:hAnsi="宋体" w:eastAsia="宋体" w:cs="宋体"/>
          <w:color w:val="auto"/>
          <w:sz w:val="24"/>
          <w:highlight w:val="none"/>
        </w:rPr>
        <w:t>财采监〔2021〕</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pPr>
        <w:pStyle w:val="886"/>
        <w:shd w:val="clear" w:color="auto"/>
        <w:snapToGrid w:val="0"/>
        <w:spacing w:after="240" w:afterAutospacing="0" w:line="360" w:lineRule="auto"/>
        <w:ind w:firstLine="480" w:firstLineChars="200"/>
        <w:contextualSpacing/>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4.5.5投诉材料</w:t>
      </w:r>
      <w:r>
        <w:rPr>
          <w:rFonts w:hint="eastAsia" w:ascii="宋体" w:hAnsi="宋体" w:eastAsia="宋体" w:cs="宋体"/>
          <w:color w:val="auto"/>
          <w:highlight w:val="none"/>
          <w:lang w:val="en-US" w:eastAsia="zh-CN"/>
        </w:rPr>
        <w:t>寄送相关信息详见《第一部分  竞争性磋商公告》“</w:t>
      </w:r>
      <w:r>
        <w:rPr>
          <w:rFonts w:hint="eastAsia" w:ascii="宋体" w:hAnsi="宋体" w:eastAsia="宋体" w:cs="宋体"/>
          <w:color w:val="auto"/>
          <w:highlight w:val="none"/>
        </w:rPr>
        <w:t>同级政府采购监督管理部门</w:t>
      </w:r>
      <w:r>
        <w:rPr>
          <w:rFonts w:hint="eastAsia" w:ascii="宋体" w:hAnsi="宋体" w:eastAsia="宋体" w:cs="宋体"/>
          <w:color w:val="auto"/>
          <w:highlight w:val="none"/>
          <w:lang w:val="en-US" w:eastAsia="zh-CN"/>
        </w:rPr>
        <w:t>”。</w:t>
      </w:r>
    </w:p>
    <w:p>
      <w:pPr>
        <w:pStyle w:val="886"/>
        <w:shd w:val="clear" w:color="auto"/>
        <w:adjustRightInd w:val="0"/>
        <w:snapToGrid w:val="0"/>
        <w:spacing w:before="0" w:beforeAutospacing="0" w:after="0" w:afterAutospacing="0" w:line="360" w:lineRule="auto"/>
        <w:ind w:firstLine="480" w:firstLineChars="2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w:t>
      </w:r>
      <w:r>
        <w:rPr>
          <w:rFonts w:hint="eastAsia" w:cs="宋体"/>
          <w:color w:val="auto"/>
          <w:highlight w:val="none"/>
          <w:lang w:val="en-US" w:eastAsia="zh-CN"/>
        </w:rPr>
        <w:t>2</w:t>
      </w:r>
      <w:r>
        <w:rPr>
          <w:rFonts w:hint="eastAsia" w:ascii="宋体" w:hAnsi="宋体" w:eastAsia="宋体" w:cs="宋体"/>
          <w:color w:val="auto"/>
          <w:highlight w:val="none"/>
        </w:rPr>
        <w:t>。</w:t>
      </w:r>
    </w:p>
    <w:p>
      <w:pPr>
        <w:pStyle w:val="129"/>
        <w:snapToGrid w:val="0"/>
        <w:spacing w:before="0"/>
        <w:ind w:firstLine="360"/>
        <w:rPr>
          <w:rFonts w:hint="eastAsia" w:ascii="宋体" w:hAnsi="宋体" w:eastAsia="宋体" w:cs="宋体"/>
          <w:color w:val="auto"/>
          <w:sz w:val="18"/>
          <w:szCs w:val="18"/>
          <w:highlight w:val="none"/>
        </w:rPr>
      </w:pPr>
    </w:p>
    <w:p>
      <w:pPr>
        <w:snapToGrid w:val="0"/>
        <w:spacing w:line="360" w:lineRule="auto"/>
        <w:jc w:val="center"/>
        <w:outlineLvl w:val="0"/>
        <w:rPr>
          <w:rFonts w:hint="eastAsia" w:ascii="宋体" w:hAnsi="宋体" w:eastAsia="宋体" w:cs="宋体"/>
          <w:b/>
          <w:color w:val="auto"/>
          <w:sz w:val="32"/>
          <w:szCs w:val="20"/>
          <w:highlight w:val="none"/>
        </w:rPr>
      </w:pPr>
      <w:bookmarkStart w:id="19" w:name="_Toc21397"/>
      <w:r>
        <w:rPr>
          <w:rFonts w:hint="eastAsia" w:ascii="宋体" w:hAnsi="宋体" w:eastAsia="宋体" w:cs="宋体"/>
          <w:b/>
          <w:color w:val="auto"/>
          <w:sz w:val="32"/>
          <w:szCs w:val="20"/>
          <w:highlight w:val="none"/>
        </w:rPr>
        <w:t>二、采购文件的构成、澄清、修改</w:t>
      </w:r>
      <w:bookmarkEnd w:id="19"/>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5．采购文件的构成</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4"/>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澄清或者修改的内容为采购文件的组成部分</w:t>
      </w:r>
      <w:r>
        <w:rPr>
          <w:rFonts w:hint="eastAsia" w:ascii="宋体" w:hAnsi="宋体" w:eastAsia="宋体" w:cs="宋体"/>
          <w:color w:val="auto"/>
          <w:sz w:val="24"/>
          <w:highlight w:val="none"/>
        </w:rPr>
        <w:t>。</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6.1已获取采购文件的潜在供应商，若有问题需要澄清，应于响应文件提交（上传）截止时间前，以书面形式向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pPr>
        <w:pStyle w:val="129"/>
        <w:snapToGrid w:val="0"/>
        <w:spacing w:before="0"/>
        <w:ind w:firstLine="480"/>
        <w:rPr>
          <w:rFonts w:hint="eastAsia" w:ascii="宋体" w:hAnsi="宋体" w:eastAsia="宋体" w:cs="宋体"/>
          <w:color w:val="auto"/>
          <w:sz w:val="18"/>
          <w:szCs w:val="18"/>
          <w:highlight w:val="none"/>
          <w:lang w:val="en-US"/>
        </w:rPr>
      </w:pPr>
      <w:r>
        <w:rPr>
          <w:rFonts w:hint="eastAsia" w:ascii="宋体" w:hAnsi="宋体" w:cs="宋体"/>
          <w:b/>
          <w:color w:val="auto"/>
          <w:highlight w:val="none"/>
          <w:lang w:eastAsia="zh-CN"/>
        </w:rPr>
        <w:t>★</w:t>
      </w:r>
      <w:r>
        <w:rPr>
          <w:rFonts w:hint="eastAsia" w:ascii="宋体" w:hAnsi="宋体" w:eastAsia="宋体" w:cs="宋体"/>
          <w:b/>
          <w:color w:val="auto"/>
          <w:szCs w:val="21"/>
          <w:highlight w:val="none"/>
        </w:rPr>
        <w:t>响应文件未按</w:t>
      </w:r>
      <w:r>
        <w:rPr>
          <w:rFonts w:hint="eastAsia" w:ascii="宋体" w:hAnsi="宋体" w:eastAsia="宋体" w:cs="宋体"/>
          <w:b/>
          <w:bCs/>
          <w:color w:val="auto"/>
          <w:highlight w:val="none"/>
          <w:lang w:val="en-US" w:eastAsia="zh-CN"/>
        </w:rPr>
        <w:t>磋商</w:t>
      </w:r>
      <w:r>
        <w:rPr>
          <w:rFonts w:hint="eastAsia" w:ascii="宋体" w:hAnsi="宋体" w:eastAsia="宋体" w:cs="宋体"/>
          <w:b/>
          <w:color w:val="auto"/>
          <w:szCs w:val="21"/>
          <w:highlight w:val="none"/>
        </w:rPr>
        <w:t>文件的澄清、修改的内容编制，又不符合实质性要求的，响应无效。</w:t>
      </w:r>
    </w:p>
    <w:p>
      <w:pPr>
        <w:snapToGrid w:val="0"/>
        <w:spacing w:line="360" w:lineRule="auto"/>
        <w:jc w:val="center"/>
        <w:outlineLvl w:val="9"/>
        <w:rPr>
          <w:rFonts w:hint="eastAsia" w:ascii="宋体" w:hAnsi="宋体" w:eastAsia="宋体" w:cs="宋体"/>
          <w:b/>
          <w:color w:val="auto"/>
          <w:sz w:val="32"/>
          <w:szCs w:val="20"/>
          <w:highlight w:val="none"/>
        </w:rPr>
      </w:pPr>
    </w:p>
    <w:p>
      <w:pPr>
        <w:snapToGrid w:val="0"/>
        <w:spacing w:line="360" w:lineRule="auto"/>
        <w:jc w:val="center"/>
        <w:outlineLvl w:val="0"/>
        <w:rPr>
          <w:rFonts w:hint="eastAsia" w:ascii="宋体" w:hAnsi="宋体" w:eastAsia="宋体" w:cs="宋体"/>
          <w:b/>
          <w:color w:val="auto"/>
          <w:sz w:val="32"/>
          <w:szCs w:val="20"/>
          <w:highlight w:val="none"/>
        </w:rPr>
      </w:pPr>
      <w:bookmarkStart w:id="20" w:name="_Toc28479"/>
      <w:r>
        <w:rPr>
          <w:rFonts w:hint="eastAsia" w:ascii="宋体" w:hAnsi="宋体" w:eastAsia="宋体" w:cs="宋体"/>
          <w:b/>
          <w:color w:val="auto"/>
          <w:sz w:val="32"/>
          <w:szCs w:val="20"/>
          <w:highlight w:val="none"/>
        </w:rPr>
        <w:t>三、提交响应文件</w:t>
      </w:r>
      <w:bookmarkEnd w:id="20"/>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详见竞争性磋商公告中获取采购文件的时间期限、地点、方式及采购文件售价。</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pPr>
        <w:pStyle w:val="3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pPr>
        <w:pStyle w:val="34"/>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9.磋商保证金</w:t>
      </w:r>
    </w:p>
    <w:p>
      <w:pPr>
        <w:pStyle w:val="6"/>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本项目不需缴纳磋商保证金。</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响应文件及供应商与采购有关的来往通知、函件和文件均应使用中文。</w:t>
      </w:r>
    </w:p>
    <w:p>
      <w:pPr>
        <w:pStyle w:val="34"/>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21" w:name="_Hlk101259339"/>
      <w:r>
        <w:rPr>
          <w:rFonts w:hint="eastAsia" w:ascii="宋体" w:hAnsi="宋体" w:eastAsia="宋体" w:cs="宋体"/>
          <w:snapToGrid w:val="0"/>
          <w:color w:val="auto"/>
          <w:kern w:val="28"/>
          <w:sz w:val="24"/>
          <w:szCs w:val="20"/>
          <w:highlight w:val="none"/>
        </w:rPr>
        <w:t>联合协议</w:t>
      </w:r>
      <w:bookmarkStart w:id="22" w:name="_Hlk101257010"/>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bookmarkEnd w:id="21"/>
      <w:bookmarkEnd w:id="22"/>
      <w:r>
        <w:rPr>
          <w:rFonts w:hint="eastAsia" w:ascii="宋体" w:hAnsi="宋体" w:eastAsia="宋体" w:cs="宋体"/>
          <w:snapToGrid w:val="0"/>
          <w:color w:val="auto"/>
          <w:kern w:val="28"/>
          <w:sz w:val="24"/>
          <w:szCs w:val="20"/>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中小企业声明函。</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11.2.1响应函；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11.2.3分包意向协议（如果有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11.2.5评审标准相应的商务技术资料；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11.3.1报价单；</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11.3.2已标价工程量清单</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11.3.3</w:t>
      </w:r>
      <w:r>
        <w:rPr>
          <w:rFonts w:hint="eastAsia" w:ascii="宋体" w:hAnsi="宋体" w:eastAsia="宋体" w:cs="宋体"/>
          <w:color w:val="auto"/>
          <w:sz w:val="24"/>
          <w:highlight w:val="none"/>
          <w:lang w:eastAsia="zh-CN"/>
        </w:rPr>
        <w:t>报价情况说明(如供应商报价低于项目预算 50%的，应当提交本文档，详细阐述不影响产品质量或者诚信履约的具体原因）。</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lang w:eastAsia="zh-CN"/>
        </w:rPr>
        <w:t>注：</w:t>
      </w: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lang w:eastAsia="zh-CN"/>
        </w:rPr>
        <w:t>可事先在公开官网查询、核对相关证书和报告内容，确保投标（响应）文件资料准确无误。</w:t>
      </w:r>
      <w:r>
        <w:rPr>
          <w:rFonts w:hint="eastAsia" w:ascii="宋体" w:hAnsi="宋体" w:eastAsia="宋体" w:cs="宋体"/>
          <w:b/>
          <w:color w:val="auto"/>
          <w:sz w:val="24"/>
          <w:highlight w:val="none"/>
          <w:lang w:val="en-US" w:eastAsia="zh-CN"/>
        </w:rPr>
        <w:t>供应商</w:t>
      </w:r>
      <w:r>
        <w:rPr>
          <w:rFonts w:hint="eastAsia" w:ascii="宋体" w:hAnsi="宋体" w:eastAsia="宋体" w:cs="宋体"/>
          <w:b/>
          <w:color w:val="auto"/>
          <w:sz w:val="24"/>
          <w:highlight w:val="none"/>
          <w:lang w:eastAsia="zh-CN"/>
        </w:rPr>
        <w:t>应对投标文件中材料的真实性、合法性负责</w:t>
      </w:r>
      <w:r>
        <w:rPr>
          <w:rFonts w:hint="eastAsia" w:ascii="宋体" w:hAnsi="宋体" w:eastAsia="宋体" w:cs="宋体"/>
          <w:b/>
          <w:color w:val="auto"/>
          <w:sz w:val="24"/>
          <w:highlight w:val="none"/>
        </w:rPr>
        <w:t>。</w:t>
      </w:r>
    </w:p>
    <w:p>
      <w:pPr>
        <w:pStyle w:val="129"/>
        <w:snapToGrid w:val="0"/>
        <w:spacing w:before="0"/>
        <w:ind w:firstLine="0" w:firstLineChars="0"/>
        <w:outlineLvl w:val="0"/>
        <w:rPr>
          <w:rFonts w:hint="eastAsia" w:ascii="宋体" w:hAnsi="宋体" w:eastAsia="宋体" w:cs="宋体"/>
          <w:b/>
          <w:color w:val="auto"/>
          <w:szCs w:val="24"/>
          <w:highlight w:val="none"/>
        </w:rPr>
      </w:pPr>
      <w:bookmarkStart w:id="23" w:name="_Toc8830"/>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响应文件的编制</w:t>
      </w:r>
      <w:r>
        <w:rPr>
          <w:rFonts w:hint="eastAsia" w:ascii="宋体" w:hAnsi="宋体" w:eastAsia="宋体" w:cs="宋体"/>
          <w:b/>
          <w:color w:val="auto"/>
          <w:szCs w:val="24"/>
          <w:highlight w:val="none"/>
          <w:lang w:val="en-US" w:eastAsia="zh-CN"/>
        </w:rPr>
        <w:t>（文件后缀为：jmbs）</w:t>
      </w:r>
      <w:bookmarkEnd w:id="23"/>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13.响应文件的签署、盖章</w:t>
      </w:r>
    </w:p>
    <w:p>
      <w:pPr>
        <w:pStyle w:val="12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13.1响应文件按照采购文件第六部分格式要</w:t>
      </w:r>
      <w:r>
        <w:rPr>
          <w:rFonts w:hint="eastAsia" w:ascii="宋体" w:hAnsi="宋体" w:eastAsia="宋体" w:cs="宋体"/>
          <w:color w:val="auto"/>
          <w:highlight w:val="none"/>
        </w:rPr>
        <w:t>求进行签署、盖章。</w:t>
      </w:r>
      <w:r>
        <w:rPr>
          <w:rFonts w:hint="eastAsia" w:ascii="宋体" w:hAnsi="宋体" w:cs="宋体"/>
          <w:b/>
          <w:color w:val="auto"/>
          <w:highlight w:val="none"/>
          <w:lang w:eastAsia="zh-CN"/>
        </w:rPr>
        <w:t>★</w:t>
      </w:r>
      <w:r>
        <w:rPr>
          <w:rFonts w:hint="eastAsia" w:ascii="宋体" w:hAnsi="宋体" w:eastAsia="宋体" w:cs="宋体"/>
          <w:b/>
          <w:color w:val="auto"/>
          <w:highlight w:val="none"/>
        </w:rPr>
        <w:t>供应商的响应文件未按照采购文件要求签署、盖章的，其响应文件无效</w:t>
      </w:r>
      <w:r>
        <w:rPr>
          <w:rFonts w:hint="eastAsia" w:ascii="宋体" w:hAnsi="宋体" w:eastAsia="宋体" w:cs="宋体"/>
          <w:color w:val="auto"/>
          <w:szCs w:val="24"/>
          <w:highlight w:val="none"/>
        </w:rPr>
        <w:t>。</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13.3采购文件对响应文件签署、盖章的要求适用于电子签名。</w:t>
      </w:r>
    </w:p>
    <w:p>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响应文件的提交、补充、修改、撤回</w:t>
      </w:r>
    </w:p>
    <w:p>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.2 在响应截止时间以后，不能补充、修改响应文件。</w:t>
      </w:r>
    </w:p>
    <w:p>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.3 在提交“最后报价”后，供应商不能退出磋商。</w:t>
      </w:r>
    </w:p>
    <w:p>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电子交易平台收到响应文件，将妥善保存并即时向供应商发出确认回执通知。在响应文件提交（上传）截止时间前，除供应商补充、修改或者撤回响应文件外，任何单位和个人不得解密或提取响应文件。</w:t>
      </w:r>
    </w:p>
    <w:p>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可以视情况延长响应文件提交的截止时间。在上述情况下，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与供应商以前在响应文件提交截止时间方面的全部权利、责任和义务，将适用于延长至新的响应文件提交截止时间。</w:t>
      </w:r>
    </w:p>
    <w:p>
      <w:pPr>
        <w:pStyle w:val="34"/>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15.备份响应文件（文件后缀为：</w:t>
      </w:r>
      <w:r>
        <w:rPr>
          <w:rFonts w:hint="eastAsia" w:ascii="宋体" w:hAnsi="宋体" w:eastAsia="宋体" w:cs="宋体"/>
          <w:b/>
          <w:color w:val="auto"/>
          <w:sz w:val="24"/>
          <w:szCs w:val="24"/>
          <w:highlight w:val="none"/>
          <w:lang w:val="en-US" w:eastAsia="zh-CN"/>
        </w:rPr>
        <w:t>bfbs</w:t>
      </w:r>
      <w:r>
        <w:rPr>
          <w:rFonts w:hint="eastAsia" w:ascii="宋体" w:hAnsi="宋体" w:eastAsia="宋体" w:cs="宋体"/>
          <w:b/>
          <w:color w:val="auto"/>
          <w:sz w:val="24"/>
          <w:szCs w:val="24"/>
          <w:highlight w:val="none"/>
        </w:rPr>
        <w:t>）</w:t>
      </w:r>
    </w:p>
    <w:p>
      <w:pPr>
        <w:pStyle w:val="34"/>
        <w:snapToGrid w:val="0"/>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pPr>
        <w:pStyle w:val="34"/>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w:t>
      </w:r>
      <w:r>
        <w:rPr>
          <w:rFonts w:hint="eastAsia" w:ascii="宋体" w:hAnsi="宋体" w:eastAsia="宋体" w:cs="宋体"/>
          <w:color w:val="auto"/>
          <w:sz w:val="24"/>
          <w:szCs w:val="24"/>
          <w:highlight w:val="none"/>
          <w:lang w:val="en-US" w:eastAsia="zh-CN"/>
        </w:rPr>
        <w:t>U盘</w:t>
      </w:r>
      <w:r>
        <w:rPr>
          <w:rFonts w:hint="eastAsia" w:ascii="宋体" w:hAnsi="宋体" w:eastAsia="宋体" w:cs="宋体"/>
          <w:color w:val="auto"/>
          <w:sz w:val="24"/>
          <w:szCs w:val="24"/>
          <w:highlight w:val="none"/>
        </w:rPr>
        <w:t>中。备份响应文件应当密封包装并在包装上加盖公章并注明采购项目名称，供应商名称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联合体参与的，包装物封面需注明联合体，并注明联合体成员各方的名称和联合协议中约定的牵头人的名称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存储、密封规定的备份响应文件将被视为无效或者被拒绝接收。</w:t>
      </w:r>
    </w:p>
    <w:p>
      <w:pPr>
        <w:pStyle w:val="3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w:t>
      </w:r>
      <w:r>
        <w:rPr>
          <w:rFonts w:hint="eastAsia" w:ascii="宋体" w:hAnsi="宋体" w:eastAsia="宋体" w:cs="宋体"/>
          <w:color w:val="auto"/>
          <w:sz w:val="24"/>
          <w:szCs w:val="24"/>
          <w:highlight w:val="none"/>
          <w:lang w:val="en-US" w:eastAsia="zh-CN"/>
        </w:rPr>
        <w:t>直接提交备份响应文件的，供应商应于响应截止时间前在磋商文件第三部分供应商须知前附表规定的地点将备份响应文件提交给采购代理机构，采购代理机构将拒绝接受逾期送达的备份响应文件。</w:t>
      </w:r>
    </w:p>
    <w:p>
      <w:pPr>
        <w:pStyle w:val="34"/>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w:t>
      </w:r>
      <w:r>
        <w:rPr>
          <w:rFonts w:hint="eastAsia" w:ascii="宋体" w:hAnsi="宋体" w:eastAsia="宋体" w:cs="宋体"/>
          <w:color w:val="auto"/>
          <w:sz w:val="24"/>
          <w:szCs w:val="24"/>
          <w:highlight w:val="none"/>
          <w:lang w:val="en-US" w:eastAsia="zh-CN"/>
        </w:rPr>
        <w:t>备份响应文件须按磋商文件第三部分供应商须知前附表规定时间和地点送达</w:t>
      </w:r>
      <w:r>
        <w:rPr>
          <w:rFonts w:hint="eastAsia" w:ascii="宋体" w:hAnsi="宋体" w:eastAsia="宋体" w:cs="宋体"/>
          <w:snapToGrid/>
          <w:color w:val="auto"/>
          <w:sz w:val="24"/>
          <w:szCs w:val="24"/>
          <w:highlight w:val="none"/>
        </w:rPr>
        <w:t>；</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pPr>
        <w:pStyle w:val="34"/>
        <w:snapToGrid w:val="0"/>
        <w:spacing w:line="360" w:lineRule="auto"/>
        <w:ind w:firstLine="479" w:firstLineChars="199"/>
        <w:rPr>
          <w:rFonts w:hint="eastAsia" w:ascii="宋体" w:hAnsi="宋体" w:eastAsia="宋体" w:cs="宋体"/>
          <w:b/>
          <w:color w:val="auto"/>
          <w:sz w:val="24"/>
          <w:szCs w:val="24"/>
          <w:highlight w:val="none"/>
        </w:rPr>
      </w:pPr>
      <w:r>
        <w:rPr>
          <w:rFonts w:hint="eastAsia" w:hAnsi="宋体" w:cs="宋体"/>
          <w:b/>
          <w:color w:val="auto"/>
          <w:sz w:val="24"/>
          <w:szCs w:val="24"/>
          <w:highlight w:val="none"/>
          <w:lang w:eastAsia="zh-CN"/>
        </w:rPr>
        <w:t>★</w:t>
      </w:r>
      <w:r>
        <w:rPr>
          <w:rFonts w:hint="eastAsia" w:ascii="宋体" w:hAnsi="宋体" w:eastAsia="宋体" w:cs="宋体"/>
          <w:b/>
          <w:color w:val="auto"/>
          <w:sz w:val="24"/>
          <w:szCs w:val="24"/>
          <w:highlight w:val="none"/>
        </w:rPr>
        <w:t>15.5供应商仅提交备份响应文件，未在电子交易平台传输递交响应文件的，响应文件无效。</w:t>
      </w:r>
    </w:p>
    <w:p>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16.响应文件的无效处理</w:t>
      </w:r>
    </w:p>
    <w:p>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有采购文件第四部分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的情形之一的，响应文件无效：</w:t>
      </w:r>
    </w:p>
    <w:p>
      <w:pPr>
        <w:pStyle w:val="129"/>
        <w:spacing w:before="0"/>
        <w:ind w:firstLine="0" w:firstLineChars="0"/>
        <w:rPr>
          <w:rFonts w:hint="eastAsia" w:ascii="宋体" w:hAnsi="宋体" w:eastAsia="宋体" w:cs="宋体"/>
          <w:b/>
          <w:color w:val="auto"/>
          <w:szCs w:val="24"/>
          <w:highlight w:val="none"/>
        </w:rPr>
      </w:pPr>
    </w:p>
    <w:p>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17.响应文件有效期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17.1响应文件有效期为从提交响应文件的截止之日起90天。</w:t>
      </w:r>
      <w:r>
        <w:rPr>
          <w:rFonts w:hint="eastAsia" w:ascii="宋体" w:hAnsi="宋体" w:cs="宋体"/>
          <w:color w:val="auto"/>
          <w:sz w:val="24"/>
          <w:szCs w:val="20"/>
          <w:highlight w:val="none"/>
          <w:lang w:eastAsia="zh-CN"/>
        </w:rPr>
        <w:t>★</w:t>
      </w:r>
      <w:r>
        <w:rPr>
          <w:rFonts w:hint="eastAsia" w:ascii="宋体" w:hAnsi="宋体" w:eastAsia="宋体" w:cs="宋体"/>
          <w:b/>
          <w:color w:val="auto"/>
          <w:sz w:val="24"/>
          <w:szCs w:val="20"/>
          <w:highlight w:val="none"/>
        </w:rPr>
        <w:t>供应商的响应文件中承</w:t>
      </w:r>
      <w:r>
        <w:rPr>
          <w:rFonts w:hint="eastAsia" w:ascii="宋体" w:hAnsi="宋体" w:eastAsia="宋体" w:cs="宋体"/>
          <w:b/>
          <w:color w:val="auto"/>
          <w:sz w:val="24"/>
          <w:szCs w:val="21"/>
          <w:highlight w:val="none"/>
        </w:rPr>
        <w:t>诺的响应文件有效期少于采购文件中载明的响应文件有效期的，响应文件无效。</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17.2响应文件合格投递后，自响应文件提交截止时间起，在响应文件有效期内有效。</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17.3在原定响应文件有效期满之前，如果出现特殊情况，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可以以书面形式通知供应商延长响应文件有效期。供应商同意延长的，不得要求或被允许修改其响应文件，供应商拒绝延长的，其响应文件无效。</w:t>
      </w:r>
    </w:p>
    <w:p>
      <w:pPr>
        <w:pStyle w:val="129"/>
        <w:spacing w:before="0"/>
        <w:ind w:firstLine="643"/>
        <w:rPr>
          <w:rFonts w:hint="eastAsia" w:ascii="宋体" w:hAnsi="宋体" w:eastAsia="宋体" w:cs="宋体"/>
          <w:b/>
          <w:color w:val="auto"/>
          <w:sz w:val="32"/>
          <w:highlight w:val="none"/>
        </w:rPr>
      </w:pPr>
    </w:p>
    <w:p>
      <w:pPr>
        <w:snapToGrid w:val="0"/>
        <w:spacing w:line="360" w:lineRule="auto"/>
        <w:jc w:val="center"/>
        <w:outlineLvl w:val="0"/>
        <w:rPr>
          <w:rFonts w:hint="eastAsia" w:ascii="宋体" w:hAnsi="宋体" w:eastAsia="宋体" w:cs="宋体"/>
          <w:b/>
          <w:color w:val="auto"/>
          <w:sz w:val="32"/>
          <w:szCs w:val="20"/>
          <w:highlight w:val="none"/>
        </w:rPr>
      </w:pPr>
      <w:bookmarkStart w:id="24" w:name="_Toc25467"/>
      <w:r>
        <w:rPr>
          <w:rFonts w:hint="eastAsia" w:ascii="宋体" w:hAnsi="宋体" w:eastAsia="宋体" w:cs="宋体"/>
          <w:b/>
          <w:color w:val="auto"/>
          <w:sz w:val="32"/>
          <w:szCs w:val="20"/>
          <w:highlight w:val="none"/>
        </w:rPr>
        <w:t>四、响应文件开启、资格审查与信用信息查询</w:t>
      </w:r>
      <w:bookmarkEnd w:id="24"/>
    </w:p>
    <w:p>
      <w:pPr>
        <w:pStyle w:val="554"/>
        <w:spacing w:before="0" w:line="360" w:lineRule="auto"/>
        <w:ind w:left="0" w:firstLine="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pPr>
        <w:pStyle w:val="554"/>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pPr>
        <w:pStyle w:val="554"/>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pPr>
        <w:pStyle w:val="554"/>
        <w:snapToGrid w:val="0"/>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pPr>
        <w:pStyle w:val="554"/>
        <w:spacing w:before="0" w:line="360" w:lineRule="auto"/>
        <w:ind w:left="0" w:firstLine="0"/>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磋商小组依据法律法规和采购文件的规定，对供应商的资格进行审查。</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渠道查询供应商接受资格审查时的信用记录。</w:t>
      </w:r>
    </w:p>
    <w:p>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lang w:val="en-US" w:eastAsia="zh-CN"/>
        </w:rPr>
        <w:t>即：重大税收违法失信主体</w:t>
      </w:r>
      <w:r>
        <w:rPr>
          <w:rFonts w:hint="eastAsia" w:ascii="宋体" w:hAnsi="宋体" w:cs="宋体"/>
          <w:color w:val="auto"/>
          <w:kern w:val="0"/>
          <w:szCs w:val="24"/>
          <w:highlight w:val="none"/>
          <w:lang w:val="en-US" w:eastAsia="zh-CN"/>
        </w:rPr>
        <w:t>）</w:t>
      </w:r>
      <w:r>
        <w:rPr>
          <w:rFonts w:hint="eastAsia" w:ascii="宋体" w:hAnsi="宋体" w:eastAsia="宋体" w:cs="宋体"/>
          <w:color w:val="auto"/>
          <w:kern w:val="0"/>
          <w:szCs w:val="24"/>
          <w:highlight w:val="none"/>
        </w:rPr>
        <w:t>、政府采购严重违法失信行为记录名单的供应商将被拒绝参与政府采购活动。</w:t>
      </w:r>
    </w:p>
    <w:p>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29"/>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2"/>
          <w:szCs w:val="20"/>
          <w:highlight w:val="none"/>
        </w:rPr>
      </w:pPr>
      <w:bookmarkStart w:id="25" w:name="_Toc2054"/>
      <w:r>
        <w:rPr>
          <w:rFonts w:hint="eastAsia" w:ascii="宋体" w:hAnsi="宋体" w:eastAsia="宋体" w:cs="宋体"/>
          <w:b/>
          <w:color w:val="auto"/>
          <w:sz w:val="32"/>
          <w:szCs w:val="20"/>
          <w:highlight w:val="none"/>
        </w:rPr>
        <w:t>五、评审</w:t>
      </w:r>
      <w:bookmarkEnd w:id="25"/>
    </w:p>
    <w:p>
      <w:pPr>
        <w:spacing w:line="360" w:lineRule="auto"/>
        <w:rPr>
          <w:rFonts w:hint="eastAsia" w:ascii="宋体" w:hAnsi="宋体" w:eastAsia="宋体" w:cs="宋体"/>
          <w:b/>
          <w:color w:val="auto"/>
          <w:sz w:val="24"/>
          <w:highlight w:val="none"/>
        </w:rPr>
      </w:pPr>
      <w:bookmarkStart w:id="26" w:name="_Toc91899903"/>
      <w:r>
        <w:rPr>
          <w:rFonts w:hint="eastAsia" w:ascii="宋体" w:hAnsi="宋体" w:eastAsia="宋体" w:cs="宋体"/>
          <w:b w:val="0"/>
          <w:bCs/>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2"/>
          <w:szCs w:val="20"/>
          <w:highlight w:val="none"/>
        </w:rPr>
      </w:pPr>
      <w:bookmarkStart w:id="27" w:name="_Toc15567"/>
      <w:r>
        <w:rPr>
          <w:rFonts w:hint="eastAsia" w:ascii="宋体" w:hAnsi="宋体" w:eastAsia="宋体" w:cs="宋体"/>
          <w:b/>
          <w:color w:val="auto"/>
          <w:sz w:val="32"/>
          <w:szCs w:val="20"/>
          <w:highlight w:val="none"/>
        </w:rPr>
        <w:t>六、成交供应商确定</w:t>
      </w:r>
      <w:bookmarkEnd w:id="27"/>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确定成交供应商</w:t>
      </w:r>
    </w:p>
    <w:p>
      <w:pPr>
        <w:pStyle w:val="12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个工作日内在线确定中标或者成交供应商。中标、成交通知书和中标、成交结果公告应当在规定时间内同时发出。</w:t>
      </w:r>
      <w:r>
        <w:rPr>
          <w:rFonts w:hint="eastAsia" w:ascii="宋体" w:hAnsi="宋体" w:eastAsia="宋体" w:cs="宋体"/>
          <w:b/>
          <w:bCs/>
          <w:color w:val="auto"/>
          <w:sz w:val="24"/>
          <w:highlight w:val="none"/>
          <w:lang w:val="en-US" w:eastAsia="zh-CN"/>
        </w:rPr>
        <w:t>注：</w:t>
      </w:r>
      <w:r>
        <w:rPr>
          <w:rFonts w:hint="eastAsia" w:ascii="宋体" w:hAnsi="宋体" w:eastAsia="宋体" w:cs="宋体"/>
          <w:b/>
          <w:bCs/>
          <w:color w:val="auto"/>
          <w:sz w:val="24"/>
          <w:highlight w:val="none"/>
        </w:rPr>
        <w:t>按评审后得分由高到低顺序确定</w:t>
      </w: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名</w:t>
      </w:r>
      <w:r>
        <w:rPr>
          <w:rFonts w:hint="eastAsia" w:ascii="宋体" w:hAnsi="宋体" w:eastAsia="宋体" w:cs="宋体"/>
          <w:b/>
          <w:bCs/>
          <w:color w:val="auto"/>
          <w:sz w:val="24"/>
          <w:highlight w:val="none"/>
          <w:lang w:val="en-US" w:eastAsia="zh-CN"/>
        </w:rPr>
        <w:t>成交</w:t>
      </w:r>
      <w:r>
        <w:rPr>
          <w:rFonts w:hint="eastAsia" w:ascii="宋体" w:hAnsi="宋体" w:eastAsia="宋体" w:cs="宋体"/>
          <w:b/>
          <w:bCs/>
          <w:color w:val="auto"/>
          <w:sz w:val="24"/>
          <w:highlight w:val="none"/>
        </w:rPr>
        <w:t>人</w:t>
      </w:r>
      <w:r>
        <w:rPr>
          <w:rFonts w:hint="eastAsia" w:ascii="宋体" w:hAnsi="宋体" w:eastAsia="宋体" w:cs="宋体"/>
          <w:b/>
          <w:bCs/>
          <w:color w:val="auto"/>
          <w:sz w:val="24"/>
          <w:highlight w:val="none"/>
          <w:lang w:eastAsia="zh-CN"/>
        </w:rPr>
        <w:t>。</w:t>
      </w:r>
    </w:p>
    <w:p>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成交通知与成交结果公告</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23.1自成交供应商确定之日起</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通过电子交易平台向成交供应商发出成交通知书，同时编制发布采购结果公告。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也可以以纸质形式进行成交通知。</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23.2成交结果公告内容包括采购人及其委托的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jc w:val="center"/>
        <w:outlineLvl w:val="0"/>
        <w:rPr>
          <w:rFonts w:hint="eastAsia" w:ascii="宋体" w:hAnsi="宋体" w:eastAsia="宋体" w:cs="宋体"/>
          <w:b/>
          <w:color w:val="auto"/>
          <w:sz w:val="32"/>
          <w:szCs w:val="20"/>
          <w:highlight w:val="none"/>
        </w:rPr>
      </w:pPr>
      <w:bookmarkStart w:id="28" w:name="_Toc27747"/>
      <w:r>
        <w:rPr>
          <w:rFonts w:hint="eastAsia" w:ascii="宋体" w:hAnsi="宋体" w:eastAsia="宋体" w:cs="宋体"/>
          <w:b/>
          <w:color w:val="auto"/>
          <w:sz w:val="32"/>
          <w:szCs w:val="20"/>
          <w:highlight w:val="none"/>
        </w:rPr>
        <w:t>七、合同授予</w:t>
      </w:r>
      <w:bookmarkEnd w:id="28"/>
    </w:p>
    <w:p>
      <w:pPr>
        <w:pStyle w:val="26"/>
        <w:snapToGrid w:val="0"/>
        <w:spacing w:line="360" w:lineRule="auto"/>
        <w:ind w:left="479" w:hanging="477" w:hangingChars="199"/>
        <w:rPr>
          <w:rFonts w:hint="eastAsia" w:ascii="宋体" w:hAnsi="宋体" w:eastAsia="宋体" w:cs="宋体"/>
          <w:b/>
          <w:color w:val="auto"/>
          <w:highlight w:val="none"/>
        </w:rPr>
      </w:pPr>
      <w:r>
        <w:rPr>
          <w:rFonts w:hint="eastAsia" w:ascii="宋体" w:hAnsi="宋体" w:eastAsia="宋体" w:cs="宋体"/>
          <w:b w:val="0"/>
          <w:bCs/>
          <w:color w:val="auto"/>
          <w:highlight w:val="none"/>
        </w:rPr>
        <w:t>24</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合同主要条款详见第五部分拟签订的合同文本。</w:t>
      </w:r>
    </w:p>
    <w:p>
      <w:pPr>
        <w:pStyle w:val="26"/>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w:t>
      </w:r>
      <w:r>
        <w:rPr>
          <w:rFonts w:hint="eastAsia" w:ascii="宋体" w:hAnsi="宋体" w:eastAsia="宋体" w:cs="宋体"/>
          <w:color w:val="auto"/>
          <w:kern w:val="0"/>
          <w:sz w:val="24"/>
          <w:highlight w:val="none"/>
          <w:lang w:val="en-US" w:eastAsia="zh-CN"/>
        </w:rPr>
        <w:t>30</w:t>
      </w:r>
      <w:r>
        <w:rPr>
          <w:rFonts w:hint="eastAsia" w:ascii="宋体" w:hAnsi="宋体" w:eastAsia="宋体" w:cs="宋体"/>
          <w:color w:val="auto"/>
          <w:kern w:val="0"/>
          <w:sz w:val="24"/>
          <w:highlight w:val="none"/>
        </w:rPr>
        <w:t>日内，与成交供应商按照采购文件确定的事项签订政府采购合同。</w:t>
      </w:r>
    </w:p>
    <w:p>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代理服务费、评审专家劳务报酬等相关费用。</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25.5采购合同由采购人与成交供应商根据采购文件、响应文件等内容通过政府采购电子交易平台在线签订，自动备案。</w:t>
      </w:r>
    </w:p>
    <w:p>
      <w:pPr>
        <w:pStyle w:val="26"/>
        <w:snapToGrid w:val="0"/>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。确需收取履约保证金的，履约保证金缴纳最高</w:t>
      </w:r>
      <w:r>
        <w:rPr>
          <w:rFonts w:hint="eastAsia" w:ascii="宋体" w:hAnsi="宋体" w:cs="宋体"/>
          <w:color w:val="auto"/>
          <w:sz w:val="24"/>
          <w:highlight w:val="none"/>
          <w:lang w:eastAsia="zh-CN"/>
        </w:rPr>
        <w:t>比例</w:t>
      </w:r>
      <w:r>
        <w:rPr>
          <w:rFonts w:hint="eastAsia" w:ascii="宋体" w:hAnsi="宋体" w:eastAsia="宋体" w:cs="宋体"/>
          <w:color w:val="auto"/>
          <w:sz w:val="24"/>
          <w:highlight w:val="none"/>
        </w:rPr>
        <w:t>不超过</w:t>
      </w:r>
      <w:r>
        <w:rPr>
          <w:rFonts w:hint="eastAsia" w:ascii="宋体" w:hAnsi="宋体" w:eastAsia="宋体" w:cs="宋体"/>
          <w:color w:val="auto"/>
          <w:kern w:val="2"/>
          <w:sz w:val="24"/>
          <w:highlight w:val="none"/>
        </w:rPr>
        <w:t>合同金额的1%，鼓励根据项目特点、供应商诚信等因素免收履约保证金或降低缴纳比例。</w:t>
      </w:r>
      <w:r>
        <w:rPr>
          <w:rFonts w:hint="eastAsia" w:ascii="宋体" w:hAnsi="宋体" w:eastAsia="宋体" w:cs="宋体"/>
          <w:color w:val="auto"/>
          <w:sz w:val="24"/>
          <w:highlight w:val="none"/>
        </w:rPr>
        <w:t>采购单位鼓励供应商采取履约保函形式提供信用保证；供应商提供保函的，采购单位不得拒收。项目验收结束后应及时退还，延迟退还的，应当按照合同约定和法律规定承担相应的赔偿责任。</w:t>
      </w:r>
    </w:p>
    <w:p>
      <w:pPr>
        <w:pStyle w:val="4"/>
        <w:snapToGrid w:val="0"/>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4"/>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w:t>
      </w:r>
      <w:r>
        <w:rPr>
          <w:rFonts w:hint="eastAsia" w:ascii="宋体" w:hAnsi="宋体" w:cs="宋体"/>
          <w:color w:val="auto"/>
          <w:kern w:val="2"/>
          <w:sz w:val="24"/>
          <w:highlight w:val="none"/>
          <w:lang w:val="en-US" w:eastAsia="zh-CN"/>
        </w:rPr>
        <w:t>%</w:t>
      </w:r>
      <w:r>
        <w:rPr>
          <w:rFonts w:hint="eastAsia" w:ascii="宋体" w:hAnsi="宋体" w:eastAsia="宋体" w:cs="宋体"/>
          <w:color w:val="auto"/>
          <w:kern w:val="2"/>
          <w:sz w:val="24"/>
          <w:highlight w:val="none"/>
        </w:rPr>
        <w:t>，不高于合同金额的70%；项目分年安排预算的，每年预付款比例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w:t>
      </w:r>
      <w:r>
        <w:rPr>
          <w:rFonts w:hint="eastAsia" w:ascii="宋体" w:hAnsi="宋体" w:cs="宋体"/>
          <w:color w:val="auto"/>
          <w:kern w:val="2"/>
          <w:sz w:val="24"/>
          <w:highlight w:val="none"/>
          <w:lang w:val="en-US" w:eastAsia="zh-CN"/>
        </w:rPr>
        <w:t>%</w:t>
      </w:r>
      <w:r>
        <w:rPr>
          <w:rFonts w:hint="eastAsia" w:ascii="宋体" w:hAnsi="宋体" w:eastAsia="宋体" w:cs="宋体"/>
          <w:color w:val="auto"/>
          <w:kern w:val="2"/>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color w:val="auto"/>
          <w:kern w:val="2"/>
          <w:sz w:val="24"/>
          <w:highlight w:val="none"/>
          <w:lang w:val="en-US" w:eastAsia="zh-CN"/>
        </w:rPr>
        <w:t>7</w:t>
      </w:r>
      <w:r>
        <w:rPr>
          <w:rFonts w:hint="eastAsia" w:ascii="宋体" w:hAnsi="宋体" w:eastAsia="宋体" w:cs="宋体"/>
          <w:color w:val="auto"/>
          <w:kern w:val="2"/>
          <w:sz w:val="24"/>
          <w:highlight w:val="none"/>
        </w:rPr>
        <w:t>个工作日内支付。政府采购工程以及与工程建设有关的货物、服务，采用招标方式采购的，预付款从其相关规定。供应商可登录政采云前台大厅选择金融服务</w:t>
      </w:r>
      <w:r>
        <w:rPr>
          <w:rFonts w:hint="eastAsia" w:ascii="宋体" w:hAnsi="宋体" w:cs="宋体"/>
          <w:color w:val="auto"/>
          <w:kern w:val="2"/>
          <w:sz w:val="24"/>
          <w:highlight w:val="none"/>
          <w:lang w:eastAsia="zh-CN"/>
        </w:rPr>
        <w:t>－</w:t>
      </w:r>
      <w:r>
        <w:rPr>
          <w:rFonts w:hint="eastAsia" w:ascii="宋体" w:hAnsi="宋体" w:eastAsia="宋体" w:cs="宋体"/>
          <w:color w:val="auto"/>
          <w:kern w:val="2"/>
          <w:sz w:val="24"/>
          <w:highlight w:val="none"/>
        </w:rPr>
        <w:t>【保函保险服务】出具预付款保函，具体步骤：选择产品—填写供应商信息—选择中标项目—确认信息—等待保险/保函受理—确认保单—支付保费—成功出单。政采云金融专线400-903-9583。</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jc w:val="center"/>
        <w:outlineLvl w:val="0"/>
        <w:rPr>
          <w:rFonts w:hint="eastAsia" w:ascii="宋体" w:hAnsi="宋体" w:eastAsia="宋体" w:cs="宋体"/>
          <w:b/>
          <w:color w:val="auto"/>
          <w:sz w:val="32"/>
          <w:szCs w:val="20"/>
          <w:highlight w:val="none"/>
        </w:rPr>
      </w:pPr>
      <w:bookmarkStart w:id="29" w:name="_Toc5199"/>
      <w:r>
        <w:rPr>
          <w:rFonts w:hint="eastAsia" w:ascii="宋体" w:hAnsi="宋体" w:eastAsia="宋体" w:cs="宋体"/>
          <w:b/>
          <w:color w:val="auto"/>
          <w:sz w:val="32"/>
          <w:szCs w:val="20"/>
          <w:highlight w:val="none"/>
        </w:rPr>
        <w:t>八、电子交易活动的中止</w:t>
      </w:r>
      <w:bookmarkEnd w:id="29"/>
    </w:p>
    <w:p>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Cs w:val="20"/>
          <w:highlight w:val="none"/>
        </w:rPr>
        <w:t>2</w:t>
      </w:r>
      <w:r>
        <w:rPr>
          <w:rFonts w:hint="eastAsia" w:ascii="宋体" w:hAnsi="宋体" w:eastAsia="宋体" w:cs="宋体"/>
          <w:b/>
          <w:bCs/>
          <w:color w:val="auto"/>
          <w:kern w:val="2"/>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jc w:val="center"/>
        <w:outlineLvl w:val="0"/>
        <w:rPr>
          <w:rFonts w:hint="eastAsia" w:ascii="宋体" w:hAnsi="宋体" w:eastAsia="宋体" w:cs="宋体"/>
          <w:b/>
          <w:color w:val="auto"/>
          <w:sz w:val="32"/>
          <w:szCs w:val="20"/>
          <w:highlight w:val="none"/>
        </w:rPr>
      </w:pPr>
      <w:bookmarkStart w:id="30" w:name="_Toc22338"/>
      <w:r>
        <w:rPr>
          <w:rFonts w:hint="eastAsia" w:ascii="宋体" w:hAnsi="宋体" w:eastAsia="宋体" w:cs="宋体"/>
          <w:b/>
          <w:color w:val="auto"/>
          <w:sz w:val="32"/>
          <w:szCs w:val="20"/>
          <w:highlight w:val="none"/>
        </w:rPr>
        <w:t>九、验收</w:t>
      </w:r>
      <w:bookmarkEnd w:id="30"/>
    </w:p>
    <w:p>
      <w:pPr>
        <w:pStyle w:val="26"/>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6"/>
    <w:p>
      <w:pPr>
        <w:tabs>
          <w:tab w:val="left" w:pos="0"/>
        </w:tabs>
        <w:spacing w:line="360" w:lineRule="auto"/>
        <w:ind w:firstLine="480"/>
        <w:rPr>
          <w:rFonts w:hint="eastAsia" w:ascii="宋体" w:hAnsi="宋体" w:eastAsia="宋体" w:cs="宋体"/>
          <w:color w:val="auto"/>
          <w:kern w:val="0"/>
          <w:sz w:val="24"/>
          <w:highlight w:val="none"/>
        </w:rPr>
      </w:pPr>
      <w:bookmarkStart w:id="31" w:name="_Hlt74730295"/>
      <w:bookmarkEnd w:id="31"/>
      <w:bookmarkStart w:id="32" w:name="_Hlt74714665"/>
      <w:bookmarkEnd w:id="32"/>
      <w:bookmarkStart w:id="33" w:name="_Hlt68072998"/>
      <w:bookmarkEnd w:id="33"/>
      <w:bookmarkStart w:id="34" w:name="_Hlt75236290"/>
      <w:bookmarkEnd w:id="34"/>
      <w:bookmarkStart w:id="35" w:name="_Hlt68403820"/>
      <w:bookmarkEnd w:id="35"/>
      <w:bookmarkStart w:id="36" w:name="_Hlt74729768"/>
      <w:bookmarkEnd w:id="36"/>
      <w:bookmarkStart w:id="37" w:name="_Hlt74707468"/>
      <w:bookmarkEnd w:id="37"/>
      <w:bookmarkStart w:id="38" w:name="_Hlt68073093"/>
      <w:bookmarkEnd w:id="38"/>
      <w:bookmarkStart w:id="39" w:name="_Hlt68057669"/>
      <w:bookmarkEnd w:id="39"/>
      <w:bookmarkStart w:id="40" w:name="_Hlt75236101"/>
      <w:bookmarkEnd w:id="40"/>
      <w:bookmarkStart w:id="41" w:name="_Hlt75236011"/>
      <w:bookmarkEnd w:id="41"/>
      <w:bookmarkStart w:id="42" w:name="_Hlt68072990"/>
      <w:bookmarkEnd w:id="42"/>
    </w:p>
    <w:p>
      <w:pPr>
        <w:pStyle w:val="24"/>
        <w:rPr>
          <w:rFonts w:hint="eastAsia" w:ascii="宋体" w:hAnsi="宋体" w:eastAsia="宋体" w:cs="宋体"/>
          <w:color w:val="auto"/>
          <w:kern w:val="0"/>
          <w:sz w:val="24"/>
          <w:highlight w:val="none"/>
        </w:rPr>
      </w:pPr>
    </w:p>
    <w:p>
      <w:pPr>
        <w:pStyle w:val="25"/>
        <w:rPr>
          <w:rFonts w:hint="eastAsia" w:ascii="宋体" w:hAnsi="宋体" w:eastAsia="宋体" w:cs="宋体"/>
          <w:color w:val="auto"/>
          <w:highlight w:val="none"/>
        </w:rPr>
        <w:sectPr>
          <w:pgSz w:w="11906" w:h="16838"/>
          <w:pgMar w:top="1440" w:right="1080" w:bottom="1440" w:left="1080" w:header="851" w:footer="992" w:gutter="0"/>
          <w:pgNumType w:fmt="decimal"/>
          <w:cols w:space="720" w:num="1"/>
          <w:titlePg/>
          <w:docGrid w:linePitch="312" w:charSpace="0"/>
        </w:sectPr>
      </w:pPr>
    </w:p>
    <w:bookmarkEnd w:id="14"/>
    <w:bookmarkEnd w:id="15"/>
    <w:p>
      <w:pPr>
        <w:pStyle w:val="34"/>
        <w:spacing w:line="360" w:lineRule="auto"/>
        <w:jc w:val="center"/>
        <w:outlineLvl w:val="0"/>
        <w:rPr>
          <w:rFonts w:hint="eastAsia" w:ascii="宋体" w:hAnsi="宋体" w:eastAsia="宋体" w:cs="宋体"/>
          <w:b/>
          <w:snapToGrid/>
          <w:color w:val="auto"/>
          <w:sz w:val="36"/>
          <w:szCs w:val="20"/>
          <w:highlight w:val="none"/>
        </w:rPr>
      </w:pPr>
      <w:bookmarkStart w:id="43" w:name="_Toc561"/>
      <w:bookmarkStart w:id="44" w:name="第四部分"/>
      <w:r>
        <w:rPr>
          <w:rFonts w:hint="eastAsia" w:ascii="宋体" w:hAnsi="宋体" w:eastAsia="宋体" w:cs="宋体"/>
          <w:b/>
          <w:snapToGrid/>
          <w:color w:val="auto"/>
          <w:sz w:val="36"/>
          <w:szCs w:val="20"/>
          <w:highlight w:val="none"/>
        </w:rPr>
        <w:t>第三部分 采购需求</w:t>
      </w:r>
      <w:bookmarkEnd w:id="43"/>
    </w:p>
    <w:p>
      <w:pPr>
        <w:adjustRightInd/>
        <w:spacing w:line="360" w:lineRule="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一、重要商务条款一览表</w:t>
      </w:r>
    </w:p>
    <w:tbl>
      <w:tblPr>
        <w:tblStyle w:val="63"/>
        <w:tblW w:w="96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5"/>
        <w:gridCol w:w="80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1、合同履</w:t>
            </w:r>
            <w:r>
              <w:rPr>
                <w:rFonts w:hint="eastAsia" w:ascii="宋体" w:hAnsi="宋体" w:cs="宋体"/>
                <w:b/>
                <w:bCs/>
                <w:color w:val="auto"/>
                <w:sz w:val="24"/>
                <w:szCs w:val="24"/>
                <w:highlight w:val="none"/>
                <w:lang w:val="en-US" w:eastAsia="zh-CN"/>
              </w:rPr>
              <w:t>约</w:t>
            </w:r>
            <w:r>
              <w:rPr>
                <w:rFonts w:hint="eastAsia" w:ascii="宋体" w:hAnsi="宋体" w:eastAsia="宋体" w:cs="宋体"/>
                <w:b/>
                <w:bCs/>
                <w:color w:val="auto"/>
                <w:sz w:val="24"/>
                <w:szCs w:val="24"/>
                <w:highlight w:val="none"/>
              </w:rPr>
              <w:t>期限（工期）</w:t>
            </w:r>
          </w:p>
        </w:tc>
        <w:tc>
          <w:tcPr>
            <w:tcW w:w="8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详见“第一部分  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地点</w:t>
            </w:r>
          </w:p>
        </w:tc>
        <w:tc>
          <w:tcPr>
            <w:tcW w:w="8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施工图中所有地点</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3、履约保证金</w:t>
            </w:r>
          </w:p>
        </w:tc>
        <w:tc>
          <w:tcPr>
            <w:tcW w:w="8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1、履约保证金金额：合同金额的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2、履约保证金形式：银行汇票（电汇）、银行保函、保险保单或支票（仅限于使用宁波大市区范围内的银行开具的支票）等形式；</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3、担保收件人：采购人；</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4、履约保证金的退取：项目验收合格后，根据实际履约情况扣除相应违约金后无息退还履约保证金（但如</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rPr>
              <w:t>未能履行合同规定的任何义务，采购人有权从履约保证金中得到补偿）。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b/>
                <w:bCs/>
                <w:color w:val="auto"/>
                <w:sz w:val="24"/>
                <w:szCs w:val="24"/>
                <w:highlight w:val="none"/>
              </w:rPr>
              <w:t>4、付款方式</w:t>
            </w:r>
          </w:p>
        </w:tc>
        <w:tc>
          <w:tcPr>
            <w:tcW w:w="8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、合同生效及具备实施条件后7个工作日内，采购人支付合同总价（扣除未确定的暂定金额、暂列金额、甲供材料费用）的40%；</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FF0000"/>
                <w:sz w:val="24"/>
                <w:szCs w:val="24"/>
                <w:highlight w:val="none"/>
              </w:rPr>
            </w:pPr>
            <w:r>
              <w:rPr>
                <w:rFonts w:hint="eastAsia" w:ascii="宋体" w:hAnsi="宋体" w:eastAsia="宋体" w:cs="宋体"/>
                <w:color w:val="auto"/>
                <w:sz w:val="24"/>
                <w:szCs w:val="24"/>
                <w:highlight w:val="none"/>
              </w:rPr>
              <w:t>2、工程初验通过后7个工作日内，采购人支付至合同总价（扣除未确定的暂定金额、暂列金额、甲供材料费用）的</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0%；</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3、工程竣工验收（终验）合格后，根据相关部门核准的决算价，付清尾款。</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注：具体条款以双方签订的合同约定为准。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5、质量保修期</w:t>
            </w:r>
          </w:p>
        </w:tc>
        <w:tc>
          <w:tcPr>
            <w:tcW w:w="8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1、质量保修期不少于2年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质量保修期从</w:t>
            </w:r>
            <w:r>
              <w:rPr>
                <w:rFonts w:hint="eastAsia" w:ascii="宋体" w:hAnsi="宋体" w:cs="宋体"/>
                <w:color w:val="auto"/>
                <w:sz w:val="24"/>
                <w:szCs w:val="24"/>
                <w:highlight w:val="none"/>
                <w:lang w:val="en-US" w:eastAsia="zh-CN"/>
              </w:rPr>
              <w:t>采购</w:t>
            </w:r>
            <w:r>
              <w:rPr>
                <w:rFonts w:hint="eastAsia" w:ascii="宋体" w:hAnsi="宋体" w:eastAsia="宋体" w:cs="宋体"/>
                <w:color w:val="auto"/>
                <w:sz w:val="24"/>
                <w:szCs w:val="24"/>
                <w:highlight w:val="none"/>
              </w:rPr>
              <w:t>人批准的竣工验收通过之日起计算。</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2、质量保修期内供应商须免费负责修理和替换任何由于</w:t>
            </w:r>
            <w:r>
              <w:rPr>
                <w:rFonts w:hint="eastAsia" w:ascii="宋体" w:hAnsi="宋体" w:cs="宋体"/>
                <w:color w:val="auto"/>
                <w:sz w:val="24"/>
                <w:szCs w:val="24"/>
                <w:highlight w:val="none"/>
                <w:lang w:val="en-US" w:eastAsia="zh-CN"/>
              </w:rPr>
              <w:t>改造、</w:t>
            </w:r>
            <w:r>
              <w:rPr>
                <w:rFonts w:hint="eastAsia" w:ascii="宋体" w:hAnsi="宋体" w:eastAsia="宋体" w:cs="宋体"/>
                <w:color w:val="auto"/>
                <w:sz w:val="24"/>
                <w:szCs w:val="24"/>
                <w:highlight w:val="none"/>
              </w:rPr>
              <w:t>配件自身的质量问题造成的损坏。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6、免费维修的响应期限</w:t>
            </w:r>
          </w:p>
        </w:tc>
        <w:tc>
          <w:tcPr>
            <w:tcW w:w="8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质量保修期内，一旦发生质量问题，供应商保证在接到通知后30分钟内作出响应，2小时内到现场进行维修、更换，费用由供应商负责。如供应商在接到通知的2小时内没有答复或处理问题，则视为供应商承认质量问题并承担由此而发生的一切费用。质量保修期间的一切质量问题，更换部件及</w:t>
            </w:r>
            <w:r>
              <w:rPr>
                <w:rFonts w:hint="eastAsia" w:ascii="宋体" w:hAnsi="宋体" w:cs="宋体"/>
                <w:color w:val="auto"/>
                <w:sz w:val="24"/>
                <w:szCs w:val="24"/>
                <w:highlight w:val="none"/>
                <w:lang w:val="en-US" w:eastAsia="zh-CN"/>
              </w:rPr>
              <w:t>工程</w:t>
            </w:r>
            <w:r>
              <w:rPr>
                <w:rFonts w:hint="eastAsia" w:ascii="宋体" w:hAnsi="宋体" w:eastAsia="宋体" w:cs="宋体"/>
                <w:color w:val="auto"/>
                <w:sz w:val="24"/>
                <w:szCs w:val="24"/>
                <w:highlight w:val="none"/>
              </w:rPr>
              <w:t>本身质量原因造成的直接经济损失应全部由供应商自行负责，更换时间不得超过48小时。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、其他说明</w:t>
            </w:r>
          </w:p>
        </w:tc>
        <w:tc>
          <w:tcPr>
            <w:tcW w:w="80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1、本招标所提的要求仅为主要要求，不应作为完整的详细的要求；</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2、供应商应负责保护采购人的利益不受损害；一切由于文字、商标和技术专利侵权引起的法律裁决、诉讼及其费用均与采购人无关。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3" w:hRule="atLeast"/>
          <w:jc w:val="center"/>
        </w:trPr>
        <w:tc>
          <w:tcPr>
            <w:tcW w:w="16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在建要求</w:t>
            </w:r>
          </w:p>
        </w:tc>
        <w:tc>
          <w:tcPr>
            <w:tcW w:w="80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拟派项目负责人在投标截止日时无在建工程（在建工程是指项目负责人在采购截止日时原承担的合同工程项目未通过验收</w:t>
            </w:r>
            <w:r>
              <w:rPr>
                <w:rFonts w:hint="eastAsia" w:ascii="宋体" w:hAnsi="宋体" w:cs="宋体"/>
                <w:color w:val="auto"/>
                <w:sz w:val="24"/>
                <w:szCs w:val="24"/>
                <w:highlight w:val="none"/>
                <w:lang w:eastAsia="zh-CN"/>
              </w:rPr>
              <w:t>。在建合同的开始时间为合同工程中标通知书发出之日（不通过招标方式的，开始时间为合同签订之日），结束时间为该合同工程通过验收或合同解除之日</w:t>
            </w:r>
            <w:r>
              <w:rPr>
                <w:rFonts w:hint="eastAsia" w:ascii="宋体" w:hAnsi="宋体" w:eastAsia="宋体" w:cs="宋体"/>
                <w:color w:val="auto"/>
                <w:sz w:val="24"/>
                <w:szCs w:val="24"/>
                <w:highlight w:val="none"/>
              </w:rPr>
              <w:t>）</w:t>
            </w:r>
          </w:p>
        </w:tc>
      </w:tr>
    </w:tbl>
    <w:p>
      <w:pPr>
        <w:spacing w:line="360" w:lineRule="auto"/>
        <w:jc w:val="left"/>
        <w:rPr>
          <w:rFonts w:hint="eastAsia" w:ascii="宋体" w:hAnsi="宋体" w:eastAsia="宋体" w:cs="宋体"/>
          <w:color w:val="auto"/>
          <w:sz w:val="24"/>
          <w:highlight w:val="none"/>
          <w:u w:val="single"/>
          <w:lang w:eastAsia="zh-CN"/>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w:t>
      </w:r>
      <w:r>
        <w:rPr>
          <w:rFonts w:hint="eastAsia" w:ascii="宋体" w:hAnsi="宋体" w:eastAsia="宋体" w:cs="宋体"/>
          <w:b/>
          <w:color w:val="auto"/>
          <w:sz w:val="24"/>
          <w:highlight w:val="none"/>
        </w:rPr>
        <w:t>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宁海县公安局装饰改造工程位于浙江省宁海县金水东路。主要建设内容为主楼架空层及七层局部、宿舍楼一层至三层装饰改造工程，装修设计建筑面积约5792㎡。</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按照国家及地方颁发的现行相关建筑工程施工及验收规范、标准，组织实施本项目工程的施工。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成交人必须在施工前对所有参加施工的人员和该项目的施工标的进行相关的人身和财产保险投保。</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其他技术要求详见</w:t>
      </w:r>
      <w:r>
        <w:rPr>
          <w:rFonts w:hint="eastAsia" w:ascii="宋体" w:hAnsi="宋体" w:eastAsia="宋体" w:cs="宋体"/>
          <w:b/>
          <w:bCs/>
          <w:color w:val="auto"/>
          <w:sz w:val="24"/>
          <w:szCs w:val="24"/>
          <w:highlight w:val="none"/>
          <w:lang w:val="en-US" w:eastAsia="zh-CN"/>
        </w:rPr>
        <w:t>附件工程量清单（招标控制价）及图纸（另册）</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编制原则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（一）本工程采用一般计税方法。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（二）工程取费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1、建筑工程：企业管理费及利润费率按“单独装饰工程”中值计取；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2、通用安装工程：企业管理费、利润费率按“水、电、暖通、消防、智能、自控及通信安装工程”中值计取；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w:t>
      </w:r>
      <w:bookmarkStart w:id="45" w:name="_Hlk109728003"/>
      <w:r>
        <w:rPr>
          <w:rFonts w:hint="eastAsia" w:ascii="宋体" w:hAnsi="宋体" w:eastAsia="宋体" w:cs="宋体"/>
          <w:color w:val="auto"/>
          <w:sz w:val="24"/>
          <w:szCs w:val="24"/>
          <w:highlight w:val="none"/>
          <w:lang w:val="en-US" w:eastAsia="zh-CN" w:bidi="ar-SA"/>
        </w:rPr>
        <w:t>施工组织措施费按相应专业中值计取，</w:t>
      </w:r>
      <w:bookmarkEnd w:id="45"/>
      <w:r>
        <w:rPr>
          <w:rFonts w:hint="eastAsia" w:ascii="宋体" w:hAnsi="宋体" w:eastAsia="宋体" w:cs="宋体"/>
          <w:color w:val="auto"/>
          <w:sz w:val="24"/>
          <w:szCs w:val="24"/>
          <w:highlight w:val="none"/>
          <w:lang w:val="en-US" w:eastAsia="zh-CN" w:bidi="ar-SA"/>
        </w:rPr>
        <w:t>计取安全文明施工基本费（按“市区”工程）、冬雨季施工增加费。不计取提前竣工增加费、行车、行人干扰增加费、二次搬运费、优质工程增加费。其中安全文明施工基本费根据《浙建建发〔2022〕37号文件》计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4、规费：按相应专业工程标准费率的30%计取；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5、税金：根据（浙建建发[2019]92号）文件按税率9%计取；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6、垂直运输保险增加费按《关于印发宁波建筑工程垂直运输机械保险增加费计价规定的通知》（甬建价[2019]12号）文件，费率按5%计取；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7、安责险：按宁波市《市建管〔2024〕12号》发文计取；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（三）人工、材料信息价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材料信息价格按照2025年第4期《宁波建设工程造价信息》（综合版）宁海县、宁波市区计取；《宁波建设工程造价信息》（综合版）没有信息价的材料按2025年第4期《浙江造价信息》除税信息价计取，以上无信息价材料按市场询价(不含税价)计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2、人工信息价格按照2025年第4期《宁波建设工程造价信息》（综合版）计取。</w:t>
      </w:r>
    </w:p>
    <w:p>
      <w:pPr>
        <w:pStyle w:val="2"/>
        <w:numPr>
          <w:ilvl w:val="0"/>
          <w:numId w:val="0"/>
        </w:numPr>
        <w:rPr>
          <w:rFonts w:hint="default"/>
          <w:b/>
          <w:bCs/>
          <w:highlight w:val="none"/>
          <w:lang w:val="en-US" w:eastAsia="zh-CN"/>
        </w:rPr>
      </w:pPr>
      <w:r>
        <w:rPr>
          <w:rFonts w:hint="eastAsia"/>
          <w:b/>
          <w:bCs/>
          <w:highlight w:val="none"/>
          <w:lang w:val="en-US" w:eastAsia="zh-CN"/>
        </w:rPr>
        <w:t>五、其他说明</w:t>
      </w:r>
    </w:p>
    <w:p>
      <w:pPr>
        <w:pStyle w:val="2"/>
        <w:numPr>
          <w:ilvl w:val="0"/>
          <w:numId w:val="0"/>
        </w:numPr>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1、原砌筑墙体拆除暂按多孔砖墙计入，结算按实调整；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w:t>
      </w:r>
      <w:r>
        <w:rPr>
          <w:rFonts w:hint="eastAsia" w:ascii="宋体" w:hAnsi="宋体" w:eastAsia="宋体" w:cs="宋体"/>
          <w:color w:val="auto"/>
          <w:sz w:val="24"/>
          <w:szCs w:val="24"/>
          <w:highlight w:val="none"/>
          <w:lang w:val="en-US" w:eastAsia="zh-CN" w:bidi="ar-SA"/>
        </w:rPr>
        <w:t>、因设计图纸梁底及板底高度不明确，主楼墙体拆除及新砌墙体高度暂按3.5米计入；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w:t>
      </w:r>
      <w:r>
        <w:rPr>
          <w:rFonts w:hint="default" w:ascii="宋体" w:hAnsi="宋体" w:eastAsia="宋体" w:cs="宋体"/>
          <w:color w:val="auto"/>
          <w:sz w:val="24"/>
          <w:szCs w:val="24"/>
          <w:highlight w:val="none"/>
          <w:lang w:val="en-US" w:eastAsia="zh-CN" w:bidi="ar-SA"/>
        </w:rPr>
        <w:t>所有使用的饰面不锈钢板均须使用 304 不锈钢</w:t>
      </w:r>
      <w:r>
        <w:rPr>
          <w:rFonts w:hint="eastAsia" w:ascii="宋体" w:hAnsi="宋体" w:eastAsia="宋体" w:cs="宋体"/>
          <w:color w:val="auto"/>
          <w:sz w:val="24"/>
          <w:szCs w:val="24"/>
          <w:highlight w:val="none"/>
          <w:lang w:val="en-US" w:eastAsia="zh-CN" w:bidi="ar-SA"/>
        </w:rPr>
        <w:t>，</w:t>
      </w:r>
      <w:r>
        <w:rPr>
          <w:rFonts w:hint="default" w:ascii="宋体" w:hAnsi="宋体" w:eastAsia="宋体" w:cs="宋体"/>
          <w:color w:val="auto"/>
          <w:sz w:val="24"/>
          <w:szCs w:val="24"/>
          <w:highlight w:val="none"/>
          <w:lang w:val="en-US" w:eastAsia="zh-CN" w:bidi="ar-SA"/>
        </w:rPr>
        <w:t>不锈钢板折边处须作刨槽处理</w:t>
      </w:r>
      <w:r>
        <w:rPr>
          <w:rFonts w:hint="eastAsia" w:ascii="宋体" w:hAnsi="宋体" w:eastAsia="宋体" w:cs="宋体"/>
          <w:color w:val="auto"/>
          <w:sz w:val="24"/>
          <w:szCs w:val="24"/>
          <w:highlight w:val="none"/>
          <w:lang w:val="en-US" w:eastAsia="zh-CN" w:bidi="ar-SA"/>
        </w:rPr>
        <w:t>，</w:t>
      </w:r>
      <w:r>
        <w:rPr>
          <w:rFonts w:hint="default" w:ascii="宋体" w:hAnsi="宋体" w:eastAsia="宋体" w:cs="宋体"/>
          <w:color w:val="auto"/>
          <w:sz w:val="24"/>
          <w:szCs w:val="24"/>
          <w:highlight w:val="none"/>
          <w:lang w:val="en-US" w:eastAsia="zh-CN" w:bidi="ar-SA"/>
        </w:rPr>
        <w:t>费用包含在综合单价中</w:t>
      </w:r>
      <w:r>
        <w:rPr>
          <w:rFonts w:hint="eastAsia" w:ascii="宋体" w:hAnsi="宋体" w:eastAsia="宋体" w:cs="宋体"/>
          <w:color w:val="auto"/>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安装工程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1、经设计确认，桥架通长敷设-25*4镀锌扁钢。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2、经设计确认，地漏材质为不锈钢地漏。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3、经设计确认，给排水管道穿楼板仅开孔修复，不预留套管。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lang w:val="en-US" w:eastAsia="zh-CN"/>
        </w:rPr>
      </w:pPr>
      <w:r>
        <w:rPr>
          <w:rFonts w:hint="eastAsia" w:ascii="宋体" w:hAnsi="宋体" w:eastAsia="宋体" w:cs="宋体"/>
          <w:color w:val="auto"/>
          <w:sz w:val="24"/>
          <w:szCs w:val="24"/>
          <w:highlight w:val="none"/>
          <w:lang w:val="en-US" w:eastAsia="zh-CN" w:bidi="ar-SA"/>
        </w:rPr>
        <w:t>4、引自原建筑配电箱的进线电缆及配管暂按50米考虑计入。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lang w:val="en-US" w:eastAsia="zh-CN"/>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1、设备安装、调试和验收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供应商须负责完成本项目涉及的整体规划、安装调试、服务实施等相关工作，须详细确认和理解用户原有情况、本次项目的建设目标和服务要求，并严格根据用户方项目进度安排完成实施工作，如有偏差由供应商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（2）成交人应保证其提供的</w:t>
      </w:r>
      <w:r>
        <w:rPr>
          <w:rFonts w:hint="eastAsia" w:ascii="宋体" w:hAnsi="宋体" w:cs="宋体"/>
          <w:color w:val="auto"/>
          <w:sz w:val="24"/>
          <w:szCs w:val="24"/>
          <w:highlight w:val="none"/>
          <w:lang w:val="en-US" w:eastAsia="zh-CN" w:bidi="ar-SA"/>
        </w:rPr>
        <w:t>施工工程</w:t>
      </w:r>
      <w:r>
        <w:rPr>
          <w:rFonts w:hint="eastAsia" w:ascii="宋体" w:hAnsi="宋体" w:eastAsia="宋体" w:cs="宋体"/>
          <w:color w:val="auto"/>
          <w:sz w:val="24"/>
          <w:szCs w:val="24"/>
          <w:highlight w:val="none"/>
          <w:lang w:val="en-US" w:eastAsia="zh-CN" w:bidi="ar-SA"/>
        </w:rPr>
        <w:t>在正常使用和保养条件下，在使用寿命期内应具有满意的性能。成交人应对由于工艺或材料的缺陷而产生的故障负完全责任。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val="en-US" w:eastAsia="zh-CN" w:bidi="ar-SA"/>
        </w:rPr>
        <w:t>）成交人须保证所配置的产品有合法的使用权，并有相应的使用许可证。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val="en-US" w:eastAsia="zh-CN" w:bidi="ar-SA"/>
        </w:rPr>
        <w:t>）成交人需对整体项目方案的可行性负责，根据用户要求完成本项目的所有实施工作，解决实施过程中的全部技术问题。如在项目实施过程中出现无法实施或者缺少相关设备不能满足用户需求的情况应免费提供相关设备与配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w:t>
      </w:r>
      <w:r>
        <w:rPr>
          <w:rFonts w:hint="eastAsia" w:ascii="宋体" w:hAnsi="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）以上所有与（多次）安装、迁移、调试和验收相关的费用均需计入投标总价。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2、作业要求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安全生产要求：成交人须严格遵守《安全生产法》《建设工程安全生产管理条例》和《安全生产许可证条例》等法律法规，项目负责人和安全管理人员认真履行安全生产管理职责，负责工程现场的施工安全；施工过程中发生的一切非采购人原因的安全事故由成交人全权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（2）文明施工要求：在施工过程中，必须做到文明施工。工序衔接交叉合理，交接责任明确，施工场地整洁、卫生、道路畅通，有必要的围护和遮挡措施等。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成交人必须为全体作业员工购买社会和人身意外保险、公众责任保险费等其他保险，必须重视安全生产工作，确保不出安全生产责任事故。如发生安全生产责任事故或公众安全事故（含交通事故），一切责任及损失由成交人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3、施工要求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在项目实施中须达到的施工要求国家标准如下：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《建筑工程施工质量验收统一标准》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《建筑给水排水及采暖工程施工质量验收规范》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《建筑电气工程施工质量验收规范》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《给水排水管道工程施工及验收规范》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《建筑施工安全检查标准》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b/>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如标准有更新，以最新文件为准。本项目</w:t>
      </w:r>
      <w:r>
        <w:rPr>
          <w:rFonts w:hint="eastAsia" w:ascii="宋体" w:hAnsi="宋体" w:eastAsia="宋体" w:cs="宋体"/>
          <w:bCs/>
          <w:color w:val="auto"/>
          <w:kern w:val="2"/>
          <w:sz w:val="24"/>
          <w:szCs w:val="24"/>
          <w:highlight w:val="none"/>
          <w:lang w:val="en-US" w:eastAsia="zh-CN" w:bidi="ar-SA"/>
        </w:rPr>
        <w:t>按照国家及地方颁发的现行相关施工及验收规范、标准，组织实施本项目工程的施工。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七</w:t>
      </w:r>
      <w:r>
        <w:rPr>
          <w:rFonts w:hint="eastAsia" w:ascii="宋体" w:hAnsi="宋体" w:eastAsia="宋体" w:cs="宋体"/>
          <w:b/>
          <w:color w:val="auto"/>
          <w:sz w:val="24"/>
          <w:szCs w:val="24"/>
          <w:highlight w:val="none"/>
          <w:lang w:val="en-US" w:eastAsia="zh-CN"/>
        </w:rPr>
        <w:t>、投标要求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供应商需在响应文件中提供业绩、履约能力和政策加分的相关证明材料，提供服务团队的人员资质证明材料和人员管理方案（包括人员层级管理以及组织架构、考核方案、人员管理规范等内容），提供完善的整体方案</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【包括组织方案（组织管理结构、现场布置、管理运作流程等内容）</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质量保证、进度安排及保障等措施</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现场管理措施。服务保障体系、施工质量检测鉴定、技术操作规程等措施。安全生产、文明施工的安排、技术和组织管理措施等内容。拟投入的主要施工机械设备的选用和布置等内容。应急处理方案。】，重难点分析及相应解决方案，售后服务方案【包括服务的便捷性情况（响应时间及到达现场的时间），质保期方案、售后服务优惠承诺、售后服务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36"/>
          <w:szCs w:val="20"/>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24"/>
          <w:highlight w:val="none"/>
        </w:rPr>
        <w:br w:type="page"/>
      </w:r>
      <w:bookmarkStart w:id="46" w:name="_Toc31295"/>
      <w:r>
        <w:rPr>
          <w:rFonts w:hint="eastAsia" w:ascii="宋体" w:hAnsi="宋体" w:eastAsia="宋体" w:cs="宋体"/>
          <w:b/>
          <w:color w:val="auto"/>
          <w:sz w:val="36"/>
          <w:szCs w:val="20"/>
          <w:highlight w:val="none"/>
        </w:rPr>
        <w:t>第四部分</w:t>
      </w:r>
      <w:bookmarkStart w:id="47" w:name="_Toc184310324"/>
      <w:bookmarkEnd w:id="47"/>
      <w:bookmarkStart w:id="48" w:name="_Toc184310321"/>
      <w:bookmarkEnd w:id="48"/>
      <w:bookmarkStart w:id="49" w:name="_Toc184314413"/>
      <w:bookmarkEnd w:id="49"/>
      <w:bookmarkStart w:id="50" w:name="_Toc184310312"/>
      <w:bookmarkEnd w:id="50"/>
      <w:bookmarkStart w:id="51" w:name="_Toc184313278"/>
      <w:bookmarkEnd w:id="51"/>
      <w:bookmarkStart w:id="52" w:name="_Toc184313257"/>
      <w:bookmarkEnd w:id="52"/>
      <w:bookmarkStart w:id="53" w:name="_Toc184313238"/>
      <w:bookmarkEnd w:id="53"/>
      <w:bookmarkStart w:id="54" w:name="_Toc184312118"/>
      <w:bookmarkEnd w:id="54"/>
      <w:bookmarkStart w:id="55" w:name="_Toc184313282"/>
      <w:bookmarkEnd w:id="55"/>
      <w:bookmarkStart w:id="56" w:name="_Toc184308049"/>
      <w:bookmarkEnd w:id="56"/>
      <w:bookmarkStart w:id="57" w:name="_Toc184310305"/>
      <w:bookmarkEnd w:id="57"/>
      <w:bookmarkStart w:id="58" w:name="_Toc184310304"/>
      <w:bookmarkEnd w:id="58"/>
      <w:bookmarkStart w:id="59" w:name="_Toc184310341"/>
      <w:bookmarkEnd w:id="59"/>
      <w:bookmarkStart w:id="60" w:name="_Toc184313239"/>
      <w:bookmarkEnd w:id="60"/>
      <w:bookmarkStart w:id="61" w:name="_Toc184313301"/>
      <w:bookmarkEnd w:id="61"/>
      <w:bookmarkStart w:id="62" w:name="_Toc184314431"/>
      <w:bookmarkEnd w:id="62"/>
      <w:bookmarkStart w:id="63" w:name="_Toc184313256"/>
      <w:bookmarkEnd w:id="63"/>
      <w:bookmarkStart w:id="64" w:name="_Toc184314425"/>
      <w:bookmarkEnd w:id="64"/>
      <w:bookmarkStart w:id="65" w:name="_Toc184308037"/>
      <w:bookmarkEnd w:id="65"/>
      <w:bookmarkStart w:id="66" w:name="_Toc184314462"/>
      <w:bookmarkEnd w:id="66"/>
      <w:bookmarkStart w:id="67" w:name="_Toc184310279"/>
      <w:bookmarkEnd w:id="67"/>
      <w:bookmarkStart w:id="68" w:name="_Toc184310283"/>
      <w:bookmarkEnd w:id="68"/>
      <w:bookmarkStart w:id="69" w:name="_Toc184312100"/>
      <w:bookmarkEnd w:id="69"/>
      <w:bookmarkStart w:id="70" w:name="_Toc184312107"/>
      <w:bookmarkEnd w:id="70"/>
      <w:bookmarkStart w:id="71" w:name="_Toc184314424"/>
      <w:bookmarkEnd w:id="71"/>
      <w:bookmarkStart w:id="72" w:name="_Toc184313249"/>
      <w:bookmarkEnd w:id="72"/>
      <w:bookmarkStart w:id="73" w:name="_Toc184310323"/>
      <w:bookmarkEnd w:id="73"/>
      <w:bookmarkStart w:id="74" w:name="_Toc184308087"/>
      <w:bookmarkEnd w:id="74"/>
      <w:bookmarkStart w:id="75" w:name="_Toc184310300"/>
      <w:bookmarkEnd w:id="75"/>
      <w:bookmarkStart w:id="76" w:name="_Toc184313260"/>
      <w:bookmarkEnd w:id="76"/>
      <w:bookmarkStart w:id="77" w:name="_Toc184312116"/>
      <w:bookmarkEnd w:id="77"/>
      <w:bookmarkStart w:id="78" w:name="_Toc184314481"/>
      <w:bookmarkEnd w:id="78"/>
      <w:bookmarkStart w:id="79" w:name="_Toc184312095"/>
      <w:bookmarkEnd w:id="79"/>
      <w:bookmarkStart w:id="80" w:name="_Toc184308097"/>
      <w:bookmarkEnd w:id="80"/>
      <w:bookmarkStart w:id="81" w:name="_Toc184310313"/>
      <w:bookmarkEnd w:id="81"/>
      <w:bookmarkStart w:id="82" w:name="_Toc184308085"/>
      <w:bookmarkEnd w:id="82"/>
      <w:bookmarkStart w:id="83" w:name="_Toc184314461"/>
      <w:bookmarkEnd w:id="83"/>
      <w:bookmarkStart w:id="84" w:name="_Toc184310280"/>
      <w:bookmarkEnd w:id="84"/>
      <w:bookmarkStart w:id="85" w:name="_Toc184308047"/>
      <w:bookmarkEnd w:id="85"/>
      <w:bookmarkStart w:id="86" w:name="_Toc184314468"/>
      <w:bookmarkEnd w:id="86"/>
      <w:bookmarkStart w:id="87" w:name="_Toc184312067"/>
      <w:bookmarkEnd w:id="87"/>
      <w:bookmarkStart w:id="88" w:name="_Toc184312090"/>
      <w:bookmarkEnd w:id="88"/>
      <w:bookmarkStart w:id="89" w:name="_Toc184313269"/>
      <w:bookmarkEnd w:id="89"/>
      <w:bookmarkStart w:id="90" w:name="_Toc184313274"/>
      <w:bookmarkEnd w:id="90"/>
      <w:bookmarkStart w:id="91" w:name="_Toc184312133"/>
      <w:bookmarkEnd w:id="91"/>
      <w:bookmarkStart w:id="92" w:name="_Toc184312137"/>
      <w:bookmarkEnd w:id="92"/>
      <w:bookmarkStart w:id="93" w:name="_Toc184310319"/>
      <w:bookmarkEnd w:id="93"/>
      <w:bookmarkStart w:id="94" w:name="_Toc184308081"/>
      <w:bookmarkEnd w:id="94"/>
      <w:bookmarkStart w:id="95" w:name="_Toc184308106"/>
      <w:bookmarkEnd w:id="95"/>
      <w:bookmarkStart w:id="96" w:name="_Toc184313254"/>
      <w:bookmarkEnd w:id="96"/>
      <w:bookmarkStart w:id="97" w:name="_Toc184314447"/>
      <w:bookmarkEnd w:id="97"/>
      <w:bookmarkStart w:id="98" w:name="_Toc184313295"/>
      <w:bookmarkEnd w:id="98"/>
      <w:bookmarkStart w:id="99" w:name="_Toc184310288"/>
      <w:bookmarkEnd w:id="99"/>
      <w:bookmarkStart w:id="100" w:name="_Toc184312111"/>
      <w:bookmarkEnd w:id="100"/>
      <w:bookmarkStart w:id="101" w:name="_Toc184310315"/>
      <w:bookmarkEnd w:id="101"/>
      <w:bookmarkStart w:id="102" w:name="_Toc184312087"/>
      <w:bookmarkEnd w:id="102"/>
      <w:bookmarkStart w:id="103" w:name="_Toc184313294"/>
      <w:bookmarkEnd w:id="103"/>
      <w:bookmarkStart w:id="104" w:name="_Toc184310317"/>
      <w:bookmarkEnd w:id="104"/>
      <w:bookmarkStart w:id="105" w:name="_Toc184314423"/>
      <w:bookmarkEnd w:id="105"/>
      <w:bookmarkStart w:id="106" w:name="_Toc184314463"/>
      <w:bookmarkEnd w:id="106"/>
      <w:bookmarkStart w:id="107" w:name="_Toc184312129"/>
      <w:bookmarkEnd w:id="107"/>
      <w:bookmarkStart w:id="108" w:name="_Toc184313292"/>
      <w:bookmarkEnd w:id="108"/>
      <w:bookmarkStart w:id="109" w:name="_Toc184310293"/>
      <w:bookmarkEnd w:id="109"/>
      <w:bookmarkStart w:id="110" w:name="_Toc184312102"/>
      <w:bookmarkEnd w:id="110"/>
      <w:bookmarkStart w:id="111" w:name="_Toc184312105"/>
      <w:bookmarkEnd w:id="111"/>
      <w:bookmarkStart w:id="112" w:name="_Toc184313293"/>
      <w:bookmarkEnd w:id="112"/>
      <w:bookmarkStart w:id="113" w:name="_Toc184314432"/>
      <w:bookmarkEnd w:id="113"/>
      <w:bookmarkStart w:id="114" w:name="_Toc184312070"/>
      <w:bookmarkEnd w:id="114"/>
      <w:bookmarkStart w:id="115" w:name="_Toc184308072"/>
      <w:bookmarkEnd w:id="115"/>
      <w:bookmarkStart w:id="116" w:name="_Toc184308036"/>
      <w:bookmarkEnd w:id="116"/>
      <w:bookmarkStart w:id="117" w:name="_Toc184308092"/>
      <w:bookmarkEnd w:id="117"/>
      <w:bookmarkStart w:id="118" w:name="_Toc184314446"/>
      <w:bookmarkEnd w:id="118"/>
      <w:bookmarkStart w:id="119" w:name="_Toc184313302"/>
      <w:bookmarkEnd w:id="119"/>
      <w:bookmarkStart w:id="120" w:name="_Toc184314418"/>
      <w:bookmarkEnd w:id="120"/>
      <w:bookmarkStart w:id="121" w:name="_Toc184310278"/>
      <w:bookmarkEnd w:id="121"/>
      <w:bookmarkStart w:id="122" w:name="_Toc184312073"/>
      <w:bookmarkEnd w:id="122"/>
      <w:bookmarkStart w:id="123" w:name="_Toc184314471"/>
      <w:bookmarkEnd w:id="123"/>
      <w:bookmarkStart w:id="124" w:name="_Toc184308044"/>
      <w:bookmarkEnd w:id="124"/>
      <w:bookmarkStart w:id="125" w:name="_Toc184314417"/>
      <w:bookmarkEnd w:id="125"/>
      <w:bookmarkStart w:id="126" w:name="_Toc184308082"/>
      <w:bookmarkEnd w:id="126"/>
      <w:bookmarkStart w:id="127" w:name="_Toc184308099"/>
      <w:bookmarkEnd w:id="127"/>
      <w:bookmarkStart w:id="128" w:name="_Toc184310281"/>
      <w:bookmarkEnd w:id="128"/>
      <w:bookmarkStart w:id="129" w:name="_Toc184313255"/>
      <w:bookmarkEnd w:id="129"/>
      <w:bookmarkStart w:id="130" w:name="_Toc184313299"/>
      <w:bookmarkEnd w:id="130"/>
      <w:bookmarkStart w:id="131" w:name="_Toc184314430"/>
      <w:bookmarkEnd w:id="131"/>
      <w:bookmarkStart w:id="132" w:name="_Toc184310302"/>
      <w:bookmarkEnd w:id="132"/>
      <w:bookmarkStart w:id="133" w:name="_Toc184310303"/>
      <w:bookmarkEnd w:id="133"/>
      <w:bookmarkStart w:id="134" w:name="_Toc184314466"/>
      <w:bookmarkEnd w:id="134"/>
      <w:bookmarkStart w:id="135" w:name="_Toc184314478"/>
      <w:bookmarkEnd w:id="135"/>
      <w:bookmarkStart w:id="136" w:name="_Toc184314477"/>
      <w:bookmarkEnd w:id="136"/>
      <w:bookmarkStart w:id="137" w:name="_Toc184308070"/>
      <w:bookmarkEnd w:id="137"/>
      <w:bookmarkStart w:id="138" w:name="_Toc184312122"/>
      <w:bookmarkEnd w:id="138"/>
      <w:bookmarkStart w:id="139" w:name="_Toc184314448"/>
      <w:bookmarkEnd w:id="139"/>
      <w:bookmarkStart w:id="140" w:name="_Toc184312114"/>
      <w:bookmarkEnd w:id="140"/>
      <w:bookmarkStart w:id="141" w:name="_Toc184313300"/>
      <w:bookmarkEnd w:id="141"/>
      <w:bookmarkStart w:id="142" w:name="_Toc184308105"/>
      <w:bookmarkEnd w:id="142"/>
      <w:bookmarkStart w:id="143" w:name="_Toc184312072"/>
      <w:bookmarkEnd w:id="143"/>
      <w:bookmarkStart w:id="144" w:name="_Toc184308079"/>
      <w:bookmarkEnd w:id="144"/>
      <w:bookmarkStart w:id="145" w:name="_Toc184314479"/>
      <w:bookmarkEnd w:id="145"/>
      <w:bookmarkStart w:id="146" w:name="_Toc184313246"/>
      <w:bookmarkEnd w:id="146"/>
      <w:bookmarkStart w:id="147" w:name="_Toc184314412"/>
      <w:bookmarkEnd w:id="147"/>
      <w:bookmarkStart w:id="148" w:name="_Toc184308038"/>
      <w:bookmarkEnd w:id="148"/>
      <w:bookmarkStart w:id="149" w:name="_Toc184308095"/>
      <w:bookmarkEnd w:id="149"/>
      <w:bookmarkStart w:id="150" w:name="_Toc184308061"/>
      <w:bookmarkEnd w:id="150"/>
      <w:bookmarkStart w:id="151" w:name="_Toc184313262"/>
      <w:bookmarkEnd w:id="151"/>
      <w:bookmarkStart w:id="152" w:name="_Toc184312136"/>
      <w:bookmarkEnd w:id="152"/>
      <w:bookmarkStart w:id="153" w:name="_Toc184314452"/>
      <w:bookmarkEnd w:id="153"/>
      <w:bookmarkStart w:id="154" w:name="_Toc184312089"/>
      <w:bookmarkEnd w:id="154"/>
      <w:bookmarkStart w:id="155" w:name="_Toc184312093"/>
      <w:bookmarkEnd w:id="155"/>
      <w:bookmarkStart w:id="156" w:name="_Toc184308039"/>
      <w:bookmarkEnd w:id="156"/>
      <w:bookmarkStart w:id="157" w:name="_Toc184312086"/>
      <w:bookmarkEnd w:id="157"/>
      <w:bookmarkStart w:id="158" w:name="_Toc184313283"/>
      <w:bookmarkEnd w:id="158"/>
      <w:bookmarkStart w:id="159" w:name="_Toc184310332"/>
      <w:bookmarkEnd w:id="159"/>
      <w:bookmarkStart w:id="160" w:name="_Toc184314456"/>
      <w:bookmarkEnd w:id="160"/>
      <w:bookmarkStart w:id="161" w:name="_Toc184314457"/>
      <w:bookmarkEnd w:id="161"/>
      <w:bookmarkStart w:id="162" w:name="_Toc184312134"/>
      <w:bookmarkEnd w:id="162"/>
      <w:bookmarkStart w:id="163" w:name="_Toc184312097"/>
      <w:bookmarkEnd w:id="163"/>
      <w:bookmarkStart w:id="164" w:name="_Toc184312076"/>
      <w:bookmarkEnd w:id="164"/>
      <w:bookmarkStart w:id="165" w:name="_Toc184308069"/>
      <w:bookmarkEnd w:id="165"/>
      <w:bookmarkStart w:id="166" w:name="_Toc184312098"/>
      <w:bookmarkEnd w:id="166"/>
      <w:bookmarkStart w:id="167" w:name="_Toc184310340"/>
      <w:bookmarkEnd w:id="167"/>
      <w:bookmarkStart w:id="168" w:name="_Toc184314419"/>
      <w:bookmarkEnd w:id="168"/>
      <w:bookmarkStart w:id="169" w:name="_Toc184314459"/>
      <w:bookmarkEnd w:id="169"/>
      <w:bookmarkStart w:id="170" w:name="_Toc184313307"/>
      <w:bookmarkEnd w:id="170"/>
      <w:bookmarkStart w:id="171" w:name="_Toc184312113"/>
      <w:bookmarkEnd w:id="171"/>
      <w:bookmarkStart w:id="172" w:name="_Toc184314422"/>
      <w:bookmarkEnd w:id="172"/>
      <w:bookmarkStart w:id="173" w:name="_Toc184313289"/>
      <w:bookmarkEnd w:id="173"/>
      <w:bookmarkStart w:id="174" w:name="_Toc184308057"/>
      <w:bookmarkEnd w:id="174"/>
      <w:bookmarkStart w:id="175" w:name="_Toc184310314"/>
      <w:bookmarkEnd w:id="175"/>
      <w:bookmarkStart w:id="176" w:name="_Toc184310342"/>
      <w:bookmarkEnd w:id="176"/>
      <w:bookmarkStart w:id="177" w:name="_Toc184314434"/>
      <w:bookmarkEnd w:id="177"/>
      <w:bookmarkStart w:id="178" w:name="_Toc184314467"/>
      <w:bookmarkEnd w:id="178"/>
      <w:bookmarkStart w:id="179" w:name="_Toc184314440"/>
      <w:bookmarkEnd w:id="179"/>
      <w:bookmarkStart w:id="180" w:name="_Toc184313286"/>
      <w:bookmarkEnd w:id="180"/>
      <w:bookmarkStart w:id="181" w:name="_Toc184312099"/>
      <w:bookmarkEnd w:id="181"/>
      <w:bookmarkStart w:id="182" w:name="_Toc184313296"/>
      <w:bookmarkEnd w:id="182"/>
      <w:bookmarkStart w:id="183" w:name="_Toc184313310"/>
      <w:bookmarkEnd w:id="183"/>
      <w:bookmarkStart w:id="184" w:name="_Toc184310308"/>
      <w:bookmarkEnd w:id="184"/>
      <w:bookmarkStart w:id="185" w:name="_Toc184310310"/>
      <w:bookmarkEnd w:id="185"/>
      <w:bookmarkStart w:id="186" w:name="_Toc184308076"/>
      <w:bookmarkEnd w:id="186"/>
      <w:bookmarkStart w:id="187" w:name="_Toc184313291"/>
      <w:bookmarkEnd w:id="187"/>
      <w:bookmarkStart w:id="188" w:name="_Toc184310344"/>
      <w:bookmarkEnd w:id="188"/>
      <w:bookmarkStart w:id="189" w:name="_Toc184310287"/>
      <w:bookmarkEnd w:id="189"/>
      <w:bookmarkStart w:id="190" w:name="_Toc184312120"/>
      <w:bookmarkEnd w:id="190"/>
      <w:bookmarkStart w:id="191" w:name="_Toc184314410"/>
      <w:bookmarkEnd w:id="191"/>
      <w:bookmarkStart w:id="192" w:name="_Toc184308083"/>
      <w:bookmarkEnd w:id="192"/>
      <w:bookmarkStart w:id="193" w:name="_Toc184310294"/>
      <w:bookmarkEnd w:id="193"/>
      <w:bookmarkStart w:id="194" w:name="_Toc184308059"/>
      <w:bookmarkEnd w:id="194"/>
      <w:bookmarkStart w:id="195" w:name="_Toc184312128"/>
      <w:bookmarkEnd w:id="195"/>
      <w:bookmarkStart w:id="196" w:name="_Toc184313271"/>
      <w:bookmarkEnd w:id="196"/>
      <w:bookmarkStart w:id="197" w:name="_Toc184308078"/>
      <w:bookmarkEnd w:id="197"/>
      <w:bookmarkStart w:id="198" w:name="_Toc184313277"/>
      <w:bookmarkEnd w:id="198"/>
      <w:bookmarkStart w:id="199" w:name="_Toc184308090"/>
      <w:bookmarkEnd w:id="199"/>
      <w:bookmarkStart w:id="200" w:name="_Toc184308100"/>
      <w:bookmarkEnd w:id="200"/>
      <w:bookmarkStart w:id="201" w:name="_Toc184308071"/>
      <w:bookmarkEnd w:id="201"/>
      <w:bookmarkStart w:id="202" w:name="_Toc184310291"/>
      <w:bookmarkEnd w:id="202"/>
      <w:bookmarkStart w:id="203" w:name="_Toc184308075"/>
      <w:bookmarkEnd w:id="203"/>
      <w:bookmarkStart w:id="204" w:name="_Toc184314442"/>
      <w:bookmarkEnd w:id="204"/>
      <w:bookmarkStart w:id="205" w:name="_Toc184310299"/>
      <w:bookmarkEnd w:id="205"/>
      <w:bookmarkStart w:id="206" w:name="_Toc184314476"/>
      <w:bookmarkEnd w:id="206"/>
      <w:bookmarkStart w:id="207" w:name="_Toc184312074"/>
      <w:bookmarkEnd w:id="207"/>
      <w:bookmarkStart w:id="208" w:name="_Toc184310318"/>
      <w:bookmarkEnd w:id="208"/>
      <w:bookmarkStart w:id="209" w:name="_Toc184312110"/>
      <w:bookmarkEnd w:id="209"/>
      <w:bookmarkStart w:id="210" w:name="_Toc184313308"/>
      <w:bookmarkEnd w:id="210"/>
      <w:bookmarkStart w:id="211" w:name="_Toc184313263"/>
      <w:bookmarkEnd w:id="211"/>
      <w:bookmarkStart w:id="212" w:name="_Toc184312109"/>
      <w:bookmarkEnd w:id="212"/>
      <w:bookmarkStart w:id="213" w:name="_Toc184310273"/>
      <w:bookmarkEnd w:id="213"/>
      <w:bookmarkStart w:id="214" w:name="_Toc184313270"/>
      <w:bookmarkEnd w:id="214"/>
      <w:bookmarkStart w:id="215" w:name="_Toc184313279"/>
      <w:bookmarkEnd w:id="215"/>
      <w:bookmarkStart w:id="216" w:name="_Toc184313245"/>
      <w:bookmarkEnd w:id="216"/>
      <w:bookmarkStart w:id="217" w:name="_Toc184310297"/>
      <w:bookmarkEnd w:id="217"/>
      <w:bookmarkStart w:id="218" w:name="_Toc184308042"/>
      <w:bookmarkEnd w:id="218"/>
      <w:bookmarkStart w:id="219" w:name="_Toc184312106"/>
      <w:bookmarkEnd w:id="219"/>
      <w:bookmarkStart w:id="220" w:name="_Toc184313265"/>
      <w:bookmarkEnd w:id="220"/>
      <w:bookmarkStart w:id="221" w:name="_Toc184312139"/>
      <w:bookmarkEnd w:id="221"/>
      <w:bookmarkStart w:id="222" w:name="_Toc184312124"/>
      <w:bookmarkEnd w:id="222"/>
      <w:bookmarkStart w:id="223" w:name="_Toc184312115"/>
      <w:bookmarkEnd w:id="223"/>
      <w:bookmarkStart w:id="224" w:name="_Toc184314458"/>
      <w:bookmarkEnd w:id="224"/>
      <w:bookmarkStart w:id="225" w:name="_Toc184314428"/>
      <w:bookmarkEnd w:id="225"/>
      <w:bookmarkStart w:id="226" w:name="_Toc184313304"/>
      <w:bookmarkEnd w:id="226"/>
      <w:bookmarkStart w:id="227" w:name="_Toc184314482"/>
      <w:bookmarkEnd w:id="227"/>
      <w:bookmarkStart w:id="228" w:name="_Toc184313288"/>
      <w:bookmarkEnd w:id="228"/>
      <w:bookmarkStart w:id="229" w:name="_Toc184313240"/>
      <w:bookmarkEnd w:id="229"/>
      <w:bookmarkStart w:id="230" w:name="_Toc184313305"/>
      <w:bookmarkEnd w:id="230"/>
      <w:bookmarkStart w:id="231" w:name="_Toc184308046"/>
      <w:bookmarkEnd w:id="231"/>
      <w:bookmarkStart w:id="232" w:name="_Toc184312119"/>
      <w:bookmarkEnd w:id="232"/>
      <w:bookmarkStart w:id="233" w:name="_Toc184314429"/>
      <w:bookmarkEnd w:id="233"/>
      <w:bookmarkStart w:id="234" w:name="_Toc184314455"/>
      <w:bookmarkEnd w:id="234"/>
      <w:bookmarkStart w:id="235" w:name="_Toc184310325"/>
      <w:bookmarkEnd w:id="235"/>
      <w:bookmarkStart w:id="236" w:name="_Toc184310301"/>
      <w:bookmarkEnd w:id="236"/>
      <w:bookmarkStart w:id="237" w:name="_Toc184308067"/>
      <w:bookmarkEnd w:id="237"/>
      <w:bookmarkStart w:id="238" w:name="_Toc184308064"/>
      <w:bookmarkEnd w:id="238"/>
      <w:bookmarkStart w:id="239" w:name="_Toc184313261"/>
      <w:bookmarkEnd w:id="239"/>
      <w:bookmarkStart w:id="240" w:name="_Toc184313242"/>
      <w:bookmarkEnd w:id="240"/>
      <w:bookmarkStart w:id="241" w:name="_Toc184312117"/>
      <w:bookmarkEnd w:id="241"/>
      <w:bookmarkStart w:id="242" w:name="_Toc184308043"/>
      <w:bookmarkEnd w:id="242"/>
      <w:bookmarkStart w:id="243" w:name="_Toc184312088"/>
      <w:bookmarkEnd w:id="243"/>
      <w:bookmarkStart w:id="244" w:name="_Toc184312080"/>
      <w:bookmarkEnd w:id="244"/>
      <w:bookmarkStart w:id="245" w:name="_Toc184313252"/>
      <w:bookmarkEnd w:id="245"/>
      <w:bookmarkStart w:id="246" w:name="_Toc184310307"/>
      <w:bookmarkEnd w:id="246"/>
      <w:bookmarkStart w:id="247" w:name="_Toc184312123"/>
      <w:bookmarkEnd w:id="247"/>
      <w:bookmarkStart w:id="248" w:name="_Toc184308089"/>
      <w:bookmarkEnd w:id="248"/>
      <w:bookmarkStart w:id="249" w:name="_Toc184314454"/>
      <w:bookmarkEnd w:id="249"/>
      <w:bookmarkStart w:id="250" w:name="_Toc184312126"/>
      <w:bookmarkEnd w:id="250"/>
      <w:bookmarkStart w:id="251" w:name="_Toc184314469"/>
      <w:bookmarkEnd w:id="251"/>
      <w:bookmarkStart w:id="252" w:name="_Toc184312101"/>
      <w:bookmarkEnd w:id="252"/>
      <w:bookmarkStart w:id="253" w:name="_Toc184312077"/>
      <w:bookmarkEnd w:id="253"/>
      <w:bookmarkStart w:id="254" w:name="_Toc184310298"/>
      <w:bookmarkEnd w:id="254"/>
      <w:bookmarkStart w:id="255" w:name="_Toc184308040"/>
      <w:bookmarkEnd w:id="255"/>
      <w:bookmarkStart w:id="256" w:name="_Toc184313241"/>
      <w:bookmarkEnd w:id="256"/>
      <w:bookmarkStart w:id="257" w:name="_Toc184310284"/>
      <w:bookmarkEnd w:id="257"/>
      <w:bookmarkStart w:id="258" w:name="_Toc184313251"/>
      <w:bookmarkEnd w:id="258"/>
      <w:bookmarkStart w:id="259" w:name="_Toc184313303"/>
      <w:bookmarkEnd w:id="259"/>
      <w:bookmarkStart w:id="260" w:name="_Toc184308074"/>
      <w:bookmarkEnd w:id="260"/>
      <w:bookmarkStart w:id="261" w:name="_Toc184313290"/>
      <w:bookmarkEnd w:id="261"/>
      <w:bookmarkStart w:id="262" w:name="_Toc184314421"/>
      <w:bookmarkEnd w:id="262"/>
      <w:bookmarkStart w:id="263" w:name="_Toc184312075"/>
      <w:bookmarkEnd w:id="263"/>
      <w:bookmarkStart w:id="264" w:name="_Toc184312082"/>
      <w:bookmarkEnd w:id="264"/>
      <w:bookmarkStart w:id="265" w:name="_Toc184313247"/>
      <w:bookmarkEnd w:id="265"/>
      <w:bookmarkStart w:id="266" w:name="_Toc184310290"/>
      <w:bookmarkEnd w:id="266"/>
      <w:bookmarkStart w:id="267" w:name="_Toc184313309"/>
      <w:bookmarkEnd w:id="267"/>
      <w:bookmarkStart w:id="268" w:name="_Toc184310295"/>
      <w:bookmarkEnd w:id="268"/>
      <w:bookmarkStart w:id="269" w:name="_Toc184308056"/>
      <w:bookmarkEnd w:id="269"/>
      <w:bookmarkStart w:id="270" w:name="_Toc184312068"/>
      <w:bookmarkEnd w:id="270"/>
      <w:bookmarkStart w:id="271" w:name="_Toc184308084"/>
      <w:bookmarkEnd w:id="271"/>
      <w:bookmarkStart w:id="272" w:name="_Toc184310326"/>
      <w:bookmarkEnd w:id="272"/>
      <w:bookmarkStart w:id="273" w:name="_Toc184308104"/>
      <w:bookmarkEnd w:id="273"/>
      <w:bookmarkStart w:id="274" w:name="_Toc184314464"/>
      <w:bookmarkEnd w:id="274"/>
      <w:bookmarkStart w:id="275" w:name="_Toc184312096"/>
      <w:bookmarkEnd w:id="275"/>
      <w:bookmarkStart w:id="276" w:name="_Toc184314443"/>
      <w:bookmarkEnd w:id="276"/>
      <w:bookmarkStart w:id="277" w:name="_Toc184308086"/>
      <w:bookmarkEnd w:id="277"/>
      <w:bookmarkStart w:id="278" w:name="_Toc184310331"/>
      <w:bookmarkEnd w:id="278"/>
      <w:bookmarkStart w:id="279" w:name="_Toc184310277"/>
      <w:bookmarkEnd w:id="279"/>
      <w:bookmarkStart w:id="280" w:name="_Toc184312083"/>
      <w:bookmarkEnd w:id="280"/>
      <w:bookmarkStart w:id="281" w:name="_Toc184314437"/>
      <w:bookmarkEnd w:id="281"/>
      <w:bookmarkStart w:id="282" w:name="_Toc184308093"/>
      <w:bookmarkEnd w:id="282"/>
      <w:bookmarkStart w:id="283" w:name="_Toc184310320"/>
      <w:bookmarkEnd w:id="283"/>
      <w:bookmarkStart w:id="284" w:name="_Toc184314451"/>
      <w:bookmarkEnd w:id="284"/>
      <w:bookmarkStart w:id="285" w:name="_Toc184312084"/>
      <w:bookmarkEnd w:id="285"/>
      <w:bookmarkStart w:id="286" w:name="_Toc184313273"/>
      <w:bookmarkEnd w:id="286"/>
      <w:bookmarkStart w:id="287" w:name="_Toc184308103"/>
      <w:bookmarkEnd w:id="287"/>
      <w:bookmarkStart w:id="288" w:name="_Toc184310285"/>
      <w:bookmarkEnd w:id="288"/>
      <w:bookmarkStart w:id="289" w:name="_Toc184308077"/>
      <w:bookmarkEnd w:id="289"/>
      <w:bookmarkStart w:id="290" w:name="_Toc184314453"/>
      <w:bookmarkEnd w:id="290"/>
      <w:bookmarkStart w:id="291" w:name="_Toc184310296"/>
      <w:bookmarkEnd w:id="291"/>
      <w:bookmarkStart w:id="292" w:name="_Toc184308068"/>
      <w:bookmarkEnd w:id="292"/>
      <w:bookmarkStart w:id="293" w:name="_Toc184310328"/>
      <w:bookmarkEnd w:id="293"/>
      <w:bookmarkStart w:id="294" w:name="_Toc184308045"/>
      <w:bookmarkEnd w:id="294"/>
      <w:bookmarkStart w:id="295" w:name="_Toc184312085"/>
      <w:bookmarkEnd w:id="295"/>
      <w:bookmarkStart w:id="296" w:name="_Toc184308107"/>
      <w:bookmarkEnd w:id="296"/>
      <w:bookmarkStart w:id="297" w:name="_Toc184313272"/>
      <w:bookmarkEnd w:id="297"/>
      <w:bookmarkStart w:id="298" w:name="_Toc184312071"/>
      <w:bookmarkEnd w:id="298"/>
      <w:bookmarkStart w:id="299" w:name="_Toc184310286"/>
      <w:bookmarkEnd w:id="299"/>
      <w:bookmarkStart w:id="300" w:name="_Toc184310316"/>
      <w:bookmarkEnd w:id="300"/>
      <w:bookmarkStart w:id="301" w:name="_Toc184308101"/>
      <w:bookmarkEnd w:id="301"/>
      <w:bookmarkStart w:id="302" w:name="_Toc184314444"/>
      <w:bookmarkEnd w:id="302"/>
      <w:bookmarkStart w:id="303" w:name="_Toc184314426"/>
      <w:bookmarkEnd w:id="303"/>
      <w:bookmarkStart w:id="304" w:name="_Toc184314439"/>
      <w:bookmarkEnd w:id="304"/>
      <w:bookmarkStart w:id="305" w:name="_Toc184313248"/>
      <w:bookmarkEnd w:id="305"/>
      <w:bookmarkStart w:id="306" w:name="_Toc184312132"/>
      <w:bookmarkEnd w:id="306"/>
      <w:bookmarkStart w:id="307" w:name="_Toc184308055"/>
      <w:bookmarkEnd w:id="307"/>
      <w:bookmarkStart w:id="308" w:name="_Toc184310343"/>
      <w:bookmarkEnd w:id="308"/>
      <w:bookmarkStart w:id="309" w:name="_Toc184312112"/>
      <w:bookmarkEnd w:id="309"/>
      <w:bookmarkStart w:id="310" w:name="_Toc184314441"/>
      <w:bookmarkEnd w:id="310"/>
      <w:bookmarkStart w:id="311" w:name="_Toc184314465"/>
      <w:bookmarkEnd w:id="311"/>
      <w:bookmarkStart w:id="312" w:name="_Toc184312138"/>
      <w:bookmarkEnd w:id="312"/>
      <w:bookmarkStart w:id="313" w:name="_Toc184314415"/>
      <w:bookmarkEnd w:id="313"/>
      <w:bookmarkStart w:id="314" w:name="_Toc184308051"/>
      <w:bookmarkEnd w:id="314"/>
      <w:bookmarkStart w:id="315" w:name="_Toc184312091"/>
      <w:bookmarkEnd w:id="315"/>
      <w:bookmarkStart w:id="316" w:name="_Toc184313266"/>
      <w:bookmarkEnd w:id="316"/>
      <w:bookmarkStart w:id="317" w:name="_Toc184314470"/>
      <w:bookmarkEnd w:id="317"/>
      <w:bookmarkStart w:id="318" w:name="_Toc184314475"/>
      <w:bookmarkEnd w:id="318"/>
      <w:bookmarkStart w:id="319" w:name="_Toc184308080"/>
      <w:bookmarkEnd w:id="319"/>
      <w:bookmarkStart w:id="320" w:name="_Toc184312094"/>
      <w:bookmarkEnd w:id="320"/>
      <w:bookmarkStart w:id="321" w:name="_Toc184313264"/>
      <w:bookmarkEnd w:id="321"/>
      <w:bookmarkStart w:id="322" w:name="_Toc184313243"/>
      <w:bookmarkEnd w:id="322"/>
      <w:bookmarkStart w:id="323" w:name="_Toc184314449"/>
      <w:bookmarkEnd w:id="323"/>
      <w:bookmarkStart w:id="324" w:name="_Toc184314460"/>
      <w:bookmarkEnd w:id="324"/>
      <w:bookmarkStart w:id="325" w:name="_Toc184310330"/>
      <w:bookmarkEnd w:id="325"/>
      <w:bookmarkStart w:id="326" w:name="_Toc184312069"/>
      <w:bookmarkEnd w:id="326"/>
      <w:bookmarkStart w:id="327" w:name="_Toc184314411"/>
      <w:bookmarkEnd w:id="327"/>
      <w:bookmarkStart w:id="328" w:name="_Toc184312108"/>
      <w:bookmarkEnd w:id="328"/>
      <w:bookmarkStart w:id="329" w:name="_Toc184308063"/>
      <w:bookmarkEnd w:id="329"/>
      <w:bookmarkStart w:id="330" w:name="_Toc184310336"/>
      <w:bookmarkEnd w:id="330"/>
      <w:bookmarkStart w:id="331" w:name="_Toc184310335"/>
      <w:bookmarkEnd w:id="331"/>
      <w:bookmarkStart w:id="332" w:name="_Toc184310327"/>
      <w:bookmarkEnd w:id="332"/>
      <w:bookmarkStart w:id="333" w:name="_Toc184310274"/>
      <w:bookmarkEnd w:id="333"/>
      <w:bookmarkStart w:id="334" w:name="_Toc184310311"/>
      <w:bookmarkEnd w:id="334"/>
      <w:bookmarkStart w:id="335" w:name="_Toc184313244"/>
      <w:bookmarkEnd w:id="335"/>
      <w:bookmarkStart w:id="336" w:name="_Toc184313250"/>
      <w:bookmarkEnd w:id="336"/>
      <w:bookmarkStart w:id="337" w:name="_Toc184308053"/>
      <w:bookmarkEnd w:id="337"/>
      <w:bookmarkStart w:id="338" w:name="_Toc184312125"/>
      <w:bookmarkEnd w:id="338"/>
      <w:bookmarkStart w:id="339" w:name="_Toc184314427"/>
      <w:bookmarkEnd w:id="339"/>
      <w:bookmarkStart w:id="340" w:name="_Toc184313275"/>
      <w:bookmarkEnd w:id="340"/>
      <w:bookmarkStart w:id="341" w:name="_Toc184314474"/>
      <w:bookmarkEnd w:id="341"/>
      <w:bookmarkStart w:id="342" w:name="_Toc184314436"/>
      <w:bookmarkEnd w:id="342"/>
      <w:bookmarkStart w:id="343" w:name="_Toc184310322"/>
      <w:bookmarkEnd w:id="343"/>
      <w:bookmarkStart w:id="344" w:name="_Toc184310306"/>
      <w:bookmarkEnd w:id="344"/>
      <w:bookmarkStart w:id="345" w:name="_Toc184314450"/>
      <w:bookmarkEnd w:id="345"/>
      <w:bookmarkStart w:id="346" w:name="_Toc184312092"/>
      <w:bookmarkEnd w:id="346"/>
      <w:bookmarkStart w:id="347" w:name="_Toc184313297"/>
      <w:bookmarkEnd w:id="347"/>
      <w:bookmarkStart w:id="348" w:name="_Toc184314433"/>
      <w:bookmarkEnd w:id="348"/>
      <w:bookmarkStart w:id="349" w:name="_Toc184308088"/>
      <w:bookmarkEnd w:id="349"/>
      <w:bookmarkStart w:id="350" w:name="_Toc184312078"/>
      <w:bookmarkEnd w:id="350"/>
      <w:bookmarkStart w:id="351" w:name="_Toc184308052"/>
      <w:bookmarkEnd w:id="351"/>
      <w:bookmarkStart w:id="352" w:name="_Toc184310276"/>
      <w:bookmarkEnd w:id="352"/>
      <w:bookmarkStart w:id="353" w:name="_Toc184313306"/>
      <w:bookmarkEnd w:id="353"/>
      <w:bookmarkStart w:id="354" w:name="_Toc184313298"/>
      <w:bookmarkEnd w:id="354"/>
      <w:bookmarkStart w:id="355" w:name="_Toc184308065"/>
      <w:bookmarkEnd w:id="355"/>
      <w:bookmarkStart w:id="356" w:name="_Toc184308108"/>
      <w:bookmarkEnd w:id="356"/>
      <w:bookmarkStart w:id="357" w:name="_Toc184313280"/>
      <w:bookmarkEnd w:id="357"/>
      <w:bookmarkStart w:id="358" w:name="_Toc184310339"/>
      <w:bookmarkEnd w:id="358"/>
      <w:bookmarkStart w:id="359" w:name="_Toc184314472"/>
      <w:bookmarkEnd w:id="359"/>
      <w:bookmarkStart w:id="360" w:name="_Toc184310329"/>
      <w:bookmarkEnd w:id="360"/>
      <w:bookmarkStart w:id="361" w:name="_Toc184312135"/>
      <w:bookmarkEnd w:id="361"/>
      <w:bookmarkStart w:id="362" w:name="_Toc184313253"/>
      <w:bookmarkEnd w:id="362"/>
      <w:bookmarkStart w:id="363" w:name="_Toc184314438"/>
      <w:bookmarkEnd w:id="363"/>
      <w:bookmarkStart w:id="364" w:name="_Toc184312127"/>
      <w:bookmarkEnd w:id="364"/>
      <w:bookmarkStart w:id="365" w:name="_Toc184308058"/>
      <w:bookmarkEnd w:id="365"/>
      <w:bookmarkStart w:id="366" w:name="_Toc184310289"/>
      <w:bookmarkEnd w:id="366"/>
      <w:bookmarkStart w:id="367" w:name="_Toc184314435"/>
      <w:bookmarkEnd w:id="367"/>
      <w:bookmarkStart w:id="368" w:name="_Toc184314473"/>
      <w:bookmarkEnd w:id="368"/>
      <w:bookmarkStart w:id="369" w:name="_Toc184308102"/>
      <w:bookmarkEnd w:id="369"/>
      <w:bookmarkStart w:id="370" w:name="_Toc184313284"/>
      <w:bookmarkEnd w:id="370"/>
      <w:bookmarkStart w:id="371" w:name="_Toc184308050"/>
      <w:bookmarkEnd w:id="371"/>
      <w:bookmarkStart w:id="372" w:name="_Toc184308041"/>
      <w:bookmarkEnd w:id="372"/>
      <w:bookmarkStart w:id="373" w:name="_Toc184313268"/>
      <w:bookmarkEnd w:id="373"/>
      <w:bookmarkStart w:id="374" w:name="_Toc184312121"/>
      <w:bookmarkEnd w:id="374"/>
      <w:bookmarkStart w:id="375" w:name="_Toc184310272"/>
      <w:bookmarkEnd w:id="375"/>
      <w:bookmarkStart w:id="376" w:name="_Toc184310334"/>
      <w:bookmarkEnd w:id="376"/>
      <w:bookmarkStart w:id="377" w:name="_Toc184310338"/>
      <w:bookmarkEnd w:id="377"/>
      <w:bookmarkStart w:id="378" w:name="_Toc184310282"/>
      <w:bookmarkEnd w:id="378"/>
      <w:bookmarkStart w:id="379" w:name="_Toc184314414"/>
      <w:bookmarkEnd w:id="379"/>
      <w:bookmarkStart w:id="380" w:name="_Toc184308060"/>
      <w:bookmarkEnd w:id="380"/>
      <w:bookmarkStart w:id="381" w:name="_Toc184308054"/>
      <w:bookmarkEnd w:id="381"/>
      <w:bookmarkStart w:id="382" w:name="_Toc184308048"/>
      <w:bookmarkEnd w:id="382"/>
      <w:bookmarkStart w:id="383" w:name="_Toc184312081"/>
      <w:bookmarkEnd w:id="383"/>
      <w:bookmarkStart w:id="384" w:name="_Toc184308091"/>
      <w:bookmarkEnd w:id="384"/>
      <w:bookmarkStart w:id="385" w:name="_Toc184310333"/>
      <w:bookmarkEnd w:id="385"/>
      <w:bookmarkStart w:id="386" w:name="_Toc184310275"/>
      <w:bookmarkEnd w:id="386"/>
      <w:bookmarkStart w:id="387" w:name="_Toc184313281"/>
      <w:bookmarkEnd w:id="387"/>
      <w:bookmarkStart w:id="388" w:name="_Toc184310337"/>
      <w:bookmarkEnd w:id="388"/>
      <w:bookmarkStart w:id="389" w:name="_Toc184312104"/>
      <w:bookmarkEnd w:id="389"/>
      <w:bookmarkStart w:id="390" w:name="_Toc184308098"/>
      <w:bookmarkEnd w:id="390"/>
      <w:bookmarkStart w:id="391" w:name="_Toc184312130"/>
      <w:bookmarkEnd w:id="391"/>
      <w:bookmarkStart w:id="392" w:name="_Toc184313267"/>
      <w:bookmarkEnd w:id="392"/>
      <w:bookmarkStart w:id="393" w:name="_Toc184312079"/>
      <w:bookmarkEnd w:id="393"/>
      <w:bookmarkStart w:id="394" w:name="_Toc184313287"/>
      <w:bookmarkEnd w:id="394"/>
      <w:bookmarkStart w:id="395" w:name="_Toc184312131"/>
      <w:bookmarkEnd w:id="395"/>
      <w:bookmarkStart w:id="396" w:name="_Toc184313258"/>
      <w:bookmarkEnd w:id="396"/>
      <w:bookmarkStart w:id="397" w:name="_Toc184310309"/>
      <w:bookmarkEnd w:id="397"/>
      <w:bookmarkStart w:id="398" w:name="_Toc184313259"/>
      <w:bookmarkEnd w:id="398"/>
      <w:bookmarkStart w:id="399" w:name="_Toc184308096"/>
      <w:bookmarkEnd w:id="399"/>
      <w:bookmarkStart w:id="400" w:name="_Toc184312103"/>
      <w:bookmarkEnd w:id="400"/>
      <w:bookmarkStart w:id="401" w:name="_Toc184314416"/>
      <w:bookmarkEnd w:id="401"/>
      <w:bookmarkStart w:id="402" w:name="_Toc184314445"/>
      <w:bookmarkEnd w:id="402"/>
      <w:bookmarkStart w:id="403" w:name="_Toc184310292"/>
      <w:bookmarkEnd w:id="403"/>
      <w:bookmarkStart w:id="404" w:name="_Toc184308073"/>
      <w:bookmarkEnd w:id="404"/>
      <w:bookmarkStart w:id="405" w:name="_Toc184313276"/>
      <w:bookmarkEnd w:id="405"/>
      <w:bookmarkStart w:id="406" w:name="_Toc184308066"/>
      <w:bookmarkEnd w:id="406"/>
      <w:bookmarkStart w:id="407" w:name="_Toc184308062"/>
      <w:bookmarkEnd w:id="407"/>
      <w:bookmarkStart w:id="408" w:name="_Toc184313285"/>
      <w:bookmarkEnd w:id="408"/>
      <w:bookmarkStart w:id="409" w:name="_Toc184314420"/>
      <w:bookmarkEnd w:id="409"/>
      <w:bookmarkStart w:id="410" w:name="_Toc184308094"/>
      <w:bookmarkEnd w:id="410"/>
      <w:bookmarkStart w:id="411" w:name="_Toc184314480"/>
      <w:bookmarkEnd w:id="411"/>
      <w:r>
        <w:rPr>
          <w:rFonts w:hint="eastAsia" w:ascii="宋体" w:hAnsi="宋体" w:eastAsia="宋体" w:cs="宋体"/>
          <w:b/>
          <w:color w:val="auto"/>
          <w:sz w:val="36"/>
          <w:szCs w:val="20"/>
          <w:highlight w:val="none"/>
        </w:rPr>
        <w:t xml:space="preserve"> 评审办法</w:t>
      </w:r>
      <w:bookmarkEnd w:id="46"/>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评审办法前附表</w:t>
      </w:r>
    </w:p>
    <w:tbl>
      <w:tblPr>
        <w:tblStyle w:val="6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302"/>
        <w:gridCol w:w="595"/>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blHeader/>
          <w:jc w:val="center"/>
        </w:trPr>
        <w:tc>
          <w:tcPr>
            <w:tcW w:w="229" w:type="pct"/>
            <w:tcBorders>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序号</w:t>
            </w:r>
          </w:p>
        </w:tc>
        <w:tc>
          <w:tcPr>
            <w:tcW w:w="4169" w:type="pct"/>
            <w:tcBorders>
              <w:lef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评分标准</w:t>
            </w:r>
          </w:p>
        </w:tc>
        <w:tc>
          <w:tcPr>
            <w:tcW w:w="29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分值范围</w:t>
            </w:r>
          </w:p>
        </w:tc>
        <w:tc>
          <w:tcPr>
            <w:tcW w:w="301"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229" w:type="pct"/>
            <w:tcBorders>
              <w:right w:val="single" w:color="000000" w:sz="4" w:space="0"/>
            </w:tcBorders>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169" w:type="pct"/>
            <w:tcBorders>
              <w:left w:val="single" w:color="000000" w:sz="4" w:space="0"/>
            </w:tcBorders>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lang w:val="en-US" w:eastAsia="zh-CN"/>
              </w:rPr>
              <w:t>的采购人需求、</w:t>
            </w:r>
            <w:r>
              <w:rPr>
                <w:rFonts w:hint="eastAsia" w:asciiTheme="minorEastAsia" w:hAnsiTheme="minorEastAsia" w:eastAsiaTheme="minorEastAsia" w:cstheme="minorEastAsia"/>
                <w:color w:val="auto"/>
                <w:sz w:val="24"/>
                <w:szCs w:val="24"/>
                <w:highlight w:val="none"/>
              </w:rPr>
              <w:t>工程施工内容及现场了解情况</w:t>
            </w:r>
            <w:r>
              <w:rPr>
                <w:rFonts w:hint="eastAsia" w:asciiTheme="minorEastAsia" w:hAnsiTheme="minorEastAsia" w:eastAsiaTheme="minorEastAsia" w:cstheme="minorEastAsia"/>
                <w:color w:val="auto"/>
                <w:sz w:val="24"/>
                <w:szCs w:val="24"/>
                <w:highlight w:val="none"/>
                <w:lang w:val="en-US" w:eastAsia="zh-CN"/>
              </w:rPr>
              <w:t>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对采购人需求、</w:t>
            </w:r>
            <w:r>
              <w:rPr>
                <w:rFonts w:hint="eastAsia" w:asciiTheme="minorEastAsia" w:hAnsiTheme="minorEastAsia" w:eastAsiaTheme="minorEastAsia" w:cstheme="minorEastAsia"/>
                <w:color w:val="auto"/>
                <w:sz w:val="24"/>
                <w:szCs w:val="24"/>
                <w:highlight w:val="none"/>
              </w:rPr>
              <w:t>工程施工内容</w:t>
            </w:r>
            <w:r>
              <w:rPr>
                <w:rFonts w:hint="eastAsia" w:asciiTheme="minorEastAsia" w:hAnsiTheme="minorEastAsia" w:eastAsiaTheme="minorEastAsia" w:cstheme="minorEastAsia"/>
                <w:color w:val="auto"/>
                <w:sz w:val="24"/>
                <w:szCs w:val="24"/>
                <w:highlight w:val="none"/>
                <w:lang w:val="en-US" w:eastAsia="zh-CN"/>
              </w:rPr>
              <w:t>理解充分，现场情况了解全面</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对采购人需求、</w:t>
            </w:r>
            <w:r>
              <w:rPr>
                <w:rFonts w:hint="eastAsia" w:asciiTheme="minorEastAsia" w:hAnsiTheme="minorEastAsia" w:eastAsiaTheme="minorEastAsia" w:cstheme="minorEastAsia"/>
                <w:color w:val="auto"/>
                <w:sz w:val="24"/>
                <w:szCs w:val="24"/>
                <w:highlight w:val="none"/>
              </w:rPr>
              <w:t>工程施工内容</w:t>
            </w:r>
            <w:r>
              <w:rPr>
                <w:rFonts w:hint="eastAsia" w:asciiTheme="minorEastAsia" w:hAnsiTheme="minorEastAsia" w:eastAsiaTheme="minorEastAsia" w:cstheme="minorEastAsia"/>
                <w:color w:val="auto"/>
                <w:sz w:val="24"/>
                <w:szCs w:val="24"/>
                <w:highlight w:val="none"/>
                <w:lang w:val="en-US" w:eastAsia="zh-CN"/>
              </w:rPr>
              <w:t>理解较为充分，现场情况了解较为全面</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对采购人需求、</w:t>
            </w:r>
            <w:r>
              <w:rPr>
                <w:rFonts w:hint="eastAsia" w:asciiTheme="minorEastAsia" w:hAnsiTheme="minorEastAsia" w:eastAsiaTheme="minorEastAsia" w:cstheme="minorEastAsia"/>
                <w:color w:val="auto"/>
                <w:sz w:val="24"/>
                <w:szCs w:val="24"/>
                <w:highlight w:val="none"/>
              </w:rPr>
              <w:t>工程施工内容</w:t>
            </w:r>
            <w:r>
              <w:rPr>
                <w:rFonts w:hint="eastAsia" w:asciiTheme="minorEastAsia" w:hAnsiTheme="minorEastAsia" w:eastAsiaTheme="minorEastAsia" w:cstheme="minorEastAsia"/>
                <w:color w:val="auto"/>
                <w:sz w:val="24"/>
                <w:szCs w:val="24"/>
                <w:highlight w:val="none"/>
                <w:lang w:val="en-US" w:eastAsia="zh-CN"/>
              </w:rPr>
              <w:t>理解较一般，现场情况部分了解但未全面</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对采购人需求、</w:t>
            </w:r>
            <w:r>
              <w:rPr>
                <w:rFonts w:hint="eastAsia" w:asciiTheme="minorEastAsia" w:hAnsiTheme="minorEastAsia" w:eastAsiaTheme="minorEastAsia" w:cstheme="minorEastAsia"/>
                <w:color w:val="auto"/>
                <w:sz w:val="24"/>
                <w:szCs w:val="24"/>
                <w:highlight w:val="none"/>
              </w:rPr>
              <w:t>工程施工内容</w:t>
            </w:r>
            <w:r>
              <w:rPr>
                <w:rFonts w:hint="eastAsia" w:asciiTheme="minorEastAsia" w:hAnsiTheme="minorEastAsia" w:eastAsiaTheme="minorEastAsia" w:cstheme="minorEastAsia"/>
                <w:color w:val="auto"/>
                <w:sz w:val="24"/>
                <w:szCs w:val="24"/>
                <w:highlight w:val="none"/>
                <w:lang w:val="en-US" w:eastAsia="zh-CN"/>
              </w:rPr>
              <w:t>理解未充分，现场情况未全面了解</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对采购人需求、</w:t>
            </w:r>
            <w:r>
              <w:rPr>
                <w:rFonts w:hint="eastAsia" w:asciiTheme="minorEastAsia" w:hAnsiTheme="minorEastAsia" w:eastAsiaTheme="minorEastAsia" w:cstheme="minorEastAsia"/>
                <w:color w:val="auto"/>
                <w:sz w:val="24"/>
                <w:szCs w:val="24"/>
                <w:highlight w:val="none"/>
              </w:rPr>
              <w:t>工程施工内容</w:t>
            </w:r>
            <w:r>
              <w:rPr>
                <w:rFonts w:hint="eastAsia" w:asciiTheme="minorEastAsia" w:hAnsiTheme="minorEastAsia" w:eastAsiaTheme="minorEastAsia" w:cstheme="minorEastAsia"/>
                <w:color w:val="auto"/>
                <w:sz w:val="24"/>
                <w:szCs w:val="24"/>
                <w:highlight w:val="none"/>
                <w:lang w:val="en-US" w:eastAsia="zh-CN"/>
              </w:rPr>
              <w:t>未理解，现场情况未了解</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本工程特点、难点、重点的分析合理、针对性</w:t>
            </w:r>
            <w:r>
              <w:rPr>
                <w:rFonts w:hint="eastAsia" w:asciiTheme="minorEastAsia" w:hAnsiTheme="minorEastAsia" w:eastAsiaTheme="minorEastAsia" w:cstheme="minorEastAsia"/>
                <w:color w:val="auto"/>
                <w:sz w:val="24"/>
                <w:szCs w:val="24"/>
                <w:highlight w:val="none"/>
                <w:lang w:val="en-US" w:eastAsia="zh-CN"/>
              </w:rPr>
              <w:t>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w:t>
            </w:r>
            <w:r>
              <w:rPr>
                <w:rFonts w:hint="eastAsia" w:asciiTheme="minorEastAsia" w:hAnsiTheme="minorEastAsia" w:eastAsiaTheme="minorEastAsia" w:cstheme="minorEastAsia"/>
                <w:color w:val="auto"/>
                <w:sz w:val="24"/>
                <w:szCs w:val="24"/>
                <w:highlight w:val="none"/>
              </w:rPr>
              <w:t>本工程特点、难点、重点的分析合理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针对性</w:t>
            </w:r>
            <w:r>
              <w:rPr>
                <w:rFonts w:hint="eastAsia" w:asciiTheme="minorEastAsia" w:hAnsiTheme="minorEastAsia" w:eastAsiaTheme="minorEastAsia" w:cstheme="minorEastAsia"/>
                <w:color w:val="auto"/>
                <w:sz w:val="24"/>
                <w:szCs w:val="24"/>
                <w:highlight w:val="none"/>
                <w:lang w:val="en-US" w:eastAsia="zh-CN"/>
              </w:rPr>
              <w:t>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w:t>
            </w:r>
            <w:r>
              <w:rPr>
                <w:rFonts w:hint="eastAsia" w:asciiTheme="minorEastAsia" w:hAnsiTheme="minorEastAsia" w:eastAsiaTheme="minorEastAsia" w:cstheme="minorEastAsia"/>
                <w:color w:val="auto"/>
                <w:sz w:val="24"/>
                <w:szCs w:val="24"/>
                <w:highlight w:val="none"/>
              </w:rPr>
              <w:t>本工程特点、难点、重点的分析</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针对性</w:t>
            </w:r>
            <w:r>
              <w:rPr>
                <w:rFonts w:hint="eastAsia" w:asciiTheme="minorEastAsia" w:hAnsiTheme="minorEastAsia" w:eastAsiaTheme="minorEastAsia" w:cstheme="minorEastAsia"/>
                <w:color w:val="auto"/>
                <w:sz w:val="24"/>
                <w:szCs w:val="24"/>
                <w:highlight w:val="none"/>
                <w:lang w:val="en-US" w:eastAsia="zh-CN"/>
              </w:rPr>
              <w:t>较强</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w:t>
            </w:r>
            <w:r>
              <w:rPr>
                <w:rFonts w:hint="eastAsia" w:asciiTheme="minorEastAsia" w:hAnsiTheme="minorEastAsia" w:eastAsiaTheme="minorEastAsia" w:cstheme="minorEastAsia"/>
                <w:color w:val="auto"/>
                <w:sz w:val="24"/>
                <w:szCs w:val="24"/>
                <w:highlight w:val="none"/>
              </w:rPr>
              <w:t>本工程特点、难点、重点的分析合理</w:t>
            </w:r>
            <w:r>
              <w:rPr>
                <w:rFonts w:hint="eastAsia" w:asciiTheme="minorEastAsia" w:hAnsiTheme="minorEastAsia" w:eastAsiaTheme="minorEastAsia" w:cstheme="minorEastAsia"/>
                <w:color w:val="auto"/>
                <w:sz w:val="24"/>
                <w:szCs w:val="24"/>
                <w:highlight w:val="none"/>
                <w:lang w:val="en-US" w:eastAsia="zh-CN"/>
              </w:rPr>
              <w:t>性一般</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针对性</w:t>
            </w:r>
            <w:r>
              <w:rPr>
                <w:rFonts w:hint="eastAsia" w:asciiTheme="minorEastAsia" w:hAnsiTheme="minorEastAsia" w:eastAsiaTheme="minorEastAsia" w:cstheme="minorEastAsia"/>
                <w:color w:val="auto"/>
                <w:sz w:val="24"/>
                <w:szCs w:val="24"/>
                <w:highlight w:val="none"/>
                <w:lang w:val="en-US" w:eastAsia="zh-CN"/>
              </w:rPr>
              <w:t>一般</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w:t>
            </w:r>
            <w:r>
              <w:rPr>
                <w:rFonts w:hint="eastAsia" w:asciiTheme="minorEastAsia" w:hAnsiTheme="minorEastAsia" w:eastAsiaTheme="minorEastAsia" w:cstheme="minorEastAsia"/>
                <w:color w:val="auto"/>
                <w:sz w:val="24"/>
                <w:szCs w:val="24"/>
                <w:highlight w:val="none"/>
              </w:rPr>
              <w:t>本工程特点、难点、重点的分析</w:t>
            </w:r>
            <w:r>
              <w:rPr>
                <w:rFonts w:hint="eastAsia" w:asciiTheme="minorEastAsia" w:hAnsiTheme="minorEastAsia" w:eastAsiaTheme="minorEastAsia" w:cstheme="minorEastAsia"/>
                <w:color w:val="auto"/>
                <w:sz w:val="24"/>
                <w:szCs w:val="24"/>
                <w:highlight w:val="none"/>
                <w:lang w:val="en-US" w:eastAsia="zh-CN"/>
              </w:rPr>
              <w:t>存在不</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en-US" w:eastAsia="zh-CN"/>
              </w:rPr>
              <w:t>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缺少</w:t>
            </w:r>
            <w:r>
              <w:rPr>
                <w:rFonts w:hint="eastAsia" w:asciiTheme="minorEastAsia" w:hAnsiTheme="minorEastAsia" w:eastAsiaTheme="minorEastAsia" w:cstheme="minorEastAsia"/>
                <w:color w:val="auto"/>
                <w:sz w:val="24"/>
                <w:szCs w:val="24"/>
                <w:highlight w:val="none"/>
              </w:rPr>
              <w:t>针对性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w:t>
            </w:r>
            <w:r>
              <w:rPr>
                <w:rFonts w:hint="eastAsia" w:asciiTheme="minorEastAsia" w:hAnsiTheme="minorEastAsia" w:eastAsiaTheme="minorEastAsia" w:cstheme="minorEastAsia"/>
                <w:color w:val="auto"/>
                <w:sz w:val="24"/>
                <w:szCs w:val="24"/>
                <w:highlight w:val="none"/>
              </w:rPr>
              <w:t>本工程特点、难点、重点的分析</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en-US" w:eastAsia="zh-CN"/>
              </w:rPr>
              <w:t>，没有</w:t>
            </w:r>
            <w:r>
              <w:rPr>
                <w:rFonts w:hint="eastAsia" w:asciiTheme="minorEastAsia" w:hAnsiTheme="minorEastAsia" w:eastAsiaTheme="minorEastAsia" w:cstheme="minorEastAsia"/>
                <w:color w:val="auto"/>
                <w:sz w:val="24"/>
                <w:szCs w:val="24"/>
                <w:highlight w:val="none"/>
              </w:rPr>
              <w:t>针对性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供应商针对</w:t>
            </w:r>
            <w:r>
              <w:rPr>
                <w:rFonts w:hint="eastAsia" w:asciiTheme="minorEastAsia" w:hAnsiTheme="minorEastAsia" w:eastAsiaTheme="minorEastAsia" w:cstheme="minorEastAsia"/>
                <w:color w:val="auto"/>
                <w:sz w:val="24"/>
                <w:szCs w:val="24"/>
                <w:highlight w:val="none"/>
              </w:rPr>
              <w:t>重难点分析提出的施工方案与解决措施，</w:t>
            </w:r>
            <w:r>
              <w:rPr>
                <w:rFonts w:hint="eastAsia" w:asciiTheme="minorEastAsia" w:hAnsiTheme="minorEastAsia" w:eastAsiaTheme="minorEastAsia" w:cstheme="minorEastAsia"/>
                <w:color w:val="auto"/>
                <w:sz w:val="24"/>
                <w:szCs w:val="24"/>
                <w:highlight w:val="none"/>
                <w:lang w:val="en-US" w:eastAsia="zh-CN"/>
              </w:rPr>
              <w:t>对措施的合理性进行综合评议：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w:t>
            </w:r>
            <w:r>
              <w:rPr>
                <w:rFonts w:hint="eastAsia" w:asciiTheme="minorEastAsia" w:hAnsiTheme="minorEastAsia" w:eastAsiaTheme="minorEastAsia" w:cstheme="minorEastAsia"/>
                <w:color w:val="auto"/>
                <w:sz w:val="24"/>
                <w:szCs w:val="24"/>
                <w:highlight w:val="none"/>
              </w:rPr>
              <w:t>重难点分析提出的施工方案与解决措施</w:t>
            </w:r>
            <w:r>
              <w:rPr>
                <w:rFonts w:hint="eastAsia" w:asciiTheme="minorEastAsia" w:hAnsiTheme="minorEastAsia" w:eastAsiaTheme="minorEastAsia" w:cstheme="minorEastAsia"/>
                <w:color w:val="auto"/>
                <w:sz w:val="24"/>
                <w:szCs w:val="24"/>
                <w:highlight w:val="none"/>
                <w:lang w:val="en-US" w:eastAsia="zh-CN"/>
              </w:rPr>
              <w:t>具有合理性</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w:t>
            </w:r>
            <w:r>
              <w:rPr>
                <w:rFonts w:hint="eastAsia" w:asciiTheme="minorEastAsia" w:hAnsiTheme="minorEastAsia" w:eastAsiaTheme="minorEastAsia" w:cstheme="minorEastAsia"/>
                <w:color w:val="auto"/>
                <w:sz w:val="24"/>
                <w:szCs w:val="24"/>
                <w:highlight w:val="none"/>
              </w:rPr>
              <w:t>重难点分析提出的施工方案与解决措施</w:t>
            </w:r>
            <w:r>
              <w:rPr>
                <w:rFonts w:hint="eastAsia" w:asciiTheme="minorEastAsia" w:hAnsiTheme="minorEastAsia" w:eastAsiaTheme="minorEastAsia" w:cstheme="minorEastAsia"/>
                <w:color w:val="auto"/>
                <w:sz w:val="24"/>
                <w:szCs w:val="24"/>
                <w:highlight w:val="none"/>
                <w:lang w:val="en-US" w:eastAsia="zh-CN"/>
              </w:rPr>
              <w:t>合理性一般</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施工组织设计内容全面性、合理性，针对性及可操作性</w:t>
            </w:r>
            <w:r>
              <w:rPr>
                <w:rFonts w:hint="eastAsia" w:asciiTheme="minorEastAsia" w:hAnsiTheme="minorEastAsia" w:eastAsiaTheme="minorEastAsia" w:cstheme="minorEastAsia"/>
                <w:color w:val="auto"/>
                <w:sz w:val="24"/>
                <w:szCs w:val="24"/>
                <w:highlight w:val="none"/>
                <w:lang w:val="en-US" w:eastAsia="zh-CN"/>
              </w:rPr>
              <w:t>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w:t>
            </w:r>
            <w:r>
              <w:rPr>
                <w:rFonts w:hint="eastAsia" w:asciiTheme="minorEastAsia" w:hAnsiTheme="minorEastAsia" w:eastAsiaTheme="minorEastAsia" w:cstheme="minorEastAsia"/>
                <w:color w:val="auto"/>
                <w:sz w:val="24"/>
                <w:szCs w:val="24"/>
                <w:highlight w:val="none"/>
              </w:rPr>
              <w:t>本工程施工组织设计内容全面、</w:t>
            </w:r>
            <w:r>
              <w:rPr>
                <w:rFonts w:hint="eastAsia" w:asciiTheme="minorEastAsia" w:hAnsiTheme="minorEastAsia" w:eastAsiaTheme="minorEastAsia" w:cstheme="minorEastAsia"/>
                <w:color w:val="auto"/>
                <w:sz w:val="24"/>
                <w:szCs w:val="24"/>
                <w:highlight w:val="none"/>
                <w:lang w:val="en-US" w:eastAsia="zh-CN"/>
              </w:rPr>
              <w:t>具有</w:t>
            </w:r>
            <w:r>
              <w:rPr>
                <w:rFonts w:hint="eastAsia" w:asciiTheme="minorEastAsia" w:hAnsiTheme="minorEastAsia" w:eastAsiaTheme="minorEastAsia" w:cstheme="minorEastAsia"/>
                <w:color w:val="auto"/>
                <w:sz w:val="24"/>
                <w:szCs w:val="24"/>
                <w:highlight w:val="none"/>
              </w:rPr>
              <w:t>合理性，针对性</w:t>
            </w:r>
            <w:r>
              <w:rPr>
                <w:rFonts w:hint="eastAsia" w:asciiTheme="minorEastAsia" w:hAnsiTheme="minorEastAsia" w:eastAsiaTheme="minorEastAsia" w:cstheme="minorEastAsia"/>
                <w:color w:val="auto"/>
                <w:sz w:val="24"/>
                <w:szCs w:val="24"/>
                <w:highlight w:val="none"/>
                <w:lang w:val="en-US" w:eastAsia="zh-CN"/>
              </w:rPr>
              <w:t>强、</w:t>
            </w:r>
            <w:r>
              <w:rPr>
                <w:rFonts w:hint="eastAsia" w:asciiTheme="minorEastAsia" w:hAnsiTheme="minorEastAsia" w:eastAsiaTheme="minorEastAsia" w:cstheme="minorEastAsia"/>
                <w:color w:val="auto"/>
                <w:sz w:val="24"/>
                <w:szCs w:val="24"/>
                <w:highlight w:val="none"/>
              </w:rPr>
              <w:t>可操作性</w:t>
            </w:r>
            <w:r>
              <w:rPr>
                <w:rFonts w:hint="eastAsia" w:asciiTheme="minorEastAsia" w:hAnsiTheme="minorEastAsia" w:eastAsiaTheme="minorEastAsia" w:cstheme="minorEastAsia"/>
                <w:color w:val="auto"/>
                <w:sz w:val="24"/>
                <w:szCs w:val="24"/>
                <w:highlight w:val="none"/>
                <w:lang w:val="en-US" w:eastAsia="zh-CN"/>
              </w:rPr>
              <w:t>高的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w:t>
            </w:r>
            <w:r>
              <w:rPr>
                <w:rFonts w:hint="eastAsia" w:asciiTheme="minorEastAsia" w:hAnsiTheme="minorEastAsia" w:eastAsiaTheme="minorEastAsia" w:cstheme="minorEastAsia"/>
                <w:color w:val="auto"/>
                <w:sz w:val="24"/>
                <w:szCs w:val="24"/>
                <w:highlight w:val="none"/>
              </w:rPr>
              <w:t>本工程施工组织设计内容</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rPr>
              <w:t>全面、合理性</w:t>
            </w:r>
            <w:r>
              <w:rPr>
                <w:rFonts w:hint="eastAsia" w:asciiTheme="minorEastAsia" w:hAnsiTheme="minorEastAsia" w:eastAsiaTheme="minorEastAsia" w:cstheme="minorEastAsia"/>
                <w:color w:val="auto"/>
                <w:sz w:val="24"/>
                <w:szCs w:val="24"/>
                <w:highlight w:val="none"/>
                <w:lang w:val="en-US" w:eastAsia="zh-CN"/>
              </w:rPr>
              <w:t>较好</w:t>
            </w:r>
            <w:r>
              <w:rPr>
                <w:rFonts w:hint="eastAsia" w:asciiTheme="minorEastAsia" w:hAnsiTheme="minorEastAsia" w:eastAsiaTheme="minorEastAsia" w:cstheme="minorEastAsia"/>
                <w:color w:val="auto"/>
                <w:sz w:val="24"/>
                <w:szCs w:val="24"/>
                <w:highlight w:val="none"/>
              </w:rPr>
              <w:t>，针对性</w:t>
            </w:r>
            <w:r>
              <w:rPr>
                <w:rFonts w:hint="eastAsia" w:asciiTheme="minorEastAsia" w:hAnsiTheme="minorEastAsia" w:eastAsiaTheme="minorEastAsia" w:cstheme="minorEastAsia"/>
                <w:color w:val="auto"/>
                <w:sz w:val="24"/>
                <w:szCs w:val="24"/>
                <w:highlight w:val="none"/>
                <w:lang w:val="en-US" w:eastAsia="zh-CN"/>
              </w:rPr>
              <w:t>较强、</w:t>
            </w:r>
            <w:r>
              <w:rPr>
                <w:rFonts w:hint="eastAsia" w:asciiTheme="minorEastAsia" w:hAnsiTheme="minorEastAsia" w:eastAsiaTheme="minorEastAsia" w:cstheme="minorEastAsia"/>
                <w:color w:val="auto"/>
                <w:sz w:val="24"/>
                <w:szCs w:val="24"/>
                <w:highlight w:val="none"/>
              </w:rPr>
              <w:t>可操作性</w:t>
            </w:r>
            <w:r>
              <w:rPr>
                <w:rFonts w:hint="eastAsia" w:asciiTheme="minorEastAsia" w:hAnsiTheme="minorEastAsia" w:eastAsiaTheme="minorEastAsia" w:cstheme="minorEastAsia"/>
                <w:color w:val="auto"/>
                <w:sz w:val="24"/>
                <w:szCs w:val="24"/>
                <w:highlight w:val="none"/>
                <w:lang w:val="en-US" w:eastAsia="zh-CN"/>
              </w:rPr>
              <w:t>较高的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w:t>
            </w:r>
            <w:r>
              <w:rPr>
                <w:rFonts w:hint="eastAsia" w:asciiTheme="minorEastAsia" w:hAnsiTheme="minorEastAsia" w:eastAsiaTheme="minorEastAsia" w:cstheme="minorEastAsia"/>
                <w:color w:val="auto"/>
                <w:sz w:val="24"/>
                <w:szCs w:val="24"/>
                <w:highlight w:val="none"/>
              </w:rPr>
              <w:t>本工程施工组织设计内容全面</w:t>
            </w:r>
            <w:r>
              <w:rPr>
                <w:rFonts w:hint="eastAsia" w:asciiTheme="minorEastAsia" w:hAnsiTheme="minorEastAsia" w:eastAsiaTheme="minorEastAsia" w:cstheme="minorEastAsia"/>
                <w:color w:val="auto"/>
                <w:sz w:val="24"/>
                <w:szCs w:val="24"/>
                <w:highlight w:val="none"/>
                <w:lang w:val="en-US" w:eastAsia="zh-CN"/>
              </w:rPr>
              <w:t>性一般</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具有一定</w:t>
            </w:r>
            <w:r>
              <w:rPr>
                <w:rFonts w:hint="eastAsia" w:asciiTheme="minorEastAsia" w:hAnsiTheme="minorEastAsia" w:eastAsiaTheme="minorEastAsia" w:cstheme="minorEastAsia"/>
                <w:color w:val="auto"/>
                <w:sz w:val="24"/>
                <w:szCs w:val="24"/>
                <w:highlight w:val="none"/>
              </w:rPr>
              <w:t>合理性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针对性</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可操作性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w:t>
            </w:r>
            <w:r>
              <w:rPr>
                <w:rFonts w:hint="eastAsia" w:asciiTheme="minorEastAsia" w:hAnsiTheme="minorEastAsia" w:eastAsiaTheme="minorEastAsia" w:cstheme="minorEastAsia"/>
                <w:color w:val="auto"/>
                <w:sz w:val="24"/>
                <w:szCs w:val="24"/>
                <w:highlight w:val="none"/>
              </w:rPr>
              <w:t>本工程施工组织设计内容</w:t>
            </w:r>
            <w:r>
              <w:rPr>
                <w:rFonts w:hint="eastAsia" w:asciiTheme="minorEastAsia" w:hAnsiTheme="minorEastAsia" w:eastAsiaTheme="minorEastAsia" w:cstheme="minorEastAsia"/>
                <w:color w:val="auto"/>
                <w:sz w:val="24"/>
                <w:szCs w:val="24"/>
                <w:highlight w:val="none"/>
                <w:lang w:val="en-US" w:eastAsia="zh-CN"/>
              </w:rPr>
              <w:t>缺少</w:t>
            </w:r>
            <w:r>
              <w:rPr>
                <w:rFonts w:hint="eastAsia" w:asciiTheme="minorEastAsia" w:hAnsiTheme="minorEastAsia" w:eastAsiaTheme="minorEastAsia" w:cstheme="minorEastAsia"/>
                <w:color w:val="auto"/>
                <w:sz w:val="24"/>
                <w:szCs w:val="24"/>
                <w:highlight w:val="none"/>
              </w:rPr>
              <w:t>全面</w:t>
            </w:r>
            <w:r>
              <w:rPr>
                <w:rFonts w:hint="eastAsia" w:asciiTheme="minorEastAsia" w:hAnsiTheme="minorEastAsia" w:eastAsiaTheme="minorEastAsia" w:cstheme="minorEastAsia"/>
                <w:color w:val="auto"/>
                <w:sz w:val="24"/>
                <w:szCs w:val="24"/>
                <w:highlight w:val="none"/>
                <w:lang w:val="en-US" w:eastAsia="zh-CN"/>
              </w:rPr>
              <w:t>性</w:t>
            </w:r>
            <w:r>
              <w:rPr>
                <w:rFonts w:hint="eastAsia" w:asciiTheme="minorEastAsia" w:hAnsiTheme="minorEastAsia" w:eastAsiaTheme="minorEastAsia" w:cstheme="minorEastAsia"/>
                <w:color w:val="auto"/>
                <w:sz w:val="24"/>
                <w:szCs w:val="24"/>
                <w:highlight w:val="none"/>
              </w:rPr>
              <w:t>、合理性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针对性</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可操作性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对</w:t>
            </w:r>
            <w:r>
              <w:rPr>
                <w:rFonts w:hint="eastAsia" w:asciiTheme="minorEastAsia" w:hAnsiTheme="minorEastAsia" w:eastAsiaTheme="minorEastAsia" w:cstheme="minorEastAsia"/>
                <w:color w:val="auto"/>
                <w:sz w:val="24"/>
                <w:szCs w:val="24"/>
                <w:highlight w:val="none"/>
              </w:rPr>
              <w:t>本工程施工组织设计内容</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rPr>
              <w:t>全面</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不具有</w:t>
            </w:r>
            <w:r>
              <w:rPr>
                <w:rFonts w:hint="eastAsia" w:asciiTheme="minorEastAsia" w:hAnsiTheme="minorEastAsia" w:eastAsiaTheme="minorEastAsia" w:cstheme="minorEastAsia"/>
                <w:color w:val="auto"/>
                <w:sz w:val="24"/>
                <w:szCs w:val="24"/>
                <w:highlight w:val="none"/>
              </w:rPr>
              <w:t>合理性</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针对性</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可操作性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主要施工方法</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施工方案科学、合理、可靠、可实施性</w:t>
            </w:r>
            <w:r>
              <w:rPr>
                <w:rFonts w:hint="eastAsia" w:asciiTheme="minorEastAsia" w:hAnsiTheme="minorEastAsia" w:eastAsiaTheme="minorEastAsia" w:cstheme="minorEastAsia"/>
                <w:color w:val="auto"/>
                <w:sz w:val="24"/>
                <w:szCs w:val="24"/>
                <w:highlight w:val="none"/>
                <w:lang w:val="en-US" w:eastAsia="zh-CN"/>
              </w:rPr>
              <w:t>进行综合评议：</w:t>
            </w:r>
            <w:r>
              <w:rPr>
                <w:rFonts w:hint="eastAsia" w:asciiTheme="minorEastAsia" w:hAnsiTheme="minorEastAsia" w:eastAsiaTheme="minorEastAsia" w:cstheme="minorEastAsia"/>
                <w:color w:val="auto"/>
                <w:sz w:val="24"/>
                <w:szCs w:val="24"/>
                <w:highlight w:val="none"/>
              </w:rPr>
              <w:t>主要施工方法</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施工方案科学、合理、可靠、可实施性</w:t>
            </w:r>
            <w:r>
              <w:rPr>
                <w:rFonts w:hint="eastAsia" w:asciiTheme="minorEastAsia" w:hAnsiTheme="minorEastAsia" w:eastAsiaTheme="minorEastAsia" w:cstheme="minorEastAsia"/>
                <w:color w:val="auto"/>
                <w:sz w:val="24"/>
                <w:szCs w:val="24"/>
                <w:highlight w:val="none"/>
                <w:lang w:val="en-US" w:eastAsia="zh-CN"/>
              </w:rPr>
              <w:t>高的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主要施工方法</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施工方案</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rPr>
              <w:t>科学、</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rPr>
              <w:t>可靠、</w:t>
            </w:r>
            <w:r>
              <w:rPr>
                <w:rFonts w:hint="eastAsia" w:asciiTheme="minorEastAsia" w:hAnsiTheme="minorEastAsia" w:eastAsiaTheme="minorEastAsia" w:cstheme="minorEastAsia"/>
                <w:color w:val="auto"/>
                <w:sz w:val="24"/>
                <w:szCs w:val="24"/>
                <w:highlight w:val="none"/>
                <w:lang w:val="en-US" w:eastAsia="zh-CN"/>
              </w:rPr>
              <w:t>具备一定的</w:t>
            </w:r>
            <w:r>
              <w:rPr>
                <w:rFonts w:hint="eastAsia" w:asciiTheme="minorEastAsia" w:hAnsiTheme="minorEastAsia" w:eastAsiaTheme="minorEastAsia" w:cstheme="minorEastAsia"/>
                <w:color w:val="auto"/>
                <w:sz w:val="24"/>
                <w:szCs w:val="24"/>
                <w:highlight w:val="none"/>
              </w:rPr>
              <w:t>可实施性</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主要施工方法</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施工方案科学、合理、可靠、可实施性</w:t>
            </w:r>
            <w:r>
              <w:rPr>
                <w:rFonts w:hint="eastAsia" w:asciiTheme="minorEastAsia" w:hAnsiTheme="minorEastAsia" w:eastAsiaTheme="minorEastAsia" w:cstheme="minorEastAsia"/>
                <w:color w:val="auto"/>
                <w:sz w:val="24"/>
                <w:szCs w:val="24"/>
                <w:highlight w:val="none"/>
                <w:lang w:val="en-US" w:eastAsia="zh-CN"/>
              </w:rPr>
              <w:t>存在瑕疵的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3</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拟派现场工程技术管理人员的专业配置合理性</w:t>
            </w:r>
            <w:r>
              <w:rPr>
                <w:rFonts w:hint="eastAsia" w:asciiTheme="minorEastAsia" w:hAnsiTheme="minorEastAsia" w:eastAsiaTheme="minorEastAsia" w:cstheme="minorEastAsia"/>
                <w:color w:val="auto"/>
                <w:sz w:val="24"/>
                <w:szCs w:val="24"/>
                <w:highlight w:val="none"/>
                <w:lang w:val="en-US" w:eastAsia="zh-CN"/>
              </w:rPr>
              <w:t>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拟派现场工程技术管理人员</w:t>
            </w:r>
            <w:r>
              <w:rPr>
                <w:rFonts w:hint="eastAsia" w:asciiTheme="minorEastAsia" w:hAnsiTheme="minorEastAsia" w:eastAsiaTheme="minorEastAsia" w:cstheme="minorEastAsia"/>
                <w:color w:val="auto"/>
                <w:sz w:val="24"/>
                <w:szCs w:val="24"/>
                <w:highlight w:val="none"/>
                <w:lang w:val="en-US" w:eastAsia="zh-CN"/>
              </w:rPr>
              <w:t>配置充足、</w:t>
            </w:r>
            <w:r>
              <w:rPr>
                <w:rFonts w:hint="eastAsia" w:asciiTheme="minorEastAsia" w:hAnsiTheme="minorEastAsia" w:eastAsiaTheme="minorEastAsia" w:cstheme="minorEastAsia"/>
                <w:color w:val="auto"/>
                <w:sz w:val="24"/>
                <w:szCs w:val="24"/>
                <w:highlight w:val="none"/>
              </w:rPr>
              <w:t>专业配置合理</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拟派现场工程技术管理人员</w:t>
            </w:r>
            <w:r>
              <w:rPr>
                <w:rFonts w:hint="eastAsia" w:asciiTheme="minorEastAsia" w:hAnsiTheme="minorEastAsia" w:eastAsiaTheme="minorEastAsia" w:cstheme="minorEastAsia"/>
                <w:color w:val="auto"/>
                <w:sz w:val="24"/>
                <w:szCs w:val="24"/>
                <w:highlight w:val="none"/>
                <w:lang w:val="en-US" w:eastAsia="zh-CN"/>
              </w:rPr>
              <w:t>配置较充足、</w:t>
            </w:r>
            <w:r>
              <w:rPr>
                <w:rFonts w:hint="eastAsia" w:asciiTheme="minorEastAsia" w:hAnsiTheme="minorEastAsia" w:eastAsiaTheme="minorEastAsia" w:cstheme="minorEastAsia"/>
                <w:color w:val="auto"/>
                <w:sz w:val="24"/>
                <w:szCs w:val="24"/>
                <w:highlight w:val="none"/>
              </w:rPr>
              <w:t>专业配置</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拟派现场工程技术管理人员</w:t>
            </w:r>
            <w:r>
              <w:rPr>
                <w:rFonts w:hint="eastAsia" w:asciiTheme="minorEastAsia" w:hAnsiTheme="minorEastAsia" w:eastAsiaTheme="minorEastAsia" w:cstheme="minorEastAsia"/>
                <w:color w:val="auto"/>
                <w:sz w:val="24"/>
                <w:szCs w:val="24"/>
                <w:highlight w:val="none"/>
                <w:lang w:val="en-US" w:eastAsia="zh-CN"/>
              </w:rPr>
              <w:t>配置可基本满足施工需要、</w:t>
            </w:r>
            <w:r>
              <w:rPr>
                <w:rFonts w:hint="eastAsia" w:asciiTheme="minorEastAsia" w:hAnsiTheme="minorEastAsia" w:eastAsiaTheme="minorEastAsia" w:cstheme="minorEastAsia"/>
                <w:color w:val="auto"/>
                <w:sz w:val="24"/>
                <w:szCs w:val="24"/>
                <w:highlight w:val="none"/>
              </w:rPr>
              <w:t>专业配置</w:t>
            </w:r>
            <w:r>
              <w:rPr>
                <w:rFonts w:hint="eastAsia" w:asciiTheme="minorEastAsia" w:hAnsiTheme="minorEastAsia" w:eastAsiaTheme="minorEastAsia" w:cstheme="minorEastAsia"/>
                <w:color w:val="auto"/>
                <w:sz w:val="24"/>
                <w:szCs w:val="24"/>
                <w:highlight w:val="none"/>
                <w:lang w:val="en-US" w:eastAsia="zh-CN"/>
              </w:rPr>
              <w:t>基本</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拟派现场工程技术管理人员</w:t>
            </w:r>
            <w:r>
              <w:rPr>
                <w:rFonts w:hint="eastAsia" w:asciiTheme="minorEastAsia" w:hAnsiTheme="minorEastAsia" w:eastAsiaTheme="minorEastAsia" w:cstheme="minorEastAsia"/>
                <w:color w:val="auto"/>
                <w:sz w:val="24"/>
                <w:szCs w:val="24"/>
                <w:highlight w:val="none"/>
                <w:lang w:val="en-US" w:eastAsia="zh-CN"/>
              </w:rPr>
              <w:t>配置和</w:t>
            </w:r>
            <w:r>
              <w:rPr>
                <w:rFonts w:hint="eastAsia" w:asciiTheme="minorEastAsia" w:hAnsiTheme="minorEastAsia" w:eastAsiaTheme="minorEastAsia" w:cstheme="minorEastAsia"/>
                <w:color w:val="auto"/>
                <w:sz w:val="24"/>
                <w:szCs w:val="24"/>
                <w:highlight w:val="none"/>
              </w:rPr>
              <w:t>专业配置</w:t>
            </w:r>
            <w:r>
              <w:rPr>
                <w:rFonts w:hint="eastAsia" w:asciiTheme="minorEastAsia" w:hAnsiTheme="minorEastAsia" w:eastAsiaTheme="minorEastAsia" w:cstheme="minorEastAsia"/>
                <w:color w:val="auto"/>
                <w:sz w:val="24"/>
                <w:szCs w:val="24"/>
                <w:highlight w:val="none"/>
                <w:lang w:val="en-US" w:eastAsia="zh-CN"/>
              </w:rPr>
              <w:t>存在缺陷或瑕疵的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拟派现场工程技术管理人员</w:t>
            </w:r>
            <w:r>
              <w:rPr>
                <w:rFonts w:hint="eastAsia" w:asciiTheme="minorEastAsia" w:hAnsiTheme="minorEastAsia" w:eastAsiaTheme="minorEastAsia" w:cstheme="minorEastAsia"/>
                <w:color w:val="auto"/>
                <w:sz w:val="24"/>
                <w:szCs w:val="24"/>
                <w:highlight w:val="none"/>
                <w:lang w:val="en-US" w:eastAsia="zh-CN"/>
              </w:rPr>
              <w:t>配置可能无法满足施工需要、</w:t>
            </w:r>
            <w:r>
              <w:rPr>
                <w:rFonts w:hint="eastAsia" w:asciiTheme="minorEastAsia" w:hAnsiTheme="minorEastAsia" w:eastAsiaTheme="minorEastAsia" w:cstheme="minorEastAsia"/>
                <w:color w:val="auto"/>
                <w:sz w:val="24"/>
                <w:szCs w:val="24"/>
                <w:highlight w:val="none"/>
              </w:rPr>
              <w:t>专业配置</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各专业工种的配置和劳动力的投入满足工程需要程度</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配置情况科学、合理性</w:t>
            </w:r>
            <w:r>
              <w:rPr>
                <w:rFonts w:hint="eastAsia" w:asciiTheme="minorEastAsia" w:hAnsiTheme="minorEastAsia" w:eastAsiaTheme="minorEastAsia" w:cstheme="minorEastAsia"/>
                <w:color w:val="auto"/>
                <w:sz w:val="24"/>
                <w:szCs w:val="24"/>
                <w:highlight w:val="none"/>
                <w:lang w:val="en-US" w:eastAsia="zh-CN"/>
              </w:rPr>
              <w:t>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各专业工种的配置</w:t>
            </w:r>
            <w:r>
              <w:rPr>
                <w:rFonts w:hint="eastAsia" w:asciiTheme="minorEastAsia" w:hAnsiTheme="minorEastAsia" w:eastAsiaTheme="minorEastAsia" w:cstheme="minorEastAsia"/>
                <w:color w:val="auto"/>
                <w:sz w:val="24"/>
                <w:szCs w:val="24"/>
                <w:highlight w:val="none"/>
                <w:lang w:val="en-US" w:eastAsia="zh-CN"/>
              </w:rPr>
              <w:t>充足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劳动力的投入满足工程需要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科学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en-US" w:eastAsia="zh-CN"/>
              </w:rPr>
              <w:t>的，得5分；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各专业工种的配置</w:t>
            </w:r>
            <w:r>
              <w:rPr>
                <w:rFonts w:hint="eastAsia" w:asciiTheme="minorEastAsia" w:hAnsiTheme="minorEastAsia" w:eastAsiaTheme="minorEastAsia" w:cstheme="minorEastAsia"/>
                <w:color w:val="auto"/>
                <w:sz w:val="24"/>
                <w:szCs w:val="24"/>
                <w:highlight w:val="none"/>
                <w:lang w:val="en-US" w:eastAsia="zh-CN"/>
              </w:rPr>
              <w:t>较充足、</w:t>
            </w:r>
            <w:r>
              <w:rPr>
                <w:rFonts w:hint="eastAsia" w:asciiTheme="minorEastAsia" w:hAnsiTheme="minorEastAsia" w:eastAsiaTheme="minorEastAsia" w:cstheme="minorEastAsia"/>
                <w:color w:val="auto"/>
                <w:sz w:val="24"/>
                <w:szCs w:val="24"/>
                <w:highlight w:val="none"/>
              </w:rPr>
              <w:t>劳动力的投入满足工程需要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方案较</w:t>
            </w:r>
            <w:r>
              <w:rPr>
                <w:rFonts w:hint="eastAsia" w:asciiTheme="minorEastAsia" w:hAnsiTheme="minorEastAsia" w:eastAsiaTheme="minorEastAsia" w:cstheme="minorEastAsia"/>
                <w:color w:val="auto"/>
                <w:sz w:val="24"/>
                <w:szCs w:val="24"/>
                <w:highlight w:val="none"/>
              </w:rPr>
              <w:t>科学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各专业工种的配置</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劳动力的投入</w:t>
            </w:r>
            <w:r>
              <w:rPr>
                <w:rFonts w:hint="eastAsia" w:asciiTheme="minorEastAsia" w:hAnsiTheme="minorEastAsia" w:eastAsiaTheme="minorEastAsia" w:cstheme="minorEastAsia"/>
                <w:color w:val="auto"/>
                <w:sz w:val="24"/>
                <w:szCs w:val="24"/>
                <w:highlight w:val="none"/>
                <w:lang w:val="en-US" w:eastAsia="zh-CN"/>
              </w:rPr>
              <w:t>可基本满足施工需要，方案</w:t>
            </w:r>
            <w:r>
              <w:rPr>
                <w:rFonts w:hint="eastAsia" w:asciiTheme="minorEastAsia" w:hAnsiTheme="minorEastAsia" w:eastAsiaTheme="minorEastAsia" w:cstheme="minorEastAsia"/>
                <w:color w:val="auto"/>
                <w:sz w:val="24"/>
                <w:szCs w:val="24"/>
                <w:highlight w:val="none"/>
              </w:rPr>
              <w:t>科学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en-US" w:eastAsia="zh-CN"/>
              </w:rPr>
              <w:t>性一般的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各专业工种的配置</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劳动力的投入</w:t>
            </w:r>
            <w:r>
              <w:rPr>
                <w:rFonts w:hint="eastAsia" w:asciiTheme="minorEastAsia" w:hAnsiTheme="minorEastAsia" w:eastAsiaTheme="minorEastAsia" w:cstheme="minorEastAsia"/>
                <w:color w:val="auto"/>
                <w:sz w:val="24"/>
                <w:szCs w:val="24"/>
                <w:highlight w:val="none"/>
                <w:lang w:val="en-US" w:eastAsia="zh-CN"/>
              </w:rPr>
              <w:t>存在缺陷或瑕疵的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各专业工种的配置</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劳动力的投入</w:t>
            </w:r>
            <w:r>
              <w:rPr>
                <w:rFonts w:hint="eastAsia" w:asciiTheme="minorEastAsia" w:hAnsiTheme="minorEastAsia" w:eastAsiaTheme="minorEastAsia" w:cstheme="minorEastAsia"/>
                <w:color w:val="auto"/>
                <w:sz w:val="24"/>
                <w:szCs w:val="24"/>
                <w:highlight w:val="none"/>
                <w:lang w:val="en-US" w:eastAsia="zh-CN"/>
              </w:rPr>
              <w:t>可能无法满足施工需要的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5</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材料设备进场计划及施工计划情况</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是否</w:t>
            </w:r>
            <w:r>
              <w:rPr>
                <w:rFonts w:hint="eastAsia" w:asciiTheme="minorEastAsia" w:hAnsiTheme="minorEastAsia" w:eastAsiaTheme="minorEastAsia" w:cstheme="minorEastAsia"/>
                <w:color w:val="auto"/>
                <w:sz w:val="24"/>
                <w:szCs w:val="24"/>
                <w:highlight w:val="none"/>
              </w:rPr>
              <w:t>具有详细的材料设备进场计划，施工计划周密，完全满足施工需要</w:t>
            </w:r>
            <w:r>
              <w:rPr>
                <w:rFonts w:hint="eastAsia" w:asciiTheme="minorEastAsia" w:hAnsiTheme="minorEastAsia" w:eastAsiaTheme="minorEastAsia" w:cstheme="minorEastAsia"/>
                <w:color w:val="auto"/>
                <w:sz w:val="24"/>
                <w:szCs w:val="24"/>
                <w:highlight w:val="none"/>
                <w:lang w:val="en-US" w:eastAsia="zh-CN"/>
              </w:rPr>
              <w:t>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各专业工种的配置</w:t>
            </w:r>
            <w:r>
              <w:rPr>
                <w:rFonts w:hint="eastAsia" w:asciiTheme="minorEastAsia" w:hAnsiTheme="minorEastAsia" w:eastAsiaTheme="minorEastAsia" w:cstheme="minorEastAsia"/>
                <w:color w:val="auto"/>
                <w:sz w:val="24"/>
                <w:szCs w:val="24"/>
                <w:highlight w:val="none"/>
                <w:lang w:val="en-US" w:eastAsia="zh-CN"/>
              </w:rPr>
              <w:t>充足</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劳动力的投入满足工程需要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科学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en-US" w:eastAsia="zh-CN"/>
              </w:rPr>
              <w:t>的，得5分；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各专业工种的配置</w:t>
            </w:r>
            <w:r>
              <w:rPr>
                <w:rFonts w:hint="eastAsia" w:asciiTheme="minorEastAsia" w:hAnsiTheme="minorEastAsia" w:eastAsiaTheme="minorEastAsia" w:cstheme="minorEastAsia"/>
                <w:color w:val="auto"/>
                <w:sz w:val="24"/>
                <w:szCs w:val="24"/>
                <w:highlight w:val="none"/>
                <w:lang w:val="en-US" w:eastAsia="zh-CN"/>
              </w:rPr>
              <w:t>较充足、</w:t>
            </w:r>
            <w:r>
              <w:rPr>
                <w:rFonts w:hint="eastAsia" w:asciiTheme="minorEastAsia" w:hAnsiTheme="minorEastAsia" w:eastAsiaTheme="minorEastAsia" w:cstheme="minorEastAsia"/>
                <w:color w:val="auto"/>
                <w:sz w:val="24"/>
                <w:szCs w:val="24"/>
                <w:highlight w:val="none"/>
              </w:rPr>
              <w:t>劳动力的投入满足工程需要</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方案较</w:t>
            </w:r>
            <w:r>
              <w:rPr>
                <w:rFonts w:hint="eastAsia" w:asciiTheme="minorEastAsia" w:hAnsiTheme="minorEastAsia" w:eastAsiaTheme="minorEastAsia" w:cstheme="minorEastAsia"/>
                <w:color w:val="auto"/>
                <w:sz w:val="24"/>
                <w:szCs w:val="24"/>
                <w:highlight w:val="none"/>
              </w:rPr>
              <w:t>科学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各专业工种的配置</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劳动力的投入</w:t>
            </w:r>
            <w:r>
              <w:rPr>
                <w:rFonts w:hint="eastAsia" w:asciiTheme="minorEastAsia" w:hAnsiTheme="minorEastAsia" w:eastAsiaTheme="minorEastAsia" w:cstheme="minorEastAsia"/>
                <w:color w:val="auto"/>
                <w:sz w:val="24"/>
                <w:szCs w:val="24"/>
                <w:highlight w:val="none"/>
                <w:lang w:val="en-US" w:eastAsia="zh-CN"/>
              </w:rPr>
              <w:t>可基本满足施工需要，方案</w:t>
            </w:r>
            <w:r>
              <w:rPr>
                <w:rFonts w:hint="eastAsia" w:asciiTheme="minorEastAsia" w:hAnsiTheme="minorEastAsia" w:eastAsiaTheme="minorEastAsia" w:cstheme="minorEastAsia"/>
                <w:color w:val="auto"/>
                <w:sz w:val="24"/>
                <w:szCs w:val="24"/>
                <w:highlight w:val="none"/>
              </w:rPr>
              <w:t>科学</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合理</w:t>
            </w:r>
            <w:r>
              <w:rPr>
                <w:rFonts w:hint="eastAsia" w:asciiTheme="minorEastAsia" w:hAnsiTheme="minorEastAsia" w:eastAsiaTheme="minorEastAsia" w:cstheme="minorEastAsia"/>
                <w:color w:val="auto"/>
                <w:sz w:val="24"/>
                <w:szCs w:val="24"/>
                <w:highlight w:val="none"/>
                <w:lang w:val="en-US" w:eastAsia="zh-CN"/>
              </w:rPr>
              <w:t>性一般的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各专业工种的配置</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劳动力的投入</w:t>
            </w:r>
            <w:r>
              <w:rPr>
                <w:rFonts w:hint="eastAsia" w:asciiTheme="minorEastAsia" w:hAnsiTheme="minorEastAsia" w:eastAsiaTheme="minorEastAsia" w:cstheme="minorEastAsia"/>
                <w:color w:val="auto"/>
                <w:sz w:val="24"/>
                <w:szCs w:val="24"/>
                <w:highlight w:val="none"/>
                <w:lang w:val="en-US" w:eastAsia="zh-CN"/>
              </w:rPr>
              <w:t>存在缺陷或瑕疵的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各专业工种的配置</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劳动力的投入</w:t>
            </w:r>
            <w:r>
              <w:rPr>
                <w:rFonts w:hint="eastAsia" w:asciiTheme="minorEastAsia" w:hAnsiTheme="minorEastAsia" w:eastAsiaTheme="minorEastAsia" w:cstheme="minorEastAsia"/>
                <w:color w:val="auto"/>
                <w:sz w:val="24"/>
                <w:szCs w:val="24"/>
                <w:highlight w:val="none"/>
                <w:lang w:val="en-US" w:eastAsia="zh-CN"/>
              </w:rPr>
              <w:t>可能无法满足施工需要的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5</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安全、文明施工及环保、消防等的保障措施</w:t>
            </w:r>
            <w:r>
              <w:rPr>
                <w:rFonts w:hint="eastAsia" w:asciiTheme="minorEastAsia" w:hAnsiTheme="minorEastAsia" w:eastAsiaTheme="minorEastAsia" w:cstheme="minorEastAsia"/>
                <w:color w:val="auto"/>
                <w:sz w:val="24"/>
                <w:szCs w:val="24"/>
                <w:highlight w:val="none"/>
                <w:lang w:val="en-US" w:eastAsia="zh-CN"/>
              </w:rPr>
              <w:t>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安全、文明施工及环保、消防等的保障措施</w:t>
            </w:r>
            <w:r>
              <w:rPr>
                <w:rFonts w:hint="eastAsia" w:asciiTheme="minorEastAsia" w:hAnsiTheme="minorEastAsia" w:eastAsiaTheme="minorEastAsia" w:cstheme="minorEastAsia"/>
                <w:color w:val="auto"/>
                <w:sz w:val="24"/>
                <w:szCs w:val="24"/>
                <w:highlight w:val="none"/>
                <w:lang w:val="en-US" w:eastAsia="zh-CN"/>
              </w:rPr>
              <w:t>全面、合理、可行的，得3分；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安全、文明施工及环保、消防等的保障措施</w:t>
            </w:r>
            <w:r>
              <w:rPr>
                <w:rFonts w:hint="eastAsia" w:asciiTheme="minorEastAsia" w:hAnsiTheme="minorEastAsia" w:eastAsiaTheme="minorEastAsia" w:cstheme="minorEastAsia"/>
                <w:color w:val="auto"/>
                <w:sz w:val="24"/>
                <w:szCs w:val="24"/>
                <w:highlight w:val="none"/>
                <w:lang w:val="en-US" w:eastAsia="zh-CN"/>
              </w:rPr>
              <w:t>比较全面、合理、可行的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安全、文明施工及环保、消防等的保障措施</w:t>
            </w:r>
            <w:r>
              <w:rPr>
                <w:rFonts w:hint="eastAsia" w:asciiTheme="minorEastAsia" w:hAnsiTheme="minorEastAsia" w:eastAsiaTheme="minorEastAsia" w:cstheme="minorEastAsia"/>
                <w:color w:val="auto"/>
                <w:sz w:val="24"/>
                <w:szCs w:val="24"/>
                <w:highlight w:val="none"/>
                <w:lang w:val="en-US" w:eastAsia="zh-CN"/>
              </w:rPr>
              <w:t>不全面、不合理的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原材料、半成品、外购件外购设备等设备材料的质量保证措施科学可靠性</w:t>
            </w:r>
            <w:r>
              <w:rPr>
                <w:rFonts w:hint="eastAsia" w:asciiTheme="minorEastAsia" w:hAnsiTheme="minorEastAsia" w:eastAsiaTheme="minorEastAsia" w:cstheme="minorEastAsia"/>
                <w:color w:val="auto"/>
                <w:sz w:val="24"/>
                <w:szCs w:val="24"/>
                <w:highlight w:val="none"/>
                <w:lang w:val="en-US" w:eastAsia="zh-CN"/>
              </w:rPr>
              <w:t>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原材料、半成品、外购件外购设备等设备材料的质量保证措施科学可靠</w:t>
            </w:r>
            <w:r>
              <w:rPr>
                <w:rFonts w:hint="eastAsia" w:asciiTheme="minorEastAsia" w:hAnsiTheme="minorEastAsia" w:eastAsiaTheme="minorEastAsia" w:cstheme="minorEastAsia"/>
                <w:color w:val="auto"/>
                <w:sz w:val="24"/>
                <w:szCs w:val="24"/>
                <w:highlight w:val="none"/>
                <w:lang w:val="en-US" w:eastAsia="zh-CN"/>
              </w:rPr>
              <w:t>的，得4分；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原材料、半成品、外购件外购设备等设备材料的质量保证措施</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rPr>
              <w:t>科学可靠</w:t>
            </w:r>
            <w:r>
              <w:rPr>
                <w:rFonts w:hint="eastAsia" w:asciiTheme="minorEastAsia" w:hAnsiTheme="minorEastAsia" w:eastAsiaTheme="minorEastAsia" w:cstheme="minorEastAsia"/>
                <w:color w:val="auto"/>
                <w:sz w:val="24"/>
                <w:szCs w:val="24"/>
                <w:highlight w:val="none"/>
                <w:lang w:val="en-US" w:eastAsia="zh-CN"/>
              </w:rPr>
              <w:t>的，得3分；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原材料、半成品、外购件外购设备等设备材料的质量保证措施科学可靠</w:t>
            </w:r>
            <w:r>
              <w:rPr>
                <w:rFonts w:hint="eastAsia" w:asciiTheme="minorEastAsia" w:hAnsiTheme="minorEastAsia" w:eastAsiaTheme="minorEastAsia" w:cstheme="minorEastAsia"/>
                <w:color w:val="auto"/>
                <w:sz w:val="24"/>
                <w:szCs w:val="24"/>
                <w:highlight w:val="none"/>
                <w:lang w:val="en-US" w:eastAsia="zh-CN"/>
              </w:rPr>
              <w:t>性一般的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原材料、半成品、外购件外购设备等设备材料的质量保证措施</w:t>
            </w:r>
            <w:r>
              <w:rPr>
                <w:rFonts w:hint="eastAsia" w:asciiTheme="minorEastAsia" w:hAnsiTheme="minorEastAsia" w:eastAsiaTheme="minorEastAsia" w:cstheme="minorEastAsia"/>
                <w:color w:val="auto"/>
                <w:sz w:val="24"/>
                <w:szCs w:val="24"/>
                <w:highlight w:val="none"/>
                <w:lang w:val="en-US" w:eastAsia="zh-CN"/>
              </w:rPr>
              <w:t>不完整或存在瑕疵的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项目实施过程中针对成品保护的各项措施</w:t>
            </w:r>
            <w:r>
              <w:rPr>
                <w:rFonts w:hint="eastAsia" w:asciiTheme="minorEastAsia" w:hAnsiTheme="minorEastAsia" w:eastAsiaTheme="minorEastAsia" w:cstheme="minorEastAsia"/>
                <w:color w:val="auto"/>
                <w:sz w:val="24"/>
                <w:szCs w:val="24"/>
                <w:highlight w:val="none"/>
                <w:lang w:val="en-US" w:eastAsia="zh-CN"/>
              </w:rPr>
              <w:t>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项目实施过程中针对成品保护的各项措施科学可靠</w:t>
            </w:r>
            <w:r>
              <w:rPr>
                <w:rFonts w:hint="eastAsia" w:asciiTheme="minorEastAsia" w:hAnsiTheme="minorEastAsia" w:eastAsiaTheme="minorEastAsia" w:cstheme="minorEastAsia"/>
                <w:color w:val="auto"/>
                <w:sz w:val="24"/>
                <w:szCs w:val="24"/>
                <w:highlight w:val="none"/>
                <w:lang w:val="en-US" w:eastAsia="zh-CN"/>
              </w:rPr>
              <w:t>的，得4分；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项目实施过程中针对成品保护的各项措施</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rPr>
              <w:t>科学可靠</w:t>
            </w:r>
            <w:r>
              <w:rPr>
                <w:rFonts w:hint="eastAsia" w:asciiTheme="minorEastAsia" w:hAnsiTheme="minorEastAsia" w:eastAsiaTheme="minorEastAsia" w:cstheme="minorEastAsia"/>
                <w:color w:val="auto"/>
                <w:sz w:val="24"/>
                <w:szCs w:val="24"/>
                <w:highlight w:val="none"/>
                <w:lang w:val="en-US" w:eastAsia="zh-CN"/>
              </w:rPr>
              <w:t>的，得3分；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项目实施过程中针对成品保护的各项措施科学可靠</w:t>
            </w:r>
            <w:r>
              <w:rPr>
                <w:rFonts w:hint="eastAsia" w:asciiTheme="minorEastAsia" w:hAnsiTheme="minorEastAsia" w:eastAsiaTheme="minorEastAsia" w:cstheme="minorEastAsia"/>
                <w:color w:val="auto"/>
                <w:sz w:val="24"/>
                <w:szCs w:val="24"/>
                <w:highlight w:val="none"/>
                <w:lang w:val="en-US" w:eastAsia="zh-CN"/>
              </w:rPr>
              <w:t>性一般的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项目实施过程中针对成品保护的各项措施</w:t>
            </w:r>
            <w:r>
              <w:rPr>
                <w:rFonts w:hint="eastAsia" w:asciiTheme="minorEastAsia" w:hAnsiTheme="minorEastAsia" w:eastAsiaTheme="minorEastAsia" w:cstheme="minorEastAsia"/>
                <w:color w:val="auto"/>
                <w:sz w:val="24"/>
                <w:szCs w:val="24"/>
                <w:highlight w:val="none"/>
                <w:lang w:val="en-US" w:eastAsia="zh-CN"/>
              </w:rPr>
              <w:t>不完整或存在瑕疵的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满足工期要求的进度计划及控制措施</w:t>
            </w:r>
            <w:r>
              <w:rPr>
                <w:rFonts w:hint="eastAsia" w:asciiTheme="minorEastAsia" w:hAnsiTheme="minorEastAsia" w:eastAsiaTheme="minorEastAsia" w:cstheme="minorEastAsia"/>
                <w:color w:val="auto"/>
                <w:sz w:val="24"/>
                <w:szCs w:val="24"/>
                <w:highlight w:val="none"/>
                <w:lang w:val="en-US" w:eastAsia="zh-CN"/>
              </w:rPr>
              <w:t>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进度计划及控制措施</w:t>
            </w:r>
            <w:r>
              <w:rPr>
                <w:rFonts w:hint="eastAsia" w:asciiTheme="minorEastAsia" w:hAnsiTheme="minorEastAsia" w:eastAsiaTheme="minorEastAsia" w:cstheme="minorEastAsia"/>
                <w:color w:val="auto"/>
                <w:sz w:val="24"/>
                <w:szCs w:val="24"/>
                <w:highlight w:val="none"/>
                <w:lang w:val="en-US" w:eastAsia="zh-CN"/>
              </w:rPr>
              <w:t>满足工期要求，措施合理、科学、可行的，得5分；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进度计划及控制措施</w:t>
            </w:r>
            <w:r>
              <w:rPr>
                <w:rFonts w:hint="eastAsia" w:asciiTheme="minorEastAsia" w:hAnsiTheme="minorEastAsia" w:eastAsiaTheme="minorEastAsia" w:cstheme="minorEastAsia"/>
                <w:color w:val="auto"/>
                <w:sz w:val="24"/>
                <w:szCs w:val="24"/>
                <w:highlight w:val="none"/>
                <w:lang w:val="en-US" w:eastAsia="zh-CN"/>
              </w:rPr>
              <w:t>满足工期要求，措施比较合理、科学、可行的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进度计划及控制措施</w:t>
            </w:r>
            <w:r>
              <w:rPr>
                <w:rFonts w:hint="eastAsia" w:asciiTheme="minorEastAsia" w:hAnsiTheme="minorEastAsia" w:eastAsiaTheme="minorEastAsia" w:cstheme="minorEastAsia"/>
                <w:color w:val="auto"/>
                <w:sz w:val="24"/>
                <w:szCs w:val="24"/>
                <w:highlight w:val="none"/>
                <w:lang w:val="en-US" w:eastAsia="zh-CN"/>
              </w:rPr>
              <w:t>满足工期要求，措施合理、科学、可行性一般的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进度计划及控制措施</w:t>
            </w:r>
            <w:r>
              <w:rPr>
                <w:rFonts w:hint="eastAsia" w:asciiTheme="minorEastAsia" w:hAnsiTheme="minorEastAsia" w:eastAsiaTheme="minorEastAsia" w:cstheme="minorEastAsia"/>
                <w:color w:val="auto"/>
                <w:sz w:val="24"/>
                <w:szCs w:val="24"/>
                <w:highlight w:val="none"/>
                <w:lang w:val="en-US" w:eastAsia="zh-CN"/>
              </w:rPr>
              <w:t>满足工期要求，措施合理、科学、可行性存在缺陷或瑕疵的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进度计划及控制措施</w:t>
            </w:r>
            <w:r>
              <w:rPr>
                <w:rFonts w:hint="eastAsia" w:asciiTheme="minorEastAsia" w:hAnsiTheme="minorEastAsia" w:eastAsiaTheme="minorEastAsia" w:cstheme="minorEastAsia"/>
                <w:color w:val="auto"/>
                <w:sz w:val="24"/>
                <w:szCs w:val="24"/>
                <w:highlight w:val="none"/>
                <w:lang w:val="en-US" w:eastAsia="zh-CN"/>
              </w:rPr>
              <w:t>满足工期要求，但措施不具备合理、科学、可行性的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5</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施工质量控制措施</w:t>
            </w:r>
            <w:r>
              <w:rPr>
                <w:rFonts w:hint="eastAsia" w:asciiTheme="minorEastAsia" w:hAnsiTheme="minorEastAsia" w:eastAsiaTheme="minorEastAsia" w:cstheme="minorEastAsia"/>
                <w:color w:val="auto"/>
                <w:sz w:val="24"/>
                <w:szCs w:val="24"/>
                <w:highlight w:val="none"/>
                <w:lang w:val="en-US" w:eastAsia="zh-CN"/>
              </w:rPr>
              <w:t>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施工质量控制措施科学可靠</w:t>
            </w:r>
            <w:r>
              <w:rPr>
                <w:rFonts w:hint="eastAsia" w:asciiTheme="minorEastAsia" w:hAnsiTheme="minorEastAsia" w:eastAsiaTheme="minorEastAsia" w:cstheme="minorEastAsia"/>
                <w:color w:val="auto"/>
                <w:sz w:val="24"/>
                <w:szCs w:val="24"/>
                <w:highlight w:val="none"/>
                <w:lang w:val="en-US" w:eastAsia="zh-CN"/>
              </w:rPr>
              <w:t>的，得4分；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施工质量控制措施</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rPr>
              <w:t>科学可靠</w:t>
            </w:r>
            <w:r>
              <w:rPr>
                <w:rFonts w:hint="eastAsia" w:asciiTheme="minorEastAsia" w:hAnsiTheme="minorEastAsia" w:eastAsiaTheme="minorEastAsia" w:cstheme="minorEastAsia"/>
                <w:color w:val="auto"/>
                <w:sz w:val="24"/>
                <w:szCs w:val="24"/>
                <w:highlight w:val="none"/>
                <w:lang w:val="en-US" w:eastAsia="zh-CN"/>
              </w:rPr>
              <w:t>的，得3分；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施工质量控制措施科学可靠</w:t>
            </w:r>
            <w:r>
              <w:rPr>
                <w:rFonts w:hint="eastAsia" w:asciiTheme="minorEastAsia" w:hAnsiTheme="minorEastAsia" w:eastAsiaTheme="minorEastAsia" w:cstheme="minorEastAsia"/>
                <w:color w:val="auto"/>
                <w:sz w:val="24"/>
                <w:szCs w:val="24"/>
                <w:highlight w:val="none"/>
                <w:lang w:val="en-US" w:eastAsia="zh-CN"/>
              </w:rPr>
              <w:t>性一般的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施工质量控制措施</w:t>
            </w:r>
            <w:r>
              <w:rPr>
                <w:rFonts w:hint="eastAsia" w:asciiTheme="minorEastAsia" w:hAnsiTheme="minorEastAsia" w:eastAsiaTheme="minorEastAsia" w:cstheme="minorEastAsia"/>
                <w:color w:val="auto"/>
                <w:sz w:val="24"/>
                <w:szCs w:val="24"/>
                <w:highlight w:val="none"/>
                <w:lang w:val="en-US" w:eastAsia="zh-CN"/>
              </w:rPr>
              <w:t>不完整或存在瑕疵的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施工机具、检验仪器的投入满足工程质量和进度要求的程度</w:t>
            </w:r>
            <w:r>
              <w:rPr>
                <w:rFonts w:hint="eastAsia" w:asciiTheme="minorEastAsia" w:hAnsiTheme="minorEastAsia" w:eastAsiaTheme="minorEastAsia" w:cstheme="minorEastAsia"/>
                <w:color w:val="auto"/>
                <w:sz w:val="24"/>
                <w:szCs w:val="24"/>
                <w:highlight w:val="none"/>
                <w:lang w:val="en-US" w:eastAsia="zh-CN"/>
              </w:rPr>
              <w:t>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施工机具、检验仪器的投入</w:t>
            </w:r>
            <w:r>
              <w:rPr>
                <w:rFonts w:hint="eastAsia" w:asciiTheme="minorEastAsia" w:hAnsiTheme="minorEastAsia" w:eastAsiaTheme="minorEastAsia" w:cstheme="minorEastAsia"/>
                <w:color w:val="auto"/>
                <w:sz w:val="24"/>
                <w:szCs w:val="24"/>
                <w:highlight w:val="none"/>
                <w:lang w:val="en-US" w:eastAsia="zh-CN"/>
              </w:rPr>
              <w:t>完全</w:t>
            </w:r>
            <w:r>
              <w:rPr>
                <w:rFonts w:hint="eastAsia" w:asciiTheme="minorEastAsia" w:hAnsiTheme="minorEastAsia" w:eastAsiaTheme="minorEastAsia" w:cstheme="minorEastAsia"/>
                <w:color w:val="auto"/>
                <w:sz w:val="24"/>
                <w:szCs w:val="24"/>
                <w:highlight w:val="none"/>
              </w:rPr>
              <w:t>满足工程质量和进度要求</w:t>
            </w:r>
            <w:r>
              <w:rPr>
                <w:rFonts w:hint="eastAsia" w:asciiTheme="minorEastAsia" w:hAnsiTheme="minorEastAsia" w:eastAsiaTheme="minorEastAsia" w:cstheme="minorEastAsia"/>
                <w:color w:val="auto"/>
                <w:sz w:val="24"/>
                <w:szCs w:val="24"/>
                <w:highlight w:val="none"/>
                <w:lang w:val="en-US" w:eastAsia="zh-CN"/>
              </w:rPr>
              <w:t>的，得3分；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施工机具、检验仪器的投入</w:t>
            </w:r>
            <w:r>
              <w:rPr>
                <w:rFonts w:hint="eastAsia" w:asciiTheme="minorEastAsia" w:hAnsiTheme="minorEastAsia" w:eastAsiaTheme="minorEastAsia" w:cstheme="minorEastAsia"/>
                <w:color w:val="auto"/>
                <w:sz w:val="24"/>
                <w:szCs w:val="24"/>
                <w:highlight w:val="none"/>
                <w:lang w:val="en-US" w:eastAsia="zh-CN"/>
              </w:rPr>
              <w:t>基本可以</w:t>
            </w:r>
            <w:r>
              <w:rPr>
                <w:rFonts w:hint="eastAsia" w:asciiTheme="minorEastAsia" w:hAnsiTheme="minorEastAsia" w:eastAsiaTheme="minorEastAsia" w:cstheme="minorEastAsia"/>
                <w:color w:val="auto"/>
                <w:sz w:val="24"/>
                <w:szCs w:val="24"/>
                <w:highlight w:val="none"/>
              </w:rPr>
              <w:t>满足工程质量和进度要求</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施工机具、检验仪器的投入</w:t>
            </w:r>
            <w:r>
              <w:rPr>
                <w:rFonts w:hint="eastAsia" w:asciiTheme="minorEastAsia" w:hAnsiTheme="minorEastAsia" w:eastAsiaTheme="minorEastAsia" w:cstheme="minorEastAsia"/>
                <w:color w:val="auto"/>
                <w:sz w:val="24"/>
                <w:szCs w:val="24"/>
                <w:highlight w:val="none"/>
                <w:lang w:val="en-US" w:eastAsia="zh-CN"/>
              </w:rPr>
              <w:t>是否能够</w:t>
            </w:r>
            <w:r>
              <w:rPr>
                <w:rFonts w:hint="eastAsia" w:asciiTheme="minorEastAsia" w:hAnsiTheme="minorEastAsia" w:eastAsiaTheme="minorEastAsia" w:cstheme="minorEastAsia"/>
                <w:color w:val="auto"/>
                <w:sz w:val="24"/>
                <w:szCs w:val="24"/>
                <w:highlight w:val="none"/>
              </w:rPr>
              <w:t>满足工程质量和进度要求</w:t>
            </w:r>
            <w:r>
              <w:rPr>
                <w:rFonts w:hint="eastAsia" w:asciiTheme="minorEastAsia" w:hAnsiTheme="minorEastAsia" w:eastAsiaTheme="minorEastAsia" w:cstheme="minorEastAsia"/>
                <w:color w:val="auto"/>
                <w:sz w:val="24"/>
                <w:szCs w:val="24"/>
                <w:highlight w:val="none"/>
                <w:lang w:val="en-US" w:eastAsia="zh-CN"/>
              </w:rPr>
              <w:t>存在不确定性的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本项目的应急预案(包括临时突发情况、现场处置方案等）的针对性、科学合理性</w:t>
            </w:r>
            <w:r>
              <w:rPr>
                <w:rFonts w:hint="eastAsia" w:asciiTheme="minorEastAsia" w:hAnsiTheme="minorEastAsia" w:eastAsiaTheme="minorEastAsia" w:cstheme="minorEastAsia"/>
                <w:color w:val="auto"/>
                <w:sz w:val="24"/>
                <w:szCs w:val="24"/>
                <w:highlight w:val="none"/>
                <w:lang w:val="en-US" w:eastAsia="zh-CN"/>
              </w:rPr>
              <w:t>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本项目的应急预案(包括临时突发情况、现场处置方案等）的针对性</w:t>
            </w:r>
            <w:r>
              <w:rPr>
                <w:rFonts w:hint="eastAsia" w:asciiTheme="minorEastAsia" w:hAnsiTheme="minorEastAsia" w:eastAsiaTheme="minorEastAsia" w:cstheme="minorEastAsia"/>
                <w:color w:val="auto"/>
                <w:sz w:val="24"/>
                <w:szCs w:val="24"/>
                <w:highlight w:val="none"/>
                <w:lang w:val="en-US" w:eastAsia="zh-CN"/>
              </w:rPr>
              <w:t>强</w:t>
            </w:r>
            <w:r>
              <w:rPr>
                <w:rFonts w:hint="eastAsia" w:asciiTheme="minorEastAsia" w:hAnsiTheme="minorEastAsia" w:eastAsiaTheme="minorEastAsia" w:cstheme="minorEastAsia"/>
                <w:color w:val="auto"/>
                <w:sz w:val="24"/>
                <w:szCs w:val="24"/>
                <w:highlight w:val="none"/>
              </w:rPr>
              <w:t>、科学合理</w:t>
            </w:r>
            <w:r>
              <w:rPr>
                <w:rFonts w:hint="eastAsia" w:asciiTheme="minorEastAsia" w:hAnsiTheme="minorEastAsia" w:eastAsiaTheme="minorEastAsia" w:cstheme="minorEastAsia"/>
                <w:color w:val="auto"/>
                <w:sz w:val="24"/>
                <w:szCs w:val="24"/>
                <w:highlight w:val="none"/>
                <w:lang w:val="en-US" w:eastAsia="zh-CN"/>
              </w:rPr>
              <w:t>的，得4分；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本项目的应急预案(包括临时突发情况、现场处置方案等）的针对性</w:t>
            </w:r>
            <w:r>
              <w:rPr>
                <w:rFonts w:hint="eastAsia" w:asciiTheme="minorEastAsia" w:hAnsiTheme="minorEastAsia" w:eastAsiaTheme="minorEastAsia" w:cstheme="minorEastAsia"/>
                <w:color w:val="auto"/>
                <w:sz w:val="24"/>
                <w:szCs w:val="24"/>
                <w:highlight w:val="none"/>
                <w:lang w:val="en-US" w:eastAsia="zh-CN"/>
              </w:rPr>
              <w:t>较强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较</w:t>
            </w:r>
            <w:r>
              <w:rPr>
                <w:rFonts w:hint="eastAsia" w:asciiTheme="minorEastAsia" w:hAnsiTheme="minorEastAsia" w:eastAsiaTheme="minorEastAsia" w:cstheme="minorEastAsia"/>
                <w:color w:val="auto"/>
                <w:sz w:val="24"/>
                <w:szCs w:val="24"/>
                <w:highlight w:val="none"/>
              </w:rPr>
              <w:t>科学合理</w:t>
            </w:r>
            <w:r>
              <w:rPr>
                <w:rFonts w:hint="eastAsia" w:asciiTheme="minorEastAsia" w:hAnsiTheme="minorEastAsia" w:eastAsiaTheme="minorEastAsia" w:cstheme="minorEastAsia"/>
                <w:color w:val="auto"/>
                <w:sz w:val="24"/>
                <w:szCs w:val="24"/>
                <w:highlight w:val="none"/>
                <w:lang w:val="en-US" w:eastAsia="zh-CN"/>
              </w:rPr>
              <w:t>的，得3分；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本项目的应急预案(包括临时突发情况、现场处置方案等）的针对性</w:t>
            </w:r>
            <w:r>
              <w:rPr>
                <w:rFonts w:hint="eastAsia" w:asciiTheme="minorEastAsia" w:hAnsiTheme="minorEastAsia" w:eastAsiaTheme="minorEastAsia" w:cstheme="minorEastAsia"/>
                <w:color w:val="auto"/>
                <w:sz w:val="24"/>
                <w:szCs w:val="24"/>
                <w:highlight w:val="none"/>
                <w:lang w:val="en-US" w:eastAsia="zh-CN"/>
              </w:rPr>
              <w:t>一般</w:t>
            </w:r>
            <w:r>
              <w:rPr>
                <w:rFonts w:hint="eastAsia" w:asciiTheme="minorEastAsia" w:hAnsiTheme="minorEastAsia" w:eastAsiaTheme="minorEastAsia" w:cstheme="minorEastAsia"/>
                <w:color w:val="auto"/>
                <w:sz w:val="24"/>
                <w:szCs w:val="24"/>
                <w:highlight w:val="none"/>
              </w:rPr>
              <w:t>、科学合理</w:t>
            </w:r>
            <w:r>
              <w:rPr>
                <w:rFonts w:hint="eastAsia" w:asciiTheme="minorEastAsia" w:hAnsiTheme="minorEastAsia" w:eastAsiaTheme="minorEastAsia" w:cstheme="minorEastAsia"/>
                <w:color w:val="auto"/>
                <w:sz w:val="24"/>
                <w:szCs w:val="24"/>
                <w:highlight w:val="none"/>
                <w:lang w:val="en-US" w:eastAsia="zh-CN"/>
              </w:rPr>
              <w:t>性一般的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本项目的应急预案(包括临时突发情况、现场处置方案等）</w:t>
            </w:r>
            <w:r>
              <w:rPr>
                <w:rFonts w:hint="eastAsia" w:asciiTheme="minorEastAsia" w:hAnsiTheme="minorEastAsia" w:eastAsiaTheme="minorEastAsia" w:cstheme="minorEastAsia"/>
                <w:color w:val="auto"/>
                <w:sz w:val="24"/>
                <w:szCs w:val="24"/>
                <w:highlight w:val="none"/>
                <w:lang w:val="en-US" w:eastAsia="zh-CN"/>
              </w:rPr>
              <w:t>不完整或存在瑕疵的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供应商关于</w:t>
            </w:r>
            <w:r>
              <w:rPr>
                <w:rFonts w:hint="eastAsia" w:asciiTheme="minorEastAsia" w:hAnsiTheme="minorEastAsia" w:eastAsiaTheme="minorEastAsia" w:cstheme="minorEastAsia"/>
                <w:color w:val="auto"/>
                <w:sz w:val="24"/>
                <w:szCs w:val="24"/>
                <w:highlight w:val="none"/>
              </w:rPr>
              <w:t>本项目缺陷责任期内的售后技术支持和服务体系</w:t>
            </w:r>
            <w:r>
              <w:rPr>
                <w:rFonts w:hint="eastAsia" w:asciiTheme="minorEastAsia" w:hAnsiTheme="minorEastAsia" w:eastAsiaTheme="minorEastAsia" w:cstheme="minorEastAsia"/>
                <w:color w:val="auto"/>
                <w:sz w:val="24"/>
                <w:szCs w:val="24"/>
                <w:highlight w:val="none"/>
                <w:lang w:val="en-US" w:eastAsia="zh-CN"/>
              </w:rPr>
              <w:t>方案进行综合评议：</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本项目缺陷责任期内的售后技术支持和服务体系</w:t>
            </w:r>
            <w:r>
              <w:rPr>
                <w:rFonts w:hint="eastAsia" w:asciiTheme="minorEastAsia" w:hAnsiTheme="minorEastAsia" w:eastAsiaTheme="minorEastAsia" w:cstheme="minorEastAsia"/>
                <w:color w:val="auto"/>
                <w:sz w:val="24"/>
                <w:szCs w:val="24"/>
                <w:highlight w:val="none"/>
                <w:lang w:val="en-US" w:eastAsia="zh-CN"/>
              </w:rPr>
              <w:t>方案完整，合理的，得4分；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本项目缺陷责任期内的售后技术支持和服务体系</w:t>
            </w:r>
            <w:r>
              <w:rPr>
                <w:rFonts w:hint="eastAsia" w:asciiTheme="minorEastAsia" w:hAnsiTheme="minorEastAsia" w:eastAsiaTheme="minorEastAsia" w:cstheme="minorEastAsia"/>
                <w:color w:val="auto"/>
                <w:sz w:val="24"/>
                <w:szCs w:val="24"/>
                <w:highlight w:val="none"/>
                <w:lang w:val="en-US" w:eastAsia="zh-CN"/>
              </w:rPr>
              <w:t>方案比较完整，合理的，得3分；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本项目缺陷责任期内的售后技术支持和服务体系</w:t>
            </w:r>
            <w:r>
              <w:rPr>
                <w:rFonts w:hint="eastAsia" w:asciiTheme="minorEastAsia" w:hAnsiTheme="minorEastAsia" w:eastAsiaTheme="minorEastAsia" w:cstheme="minorEastAsia"/>
                <w:color w:val="auto"/>
                <w:sz w:val="24"/>
                <w:szCs w:val="24"/>
                <w:highlight w:val="none"/>
                <w:lang w:val="en-US" w:eastAsia="zh-CN"/>
              </w:rPr>
              <w:t>方案完整，合理性一般的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本项目缺陷责任期内的售后技术支持和服务体系</w:t>
            </w:r>
            <w:r>
              <w:rPr>
                <w:rFonts w:hint="eastAsia" w:asciiTheme="minorEastAsia" w:hAnsiTheme="minorEastAsia" w:eastAsiaTheme="minorEastAsia" w:cstheme="minorEastAsia"/>
                <w:color w:val="auto"/>
                <w:sz w:val="24"/>
                <w:szCs w:val="24"/>
                <w:highlight w:val="none"/>
                <w:lang w:val="en-US" w:eastAsia="zh-CN"/>
              </w:rPr>
              <w:t>方案不完整或存在瑕疵的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未提供内容本项不得分。</w:t>
            </w:r>
          </w:p>
        </w:tc>
        <w:tc>
          <w:tcPr>
            <w:tcW w:w="299"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w:t>
            </w:r>
          </w:p>
        </w:tc>
        <w:tc>
          <w:tcPr>
            <w:tcW w:w="301" w:type="pct"/>
            <w:noWrap w:val="0"/>
            <w:vAlign w:val="center"/>
          </w:tcPr>
          <w:p>
            <w:pPr>
              <w:wordWrap/>
              <w:spacing w:line="240" w:lineRule="auto"/>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业绩情况：</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供应商自202</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年以来（以合同签订时间为准）具有</w:t>
            </w:r>
            <w:r>
              <w:rPr>
                <w:rFonts w:hint="eastAsia" w:asciiTheme="minorEastAsia" w:hAnsiTheme="minorEastAsia" w:eastAsiaTheme="minorEastAsia" w:cstheme="minorEastAsia"/>
                <w:color w:val="auto"/>
                <w:sz w:val="24"/>
                <w:szCs w:val="24"/>
                <w:highlight w:val="none"/>
                <w:lang w:val="en-US" w:eastAsia="zh-CN"/>
              </w:rPr>
              <w:t>类似业绩</w:t>
            </w:r>
            <w:r>
              <w:rPr>
                <w:rFonts w:hint="eastAsia" w:asciiTheme="minorEastAsia" w:hAnsiTheme="minorEastAsia" w:eastAsiaTheme="minorEastAsia" w:cstheme="minorEastAsia"/>
                <w:color w:val="auto"/>
                <w:sz w:val="24"/>
                <w:szCs w:val="24"/>
                <w:highlight w:val="none"/>
              </w:rPr>
              <w:t>，每个得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最高得1分</w:t>
            </w:r>
            <w:r>
              <w:rPr>
                <w:rFonts w:hint="eastAsia" w:asciiTheme="minorEastAsia" w:hAnsiTheme="minorEastAsia" w:eastAsiaTheme="minorEastAsia" w:cstheme="minorEastAsia"/>
                <w:color w:val="auto"/>
                <w:sz w:val="24"/>
                <w:szCs w:val="24"/>
                <w:highlight w:val="none"/>
              </w:rPr>
              <w:t>。（提供清晰</w:t>
            </w:r>
            <w:r>
              <w:rPr>
                <w:rFonts w:hint="eastAsia" w:asciiTheme="minorEastAsia" w:hAnsiTheme="minorEastAsia" w:eastAsiaTheme="minorEastAsia" w:cstheme="minorEastAsia"/>
                <w:color w:val="auto"/>
                <w:sz w:val="24"/>
                <w:szCs w:val="24"/>
                <w:highlight w:val="none"/>
                <w:lang w:val="en-US" w:eastAsia="zh-CN"/>
              </w:rPr>
              <w:t>可辨</w:t>
            </w:r>
            <w:r>
              <w:rPr>
                <w:rFonts w:hint="eastAsia" w:asciiTheme="minorEastAsia" w:hAnsiTheme="minorEastAsia" w:eastAsiaTheme="minorEastAsia" w:cstheme="minorEastAsia"/>
                <w:color w:val="auto"/>
                <w:sz w:val="24"/>
                <w:szCs w:val="24"/>
                <w:highlight w:val="none"/>
              </w:rPr>
              <w:t>的施工合同复印件及验收证明资料（验收报告或验收记录表复印件）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如不能体现项目经理</w:t>
            </w:r>
            <w:r>
              <w:rPr>
                <w:rFonts w:hint="eastAsia" w:asciiTheme="minorEastAsia" w:hAnsiTheme="minorEastAsia" w:eastAsiaTheme="minorEastAsia" w:cstheme="minorEastAsia"/>
                <w:color w:val="auto"/>
                <w:sz w:val="24"/>
                <w:szCs w:val="24"/>
                <w:highlight w:val="none"/>
                <w:lang w:val="en-US" w:eastAsia="zh-CN"/>
              </w:rPr>
              <w:t>姓名的</w:t>
            </w:r>
            <w:r>
              <w:rPr>
                <w:rFonts w:hint="eastAsia" w:asciiTheme="minorEastAsia" w:hAnsiTheme="minorEastAsia" w:eastAsiaTheme="minorEastAsia" w:cstheme="minorEastAsia"/>
                <w:color w:val="auto"/>
                <w:sz w:val="24"/>
                <w:szCs w:val="24"/>
                <w:highlight w:val="none"/>
              </w:rPr>
              <w:t>，可提供该项业主加盖公章的证明材料，时间以验收证明资料时间为准。）</w:t>
            </w:r>
          </w:p>
        </w:tc>
        <w:tc>
          <w:tcPr>
            <w:tcW w:w="29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301"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8</w:t>
            </w:r>
          </w:p>
        </w:tc>
        <w:tc>
          <w:tcPr>
            <w:tcW w:w="4169" w:type="pct"/>
            <w:noWrap w:val="0"/>
            <w:vAlign w:val="center"/>
          </w:tcPr>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拟派项目经理</w:t>
            </w:r>
            <w:r>
              <w:rPr>
                <w:rFonts w:hint="eastAsia" w:asciiTheme="minorEastAsia" w:hAnsiTheme="minorEastAsia" w:eastAsiaTheme="minorEastAsia" w:cstheme="minorEastAsia"/>
                <w:color w:val="auto"/>
                <w:sz w:val="24"/>
                <w:szCs w:val="24"/>
                <w:highlight w:val="none"/>
                <w:lang w:eastAsia="zh-CN"/>
              </w:rPr>
              <w:t>：</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具有</w:t>
            </w:r>
            <w:r>
              <w:rPr>
                <w:rFonts w:hint="eastAsia" w:asciiTheme="minorEastAsia" w:hAnsiTheme="minorEastAsia" w:eastAsiaTheme="minorEastAsia" w:cstheme="minorEastAsia"/>
                <w:color w:val="auto"/>
                <w:sz w:val="24"/>
                <w:szCs w:val="24"/>
                <w:highlight w:val="none"/>
                <w:lang w:val="en-US" w:eastAsia="zh-CN"/>
              </w:rPr>
              <w:t>高级及以上技术职称的，得2分，具有</w:t>
            </w:r>
            <w:r>
              <w:rPr>
                <w:rFonts w:hint="eastAsia" w:asciiTheme="minorEastAsia" w:hAnsiTheme="minorEastAsia" w:eastAsiaTheme="minorEastAsia" w:cstheme="minorEastAsia"/>
                <w:color w:val="auto"/>
                <w:sz w:val="24"/>
                <w:szCs w:val="24"/>
                <w:highlight w:val="none"/>
              </w:rPr>
              <w:t>中级工程师技术职称的得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分，没有不得分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本项最高得2分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须</w:t>
            </w:r>
            <w:r>
              <w:rPr>
                <w:rFonts w:hint="eastAsia" w:asciiTheme="minorEastAsia" w:hAnsiTheme="minorEastAsia" w:eastAsiaTheme="minorEastAsia" w:cstheme="minorEastAsia"/>
                <w:color w:val="auto"/>
                <w:sz w:val="24"/>
                <w:szCs w:val="24"/>
                <w:highlight w:val="none"/>
              </w:rPr>
              <w:t>提供职称证书扫描件及近三个月来任意时间的社保证明材料，未提供不得分</w:t>
            </w:r>
            <w:r>
              <w:rPr>
                <w:rFonts w:hint="eastAsia" w:asciiTheme="minorEastAsia" w:hAnsiTheme="minorEastAsia" w:eastAsiaTheme="minorEastAsia" w:cstheme="minorEastAsia"/>
                <w:color w:val="auto"/>
                <w:sz w:val="24"/>
                <w:szCs w:val="24"/>
                <w:highlight w:val="none"/>
                <w:lang w:eastAsia="zh-CN"/>
              </w:rPr>
              <w:t>）</w:t>
            </w:r>
          </w:p>
          <w:p>
            <w:pPr>
              <w:autoSpaceDE w:val="0"/>
              <w:autoSpaceDN w:val="0"/>
              <w:spacing w:line="24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自202</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年1月1日以来</w:t>
            </w:r>
            <w:r>
              <w:rPr>
                <w:rFonts w:hint="eastAsia" w:asciiTheme="minorEastAsia" w:hAnsiTheme="minorEastAsia" w:eastAsiaTheme="minorEastAsia" w:cstheme="minorEastAsia"/>
                <w:color w:val="auto"/>
                <w:sz w:val="24"/>
                <w:szCs w:val="24"/>
                <w:highlight w:val="none"/>
                <w:lang w:val="en-US" w:eastAsia="zh-CN"/>
              </w:rPr>
              <w:t>具有类似项目业绩</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提供清晰</w:t>
            </w:r>
            <w:r>
              <w:rPr>
                <w:rFonts w:hint="eastAsia" w:asciiTheme="minorEastAsia" w:hAnsiTheme="minorEastAsia" w:eastAsiaTheme="minorEastAsia" w:cstheme="minorEastAsia"/>
                <w:color w:val="auto"/>
                <w:sz w:val="24"/>
                <w:szCs w:val="24"/>
                <w:highlight w:val="none"/>
                <w:lang w:val="en-US" w:eastAsia="zh-CN"/>
              </w:rPr>
              <w:t>可辨</w:t>
            </w:r>
            <w:r>
              <w:rPr>
                <w:rFonts w:hint="eastAsia" w:asciiTheme="minorEastAsia" w:hAnsiTheme="minorEastAsia" w:eastAsiaTheme="minorEastAsia" w:cstheme="minorEastAsia"/>
                <w:color w:val="auto"/>
                <w:sz w:val="24"/>
                <w:szCs w:val="24"/>
                <w:highlight w:val="none"/>
              </w:rPr>
              <w:t>的施工合同复印件及验收证明资料（验收报告或验收记录表复印件）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如不能体现项目经理</w:t>
            </w:r>
            <w:r>
              <w:rPr>
                <w:rFonts w:hint="eastAsia" w:asciiTheme="minorEastAsia" w:hAnsiTheme="minorEastAsia" w:eastAsiaTheme="minorEastAsia" w:cstheme="minorEastAsia"/>
                <w:color w:val="auto"/>
                <w:sz w:val="24"/>
                <w:szCs w:val="24"/>
                <w:highlight w:val="none"/>
                <w:lang w:val="en-US" w:eastAsia="zh-CN"/>
              </w:rPr>
              <w:t>姓名的</w:t>
            </w:r>
            <w:r>
              <w:rPr>
                <w:rFonts w:hint="eastAsia" w:asciiTheme="minorEastAsia" w:hAnsiTheme="minorEastAsia" w:eastAsiaTheme="minorEastAsia" w:cstheme="minorEastAsia"/>
                <w:color w:val="auto"/>
                <w:sz w:val="24"/>
                <w:szCs w:val="24"/>
                <w:highlight w:val="none"/>
              </w:rPr>
              <w:t>，可提供该项业主加盖公章的证明材料，时间以验收证明资料时间为准。</w:t>
            </w:r>
            <w:r>
              <w:rPr>
                <w:rFonts w:hint="eastAsia" w:asciiTheme="minorEastAsia" w:hAnsiTheme="minorEastAsia" w:eastAsiaTheme="minorEastAsia" w:cstheme="minorEastAsia"/>
                <w:color w:val="auto"/>
                <w:sz w:val="24"/>
                <w:szCs w:val="24"/>
                <w:highlight w:val="none"/>
                <w:lang w:eastAsia="zh-CN"/>
              </w:rPr>
              <w:t>）</w:t>
            </w:r>
          </w:p>
        </w:tc>
        <w:tc>
          <w:tcPr>
            <w:tcW w:w="29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301" w:type="pct"/>
            <w:noWrap w:val="0"/>
            <w:vAlign w:val="center"/>
          </w:tcPr>
          <w:p>
            <w:pPr>
              <w:spacing w:line="24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229" w:type="pct"/>
            <w:noWrap w:val="0"/>
            <w:vAlign w:val="center"/>
          </w:tcPr>
          <w:p>
            <w:pPr>
              <w:spacing w:line="24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价格分30分</w:t>
            </w:r>
          </w:p>
        </w:tc>
        <w:tc>
          <w:tcPr>
            <w:tcW w:w="4169" w:type="pct"/>
            <w:noWrap w:val="0"/>
            <w:vAlign w:val="center"/>
          </w:tcPr>
          <w:p>
            <w:pPr>
              <w:widowControl/>
              <w:spacing w:line="24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参与评审的价格＝</w:t>
            </w:r>
            <w:r>
              <w:rPr>
                <w:rFonts w:hint="eastAsia" w:asciiTheme="minorEastAsia" w:hAnsiTheme="minorEastAsia" w:eastAsiaTheme="minorEastAsia" w:cstheme="minorEastAsia"/>
                <w:sz w:val="24"/>
                <w:szCs w:val="24"/>
                <w:highlight w:val="none"/>
                <w:lang w:val="zh-TW" w:eastAsia="zh-TW"/>
              </w:rPr>
              <w:t>最终报价</w:t>
            </w:r>
          </w:p>
          <w:p>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参与评审的价格最低的为评标基准价，基准价得分为满分30分；</w:t>
            </w:r>
          </w:p>
          <w:p>
            <w:pPr>
              <w:spacing w:line="24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其他供应商的价格分按照下列公式计算：</w:t>
            </w:r>
          </w:p>
          <w:p>
            <w:pPr>
              <w:spacing w:line="24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各供应商的价格得分＝（评标基准价/参与评审的价格）×30×100％</w:t>
            </w:r>
          </w:p>
        </w:tc>
        <w:tc>
          <w:tcPr>
            <w:tcW w:w="299" w:type="pct"/>
            <w:noWrap w:val="0"/>
            <w:vAlign w:val="center"/>
          </w:tcPr>
          <w:p>
            <w:pPr>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w:t>
            </w:r>
          </w:p>
        </w:tc>
        <w:tc>
          <w:tcPr>
            <w:tcW w:w="301" w:type="pct"/>
            <w:noWrap w:val="0"/>
            <w:vAlign w:val="center"/>
          </w:tcPr>
          <w:p>
            <w:pPr>
              <w:spacing w:line="24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客观分</w:t>
            </w:r>
          </w:p>
        </w:tc>
      </w:tr>
    </w:tbl>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1、供应商编制响应文件时，建议按此目录（序号和内容）提供评审标准相应的商务技术资料。2、小数点后保留二位数。3、各磋商小组成员自行按以上参考分值评分。4、重大事件由磋商小组集体讨论，应当按照少数服从多数的原则作出结论。</w:t>
      </w:r>
    </w:p>
    <w:p>
      <w:pPr>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p>
    <w:p>
      <w:pPr>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一、评审方法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综合评分法，是指响应文件满足磋商文件全部实质性要求且按评审因素的量化指标评审得分最高的供应商为成交候选供应商的评审方法。</w:t>
      </w:r>
    </w:p>
    <w:p>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二、评审标准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评审标准：</w:t>
      </w:r>
      <w:r>
        <w:rPr>
          <w:rFonts w:hint="eastAsia" w:ascii="宋体" w:hAnsi="宋体" w:eastAsia="宋体" w:cs="宋体"/>
          <w:color w:val="auto"/>
          <w:kern w:val="0"/>
          <w:sz w:val="24"/>
          <w:highlight w:val="none"/>
        </w:rPr>
        <w:t>见评审办法前附表。</w:t>
      </w:r>
    </w:p>
    <w:p>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三、评审程序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3.2 磋商。</w:t>
      </w:r>
      <w:r>
        <w:rPr>
          <w:rFonts w:hint="eastAsia" w:ascii="宋体" w:hAnsi="宋体" w:eastAsia="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供应商逐一进行磋商。</w:t>
      </w:r>
      <w:r>
        <w:rPr>
          <w:rFonts w:hint="eastAsia" w:asciiTheme="minorEastAsia" w:hAnsiTheme="minorEastAsia" w:eastAsiaTheme="minorEastAsia"/>
          <w:b/>
          <w:bCs/>
          <w:color w:val="auto"/>
          <w:sz w:val="24"/>
          <w:szCs w:val="24"/>
          <w:highlight w:val="none"/>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 xml:space="preserve">3.2.1 </w:t>
      </w:r>
      <w:r>
        <w:rPr>
          <w:rFonts w:hint="eastAsia" w:ascii="宋体" w:hAnsi="宋体" w:eastAsia="宋体" w:cs="宋体"/>
          <w:color w:val="auto"/>
          <w:sz w:val="24"/>
          <w:highlight w:val="none"/>
        </w:rPr>
        <w:t>供应商逐家回答磋商小组的提问；</w:t>
      </w:r>
      <w:r>
        <w:rPr>
          <w:rFonts w:hint="eastAsia" w:ascii="宋体" w:hAnsi="宋体" w:eastAsia="宋体" w:cs="宋体"/>
          <w:b/>
          <w:color w:val="auto"/>
          <w:sz w:val="24"/>
          <w:highlight w:val="none"/>
        </w:rPr>
        <w:t>逐家磋商一次为一个轮次，磋商轮次根据实际情况进行。</w:t>
      </w:r>
    </w:p>
    <w:p>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bCs/>
          <w:color w:val="auto"/>
          <w:sz w:val="24"/>
          <w:highlight w:val="none"/>
        </w:rPr>
        <w:t xml:space="preserve">3.2.2 </w:t>
      </w:r>
      <w:r>
        <w:rPr>
          <w:rFonts w:hint="eastAsia" w:ascii="宋体" w:hAnsi="宋体" w:eastAsia="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hint="eastAsia" w:ascii="宋体" w:hAnsi="宋体" w:eastAsia="宋体" w:cs="宋体"/>
          <w:bCs/>
          <w:color w:val="auto"/>
          <w:kern w:val="0"/>
          <w:sz w:val="24"/>
          <w:highlight w:val="none"/>
        </w:rPr>
      </w:pPr>
      <w:r>
        <w:rPr>
          <w:rFonts w:hint="eastAsia" w:ascii="宋体" w:hAnsi="宋体" w:eastAsia="宋体" w:cs="宋体"/>
          <w:color w:val="auto"/>
          <w:sz w:val="24"/>
          <w:highlight w:val="none"/>
        </w:rPr>
        <w:t xml:space="preserve">3.2.3 </w:t>
      </w:r>
      <w:r>
        <w:rPr>
          <w:rFonts w:hint="eastAsia" w:ascii="宋体" w:hAnsi="宋体" w:eastAsia="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color w:val="auto"/>
          <w:sz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highlight w:val="none"/>
        </w:rPr>
        <w:t>符合性审查合格的</w:t>
      </w:r>
      <w:r>
        <w:rPr>
          <w:rFonts w:hint="eastAsia" w:ascii="宋体" w:hAnsi="宋体" w:eastAsia="宋体" w:cs="宋体"/>
          <w:color w:val="auto"/>
          <w:sz w:val="24"/>
          <w:highlight w:val="none"/>
        </w:rPr>
        <w:t xml:space="preserve">供应商。 </w:t>
      </w:r>
    </w:p>
    <w:p>
      <w:pPr>
        <w:spacing w:line="360" w:lineRule="auto"/>
        <w:ind w:firstLine="472" w:firstLineChars="196"/>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3.3最后报价</w:t>
      </w:r>
    </w:p>
    <w:p>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3.3.3 已提交响应文件的供应商，在提交最后报价之前，可以根据磋商情况退出磋商</w:t>
      </w:r>
      <w:r>
        <w:rPr>
          <w:rFonts w:hint="eastAsia" w:ascii="宋体" w:hAnsi="宋体" w:eastAsia="宋体" w:cs="宋体"/>
          <w:color w:val="auto"/>
          <w:kern w:val="0"/>
          <w:sz w:val="24"/>
          <w:highlight w:val="none"/>
          <w:lang w:eastAsia="zh-CN"/>
        </w:rPr>
        <w:t>。如供应商未按磋商小组的要求在规定的时间内提交最后报价的，视为退出磋商。</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3.4 综合评分。</w:t>
      </w:r>
      <w:r>
        <w:rPr>
          <w:rFonts w:hint="eastAsia" w:ascii="宋体" w:hAnsi="宋体" w:eastAsia="宋体" w:cs="宋体"/>
          <w:bCs/>
          <w:color w:val="auto"/>
          <w:kern w:val="0"/>
          <w:sz w:val="24"/>
          <w:highlight w:val="none"/>
        </w:rPr>
        <w:t>经磋商确定最终采购需求和提交最后报价的供应商后，</w:t>
      </w:r>
      <w:r>
        <w:rPr>
          <w:rFonts w:hint="eastAsia" w:ascii="宋体" w:hAnsi="宋体" w:eastAsia="宋体" w:cs="宋体"/>
          <w:color w:val="auto"/>
          <w:kern w:val="0"/>
          <w:sz w:val="24"/>
          <w:highlight w:val="none"/>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3.5汇总商务技术得分。</w:t>
      </w:r>
      <w:r>
        <w:rPr>
          <w:rFonts w:hint="eastAsia" w:ascii="宋体" w:hAnsi="宋体" w:eastAsia="宋体" w:cs="宋体"/>
          <w:color w:val="auto"/>
          <w:kern w:val="0"/>
          <w:sz w:val="24"/>
          <w:highlight w:val="none"/>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3.6报价评审。</w:t>
      </w:r>
    </w:p>
    <w:p>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3.6.1响应文件报价出现前后不一致的，按照下列规定修正</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修正原则</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3.6.1.1响应文件中已标价工程量清单内容与响应文件中相应内容不一致的，以已标价工程量清单为准</w:t>
      </w:r>
      <w:r>
        <w:rPr>
          <w:rFonts w:hint="eastAsia" w:ascii="宋体" w:hAnsi="宋体" w:cs="宋体"/>
          <w:color w:val="auto"/>
          <w:kern w:val="0"/>
          <w:szCs w:val="24"/>
          <w:highlight w:val="none"/>
          <w:lang w:eastAsia="zh-CN"/>
        </w:rPr>
        <w:t>；</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3.6.1.2大写金额和小写金额不一致的，以大写金额为准</w:t>
      </w:r>
      <w:r>
        <w:rPr>
          <w:rFonts w:hint="eastAsia" w:ascii="宋体" w:hAnsi="宋体" w:cs="宋体"/>
          <w:color w:val="auto"/>
          <w:kern w:val="0"/>
          <w:szCs w:val="24"/>
          <w:highlight w:val="none"/>
          <w:lang w:eastAsia="zh-CN"/>
        </w:rPr>
        <w:t>；</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3.6.1.3单价金额小数点或者百分比有明显错位的，以已标价工程量清单的总价为准，并修改单价</w:t>
      </w:r>
      <w:r>
        <w:rPr>
          <w:rFonts w:hint="eastAsia" w:ascii="宋体" w:hAnsi="宋体" w:cs="宋体"/>
          <w:color w:val="auto"/>
          <w:kern w:val="0"/>
          <w:szCs w:val="24"/>
          <w:highlight w:val="none"/>
          <w:lang w:eastAsia="zh-CN"/>
        </w:rPr>
        <w:t>；</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3.6.1.4总价金额与按单价汇总金额不一致的，以单价金额计算结果为准。</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3.6.1.5同时出现两种以上不一致的，按照3.6.1规定的顺序修正。修正后的报价经供应商确认后产生约束力。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3.6.2响应文件出现不是唯一的、有选择性最后报价的，响应文件无效。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3.6.3最后报价超过采购文件中规定的预算金额或者最高限价的，响应文件无效。</w:t>
      </w:r>
    </w:p>
    <w:p>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3.6.4对于未预留份额专门面向中小企业的政府采购工程项目，以及预留份额政府采购工程项目中的非预留部分标项，对小型和微型企业的最后报价给予</w:t>
      </w:r>
      <w:r>
        <w:rPr>
          <w:rFonts w:hint="eastAsia" w:ascii="宋体" w:hAnsi="宋体" w:eastAsia="宋体" w:cs="宋体"/>
          <w:color w:val="auto"/>
          <w:kern w:val="0"/>
          <w:szCs w:val="24"/>
          <w:highlight w:val="none"/>
          <w:lang w:val="en-US" w:eastAsia="zh-CN"/>
        </w:rPr>
        <w:t>3</w:t>
      </w:r>
      <w:r>
        <w:rPr>
          <w:rFonts w:hint="eastAsia" w:ascii="宋体" w:hAnsi="宋体" w:eastAsia="宋体" w:cs="宋体"/>
          <w:color w:val="auto"/>
          <w:kern w:val="0"/>
          <w:szCs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1</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rPr>
        <w:t>3.7排序与推荐。</w:t>
      </w:r>
      <w:r>
        <w:rPr>
          <w:rFonts w:hint="eastAsia" w:ascii="宋体" w:hAnsi="宋体" w:eastAsia="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3.8编写评审报告。</w:t>
      </w:r>
      <w:r>
        <w:rPr>
          <w:rFonts w:hint="eastAsia" w:ascii="宋体" w:hAnsi="宋体" w:eastAsia="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四、评审中的其他事项</w:t>
      </w:r>
    </w:p>
    <w:p>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4.1供应商澄清、说明或者补正。</w:t>
      </w:r>
      <w:r>
        <w:rPr>
          <w:rFonts w:hint="eastAsia" w:ascii="宋体" w:hAnsi="宋体" w:eastAsia="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4.2响应文件无效。</w:t>
      </w:r>
      <w:r>
        <w:rPr>
          <w:rFonts w:hint="eastAsia" w:ascii="宋体" w:hAnsi="宋体" w:eastAsia="宋体" w:cs="宋体"/>
          <w:color w:val="auto"/>
          <w:szCs w:val="21"/>
          <w:highlight w:val="none"/>
        </w:rPr>
        <w:t>有下列情形之一的，响应文件无效：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4.2.1供应商不具备采购文件中规定的资格要求的（供应商未提供有效的资格文件的，视为供应商不具备采购文件中规定的资格要求）；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4.2.2响应文件未按照采购文件要求签署、盖章的；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4.2.4响应文件含有采购人不能接受的附加条件的；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4.2.5响应文件中承诺的响应文件有效期少于采购文件中载明的响应文件有效期的；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4.2.6响应文件出现不是唯一的、有选择性最后报价的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4.2.7最后报价超过采购文件中规定的预算金额或者最高限价的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4.2.8报价明显低于其他通过符合性审查供应商的报价（低于项目预算 50%的），有可能影响产品质量或者不能诚信履约的，未能按要求提供书面说明或者提交相关证明材料，不能证明其报价合理性的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4.2.9供应商对根据修正原则修正后的报价不确认的；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4.2.10供应商提供虚假材料响应的；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4.2.11供应商有恶意串通、妨碍其他供应商的竞争行为、损害采购人或者其他供应商的合法权益情形的；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4.2.12供应商仅提交备份响应文件，未在电子交易平台传输递交响应文件的，响应文件无效；</w:t>
      </w:r>
    </w:p>
    <w:p>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4.2.13</w:t>
      </w:r>
      <w:r>
        <w:rPr>
          <w:rFonts w:hint="eastAsia" w:ascii="宋体" w:hAnsi="宋体" w:eastAsia="宋体" w:cs="宋体"/>
          <w:color w:val="auto"/>
          <w:kern w:val="0"/>
          <w:sz w:val="24"/>
          <w:highlight w:val="none"/>
          <w:lang w:val="en-US"/>
        </w:rPr>
        <w:t>参与同一个</w:t>
      </w:r>
      <w:r>
        <w:rPr>
          <w:rFonts w:hint="eastAsia" w:ascii="宋体" w:hAnsi="宋体" w:eastAsia="宋体" w:cs="宋体"/>
          <w:color w:val="auto"/>
          <w:kern w:val="0"/>
          <w:sz w:val="24"/>
          <w:highlight w:val="none"/>
          <w:lang w:val="en-US" w:eastAsia="zh-CN"/>
        </w:rPr>
        <w:t>标项</w:t>
      </w:r>
      <w:r>
        <w:rPr>
          <w:rFonts w:hint="eastAsia" w:ascii="宋体" w:hAnsi="宋体" w:eastAsia="宋体" w:cs="宋体"/>
          <w:color w:val="auto"/>
          <w:kern w:val="0"/>
          <w:sz w:val="24"/>
          <w:highlight w:val="none"/>
          <w:lang w:val="en-US"/>
        </w:rPr>
        <w:t>的供应商存在下列情形之一且无法合理解释的，其投标文件无效：</w:t>
      </w:r>
    </w:p>
    <w:p>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lang w:val="en-US"/>
        </w:rPr>
        <w:t>不同供应商的电子投标文件上传计算机的网卡MAC地址或硬盘序列号等硬件信息相同的；</w:t>
      </w:r>
    </w:p>
    <w:p>
      <w:pPr>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上传的电子投标文件若出现使用本项目其他投标供应商的数字证书加密的，或者加盖本项目其他投标供应商的电子印章的；</w:t>
      </w:r>
      <w:r>
        <w:rPr>
          <w:rFonts w:hint="eastAsia" w:ascii="宋体" w:hAnsi="宋体" w:eastAsia="宋体" w:cs="宋体"/>
          <w:color w:val="auto"/>
          <w:kern w:val="0"/>
          <w:sz w:val="24"/>
          <w:highlight w:val="none"/>
          <w:lang w:val="en-US" w:eastAsia="zh-CN"/>
        </w:rPr>
        <w:t xml:space="preserve">    </w:t>
      </w:r>
    </w:p>
    <w:p>
      <w:pPr>
        <w:spacing w:line="360" w:lineRule="auto"/>
        <w:ind w:firstLine="480" w:firstLineChars="200"/>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不同供应商的投标文件的内容存在3处（含）以上错误一致的；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rPr>
        <w:t>4</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不同供应商联系人为同一人或不同联系人的联系电话一致的。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w:t>
      </w:r>
      <w:r>
        <w:rPr>
          <w:rFonts w:hint="eastAsia" w:ascii="宋体" w:hAnsi="宋体" w:cs="宋体"/>
          <w:color w:val="auto"/>
          <w:kern w:val="0"/>
          <w:sz w:val="24"/>
          <w:highlight w:val="none"/>
          <w:lang w:val="en-US" w:eastAsia="zh-CN"/>
        </w:rPr>
        <w:t>14</w:t>
      </w:r>
      <w:r>
        <w:rPr>
          <w:rFonts w:hint="eastAsia" w:ascii="宋体" w:hAnsi="宋体" w:eastAsia="宋体" w:cs="宋体"/>
          <w:color w:val="auto"/>
          <w:kern w:val="0"/>
          <w:sz w:val="24"/>
          <w:highlight w:val="none"/>
        </w:rPr>
        <w:t xml:space="preserve"> 响应文件不满足采购文件</w:t>
      </w:r>
      <w:r>
        <w:rPr>
          <w:rFonts w:hint="eastAsia" w:ascii="宋体" w:hAnsi="宋体" w:cs="宋体"/>
          <w:color w:val="auto"/>
          <w:kern w:val="0"/>
          <w:sz w:val="24"/>
          <w:highlight w:val="none"/>
          <w:lang w:eastAsia="zh-CN"/>
        </w:rPr>
        <w:t>的其他</w:t>
      </w:r>
      <w:r>
        <w:rPr>
          <w:rFonts w:hint="eastAsia" w:ascii="宋体" w:hAnsi="宋体" w:eastAsia="宋体" w:cs="宋体"/>
          <w:color w:val="auto"/>
          <w:kern w:val="0"/>
          <w:sz w:val="24"/>
          <w:highlight w:val="none"/>
        </w:rPr>
        <w:t>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5.终止竞争性磋商采购活动。</w:t>
      </w:r>
      <w:r>
        <w:rPr>
          <w:rFonts w:hint="eastAsia" w:ascii="宋体" w:hAnsi="宋体" w:eastAsia="宋体" w:cs="宋体"/>
          <w:color w:val="auto"/>
          <w:highlight w:val="none"/>
        </w:rPr>
        <w:t>出现下列情形之一的，采购人或者采购代理机构应当终止竞争性磋商采购活动，发布项目终止公告并说明原因，重新开展采购活动：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5.1因情况变化，不再符合规定的竞争性磋商采购方式适用情形的；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5.3除本办法第二十一条第三款规定的情形外，在采购过程中符合要求的供应商或者报价未超过采购预算的供应商不足3家的。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6.重新开展采购。</w:t>
      </w:r>
      <w:r>
        <w:rPr>
          <w:rFonts w:hint="eastAsia" w:ascii="宋体" w:hAnsi="宋体" w:eastAsia="宋体" w:cs="宋体"/>
          <w:color w:val="auto"/>
          <w:highlight w:val="none"/>
        </w:rPr>
        <w:t>有政府采购法第七十一条、第七十二条规定的违法行为之一，影响或者可能影响成交结果的，依照下列规定处理：</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6.1未确定成交供应商的，终止本次政府采购活动，重新开展政府采购活动。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6.2已确定成交供应商但尚未签订政府采购合同的，成交结果无效，从合格的成交候选供应商中另行确定成交供应商；没有合格的成交候选供应商的，重新开展政府采购活动。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6.3政府采购合同已签订但尚未履行的，撤销合同，从合格的成交候选供应商中另行确定成交供应商；没有合格的成交候选供应商的，重新开展政府采购活动。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6.4政府采购合同已经履行，给采购人、供应商造成损失的，由责任人承担赔偿责任。</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pPr>
        <w:keepNext w:val="0"/>
        <w:keepLines w:val="0"/>
        <w:pageBreakBefore w:val="0"/>
        <w:widowControl w:val="0"/>
        <w:kinsoku/>
        <w:wordWrap/>
        <w:overflowPunct/>
        <w:topLinePunct w:val="0"/>
        <w:autoSpaceDE/>
        <w:autoSpaceDN/>
        <w:bidi w:val="0"/>
        <w:adjustRightInd w:val="0"/>
        <w:spacing w:before="0" w:line="348" w:lineRule="auto"/>
        <w:ind w:firstLine="643" w:firstLineChars="200"/>
        <w:jc w:val="center"/>
        <w:textAlignment w:val="auto"/>
        <w:outlineLvl w:val="9"/>
        <w:rPr>
          <w:rFonts w:hint="eastAsia" w:ascii="宋体" w:hAnsi="宋体" w:eastAsia="宋体" w:cs="宋体"/>
          <w:b/>
          <w:color w:val="auto"/>
          <w:kern w:val="2"/>
          <w:sz w:val="32"/>
          <w:szCs w:val="20"/>
          <w:highlight w:val="none"/>
          <w:lang w:val="en-US" w:eastAsia="zh-CN" w:bidi="ar-SA"/>
        </w:rPr>
      </w:pPr>
      <w:r>
        <w:rPr>
          <w:rFonts w:hint="eastAsia" w:ascii="宋体" w:hAnsi="宋体" w:eastAsia="宋体" w:cs="宋体"/>
          <w:b/>
          <w:color w:val="auto"/>
          <w:kern w:val="2"/>
          <w:sz w:val="32"/>
          <w:szCs w:val="20"/>
          <w:highlight w:val="none"/>
          <w:lang w:val="en-US" w:eastAsia="zh-CN" w:bidi="ar-SA"/>
        </w:rPr>
        <w:t>五、磋商小组的组成</w:t>
      </w:r>
    </w:p>
    <w:p>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1.磋商小组的组成。</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采用竞争性磋商方式的政府采购项目，评审专家应当从政府采购评审专家库内相关专业的专家名单中随机抽取。符合《政府采购竞争性磋商采购方式管理暂行办法》的通知</w:t>
      </w:r>
      <w:r>
        <w:rPr>
          <w:rFonts w:hint="eastAsia" w:ascii="宋体" w:hAnsi="宋体" w:cs="宋体"/>
          <w:color w:val="auto"/>
          <w:kern w:val="2"/>
          <w:sz w:val="24"/>
          <w:szCs w:val="20"/>
          <w:highlight w:val="none"/>
          <w:lang w:val="en-US" w:eastAsia="zh-CN" w:bidi="ar-SA"/>
        </w:rPr>
        <w:t>（</w:t>
      </w:r>
      <w:r>
        <w:rPr>
          <w:rFonts w:hint="eastAsia" w:ascii="宋体" w:hAnsi="宋体" w:eastAsia="宋体" w:cs="宋体"/>
          <w:color w:val="auto"/>
          <w:kern w:val="2"/>
          <w:sz w:val="24"/>
          <w:szCs w:val="20"/>
          <w:highlight w:val="none"/>
          <w:lang w:val="en-US" w:eastAsia="zh-CN" w:bidi="ar-SA"/>
        </w:rPr>
        <w:t>财库〔2014〕214号</w:t>
      </w:r>
      <w:r>
        <w:rPr>
          <w:rFonts w:hint="eastAsia" w:ascii="宋体" w:hAnsi="宋体" w:cs="宋体"/>
          <w:color w:val="auto"/>
          <w:kern w:val="2"/>
          <w:sz w:val="24"/>
          <w:szCs w:val="20"/>
          <w:highlight w:val="none"/>
          <w:lang w:val="en-US" w:eastAsia="zh-CN" w:bidi="ar-SA"/>
        </w:rPr>
        <w:t>）</w:t>
      </w:r>
      <w:r>
        <w:rPr>
          <w:rFonts w:hint="eastAsia" w:ascii="宋体" w:hAnsi="宋体" w:eastAsia="宋体" w:cs="宋体"/>
          <w:color w:val="auto"/>
          <w:kern w:val="2"/>
          <w:sz w:val="24"/>
          <w:szCs w:val="20"/>
          <w:highlight w:val="none"/>
          <w:lang w:val="en-US" w:eastAsia="zh-CN" w:bidi="ar-SA"/>
        </w:rPr>
        <w:t>第三条第四项规定情形的项目，以及情况特殊、通过随机方式难以确定合适的评审专家的项目，经主管预算单位同意，可以自行选定评审专家。技术复杂、专业性强的采购项目，评审专家中应当包含1名法律专家。</w:t>
      </w:r>
    </w:p>
    <w:p>
      <w:pPr>
        <w:keepNext w:val="0"/>
        <w:keepLines w:val="0"/>
        <w:pageBreakBefore w:val="0"/>
        <w:kinsoku/>
        <w:wordWrap/>
        <w:overflowPunct/>
        <w:topLinePunct w:val="0"/>
        <w:autoSpaceDE/>
        <w:autoSpaceDN/>
        <w:bidi w:val="0"/>
        <w:snapToGrid w:val="0"/>
        <w:spacing w:line="348" w:lineRule="auto"/>
        <w:textAlignment w:val="auto"/>
        <w:outlineLvl w:val="9"/>
        <w:rPr>
          <w:rFonts w:hint="eastAsia" w:ascii="宋体" w:hAnsi="宋体" w:eastAsia="宋体" w:cs="宋体"/>
          <w:b/>
          <w:color w:val="auto"/>
          <w:kern w:val="0"/>
          <w:sz w:val="24"/>
          <w:szCs w:val="20"/>
          <w:highlight w:val="none"/>
        </w:rPr>
      </w:pPr>
      <w:r>
        <w:rPr>
          <w:rFonts w:hint="eastAsia" w:ascii="宋体" w:hAnsi="宋体" w:eastAsia="宋体" w:cs="宋体"/>
          <w:b/>
          <w:color w:val="auto"/>
          <w:kern w:val="0"/>
          <w:sz w:val="24"/>
          <w:szCs w:val="20"/>
          <w:highlight w:val="none"/>
        </w:rPr>
        <w:t>2.磋商小组的组成人员的回避。</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在政府采购活动中，磋商小组的组成人员与供应商有下列利害关系之一的，应当回避：</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2.1参加采购活动前三年内，与供应商存在劳动关系，或者担任过供应商的董事、监事，或者是供应商的控股股东或实际控制人；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2.2与供应商的法定代表人或者负责人有夫妻、直系血亲、三代以内旁系血亲或者近姻亲关系；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2.4参与过采购项目进口产品论证。</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2.5通过随机抽到本单位的评审专家，采购人已经指定了采购人代表，该评审专家应当回避，采购人自行选定相应专业领域评审专家情形除外。</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2.6法律、法规、规章规定应当回避以及其他可能影响公正评审的.</w:t>
      </w:r>
    </w:p>
    <w:p>
      <w:pPr>
        <w:keepNext w:val="0"/>
        <w:keepLines w:val="0"/>
        <w:pageBreakBefore w:val="0"/>
        <w:kinsoku/>
        <w:wordWrap/>
        <w:overflowPunct/>
        <w:topLinePunct w:val="0"/>
        <w:autoSpaceDE/>
        <w:autoSpaceDN/>
        <w:bidi w:val="0"/>
        <w:snapToGrid w:val="0"/>
        <w:spacing w:line="348" w:lineRule="auto"/>
        <w:ind w:left="120" w:leftChars="57" w:firstLine="482" w:firstLineChars="150"/>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highlight w:val="none"/>
          <w:lang w:val="en-US" w:eastAsia="zh-CN"/>
        </w:rPr>
        <w:t>六</w:t>
      </w:r>
      <w:r>
        <w:rPr>
          <w:rFonts w:hint="eastAsia" w:ascii="宋体" w:hAnsi="宋体" w:eastAsia="宋体" w:cs="宋体"/>
          <w:b/>
          <w:color w:val="auto"/>
          <w:sz w:val="32"/>
          <w:highlight w:val="none"/>
        </w:rPr>
        <w:t>、磋商小组的职责</w:t>
      </w:r>
    </w:p>
    <w:p>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1.磋商小组负责具体评审事务，并独立履行下列职责：</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1.1</w:t>
      </w:r>
      <w:r>
        <w:rPr>
          <w:rFonts w:hint="eastAsia" w:ascii="宋体" w:hAnsi="宋体" w:eastAsia="宋体" w:cs="宋体"/>
          <w:color w:val="auto"/>
          <w:kern w:val="2"/>
          <w:sz w:val="24"/>
          <w:szCs w:val="24"/>
          <w:highlight w:val="none"/>
          <w:lang w:val="en-US" w:eastAsia="zh-CN" w:bidi="ar-SA"/>
        </w:rPr>
        <w:t>对供应商的资格进行审查；</w:t>
      </w:r>
      <w:r>
        <w:rPr>
          <w:rFonts w:hint="eastAsia" w:ascii="宋体" w:hAnsi="宋体" w:eastAsia="宋体" w:cs="宋体"/>
          <w:color w:val="auto"/>
          <w:kern w:val="2"/>
          <w:sz w:val="24"/>
          <w:szCs w:val="20"/>
          <w:highlight w:val="none"/>
          <w:lang w:val="en-US" w:eastAsia="zh-CN" w:bidi="ar-SA"/>
        </w:rPr>
        <w:t>对响应文件的有效性、完整性和响应程度进行审查；</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1.2审查、评价响应文件是否符合磋商文件的商务、技术等实质性要求；</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1.3要求供应商对响应文件有关事项作出澄清、说明或者更正；</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1.4磋商小组集中与单一供应商分别进行磋商；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1.5确定磋商文件的变动情况，并确定提交最后报价的供应商；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1.6根据磋商文件确定的评审办法及评审标准对提交最后报价的供应商的响应文件和最后报价采用综合评分法进行综合评分；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1.7编制评审报告，确定成交候选人名单，以及根据采购人委托直接确定成交人；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1.8向采购人、采购代理机构或者有关部门报告评审中发现的违法行为；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1.9法律、法规、规章、磋商文件等</w:t>
      </w:r>
      <w:r>
        <w:rPr>
          <w:rFonts w:hint="eastAsia" w:ascii="宋体" w:hAnsi="宋体" w:cs="宋体"/>
          <w:color w:val="auto"/>
          <w:kern w:val="2"/>
          <w:sz w:val="24"/>
          <w:szCs w:val="20"/>
          <w:highlight w:val="none"/>
          <w:lang w:val="en-US" w:eastAsia="zh-CN" w:bidi="ar-SA"/>
        </w:rPr>
        <w:t>规定的其他事项</w:t>
      </w:r>
      <w:r>
        <w:rPr>
          <w:rFonts w:hint="eastAsia" w:ascii="宋体" w:hAnsi="宋体" w:eastAsia="宋体" w:cs="宋体"/>
          <w:color w:val="auto"/>
          <w:kern w:val="2"/>
          <w:sz w:val="24"/>
          <w:szCs w:val="20"/>
          <w:highlight w:val="none"/>
          <w:lang w:val="en-US" w:eastAsia="zh-CN" w:bidi="ar-SA"/>
        </w:rPr>
        <w:t>。</w:t>
      </w:r>
    </w:p>
    <w:p>
      <w:pPr>
        <w:keepNext w:val="0"/>
        <w:keepLines w:val="0"/>
        <w:pageBreakBefore w:val="0"/>
        <w:widowControl w:val="0"/>
        <w:kinsoku/>
        <w:wordWrap/>
        <w:overflowPunct/>
        <w:topLinePunct w:val="0"/>
        <w:autoSpaceDE/>
        <w:autoSpaceDN/>
        <w:bidi w:val="0"/>
        <w:adjustRightInd w:val="0"/>
        <w:spacing w:before="0" w:line="348" w:lineRule="auto"/>
        <w:ind w:firstLine="0" w:firstLineChars="0"/>
        <w:jc w:val="both"/>
        <w:textAlignment w:val="auto"/>
        <w:outlineLvl w:val="9"/>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2.磋商小组及其成员不得有下列行为：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2.1确定参与本项目至评审结束前私自接触供应商；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 xml:space="preserve">2.2接受供应商提出的“超出响应文件的范围或者改变响应文件的实质性内容”的澄清、说明或者更正； </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2.3违反评审纪律发表倾向性意见或者征询采购人的倾向性意见；</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2.4对需要专业判断的主观评审因素协商评分；</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2.5在评审过程中擅离职守，影响评审程序正常进行的；</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2.6记录、复制或者带走任何评审资料；</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2.7其他不遵守评审纪律的行为。</w:t>
      </w:r>
    </w:p>
    <w:p>
      <w:pPr>
        <w:keepNext w:val="0"/>
        <w:keepLines w:val="0"/>
        <w:pageBreakBefore w:val="0"/>
        <w:widowControl w:val="0"/>
        <w:kinsoku/>
        <w:wordWrap/>
        <w:overflowPunct/>
        <w:topLinePunct w:val="0"/>
        <w:autoSpaceDE/>
        <w:autoSpaceDN/>
        <w:bidi w:val="0"/>
        <w:adjustRightInd w:val="0"/>
        <w:spacing w:before="0" w:line="348" w:lineRule="auto"/>
        <w:ind w:firstLine="480" w:firstLineChars="200"/>
        <w:jc w:val="both"/>
        <w:textAlignment w:val="auto"/>
        <w:outlineLvl w:val="9"/>
        <w:rPr>
          <w:rFonts w:hint="eastAsia" w:ascii="宋体" w:hAnsi="宋体" w:eastAsia="宋体" w:cs="宋体"/>
          <w:color w:val="auto"/>
          <w:highlight w:val="none"/>
        </w:rPr>
      </w:pPr>
      <w:r>
        <w:rPr>
          <w:rFonts w:hint="eastAsia" w:ascii="宋体" w:hAnsi="宋体" w:eastAsia="宋体" w:cs="宋体"/>
          <w:color w:val="auto"/>
          <w:kern w:val="2"/>
          <w:sz w:val="24"/>
          <w:szCs w:val="20"/>
          <w:highlight w:val="none"/>
          <w:lang w:val="en-US" w:eastAsia="zh-CN" w:bidi="ar-SA"/>
        </w:rPr>
        <w:t>磋商小组成员有2.1-2.5行为之一的，其评审意见无效，并不得获取评审劳务报酬和报销异地评审差旅费。</w:t>
      </w: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rPr>
          <w:rFonts w:hint="eastAsia" w:ascii="宋体" w:hAnsi="宋体" w:eastAsia="宋体" w:cs="宋体"/>
          <w:color w:val="auto"/>
          <w:highlight w:val="none"/>
        </w:rPr>
        <w:sectPr>
          <w:pgSz w:w="11907" w:h="16840"/>
          <w:pgMar w:top="1440" w:right="1080" w:bottom="1440" w:left="1080" w:header="851" w:footer="851" w:gutter="0"/>
          <w:pgNumType w:fmt="decimal"/>
          <w:cols w:space="720" w:num="1"/>
        </w:sectPr>
      </w:pPr>
    </w:p>
    <w:bookmarkEnd w:id="44"/>
    <w:p>
      <w:pPr>
        <w:spacing w:line="360" w:lineRule="auto"/>
        <w:jc w:val="center"/>
        <w:outlineLvl w:val="0"/>
        <w:rPr>
          <w:rFonts w:hint="eastAsia" w:ascii="宋体" w:hAnsi="宋体" w:eastAsia="宋体" w:cs="宋体"/>
          <w:b/>
          <w:color w:val="auto"/>
          <w:sz w:val="36"/>
          <w:szCs w:val="36"/>
          <w:highlight w:val="none"/>
        </w:rPr>
      </w:pPr>
      <w:bookmarkStart w:id="412" w:name="_Toc27383"/>
      <w:bookmarkStart w:id="413" w:name="第五部分"/>
      <w:bookmarkStart w:id="414" w:name="_Toc86217003"/>
      <w:r>
        <w:rPr>
          <w:rFonts w:hint="eastAsia" w:ascii="宋体" w:hAnsi="宋体" w:eastAsia="宋体" w:cs="宋体"/>
          <w:b/>
          <w:color w:val="auto"/>
          <w:sz w:val="36"/>
          <w:szCs w:val="36"/>
          <w:highlight w:val="none"/>
        </w:rPr>
        <w:t>第五部分 拟签订的合同文本</w:t>
      </w:r>
      <w:bookmarkEnd w:id="412"/>
    </w:p>
    <w:p>
      <w:pPr>
        <w:snapToGrid w:val="0"/>
        <w:spacing w:line="360" w:lineRule="auto"/>
        <w:ind w:firstLine="480" w:firstLineChars="200"/>
        <w:jc w:val="left"/>
        <w:rPr>
          <w:rFonts w:hint="eastAsia" w:ascii="宋体" w:hAnsi="宋体" w:eastAsia="宋体" w:cs="宋体"/>
          <w:snapToGrid w:val="0"/>
          <w:color w:val="auto"/>
          <w:kern w:val="0"/>
          <w:sz w:val="24"/>
          <w:szCs w:val="20"/>
          <w:highlight w:val="none"/>
        </w:rPr>
      </w:pPr>
      <w:r>
        <w:rPr>
          <w:rFonts w:hint="eastAsia" w:ascii="宋体" w:hAnsi="宋体" w:eastAsia="宋体" w:cs="宋体"/>
          <w:snapToGrid w:val="0"/>
          <w:color w:val="auto"/>
          <w:kern w:val="0"/>
          <w:sz w:val="24"/>
          <w:szCs w:val="20"/>
          <w:highlight w:val="none"/>
        </w:rPr>
        <w:t>参考住房城乡建设部、原国家工商行政管理总局制定的《建设工程施工合同（示范文本）》（GF-2017-0201）。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44"/>
          <w:sz w:val="24"/>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44"/>
          <w:sz w:val="24"/>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44"/>
          <w:sz w:val="24"/>
          <w:szCs w:val="20"/>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44"/>
          <w:sz w:val="24"/>
          <w:szCs w:val="20"/>
          <w:highlight w:val="none"/>
        </w:rPr>
        <w:br w:type="page"/>
      </w:r>
    </w:p>
    <w:p>
      <w:pPr>
        <w:keepNext/>
        <w:keepLines/>
        <w:numPr>
          <w:ilvl w:val="1"/>
          <w:numId w:val="0"/>
        </w:numPr>
        <w:snapToGrid w:val="0"/>
        <w:spacing w:before="100" w:line="360" w:lineRule="auto"/>
        <w:jc w:val="center"/>
        <w:outlineLvl w:val="0"/>
        <w:rPr>
          <w:rFonts w:hint="eastAsia" w:ascii="宋体" w:hAnsi="宋体" w:eastAsia="宋体" w:cs="宋体"/>
          <w:snapToGrid w:val="0"/>
          <w:color w:val="auto"/>
          <w:kern w:val="44"/>
          <w:sz w:val="28"/>
          <w:szCs w:val="20"/>
          <w:highlight w:val="none"/>
        </w:rPr>
      </w:pPr>
      <w:bookmarkStart w:id="415" w:name="_Toc32130"/>
      <w:bookmarkStart w:id="416" w:name="_Toc97299497"/>
      <w:bookmarkStart w:id="417" w:name="_Toc984"/>
      <w:r>
        <w:rPr>
          <w:rFonts w:hint="eastAsia" w:ascii="宋体" w:hAnsi="宋体" w:eastAsia="宋体" w:cs="宋体"/>
          <w:snapToGrid w:val="0"/>
          <w:color w:val="auto"/>
          <w:kern w:val="44"/>
          <w:sz w:val="28"/>
          <w:szCs w:val="28"/>
          <w:highlight w:val="none"/>
        </w:rPr>
        <w:t>第一部分  合同协议书</w:t>
      </w:r>
      <w:bookmarkEnd w:id="415"/>
      <w:bookmarkEnd w:id="416"/>
      <w:bookmarkEnd w:id="417"/>
    </w:p>
    <w:p>
      <w:pPr>
        <w:snapToGrid w:val="0"/>
        <w:spacing w:line="360" w:lineRule="auto"/>
        <w:ind w:firstLine="470" w:firstLineChars="196"/>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发包人（全称）：</w:t>
      </w:r>
      <w:r>
        <w:rPr>
          <w:rFonts w:hint="eastAsia" w:ascii="宋体" w:hAnsi="宋体" w:eastAsia="宋体" w:cs="宋体"/>
          <w:snapToGrid w:val="0"/>
          <w:color w:val="auto"/>
          <w:kern w:val="0"/>
          <w:sz w:val="24"/>
          <w:highlight w:val="none"/>
          <w:u w:val="single"/>
        </w:rPr>
        <w:t xml:space="preserve">    </w:t>
      </w:r>
      <w:bookmarkStart w:id="418" w:name="SOA_hhxys_fbr"/>
      <w:r>
        <w:rPr>
          <w:rFonts w:hint="eastAsia" w:ascii="宋体" w:hAnsi="宋体" w:eastAsia="宋体" w:cs="宋体"/>
          <w:snapToGrid w:val="0"/>
          <w:color w:val="auto"/>
          <w:kern w:val="0"/>
          <w:sz w:val="24"/>
          <w:highlight w:val="none"/>
          <w:u w:val="single"/>
        </w:rPr>
        <w:t xml:space="preserve">                  </w:t>
      </w:r>
      <w:bookmarkEnd w:id="418"/>
      <w:r>
        <w:rPr>
          <w:rFonts w:hint="eastAsia" w:ascii="宋体" w:hAnsi="宋体" w:eastAsia="宋体" w:cs="宋体"/>
          <w:snapToGrid w:val="0"/>
          <w:color w:val="auto"/>
          <w:kern w:val="0"/>
          <w:sz w:val="24"/>
          <w:highlight w:val="none"/>
          <w:u w:val="single"/>
        </w:rPr>
        <w:t xml:space="preserve"> </w:t>
      </w:r>
    </w:p>
    <w:p>
      <w:pPr>
        <w:snapToGrid w:val="0"/>
        <w:spacing w:line="360" w:lineRule="auto"/>
        <w:ind w:firstLine="470" w:firstLineChars="196"/>
        <w:rPr>
          <w:rFonts w:hint="eastAsia" w:ascii="宋体" w:hAnsi="宋体" w:eastAsia="宋体" w:cs="宋体"/>
          <w:b/>
          <w:snapToGrid w:val="0"/>
          <w:color w:val="auto"/>
          <w:kern w:val="0"/>
          <w:sz w:val="24"/>
          <w:highlight w:val="none"/>
          <w:u w:val="single"/>
        </w:rPr>
      </w:pPr>
      <w:r>
        <w:rPr>
          <w:rFonts w:hint="eastAsia" w:ascii="宋体" w:hAnsi="宋体" w:eastAsia="宋体" w:cs="宋体"/>
          <w:snapToGrid w:val="0"/>
          <w:color w:val="auto"/>
          <w:kern w:val="0"/>
          <w:sz w:val="24"/>
          <w:highlight w:val="none"/>
        </w:rPr>
        <w:t>承包人（全称）：</w:t>
      </w:r>
      <w:r>
        <w:rPr>
          <w:rFonts w:hint="eastAsia" w:ascii="宋体" w:hAnsi="宋体" w:eastAsia="宋体" w:cs="宋体"/>
          <w:snapToGrid w:val="0"/>
          <w:color w:val="auto"/>
          <w:kern w:val="0"/>
          <w:sz w:val="24"/>
          <w:highlight w:val="none"/>
          <w:u w:val="single"/>
        </w:rPr>
        <w:t xml:space="preserve">                  </w:t>
      </w:r>
      <w:bookmarkStart w:id="419" w:name="SOA_hhxys_cb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b/>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u w:val="single"/>
        </w:rPr>
        <w:t xml:space="preserve">    </w:t>
      </w:r>
      <w:bookmarkEnd w:id="419"/>
      <w:r>
        <w:rPr>
          <w:rFonts w:hint="eastAsia" w:ascii="宋体" w:hAnsi="宋体" w:eastAsia="宋体" w:cs="宋体"/>
          <w:snapToGrid w:val="0"/>
          <w:color w:val="auto"/>
          <w:kern w:val="0"/>
          <w:sz w:val="24"/>
          <w:highlight w:val="none"/>
          <w:u w:val="single"/>
        </w:rPr>
        <w:t xml:space="preserve">   </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根据《中华人民共和国民法典》、 《中华人民共和国建筑法》及有关法律规定，遵循平等、自愿、公平和诚实信用的原则，双方就</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工程施工及有关事项协商一致，共同达成如下协议：</w:t>
      </w:r>
    </w:p>
    <w:p>
      <w:pPr>
        <w:snapToGrid w:val="0"/>
        <w:spacing w:before="24" w:beforeLines="10" w:after="24" w:afterLines="10" w:line="360" w:lineRule="auto"/>
        <w:outlineLvl w:val="1"/>
        <w:rPr>
          <w:rFonts w:hint="eastAsia" w:ascii="宋体" w:hAnsi="宋体" w:eastAsia="宋体" w:cs="宋体"/>
          <w:b/>
          <w:bCs/>
          <w:snapToGrid w:val="0"/>
          <w:color w:val="auto"/>
          <w:kern w:val="0"/>
          <w:sz w:val="24"/>
          <w:highlight w:val="none"/>
        </w:rPr>
      </w:pPr>
      <w:bookmarkStart w:id="420" w:name="_Toc97299498"/>
      <w:bookmarkStart w:id="421" w:name="_Toc361220410"/>
      <w:r>
        <w:rPr>
          <w:rFonts w:hint="eastAsia" w:ascii="宋体" w:hAnsi="宋体" w:eastAsia="宋体" w:cs="宋体"/>
          <w:b/>
          <w:bCs/>
          <w:snapToGrid w:val="0"/>
          <w:color w:val="auto"/>
          <w:kern w:val="0"/>
          <w:sz w:val="24"/>
          <w:highlight w:val="none"/>
        </w:rPr>
        <w:t>一、工程概况</w:t>
      </w:r>
      <w:bookmarkEnd w:id="420"/>
      <w:bookmarkEnd w:id="421"/>
    </w:p>
    <w:p>
      <w:pPr>
        <w:snapToGrid w:val="0"/>
        <w:spacing w:line="360" w:lineRule="auto"/>
        <w:ind w:firstLine="470" w:firstLineChars="196"/>
        <w:rPr>
          <w:rFonts w:hint="eastAsia" w:ascii="宋体" w:hAnsi="宋体" w:eastAsia="宋体" w:cs="宋体"/>
          <w:snapToGrid w:val="0"/>
          <w:color w:val="auto"/>
          <w:kern w:val="0"/>
          <w:sz w:val="24"/>
          <w:highlight w:val="none"/>
          <w:u w:val="single"/>
        </w:rPr>
      </w:pPr>
      <w:r>
        <w:rPr>
          <w:rFonts w:hint="eastAsia" w:ascii="宋体" w:hAnsi="宋体" w:eastAsia="宋体" w:cs="宋体"/>
          <w:bCs/>
          <w:snapToGrid w:val="0"/>
          <w:color w:val="auto"/>
          <w:kern w:val="0"/>
          <w:sz w:val="24"/>
          <w:highlight w:val="none"/>
        </w:rPr>
        <w:t>1.工程名称</w:t>
      </w:r>
      <w:r>
        <w:rPr>
          <w:rFonts w:hint="eastAsia" w:ascii="宋体" w:hAnsi="宋体" w:eastAsia="宋体" w:cs="宋体"/>
          <w:snapToGrid w:val="0"/>
          <w:color w:val="auto"/>
          <w:kern w:val="0"/>
          <w:sz w:val="24"/>
          <w:highlight w:val="none"/>
        </w:rPr>
        <w:t>：</w:t>
      </w:r>
      <w:r>
        <w:rPr>
          <w:rFonts w:hint="eastAsia" w:ascii="宋体" w:hAnsi="宋体" w:cs="宋体"/>
          <w:snapToGrid w:val="0"/>
          <w:color w:val="auto"/>
          <w:kern w:val="0"/>
          <w:sz w:val="24"/>
          <w:highlight w:val="none"/>
          <w:u w:val="single"/>
          <w:lang w:eastAsia="zh-CN"/>
        </w:rPr>
        <w:t>宁海县公安局内部维修改造项目</w:t>
      </w:r>
      <w:r>
        <w:rPr>
          <w:rFonts w:hint="eastAsia" w:ascii="宋体" w:hAnsi="宋体" w:eastAsia="宋体" w:cs="宋体"/>
          <w:snapToGrid w:val="0"/>
          <w:color w:val="auto"/>
          <w:kern w:val="0"/>
          <w:sz w:val="24"/>
          <w:highlight w:val="none"/>
        </w:rPr>
        <w:t>。</w:t>
      </w:r>
    </w:p>
    <w:p>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2.工程地点：</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val="en-US" w:eastAsia="zh-CN"/>
        </w:rPr>
        <w:t xml:space="preserve">         </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p>
    <w:p>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3.工程立项批准文号：</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u w:val="single"/>
          <w:lang w:val="en-US" w:eastAsia="zh-CN"/>
        </w:rPr>
        <w:t>/</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w:t>
      </w:r>
    </w:p>
    <w:p>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4.资金来源：</w:t>
      </w:r>
      <w:r>
        <w:rPr>
          <w:rFonts w:hint="eastAsia" w:ascii="宋体" w:hAnsi="宋体" w:eastAsia="宋体" w:cs="宋体"/>
          <w:snapToGrid w:val="0"/>
          <w:color w:val="auto"/>
          <w:kern w:val="0"/>
          <w:sz w:val="24"/>
          <w:highlight w:val="none"/>
          <w:u w:val="single"/>
        </w:rPr>
        <w:t>        </w:t>
      </w:r>
      <w:r>
        <w:rPr>
          <w:rFonts w:hint="eastAsia" w:ascii="宋体" w:hAnsi="宋体" w:eastAsia="宋体" w:cs="宋体"/>
          <w:bCs/>
          <w:snapToGrid w:val="0"/>
          <w:color w:val="auto"/>
          <w:kern w:val="0"/>
          <w:sz w:val="24"/>
          <w:highlight w:val="none"/>
        </w:rPr>
        <w:t>。</w:t>
      </w:r>
    </w:p>
    <w:p>
      <w:pPr>
        <w:snapToGrid w:val="0"/>
        <w:spacing w:line="360" w:lineRule="auto"/>
        <w:ind w:firstLine="463" w:firstLineChars="193"/>
        <w:rPr>
          <w:rFonts w:hint="eastAsia" w:ascii="宋体" w:hAnsi="宋体" w:eastAsia="宋体" w:cs="宋体"/>
          <w:snapToGrid w:val="0"/>
          <w:color w:val="auto"/>
          <w:kern w:val="0"/>
          <w:sz w:val="24"/>
          <w:highlight w:val="none"/>
          <w:u w:val="none"/>
        </w:rPr>
      </w:pPr>
      <w:r>
        <w:rPr>
          <w:rFonts w:hint="eastAsia" w:ascii="宋体" w:hAnsi="宋体" w:eastAsia="宋体" w:cs="宋体"/>
          <w:bCs/>
          <w:snapToGrid w:val="0"/>
          <w:color w:val="auto"/>
          <w:kern w:val="0"/>
          <w:sz w:val="24"/>
          <w:highlight w:val="none"/>
        </w:rPr>
        <w:t>5.工程内容：</w:t>
      </w:r>
      <w:r>
        <w:rPr>
          <w:rFonts w:hint="eastAsia" w:ascii="宋体" w:hAnsi="宋体" w:cs="宋体"/>
          <w:color w:val="auto"/>
          <w:sz w:val="24"/>
          <w:highlight w:val="none"/>
          <w:u w:val="single"/>
          <w:lang w:eastAsia="zh-CN"/>
        </w:rPr>
        <w:t>宁海县公安局内部维修改造项目</w:t>
      </w:r>
      <w:r>
        <w:rPr>
          <w:rFonts w:hint="eastAsia" w:ascii="宋体" w:hAnsi="宋体" w:cs="宋体"/>
          <w:color w:val="auto"/>
          <w:sz w:val="24"/>
          <w:highlight w:val="none"/>
          <w:u w:val="none"/>
          <w:lang w:eastAsia="zh-CN"/>
        </w:rPr>
        <w:t>。</w:t>
      </w:r>
    </w:p>
    <w:p>
      <w:pPr>
        <w:snapToGrid w:val="0"/>
        <w:spacing w:line="360" w:lineRule="auto"/>
        <w:ind w:firstLine="470" w:firstLineChars="196"/>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6.工程承包范围：</w:t>
      </w:r>
    </w:p>
    <w:p>
      <w:pPr>
        <w:snapToGrid w:val="0"/>
        <w:spacing w:line="360" w:lineRule="auto"/>
        <w:ind w:firstLine="463" w:firstLineChars="193"/>
        <w:rPr>
          <w:rFonts w:hint="eastAsia" w:ascii="宋体" w:hAnsi="宋体" w:eastAsia="宋体" w:cs="宋体"/>
          <w:bCs/>
          <w:snapToGrid w:val="0"/>
          <w:color w:val="auto"/>
          <w:kern w:val="0"/>
          <w:sz w:val="24"/>
          <w:highlight w:val="none"/>
          <w:lang w:eastAsia="zh-CN"/>
        </w:rPr>
      </w:pPr>
      <w:bookmarkStart w:id="422" w:name="_Toc361220411"/>
      <w:r>
        <w:rPr>
          <w:rFonts w:hint="eastAsia" w:ascii="宋体" w:hAnsi="宋体" w:eastAsia="宋体" w:cs="宋体"/>
          <w:bCs/>
          <w:snapToGrid w:val="0"/>
          <w:color w:val="auto"/>
          <w:kern w:val="0"/>
          <w:sz w:val="24"/>
          <w:highlight w:val="none"/>
        </w:rPr>
        <w:t>本项目为</w:t>
      </w:r>
      <w:r>
        <w:rPr>
          <w:rFonts w:hint="eastAsia" w:ascii="宋体" w:hAnsi="宋体" w:cs="宋体"/>
          <w:bCs/>
          <w:snapToGrid w:val="0"/>
          <w:color w:val="auto"/>
          <w:kern w:val="0"/>
          <w:sz w:val="24"/>
          <w:highlight w:val="none"/>
          <w:lang w:eastAsia="zh-CN"/>
        </w:rPr>
        <w:t>宁海县公安局内部维修改造项目</w:t>
      </w:r>
      <w:r>
        <w:rPr>
          <w:rFonts w:hint="eastAsia" w:ascii="宋体" w:hAnsi="宋体" w:eastAsia="宋体" w:cs="宋体"/>
          <w:bCs/>
          <w:snapToGrid w:val="0"/>
          <w:color w:val="auto"/>
          <w:kern w:val="0"/>
          <w:sz w:val="24"/>
          <w:highlight w:val="none"/>
        </w:rPr>
        <w:t>项目，详见图纸、工程量清单以及采购文件要求</w:t>
      </w:r>
      <w:r>
        <w:rPr>
          <w:rFonts w:hint="eastAsia" w:ascii="宋体" w:hAnsi="宋体" w:cs="宋体"/>
          <w:bCs/>
          <w:snapToGrid w:val="0"/>
          <w:color w:val="auto"/>
          <w:kern w:val="0"/>
          <w:sz w:val="24"/>
          <w:highlight w:val="none"/>
          <w:lang w:eastAsia="zh-CN"/>
        </w:rPr>
        <w:t>。</w:t>
      </w:r>
    </w:p>
    <w:p>
      <w:pPr>
        <w:snapToGrid w:val="0"/>
        <w:spacing w:line="360" w:lineRule="auto"/>
        <w:outlineLvl w:val="1"/>
        <w:rPr>
          <w:rFonts w:hint="eastAsia" w:ascii="宋体" w:hAnsi="宋体" w:eastAsia="宋体" w:cs="宋体"/>
          <w:b/>
          <w:bCs/>
          <w:snapToGrid w:val="0"/>
          <w:color w:val="auto"/>
          <w:kern w:val="0"/>
          <w:sz w:val="24"/>
          <w:highlight w:val="none"/>
        </w:rPr>
      </w:pPr>
      <w:bookmarkStart w:id="423" w:name="_Toc97299499"/>
      <w:r>
        <w:rPr>
          <w:rFonts w:hint="eastAsia" w:ascii="宋体" w:hAnsi="宋体" w:eastAsia="宋体" w:cs="宋体"/>
          <w:b/>
          <w:bCs/>
          <w:snapToGrid w:val="0"/>
          <w:color w:val="auto"/>
          <w:kern w:val="0"/>
          <w:sz w:val="24"/>
          <w:highlight w:val="none"/>
        </w:rPr>
        <w:t>二、合同工期</w:t>
      </w:r>
      <w:bookmarkEnd w:id="422"/>
      <w:bookmarkEnd w:id="423"/>
    </w:p>
    <w:p>
      <w:pPr>
        <w:snapToGrid w:val="0"/>
        <w:spacing w:line="360" w:lineRule="auto"/>
        <w:ind w:firstLine="45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计划开工日期：</w:t>
      </w:r>
      <w:r>
        <w:rPr>
          <w:rFonts w:hint="eastAsia" w:ascii="宋体" w:hAnsi="宋体" w:eastAsia="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p>
    <w:p>
      <w:pPr>
        <w:snapToGrid w:val="0"/>
        <w:spacing w:line="360" w:lineRule="auto"/>
        <w:ind w:firstLine="459"/>
        <w:rPr>
          <w:rFonts w:hint="eastAsia" w:ascii="宋体" w:hAnsi="宋体" w:eastAsia="宋体" w:cs="宋体"/>
          <w:snapToGrid w:val="0"/>
          <w:color w:val="auto"/>
          <w:kern w:val="0"/>
          <w:sz w:val="24"/>
          <w:highlight w:val="none"/>
        </w:rPr>
      </w:pPr>
      <w:bookmarkStart w:id="424" w:name="SOA_hhxys_jgn"/>
      <w:r>
        <w:rPr>
          <w:rFonts w:hint="eastAsia" w:ascii="宋体" w:hAnsi="宋体" w:eastAsia="宋体" w:cs="宋体"/>
          <w:snapToGrid w:val="0"/>
          <w:color w:val="auto"/>
          <w:kern w:val="0"/>
          <w:sz w:val="24"/>
          <w:highlight w:val="none"/>
        </w:rPr>
        <w:t>计划竣工日期：</w:t>
      </w:r>
      <w:r>
        <w:rPr>
          <w:rFonts w:hint="eastAsia" w:ascii="宋体" w:hAnsi="宋体" w:eastAsia="宋体" w:cs="宋体"/>
          <w:snapToGrid w:val="0"/>
          <w:color w:val="auto"/>
          <w:kern w:val="0"/>
          <w:sz w:val="24"/>
          <w:highlight w:val="none"/>
          <w:u w:val="single"/>
        </w:rPr>
        <w:t>20</w:t>
      </w:r>
      <w:r>
        <w:rPr>
          <w:rFonts w:hint="eastAsia" w:ascii="宋体" w:hAnsi="宋体" w:cs="宋体"/>
          <w:snapToGrid w:val="0"/>
          <w:color w:val="auto"/>
          <w:kern w:val="0"/>
          <w:sz w:val="24"/>
          <w:highlight w:val="none"/>
          <w:u w:val="single"/>
          <w:lang w:val="en-US" w:eastAsia="zh-CN"/>
        </w:rPr>
        <w:t>25</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bookmarkEnd w:id="424"/>
    </w:p>
    <w:p>
      <w:pPr>
        <w:spacing w:line="360" w:lineRule="auto"/>
        <w:ind w:firstLine="45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工期总日历天数：</w:t>
      </w:r>
      <w:r>
        <w:rPr>
          <w:rFonts w:hint="eastAsia" w:ascii="宋体" w:hAnsi="宋体" w:cs="宋体"/>
          <w:snapToGrid w:val="0"/>
          <w:color w:val="auto"/>
          <w:kern w:val="0"/>
          <w:sz w:val="24"/>
          <w:highlight w:val="none"/>
          <w:u w:val="single"/>
          <w:lang w:val="en-US" w:eastAsia="zh-CN"/>
        </w:rPr>
        <w:t>90</w:t>
      </w:r>
      <w:r>
        <w:rPr>
          <w:rFonts w:hint="eastAsia" w:ascii="宋体" w:hAnsi="宋体" w:eastAsia="宋体" w:cs="宋体"/>
          <w:sz w:val="21"/>
          <w:szCs w:val="21"/>
          <w:highlight w:val="none"/>
          <w:u w:val="single"/>
        </w:rPr>
        <w:t>日历天</w:t>
      </w:r>
      <w:r>
        <w:rPr>
          <w:rFonts w:hint="eastAsia" w:ascii="宋体" w:hAnsi="宋体" w:eastAsia="宋体" w:cs="宋体"/>
          <w:sz w:val="21"/>
          <w:szCs w:val="21"/>
          <w:highlight w:val="none"/>
        </w:rPr>
        <w:t>，</w:t>
      </w:r>
      <w:r>
        <w:rPr>
          <w:rFonts w:hint="eastAsia" w:ascii="宋体" w:hAnsi="宋体" w:eastAsia="宋体" w:cs="宋体"/>
          <w:snapToGrid w:val="0"/>
          <w:color w:val="auto"/>
          <w:kern w:val="0"/>
          <w:sz w:val="24"/>
          <w:highlight w:val="none"/>
        </w:rPr>
        <w:t>工期总日历天数与根据前述计划开竣工日期计算的工期天数不一致的，以工期总日历天数为准。</w:t>
      </w:r>
    </w:p>
    <w:p>
      <w:pPr>
        <w:snapToGrid w:val="0"/>
        <w:spacing w:line="360" w:lineRule="auto"/>
        <w:outlineLvl w:val="1"/>
        <w:rPr>
          <w:rFonts w:hint="eastAsia" w:ascii="宋体" w:hAnsi="宋体" w:eastAsia="宋体" w:cs="宋体"/>
          <w:b/>
          <w:bCs/>
          <w:snapToGrid w:val="0"/>
          <w:color w:val="auto"/>
          <w:kern w:val="0"/>
          <w:sz w:val="24"/>
          <w:highlight w:val="none"/>
        </w:rPr>
      </w:pPr>
      <w:bookmarkStart w:id="425" w:name="_Toc97299500"/>
      <w:bookmarkStart w:id="426" w:name="_Toc361220412"/>
      <w:r>
        <w:rPr>
          <w:rFonts w:hint="eastAsia" w:ascii="宋体" w:hAnsi="宋体" w:eastAsia="宋体" w:cs="宋体"/>
          <w:b/>
          <w:bCs/>
          <w:snapToGrid w:val="0"/>
          <w:color w:val="auto"/>
          <w:kern w:val="0"/>
          <w:sz w:val="24"/>
          <w:highlight w:val="none"/>
        </w:rPr>
        <w:t>三、质量标准</w:t>
      </w:r>
      <w:bookmarkEnd w:id="425"/>
      <w:bookmarkEnd w:id="426"/>
    </w:p>
    <w:p>
      <w:pPr>
        <w:snapToGrid w:val="0"/>
        <w:spacing w:line="360" w:lineRule="auto"/>
        <w:ind w:firstLine="459"/>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工程质量符合</w:t>
      </w:r>
      <w:r>
        <w:rPr>
          <w:rFonts w:hint="eastAsia" w:ascii="宋体" w:hAnsi="宋体" w:eastAsia="宋体" w:cs="宋体"/>
          <w:snapToGrid w:val="0"/>
          <w:color w:val="auto"/>
          <w:kern w:val="0"/>
          <w:sz w:val="24"/>
          <w:highlight w:val="none"/>
          <w:u w:val="single"/>
        </w:rPr>
        <w:t>现行国家有关工程质量验收规范和标准要求，验收合格标准</w:t>
      </w:r>
      <w:r>
        <w:rPr>
          <w:rFonts w:hint="eastAsia" w:ascii="宋体" w:hAnsi="宋体" w:eastAsia="宋体" w:cs="宋体"/>
          <w:snapToGrid w:val="0"/>
          <w:color w:val="auto"/>
          <w:kern w:val="0"/>
          <w:sz w:val="24"/>
          <w:highlight w:val="none"/>
        </w:rPr>
        <w:t>。</w:t>
      </w:r>
    </w:p>
    <w:p>
      <w:pPr>
        <w:snapToGrid w:val="0"/>
        <w:spacing w:line="360" w:lineRule="auto"/>
        <w:outlineLvl w:val="1"/>
        <w:rPr>
          <w:rFonts w:hint="eastAsia" w:ascii="宋体" w:hAnsi="宋体" w:eastAsia="宋体" w:cs="宋体"/>
          <w:b/>
          <w:bCs/>
          <w:snapToGrid w:val="0"/>
          <w:color w:val="auto"/>
          <w:kern w:val="0"/>
          <w:sz w:val="24"/>
          <w:highlight w:val="none"/>
        </w:rPr>
      </w:pPr>
      <w:bookmarkStart w:id="427" w:name="_Toc97299501"/>
      <w:bookmarkStart w:id="428" w:name="_Toc361220413"/>
      <w:r>
        <w:rPr>
          <w:rFonts w:hint="eastAsia" w:ascii="宋体" w:hAnsi="宋体" w:eastAsia="宋体" w:cs="宋体"/>
          <w:b/>
          <w:bCs/>
          <w:snapToGrid w:val="0"/>
          <w:color w:val="auto"/>
          <w:kern w:val="0"/>
          <w:sz w:val="24"/>
          <w:highlight w:val="none"/>
        </w:rPr>
        <w:t>四、签约合同价与合同价格形式</w:t>
      </w:r>
      <w:bookmarkEnd w:id="427"/>
      <w:bookmarkEnd w:id="428"/>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1.签约合同价为：</w:t>
      </w:r>
    </w:p>
    <w:p>
      <w:pPr>
        <w:snapToGrid w:val="0"/>
        <w:spacing w:line="360" w:lineRule="auto"/>
        <w:ind w:firstLine="600" w:firstLineChars="25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人民币（大写）</w:t>
      </w:r>
      <w:bookmarkStart w:id="429" w:name="SOA_hhxys_htjdx"/>
      <w:r>
        <w:rPr>
          <w:rFonts w:hint="eastAsia" w:ascii="宋体" w:hAnsi="宋体" w:eastAsia="宋体" w:cs="宋体"/>
          <w:snapToGrid w:val="0"/>
          <w:color w:val="auto"/>
          <w:kern w:val="0"/>
          <w:sz w:val="24"/>
          <w:highlight w:val="none"/>
          <w:u w:val="single"/>
        </w:rPr>
        <w:t xml:space="preserve">                   </w:t>
      </w:r>
      <w:bookmarkEnd w:id="429"/>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rPr>
        <w:t xml:space="preserve"> </w:t>
      </w:r>
      <w:bookmarkStart w:id="430" w:name="SOA_hhxys_htjxx"/>
      <w:r>
        <w:rPr>
          <w:rFonts w:hint="eastAsia" w:ascii="宋体" w:hAnsi="宋体" w:eastAsia="宋体" w:cs="宋体"/>
          <w:snapToGrid w:val="0"/>
          <w:color w:val="auto"/>
          <w:kern w:val="0"/>
          <w:sz w:val="24"/>
          <w:highlight w:val="none"/>
          <w:u w:val="single"/>
        </w:rPr>
        <w:t xml:space="preserve">            </w:t>
      </w:r>
      <w:bookmarkEnd w:id="430"/>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其中：</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（1）安全文明施工费：</w:t>
      </w:r>
    </w:p>
    <w:p>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31" w:name="SOA_hhxys_wmsgfdx"/>
      <w:r>
        <w:rPr>
          <w:rFonts w:hint="eastAsia" w:ascii="宋体" w:hAnsi="宋体" w:eastAsia="宋体" w:cs="宋体"/>
          <w:snapToGrid w:val="0"/>
          <w:color w:val="auto"/>
          <w:kern w:val="0"/>
          <w:sz w:val="24"/>
          <w:highlight w:val="none"/>
          <w:u w:val="single"/>
        </w:rPr>
        <w:t xml:space="preserve">                </w:t>
      </w:r>
      <w:bookmarkEnd w:id="431"/>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bookmarkStart w:id="432" w:name="SOA_hhxys_wmsgfxx"/>
      <w:r>
        <w:rPr>
          <w:rFonts w:hint="eastAsia" w:ascii="宋体" w:hAnsi="宋体" w:eastAsia="宋体" w:cs="宋体"/>
          <w:snapToGrid w:val="0"/>
          <w:color w:val="auto"/>
          <w:kern w:val="0"/>
          <w:sz w:val="24"/>
          <w:highlight w:val="none"/>
          <w:u w:val="single"/>
        </w:rPr>
        <w:t xml:space="preserve">                  </w:t>
      </w:r>
      <w:bookmarkEnd w:id="432"/>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（2）材料和工程设备暂估价金额：</w:t>
      </w:r>
    </w:p>
    <w:p>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33" w:name="SOA_hhxys_sbzgjdx"/>
      <w:r>
        <w:rPr>
          <w:rFonts w:hint="eastAsia" w:ascii="宋体" w:hAnsi="宋体" w:eastAsia="宋体" w:cs="宋体"/>
          <w:snapToGrid w:val="0"/>
          <w:color w:val="auto"/>
          <w:kern w:val="0"/>
          <w:sz w:val="24"/>
          <w:highlight w:val="none"/>
          <w:u w:val="single"/>
        </w:rPr>
        <w:t xml:space="preserve">       </w:t>
      </w:r>
      <w:bookmarkEnd w:id="433"/>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bookmarkStart w:id="434" w:name="SOA_hhxys_sbzgjxx"/>
      <w:r>
        <w:rPr>
          <w:rFonts w:hint="eastAsia" w:ascii="宋体" w:hAnsi="宋体" w:eastAsia="宋体" w:cs="宋体"/>
          <w:snapToGrid w:val="0"/>
          <w:color w:val="auto"/>
          <w:kern w:val="0"/>
          <w:sz w:val="24"/>
          <w:highlight w:val="none"/>
          <w:u w:val="single"/>
        </w:rPr>
        <w:t xml:space="preserve">      </w:t>
      </w:r>
      <w:bookmarkEnd w:id="434"/>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（3）专业工程暂估价金额：</w:t>
      </w:r>
    </w:p>
    <w:p>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35" w:name="SOA_hhxys_gczgjdx"/>
      <w:r>
        <w:rPr>
          <w:rFonts w:hint="eastAsia" w:ascii="宋体" w:hAnsi="宋体" w:eastAsia="宋体" w:cs="宋体"/>
          <w:snapToGrid w:val="0"/>
          <w:color w:val="auto"/>
          <w:kern w:val="0"/>
          <w:sz w:val="24"/>
          <w:highlight w:val="none"/>
          <w:u w:val="single"/>
        </w:rPr>
        <w:t xml:space="preserve">       </w:t>
      </w:r>
      <w:bookmarkEnd w:id="435"/>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bookmarkStart w:id="436" w:name="SOA_hhxys_gczgjxx"/>
      <w:r>
        <w:rPr>
          <w:rFonts w:hint="eastAsia" w:ascii="宋体" w:hAnsi="宋体" w:eastAsia="宋体" w:cs="宋体"/>
          <w:snapToGrid w:val="0"/>
          <w:color w:val="auto"/>
          <w:kern w:val="0"/>
          <w:sz w:val="24"/>
          <w:highlight w:val="none"/>
          <w:u w:val="single"/>
        </w:rPr>
        <w:t xml:space="preserve">       </w:t>
      </w:r>
      <w:bookmarkEnd w:id="436"/>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（4）暂列金额：</w:t>
      </w:r>
    </w:p>
    <w:p>
      <w:pPr>
        <w:snapToGrid w:val="0"/>
        <w:spacing w:line="360" w:lineRule="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     人民币（大写）</w:t>
      </w:r>
      <w:bookmarkStart w:id="437" w:name="SOA_hhxys_zljedx"/>
      <w:r>
        <w:rPr>
          <w:rFonts w:hint="eastAsia" w:ascii="宋体" w:hAnsi="宋体" w:eastAsia="宋体" w:cs="宋体"/>
          <w:snapToGrid w:val="0"/>
          <w:color w:val="auto"/>
          <w:kern w:val="0"/>
          <w:sz w:val="24"/>
          <w:highlight w:val="none"/>
          <w:u w:val="single"/>
        </w:rPr>
        <w:t xml:space="preserve">       </w:t>
      </w:r>
      <w:bookmarkEnd w:id="437"/>
      <w:r>
        <w:rPr>
          <w:rFonts w:hint="eastAsia" w:ascii="宋体" w:hAnsi="宋体" w:cs="宋体"/>
          <w:snapToGrid w:val="0"/>
          <w:color w:val="auto"/>
          <w:kern w:val="0"/>
          <w:sz w:val="24"/>
          <w:highlight w:val="none"/>
          <w:u w:val="single"/>
          <w:lang w:eastAsia="zh-CN"/>
        </w:rPr>
        <w:t>（</w:t>
      </w:r>
      <w:r>
        <w:rPr>
          <w:rFonts w:hint="eastAsia" w:ascii="宋体" w:hAnsi="宋体" w:eastAsia="宋体" w:cs="宋体"/>
          <w:snapToGrid w:val="0"/>
          <w:color w:val="auto"/>
          <w:kern w:val="0"/>
          <w:sz w:val="24"/>
          <w:highlight w:val="none"/>
        </w:rPr>
        <w:t>¥</w:t>
      </w:r>
      <w:bookmarkStart w:id="438" w:name="SOA_hhxys_zljexx"/>
      <w:r>
        <w:rPr>
          <w:rFonts w:hint="eastAsia" w:ascii="宋体" w:hAnsi="宋体" w:eastAsia="宋体" w:cs="宋体"/>
          <w:snapToGrid w:val="0"/>
          <w:color w:val="auto"/>
          <w:kern w:val="0"/>
          <w:sz w:val="24"/>
          <w:highlight w:val="none"/>
          <w:u w:val="single"/>
        </w:rPr>
        <w:t xml:space="preserve">        </w:t>
      </w:r>
      <w:bookmarkEnd w:id="438"/>
      <w:r>
        <w:rPr>
          <w:rFonts w:hint="eastAsia" w:ascii="宋体" w:hAnsi="宋体" w:eastAsia="宋体" w:cs="宋体"/>
          <w:snapToGrid w:val="0"/>
          <w:color w:val="auto"/>
          <w:kern w:val="0"/>
          <w:sz w:val="24"/>
          <w:highlight w:val="none"/>
        </w:rPr>
        <w:t>元</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2.合同价格形式：</w:t>
      </w:r>
      <w:bookmarkStart w:id="439" w:name="SOA_hhxys_htjgxs"/>
      <w:r>
        <w:rPr>
          <w:rFonts w:hint="eastAsia" w:ascii="宋体" w:hAnsi="宋体" w:eastAsia="宋体" w:cs="宋体"/>
          <w:snapToGrid w:val="0"/>
          <w:color w:val="auto"/>
          <w:kern w:val="0"/>
          <w:sz w:val="24"/>
          <w:highlight w:val="none"/>
          <w:u w:val="single"/>
          <w:lang w:val="en-US" w:eastAsia="zh-CN"/>
        </w:rPr>
        <w:t>固定综合单价，可调</w:t>
      </w:r>
      <w:bookmarkEnd w:id="439"/>
      <w:r>
        <w:rPr>
          <w:rFonts w:hint="eastAsia" w:ascii="宋体" w:hAnsi="宋体" w:eastAsia="宋体" w:cs="宋体"/>
          <w:snapToGrid w:val="0"/>
          <w:color w:val="auto"/>
          <w:kern w:val="0"/>
          <w:sz w:val="24"/>
          <w:highlight w:val="none"/>
          <w:u w:val="single"/>
          <w:lang w:val="en-US" w:eastAsia="zh-CN"/>
        </w:rPr>
        <w:t>总价</w:t>
      </w:r>
      <w:r>
        <w:rPr>
          <w:rFonts w:hint="eastAsia" w:ascii="宋体" w:hAnsi="宋体" w:eastAsia="宋体" w:cs="宋体"/>
          <w:snapToGrid w:val="0"/>
          <w:color w:val="auto"/>
          <w:kern w:val="0"/>
          <w:sz w:val="24"/>
          <w:highlight w:val="none"/>
        </w:rPr>
        <w:t>。</w:t>
      </w:r>
    </w:p>
    <w:p>
      <w:pPr>
        <w:snapToGrid w:val="0"/>
        <w:spacing w:line="360" w:lineRule="auto"/>
        <w:outlineLvl w:val="1"/>
        <w:rPr>
          <w:rFonts w:hint="eastAsia" w:ascii="宋体" w:hAnsi="宋体" w:eastAsia="宋体" w:cs="宋体"/>
          <w:b/>
          <w:bCs/>
          <w:snapToGrid w:val="0"/>
          <w:color w:val="auto"/>
          <w:kern w:val="0"/>
          <w:sz w:val="24"/>
          <w:highlight w:val="none"/>
        </w:rPr>
      </w:pPr>
      <w:bookmarkStart w:id="440" w:name="_Toc361220414"/>
      <w:bookmarkStart w:id="441" w:name="_Toc97299502"/>
      <w:r>
        <w:rPr>
          <w:rFonts w:hint="eastAsia" w:ascii="宋体" w:hAnsi="宋体" w:eastAsia="宋体" w:cs="宋体"/>
          <w:b/>
          <w:bCs/>
          <w:snapToGrid w:val="0"/>
          <w:color w:val="auto"/>
          <w:kern w:val="0"/>
          <w:sz w:val="24"/>
          <w:highlight w:val="none"/>
        </w:rPr>
        <w:t>五、项目经理</w:t>
      </w:r>
      <w:bookmarkEnd w:id="440"/>
      <w:bookmarkEnd w:id="441"/>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承包人项目经理：</w:t>
      </w:r>
      <w:r>
        <w:rPr>
          <w:rFonts w:hint="eastAsia" w:ascii="宋体" w:hAnsi="宋体" w:eastAsia="宋体" w:cs="宋体"/>
          <w:snapToGrid w:val="0"/>
          <w:color w:val="auto"/>
          <w:kern w:val="0"/>
          <w:sz w:val="24"/>
          <w:highlight w:val="none"/>
          <w:u w:val="single"/>
        </w:rPr>
        <w:t></w:t>
      </w:r>
      <w:bookmarkStart w:id="442" w:name="SOA_hhxys_cbrxmjl"/>
      <w:r>
        <w:rPr>
          <w:rFonts w:hint="eastAsia" w:ascii="宋体" w:hAnsi="宋体" w:eastAsia="宋体" w:cs="宋体"/>
          <w:snapToGrid w:val="0"/>
          <w:color w:val="auto"/>
          <w:kern w:val="0"/>
          <w:sz w:val="24"/>
          <w:highlight w:val="none"/>
          <w:u w:val="single"/>
        </w:rPr>
        <w:t xml:space="preserve">        </w:t>
      </w:r>
      <w:bookmarkEnd w:id="442"/>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w:t>
      </w:r>
    </w:p>
    <w:p>
      <w:pPr>
        <w:snapToGrid w:val="0"/>
        <w:spacing w:line="360" w:lineRule="auto"/>
        <w:outlineLvl w:val="1"/>
        <w:rPr>
          <w:rFonts w:hint="eastAsia" w:ascii="宋体" w:hAnsi="宋体" w:eastAsia="宋体" w:cs="宋体"/>
          <w:b/>
          <w:bCs/>
          <w:snapToGrid w:val="0"/>
          <w:color w:val="auto"/>
          <w:kern w:val="0"/>
          <w:sz w:val="24"/>
          <w:highlight w:val="none"/>
        </w:rPr>
      </w:pPr>
      <w:bookmarkStart w:id="443" w:name="_Toc361220415"/>
      <w:bookmarkStart w:id="444" w:name="_Toc97299503"/>
      <w:r>
        <w:rPr>
          <w:rFonts w:hint="eastAsia" w:ascii="宋体" w:hAnsi="宋体" w:eastAsia="宋体" w:cs="宋体"/>
          <w:b/>
          <w:bCs/>
          <w:snapToGrid w:val="0"/>
          <w:color w:val="auto"/>
          <w:kern w:val="0"/>
          <w:sz w:val="24"/>
          <w:highlight w:val="none"/>
        </w:rPr>
        <w:t>六、合同文件构成</w:t>
      </w:r>
      <w:bookmarkEnd w:id="443"/>
      <w:bookmarkEnd w:id="444"/>
    </w:p>
    <w:p>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本协议书与下列文件一起构成合同文件：</w:t>
      </w:r>
    </w:p>
    <w:p>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（1）成交通知书（如果有）；</w:t>
      </w:r>
    </w:p>
    <w:p>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（2）响应函及其附录（如果有）； </w:t>
      </w:r>
    </w:p>
    <w:p>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（3）专用合同条款及其附件；</w:t>
      </w:r>
    </w:p>
    <w:p>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（4）通用合同条款；</w:t>
      </w:r>
    </w:p>
    <w:p>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（5）技术标准和要求；</w:t>
      </w:r>
    </w:p>
    <w:p>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（6）图纸；</w:t>
      </w:r>
    </w:p>
    <w:p>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（7）已标价工程量清单或预算书；</w:t>
      </w:r>
    </w:p>
    <w:p>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（8）其他合同文件。</w:t>
      </w:r>
    </w:p>
    <w:p>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在合同订立及履行过程中形成的与合同有关的文件均构成合同文件组成部分。</w:t>
      </w:r>
    </w:p>
    <w:p>
      <w:pPr>
        <w:autoSpaceDE w:val="0"/>
        <w:autoSpaceDN w:val="0"/>
        <w:snapToGrid w:val="0"/>
        <w:spacing w:line="360" w:lineRule="auto"/>
        <w:ind w:firstLine="480"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hint="eastAsia" w:ascii="宋体" w:hAnsi="宋体" w:eastAsia="宋体" w:cs="宋体"/>
          <w:b/>
          <w:bCs/>
          <w:snapToGrid w:val="0"/>
          <w:color w:val="auto"/>
          <w:kern w:val="0"/>
          <w:sz w:val="24"/>
          <w:highlight w:val="none"/>
        </w:rPr>
      </w:pPr>
      <w:bookmarkStart w:id="445" w:name="_Toc361220416"/>
      <w:bookmarkStart w:id="446" w:name="_Toc97299504"/>
      <w:r>
        <w:rPr>
          <w:rFonts w:hint="eastAsia" w:ascii="宋体" w:hAnsi="宋体" w:eastAsia="宋体" w:cs="宋体"/>
          <w:b/>
          <w:bCs/>
          <w:snapToGrid w:val="0"/>
          <w:color w:val="auto"/>
          <w:kern w:val="0"/>
          <w:sz w:val="24"/>
          <w:highlight w:val="none"/>
        </w:rPr>
        <w:t>七、承诺</w:t>
      </w:r>
      <w:bookmarkEnd w:id="445"/>
      <w:bookmarkEnd w:id="446"/>
    </w:p>
    <w:p>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1.发包人承诺按照法律规定履行项目审批手续、筹集工程建设资金并按照合同约定的期限和方式支付合同价款。</w:t>
      </w:r>
    </w:p>
    <w:p>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3.发包人和承包人通过政府采购形式签订合同的，双方理解并承诺不再就同一工程另行签订与合同实质性内容相背离的协议。</w:t>
      </w:r>
    </w:p>
    <w:p>
      <w:pPr>
        <w:snapToGrid w:val="0"/>
        <w:spacing w:line="360" w:lineRule="auto"/>
        <w:outlineLvl w:val="1"/>
        <w:rPr>
          <w:rFonts w:hint="eastAsia" w:ascii="宋体" w:hAnsi="宋体" w:eastAsia="宋体" w:cs="宋体"/>
          <w:b/>
          <w:bCs/>
          <w:snapToGrid w:val="0"/>
          <w:color w:val="auto"/>
          <w:kern w:val="0"/>
          <w:sz w:val="24"/>
          <w:highlight w:val="none"/>
        </w:rPr>
      </w:pPr>
      <w:bookmarkStart w:id="447" w:name="_Toc361220417"/>
      <w:bookmarkStart w:id="448" w:name="_Toc97299505"/>
      <w:r>
        <w:rPr>
          <w:rFonts w:hint="eastAsia" w:ascii="宋体" w:hAnsi="宋体" w:eastAsia="宋体" w:cs="宋体"/>
          <w:b/>
          <w:bCs/>
          <w:snapToGrid w:val="0"/>
          <w:color w:val="auto"/>
          <w:kern w:val="0"/>
          <w:sz w:val="24"/>
          <w:highlight w:val="none"/>
        </w:rPr>
        <w:t>八、词语含义</w:t>
      </w:r>
      <w:bookmarkEnd w:id="447"/>
      <w:bookmarkEnd w:id="448"/>
    </w:p>
    <w:p>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本协议书中词语含义与第二部分通用合同条款中赋予的含义相同。</w:t>
      </w:r>
    </w:p>
    <w:p>
      <w:pPr>
        <w:snapToGrid w:val="0"/>
        <w:spacing w:line="360" w:lineRule="auto"/>
        <w:outlineLvl w:val="1"/>
        <w:rPr>
          <w:rFonts w:hint="eastAsia" w:ascii="宋体" w:hAnsi="宋体" w:eastAsia="宋体" w:cs="宋体"/>
          <w:b/>
          <w:bCs/>
          <w:snapToGrid w:val="0"/>
          <w:color w:val="auto"/>
          <w:kern w:val="0"/>
          <w:sz w:val="24"/>
          <w:highlight w:val="none"/>
        </w:rPr>
      </w:pPr>
      <w:bookmarkStart w:id="449" w:name="_Toc361220418"/>
      <w:bookmarkStart w:id="450" w:name="_Toc97299506"/>
    </w:p>
    <w:p>
      <w:pPr>
        <w:snapToGrid w:val="0"/>
        <w:spacing w:line="360" w:lineRule="auto"/>
        <w:outlineLvl w:val="1"/>
        <w:rPr>
          <w:rFonts w:hint="eastAsia"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九、签订时间</w:t>
      </w:r>
      <w:bookmarkEnd w:id="449"/>
      <w:bookmarkEnd w:id="450"/>
    </w:p>
    <w:p>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本合同于</w:t>
      </w:r>
      <w:bookmarkStart w:id="451" w:name="SOA_hhxys_htqdn"/>
      <w:r>
        <w:rPr>
          <w:rFonts w:hint="eastAsia" w:ascii="宋体" w:hAnsi="宋体" w:eastAsia="宋体" w:cs="宋体"/>
          <w:bCs/>
          <w:snapToGrid w:val="0"/>
          <w:color w:val="auto"/>
          <w:kern w:val="0"/>
          <w:sz w:val="24"/>
          <w:highlight w:val="none"/>
          <w:u w:val="single"/>
        </w:rPr>
        <w:t xml:space="preserve">      </w:t>
      </w:r>
      <w:bookmarkEnd w:id="451"/>
      <w:r>
        <w:rPr>
          <w:rFonts w:hint="eastAsia" w:ascii="宋体" w:hAnsi="宋体" w:eastAsia="宋体" w:cs="宋体"/>
          <w:bCs/>
          <w:snapToGrid w:val="0"/>
          <w:color w:val="auto"/>
          <w:kern w:val="0"/>
          <w:sz w:val="24"/>
          <w:highlight w:val="none"/>
        </w:rPr>
        <w:t>年</w:t>
      </w:r>
      <w:bookmarkStart w:id="452" w:name="SOA_hhxys_htqdy"/>
      <w:r>
        <w:rPr>
          <w:rFonts w:hint="eastAsia" w:ascii="宋体" w:hAnsi="宋体" w:eastAsia="宋体" w:cs="宋体"/>
          <w:bCs/>
          <w:snapToGrid w:val="0"/>
          <w:color w:val="auto"/>
          <w:kern w:val="0"/>
          <w:sz w:val="24"/>
          <w:highlight w:val="none"/>
          <w:u w:val="single"/>
        </w:rPr>
        <w:t xml:space="preserve">      </w:t>
      </w:r>
      <w:bookmarkEnd w:id="452"/>
      <w:r>
        <w:rPr>
          <w:rFonts w:hint="eastAsia" w:ascii="宋体" w:hAnsi="宋体" w:eastAsia="宋体" w:cs="宋体"/>
          <w:bCs/>
          <w:snapToGrid w:val="0"/>
          <w:color w:val="auto"/>
          <w:kern w:val="0"/>
          <w:sz w:val="24"/>
          <w:highlight w:val="none"/>
        </w:rPr>
        <w:t>月</w:t>
      </w:r>
      <w:bookmarkStart w:id="453" w:name="SOA_hhxys_htqdr"/>
      <w:r>
        <w:rPr>
          <w:rFonts w:hint="eastAsia" w:ascii="宋体" w:hAnsi="宋体" w:eastAsia="宋体" w:cs="宋体"/>
          <w:bCs/>
          <w:snapToGrid w:val="0"/>
          <w:color w:val="auto"/>
          <w:kern w:val="0"/>
          <w:sz w:val="24"/>
          <w:highlight w:val="none"/>
          <w:u w:val="single"/>
        </w:rPr>
        <w:t xml:space="preserve">      </w:t>
      </w:r>
      <w:bookmarkEnd w:id="453"/>
      <w:r>
        <w:rPr>
          <w:rFonts w:hint="eastAsia" w:ascii="宋体" w:hAnsi="宋体" w:eastAsia="宋体" w:cs="宋体"/>
          <w:bCs/>
          <w:snapToGrid w:val="0"/>
          <w:color w:val="auto"/>
          <w:kern w:val="0"/>
          <w:sz w:val="24"/>
          <w:highlight w:val="none"/>
        </w:rPr>
        <w:t>日签订。</w:t>
      </w:r>
    </w:p>
    <w:p>
      <w:pPr>
        <w:snapToGrid w:val="0"/>
        <w:spacing w:line="360" w:lineRule="auto"/>
        <w:outlineLvl w:val="1"/>
        <w:rPr>
          <w:rFonts w:hint="eastAsia" w:ascii="宋体" w:hAnsi="宋体" w:eastAsia="宋体" w:cs="宋体"/>
          <w:b/>
          <w:bCs/>
          <w:snapToGrid w:val="0"/>
          <w:color w:val="auto"/>
          <w:kern w:val="0"/>
          <w:sz w:val="24"/>
          <w:highlight w:val="none"/>
        </w:rPr>
      </w:pPr>
      <w:bookmarkStart w:id="454" w:name="_Toc97299507"/>
      <w:bookmarkStart w:id="455" w:name="_Toc361220419"/>
      <w:r>
        <w:rPr>
          <w:rFonts w:hint="eastAsia" w:ascii="宋体" w:hAnsi="宋体" w:eastAsia="宋体" w:cs="宋体"/>
          <w:b/>
          <w:bCs/>
          <w:snapToGrid w:val="0"/>
          <w:color w:val="auto"/>
          <w:kern w:val="0"/>
          <w:sz w:val="24"/>
          <w:highlight w:val="none"/>
        </w:rPr>
        <w:t>十、签订地点</w:t>
      </w:r>
      <w:bookmarkEnd w:id="454"/>
      <w:bookmarkEnd w:id="455"/>
    </w:p>
    <w:p>
      <w:pPr>
        <w:snapToGrid w:val="0"/>
        <w:spacing w:line="360" w:lineRule="auto"/>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 xml:space="preserve">    本合同在</w:t>
      </w:r>
      <w:r>
        <w:rPr>
          <w:rFonts w:hint="eastAsia" w:ascii="宋体" w:hAnsi="宋体" w:eastAsia="宋体" w:cs="宋体"/>
          <w:bCs/>
          <w:snapToGrid w:val="0"/>
          <w:color w:val="auto"/>
          <w:kern w:val="0"/>
          <w:sz w:val="24"/>
          <w:highlight w:val="none"/>
          <w:u w:val="single"/>
        </w:rPr>
        <w:t xml:space="preserve">   </w:t>
      </w:r>
      <w:bookmarkStart w:id="456" w:name="SOA_zyht_htqddd"/>
      <w:r>
        <w:rPr>
          <w:rFonts w:hint="eastAsia" w:ascii="宋体" w:hAnsi="宋体" w:eastAsia="宋体" w:cs="宋体"/>
          <w:bCs/>
          <w:snapToGrid w:val="0"/>
          <w:color w:val="auto"/>
          <w:kern w:val="0"/>
          <w:sz w:val="24"/>
          <w:highlight w:val="none"/>
          <w:u w:val="single"/>
        </w:rPr>
        <w:t xml:space="preserve">  宁波市</w:t>
      </w:r>
      <w:r>
        <w:rPr>
          <w:rFonts w:hint="eastAsia" w:ascii="宋体" w:hAnsi="宋体" w:cs="宋体"/>
          <w:bCs/>
          <w:snapToGrid w:val="0"/>
          <w:color w:val="auto"/>
          <w:kern w:val="0"/>
          <w:sz w:val="24"/>
          <w:highlight w:val="none"/>
          <w:u w:val="single"/>
          <w:lang w:val="en-US" w:eastAsia="zh-CN"/>
        </w:rPr>
        <w:t>宁海县</w:t>
      </w:r>
      <w:r>
        <w:rPr>
          <w:rFonts w:hint="eastAsia" w:ascii="宋体" w:hAnsi="宋体" w:eastAsia="宋体" w:cs="宋体"/>
          <w:bCs/>
          <w:snapToGrid w:val="0"/>
          <w:color w:val="auto"/>
          <w:kern w:val="0"/>
          <w:sz w:val="24"/>
          <w:highlight w:val="none"/>
          <w:u w:val="single"/>
        </w:rPr>
        <w:t xml:space="preserve">   </w:t>
      </w:r>
      <w:bookmarkEnd w:id="456"/>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签订。</w:t>
      </w:r>
    </w:p>
    <w:p>
      <w:pPr>
        <w:snapToGrid w:val="0"/>
        <w:spacing w:line="360" w:lineRule="auto"/>
        <w:outlineLvl w:val="1"/>
        <w:rPr>
          <w:rFonts w:hint="eastAsia" w:ascii="宋体" w:hAnsi="宋体" w:eastAsia="宋体" w:cs="宋体"/>
          <w:b/>
          <w:bCs/>
          <w:snapToGrid w:val="0"/>
          <w:color w:val="auto"/>
          <w:kern w:val="0"/>
          <w:sz w:val="24"/>
          <w:highlight w:val="none"/>
        </w:rPr>
      </w:pPr>
      <w:bookmarkStart w:id="457" w:name="_Toc361220420"/>
      <w:bookmarkStart w:id="458" w:name="_Toc97299508"/>
      <w:r>
        <w:rPr>
          <w:rFonts w:hint="eastAsia" w:ascii="宋体" w:hAnsi="宋体" w:eastAsia="宋体" w:cs="宋体"/>
          <w:b/>
          <w:bCs/>
          <w:snapToGrid w:val="0"/>
          <w:color w:val="auto"/>
          <w:kern w:val="0"/>
          <w:sz w:val="24"/>
          <w:highlight w:val="none"/>
        </w:rPr>
        <w:t>十一、补充协议</w:t>
      </w:r>
      <w:bookmarkEnd w:id="457"/>
      <w:bookmarkEnd w:id="458"/>
    </w:p>
    <w:p>
      <w:pPr>
        <w:snapToGrid w:val="0"/>
        <w:spacing w:line="360" w:lineRule="auto"/>
        <w:ind w:firstLine="480" w:firstLineChars="200"/>
        <w:rPr>
          <w:rFonts w:hint="eastAsia" w:ascii="宋体" w:hAnsi="宋体" w:eastAsia="宋体" w:cs="宋体"/>
          <w:b/>
          <w:bCs/>
          <w:snapToGrid w:val="0"/>
          <w:color w:val="auto"/>
          <w:kern w:val="0"/>
          <w:sz w:val="24"/>
          <w:highlight w:val="none"/>
        </w:rPr>
      </w:pPr>
      <w:r>
        <w:rPr>
          <w:rFonts w:hint="eastAsia" w:ascii="宋体" w:hAnsi="宋体" w:eastAsia="宋体" w:cs="宋体"/>
          <w:bCs/>
          <w:snapToGrid w:val="0"/>
          <w:color w:val="auto"/>
          <w:kern w:val="0"/>
          <w:sz w:val="24"/>
          <w:highlight w:val="none"/>
        </w:rPr>
        <w:t>合同未尽事宜，合同当事人另行签订补充协议，补充协议是合同的组成部分。</w:t>
      </w:r>
    </w:p>
    <w:p>
      <w:pPr>
        <w:snapToGrid w:val="0"/>
        <w:spacing w:line="360" w:lineRule="auto"/>
        <w:outlineLvl w:val="1"/>
        <w:rPr>
          <w:rFonts w:hint="eastAsia" w:ascii="宋体" w:hAnsi="宋体" w:eastAsia="宋体" w:cs="宋体"/>
          <w:b/>
          <w:bCs/>
          <w:snapToGrid w:val="0"/>
          <w:color w:val="auto"/>
          <w:kern w:val="0"/>
          <w:sz w:val="24"/>
          <w:highlight w:val="none"/>
        </w:rPr>
      </w:pPr>
      <w:bookmarkStart w:id="459" w:name="_Toc97299509"/>
      <w:bookmarkStart w:id="460" w:name="_Toc361220421"/>
      <w:r>
        <w:rPr>
          <w:rFonts w:hint="eastAsia" w:ascii="宋体" w:hAnsi="宋体" w:eastAsia="宋体" w:cs="宋体"/>
          <w:b/>
          <w:bCs/>
          <w:snapToGrid w:val="0"/>
          <w:color w:val="auto"/>
          <w:kern w:val="0"/>
          <w:sz w:val="24"/>
          <w:highlight w:val="none"/>
        </w:rPr>
        <w:t>十二、合同生效</w:t>
      </w:r>
      <w:bookmarkEnd w:id="459"/>
      <w:bookmarkEnd w:id="460"/>
    </w:p>
    <w:p>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本合同自</w:t>
      </w:r>
      <w:r>
        <w:rPr>
          <w:rFonts w:hint="eastAsia" w:ascii="宋体" w:hAnsi="宋体" w:eastAsia="宋体" w:cs="宋体"/>
          <w:bCs/>
          <w:snapToGrid w:val="0"/>
          <w:color w:val="auto"/>
          <w:kern w:val="0"/>
          <w:sz w:val="24"/>
          <w:highlight w:val="none"/>
          <w:u w:val="single"/>
        </w:rPr>
        <w:t xml:space="preserve">  </w:t>
      </w:r>
      <w:bookmarkStart w:id="461" w:name="SOA_hhxys_htsx"/>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u w:val="single"/>
        </w:rPr>
        <w:t xml:space="preserve">   </w:t>
      </w:r>
      <w:bookmarkEnd w:id="461"/>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生效。</w:t>
      </w:r>
    </w:p>
    <w:p>
      <w:pPr>
        <w:snapToGrid w:val="0"/>
        <w:spacing w:line="360" w:lineRule="auto"/>
        <w:outlineLvl w:val="1"/>
        <w:rPr>
          <w:rFonts w:hint="eastAsia" w:ascii="宋体" w:hAnsi="宋体" w:eastAsia="宋体" w:cs="宋体"/>
          <w:b/>
          <w:bCs/>
          <w:snapToGrid w:val="0"/>
          <w:color w:val="auto"/>
          <w:kern w:val="0"/>
          <w:sz w:val="24"/>
          <w:highlight w:val="none"/>
        </w:rPr>
      </w:pPr>
      <w:bookmarkStart w:id="462" w:name="_Toc97299510"/>
      <w:bookmarkStart w:id="463" w:name="_Toc361220422"/>
      <w:r>
        <w:rPr>
          <w:rFonts w:hint="eastAsia" w:ascii="宋体" w:hAnsi="宋体" w:eastAsia="宋体" w:cs="宋体"/>
          <w:b/>
          <w:bCs/>
          <w:snapToGrid w:val="0"/>
          <w:color w:val="auto"/>
          <w:kern w:val="0"/>
          <w:sz w:val="24"/>
          <w:highlight w:val="none"/>
        </w:rPr>
        <w:t>十三、合同份数</w:t>
      </w:r>
      <w:bookmarkEnd w:id="462"/>
      <w:bookmarkEnd w:id="463"/>
    </w:p>
    <w:p>
      <w:pPr>
        <w:snapToGrid w:val="0"/>
        <w:spacing w:line="360" w:lineRule="auto"/>
        <w:ind w:left="210" w:leftChars="100" w:firstLine="240" w:firstLineChars="100"/>
        <w:rPr>
          <w:rFonts w:hint="eastAsia" w:ascii="宋体" w:hAnsi="宋体" w:eastAsia="宋体" w:cs="宋体"/>
          <w:bCs/>
          <w:snapToGrid w:val="0"/>
          <w:color w:val="auto"/>
          <w:kern w:val="0"/>
          <w:sz w:val="24"/>
          <w:highlight w:val="none"/>
        </w:rPr>
      </w:pPr>
      <w:r>
        <w:rPr>
          <w:rFonts w:hint="eastAsia" w:ascii="宋体" w:hAnsi="宋体" w:eastAsia="宋体" w:cs="宋体"/>
          <w:bCs/>
          <w:snapToGrid w:val="0"/>
          <w:color w:val="auto"/>
          <w:kern w:val="0"/>
          <w:sz w:val="24"/>
          <w:highlight w:val="none"/>
        </w:rPr>
        <w:t>本合同一式</w:t>
      </w:r>
      <w:r>
        <w:rPr>
          <w:rFonts w:hint="eastAsia" w:ascii="宋体" w:hAnsi="宋体" w:eastAsia="宋体" w:cs="宋体"/>
          <w:b/>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份，均具有同等法律效力，发包人执</w:t>
      </w:r>
      <w:r>
        <w:rPr>
          <w:rFonts w:hint="eastAsia" w:ascii="宋体" w:hAnsi="宋体" w:eastAsia="宋体" w:cs="宋体"/>
          <w:bCs/>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份，承包人执</w:t>
      </w:r>
      <w:r>
        <w:rPr>
          <w:rFonts w:hint="eastAsia" w:ascii="宋体" w:hAnsi="宋体" w:eastAsia="宋体" w:cs="宋体"/>
          <w:b/>
          <w:snapToGrid w:val="0"/>
          <w:color w:val="auto"/>
          <w:kern w:val="0"/>
          <w:sz w:val="24"/>
          <w:highlight w:val="none"/>
          <w:u w:val="single"/>
        </w:rPr>
        <w:t xml:space="preserve">  </w:t>
      </w:r>
      <w:r>
        <w:rPr>
          <w:rFonts w:hint="eastAsia" w:ascii="宋体" w:hAnsi="宋体" w:eastAsia="宋体" w:cs="宋体"/>
          <w:bCs/>
          <w:snapToGrid w:val="0"/>
          <w:color w:val="auto"/>
          <w:kern w:val="0"/>
          <w:sz w:val="24"/>
          <w:highlight w:val="none"/>
        </w:rPr>
        <w:t>份。</w:t>
      </w:r>
    </w:p>
    <w:p>
      <w:pPr>
        <w:snapToGrid w:val="0"/>
        <w:spacing w:line="360" w:lineRule="auto"/>
        <w:ind w:firstLine="480" w:firstLineChars="200"/>
        <w:rPr>
          <w:rFonts w:hint="eastAsia" w:ascii="宋体" w:hAnsi="宋体" w:eastAsia="宋体" w:cs="宋体"/>
          <w:snapToGrid w:val="0"/>
          <w:color w:val="auto"/>
          <w:kern w:val="0"/>
          <w:sz w:val="24"/>
          <w:highlight w:val="none"/>
        </w:rPr>
      </w:pP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发包人：  </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公章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 xml:space="preserve">承包人：  </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公章</w:t>
      </w:r>
      <w:r>
        <w:rPr>
          <w:rFonts w:hint="eastAsia" w:ascii="宋体" w:hAnsi="宋体" w:cs="宋体"/>
          <w:snapToGrid w:val="0"/>
          <w:color w:val="auto"/>
          <w:kern w:val="0"/>
          <w:sz w:val="24"/>
          <w:highlight w:val="none"/>
          <w:lang w:eastAsia="zh-CN"/>
        </w:rPr>
        <w:t>）</w:t>
      </w:r>
    </w:p>
    <w:p>
      <w:pPr>
        <w:snapToGrid w:val="0"/>
        <w:spacing w:line="360" w:lineRule="auto"/>
        <w:ind w:firstLine="480" w:firstLineChars="200"/>
        <w:rPr>
          <w:rFonts w:hint="eastAsia" w:ascii="宋体" w:hAnsi="宋体" w:eastAsia="宋体" w:cs="宋体"/>
          <w:bCs/>
          <w:snapToGrid w:val="0"/>
          <w:color w:val="auto"/>
          <w:kern w:val="0"/>
          <w:sz w:val="24"/>
          <w:highlight w:val="none"/>
        </w:rPr>
      </w:pPr>
      <w:r>
        <w:rPr>
          <w:rFonts w:hint="eastAsia" w:ascii="宋体" w:hAnsi="宋体" w:eastAsia="宋体" w:cs="宋体"/>
          <w:snapToGrid w:val="0"/>
          <w:color w:val="auto"/>
          <w:kern w:val="0"/>
          <w:sz w:val="24"/>
          <w:highlight w:val="none"/>
        </w:rPr>
        <w:t>法定代表人或其委托代理人：</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法定代表人或其委托代理人：</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（签字）</w:t>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ab/>
      </w:r>
      <w:r>
        <w:rPr>
          <w:rFonts w:hint="eastAsia" w:ascii="宋体" w:hAnsi="宋体" w:eastAsia="宋体" w:cs="宋体"/>
          <w:snapToGrid w:val="0"/>
          <w:color w:val="auto"/>
          <w:kern w:val="0"/>
          <w:sz w:val="24"/>
          <w:highlight w:val="none"/>
        </w:rPr>
        <w:t>（签字）</w:t>
      </w:r>
    </w:p>
    <w:p>
      <w:pPr>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组织机构代码：</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组织机构代码：</w:t>
      </w:r>
      <w:bookmarkStart w:id="464" w:name="SOA_hhxys_zjjgdm1"/>
      <w:r>
        <w:rPr>
          <w:rFonts w:hint="eastAsia" w:ascii="宋体" w:hAnsi="宋体" w:eastAsia="宋体" w:cs="宋体"/>
          <w:snapToGrid w:val="0"/>
          <w:color w:val="auto"/>
          <w:kern w:val="0"/>
          <w:sz w:val="24"/>
          <w:highlight w:val="none"/>
          <w:u w:val="single"/>
        </w:rPr>
        <w:t xml:space="preserve">      </w:t>
      </w:r>
      <w:bookmarkEnd w:id="464"/>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地  址：</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地  址：</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邮政编码：</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邮政编码：</w:t>
      </w:r>
      <w:bookmarkStart w:id="465" w:name="SOA_hhxys_cbryb"/>
      <w:r>
        <w:rPr>
          <w:rFonts w:hint="eastAsia" w:ascii="宋体" w:hAnsi="宋体" w:eastAsia="宋体" w:cs="宋体"/>
          <w:snapToGrid w:val="0"/>
          <w:color w:val="auto"/>
          <w:kern w:val="0"/>
          <w:sz w:val="24"/>
          <w:highlight w:val="none"/>
          <w:u w:val="single"/>
        </w:rPr>
        <w:t xml:space="preserve">             </w:t>
      </w:r>
      <w:bookmarkEnd w:id="465"/>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法定代表人：</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法定代表人：</w:t>
      </w:r>
      <w:bookmarkStart w:id="466" w:name="SOA_hhxys_fddbr1"/>
      <w:r>
        <w:rPr>
          <w:rFonts w:hint="eastAsia" w:ascii="宋体" w:hAnsi="宋体" w:eastAsia="宋体" w:cs="宋体"/>
          <w:snapToGrid w:val="0"/>
          <w:color w:val="auto"/>
          <w:kern w:val="0"/>
          <w:sz w:val="24"/>
          <w:highlight w:val="none"/>
          <w:u w:val="single"/>
        </w:rPr>
        <w:t xml:space="preserve">     </w:t>
      </w:r>
      <w:bookmarkEnd w:id="466"/>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委托代理人：</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委托代理人：</w:t>
      </w:r>
      <w:bookmarkStart w:id="467" w:name="SOA_hhxys_wtdlr1"/>
      <w:r>
        <w:rPr>
          <w:rFonts w:hint="eastAsia" w:ascii="宋体" w:hAnsi="宋体" w:eastAsia="宋体" w:cs="宋体"/>
          <w:snapToGrid w:val="0"/>
          <w:color w:val="auto"/>
          <w:kern w:val="0"/>
          <w:sz w:val="24"/>
          <w:highlight w:val="none"/>
          <w:u w:val="single"/>
        </w:rPr>
        <w:t xml:space="preserve">    </w:t>
      </w:r>
      <w:bookmarkEnd w:id="467"/>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电  话：</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电  话：</w:t>
      </w:r>
      <w:bookmarkStart w:id="468" w:name="SOA_hhxys_cbrdh"/>
      <w:r>
        <w:rPr>
          <w:rFonts w:hint="eastAsia" w:ascii="宋体" w:hAnsi="宋体" w:eastAsia="宋体" w:cs="宋体"/>
          <w:snapToGrid w:val="0"/>
          <w:color w:val="auto"/>
          <w:kern w:val="0"/>
          <w:sz w:val="24"/>
          <w:highlight w:val="none"/>
          <w:u w:val="single"/>
        </w:rPr>
        <w:t xml:space="preserve">            </w:t>
      </w:r>
      <w:bookmarkEnd w:id="468"/>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传  真：</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传  真：</w:t>
      </w:r>
      <w:bookmarkStart w:id="469" w:name="SOA_hhxys_cbrcz"/>
      <w:r>
        <w:rPr>
          <w:rFonts w:hint="eastAsia" w:ascii="宋体" w:hAnsi="宋体" w:eastAsia="宋体" w:cs="宋体"/>
          <w:snapToGrid w:val="0"/>
          <w:color w:val="auto"/>
          <w:kern w:val="0"/>
          <w:sz w:val="24"/>
          <w:highlight w:val="none"/>
          <w:u w:val="single"/>
        </w:rPr>
        <w:t xml:space="preserve">              </w:t>
      </w:r>
      <w:bookmarkEnd w:id="469"/>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 xml:space="preserve">     </w:t>
      </w:r>
    </w:p>
    <w:p>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电子信箱：</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电子信箱：</w:t>
      </w:r>
      <w:bookmarkStart w:id="470" w:name="SOA_hhxys_cbrdzxx"/>
      <w:r>
        <w:rPr>
          <w:rFonts w:hint="eastAsia" w:ascii="宋体" w:hAnsi="宋体" w:eastAsia="宋体" w:cs="宋体"/>
          <w:snapToGrid w:val="0"/>
          <w:color w:val="auto"/>
          <w:kern w:val="0"/>
          <w:sz w:val="24"/>
          <w:highlight w:val="none"/>
          <w:u w:val="single"/>
        </w:rPr>
        <w:t xml:space="preserve">      </w:t>
      </w:r>
      <w:bookmarkEnd w:id="470"/>
      <w:r>
        <w:rPr>
          <w:rFonts w:hint="eastAsia" w:ascii="宋体" w:hAnsi="宋体" w:eastAsia="宋体" w:cs="宋体"/>
          <w:snapToGrid w:val="0"/>
          <w:color w:val="auto"/>
          <w:kern w:val="0"/>
          <w:sz w:val="24"/>
          <w:highlight w:val="none"/>
          <w:u w:val="single"/>
        </w:rPr>
        <w:t xml:space="preserve">  </w:t>
      </w:r>
    </w:p>
    <w:p>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开户银行：</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开户银行：</w:t>
      </w:r>
      <w:r>
        <w:rPr>
          <w:rFonts w:hint="eastAsia" w:ascii="宋体" w:hAnsi="宋体" w:eastAsia="宋体" w:cs="宋体"/>
          <w:snapToGrid w:val="0"/>
          <w:color w:val="auto"/>
          <w:kern w:val="0"/>
          <w:sz w:val="24"/>
          <w:highlight w:val="none"/>
          <w:u w:val="single"/>
        </w:rPr>
        <w:t xml:space="preserve">                 </w:t>
      </w:r>
    </w:p>
    <w:p>
      <w:pPr>
        <w:snapToGrid w:val="0"/>
        <w:spacing w:line="360" w:lineRule="auto"/>
        <w:ind w:firstLine="480" w:firstLineChars="200"/>
        <w:rPr>
          <w:rFonts w:hint="eastAsia"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账  号：</w:t>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u w:val="single"/>
        </w:rPr>
        <w:tab/>
      </w:r>
      <w:r>
        <w:rPr>
          <w:rFonts w:hint="eastAsia" w:ascii="宋体" w:hAnsi="宋体" w:eastAsia="宋体" w:cs="宋体"/>
          <w:snapToGrid w:val="0"/>
          <w:color w:val="auto"/>
          <w:kern w:val="0"/>
          <w:sz w:val="24"/>
          <w:highlight w:val="none"/>
        </w:rPr>
        <w:t>账  号：</w:t>
      </w:r>
      <w:r>
        <w:rPr>
          <w:rFonts w:hint="eastAsia" w:ascii="宋体" w:hAnsi="宋体" w:eastAsia="宋体" w:cs="宋体"/>
          <w:snapToGrid w:val="0"/>
          <w:color w:val="auto"/>
          <w:kern w:val="0"/>
          <w:sz w:val="24"/>
          <w:highlight w:val="none"/>
          <w:u w:val="single"/>
        </w:rPr>
        <w:t></w:t>
      </w:r>
      <w:bookmarkStart w:id="471" w:name="SOA_hhxys_cbrzh"/>
      <w:r>
        <w:rPr>
          <w:rFonts w:hint="eastAsia" w:ascii="宋体" w:hAnsi="宋体" w:eastAsia="宋体" w:cs="宋体"/>
          <w:snapToGrid w:val="0"/>
          <w:color w:val="auto"/>
          <w:kern w:val="0"/>
          <w:sz w:val="24"/>
          <w:highlight w:val="none"/>
          <w:u w:val="single"/>
        </w:rPr>
        <w:t xml:space="preserve"> </w:t>
      </w:r>
      <w:bookmarkEnd w:id="471"/>
      <w:r>
        <w:rPr>
          <w:rFonts w:hint="eastAsia" w:ascii="宋体" w:hAnsi="宋体" w:eastAsia="宋体" w:cs="宋体"/>
          <w:snapToGrid w:val="0"/>
          <w:color w:val="auto"/>
          <w:kern w:val="0"/>
          <w:sz w:val="24"/>
          <w:highlight w:val="none"/>
          <w:u w:val="single"/>
        </w:rPr>
        <w:t xml:space="preserve">        </w:t>
      </w:r>
    </w:p>
    <w:p>
      <w:pPr>
        <w:pStyle w:val="964"/>
        <w:ind w:firstLine="0" w:firstLineChars="0"/>
        <w:jc w:val="center"/>
        <w:outlineLvl w:val="0"/>
        <w:rPr>
          <w:rFonts w:hint="eastAsia" w:ascii="宋体" w:hAnsi="宋体" w:eastAsia="宋体" w:cs="宋体"/>
          <w:b/>
          <w:color w:val="auto"/>
          <w:kern w:val="2"/>
          <w:sz w:val="32"/>
          <w:szCs w:val="32"/>
          <w:highlight w:val="none"/>
          <w:lang w:eastAsia="zh-CN"/>
        </w:rPr>
      </w:pPr>
      <w:r>
        <w:rPr>
          <w:rFonts w:hint="eastAsia" w:ascii="宋体" w:hAnsi="宋体" w:eastAsia="宋体" w:cs="宋体"/>
          <w:snapToGrid w:val="0"/>
          <w:color w:val="auto"/>
          <w:sz w:val="24"/>
          <w:highlight w:val="none"/>
        </w:rPr>
        <w:br w:type="page"/>
      </w:r>
      <w:bookmarkStart w:id="472" w:name="_Toc22278"/>
      <w:bookmarkStart w:id="473" w:name="_Toc22301"/>
      <w:bookmarkStart w:id="474" w:name="_Toc249091536"/>
      <w:bookmarkStart w:id="475" w:name="_Toc534620509"/>
      <w:r>
        <w:rPr>
          <w:rFonts w:hint="eastAsia" w:ascii="宋体" w:hAnsi="宋体" w:eastAsia="宋体" w:cs="宋体"/>
          <w:b/>
          <w:color w:val="auto"/>
          <w:kern w:val="2"/>
          <w:sz w:val="32"/>
          <w:szCs w:val="32"/>
          <w:highlight w:val="none"/>
        </w:rPr>
        <w:t>第</w:t>
      </w:r>
      <w:r>
        <w:rPr>
          <w:rFonts w:hint="eastAsia" w:ascii="宋体" w:hAnsi="宋体" w:cs="宋体"/>
          <w:b/>
          <w:color w:val="auto"/>
          <w:kern w:val="2"/>
          <w:sz w:val="32"/>
          <w:szCs w:val="32"/>
          <w:highlight w:val="none"/>
          <w:lang w:val="en-US" w:eastAsia="zh-CN"/>
        </w:rPr>
        <w:t>二部分</w:t>
      </w:r>
      <w:r>
        <w:rPr>
          <w:rFonts w:hint="eastAsia" w:ascii="宋体" w:hAnsi="宋体" w:eastAsia="宋体" w:cs="宋体"/>
          <w:b/>
          <w:color w:val="auto"/>
          <w:kern w:val="2"/>
          <w:sz w:val="32"/>
          <w:szCs w:val="32"/>
          <w:highlight w:val="none"/>
        </w:rPr>
        <w:t xml:space="preserve"> 合同条款及格式</w:t>
      </w:r>
      <w:bookmarkEnd w:id="472"/>
      <w:bookmarkEnd w:id="473"/>
    </w:p>
    <w:p>
      <w:pPr>
        <w:pStyle w:val="964"/>
        <w:ind w:firstLine="0" w:firstLineChars="0"/>
        <w:jc w:val="center"/>
        <w:outlineLvl w:val="0"/>
        <w:rPr>
          <w:rFonts w:hint="eastAsia" w:ascii="宋体" w:hAnsi="宋体" w:eastAsia="宋体" w:cs="宋体"/>
          <w:b/>
          <w:color w:val="auto"/>
          <w:kern w:val="2"/>
          <w:sz w:val="32"/>
          <w:szCs w:val="32"/>
          <w:highlight w:val="none"/>
          <w:lang w:eastAsia="zh-CN"/>
        </w:rPr>
      </w:pPr>
    </w:p>
    <w:p>
      <w:pPr>
        <w:pageBreakBefore w:val="0"/>
        <w:widowControl w:val="0"/>
        <w:kinsoku/>
        <w:wordWrap/>
        <w:overflowPunct/>
        <w:topLinePunct w:val="0"/>
        <w:bidi w:val="0"/>
        <w:adjustRightInd/>
        <w:spacing w:line="332" w:lineRule="auto"/>
        <w:ind w:firstLine="472" w:firstLineChars="19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通用合同条款</w:t>
      </w:r>
    </w:p>
    <w:p>
      <w:pPr>
        <w:pageBreakBefore w:val="0"/>
        <w:widowControl w:val="0"/>
        <w:kinsoku/>
        <w:wordWrap/>
        <w:overflowPunct/>
        <w:topLinePunct w:val="0"/>
        <w:bidi w:val="0"/>
        <w:adjustRightInd/>
        <w:spacing w:line="332" w:lineRule="auto"/>
        <w:ind w:firstLine="470" w:firstLineChars="196"/>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通用合同条款直接引用中国建筑工业出版社出版的《建设工程施工合同（示范文本）》（GF-2017-0201）第二部分“通用合同条款”内容。</w:t>
      </w:r>
    </w:p>
    <w:p>
      <w:pPr>
        <w:pageBreakBefore w:val="0"/>
        <w:widowControl w:val="0"/>
        <w:kinsoku/>
        <w:wordWrap/>
        <w:overflowPunct/>
        <w:topLinePunct w:val="0"/>
        <w:bidi w:val="0"/>
        <w:adjustRightInd/>
        <w:spacing w:line="332" w:lineRule="auto"/>
        <w:ind w:firstLine="472" w:firstLineChars="196"/>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专用</w:t>
      </w:r>
      <w:r>
        <w:rPr>
          <w:rFonts w:hint="eastAsia" w:ascii="宋体" w:hAnsi="宋体" w:eastAsia="宋体" w:cs="宋体"/>
          <w:b/>
          <w:bCs/>
          <w:color w:val="auto"/>
          <w:sz w:val="24"/>
          <w:szCs w:val="24"/>
          <w:highlight w:val="none"/>
          <w:lang w:val="en-US" w:eastAsia="zh-CN"/>
        </w:rPr>
        <w:t>合同</w:t>
      </w:r>
      <w:r>
        <w:rPr>
          <w:rFonts w:hint="eastAsia" w:ascii="宋体" w:hAnsi="宋体" w:eastAsia="宋体" w:cs="宋体"/>
          <w:b/>
          <w:bCs/>
          <w:color w:val="auto"/>
          <w:sz w:val="24"/>
          <w:szCs w:val="24"/>
          <w:highlight w:val="none"/>
        </w:rPr>
        <w:t>条款</w:t>
      </w:r>
    </w:p>
    <w:p>
      <w:pPr>
        <w:pageBreakBefore w:val="0"/>
        <w:widowControl w:val="0"/>
        <w:kinsoku/>
        <w:wordWrap/>
        <w:overflowPunct/>
        <w:topLinePunct w:val="0"/>
        <w:bidi w:val="0"/>
        <w:adjustRightInd/>
        <w:spacing w:line="332" w:lineRule="auto"/>
        <w:ind w:firstLine="470" w:firstLineChars="196"/>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以下主要专用合同条款根据</w:t>
      </w:r>
      <w:r>
        <w:rPr>
          <w:rFonts w:hint="eastAsia" w:ascii="宋体" w:hAnsi="宋体" w:eastAsia="宋体" w:cs="宋体"/>
          <w:b w:val="0"/>
          <w:bCs w:val="0"/>
          <w:color w:val="auto"/>
          <w:sz w:val="24"/>
          <w:szCs w:val="24"/>
          <w:highlight w:val="none"/>
        </w:rPr>
        <w:t>的《建设工程施工合同（示范文本）》（GF-2017-0201）的</w:t>
      </w:r>
      <w:r>
        <w:rPr>
          <w:rFonts w:hint="eastAsia" w:ascii="宋体" w:hAnsi="宋体" w:cs="宋体"/>
          <w:b w:val="0"/>
          <w:bCs w:val="0"/>
          <w:color w:val="auto"/>
          <w:sz w:val="24"/>
          <w:szCs w:val="24"/>
          <w:highlight w:val="none"/>
          <w:lang w:val="en-US" w:eastAsia="zh-CN"/>
        </w:rPr>
        <w:t>格式与内容确定，除发包人和承包人在合同谈判期间有补充约定外，本合同的专用合同条款按以下条款执行</w:t>
      </w:r>
      <w:r>
        <w:rPr>
          <w:rFonts w:hint="eastAsia" w:ascii="宋体" w:hAnsi="宋体" w:eastAsia="宋体" w:cs="宋体"/>
          <w:b w:val="0"/>
          <w:bCs w:val="0"/>
          <w:color w:val="auto"/>
          <w:sz w:val="24"/>
          <w:szCs w:val="24"/>
          <w:highlight w:val="none"/>
        </w:rPr>
        <w:t>。</w:t>
      </w:r>
    </w:p>
    <w:p>
      <w:pPr>
        <w:keepNext/>
        <w:keepLines/>
        <w:pageBreakBefore w:val="0"/>
        <w:widowControl w:val="0"/>
        <w:kinsoku/>
        <w:wordWrap/>
        <w:overflowPunct/>
        <w:topLinePunct w:val="0"/>
        <w:bidi w:val="0"/>
        <w:adjustRightInd/>
        <w:snapToGrid w:val="0"/>
        <w:spacing w:before="120" w:after="120" w:line="332" w:lineRule="auto"/>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一般约定</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 词语定义</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1.1.1合同</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1.1.1.10其他合同文件包括：</w:t>
      </w:r>
      <w:r>
        <w:rPr>
          <w:rFonts w:hint="eastAsia" w:ascii="宋体" w:hAnsi="宋体" w:eastAsia="宋体" w:cs="宋体"/>
          <w:b w:val="0"/>
          <w:bCs w:val="0"/>
          <w:color w:val="auto"/>
          <w:sz w:val="24"/>
          <w:szCs w:val="24"/>
          <w:highlight w:val="none"/>
          <w:u w:val="single"/>
        </w:rPr>
        <w:t>投标报价资料、工程的洽商、变更等书面协议或文件、承包人按规定办理的保险合同、本项目内全过程管理、跟踪审计等相关合同等。</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名    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1.1.2.5设计人：</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名    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 xml:space="preserve">1.3法律 </w:t>
      </w:r>
    </w:p>
    <w:p>
      <w:pPr>
        <w:pageBreakBefore w:val="0"/>
        <w:widowControl w:val="0"/>
        <w:kinsoku/>
        <w:wordWrap/>
        <w:overflowPunct/>
        <w:topLinePunct w:val="0"/>
        <w:autoSpaceDE w:val="0"/>
        <w:autoSpaceDN w:val="0"/>
        <w:bidi w:val="0"/>
        <w:snapToGrid w:val="0"/>
        <w:spacing w:line="332"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国家、浙江省、宁波市有关工程建设的法规、规章及规范性文件（如有冲突，按就高原则处理）。</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1.4 标准和规范</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1.4.1适用于工程的标准规范包括：</w:t>
      </w:r>
      <w:r>
        <w:rPr>
          <w:rFonts w:hint="eastAsia" w:ascii="宋体" w:hAnsi="宋体" w:eastAsia="宋体" w:cs="宋体"/>
          <w:color w:val="auto"/>
          <w:kern w:val="0"/>
          <w:sz w:val="24"/>
          <w:highlight w:val="none"/>
          <w:u w:val="single"/>
          <w:lang w:val="en-US"/>
        </w:rPr>
        <w:t>国家、浙江省、宁波市有关工程建设的法规、规章及规范性文件（如有矛盾或不一致的，以其中要求更严格的为准）。</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1.5 合同文件的优先顺序</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合同协议书、通用合同条款和专用合同条款三部分组成，优先适用专用条款。</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b w:val="0"/>
          <w:bCs w:val="0"/>
          <w:color w:val="auto"/>
          <w:sz w:val="24"/>
          <w:szCs w:val="24"/>
          <w:highlight w:val="none"/>
          <w:u w:val="single"/>
        </w:rPr>
        <w:t>合同签订后5日内提供</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b w:val="0"/>
          <w:bCs w:val="0"/>
          <w:color w:val="auto"/>
          <w:sz w:val="24"/>
          <w:szCs w:val="24"/>
          <w:highlight w:val="none"/>
          <w:u w:val="single"/>
        </w:rPr>
        <w:t>4套（包括承包人制作竣工图资料的图纸），另外需增加的，费用由承包人承担</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b w:val="0"/>
          <w:bCs w:val="0"/>
          <w:color w:val="auto"/>
          <w:sz w:val="24"/>
          <w:szCs w:val="24"/>
          <w:highlight w:val="none"/>
          <w:u w:val="single"/>
        </w:rPr>
        <w:t>工程承包范围内的各专业工程</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pPr>
        <w:pageBreakBefore w:val="0"/>
        <w:widowControl w:val="0"/>
        <w:kinsoku/>
        <w:wordWrap/>
        <w:overflowPunct/>
        <w:topLinePunct w:val="0"/>
        <w:bidi w:val="0"/>
        <w:adjustRightInd/>
        <w:snapToGrid w:val="0"/>
        <w:spacing w:line="332" w:lineRule="auto"/>
        <w:ind w:firstLine="475" w:firstLineChars="198"/>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b w:val="0"/>
          <w:bCs w:val="0"/>
          <w:color w:val="auto"/>
          <w:sz w:val="24"/>
          <w:szCs w:val="24"/>
          <w:highlight w:val="none"/>
          <w:u w:val="single"/>
        </w:rPr>
        <w:t>施工组织设计、工程进度计划、专项施工方案、加工图、大样图、协调配合图等</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b w:val="0"/>
          <w:bCs w:val="0"/>
          <w:color w:val="auto"/>
          <w:sz w:val="24"/>
          <w:szCs w:val="24"/>
          <w:highlight w:val="none"/>
          <w:u w:val="single"/>
        </w:rPr>
        <w:t>施工组织设计、工程进度计划在工程开工前7天，其他文件在相应专项工程或部位施工前7天</w:t>
      </w:r>
      <w:r>
        <w:rPr>
          <w:rFonts w:hint="eastAsia" w:ascii="宋体" w:hAnsi="宋体" w:eastAsia="宋体" w:cs="宋体"/>
          <w:b w:val="0"/>
          <w:bCs w:val="0"/>
          <w:color w:val="auto"/>
          <w:sz w:val="24"/>
          <w:szCs w:val="24"/>
          <w:highlight w:val="none"/>
          <w:u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b w:val="0"/>
          <w:bCs w:val="0"/>
          <w:color w:val="auto"/>
          <w:sz w:val="24"/>
          <w:szCs w:val="24"/>
          <w:highlight w:val="none"/>
          <w:u w:val="single"/>
        </w:rPr>
        <w:t>一式六套</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b w:val="0"/>
          <w:bCs w:val="0"/>
          <w:color w:val="auto"/>
          <w:sz w:val="24"/>
          <w:szCs w:val="24"/>
          <w:highlight w:val="none"/>
          <w:u w:val="single"/>
        </w:rPr>
        <w:t>承包人在施工现场保存至少一套完整的图纸和承包人文件</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b/>
          <w:bCs/>
          <w:color w:val="auto"/>
          <w:sz w:val="24"/>
          <w:szCs w:val="24"/>
          <w:highlight w:val="none"/>
          <w:u w:val="single"/>
        </w:rPr>
        <w:t>7</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cs="宋体"/>
          <w:color w:val="auto"/>
          <w:sz w:val="24"/>
          <w:szCs w:val="24"/>
          <w:highlight w:val="none"/>
          <w:u w:val="single"/>
          <w:lang w:val="en-US" w:eastAsia="zh-CN"/>
        </w:rPr>
        <w:t>发包人驻</w:t>
      </w:r>
      <w:r>
        <w:rPr>
          <w:rFonts w:hint="eastAsia" w:ascii="宋体" w:hAnsi="宋体" w:eastAsia="宋体" w:cs="宋体"/>
          <w:b w:val="0"/>
          <w:bCs w:val="0"/>
          <w:color w:val="auto"/>
          <w:sz w:val="24"/>
          <w:szCs w:val="24"/>
          <w:highlight w:val="none"/>
          <w:u w:val="single"/>
        </w:rPr>
        <w:t>项目办公所在地</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b w:val="0"/>
          <w:bCs w:val="0"/>
          <w:color w:val="auto"/>
          <w:sz w:val="24"/>
          <w:szCs w:val="24"/>
          <w:highlight w:val="none"/>
          <w:u w:val="single"/>
        </w:rPr>
        <w:t>承包人驻项目办公所在地</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b w:val="0"/>
          <w:bCs w:val="0"/>
          <w:color w:val="auto"/>
          <w:sz w:val="24"/>
          <w:szCs w:val="24"/>
          <w:highlight w:val="none"/>
          <w:u w:val="single"/>
        </w:rPr>
        <w:t>监理人驻项目办公所在地</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b w:val="0"/>
          <w:bCs w:val="0"/>
          <w:color w:val="auto"/>
          <w:sz w:val="24"/>
          <w:szCs w:val="24"/>
          <w:highlight w:val="none"/>
          <w:u w:val="single"/>
        </w:rPr>
        <w:t>执行通用条款</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b w:val="0"/>
          <w:bCs w:val="0"/>
          <w:color w:val="auto"/>
          <w:sz w:val="24"/>
          <w:szCs w:val="24"/>
          <w:highlight w:val="none"/>
          <w:u w:val="single"/>
        </w:rPr>
        <w:t>以发包人提供的施工区域划分图纸为准</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b w:val="0"/>
          <w:bCs w:val="0"/>
          <w:color w:val="auto"/>
          <w:sz w:val="24"/>
          <w:szCs w:val="24"/>
          <w:highlight w:val="none"/>
          <w:u w:val="single"/>
        </w:rPr>
        <w:t>无</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b w:val="0"/>
          <w:bCs w:val="0"/>
          <w:color w:val="auto"/>
          <w:sz w:val="24"/>
          <w:szCs w:val="24"/>
          <w:highlight w:val="none"/>
          <w:u w:val="single"/>
        </w:rPr>
        <w:t>承包人</w:t>
      </w:r>
      <w:r>
        <w:rPr>
          <w:rFonts w:hint="eastAsia" w:ascii="宋体" w:hAnsi="宋体" w:eastAsia="宋体" w:cs="宋体"/>
          <w:color w:val="auto"/>
          <w:sz w:val="24"/>
          <w:szCs w:val="24"/>
          <w:highlight w:val="none"/>
        </w:rPr>
        <w:t>承担。</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val="0"/>
          <w:bCs w:val="0"/>
          <w:color w:val="auto"/>
          <w:sz w:val="24"/>
          <w:szCs w:val="24"/>
          <w:highlight w:val="none"/>
          <w:u w:val="single"/>
        </w:rPr>
        <w:t>执行通用条款</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b w:val="0"/>
          <w:bCs w:val="0"/>
          <w:color w:val="auto"/>
          <w:sz w:val="24"/>
          <w:szCs w:val="24"/>
          <w:highlight w:val="none"/>
          <w:u w:val="single"/>
        </w:rPr>
        <w:t>执行通用条款</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b w:val="0"/>
          <w:bCs w:val="0"/>
          <w:color w:val="auto"/>
          <w:sz w:val="24"/>
          <w:szCs w:val="24"/>
          <w:highlight w:val="none"/>
          <w:u w:val="single"/>
        </w:rPr>
        <w:t>发包人</w:t>
      </w:r>
      <w:r>
        <w:rPr>
          <w:rFonts w:hint="eastAsia" w:ascii="宋体" w:hAnsi="宋体" w:eastAsia="宋体" w:cs="宋体"/>
          <w:b w:val="0"/>
          <w:bCs w:val="0"/>
          <w:color w:val="auto"/>
          <w:sz w:val="24"/>
          <w:szCs w:val="24"/>
          <w:highlight w:val="none"/>
          <w:u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b w:val="0"/>
          <w:bCs w:val="0"/>
          <w:color w:val="auto"/>
          <w:sz w:val="24"/>
          <w:szCs w:val="24"/>
          <w:highlight w:val="none"/>
          <w:u w:val="single"/>
        </w:rPr>
        <w:t>执行通用条款</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u w:val="non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b w:val="0"/>
          <w:bCs w:val="0"/>
          <w:color w:val="auto"/>
          <w:sz w:val="24"/>
          <w:szCs w:val="24"/>
          <w:highlight w:val="none"/>
          <w:u w:val="single"/>
        </w:rPr>
        <w:t>由承包人自行负责，与发包人无涉</w:t>
      </w:r>
      <w:r>
        <w:rPr>
          <w:rFonts w:hint="eastAsia" w:ascii="宋体" w:hAnsi="宋体" w:eastAsia="宋体" w:cs="宋体"/>
          <w:b w:val="0"/>
          <w:bCs w:val="0"/>
          <w:color w:val="auto"/>
          <w:sz w:val="24"/>
          <w:szCs w:val="24"/>
          <w:highlight w:val="none"/>
          <w:u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出现工程量清单错误时，是否调整合同价格：</w:t>
      </w:r>
      <w:r>
        <w:rPr>
          <w:rFonts w:hint="eastAsia" w:ascii="宋体" w:hAnsi="宋体" w:eastAsia="宋体" w:cs="宋体"/>
          <w:b w:val="0"/>
          <w:bCs w:val="0"/>
          <w:color w:val="auto"/>
          <w:sz w:val="24"/>
          <w:szCs w:val="24"/>
          <w:highlight w:val="none"/>
          <w:u w:val="single"/>
        </w:rPr>
        <w:t>是</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允许调整合同价格的工程量偏差范围：</w:t>
      </w:r>
    </w:p>
    <w:p>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single"/>
        </w:rPr>
        <w:t>（1）发生下列情况之一的，项目的工程量均应按实调整</w:t>
      </w:r>
      <w:r>
        <w:rPr>
          <w:rFonts w:hint="eastAsia" w:ascii="宋体" w:hAnsi="宋体" w:eastAsia="宋体" w:cs="宋体"/>
          <w:b w:val="0"/>
          <w:bCs w:val="0"/>
          <w:color w:val="auto"/>
          <w:sz w:val="24"/>
          <w:szCs w:val="24"/>
          <w:highlight w:val="none"/>
          <w:u w:val="none"/>
        </w:rPr>
        <w:t>：</w:t>
      </w:r>
    </w:p>
    <w:p>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single"/>
        </w:rPr>
        <w:t>（a）发包人提供的工程量清单的项目或数量有误</w:t>
      </w:r>
      <w:r>
        <w:rPr>
          <w:rFonts w:hint="eastAsia" w:ascii="宋体" w:hAnsi="宋体" w:eastAsia="宋体" w:cs="宋体"/>
          <w:b w:val="0"/>
          <w:bCs w:val="0"/>
          <w:color w:val="auto"/>
          <w:sz w:val="24"/>
          <w:szCs w:val="24"/>
          <w:highlight w:val="none"/>
          <w:u w:val="none"/>
        </w:rPr>
        <w:t>；</w:t>
      </w:r>
    </w:p>
    <w:p>
      <w:pPr>
        <w:pageBreakBefore w:val="0"/>
        <w:widowControl w:val="0"/>
        <w:kinsoku/>
        <w:wordWrap/>
        <w:overflowPunct/>
        <w:topLinePunct w:val="0"/>
        <w:bidi w:val="0"/>
        <w:adjustRightInd/>
        <w:snapToGrid w:val="0"/>
        <w:spacing w:line="332" w:lineRule="auto"/>
        <w:ind w:left="42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（b）设计变更引起的工程项目或数量增减</w:t>
      </w:r>
      <w:r>
        <w:rPr>
          <w:rFonts w:hint="eastAsia" w:ascii="宋体" w:hAnsi="宋体" w:eastAsia="宋体" w:cs="宋体"/>
          <w:b w:val="0"/>
          <w:bCs w:val="0"/>
          <w:color w:val="auto"/>
          <w:sz w:val="24"/>
          <w:szCs w:val="24"/>
          <w:highlight w:val="none"/>
          <w:u w:val="none"/>
        </w:rPr>
        <w:t>；</w:t>
      </w:r>
    </w:p>
    <w:p>
      <w:pPr>
        <w:pageBreakBefore w:val="0"/>
        <w:widowControl w:val="0"/>
        <w:kinsoku/>
        <w:wordWrap/>
        <w:overflowPunct/>
        <w:topLinePunct w:val="0"/>
        <w:bidi w:val="0"/>
        <w:adjustRightInd/>
        <w:snapToGrid w:val="0"/>
        <w:spacing w:line="332" w:lineRule="auto"/>
        <w:ind w:left="420"/>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single"/>
        </w:rPr>
        <w:t>（c）经发包人确认的签证</w:t>
      </w:r>
      <w:r>
        <w:rPr>
          <w:rFonts w:hint="eastAsia" w:ascii="宋体" w:hAnsi="宋体" w:eastAsia="宋体" w:cs="宋体"/>
          <w:b w:val="0"/>
          <w:bCs w:val="0"/>
          <w:color w:val="auto"/>
          <w:sz w:val="24"/>
          <w:szCs w:val="24"/>
          <w:highlight w:val="none"/>
          <w:u w:val="none"/>
        </w:rPr>
        <w:t>；</w:t>
      </w:r>
    </w:p>
    <w:p>
      <w:pPr>
        <w:pageBreakBefore w:val="0"/>
        <w:widowControl w:val="0"/>
        <w:kinsoku/>
        <w:wordWrap/>
        <w:overflowPunct/>
        <w:topLinePunct w:val="0"/>
        <w:bidi w:val="0"/>
        <w:adjustRightInd/>
        <w:snapToGrid w:val="0"/>
        <w:spacing w:line="332" w:lineRule="auto"/>
        <w:ind w:left="42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（d）发包人提供的暂定工程量部分</w:t>
      </w:r>
      <w:r>
        <w:rPr>
          <w:rFonts w:hint="eastAsia" w:ascii="宋体" w:hAnsi="宋体" w:eastAsia="宋体" w:cs="宋体"/>
          <w:b w:val="0"/>
          <w:bCs w:val="0"/>
          <w:color w:val="auto"/>
          <w:sz w:val="24"/>
          <w:szCs w:val="24"/>
          <w:highlight w:val="none"/>
          <w:u w:val="none"/>
        </w:rPr>
        <w:t>。</w:t>
      </w:r>
    </w:p>
    <w:p>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single"/>
        </w:rPr>
        <w:t>（2）暂定工程量、变更的工程量应根据设计图纸及其变更联系单，按有关工程量计算规则计算确定，并经发包人或其委托的咨询单位工程师审定确认</w:t>
      </w:r>
      <w:r>
        <w:rPr>
          <w:rFonts w:hint="eastAsia" w:ascii="宋体" w:hAnsi="宋体" w:eastAsia="宋体" w:cs="宋体"/>
          <w:b w:val="0"/>
          <w:bCs w:val="0"/>
          <w:color w:val="auto"/>
          <w:sz w:val="24"/>
          <w:szCs w:val="24"/>
          <w:highlight w:val="none"/>
          <w:u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发包人</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姓    名：</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职    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b w:val="0"/>
          <w:bCs w:val="0"/>
          <w:color w:val="auto"/>
          <w:sz w:val="24"/>
          <w:szCs w:val="24"/>
          <w:highlight w:val="none"/>
          <w:u w:val="single"/>
        </w:rPr>
        <w:t>开工前。</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b w:val="0"/>
          <w:bCs w:val="0"/>
          <w:color w:val="auto"/>
          <w:sz w:val="24"/>
          <w:szCs w:val="24"/>
          <w:highlight w:val="none"/>
          <w:u w:val="single"/>
        </w:rPr>
        <w:t>发包人已经使施工现场初步具备施工条件（除工程量清单中列明由承包人实施的项目外），后续工作及遗留问题由承包人自行负责解决，发包人不再支付任何其他费用（如遇特殊情况，双方协商解决）。</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施工用水、电由发包人在开工前五天接至工地，承包人负责将水电线路接至施工所需的地点，相关材料及人工费用由承包人承担；承包人负责保管发包人移交的水电线路及设备，费用由承包人承担；电讯设施由承包人自行解决，费用由承包人承担。发包人不提供设备材料堆放场地、办公场所及住宿场所。</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发包人仅提供通往指定区域的道路。场地内临时道路及出入通道的修建及养护由承包人负责，工程完工前承包人应对因施工造成的原有道路、排水等设施的损坏进行修缮，恢复原有使用功能，并包括到养护、道路部门或周边道路施工单位办理所有相关手续。施工中应保证现有道路的正常通行。</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b w:val="0"/>
          <w:bCs w:val="0"/>
          <w:color w:val="auto"/>
          <w:sz w:val="24"/>
          <w:szCs w:val="24"/>
          <w:highlight w:val="none"/>
          <w:u w:val="single"/>
        </w:rPr>
        <w:t>否</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承包人</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pPr>
        <w:spacing w:line="360" w:lineRule="auto"/>
        <w:ind w:firstLine="504" w:firstLineChars="210"/>
        <w:jc w:val="left"/>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（9）承包人提交的竣工资料的内容：</w:t>
      </w:r>
      <w:r>
        <w:rPr>
          <w:rFonts w:hint="eastAsia" w:ascii="宋体" w:hAnsi="宋体" w:eastAsia="宋体" w:cs="宋体"/>
          <w:b w:val="0"/>
          <w:bCs w:val="0"/>
          <w:color w:val="auto"/>
          <w:sz w:val="24"/>
          <w:szCs w:val="24"/>
          <w:highlight w:val="none"/>
          <w:u w:val="single"/>
        </w:rPr>
        <w:t>按宁海县城建档案馆及发包人的归档要求提交竣工资料</w:t>
      </w:r>
      <w:r>
        <w:rPr>
          <w:rFonts w:hint="eastAsia" w:ascii="宋体" w:hAnsi="宋体" w:cs="宋体"/>
          <w:b w:val="0"/>
          <w:bCs w:val="0"/>
          <w:color w:val="auto"/>
          <w:sz w:val="24"/>
          <w:szCs w:val="24"/>
          <w:highlight w:val="none"/>
          <w:u w:val="single"/>
          <w:lang w:eastAsia="zh-CN"/>
        </w:rPr>
        <w:t>。</w:t>
      </w:r>
      <w:r>
        <w:rPr>
          <w:rFonts w:hint="eastAsia" w:ascii="宋体" w:hAnsi="宋体" w:eastAsia="宋体" w:cs="宋体"/>
          <w:b w:val="0"/>
          <w:bCs w:val="0"/>
          <w:color w:val="auto"/>
          <w:sz w:val="24"/>
          <w:szCs w:val="24"/>
          <w:highlight w:val="none"/>
          <w:u w:val="single"/>
        </w:rPr>
        <w:t>在工程具备竣工验收条件后一个月内向发包人提供竣工图4套，竣工资料4套，电子光盘1套，并按《建设工程档案资料规范》相关规范等规定整理相关工程资料。如因资料不符合有关部门的要求，而产生的资料整理费用由承包人承担。</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b w:val="0"/>
          <w:bCs w:val="0"/>
          <w:color w:val="auto"/>
          <w:sz w:val="24"/>
          <w:szCs w:val="24"/>
          <w:highlight w:val="none"/>
          <w:u w:val="single"/>
        </w:rPr>
        <w:t xml:space="preserve">4套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b w:val="0"/>
          <w:bCs w:val="0"/>
          <w:color w:val="auto"/>
          <w:sz w:val="24"/>
          <w:szCs w:val="24"/>
          <w:highlight w:val="none"/>
          <w:u w:val="single"/>
        </w:rPr>
        <w:t>承包人自行承担。</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b w:val="0"/>
          <w:bCs w:val="0"/>
          <w:color w:val="auto"/>
          <w:sz w:val="24"/>
          <w:szCs w:val="24"/>
          <w:highlight w:val="none"/>
          <w:u w:val="single"/>
        </w:rPr>
        <w:t xml:space="preserve">在具备竣工验收合格条件后1个月内 </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b w:val="0"/>
          <w:bCs w:val="0"/>
          <w:color w:val="auto"/>
          <w:sz w:val="24"/>
          <w:szCs w:val="24"/>
          <w:highlight w:val="none"/>
          <w:u w:val="single"/>
        </w:rPr>
        <w:t>包括纸质及电子资料</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（10）承包人应履行的其他义务：</w:t>
      </w:r>
      <w:r>
        <w:rPr>
          <w:rFonts w:hint="eastAsia" w:ascii="宋体" w:hAnsi="宋体" w:eastAsia="宋体" w:cs="宋体"/>
          <w:b w:val="0"/>
          <w:bCs w:val="0"/>
          <w:color w:val="auto"/>
          <w:sz w:val="24"/>
          <w:szCs w:val="24"/>
          <w:highlight w:val="none"/>
          <w:u w:val="single"/>
        </w:rPr>
        <w:t>竣工图的编制规定：</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a、施工中没有设计变更，竣工后由承包人在发包人提供的施工图纸加盖竣工图章，经监理人签字确认后提交发包人；</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b、施工中只有零星的少量设计变更，承包人在施工图变更位置注明，并连同经发包人同意的变更签证，竣工后由承包人加盖竣工图章，经监理人签字确认后交发包人；</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c、施工中对原设计变更较多，原施工图难于作为竣工图，应由承包人组织重新绘制竣工图并经监理人签字确认后提交发包人，并由承包人承担制作竣工图的相应费用。</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项目经理</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3.2.1 项目经理：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cs="宋体"/>
          <w:color w:val="auto"/>
          <w:sz w:val="24"/>
          <w:szCs w:val="24"/>
          <w:highlight w:val="none"/>
          <w:lang w:eastAsia="zh-CN"/>
        </w:rPr>
        <w:t>：</w:t>
      </w:r>
      <w:r>
        <w:rPr>
          <w:rFonts w:hint="eastAsia" w:ascii="宋体" w:hAnsi="宋体" w:eastAsia="宋体" w:cs="宋体"/>
          <w:sz w:val="21"/>
          <w:szCs w:val="21"/>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sz w:val="21"/>
          <w:szCs w:val="21"/>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建造师执业资格等级：</w:t>
      </w:r>
      <w:r>
        <w:rPr>
          <w:rFonts w:hint="eastAsia" w:ascii="宋体" w:hAnsi="宋体" w:eastAsia="宋体" w:cs="宋体"/>
          <w:sz w:val="21"/>
          <w:szCs w:val="21"/>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建造师注册证书号：</w:t>
      </w:r>
      <w:r>
        <w:rPr>
          <w:rFonts w:hint="eastAsia" w:ascii="宋体" w:hAnsi="宋体" w:eastAsia="宋体" w:cs="宋体"/>
          <w:sz w:val="21"/>
          <w:szCs w:val="21"/>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建造师执业印章号：</w:t>
      </w:r>
      <w:r>
        <w:rPr>
          <w:rFonts w:hint="eastAsia" w:ascii="宋体" w:hAnsi="宋体" w:eastAsia="宋体" w:cs="宋体"/>
          <w:sz w:val="21"/>
          <w:szCs w:val="21"/>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安全生产考核合格证书号：</w:t>
      </w:r>
      <w:r>
        <w:rPr>
          <w:rFonts w:hint="eastAsia" w:ascii="宋体" w:hAnsi="宋体" w:eastAsia="宋体" w:cs="宋体"/>
          <w:sz w:val="21"/>
          <w:szCs w:val="21"/>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sz w:val="21"/>
          <w:szCs w:val="21"/>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rPr>
      </w:pPr>
      <w:r>
        <w:rPr>
          <w:rFonts w:hint="eastAsia" w:ascii="宋体" w:hAnsi="宋体" w:eastAsia="宋体" w:cs="宋体"/>
          <w:color w:val="auto"/>
          <w:sz w:val="24"/>
          <w:szCs w:val="24"/>
          <w:highlight w:val="none"/>
        </w:rPr>
        <w:t>通信地址：</w:t>
      </w:r>
      <w:r>
        <w:rPr>
          <w:rFonts w:hint="eastAsia" w:ascii="宋体" w:hAnsi="宋体" w:eastAsia="宋体" w:cs="宋体"/>
          <w:sz w:val="21"/>
          <w:szCs w:val="21"/>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承包人委派的项目经理及其执业行为应遵守通用条款约定，违反约定的，按本专用条款约定，承担违约责任。</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项目经理必须与承包人投标时所承诺的人员一致，并在根据本合同约定的开工日期前到任。项目经理不得违反建设行政主管部门和文物管理部门对项目经理的管理规定。未经发包人书面许可，承包人不得更换项目经理。承包人项目经理以及项目管理机构关键岗位人员的姓名、职称、身份证号、执业资格证书号、注册证书号、执业印章号、</w:t>
      </w:r>
      <w:bookmarkStart w:id="476" w:name="_Hlk89720459"/>
      <w:r>
        <w:rPr>
          <w:rFonts w:hint="eastAsia" w:ascii="宋体" w:hAnsi="宋体" w:eastAsia="宋体" w:cs="宋体"/>
          <w:color w:val="auto"/>
          <w:sz w:val="24"/>
          <w:szCs w:val="24"/>
          <w:highlight w:val="none"/>
        </w:rPr>
        <w:t>安全生产考核合格证书号等资料应当在合同协议书中载明或通过其他书面形式向发包人进行提供。</w:t>
      </w:r>
    </w:p>
    <w:bookmarkEnd w:id="476"/>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（2）承包人对项目经理的授权范围如下：在承包人授权范围内履行承包人的职权，对工程建设的质量、安全、工期以及工程造价控制负责，所有上报给发包人的文件均需项目经理签字。</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bookmarkStart w:id="477" w:name="_Hlk89720499"/>
      <w:r>
        <w:rPr>
          <w:rFonts w:hint="eastAsia" w:ascii="宋体" w:hAnsi="宋体" w:eastAsia="宋体" w:cs="宋体"/>
          <w:color w:val="auto"/>
          <w:sz w:val="24"/>
          <w:szCs w:val="24"/>
          <w:highlight w:val="none"/>
        </w:rPr>
        <w:t>承包人未提交劳动合同，以及没有为项目经理缴纳社会保险证明的违约责任：发包人有权解除合同，由此造成的费用增加和工期延误损失及给发包人造成的一切损失均由承包人承担。</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（4）关于项目经理每月在施工现场的时间要求：每月在施工现场时间不得少于 2</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天，且重要工程例会及验收环节等必须由项目经理参加。如果项目经理到岗时间达不到要求的，根据实际到岗时间与约定到岗时间的差额，每差1天（不到一天按一天计算），承包人应向发包人支付违约金1000元，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中承诺的“未履行项目经理及主要施工管理人员到场承诺违约金限额”中扣除，该项限额不足时，发包人有权向承包人追偿。有特殊情况少于上述时间的，批准要求按通用条款执行。</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发包人对项目经理未按约定到岗的违约处理，应根据监理人对项目经理的考勤结果进行。</w:t>
      </w:r>
    </w:p>
    <w:bookmarkEnd w:id="477"/>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（5）项目经理未经批准，擅自离开施工现场的违约责任：处违约金</w:t>
      </w:r>
      <w:r>
        <w:rPr>
          <w:rFonts w:hint="eastAsia" w:ascii="宋体" w:hAnsi="宋体" w:eastAsia="宋体" w:cs="宋体"/>
          <w:b w:val="0"/>
          <w:bCs w:val="0"/>
          <w:color w:val="auto"/>
          <w:sz w:val="24"/>
          <w:szCs w:val="24"/>
          <w:highlight w:val="none"/>
          <w:u w:val="single"/>
        </w:rPr>
        <w:t>1000</w:t>
      </w:r>
      <w:r>
        <w:rPr>
          <w:rFonts w:hint="eastAsia" w:ascii="宋体" w:hAnsi="宋体" w:eastAsia="宋体" w:cs="宋体"/>
          <w:color w:val="auto"/>
          <w:sz w:val="24"/>
          <w:szCs w:val="24"/>
          <w:highlight w:val="none"/>
        </w:rPr>
        <w:t>元/次，违约金从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中承诺的“未履行项目经理及主要施工管理人员到场承诺违约金限额”中扣除，该项限额不足时，发包人有权向承包人追偿。</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发包人对项目经理擅自离开施工现场的违约处理，应根据监理人对项目经理的考勤结果进行。</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承包人擅自更换项目经理的违约责任：处违约金</w:t>
      </w:r>
      <w:r>
        <w:rPr>
          <w:rFonts w:hint="eastAsia" w:ascii="宋体" w:hAnsi="宋体" w:eastAsia="宋体" w:cs="宋体"/>
          <w:b w:val="0"/>
          <w:bCs w:val="0"/>
          <w:color w:val="auto"/>
          <w:sz w:val="24"/>
          <w:szCs w:val="24"/>
          <w:highlight w:val="none"/>
          <w:u w:val="single"/>
        </w:rPr>
        <w:t>10000</w:t>
      </w:r>
      <w:r>
        <w:rPr>
          <w:rFonts w:hint="eastAsia" w:ascii="宋体" w:hAnsi="宋体" w:eastAsia="宋体" w:cs="宋体"/>
          <w:color w:val="auto"/>
          <w:sz w:val="24"/>
          <w:szCs w:val="24"/>
          <w:highlight w:val="none"/>
        </w:rPr>
        <w:t>元/次，违约金从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中扣除，该项限额不足时，发包人有权向承包人追偿，且有权拒绝接受其擅自更换的项目经理。发包人书面拒绝后承包人仍然擅自更换的，发包人有权解除合同，由此造成的费用增加和工期延误损失及给发包人造成的一切损失均由承包人承担。</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w:t>
      </w:r>
      <w:bookmarkStart w:id="478" w:name="_Hlk89720791"/>
      <w:r>
        <w:rPr>
          <w:rFonts w:hint="eastAsia" w:ascii="宋体" w:hAnsi="宋体" w:eastAsia="宋体" w:cs="宋体"/>
          <w:color w:val="auto"/>
          <w:sz w:val="24"/>
          <w:szCs w:val="24"/>
          <w:highlight w:val="none"/>
        </w:rPr>
        <w:t>情节严重的，发包人有权解除合同，由此造成的费用增加和工期延误损失及给发包人造成的一切损失由承包人承担。</w:t>
      </w:r>
    </w:p>
    <w:bookmarkEnd w:id="478"/>
    <w:p>
      <w:pPr>
        <w:pageBreakBefore w:val="0"/>
        <w:widowControl w:val="0"/>
        <w:kinsoku/>
        <w:wordWrap/>
        <w:overflowPunct/>
        <w:topLinePunct w:val="0"/>
        <w:bidi w:val="0"/>
        <w:adjustRightInd/>
        <w:snapToGrid w:val="0"/>
        <w:spacing w:before="120" w:line="332" w:lineRule="auto"/>
        <w:ind w:firstLine="458" w:firstLineChars="19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 承包人人员</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承包人应接到开工通知后7天内提交与投标时所承诺的人员一致的项目管理机构及施工现场管理人员安排报告。</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中承诺中的“未履行项目经理及主要施工管理人员到场承诺违约金限额”。情节严重的，发包人有权解除合同，由此造成的费用增加和工期延误损失及给发包人造成的一切损失由承包人承担。</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承包人主要施工管理人员离开施工现场的批准要求：安全员、施工员每月在施工管理现场不得少于</w:t>
      </w:r>
      <w:r>
        <w:rPr>
          <w:rFonts w:hint="eastAsia" w:ascii="宋体" w:hAnsi="宋体" w:eastAsia="宋体" w:cs="宋体"/>
          <w:b w:val="0"/>
          <w:bCs w:val="0"/>
          <w:color w:val="auto"/>
          <w:sz w:val="24"/>
          <w:szCs w:val="24"/>
          <w:highlight w:val="none"/>
          <w:u w:val="single"/>
        </w:rPr>
        <w:t>2</w:t>
      </w:r>
      <w:r>
        <w:rPr>
          <w:rFonts w:hint="eastAsia" w:ascii="宋体" w:hAnsi="宋体" w:cs="宋体"/>
          <w:b w:val="0"/>
          <w:bCs w:val="0"/>
          <w:color w:val="auto"/>
          <w:sz w:val="24"/>
          <w:szCs w:val="24"/>
          <w:highlight w:val="none"/>
          <w:u w:val="single"/>
          <w:lang w:val="en-US" w:eastAsia="zh-CN"/>
        </w:rPr>
        <w:t>0</w:t>
      </w:r>
      <w:r>
        <w:rPr>
          <w:rFonts w:hint="eastAsia" w:ascii="宋体" w:hAnsi="宋体" w:eastAsia="宋体" w:cs="宋体"/>
          <w:color w:val="auto"/>
          <w:sz w:val="24"/>
          <w:szCs w:val="24"/>
          <w:highlight w:val="none"/>
        </w:rPr>
        <w:t>天，其他主要施工管理人员每月在施工管理现场不得少于</w:t>
      </w:r>
      <w:r>
        <w:rPr>
          <w:rFonts w:hint="eastAsia" w:ascii="宋体" w:hAnsi="宋体" w:eastAsia="宋体" w:cs="宋体"/>
          <w:b w:val="0"/>
          <w:bCs w:val="0"/>
          <w:color w:val="auto"/>
          <w:sz w:val="24"/>
          <w:szCs w:val="24"/>
          <w:highlight w:val="none"/>
          <w:u w:val="single"/>
        </w:rPr>
        <w:t>2</w:t>
      </w:r>
      <w:r>
        <w:rPr>
          <w:rFonts w:hint="eastAsia" w:ascii="宋体" w:hAnsi="宋体" w:cs="宋体"/>
          <w:b w:val="0"/>
          <w:bCs w:val="0"/>
          <w:color w:val="auto"/>
          <w:sz w:val="24"/>
          <w:szCs w:val="24"/>
          <w:highlight w:val="none"/>
          <w:u w:val="single"/>
          <w:lang w:val="en-US" w:eastAsia="zh-CN"/>
        </w:rPr>
        <w:t>0</w:t>
      </w:r>
      <w:r>
        <w:rPr>
          <w:rFonts w:hint="eastAsia" w:ascii="宋体" w:hAnsi="宋体" w:eastAsia="宋体" w:cs="宋体"/>
          <w:color w:val="auto"/>
          <w:sz w:val="24"/>
          <w:szCs w:val="24"/>
          <w:highlight w:val="none"/>
        </w:rPr>
        <w:t>天，有特殊情况少于上述时间的，批准要求按通用条款执行。</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 承包人擅自更换主要施工管理人员的违约责任：处违约金</w:t>
      </w:r>
      <w:r>
        <w:rPr>
          <w:rFonts w:hint="eastAsia" w:ascii="宋体" w:hAnsi="宋体" w:eastAsia="宋体" w:cs="宋体"/>
          <w:b w:val="0"/>
          <w:bCs w:val="0"/>
          <w:color w:val="auto"/>
          <w:sz w:val="24"/>
          <w:szCs w:val="24"/>
          <w:highlight w:val="none"/>
          <w:u w:val="single"/>
        </w:rPr>
        <w:t>800</w:t>
      </w:r>
      <w:r>
        <w:rPr>
          <w:rFonts w:hint="eastAsia" w:ascii="宋体" w:hAnsi="宋体" w:eastAsia="宋体" w:cs="宋体"/>
          <w:color w:val="auto"/>
          <w:sz w:val="24"/>
          <w:szCs w:val="24"/>
          <w:highlight w:val="none"/>
        </w:rPr>
        <w:t>元/人/次，违约金从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中承诺中的“未履行项目经理及主要施工管理人员到场承诺违约金限额”中扣除，该项限额不足时，发包人有权向承包人追偿，且有权拒绝接受其擅自更换的主要施工管理人员。</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承包人主要施工管理人员擅自离开施工现场的违约责任：处违约</w:t>
      </w:r>
      <w:r>
        <w:rPr>
          <w:rFonts w:hint="eastAsia" w:ascii="宋体" w:hAnsi="宋体" w:eastAsia="宋体" w:cs="宋体"/>
          <w:b w:val="0"/>
          <w:bCs w:val="0"/>
          <w:color w:val="auto"/>
          <w:sz w:val="24"/>
          <w:szCs w:val="24"/>
          <w:highlight w:val="none"/>
          <w:u w:val="single"/>
        </w:rPr>
        <w:t>500</w:t>
      </w:r>
      <w:r>
        <w:rPr>
          <w:rFonts w:hint="eastAsia" w:ascii="宋体" w:hAnsi="宋体" w:eastAsia="宋体" w:cs="宋体"/>
          <w:color w:val="auto"/>
          <w:sz w:val="24"/>
          <w:szCs w:val="24"/>
          <w:highlight w:val="none"/>
        </w:rPr>
        <w:t>元/人/次，违约金从</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中承诺的“未履行项目经理及主要施工管理人员到场承诺违约金限额”中扣除，该项限额不足时，发包人有权向承包人追偿，情节严重的发包人有权解除合同。</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bookmarkStart w:id="479" w:name="_Hlk89720873"/>
      <w:r>
        <w:rPr>
          <w:rFonts w:hint="eastAsia" w:ascii="宋体" w:hAnsi="宋体" w:eastAsia="宋体" w:cs="宋体"/>
          <w:color w:val="auto"/>
          <w:sz w:val="24"/>
          <w:szCs w:val="24"/>
          <w:highlight w:val="none"/>
        </w:rPr>
        <w:t>发包人书面拒绝后承包人仍然擅自更换的，发包人有权解除合同，</w:t>
      </w:r>
      <w:bookmarkEnd w:id="479"/>
      <w:r>
        <w:rPr>
          <w:rFonts w:hint="eastAsia" w:ascii="宋体" w:hAnsi="宋体" w:eastAsia="宋体" w:cs="宋体"/>
          <w:color w:val="auto"/>
          <w:sz w:val="24"/>
          <w:szCs w:val="24"/>
          <w:highlight w:val="none"/>
        </w:rPr>
        <w:t>由此造成的费用增加和工期延误损失及给发包人造成的一切损失均由承包人承担。</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 分包</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禁止分包的工程包括：</w:t>
      </w:r>
      <w:r>
        <w:rPr>
          <w:rFonts w:hint="eastAsia" w:ascii="宋体" w:hAnsi="宋体" w:eastAsia="宋体" w:cs="宋体"/>
          <w:color w:val="auto"/>
          <w:sz w:val="24"/>
          <w:szCs w:val="24"/>
          <w:highlight w:val="none"/>
          <w:u w:val="single"/>
        </w:rPr>
        <w:t>主体结构、关键性工作</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u w:val="single"/>
          <w:lang w:eastAsia="zh-CN"/>
        </w:rPr>
      </w:pPr>
      <w:r>
        <w:rPr>
          <w:rFonts w:hint="eastAsia" w:ascii="宋体" w:hAnsi="宋体" w:eastAsia="宋体" w:cs="宋体"/>
          <w:color w:val="auto"/>
          <w:sz w:val="24"/>
          <w:szCs w:val="24"/>
          <w:highlight w:val="none"/>
        </w:rPr>
        <w:t>主体结构、关键性工作的范围</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lang w:val="en-US" w:eastAsia="zh-CN"/>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3.5.2分包的确定</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color w:val="auto"/>
          <w:sz w:val="24"/>
          <w:szCs w:val="24"/>
          <w:highlight w:val="none"/>
        </w:rPr>
        <w:t>允许分包的专业工程包括</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其他关于分包的约定</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承包人负责照管工程及工程相关的材料、工程设备的起始时间：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 执行通用条款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 履约担保</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承包人是否提供履约担保：</w:t>
      </w:r>
      <w:r>
        <w:rPr>
          <w:rFonts w:hint="eastAsia" w:ascii="宋体" w:hAnsi="宋体" w:eastAsia="宋体" w:cs="宋体"/>
          <w:b w:val="0"/>
          <w:bCs w:val="0"/>
          <w:color w:val="auto"/>
          <w:sz w:val="24"/>
          <w:szCs w:val="24"/>
          <w:highlight w:val="none"/>
          <w:u w:val="single"/>
        </w:rPr>
        <w:t xml:space="preserve"> 是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bookmarkStart w:id="480" w:name="_Hlk89720919"/>
      <w:r>
        <w:rPr>
          <w:rFonts w:hint="eastAsia" w:ascii="宋体" w:hAnsi="宋体" w:eastAsia="宋体" w:cs="宋体"/>
          <w:color w:val="auto"/>
          <w:sz w:val="24"/>
          <w:szCs w:val="24"/>
          <w:highlight w:val="none"/>
        </w:rPr>
        <w:t>履约保证金金额：合同金额的1%；履约保证金形式：银行汇票（电汇）、银行保函、保险保单或支票（仅限于使用宁波大市区范围内的银行开具的支票）等形式；担保收件人：</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；履约保证金的退取：项目验收合格后，根据实际履约情况扣除相应违约金后无息退还履约保证金（但如</w:t>
      </w:r>
      <w:r>
        <w:rPr>
          <w:rFonts w:hint="eastAsia" w:ascii="宋体" w:hAnsi="宋体" w:eastAsia="宋体" w:cs="宋体"/>
          <w:color w:val="auto"/>
          <w:sz w:val="24"/>
          <w:szCs w:val="24"/>
          <w:highlight w:val="none"/>
          <w:lang w:val="en-US" w:eastAsia="zh-CN"/>
        </w:rPr>
        <w:t>承包人</w:t>
      </w:r>
      <w:r>
        <w:rPr>
          <w:rFonts w:hint="eastAsia" w:ascii="宋体" w:hAnsi="宋体" w:eastAsia="宋体" w:cs="宋体"/>
          <w:color w:val="auto"/>
          <w:sz w:val="24"/>
          <w:szCs w:val="24"/>
          <w:highlight w:val="none"/>
        </w:rPr>
        <w:t>未能履行合同规定的任何义务，</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rPr>
        <w:t>有权从履约保证金中得到补偿）。</w:t>
      </w:r>
    </w:p>
    <w:bookmarkEnd w:id="480"/>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监理人</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4.1监理人的一般规定</w:t>
      </w:r>
    </w:p>
    <w:p>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关于监理人的监理内容：</w:t>
      </w:r>
      <w:r>
        <w:rPr>
          <w:rFonts w:hint="eastAsia" w:ascii="宋体" w:hAnsi="宋体" w:eastAsia="宋体" w:cs="宋体"/>
          <w:b w:val="0"/>
          <w:bCs w:val="0"/>
          <w:color w:val="auto"/>
          <w:sz w:val="24"/>
          <w:szCs w:val="24"/>
          <w:highlight w:val="none"/>
          <w:u w:val="single"/>
        </w:rPr>
        <w:t>工程建设监理合同授予监理人的权利</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关于监理人的监理权限：</w:t>
      </w:r>
      <w:r>
        <w:rPr>
          <w:rFonts w:hint="eastAsia" w:ascii="宋体" w:hAnsi="宋体" w:eastAsia="宋体" w:cs="宋体"/>
          <w:b w:val="0"/>
          <w:bCs w:val="0"/>
          <w:color w:val="auto"/>
          <w:sz w:val="24"/>
          <w:szCs w:val="24"/>
          <w:highlight w:val="none"/>
          <w:u w:val="single"/>
        </w:rPr>
        <w:t>涉及费用、工期、图纸更改等工程变更指令和付款、暂停工程施工指令的下达权需取得发包人同意方可执行</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关于监理人在施工现场的办公场所的提供和费用承担的约定：</w:t>
      </w:r>
      <w:r>
        <w:rPr>
          <w:rFonts w:hint="eastAsia" w:ascii="宋体" w:hAnsi="宋体" w:eastAsia="宋体" w:cs="宋体"/>
          <w:b w:val="0"/>
          <w:bCs w:val="0"/>
          <w:color w:val="auto"/>
          <w:sz w:val="24"/>
          <w:szCs w:val="24"/>
          <w:highlight w:val="none"/>
          <w:u w:val="single"/>
        </w:rPr>
        <w:t>执行通用条款</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商定或确定</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当合同当事人对需要商定或确定的事项不能达成一致时，总监理工程师应按照合同约定作出公正确定，应在合同当事人会商之日起</w:t>
      </w:r>
      <w:r>
        <w:rPr>
          <w:rFonts w:hint="eastAsia" w:ascii="宋体" w:hAnsi="宋体" w:eastAsia="宋体" w:cs="宋体"/>
          <w:b w:val="0"/>
          <w:bCs w:val="0"/>
          <w:color w:val="auto"/>
          <w:sz w:val="24"/>
          <w:szCs w:val="24"/>
          <w:highlight w:val="none"/>
          <w:u w:val="single"/>
        </w:rPr>
        <w:t xml:space="preserve">7 </w:t>
      </w:r>
      <w:r>
        <w:rPr>
          <w:rFonts w:hint="eastAsia" w:ascii="宋体" w:hAnsi="宋体" w:eastAsia="宋体" w:cs="宋体"/>
          <w:color w:val="auto"/>
          <w:sz w:val="24"/>
          <w:szCs w:val="24"/>
          <w:highlight w:val="none"/>
        </w:rPr>
        <w:t>天内提供书面确定意见。</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工程质量</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质量要求</w:t>
      </w:r>
    </w:p>
    <w:p>
      <w:pPr>
        <w:pStyle w:val="24"/>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在项目实施中须达到的施工要求国家标准如下：</w:t>
      </w:r>
    </w:p>
    <w:p>
      <w:pPr>
        <w:pStyle w:val="24"/>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《建筑工程施工质量验收统一标准》 </w:t>
      </w:r>
    </w:p>
    <w:p>
      <w:pPr>
        <w:pStyle w:val="24"/>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《建筑给水排水及采暖工程施工质量验收规范》</w:t>
      </w:r>
    </w:p>
    <w:p>
      <w:pPr>
        <w:pStyle w:val="24"/>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《建筑电气工程施工质量验收规范》 </w:t>
      </w:r>
    </w:p>
    <w:p>
      <w:pPr>
        <w:pStyle w:val="24"/>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《给水排水管道工程施工及验收规范》</w:t>
      </w:r>
    </w:p>
    <w:p>
      <w:pPr>
        <w:pStyle w:val="24"/>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《建筑施工安全检查标准》 </w:t>
      </w:r>
    </w:p>
    <w:p>
      <w:pPr>
        <w:pStyle w:val="24"/>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注：如标准有更新，以最新文件为准。本项目按照国家及地方颁发的现行相关施工及验收规范、标准，组织实施本项目工程的施工。</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特殊质量标准和要求：</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Style w:val="24"/>
        <w:pageBreakBefore w:val="0"/>
        <w:widowControl w:val="0"/>
        <w:numPr>
          <w:ilvl w:val="0"/>
          <w:numId w:val="0"/>
        </w:numPr>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关于工程奖项的约定：</w:t>
      </w:r>
      <w:r>
        <w:rPr>
          <w:rFonts w:hint="eastAsia" w:ascii="宋体" w:hAnsi="宋体" w:eastAsia="宋体" w:cs="宋体"/>
          <w:b/>
          <w:bCs/>
          <w:snapToGrid/>
          <w:color w:val="auto"/>
          <w:kern w:val="2"/>
          <w:sz w:val="24"/>
          <w:szCs w:val="24"/>
          <w:highlight w:val="none"/>
          <w:u w:val="single"/>
          <w:lang w:val="en-US" w:eastAsia="zh-CN" w:bidi="ar-SA"/>
        </w:rPr>
        <w:t xml:space="preserve"> </w:t>
      </w:r>
      <w:r>
        <w:rPr>
          <w:rFonts w:hint="eastAsia" w:ascii="宋体" w:hAnsi="宋体" w:eastAsia="宋体" w:cs="宋体"/>
          <w:b w:val="0"/>
          <w:bCs w:val="0"/>
          <w:snapToGrid/>
          <w:color w:val="auto"/>
          <w:kern w:val="2"/>
          <w:sz w:val="24"/>
          <w:szCs w:val="24"/>
          <w:highlight w:val="none"/>
          <w:u w:val="single"/>
          <w:lang w:val="en-US" w:eastAsia="zh-CN" w:bidi="ar-SA"/>
        </w:rPr>
        <w:t>无</w:t>
      </w:r>
      <w:r>
        <w:rPr>
          <w:rFonts w:hint="eastAsia" w:ascii="宋体" w:hAnsi="宋体" w:eastAsia="宋体" w:cs="宋体"/>
          <w:snapToGrid/>
          <w:color w:val="auto"/>
          <w:kern w:val="2"/>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en-US"/>
        </w:rPr>
        <w:t>。</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5.3 隐蔽工程检查</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5.3.2承包人提前通知监理人隐蔽工程检查的期限的约定：承包人应在共同检查前24小时书面通知监理人检查 。</w:t>
      </w:r>
    </w:p>
    <w:p>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监理人不能按时进行检查时，应提前</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24</w:t>
      </w:r>
      <w:r>
        <w:rPr>
          <w:rFonts w:hint="eastAsia" w:ascii="宋体" w:hAnsi="宋体" w:eastAsia="宋体" w:cs="宋体"/>
          <w:color w:val="auto"/>
          <w:sz w:val="24"/>
          <w:szCs w:val="24"/>
          <w:highlight w:val="none"/>
        </w:rPr>
        <w:t>小时提交书面延期要求。延期最长不得超过：</w:t>
      </w:r>
      <w:r>
        <w:rPr>
          <w:rFonts w:hint="eastAsia" w:ascii="宋体" w:hAnsi="宋体" w:eastAsia="宋体" w:cs="宋体"/>
          <w:b w:val="0"/>
          <w:bCs w:val="0"/>
          <w:color w:val="auto"/>
          <w:sz w:val="24"/>
          <w:szCs w:val="24"/>
          <w:highlight w:val="none"/>
          <w:u w:val="single"/>
        </w:rPr>
        <w:t xml:space="preserve"> 48</w:t>
      </w:r>
      <w:r>
        <w:rPr>
          <w:rFonts w:hint="eastAsia" w:ascii="宋体" w:hAnsi="宋体" w:eastAsia="宋体" w:cs="宋体"/>
          <w:color w:val="auto"/>
          <w:sz w:val="24"/>
          <w:szCs w:val="24"/>
          <w:highlight w:val="none"/>
        </w:rPr>
        <w:t>小时。</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6. 安全文明施工与环境保护</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6.1.1 项目安全</w:t>
      </w:r>
      <w:r>
        <w:rPr>
          <w:rFonts w:hint="eastAsia" w:ascii="宋体" w:hAnsi="宋体" w:eastAsia="宋体" w:cs="宋体"/>
          <w:color w:val="auto"/>
          <w:sz w:val="24"/>
          <w:szCs w:val="24"/>
          <w:highlight w:val="none"/>
        </w:rPr>
        <w:t>生产的达标目标及相应事项的约定：</w:t>
      </w:r>
      <w:r>
        <w:rPr>
          <w:rFonts w:hint="eastAsia" w:ascii="宋体" w:hAnsi="宋体" w:eastAsia="宋体" w:cs="宋体"/>
          <w:b w:val="0"/>
          <w:bCs w:val="0"/>
          <w:color w:val="auto"/>
          <w:sz w:val="24"/>
          <w:szCs w:val="24"/>
          <w:highlight w:val="none"/>
          <w:u w:val="single"/>
        </w:rPr>
        <w:t>合格</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b w:val="0"/>
          <w:bCs w:val="0"/>
          <w:color w:val="auto"/>
          <w:sz w:val="24"/>
          <w:szCs w:val="24"/>
          <w:highlight w:val="none"/>
          <w:u w:val="single"/>
        </w:rPr>
        <w:t>执行通用条款</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6.1.5文明施工应按《宁波市建设工程文明施工管理规定》文件要求执行。</w:t>
      </w:r>
    </w:p>
    <w:p>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 工期和进度</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7.1 施工组织设计</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b w:val="0"/>
          <w:bCs w:val="0"/>
          <w:color w:val="auto"/>
          <w:sz w:val="24"/>
          <w:szCs w:val="24"/>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504" w:firstLineChars="21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r>
        <w:rPr>
          <w:rFonts w:hint="eastAsia" w:ascii="宋体" w:hAnsi="宋体" w:eastAsia="宋体" w:cs="宋体"/>
          <w:b w:val="0"/>
          <w:bCs w:val="0"/>
          <w:color w:val="auto"/>
          <w:sz w:val="24"/>
          <w:szCs w:val="24"/>
          <w:highlight w:val="none"/>
          <w:u w:val="single"/>
        </w:rPr>
        <w:t>按通用条款约定执行</w:t>
      </w:r>
      <w:r>
        <w:rPr>
          <w:rFonts w:hint="eastAsia" w:ascii="宋体" w:hAnsi="宋体" w:eastAsia="宋体" w:cs="宋体"/>
          <w:color w:val="auto"/>
          <w:sz w:val="24"/>
          <w:szCs w:val="24"/>
          <w:highlight w:val="none"/>
        </w:rPr>
        <w:t>。</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7.2 施工进度计划</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7.2.2 施工进度</w:t>
      </w:r>
      <w:r>
        <w:rPr>
          <w:rFonts w:hint="eastAsia" w:ascii="宋体" w:hAnsi="宋体" w:eastAsia="宋体" w:cs="宋体"/>
          <w:color w:val="auto"/>
          <w:sz w:val="24"/>
          <w:szCs w:val="24"/>
          <w:highlight w:val="none"/>
        </w:rPr>
        <w:t>计划的修订</w:t>
      </w:r>
    </w:p>
    <w:p>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施工进度计划的编制和修订：</w:t>
      </w:r>
      <w:r>
        <w:rPr>
          <w:rFonts w:hint="eastAsia" w:ascii="宋体" w:hAnsi="宋体" w:eastAsia="宋体" w:cs="宋体"/>
          <w:b w:val="0"/>
          <w:bCs w:val="0"/>
          <w:color w:val="auto"/>
          <w:sz w:val="24"/>
          <w:szCs w:val="24"/>
          <w:highlight w:val="none"/>
          <w:u w:val="single"/>
        </w:rPr>
        <w:t>按通用条款约定执行。</w:t>
      </w:r>
    </w:p>
    <w:p>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kern w:val="0"/>
          <w:sz w:val="24"/>
          <w:highlight w:val="none"/>
          <w:lang w:val="en-US"/>
        </w:rPr>
        <w:t xml:space="preserve">.3.1 </w:t>
      </w:r>
      <w:r>
        <w:rPr>
          <w:rFonts w:hint="eastAsia" w:ascii="宋体" w:hAnsi="宋体" w:eastAsia="宋体" w:cs="宋体"/>
          <w:color w:val="auto"/>
          <w:sz w:val="24"/>
          <w:szCs w:val="24"/>
          <w:highlight w:val="none"/>
        </w:rPr>
        <w:t>开工准备</w:t>
      </w:r>
    </w:p>
    <w:p>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b w:val="0"/>
          <w:bCs w:val="0"/>
          <w:color w:val="auto"/>
          <w:sz w:val="24"/>
          <w:szCs w:val="24"/>
          <w:highlight w:val="none"/>
          <w:u w:val="single"/>
        </w:rPr>
        <w:t xml:space="preserve">按第7.1款[施工组织设计]约定的时间 </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b w:val="0"/>
          <w:bCs w:val="0"/>
          <w:color w:val="auto"/>
          <w:sz w:val="24"/>
          <w:szCs w:val="24"/>
          <w:highlight w:val="none"/>
          <w:u w:val="single"/>
        </w:rPr>
        <w:t>在第7.3.2项[开工通知]载明的开工日期前7天获得开工所需的各项行政审批和许可手续</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关于承包人应完成的其他开工准备工作及期限： </w:t>
      </w:r>
      <w:r>
        <w:rPr>
          <w:rFonts w:hint="eastAsia" w:ascii="宋体" w:hAnsi="宋体" w:eastAsia="宋体" w:cs="宋体"/>
          <w:b w:val="0"/>
          <w:bCs w:val="0"/>
          <w:color w:val="auto"/>
          <w:sz w:val="24"/>
          <w:szCs w:val="24"/>
          <w:highlight w:val="none"/>
          <w:u w:val="single"/>
        </w:rPr>
        <w:t>在第7.3.2项[开工通知]载明的开工日期前7天签订材料、工程设备、周转材料等的采购合同，确定劳动力、材料、机械的进场安排</w:t>
      </w:r>
      <w:r>
        <w:rPr>
          <w:rFonts w:hint="eastAsia" w:ascii="宋体" w:hAnsi="宋体" w:eastAsia="宋体" w:cs="宋体"/>
          <w:color w:val="auto"/>
          <w:sz w:val="24"/>
          <w:szCs w:val="24"/>
          <w:highlight w:val="none"/>
        </w:rPr>
        <w:t>。</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7.3.2 开工通知</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因发包人原因造成监理人未能在通用条款规定的期限内发出开工通知的，承包人有权提出价格调整要求，或者解除合同。</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7.4 测量放线</w:t>
      </w:r>
    </w:p>
    <w:p>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发包人通过监理人向承包人提供测量基准点、基准线和水准点及其书面资料的期限：</w:t>
      </w:r>
      <w:r>
        <w:rPr>
          <w:rFonts w:hint="eastAsia" w:ascii="宋体" w:hAnsi="宋体" w:eastAsia="宋体" w:cs="宋体"/>
          <w:b w:val="0"/>
          <w:bCs w:val="0"/>
          <w:color w:val="auto"/>
          <w:sz w:val="24"/>
          <w:szCs w:val="24"/>
          <w:highlight w:val="none"/>
          <w:u w:val="single"/>
        </w:rPr>
        <w:t>不得晚于在第7.3.2项[开工通知]载明的开工日期前7天</w:t>
      </w:r>
      <w:r>
        <w:rPr>
          <w:rFonts w:hint="eastAsia" w:ascii="宋体" w:hAnsi="宋体" w:eastAsia="宋体" w:cs="宋体"/>
          <w:color w:val="auto"/>
          <w:sz w:val="24"/>
          <w:szCs w:val="24"/>
          <w:highlight w:val="none"/>
        </w:rPr>
        <w:t>。</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7.5 工期延误</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7.5.1 因发包人原因导致工期延误</w:t>
      </w:r>
    </w:p>
    <w:p>
      <w:pPr>
        <w:pageBreakBefore w:val="0"/>
        <w:widowControl w:val="0"/>
        <w:kinsoku/>
        <w:wordWrap/>
        <w:overflowPunct/>
        <w:topLinePunct w:val="0"/>
        <w:bidi w:val="0"/>
        <w:adjustRightInd/>
        <w:snapToGrid w:val="0"/>
        <w:spacing w:before="120" w:line="332" w:lineRule="auto"/>
        <w:ind w:firstLine="456" w:firstLineChars="19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（7）因发包人原因导致工期延误的其他情形： </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 xml:space="preserve"> 。</w:t>
      </w:r>
    </w:p>
    <w:p>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7.5.2 因承包人原因导致工期延误</w:t>
      </w:r>
    </w:p>
    <w:p>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因承包人原因造成工期延误，逾期竣工违约金的计算方法根据“</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”承诺确定，为</w:t>
      </w:r>
      <w:bookmarkStart w:id="504" w:name="_GoBack"/>
      <w:r>
        <w:rPr>
          <w:rFonts w:hint="eastAsia" w:ascii="宋体" w:hAnsi="宋体" w:eastAsia="宋体" w:cs="宋体"/>
          <w:b w:val="0"/>
          <w:bCs w:val="0"/>
          <w:color w:val="auto"/>
          <w:sz w:val="24"/>
          <w:szCs w:val="24"/>
          <w:highlight w:val="none"/>
          <w:u w:val="single"/>
        </w:rPr>
        <w:t>100</w:t>
      </w:r>
      <w:bookmarkEnd w:id="504"/>
      <w:r>
        <w:rPr>
          <w:rFonts w:hint="eastAsia" w:ascii="宋体" w:hAnsi="宋体" w:eastAsia="宋体" w:cs="宋体"/>
          <w:b w:val="0"/>
          <w:bCs w:val="0"/>
          <w:color w:val="auto"/>
          <w:sz w:val="24"/>
          <w:szCs w:val="24"/>
          <w:highlight w:val="none"/>
          <w:u w:val="single"/>
        </w:rPr>
        <w:t>0</w:t>
      </w:r>
      <w:r>
        <w:rPr>
          <w:rFonts w:hint="eastAsia" w:ascii="宋体" w:hAnsi="宋体" w:eastAsia="宋体" w:cs="宋体"/>
          <w:b w:val="0"/>
          <w:bCs w:val="0"/>
          <w:color w:val="auto"/>
          <w:sz w:val="24"/>
          <w:szCs w:val="24"/>
          <w:highlight w:val="none"/>
        </w:rPr>
        <w:t>元/天。</w:t>
      </w:r>
    </w:p>
    <w:p>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因承包人原因造成工期延误，逾期竣工违约金的上限根据“</w:t>
      </w:r>
      <w:r>
        <w:rPr>
          <w:rFonts w:hint="eastAsia" w:ascii="宋体" w:hAnsi="宋体" w:eastAsia="宋体" w:cs="宋体"/>
          <w:color w:val="auto"/>
          <w:sz w:val="24"/>
          <w:szCs w:val="24"/>
          <w:highlight w:val="none"/>
          <w:lang w:eastAsia="zh-CN"/>
        </w:rPr>
        <w:t>投标附录</w:t>
      </w:r>
      <w:r>
        <w:rPr>
          <w:rFonts w:hint="eastAsia" w:ascii="宋体" w:hAnsi="宋体" w:eastAsia="宋体" w:cs="宋体"/>
          <w:color w:val="auto"/>
          <w:sz w:val="24"/>
          <w:szCs w:val="24"/>
          <w:highlight w:val="none"/>
        </w:rPr>
        <w:t>”承诺确定，为合同金额的</w:t>
      </w:r>
      <w:r>
        <w:rPr>
          <w:rFonts w:hint="eastAsia" w:ascii="宋体" w:hAnsi="宋体" w:eastAsia="宋体" w:cs="宋体"/>
          <w:color w:val="auto"/>
          <w:sz w:val="24"/>
          <w:szCs w:val="24"/>
          <w:highlight w:val="none"/>
          <w:u w:val="single"/>
        </w:rPr>
        <w:t xml:space="preserve"> 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该项限额不足时，发包人有权向承包人追偿。</w:t>
      </w:r>
    </w:p>
    <w:p>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b w:val="0"/>
          <w:bCs w:val="0"/>
          <w:color w:val="auto"/>
          <w:sz w:val="24"/>
          <w:szCs w:val="24"/>
          <w:highlight w:val="none"/>
          <w:u w:val="single"/>
        </w:rPr>
        <w:t>地勘资料未涉及的地下管道、地雷、岩层等，但不包括气候条件。</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7.7异常恶劣的气候条件</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发包人和</w:t>
      </w:r>
      <w:r>
        <w:rPr>
          <w:rFonts w:hint="eastAsia" w:ascii="宋体" w:hAnsi="宋体" w:eastAsia="宋体" w:cs="宋体"/>
          <w:color w:val="auto"/>
          <w:sz w:val="24"/>
          <w:szCs w:val="24"/>
          <w:highlight w:val="none"/>
        </w:rPr>
        <w:t>承包人同意以下情形视为异常恶劣的气候条件：</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w:t>
      </w:r>
      <w:r>
        <w:rPr>
          <w:rFonts w:hint="eastAsia" w:ascii="宋体" w:hAnsi="宋体" w:eastAsia="宋体" w:cs="宋体"/>
          <w:color w:val="auto"/>
          <w:kern w:val="0"/>
          <w:sz w:val="24"/>
          <w:highlight w:val="none"/>
          <w:u w:val="single"/>
          <w:lang w:val="en-US"/>
        </w:rPr>
        <w:t xml:space="preserve"> 24小时内降雨量达到50mm以上 ；</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w:t>
      </w:r>
      <w:r>
        <w:rPr>
          <w:rFonts w:hint="eastAsia" w:ascii="宋体" w:hAnsi="宋体" w:eastAsia="宋体" w:cs="宋体"/>
          <w:color w:val="auto"/>
          <w:kern w:val="0"/>
          <w:sz w:val="24"/>
          <w:highlight w:val="none"/>
          <w:u w:val="single"/>
          <w:lang w:val="en-US"/>
        </w:rPr>
        <w:t xml:space="preserve"> 风速达到8级及以上的热带风暴(或台风)；</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 xml:space="preserve">（3） </w:t>
      </w:r>
      <w:r>
        <w:rPr>
          <w:rFonts w:hint="eastAsia" w:ascii="宋体" w:hAnsi="宋体" w:eastAsia="宋体" w:cs="宋体"/>
          <w:color w:val="auto"/>
          <w:kern w:val="0"/>
          <w:sz w:val="24"/>
          <w:highlight w:val="none"/>
          <w:u w:val="single"/>
          <w:lang w:val="en-US"/>
        </w:rPr>
        <w:t>日气温超过38度或低于零下10度；</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 xml:space="preserve">（4） </w:t>
      </w:r>
      <w:r>
        <w:rPr>
          <w:rFonts w:hint="eastAsia" w:ascii="宋体" w:hAnsi="宋体" w:eastAsia="宋体" w:cs="宋体"/>
          <w:color w:val="auto"/>
          <w:kern w:val="0"/>
          <w:sz w:val="24"/>
          <w:highlight w:val="none"/>
          <w:u w:val="single"/>
          <w:lang w:val="en-US"/>
        </w:rPr>
        <w:t>造成工程损坏的冰雹或12小时内降雪量达到4mm及以上的大雪灾害；</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（5）</w:t>
      </w:r>
      <w:r>
        <w:rPr>
          <w:rFonts w:hint="eastAsia" w:ascii="宋体" w:hAnsi="宋体" w:eastAsia="宋体" w:cs="宋体"/>
          <w:color w:val="auto"/>
          <w:kern w:val="0"/>
          <w:sz w:val="24"/>
          <w:highlight w:val="none"/>
          <w:u w:val="single"/>
          <w:lang w:val="en-US"/>
        </w:rPr>
        <w:t xml:space="preserve"> 政府有关部门通知停工的其他恶劣气候条件。</w:t>
      </w:r>
    </w:p>
    <w:p>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 </w:t>
      </w:r>
      <w:r>
        <w:rPr>
          <w:rFonts w:hint="eastAsia" w:ascii="宋体" w:hAnsi="宋体" w:eastAsia="宋体" w:cs="宋体"/>
          <w:color w:val="auto"/>
          <w:kern w:val="0"/>
          <w:sz w:val="24"/>
          <w:highlight w:val="none"/>
          <w:lang w:val="en-US"/>
        </w:rPr>
        <w:t>材料</w:t>
      </w:r>
      <w:r>
        <w:rPr>
          <w:rFonts w:hint="eastAsia" w:ascii="宋体" w:hAnsi="宋体" w:eastAsia="宋体" w:cs="宋体"/>
          <w:color w:val="auto"/>
          <w:sz w:val="24"/>
          <w:szCs w:val="24"/>
          <w:highlight w:val="none"/>
        </w:rPr>
        <w:t>与设备</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8.8 </w:t>
      </w:r>
      <w:r>
        <w:rPr>
          <w:rFonts w:hint="eastAsia" w:ascii="宋体" w:hAnsi="宋体" w:eastAsia="宋体" w:cs="宋体"/>
          <w:color w:val="auto"/>
          <w:kern w:val="0"/>
          <w:sz w:val="24"/>
          <w:highlight w:val="none"/>
          <w:lang w:val="en-US"/>
        </w:rPr>
        <w:t>施工</w:t>
      </w:r>
      <w:r>
        <w:rPr>
          <w:rFonts w:hint="eastAsia" w:ascii="宋体" w:hAnsi="宋体" w:eastAsia="宋体" w:cs="宋体"/>
          <w:color w:val="auto"/>
          <w:sz w:val="24"/>
          <w:szCs w:val="24"/>
          <w:highlight w:val="none"/>
        </w:rPr>
        <w:t>设备和临时设施</w:t>
      </w:r>
    </w:p>
    <w:p>
      <w:pPr>
        <w:pageBreakBefore w:val="0"/>
        <w:widowControl w:val="0"/>
        <w:kinsoku/>
        <w:wordWrap/>
        <w:overflowPunct/>
        <w:topLinePunct w:val="0"/>
        <w:autoSpaceDE w:val="0"/>
        <w:autoSpaceDN w:val="0"/>
        <w:bidi w:val="0"/>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pPr>
        <w:pageBreakBefore w:val="0"/>
        <w:widowControl w:val="0"/>
        <w:kinsoku/>
        <w:wordWrap/>
        <w:overflowPunct/>
        <w:topLinePunct w:val="0"/>
        <w:autoSpaceDE w:val="0"/>
        <w:autoSpaceDN w:val="0"/>
        <w:bidi w:val="0"/>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b w:val="0"/>
          <w:bCs w:val="0"/>
          <w:color w:val="auto"/>
          <w:sz w:val="24"/>
          <w:szCs w:val="24"/>
          <w:highlight w:val="none"/>
          <w:u w:val="single"/>
        </w:rPr>
        <w:t>承包人自行承担</w:t>
      </w:r>
      <w:r>
        <w:rPr>
          <w:rFonts w:hint="eastAsia" w:ascii="宋体" w:hAnsi="宋体" w:eastAsia="宋体" w:cs="宋体"/>
          <w:color w:val="auto"/>
          <w:sz w:val="24"/>
          <w:szCs w:val="24"/>
          <w:highlight w:val="none"/>
        </w:rPr>
        <w:t>。</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 </w:t>
      </w:r>
      <w:r>
        <w:rPr>
          <w:rFonts w:hint="eastAsia" w:ascii="宋体" w:hAnsi="宋体" w:eastAsia="宋体" w:cs="宋体"/>
          <w:color w:val="auto"/>
          <w:kern w:val="0"/>
          <w:sz w:val="24"/>
          <w:highlight w:val="none"/>
          <w:lang w:val="en-US"/>
        </w:rPr>
        <w:t>变更</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kern w:val="0"/>
          <w:sz w:val="24"/>
          <w:highlight w:val="none"/>
          <w:lang w:val="en-US"/>
        </w:rPr>
        <w:t>变更</w:t>
      </w:r>
      <w:r>
        <w:rPr>
          <w:rFonts w:hint="eastAsia" w:ascii="宋体" w:hAnsi="宋体" w:eastAsia="宋体" w:cs="宋体"/>
          <w:color w:val="auto"/>
          <w:sz w:val="24"/>
          <w:szCs w:val="24"/>
          <w:highlight w:val="none"/>
        </w:rPr>
        <w:t>的范围</w:t>
      </w:r>
    </w:p>
    <w:p>
      <w:pPr>
        <w:pageBreakBefore w:val="0"/>
        <w:widowControl w:val="0"/>
        <w:kinsoku/>
        <w:wordWrap/>
        <w:overflowPunct/>
        <w:topLinePunct w:val="0"/>
        <w:bidi w:val="0"/>
        <w:adjustRightInd/>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合同双方当事人约</w:t>
      </w:r>
      <w:r>
        <w:rPr>
          <w:rFonts w:hint="eastAsia" w:ascii="宋体" w:hAnsi="宋体" w:eastAsia="宋体" w:cs="宋体"/>
          <w:color w:val="auto"/>
          <w:sz w:val="24"/>
          <w:szCs w:val="24"/>
          <w:highlight w:val="none"/>
          <w:u w:val="none"/>
        </w:rPr>
        <w:t>定：</w:t>
      </w:r>
      <w:r>
        <w:rPr>
          <w:rFonts w:hint="eastAsia" w:ascii="宋体" w:hAnsi="宋体" w:eastAsia="宋体" w:cs="宋体"/>
          <w:color w:val="auto"/>
          <w:sz w:val="24"/>
          <w:szCs w:val="24"/>
          <w:highlight w:val="none"/>
          <w:u w:val="single"/>
        </w:rPr>
        <w:t>合同履行过程中发生以下各项情形发</w:t>
      </w:r>
      <w:r>
        <w:rPr>
          <w:rFonts w:hint="eastAsia" w:ascii="宋体" w:hAnsi="宋体" w:eastAsia="宋体" w:cs="宋体"/>
          <w:color w:val="auto"/>
          <w:sz w:val="24"/>
          <w:szCs w:val="24"/>
          <w:highlight w:val="none"/>
        </w:rPr>
        <w:t>生的，应按照本条约定进行合同变更。</w:t>
      </w:r>
    </w:p>
    <w:p>
      <w:pPr>
        <w:pageBreakBefore w:val="0"/>
        <w:widowControl w:val="0"/>
        <w:kinsoku/>
        <w:wordWrap/>
        <w:overflowPunct/>
        <w:topLinePunct w:val="0"/>
        <w:bidi w:val="0"/>
        <w:adjustRightInd/>
        <w:spacing w:line="332" w:lineRule="auto"/>
        <w:ind w:firstLine="480" w:firstLineChars="200"/>
        <w:textAlignment w:val="auto"/>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法律法规变化；</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工程变更；</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项目特征描述不符；</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工程量清单缺项；</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5</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工程量偏差；</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6</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暂估价、暂定价；</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7</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现场签证；</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8</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不可抗力；</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9</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误期赔偿；</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10</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施工索赔；</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en-US"/>
        </w:rPr>
        <w:t>暂列金额；</w:t>
      </w:r>
    </w:p>
    <w:p>
      <w:pPr>
        <w:pageBreakBefore w:val="0"/>
        <w:widowControl w:val="0"/>
        <w:kinsoku/>
        <w:wordWrap/>
        <w:overflowPunct/>
        <w:topLinePunct w:val="0"/>
        <w:bidi w:val="0"/>
        <w:adjustRightInd/>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10.2变更权</w:t>
      </w:r>
    </w:p>
    <w:p>
      <w:pPr>
        <w:pageBreakBefore w:val="0"/>
        <w:widowControl w:val="0"/>
        <w:kinsoku/>
        <w:wordWrap/>
        <w:overflowPunct/>
        <w:topLinePunct w:val="0"/>
        <w:bidi w:val="0"/>
        <w:adjustRightInd/>
        <w:spacing w:line="332"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合同履行过程中发生工程变更的，工程变更权限按以下文件执行：《宁海县政府投资建设工程</w:t>
      </w:r>
      <w:r>
        <w:rPr>
          <w:rFonts w:hint="eastAsia" w:ascii="宋体" w:hAnsi="宋体" w:eastAsia="宋体" w:cs="宋体"/>
          <w:color w:val="auto"/>
          <w:sz w:val="24"/>
          <w:szCs w:val="24"/>
          <w:highlight w:val="none"/>
          <w:u w:val="single"/>
          <w:lang w:val="en-US" w:eastAsia="zh-CN"/>
        </w:rPr>
        <w:t>造价管控办法</w:t>
      </w:r>
      <w:r>
        <w:rPr>
          <w:rFonts w:hint="eastAsia" w:ascii="宋体" w:hAnsi="宋体" w:eastAsia="宋体" w:cs="宋体"/>
          <w:color w:val="auto"/>
          <w:sz w:val="24"/>
          <w:szCs w:val="24"/>
          <w:highlight w:val="none"/>
          <w:u w:val="single"/>
        </w:rPr>
        <w:t>》（宁发改（202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51</w:t>
      </w:r>
      <w:r>
        <w:rPr>
          <w:rFonts w:hint="eastAsia" w:ascii="宋体" w:hAnsi="宋体" w:eastAsia="宋体" w:cs="宋体"/>
          <w:color w:val="auto"/>
          <w:sz w:val="24"/>
          <w:szCs w:val="24"/>
          <w:highlight w:val="none"/>
          <w:u w:val="single"/>
        </w:rPr>
        <w:t>号）和建设单位工程变更管理办法。</w:t>
      </w:r>
    </w:p>
    <w:p>
      <w:pPr>
        <w:spacing w:line="360" w:lineRule="auto"/>
        <w:ind w:firstLine="480" w:firstLineChars="200"/>
        <w:jc w:val="left"/>
        <w:rPr>
          <w:rFonts w:hint="eastAsia" w:ascii="宋体" w:hAnsi="宋体" w:eastAsia="宋体" w:cs="宋体"/>
          <w:sz w:val="21"/>
          <w:szCs w:val="21"/>
          <w:highlight w:val="none"/>
        </w:rPr>
      </w:pPr>
      <w:r>
        <w:rPr>
          <w:rFonts w:hint="eastAsia" w:ascii="宋体" w:hAnsi="宋体" w:eastAsia="宋体" w:cs="宋体"/>
          <w:color w:val="auto"/>
          <w:sz w:val="24"/>
          <w:szCs w:val="24"/>
          <w:highlight w:val="none"/>
        </w:rPr>
        <w:t>10.3变更程序</w:t>
      </w:r>
    </w:p>
    <w:p>
      <w:pPr>
        <w:spacing w:line="360" w:lineRule="auto"/>
        <w:ind w:firstLine="480" w:firstLineChars="200"/>
        <w:rPr>
          <w:rFonts w:hint="eastAsia"/>
          <w:u w:val="none"/>
          <w:lang w:val="en-US"/>
        </w:rPr>
      </w:pPr>
      <w:r>
        <w:rPr>
          <w:rFonts w:hint="eastAsia" w:ascii="宋体" w:hAnsi="宋体" w:eastAsia="宋体" w:cs="宋体"/>
          <w:color w:val="auto"/>
          <w:sz w:val="24"/>
          <w:szCs w:val="24"/>
          <w:highlight w:val="none"/>
        </w:rPr>
        <w:t>合同履行过程中发生工程变更的，工程变更按</w:t>
      </w:r>
      <w:r>
        <w:rPr>
          <w:rFonts w:hint="eastAsia" w:ascii="宋体" w:hAnsi="宋体" w:eastAsia="宋体" w:cs="宋体"/>
          <w:color w:val="auto"/>
          <w:sz w:val="24"/>
          <w:szCs w:val="24"/>
          <w:highlight w:val="none"/>
          <w:u w:val="single"/>
        </w:rPr>
        <w:t>《宁海县政府投资建设工程</w:t>
      </w:r>
      <w:r>
        <w:rPr>
          <w:rFonts w:hint="eastAsia" w:ascii="宋体" w:hAnsi="宋体" w:eastAsia="宋体" w:cs="宋体"/>
          <w:color w:val="auto"/>
          <w:sz w:val="24"/>
          <w:szCs w:val="24"/>
          <w:highlight w:val="none"/>
          <w:u w:val="single"/>
          <w:lang w:val="en-US" w:eastAsia="zh-CN"/>
        </w:rPr>
        <w:t>造价管控办法</w:t>
      </w:r>
      <w:r>
        <w:rPr>
          <w:rFonts w:hint="eastAsia" w:ascii="宋体" w:hAnsi="宋体" w:eastAsia="宋体" w:cs="宋体"/>
          <w:color w:val="auto"/>
          <w:sz w:val="24"/>
          <w:szCs w:val="24"/>
          <w:highlight w:val="none"/>
          <w:u w:val="single"/>
        </w:rPr>
        <w:t>》（宁发改（202</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51</w:t>
      </w:r>
      <w:r>
        <w:rPr>
          <w:rFonts w:hint="eastAsia" w:ascii="宋体" w:hAnsi="宋体" w:eastAsia="宋体" w:cs="宋体"/>
          <w:color w:val="auto"/>
          <w:sz w:val="24"/>
          <w:szCs w:val="24"/>
          <w:highlight w:val="none"/>
          <w:u w:val="single"/>
        </w:rPr>
        <w:t>号）规定的程序和建设单位工程变更程序办理</w:t>
      </w:r>
      <w:r>
        <w:rPr>
          <w:rFonts w:hint="eastAsia" w:ascii="宋体" w:hAnsi="宋体" w:eastAsia="宋体" w:cs="宋体"/>
          <w:color w:val="auto"/>
          <w:sz w:val="24"/>
          <w:szCs w:val="24"/>
          <w:highlight w:val="none"/>
          <w:u w:val="none"/>
        </w:rPr>
        <w:t>。</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10.4 变更估价</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10.4.1 变更估价原则</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10.4.1.1 关于变更单价的约定：</w:t>
      </w:r>
      <w:r>
        <w:rPr>
          <w:rFonts w:hint="eastAsia" w:ascii="宋体" w:hAnsi="宋体" w:eastAsia="宋体" w:cs="宋体"/>
          <w:color w:val="auto"/>
          <w:sz w:val="24"/>
          <w:szCs w:val="24"/>
          <w:highlight w:val="none"/>
        </w:rPr>
        <w:t xml:space="preserve"> </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（1）已标价的工程量清单或预算书有相同项目的，按照相同项目单价认定。</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已标价的工程量清单或预算书中无相同项目，但有类似项目的，参照类似项目单价（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（3）当实际工程量与招标工程量清单或预算书中列明的该项工程量出现偏差时，该部分单价可选</w:t>
      </w:r>
      <w:r>
        <w:rPr>
          <w:rFonts w:hint="eastAsia" w:ascii="宋体" w:hAnsi="宋体" w:eastAsia="宋体" w:cs="宋体"/>
          <w:color w:val="auto"/>
          <w:spacing w:val="-2"/>
          <w:sz w:val="24"/>
          <w:szCs w:val="24"/>
          <w:highlight w:val="none"/>
          <w:u w:val="single"/>
        </w:rPr>
        <w:t xml:space="preserve">  B  </w:t>
      </w:r>
      <w:r>
        <w:rPr>
          <w:rFonts w:hint="eastAsia" w:ascii="宋体" w:hAnsi="宋体" w:eastAsia="宋体" w:cs="宋体"/>
          <w:color w:val="auto"/>
          <w:spacing w:val="-2"/>
          <w:sz w:val="24"/>
          <w:szCs w:val="24"/>
          <w:highlight w:val="none"/>
        </w:rPr>
        <w:t>（A/ B）方式调整：</w:t>
      </w:r>
    </w:p>
    <w:p>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A.变更导致实际完成的变更工程量与已标价的工程量清单或预算书中列明的该项目工程量的变化幅度超过15%的，增加部分的工程量的综合单价（或工料单价）应予调整；当工程量减少15%以上时，减少后剩余部分的工程量的综合单价（或工料单价）应予调整。</w:t>
      </w:r>
    </w:p>
    <w:p>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B.合价金额占合同总价2%及以上的分部分项清单项目，其工程量增加或减少超过本项目工程量15%及以上时，或合价金额占合同总价不到2%的分部分项清单项目，但其工程量增加或减少超过本项目工程数量25%及以上时，其增加部分工程量或减少后剩余部分工程量的相应单价应予调整。</w:t>
      </w:r>
    </w:p>
    <w:p>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（4）已标价的工程量清单或预算书中无相同项目及类似项目单价的，应由承包人根据变更工程资料、计量规则和计价办法、工程造价管理机构发布的信息价格</w:t>
      </w:r>
      <w:r>
        <w:rPr>
          <w:rFonts w:hint="eastAsia" w:ascii="宋体" w:hAnsi="宋体" w:eastAsia="宋体" w:cs="宋体"/>
          <w:color w:val="auto"/>
          <w:sz w:val="24"/>
          <w:szCs w:val="24"/>
          <w:highlight w:val="none"/>
        </w:rPr>
        <w:t>和承包人报价浮动率</w:t>
      </w:r>
      <w:r>
        <w:rPr>
          <w:rFonts w:hint="eastAsia" w:ascii="宋体" w:hAnsi="宋体" w:eastAsia="宋体" w:cs="宋体"/>
          <w:color w:val="auto"/>
          <w:spacing w:val="-2"/>
          <w:sz w:val="24"/>
          <w:szCs w:val="24"/>
          <w:highlight w:val="none"/>
        </w:rPr>
        <w:t>提出变更工程项目的单价，并应报发包人确认后调整。</w:t>
      </w:r>
      <w:r>
        <w:rPr>
          <w:rFonts w:hint="eastAsia" w:ascii="宋体" w:hAnsi="宋体" w:eastAsia="宋体" w:cs="宋体"/>
          <w:color w:val="auto"/>
          <w:sz w:val="24"/>
          <w:szCs w:val="24"/>
          <w:highlight w:val="none"/>
        </w:rPr>
        <w:t>浮动率=（成交价/招标控制价-1）*100%，成交价及招标控制价均指剔除了暂估价、暂列金、其他不可竞争费用后的价格。</w:t>
      </w:r>
    </w:p>
    <w:p>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已标价的工程量清单或预算书中无相同项目及类似项目单价的，且工程造价管理机构发布的信息价格缺价的，应由承包人根据变更工程资料、计量规则和计价办法，通过市场询查等方式取得有合理依据的市场价格提出变更工程项目的单价，并应报发包人确认后调整。</w:t>
      </w:r>
    </w:p>
    <w:p>
      <w:pPr>
        <w:pageBreakBefore w:val="0"/>
        <w:widowControl w:val="0"/>
        <w:kinsoku/>
        <w:wordWrap/>
        <w:overflowPunct/>
        <w:topLinePunct w:val="0"/>
        <w:bidi w:val="0"/>
        <w:adjustRightInd/>
        <w:snapToGrid w:val="0"/>
        <w:spacing w:line="332" w:lineRule="auto"/>
        <w:ind w:left="-42" w:leftChars="-20" w:firstLine="462" w:firstLineChars="196"/>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pacing w:val="-2"/>
          <w:sz w:val="24"/>
          <w:szCs w:val="24"/>
          <w:highlight w:val="none"/>
        </w:rPr>
        <w:t>（6）施工中出现施工图纸或设计变更与工程量清单项目特征描述不符的，发承包双方应按新的项目特征确定相应工程量清单项目，按本条款（1）～（5）</w:t>
      </w:r>
      <w:r>
        <w:rPr>
          <w:rFonts w:hint="eastAsia" w:ascii="宋体" w:hAnsi="宋体" w:eastAsia="宋体" w:cs="宋体"/>
          <w:color w:val="auto"/>
          <w:sz w:val="24"/>
          <w:szCs w:val="24"/>
          <w:highlight w:val="none"/>
        </w:rPr>
        <w:t>及计价依据、规则</w:t>
      </w:r>
      <w:r>
        <w:rPr>
          <w:rFonts w:hint="eastAsia" w:ascii="宋体" w:hAnsi="宋体" w:eastAsia="宋体" w:cs="宋体"/>
          <w:color w:val="auto"/>
          <w:spacing w:val="-2"/>
          <w:sz w:val="24"/>
          <w:szCs w:val="24"/>
          <w:highlight w:val="none"/>
        </w:rPr>
        <w:t>的规定重新确定相应工程量清单或预算书项目的综合单价，并调整合同价格。</w:t>
      </w:r>
    </w:p>
    <w:p>
      <w:pPr>
        <w:pageBreakBefore w:val="0"/>
        <w:widowControl w:val="0"/>
        <w:kinsoku/>
        <w:wordWrap/>
        <w:overflowPunct/>
        <w:topLinePunct w:val="0"/>
        <w:bidi w:val="0"/>
        <w:adjustRightInd/>
        <w:snapToGrid w:val="0"/>
        <w:spacing w:line="332" w:lineRule="auto"/>
        <w:ind w:firstLine="462" w:firstLineChars="196"/>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计价依据、规则：1、</w:t>
      </w:r>
      <w:r>
        <w:rPr>
          <w:rFonts w:hint="eastAsia" w:ascii="宋体" w:hAnsi="宋体" w:eastAsia="宋体" w:cs="宋体"/>
          <w:color w:val="auto"/>
          <w:spacing w:val="-2"/>
          <w:sz w:val="24"/>
          <w:szCs w:val="24"/>
          <w:highlight w:val="none"/>
          <w:lang w:val="en-US" w:eastAsia="zh-CN"/>
        </w:rPr>
        <w:t>工程量：根据浙江广居装饰有限公司设计的《宁海县公安局内部维修改造工程》。2、</w:t>
      </w:r>
      <w:r>
        <w:rPr>
          <w:rFonts w:hint="eastAsia" w:ascii="宋体" w:hAnsi="宋体" w:eastAsia="宋体" w:cs="宋体"/>
          <w:color w:val="auto"/>
          <w:spacing w:val="-2"/>
          <w:sz w:val="24"/>
          <w:szCs w:val="24"/>
          <w:highlight w:val="none"/>
        </w:rPr>
        <w:t>信息价：材料价格根据《宁波建设工程造价信息》(综合版)202</w:t>
      </w:r>
      <w:r>
        <w:rPr>
          <w:rFonts w:hint="eastAsia" w:ascii="宋体" w:hAnsi="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rPr>
        <w:t>年</w:t>
      </w: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月刊</w:t>
      </w:r>
      <w:r>
        <w:rPr>
          <w:rFonts w:hint="eastAsia" w:ascii="宋体" w:hAnsi="宋体" w:cs="宋体"/>
          <w:color w:val="auto"/>
          <w:spacing w:val="-2"/>
          <w:sz w:val="24"/>
          <w:szCs w:val="24"/>
          <w:highlight w:val="none"/>
          <w:lang w:eastAsia="zh-CN"/>
        </w:rPr>
        <w:t>宁海县、</w:t>
      </w:r>
      <w:r>
        <w:rPr>
          <w:rFonts w:hint="eastAsia" w:ascii="宋体" w:hAnsi="宋体" w:eastAsia="宋体" w:cs="宋体"/>
          <w:color w:val="auto"/>
          <w:spacing w:val="-2"/>
          <w:sz w:val="24"/>
          <w:szCs w:val="24"/>
          <w:highlight w:val="none"/>
        </w:rPr>
        <w:t>市区信息价、《浙江造价信息》(正刊)202</w:t>
      </w:r>
      <w:r>
        <w:rPr>
          <w:rFonts w:hint="eastAsia" w:ascii="宋体" w:hAnsi="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rPr>
        <w:t>年第</w:t>
      </w: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期、无信息价的材料或设备采用市场价；人工价格根据按《宁波建设工程造价信息》(综合版) 202</w:t>
      </w:r>
      <w:r>
        <w:rPr>
          <w:rFonts w:hint="eastAsia" w:ascii="宋体" w:hAnsi="宋体" w:cs="宋体"/>
          <w:color w:val="auto"/>
          <w:spacing w:val="-2"/>
          <w:sz w:val="24"/>
          <w:szCs w:val="24"/>
          <w:highlight w:val="none"/>
          <w:lang w:val="en-US" w:eastAsia="zh-CN"/>
        </w:rPr>
        <w:t>5</w:t>
      </w:r>
      <w:r>
        <w:rPr>
          <w:rFonts w:hint="eastAsia" w:ascii="宋体" w:hAnsi="宋体" w:eastAsia="宋体" w:cs="宋体"/>
          <w:color w:val="auto"/>
          <w:spacing w:val="-2"/>
          <w:sz w:val="24"/>
          <w:szCs w:val="24"/>
          <w:highlight w:val="none"/>
        </w:rPr>
        <w:t>年</w:t>
      </w:r>
      <w:r>
        <w:rPr>
          <w:rFonts w:hint="eastAsia" w:ascii="宋体" w:hAnsi="宋体" w:cs="宋体"/>
          <w:color w:val="auto"/>
          <w:spacing w:val="-2"/>
          <w:sz w:val="24"/>
          <w:szCs w:val="24"/>
          <w:highlight w:val="none"/>
          <w:lang w:val="en-US" w:eastAsia="zh-CN"/>
        </w:rPr>
        <w:t>4</w:t>
      </w:r>
      <w:r>
        <w:rPr>
          <w:rFonts w:hint="eastAsia" w:ascii="宋体" w:hAnsi="宋体" w:eastAsia="宋体" w:cs="宋体"/>
          <w:color w:val="auto"/>
          <w:spacing w:val="-2"/>
          <w:sz w:val="24"/>
          <w:szCs w:val="24"/>
          <w:highlight w:val="none"/>
        </w:rPr>
        <w:t>月刊市区信息价。</w:t>
      </w:r>
      <w:r>
        <w:rPr>
          <w:rFonts w:hint="eastAsia" w:ascii="宋体" w:hAnsi="宋体" w:eastAsia="宋体" w:cs="宋体"/>
          <w:color w:val="auto"/>
          <w:spacing w:val="-2"/>
          <w:sz w:val="24"/>
          <w:szCs w:val="24"/>
          <w:highlight w:val="none"/>
          <w:lang w:val="en-US" w:eastAsia="zh-CN"/>
        </w:rPr>
        <w:t>3</w:t>
      </w:r>
      <w:r>
        <w:rPr>
          <w:rFonts w:hint="eastAsia" w:ascii="宋体" w:hAnsi="宋体" w:eastAsia="宋体" w:cs="宋体"/>
          <w:color w:val="auto"/>
          <w:spacing w:val="-2"/>
          <w:sz w:val="24"/>
          <w:szCs w:val="24"/>
          <w:highlight w:val="none"/>
        </w:rPr>
        <w:t>、(1)装修工程企业管理费、利润按单独装饰工程中值计取；施工组织措施费按单独装饰工程中值计取，其中安全文明施工基本费按市区工程计取，标化工地增加费、优质项目增加费</w:t>
      </w:r>
      <w:r>
        <w:rPr>
          <w:rFonts w:hint="eastAsia" w:ascii="宋体" w:hAnsi="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提前竣工增加费</w:t>
      </w:r>
      <w:r>
        <w:rPr>
          <w:rFonts w:hint="eastAsia" w:ascii="宋体" w:hAnsi="宋体" w:cs="宋体"/>
          <w:color w:val="auto"/>
          <w:spacing w:val="-2"/>
          <w:sz w:val="24"/>
          <w:szCs w:val="24"/>
          <w:highlight w:val="none"/>
          <w:lang w:eastAsia="zh-CN"/>
        </w:rPr>
        <w:t>及二次搬运费</w:t>
      </w:r>
      <w:r>
        <w:rPr>
          <w:rFonts w:hint="eastAsia" w:ascii="宋体" w:hAnsi="宋体" w:eastAsia="宋体" w:cs="宋体"/>
          <w:color w:val="auto"/>
          <w:spacing w:val="-2"/>
          <w:sz w:val="24"/>
          <w:szCs w:val="24"/>
          <w:highlight w:val="none"/>
        </w:rPr>
        <w:t>不计取。(2)安装工程企业管理费、利润按水、电、暖通、消防、智能、自控及通信安装工程中值计取；施工组织措施项目费费率按水、电、暖通、消防、智能、自控及通信安装工程中值计取，其中安全文明施工基本费按市区工程计取，标化工地增加费、优质项目增加费</w:t>
      </w:r>
      <w:r>
        <w:rPr>
          <w:rFonts w:hint="eastAsia" w:ascii="宋体" w:hAnsi="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提前竣工增加费</w:t>
      </w:r>
      <w:r>
        <w:rPr>
          <w:rFonts w:hint="eastAsia" w:ascii="宋体" w:hAnsi="宋体" w:cs="宋体"/>
          <w:color w:val="auto"/>
          <w:spacing w:val="-2"/>
          <w:sz w:val="24"/>
          <w:szCs w:val="24"/>
          <w:highlight w:val="none"/>
          <w:lang w:eastAsia="zh-CN"/>
        </w:rPr>
        <w:t>及二次搬运费</w:t>
      </w:r>
      <w:r>
        <w:rPr>
          <w:rFonts w:hint="eastAsia" w:ascii="宋体" w:hAnsi="宋体" w:eastAsia="宋体" w:cs="宋体"/>
          <w:color w:val="auto"/>
          <w:spacing w:val="-2"/>
          <w:sz w:val="24"/>
          <w:szCs w:val="24"/>
          <w:highlight w:val="none"/>
        </w:rPr>
        <w:t>不计取。(3)安全生产责任保险费：按市建管（2024）12号文件</w:t>
      </w:r>
      <w:r>
        <w:rPr>
          <w:rFonts w:hint="eastAsia" w:ascii="宋体" w:hAnsi="宋体" w:cs="宋体"/>
          <w:color w:val="auto"/>
          <w:spacing w:val="-2"/>
          <w:sz w:val="24"/>
          <w:szCs w:val="24"/>
          <w:highlight w:val="none"/>
          <w:lang w:val="en-US" w:eastAsia="zh-CN"/>
        </w:rPr>
        <w:t>规定</w:t>
      </w:r>
      <w:r>
        <w:rPr>
          <w:rFonts w:hint="eastAsia" w:ascii="宋体" w:hAnsi="宋体" w:eastAsia="宋体" w:cs="宋体"/>
          <w:color w:val="auto"/>
          <w:spacing w:val="-2"/>
          <w:sz w:val="24"/>
          <w:szCs w:val="24"/>
          <w:highlight w:val="none"/>
        </w:rPr>
        <w:t>计取。(4)规费：按相应工程标准费率的30%计取（如有新的政策性文件，从其规定）。税金：浙建建发(2019) 92 号规定9%计入。</w:t>
      </w:r>
    </w:p>
    <w:p>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编制原则及办法</w:t>
      </w:r>
    </w:p>
    <w:p>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1、编制方法：采用综合单价法编制。计税方法：增值税一般计税法。</w:t>
      </w:r>
    </w:p>
    <w:p>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2、工程量：根据建设单位提供的施工图纸、现</w:t>
      </w:r>
      <w:r>
        <w:rPr>
          <w:rFonts w:hint="eastAsia" w:ascii="宋体" w:hAnsi="宋体" w:eastAsia="宋体" w:cs="宋体"/>
          <w:color w:val="auto"/>
          <w:sz w:val="24"/>
          <w:szCs w:val="24"/>
          <w:highlight w:val="none"/>
          <w:u w:val="single"/>
          <w:lang w:val="en-US" w:eastAsia="zh-CN"/>
        </w:rPr>
        <w:t>场</w:t>
      </w:r>
      <w:r>
        <w:rPr>
          <w:rFonts w:hint="eastAsia" w:ascii="宋体" w:hAnsi="宋体" w:eastAsia="宋体" w:cs="宋体"/>
          <w:color w:val="auto"/>
          <w:sz w:val="24"/>
          <w:szCs w:val="24"/>
          <w:highlight w:val="none"/>
          <w:u w:val="single"/>
        </w:rPr>
        <w:t>勘查结合计算规则计算。</w:t>
      </w:r>
    </w:p>
    <w:p>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3、人工信息价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含机上人工</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《宁波建设工程造价信息》(综合版) 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月刊市区信息价。</w:t>
      </w:r>
    </w:p>
    <w:p>
      <w:pPr>
        <w:pageBreakBefore w:val="0"/>
        <w:widowControl w:val="0"/>
        <w:kinsoku/>
        <w:wordWrap/>
        <w:overflowPunct/>
        <w:topLinePunct w:val="0"/>
        <w:bidi w:val="0"/>
        <w:adjustRightInd/>
        <w:snapToGrid w:val="0"/>
        <w:spacing w:line="332" w:lineRule="auto"/>
        <w:ind w:firstLine="470" w:firstLineChars="19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4、材料价格选用先后顺序</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含机械燃料动力费</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《宁波建设工程造价信息》(综合版)202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月刊</w:t>
      </w:r>
      <w:r>
        <w:rPr>
          <w:rFonts w:hint="eastAsia" w:ascii="宋体" w:hAnsi="宋体" w:cs="宋体"/>
          <w:color w:val="auto"/>
          <w:spacing w:val="-2"/>
          <w:sz w:val="24"/>
          <w:szCs w:val="24"/>
          <w:highlight w:val="none"/>
          <w:u w:val="single"/>
          <w:lang w:eastAsia="zh-CN"/>
        </w:rPr>
        <w:t>宁海县、</w:t>
      </w:r>
      <w:r>
        <w:rPr>
          <w:rFonts w:hint="eastAsia" w:ascii="宋体" w:hAnsi="宋体" w:eastAsia="宋体" w:cs="宋体"/>
          <w:color w:val="auto"/>
          <w:sz w:val="24"/>
          <w:szCs w:val="24"/>
          <w:highlight w:val="none"/>
          <w:u w:val="single"/>
        </w:rPr>
        <w:t>市区信息价、《宁波建设工程造价信息》(综合版)202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月刊市区信息价、《浙江造价信息》(正刊)202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年第</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期、无信息价的材料或设备采用市场价。以上信息价、市场价均按除税价计取。</w:t>
      </w:r>
    </w:p>
    <w:p>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10.4.1.2 关于变更措施项目费的约定：</w:t>
      </w:r>
    </w:p>
    <w:p>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第10.4.1.1 目约定的原则计算单价并提出措施费；采用以“项”计价的措施项目，根据有标价的工程量清单中的措施项目和金额或发承包双方确认调整后的措施项目和金额计算，按项部分结算不做调整。</w:t>
      </w:r>
    </w:p>
    <w:p>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（1）原措施费中已有的措施项目，按原措施费的组价方法调整。</w:t>
      </w:r>
    </w:p>
    <w:p>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（2）原措施费没有的措施项目，承包人根据实际措施项目内容、规定的工程取费类别、现行计价依据并按中标浮动率浮动后提出措施费。浮动率=（成交价/招标控制价</w:t>
      </w:r>
      <w:r>
        <w:rPr>
          <w:rFonts w:hint="eastAsia" w:ascii="宋体" w:hAnsi="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rPr>
        <w:t>1）*100%，成交价及招标控制价均指剔除了暂估价、暂定价、暂列金额后的价格。</w:t>
      </w:r>
    </w:p>
    <w:p>
      <w:pPr>
        <w:pageBreakBefore w:val="0"/>
        <w:widowControl w:val="0"/>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10.4.1.3 关于其他项目费变更的约定：</w:t>
      </w:r>
    </w:p>
    <w:p>
      <w:pPr>
        <w:pageBreakBefore w:val="0"/>
        <w:widowControl w:val="0"/>
        <w:numPr>
          <w:ilvl w:val="0"/>
          <w:numId w:val="3"/>
        </w:numPr>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承包人应发包人要求完成合同以外的项目、工作，或者发生应由发包人承担责任的事件，承包人应按合同约定的时间、程序向发包人提出费用或责任事件确认的书面资料，办理现场签证。现场签证作为其中结算、竣工结算的依据。发包人在现场签证时涉及工程量、价、费等内容的，按合同约定的时间，由具备工程计价资格的人员核对，并详细、明确签署相应意见，否则视为认同承包人提出的内容及金额。</w:t>
      </w:r>
    </w:p>
    <w:p>
      <w:pPr>
        <w:pageBreakBefore w:val="0"/>
        <w:widowControl w:val="0"/>
        <w:numPr>
          <w:ilvl w:val="0"/>
          <w:numId w:val="3"/>
        </w:numPr>
        <w:kinsoku/>
        <w:wordWrap/>
        <w:overflowPunct/>
        <w:topLinePunct w:val="0"/>
        <w:bidi w:val="0"/>
        <w:snapToGrid w:val="0"/>
        <w:spacing w:line="332" w:lineRule="auto"/>
        <w:ind w:firstLine="472"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总承包服务费依据合同约定金额计算。</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（3）计日工按发包人实际签证确认的事项所发生的数量计算。</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（4）暂列金额在减去工程价款调整与索赔、现场签证等金额后，如有余额，归还发包人。</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10.8 暂列金额</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合同当事人关于暂列金额使用的约定：</w:t>
      </w:r>
      <w:r>
        <w:rPr>
          <w:rFonts w:hint="eastAsia" w:ascii="宋体" w:hAnsi="宋体" w:eastAsia="宋体" w:cs="宋体"/>
          <w:b w:val="0"/>
          <w:bCs w:val="0"/>
          <w:color w:val="auto"/>
          <w:sz w:val="24"/>
          <w:szCs w:val="24"/>
          <w:highlight w:val="none"/>
          <w:u w:val="single"/>
        </w:rPr>
        <w:t>由发包人通过监理人发出使用指令</w:t>
      </w:r>
      <w:r>
        <w:rPr>
          <w:rFonts w:hint="eastAsia" w:ascii="宋体" w:hAnsi="宋体" w:eastAsia="宋体" w:cs="宋体"/>
          <w:color w:val="auto"/>
          <w:sz w:val="24"/>
          <w:szCs w:val="24"/>
          <w:highlight w:val="none"/>
        </w:rPr>
        <w:t>。</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 价格调整</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11.1 市场价格波动引起的调整</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highlight w:val="none"/>
          <w:lang w:val="en-US"/>
        </w:rPr>
        <w:t>市场价格波动是否</w:t>
      </w:r>
      <w:r>
        <w:rPr>
          <w:rFonts w:hint="eastAsia" w:ascii="宋体" w:hAnsi="宋体" w:eastAsia="宋体" w:cs="宋体"/>
          <w:color w:val="auto"/>
          <w:sz w:val="24"/>
          <w:szCs w:val="24"/>
          <w:highlight w:val="none"/>
        </w:rPr>
        <w:t>调整合同价格的约定：</w:t>
      </w:r>
      <w:r>
        <w:rPr>
          <w:rFonts w:hint="eastAsia" w:ascii="宋体" w:hAnsi="宋体" w:eastAsia="宋体" w:cs="宋体"/>
          <w:b w:val="0"/>
          <w:bCs w:val="0"/>
          <w:color w:val="auto"/>
          <w:sz w:val="24"/>
          <w:szCs w:val="24"/>
          <w:highlight w:val="none"/>
          <w:u w:val="single"/>
          <w:lang w:val="en-US" w:eastAsia="zh-CN"/>
        </w:rPr>
        <w:t>施工期间</w:t>
      </w:r>
      <w:r>
        <w:rPr>
          <w:rFonts w:hint="eastAsia" w:ascii="宋体" w:hAnsi="宋体" w:eastAsia="宋体" w:cs="宋体"/>
          <w:b w:val="0"/>
          <w:bCs w:val="0"/>
          <w:color w:val="auto"/>
          <w:sz w:val="24"/>
          <w:szCs w:val="24"/>
          <w:highlight w:val="none"/>
          <w:u w:val="single"/>
        </w:rPr>
        <w:t>因市场价格波动引起的变化不予调整。</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12. 合同价格、计量与支付</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12.1 合同价格形式</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本合同采用合同</w:t>
      </w:r>
      <w:r>
        <w:rPr>
          <w:rFonts w:hint="eastAsia" w:ascii="宋体" w:hAnsi="宋体" w:eastAsia="宋体" w:cs="宋体"/>
          <w:color w:val="auto"/>
          <w:sz w:val="24"/>
          <w:szCs w:val="24"/>
          <w:highlight w:val="none"/>
        </w:rPr>
        <w:t>当事人签订的合同协议书中约定的价格形式，即</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单价合同</w:t>
      </w:r>
      <w:r>
        <w:rPr>
          <w:rFonts w:hint="eastAsia" w:ascii="宋体" w:hAnsi="宋体" w:eastAsia="宋体" w:cs="宋体"/>
          <w:color w:val="auto"/>
          <w:sz w:val="24"/>
          <w:szCs w:val="24"/>
          <w:highlight w:val="none"/>
        </w:rPr>
        <w:t>。其中：</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1.本项目工程量均按实结算。</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2.</w:t>
      </w:r>
      <w:r>
        <w:rPr>
          <w:rFonts w:hint="eastAsia" w:ascii="宋体" w:hAnsi="宋体" w:cs="宋体"/>
          <w:color w:val="auto"/>
          <w:kern w:val="0"/>
          <w:sz w:val="24"/>
          <w:highlight w:val="none"/>
          <w:lang w:val="en-US" w:eastAsia="zh-CN"/>
        </w:rPr>
        <w:t>承包</w:t>
      </w:r>
      <w:r>
        <w:rPr>
          <w:rFonts w:hint="eastAsia" w:ascii="宋体" w:hAnsi="宋体" w:eastAsia="宋体" w:cs="宋体"/>
          <w:color w:val="auto"/>
          <w:kern w:val="0"/>
          <w:sz w:val="24"/>
          <w:highlight w:val="none"/>
          <w:lang w:val="en-US"/>
        </w:rPr>
        <w:t>人自行踏勘现场后掌握的实际情况结合</w:t>
      </w:r>
      <w:r>
        <w:rPr>
          <w:rFonts w:hint="eastAsia" w:ascii="宋体" w:hAnsi="宋体" w:cs="宋体"/>
          <w:color w:val="auto"/>
          <w:kern w:val="0"/>
          <w:sz w:val="24"/>
          <w:highlight w:val="none"/>
          <w:lang w:val="en-US" w:eastAsia="zh-CN"/>
        </w:rPr>
        <w:t>发包</w:t>
      </w:r>
      <w:r>
        <w:rPr>
          <w:rFonts w:hint="eastAsia" w:ascii="宋体" w:hAnsi="宋体" w:eastAsia="宋体" w:cs="宋体"/>
          <w:color w:val="auto"/>
          <w:kern w:val="0"/>
          <w:sz w:val="24"/>
          <w:highlight w:val="none"/>
          <w:lang w:val="en-US"/>
        </w:rPr>
        <w:t>人提供的工程量清单对项目进行报价，若施工方式与工程量清单描述的项目特征及作法存在差异则均按实际情况重新组价调整（组价方式见合同10.4.1款</w:t>
      </w:r>
      <w:r>
        <w:rPr>
          <w:rFonts w:hint="eastAsia" w:ascii="宋体" w:hAnsi="宋体" w:eastAsia="宋体" w:cs="宋体"/>
          <w:color w:val="auto"/>
          <w:sz w:val="24"/>
          <w:szCs w:val="24"/>
          <w:highlight w:val="none"/>
        </w:rPr>
        <w:t>内容）。</w:t>
      </w:r>
    </w:p>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12.2 预付款</w:t>
      </w:r>
    </w:p>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12.2.1 预付款的支付</w:t>
      </w:r>
    </w:p>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预付款支付比例或金额</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u w:val="single"/>
        </w:rPr>
        <w:t>合同价的40%</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关于工程量计算原则约定：按现行的工程量计算规则执行。</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关于计量周期及本合同计量方式和程序的约定：执行通用条款</w:t>
      </w:r>
    </w:p>
    <w:p>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关于付款的约定：</w:t>
      </w:r>
      <w:r>
        <w:rPr>
          <w:rFonts w:hint="eastAsia"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rPr>
        <w:t>合同生效及具备实施条件后7个工作日内，</w:t>
      </w:r>
      <w:r>
        <w:rPr>
          <w:rFonts w:hint="eastAsia" w:ascii="宋体" w:hAnsi="宋体" w:eastAsia="宋体" w:cs="宋体"/>
          <w:b w:val="0"/>
          <w:bCs w:val="0"/>
          <w:color w:val="auto"/>
          <w:kern w:val="0"/>
          <w:sz w:val="24"/>
          <w:szCs w:val="24"/>
          <w:highlight w:val="none"/>
          <w:lang w:val="en-US" w:eastAsia="zh-CN"/>
        </w:rPr>
        <w:t>发包人</w:t>
      </w:r>
      <w:r>
        <w:rPr>
          <w:rFonts w:hint="eastAsia" w:ascii="宋体" w:hAnsi="宋体" w:eastAsia="宋体" w:cs="宋体"/>
          <w:b w:val="0"/>
          <w:bCs w:val="0"/>
          <w:color w:val="auto"/>
          <w:kern w:val="0"/>
          <w:sz w:val="24"/>
          <w:szCs w:val="24"/>
          <w:highlight w:val="none"/>
        </w:rPr>
        <w:t>支付合同总价（扣除未确定的暂定金额、暂列金额、甲供材料费用）的40%；</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2</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工程初验通过后7个工作日内，</w:t>
      </w:r>
      <w:r>
        <w:rPr>
          <w:rFonts w:hint="eastAsia" w:ascii="宋体" w:hAnsi="宋体" w:eastAsia="宋体" w:cs="宋体"/>
          <w:b w:val="0"/>
          <w:bCs w:val="0"/>
          <w:color w:val="auto"/>
          <w:kern w:val="0"/>
          <w:sz w:val="24"/>
          <w:szCs w:val="24"/>
          <w:highlight w:val="none"/>
          <w:lang w:val="en-US" w:eastAsia="zh-CN"/>
        </w:rPr>
        <w:t>发包人</w:t>
      </w:r>
      <w:r>
        <w:rPr>
          <w:rFonts w:hint="eastAsia" w:ascii="宋体" w:hAnsi="宋体" w:eastAsia="宋体" w:cs="宋体"/>
          <w:b w:val="0"/>
          <w:bCs w:val="0"/>
          <w:color w:val="auto"/>
          <w:kern w:val="0"/>
          <w:sz w:val="24"/>
          <w:szCs w:val="24"/>
          <w:highlight w:val="none"/>
        </w:rPr>
        <w:t>支付至合同总价（扣除未确定的暂定金额、暂列金额、甲供材料费用）的</w:t>
      </w:r>
      <w:r>
        <w:rPr>
          <w:rFonts w:hint="eastAsia" w:ascii="宋体" w:hAnsi="宋体" w:cs="宋体"/>
          <w:b w:val="0"/>
          <w:bCs w:val="0"/>
          <w:color w:val="auto"/>
          <w:kern w:val="0"/>
          <w:sz w:val="24"/>
          <w:szCs w:val="24"/>
          <w:highlight w:val="none"/>
          <w:lang w:val="en-US" w:eastAsia="zh-CN"/>
        </w:rPr>
        <w:t>9</w:t>
      </w:r>
      <w:r>
        <w:rPr>
          <w:rFonts w:hint="eastAsia" w:ascii="宋体" w:hAnsi="宋体" w:eastAsia="宋体" w:cs="宋体"/>
          <w:b w:val="0"/>
          <w:bCs w:val="0"/>
          <w:color w:val="auto"/>
          <w:kern w:val="0"/>
          <w:sz w:val="24"/>
          <w:szCs w:val="24"/>
          <w:highlight w:val="none"/>
        </w:rPr>
        <w:t>0%；</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工程竣工验收（终验）合格后，根据相关部门核准的决算价，付清尾款。</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b/>
          <w:bCs/>
          <w:color w:val="auto"/>
          <w:sz w:val="24"/>
          <w:szCs w:val="24"/>
          <w:highlight w:val="none"/>
        </w:rPr>
      </w:pPr>
      <w:bookmarkStart w:id="481" w:name="_Hlk89721287"/>
      <w:r>
        <w:rPr>
          <w:rFonts w:hint="eastAsia" w:ascii="宋体" w:hAnsi="宋体" w:eastAsia="宋体" w:cs="宋体"/>
          <w:b w:val="0"/>
          <w:bCs w:val="0"/>
          <w:color w:val="auto"/>
          <w:sz w:val="24"/>
          <w:szCs w:val="24"/>
          <w:highlight w:val="none"/>
        </w:rPr>
        <w:t>承包人应在每次付款之前，提出付款申请并向发包人提供等额税务发票，如承包人逾期提供付款申请或发票或提供的发票不符合发包人税务要求或付款申请内容不实的，发包人有权拒绝或相应迟延支付工程款，且不承担逾期付款的违约责任及利息。</w:t>
      </w:r>
    </w:p>
    <w:bookmarkEnd w:id="481"/>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 验收和工程试车</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13.1 分部分项工程</w:t>
      </w:r>
      <w:r>
        <w:rPr>
          <w:rFonts w:hint="eastAsia" w:ascii="宋体" w:hAnsi="宋体" w:eastAsia="宋体" w:cs="宋体"/>
          <w:color w:val="auto"/>
          <w:sz w:val="24"/>
          <w:szCs w:val="24"/>
          <w:highlight w:val="none"/>
        </w:rPr>
        <w:t>验收</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关于延期最长不得超过：</w:t>
      </w:r>
      <w:r>
        <w:rPr>
          <w:rFonts w:hint="eastAsia" w:ascii="宋体" w:hAnsi="宋体" w:eastAsia="宋体" w:cs="宋体"/>
          <w:color w:val="auto"/>
          <w:sz w:val="24"/>
          <w:szCs w:val="24"/>
          <w:highlight w:val="none"/>
          <w:u w:val="single"/>
        </w:rPr>
        <w:t xml:space="preserve"> 48 </w:t>
      </w:r>
      <w:r>
        <w:rPr>
          <w:rFonts w:hint="eastAsia" w:ascii="宋体" w:hAnsi="宋体" w:eastAsia="宋体" w:cs="宋体"/>
          <w:color w:val="auto"/>
          <w:sz w:val="24"/>
          <w:szCs w:val="24"/>
          <w:highlight w:val="none"/>
        </w:rPr>
        <w:t>小时。</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13.2 竣工验收</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13.2.5 移交、接收全部与部分工程</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承包人向发</w:t>
      </w:r>
      <w:r>
        <w:rPr>
          <w:rFonts w:hint="eastAsia" w:ascii="宋体" w:hAnsi="宋体" w:eastAsia="宋体" w:cs="宋体"/>
          <w:color w:val="auto"/>
          <w:sz w:val="24"/>
          <w:szCs w:val="24"/>
          <w:highlight w:val="none"/>
        </w:rPr>
        <w:t>包人移交工程的期限：在颁发工程接收证书后</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7</w:t>
      </w:r>
      <w:r>
        <w:rPr>
          <w:rFonts w:hint="eastAsia" w:ascii="宋体" w:hAnsi="宋体" w:eastAsia="宋体" w:cs="宋体"/>
          <w:color w:val="auto"/>
          <w:sz w:val="24"/>
          <w:szCs w:val="24"/>
          <w:highlight w:val="none"/>
        </w:rPr>
        <w:t>天内完成工程的移交。</w:t>
      </w:r>
    </w:p>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承包人无正当理由未按时移交工程的，除承担自应接收工程之日起的工程照管、成本保护、保管等与工程有关的各项费用外，应当按本合同约定的工期延误赔偿标准的5倍向发包人支付逾期移交工程的违约金。</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13.6 竣工退场</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13.6.1 竣工退场</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承包人应当在发包人颁发工程接收证书后7天内完成竣工退场，逾期未完成的，按通用条款执行。</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bookmarkStart w:id="482" w:name="_Hlk89721330"/>
      <w:r>
        <w:rPr>
          <w:rFonts w:hint="eastAsia" w:ascii="宋体" w:hAnsi="宋体" w:eastAsia="宋体" w:cs="宋体"/>
          <w:color w:val="auto"/>
          <w:kern w:val="0"/>
          <w:sz w:val="24"/>
          <w:highlight w:val="none"/>
          <w:lang w:val="en-US"/>
        </w:rPr>
        <w:t>交工前，承包人应自行清运、清理完毕发包人提供的场地范围内的所有机械、建筑垃圾等所有发包人认为应该清理、清运的物品，费用已包含在承包人的投标报价中，发包人不再另行支付费用。若承包人未履行上述义务的，发包人有权以发包人认为合理的方式处理场地范围内的所有机械、建筑垃圾等物品，相应的储藏费、场地租赁费、清运费等均由承包人承担且发包人有权在应付款中扣除。</w:t>
      </w:r>
    </w:p>
    <w:bookmarkEnd w:id="482"/>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14. 竣工结算</w:t>
      </w:r>
    </w:p>
    <w:p>
      <w:pPr>
        <w:pageBreakBefore w:val="0"/>
        <w:widowControl w:val="0"/>
        <w:kinsoku/>
        <w:wordWrap/>
        <w:overflowPunct/>
        <w:topLinePunct w:val="0"/>
        <w:bidi w:val="0"/>
        <w:adjustRightInd/>
        <w:snapToGrid w:val="0"/>
        <w:spacing w:before="120" w:line="332" w:lineRule="auto"/>
        <w:ind w:firstLine="456" w:firstLineChars="19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14.1 竣工结算申请</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承包人应当在工程竣工验收合格后</w:t>
      </w:r>
      <w:r>
        <w:rPr>
          <w:rFonts w:hint="eastAsia" w:ascii="宋体" w:hAnsi="宋体" w:eastAsia="宋体" w:cs="宋体"/>
          <w:color w:val="auto"/>
          <w:sz w:val="24"/>
          <w:szCs w:val="24"/>
          <w:highlight w:val="none"/>
          <w:u w:val="single"/>
        </w:rPr>
        <w:t>28</w:t>
      </w:r>
      <w:r>
        <w:rPr>
          <w:rFonts w:hint="eastAsia" w:ascii="宋体" w:hAnsi="宋体" w:eastAsia="宋体" w:cs="宋体"/>
          <w:color w:val="auto"/>
          <w:sz w:val="24"/>
          <w:szCs w:val="24"/>
          <w:highlight w:val="none"/>
        </w:rPr>
        <w:t>天内向发包人或其委托的工程造价咨询人提交竣工结算申请单及其完整的结算资料4份。</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或其委托的工程造价咨询人对竣工结算申请单有异议或者结算资料不符合要求的，有权要求承包人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pPr>
        <w:pageBreakBefore w:val="0"/>
        <w:widowControl w:val="0"/>
        <w:kinsoku/>
        <w:wordWrap/>
        <w:overflowPunct/>
        <w:topLinePunct w:val="0"/>
        <w:autoSpaceDE w:val="0"/>
        <w:autoSpaceDN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竣工结算申请单应包括的内容：按通用条款执行。</w:t>
      </w:r>
    </w:p>
    <w:p>
      <w:pPr>
        <w:pageBreakBefore w:val="0"/>
        <w:widowControl w:val="0"/>
        <w:kinsoku/>
        <w:wordWrap/>
        <w:overflowPunct/>
        <w:topLinePunct w:val="0"/>
        <w:bidi w:val="0"/>
        <w:adjustRightInd/>
        <w:snapToGrid w:val="0"/>
        <w:spacing w:before="120" w:line="332" w:lineRule="auto"/>
        <w:ind w:firstLine="456" w:firstLineChars="19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14.2 竣工结算审核与审计</w:t>
      </w:r>
    </w:p>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14.2.1 竣工结算审核</w:t>
      </w:r>
    </w:p>
    <w:p>
      <w:pPr>
        <w:pageBreakBefore w:val="0"/>
        <w:widowControl w:val="0"/>
        <w:kinsoku/>
        <w:wordWrap/>
        <w:overflowPunct/>
        <w:topLinePunct w:val="0"/>
        <w:bidi w:val="0"/>
        <w:adjustRightInd/>
        <w:snapToGrid w:val="0"/>
        <w:spacing w:line="332"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（1）发包人或其委托的工程造价咨询人应在收到符合要求的竣工结算申请单及其结算资料后</w:t>
      </w:r>
      <w:r>
        <w:rPr>
          <w:rFonts w:hint="eastAsia" w:ascii="宋体" w:hAnsi="宋体" w:eastAsia="宋体" w:cs="宋体"/>
          <w:b/>
          <w:bCs/>
          <w:color w:val="auto"/>
          <w:sz w:val="24"/>
          <w:szCs w:val="24"/>
          <w:highlight w:val="none"/>
          <w:u w:val="single"/>
        </w:rPr>
        <w:t>56</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天内完成审批，并由监理人向承包人签发经发包人签认的竣工付款证。</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发包人在收到承包人提交的竣工结算申请单后</w:t>
      </w:r>
      <w:r>
        <w:rPr>
          <w:rFonts w:hint="eastAsia" w:ascii="宋体" w:hAnsi="宋体" w:eastAsia="宋体" w:cs="宋体"/>
          <w:b w:val="0"/>
          <w:bCs w:val="0"/>
          <w:color w:val="auto"/>
          <w:sz w:val="24"/>
          <w:szCs w:val="24"/>
          <w:highlight w:val="none"/>
          <w:u w:val="single"/>
        </w:rPr>
        <w:t>112</w:t>
      </w:r>
      <w:r>
        <w:rPr>
          <w:rFonts w:hint="eastAsia" w:ascii="宋体" w:hAnsi="宋体" w:eastAsia="宋体" w:cs="宋体"/>
          <w:color w:val="auto"/>
          <w:sz w:val="24"/>
          <w:szCs w:val="24"/>
          <w:highlight w:val="none"/>
        </w:rPr>
        <w:t>天未提出异议或者未出具结算报告的，视为发包人认可承包人提交的竣工结算申请单，逾期视为已签发竣工付款证书。</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（2）发包人应在签发竣工付款证书后</w:t>
      </w:r>
      <w:r>
        <w:rPr>
          <w:rFonts w:hint="eastAsia" w:ascii="宋体" w:hAnsi="宋体" w:eastAsia="宋体" w:cs="宋体"/>
          <w:b w:val="0"/>
          <w:bCs w:val="0"/>
          <w:color w:val="auto"/>
          <w:sz w:val="24"/>
          <w:szCs w:val="24"/>
          <w:highlight w:val="none"/>
          <w:u w:val="single"/>
        </w:rPr>
        <w:t>14</w:t>
      </w:r>
      <w:r>
        <w:rPr>
          <w:rFonts w:hint="eastAsia" w:ascii="宋体" w:hAnsi="宋体" w:eastAsia="宋体" w:cs="宋体"/>
          <w:color w:val="auto"/>
          <w:sz w:val="24"/>
          <w:szCs w:val="24"/>
          <w:highlight w:val="none"/>
        </w:rPr>
        <w:t>天内，完成对承包人的竣工付款。发包人逾期支付的违约责任按通用条款执行。</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（4）关于承包人收款账户的约定：执行通用条款。</w:t>
      </w:r>
    </w:p>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14.2.2 审计</w:t>
      </w:r>
    </w:p>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（1）发包人应在完成竣工结算审批后</w:t>
      </w: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rPr>
        <w:t>天内向审计部门提交符合审计要求的资料。</w:t>
      </w:r>
    </w:p>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（2）承包人有义务积极配合审计工作，确保审计工作的顺利开展。</w:t>
      </w:r>
    </w:p>
    <w:p>
      <w:pPr>
        <w:pageBreakBefore w:val="0"/>
        <w:widowControl w:val="0"/>
        <w:kinsoku/>
        <w:wordWrap/>
        <w:overflowPunct/>
        <w:topLinePunct w:val="0"/>
        <w:bidi w:val="0"/>
        <w:adjustRightInd/>
        <w:snapToGrid w:val="0"/>
        <w:spacing w:before="120" w:line="332" w:lineRule="auto"/>
        <w:ind w:firstLine="456" w:firstLineChars="19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14.4 最终结清</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 最终结清申请单</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（1）承包人应在缺陷责任期终止证书颁发后7天内提交3份最终结清申请单，并提供相关证明材料。最终结清申请单应列明质量保证金、应扣除的质量保证金、缺陷责任期内发生的增减费用。</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（2）发包人对最终结清申请单内容有异议的，有权要求承包人进行修正和提供补充资料，但应当出具书面意见。承包人应当按照发包人的书面意见提交修正后的最终结清申请单。</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（1）发包人应在收到承包人提交的最终结清申请单后</w:t>
      </w:r>
      <w:r>
        <w:rPr>
          <w:rFonts w:hint="eastAsia" w:ascii="宋体" w:hAnsi="宋体" w:eastAsia="宋体" w:cs="宋体"/>
          <w:b w:val="0"/>
          <w:bCs w:val="0"/>
          <w:color w:val="auto"/>
          <w:sz w:val="24"/>
          <w:szCs w:val="24"/>
          <w:highlight w:val="none"/>
          <w:u w:val="single"/>
        </w:rPr>
        <w:t>21</w:t>
      </w:r>
      <w:r>
        <w:rPr>
          <w:rFonts w:hint="eastAsia" w:ascii="宋体" w:hAnsi="宋体" w:eastAsia="宋体" w:cs="宋体"/>
          <w:color w:val="auto"/>
          <w:sz w:val="24"/>
          <w:szCs w:val="24"/>
          <w:highlight w:val="none"/>
        </w:rPr>
        <w:t>天内完成审批并向承包人颁发最终结清证书。发包人逾期未完成审批，又未提出修改意见的，视为发包人同意承包人提交的最终结清申请单并已颁发最终结清证书 。</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（2）发包人应在颁发最终结清证书后</w:t>
      </w:r>
      <w:r>
        <w:rPr>
          <w:rFonts w:hint="eastAsia" w:ascii="宋体" w:hAnsi="宋体" w:eastAsia="宋体" w:cs="宋体"/>
          <w:b w:val="0"/>
          <w:bCs w:val="0"/>
          <w:color w:val="auto"/>
          <w:sz w:val="24"/>
          <w:szCs w:val="24"/>
          <w:highlight w:val="none"/>
          <w:u w:val="single"/>
        </w:rPr>
        <w:t>14</w:t>
      </w:r>
      <w:r>
        <w:rPr>
          <w:rFonts w:hint="eastAsia" w:ascii="宋体" w:hAnsi="宋体" w:eastAsia="宋体" w:cs="宋体"/>
          <w:color w:val="auto"/>
          <w:sz w:val="24"/>
          <w:szCs w:val="24"/>
          <w:highlight w:val="none"/>
        </w:rPr>
        <w:t>天完成支付。发包人逾期支付的违约责任按通用条款执行。</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15. 缺陷责任期、质保金与保修</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15.2缺陷责任期</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本合同缺陷责任期为</w:t>
      </w:r>
      <w:r>
        <w:rPr>
          <w:rFonts w:hint="eastAsia" w:ascii="宋体" w:hAnsi="宋体" w:eastAsia="宋体" w:cs="宋体"/>
          <w:b w:val="0"/>
          <w:bCs w:val="0"/>
          <w:color w:val="auto"/>
          <w:sz w:val="24"/>
          <w:szCs w:val="24"/>
          <w:highlight w:val="none"/>
          <w:u w:val="single"/>
        </w:rPr>
        <w:t>2</w:t>
      </w:r>
      <w:r>
        <w:rPr>
          <w:rFonts w:hint="eastAsia" w:ascii="宋体" w:hAnsi="宋体" w:eastAsia="宋体" w:cs="宋体"/>
          <w:color w:val="auto"/>
          <w:sz w:val="24"/>
          <w:szCs w:val="24"/>
          <w:highlight w:val="none"/>
        </w:rPr>
        <w:t>年。</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工程竣工验收合格后，因施工承包人原因导致的缺陷使工程或某项主要设备不能按原定目的使用的，发包人有权在原缺陷责任期届满前要求施工承包人延长缺陷责任期，延长的缺陷责任期为</w:t>
      </w:r>
      <w:r>
        <w:rPr>
          <w:rFonts w:hint="eastAsia" w:ascii="宋体" w:hAnsi="宋体" w:eastAsia="宋体" w:cs="宋体"/>
          <w:b w:val="0"/>
          <w:bCs w:val="0"/>
          <w:color w:val="auto"/>
          <w:sz w:val="24"/>
          <w:szCs w:val="24"/>
          <w:highlight w:val="none"/>
          <w:u w:val="single"/>
        </w:rPr>
        <w:t>1</w:t>
      </w:r>
      <w:r>
        <w:rPr>
          <w:rFonts w:hint="eastAsia" w:ascii="宋体" w:hAnsi="宋体" w:eastAsia="宋体" w:cs="宋体"/>
          <w:color w:val="auto"/>
          <w:sz w:val="24"/>
          <w:szCs w:val="24"/>
          <w:highlight w:val="none"/>
        </w:rPr>
        <w:t>年。</w:t>
      </w:r>
    </w:p>
    <w:p>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lang w:val="en-US" w:eastAsia="zh-CN"/>
        </w:rPr>
        <w:t>本项目不扣留质量保证金</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p>
      <w:pPr>
        <w:pageBreakBefore w:val="0"/>
        <w:widowControl w:val="0"/>
        <w:kinsoku/>
        <w:wordWrap/>
        <w:overflowPunct/>
        <w:topLinePunct w:val="0"/>
        <w:bidi w:val="0"/>
        <w:adjustRightInd/>
        <w:snapToGrid w:val="0"/>
        <w:spacing w:line="332"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工程保修期的约定详见工程质量保修书。</w:t>
      </w:r>
    </w:p>
    <w:p>
      <w:pPr>
        <w:pageBreakBefore w:val="0"/>
        <w:widowControl w:val="0"/>
        <w:kinsoku/>
        <w:wordWrap/>
        <w:overflowPunct/>
        <w:topLinePunct w:val="0"/>
        <w:bidi w:val="0"/>
        <w:adjustRightInd/>
        <w:snapToGrid w:val="0"/>
        <w:spacing w:line="332" w:lineRule="auto"/>
        <w:ind w:firstLine="468" w:firstLineChars="19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承包人收到保修通知并到达工程现场的合理时间：承包人收到保修通知并到达工程现场的合理时间为</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小时内（含</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小时）。</w:t>
      </w:r>
    </w:p>
    <w:p>
      <w:pPr>
        <w:keepNext/>
        <w:keepLines/>
        <w:pageBreakBefore w:val="0"/>
        <w:widowControl w:val="0"/>
        <w:kinsoku/>
        <w:wordWrap/>
        <w:overflowPunct/>
        <w:topLinePunct w:val="0"/>
        <w:bidi w:val="0"/>
        <w:adjustRightInd/>
        <w:snapToGrid w:val="0"/>
        <w:spacing w:before="120" w:after="120" w:line="332" w:lineRule="auto"/>
        <w:textAlignment w:val="auto"/>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违约</w:t>
      </w:r>
    </w:p>
    <w:p>
      <w:pPr>
        <w:pageBreakBefore w:val="0"/>
        <w:widowControl w:val="0"/>
        <w:kinsoku/>
        <w:wordWrap/>
        <w:overflowPunct/>
        <w:topLinePunct w:val="0"/>
        <w:bidi w:val="0"/>
        <w:adjustRightInd/>
        <w:snapToGrid w:val="0"/>
        <w:spacing w:after="120"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承包人违约</w:t>
      </w:r>
    </w:p>
    <w:p>
      <w:pPr>
        <w:pageBreakBefore w:val="0"/>
        <w:widowControl w:val="0"/>
        <w:kinsoku/>
        <w:wordWrap/>
        <w:overflowPunct/>
        <w:topLinePunct w:val="0"/>
        <w:bidi w:val="0"/>
        <w:adjustRightInd/>
        <w:snapToGrid w:val="0"/>
        <w:spacing w:line="33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16.2.1 承包人违约的情形按通用条款确定。</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16.2.2承包人违约的责任</w:t>
      </w:r>
    </w:p>
    <w:p>
      <w:pPr>
        <w:pageBreakBefore w:val="0"/>
        <w:widowControl w:val="0"/>
        <w:kinsoku/>
        <w:wordWrap/>
        <w:overflowPunct/>
        <w:topLinePunct w:val="0"/>
        <w:bidi w:val="0"/>
        <w:adjustRightInd/>
        <w:spacing w:line="332" w:lineRule="auto"/>
        <w:ind w:firstLine="480" w:firstLineChars="200"/>
        <w:textAlignment w:val="auto"/>
        <w:rPr>
          <w:rFonts w:hint="eastAsia" w:ascii="宋体" w:hAnsi="宋体" w:eastAsia="宋体" w:cs="宋体"/>
          <w:b w:val="0"/>
          <w:bCs w:val="0"/>
          <w:color w:val="auto"/>
          <w:sz w:val="24"/>
          <w:szCs w:val="24"/>
          <w:highlight w:val="none"/>
          <w:u w:val="single"/>
        </w:rPr>
      </w:pPr>
      <w:bookmarkStart w:id="483" w:name="_Hlk89721378"/>
      <w:r>
        <w:rPr>
          <w:rFonts w:hint="eastAsia" w:ascii="宋体" w:hAnsi="宋体" w:eastAsia="宋体" w:cs="宋体"/>
          <w:b w:val="0"/>
          <w:bCs w:val="0"/>
          <w:color w:val="auto"/>
          <w:sz w:val="24"/>
          <w:szCs w:val="24"/>
          <w:highlight w:val="none"/>
          <w:u w:val="single"/>
        </w:rPr>
        <w:t>（1）工期违约赔偿限额：合同金额的</w:t>
      </w:r>
      <w:r>
        <w:rPr>
          <w:rFonts w:hint="eastAsia" w:ascii="宋体" w:hAnsi="宋体" w:eastAsia="宋体" w:cs="宋体"/>
          <w:b w:val="0"/>
          <w:bCs w:val="0"/>
          <w:color w:val="auto"/>
          <w:sz w:val="24"/>
          <w:szCs w:val="24"/>
          <w:highlight w:val="none"/>
          <w:u w:val="single"/>
          <w:lang w:val="en-US" w:eastAsia="zh-CN"/>
        </w:rPr>
        <w:t>3</w:t>
      </w:r>
      <w:r>
        <w:rPr>
          <w:rFonts w:hint="eastAsia" w:ascii="宋体" w:hAnsi="宋体" w:eastAsia="宋体" w:cs="宋体"/>
          <w:b w:val="0"/>
          <w:bCs w:val="0"/>
          <w:color w:val="auto"/>
          <w:sz w:val="24"/>
          <w:szCs w:val="24"/>
          <w:highlight w:val="none"/>
          <w:u w:val="single"/>
        </w:rPr>
        <w:t>%，该金额不足以弥补发包人实际损失的，发包人有权追偿；工期延误在60天以上的，发包人有权单方解除合同并就未完工程另行发包，如发包人解除合同，承包人必须无条件退场，同时承担由此给发包人造成的一切损失。</w:t>
      </w:r>
    </w:p>
    <w:p>
      <w:pPr>
        <w:pageBreakBefore w:val="0"/>
        <w:widowControl w:val="0"/>
        <w:kinsoku/>
        <w:wordWrap/>
        <w:overflowPunct/>
        <w:topLinePunct w:val="0"/>
        <w:bidi w:val="0"/>
        <w:adjustRightInd/>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2）质量未达到投标承诺的违约金：合同金额的1.5%，同时承包人应当对不合格工程予以修复或整改，承担修复或整改费用；造成发包人损失的，还应当承担相应的损失，工期不予顺延；工期延误的，还应当承担工期延误违约责任。</w:t>
      </w:r>
    </w:p>
    <w:p>
      <w:pPr>
        <w:pageBreakBefore w:val="0"/>
        <w:widowControl w:val="0"/>
        <w:kinsoku/>
        <w:wordWrap/>
        <w:overflowPunct/>
        <w:topLinePunct w:val="0"/>
        <w:bidi w:val="0"/>
        <w:adjustRightInd/>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（3）未履行项目经理及主要施工管理人员到场承诺（要求项目经理和其它人员每月到位2</w:t>
      </w:r>
      <w:r>
        <w:rPr>
          <w:rFonts w:hint="eastAsia" w:ascii="宋体" w:hAnsi="宋体" w:cs="宋体"/>
          <w:b w:val="0"/>
          <w:bCs w:val="0"/>
          <w:color w:val="auto"/>
          <w:sz w:val="24"/>
          <w:szCs w:val="24"/>
          <w:highlight w:val="none"/>
          <w:u w:val="single"/>
          <w:lang w:val="en-US" w:eastAsia="zh-CN"/>
        </w:rPr>
        <w:t>0</w:t>
      </w:r>
      <w:r>
        <w:rPr>
          <w:rFonts w:hint="eastAsia" w:ascii="宋体" w:hAnsi="宋体" w:eastAsia="宋体" w:cs="宋体"/>
          <w:b w:val="0"/>
          <w:bCs w:val="0"/>
          <w:color w:val="auto"/>
          <w:sz w:val="24"/>
          <w:szCs w:val="24"/>
          <w:highlight w:val="none"/>
          <w:u w:val="single"/>
        </w:rPr>
        <w:t>天及以上）违约金限额：合同金额的1%，同时发包人有权解除合同并要求承包人承担一切直接和间接损失；承包人因特殊原因要求更换项目经理及施工管理人员的须征得发包人同意并按有关规定备案；</w:t>
      </w:r>
    </w:p>
    <w:p>
      <w:pPr>
        <w:pageBreakBefore w:val="0"/>
        <w:widowControl w:val="0"/>
        <w:kinsoku/>
        <w:wordWrap/>
        <w:overflowPunct/>
        <w:topLinePunct w:val="0"/>
        <w:bidi w:val="0"/>
        <w:adjustRightInd/>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（4）未履行主要机械设备到场承诺的违约金为合同</w:t>
      </w:r>
      <w:r>
        <w:rPr>
          <w:rFonts w:hint="eastAsia" w:ascii="宋体" w:hAnsi="宋体" w:eastAsia="宋体" w:cs="宋体"/>
          <w:b w:val="0"/>
          <w:bCs w:val="0"/>
          <w:color w:val="auto"/>
          <w:sz w:val="24"/>
          <w:szCs w:val="24"/>
          <w:highlight w:val="none"/>
          <w:u w:val="single"/>
          <w:lang w:val="en-US" w:eastAsia="zh-CN"/>
        </w:rPr>
        <w:t>金额</w:t>
      </w:r>
      <w:r>
        <w:rPr>
          <w:rFonts w:hint="eastAsia" w:ascii="宋体" w:hAnsi="宋体" w:eastAsia="宋体" w:cs="宋体"/>
          <w:b w:val="0"/>
          <w:bCs w:val="0"/>
          <w:color w:val="auto"/>
          <w:sz w:val="24"/>
          <w:szCs w:val="24"/>
          <w:highlight w:val="none"/>
          <w:u w:val="single"/>
        </w:rPr>
        <w:t>的0.5%/次，该金额不足以弥补发包人实际损失的，发包人有权追偿。</w:t>
      </w:r>
    </w:p>
    <w:p>
      <w:pPr>
        <w:pageBreakBefore w:val="0"/>
        <w:widowControl w:val="0"/>
        <w:kinsoku/>
        <w:wordWrap/>
        <w:overflowPunct/>
        <w:topLinePunct w:val="0"/>
        <w:bidi w:val="0"/>
        <w:adjustRightInd/>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（5）未履行安全文明施工承诺违约金为合同金额的0.5%/次，该金额不足以弥补发包人实际损失的，发包人有权追偿。</w:t>
      </w:r>
    </w:p>
    <w:p>
      <w:pPr>
        <w:pageBreakBefore w:val="0"/>
        <w:widowControl w:val="0"/>
        <w:kinsoku/>
        <w:wordWrap/>
        <w:overflowPunct/>
        <w:topLinePunct w:val="0"/>
        <w:bidi w:val="0"/>
        <w:adjustRightInd/>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（6）因承包人原因造成本合同无法履行或承包人违法分包或转包时，发包人有权解除，没收承包人的履约保证金，由此造成的各项损失均由承包人承担。</w:t>
      </w:r>
    </w:p>
    <w:p>
      <w:pPr>
        <w:pageBreakBefore w:val="0"/>
        <w:widowControl w:val="0"/>
        <w:kinsoku/>
        <w:wordWrap/>
        <w:overflowPunct/>
        <w:topLinePunct w:val="0"/>
        <w:bidi w:val="0"/>
        <w:adjustRightInd/>
        <w:spacing w:line="332" w:lineRule="auto"/>
        <w:ind w:firstLine="480" w:firstLineChars="200"/>
        <w:textAlignment w:val="auto"/>
        <w:rPr>
          <w:rFonts w:hint="eastAsia" w:ascii="宋体" w:hAnsi="宋体" w:eastAsia="宋体" w:cs="宋体"/>
          <w:b w:val="0"/>
          <w:bCs w:val="0"/>
          <w:color w:val="auto"/>
          <w:sz w:val="24"/>
          <w:szCs w:val="24"/>
          <w:highlight w:val="none"/>
          <w:u w:val="single"/>
        </w:rPr>
      </w:pPr>
      <w:r>
        <w:rPr>
          <w:rFonts w:hint="eastAsia" w:ascii="宋体" w:hAnsi="宋体" w:eastAsia="宋体" w:cs="宋体"/>
          <w:b w:val="0"/>
          <w:bCs w:val="0"/>
          <w:color w:val="auto"/>
          <w:sz w:val="24"/>
          <w:szCs w:val="24"/>
          <w:highlight w:val="none"/>
          <w:u w:val="single"/>
        </w:rPr>
        <w:t>（7）承包人不能按期提交或不能提交完整的竣工资料或结算资料的，每逾期一天，应向发包人支付500元违约金，发包人有权在应付款中扣除，如上述违约金不足以发包人实际损失的，发包人有权追偿。</w:t>
      </w:r>
    </w:p>
    <w:bookmarkEnd w:id="483"/>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16.2.3 关于因承包人违约解除合同的约定：执行通用条款。</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highlight w:val="none"/>
          <w:lang w:val="en-US"/>
        </w:rPr>
        <w:t xml:space="preserve">7. 不可抗力 </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17.1 不可抗力的确认</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除通用合同条款约定的不可抗力事件之外，视为不可抗力的其他情形：火灾、洪水、罢工、政府征用、政府禁止令等。</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17.4 因不可抗力解除合同</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合同解除后，发包人应在商定或确定发包人应支付款项后28天内完成款项的支付。</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18. 保险</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18.1 工程保险</w:t>
      </w:r>
    </w:p>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highlight w:val="none"/>
          <w:lang w:val="en-US"/>
        </w:rPr>
        <w:t>8.3 其他保险</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bookmarkStart w:id="484" w:name="_Hlk89721533"/>
      <w:r>
        <w:rPr>
          <w:rFonts w:hint="eastAsia" w:ascii="宋体" w:hAnsi="宋体" w:eastAsia="宋体" w:cs="宋体"/>
          <w:color w:val="auto"/>
          <w:kern w:val="0"/>
          <w:sz w:val="24"/>
          <w:highlight w:val="none"/>
          <w:lang w:val="en-US"/>
        </w:rPr>
        <w:t>关于其他保险</w:t>
      </w:r>
      <w:r>
        <w:rPr>
          <w:rFonts w:hint="eastAsia" w:ascii="宋体" w:hAnsi="宋体" w:eastAsia="宋体" w:cs="宋体"/>
          <w:color w:val="auto"/>
          <w:sz w:val="24"/>
          <w:szCs w:val="24"/>
          <w:highlight w:val="none"/>
        </w:rPr>
        <w:t>的约定：除第三者责任险和合同另有约定外，保险费用由被保险人承担。</w:t>
      </w:r>
    </w:p>
    <w:bookmarkEnd w:id="484"/>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w:t>
      </w:r>
      <w:r>
        <w:rPr>
          <w:rFonts w:hint="eastAsia" w:ascii="宋体" w:hAnsi="宋体" w:eastAsia="宋体" w:cs="宋体"/>
          <w:color w:val="auto"/>
          <w:sz w:val="24"/>
          <w:szCs w:val="24"/>
          <w:highlight w:val="none"/>
          <w:u w:val="single"/>
        </w:rPr>
        <w:t>应当</w:t>
      </w:r>
      <w:r>
        <w:rPr>
          <w:rFonts w:hint="eastAsia" w:ascii="宋体" w:hAnsi="宋体" w:eastAsia="宋体" w:cs="宋体"/>
          <w:color w:val="auto"/>
          <w:sz w:val="24"/>
          <w:szCs w:val="24"/>
          <w:highlight w:val="none"/>
        </w:rPr>
        <w:t>为其施工设备等办理财产保险。</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18.7 通知义务</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关于变更保险合同时的通知义务的约定：执行通用条款。</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20. 争议解决</w:t>
      </w:r>
    </w:p>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w:t>
      </w:r>
      <w:r>
        <w:rPr>
          <w:rFonts w:hint="eastAsia" w:ascii="宋体" w:hAnsi="宋体" w:eastAsia="宋体" w:cs="宋体"/>
          <w:color w:val="auto"/>
          <w:sz w:val="24"/>
          <w:szCs w:val="24"/>
          <w:highlight w:val="none"/>
          <w:u w:val="single"/>
        </w:rPr>
        <w:t>同意</w:t>
      </w:r>
      <w:r>
        <w:rPr>
          <w:rFonts w:hint="eastAsia" w:ascii="宋体" w:hAnsi="宋体" w:eastAsia="宋体" w:cs="宋体"/>
          <w:color w:val="auto"/>
          <w:sz w:val="24"/>
          <w:szCs w:val="24"/>
          <w:highlight w:val="none"/>
        </w:rPr>
        <w:t xml:space="preserve">将工程争议提交争议评审小组决定。  </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20.3.1 争议评审小组的确定</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争议评审小组成员的确定：发包人和承包人共同选择3名争议评审员组成争议评审小组。</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kern w:val="0"/>
          <w:sz w:val="24"/>
          <w:highlight w:val="none"/>
          <w:lang w:val="en-US"/>
        </w:rPr>
      </w:pPr>
      <w:r>
        <w:rPr>
          <w:rFonts w:hint="eastAsia" w:ascii="宋体" w:hAnsi="宋体" w:eastAsia="宋体" w:cs="宋体"/>
          <w:color w:val="auto"/>
          <w:kern w:val="0"/>
          <w:sz w:val="24"/>
          <w:highlight w:val="none"/>
          <w:lang w:val="en-US"/>
        </w:rPr>
        <w:t>选定争议评审员的期限：自合同签订后28天内，或者争议发生后14天内，选定争议评审员。</w:t>
      </w:r>
    </w:p>
    <w:p>
      <w:pPr>
        <w:numPr>
          <w:ilvl w:val="0"/>
          <w:numId w:val="0"/>
        </w:numPr>
        <w:kinsoku/>
        <w:wordWrap/>
        <w:overflowPunct/>
        <w:topLinePunct w:val="0"/>
        <w:bidi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val="en-US"/>
        </w:rPr>
        <w:t>争议评审小组</w:t>
      </w:r>
      <w:r>
        <w:rPr>
          <w:rFonts w:hint="eastAsia" w:ascii="宋体" w:hAnsi="宋体" w:eastAsia="宋体" w:cs="宋体"/>
          <w:color w:val="auto"/>
          <w:sz w:val="24"/>
          <w:szCs w:val="24"/>
          <w:highlight w:val="none"/>
        </w:rPr>
        <w:t>成员的报酬承担方式：发包人和承包人各承担一半。</w:t>
      </w:r>
    </w:p>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20.3.2 争议评审小组的决定</w:t>
      </w:r>
    </w:p>
    <w:p>
      <w:pPr>
        <w:pageBreakBefore w:val="0"/>
        <w:widowControl w:val="0"/>
        <w:kinsoku/>
        <w:wordWrap/>
        <w:overflowPunct/>
        <w:topLinePunct w:val="0"/>
        <w:bidi w:val="0"/>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20.4诉讼</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pPr>
        <w:pageBreakBefore w:val="0"/>
        <w:widowControl w:val="0"/>
        <w:kinsoku/>
        <w:wordWrap/>
        <w:overflowPunct/>
        <w:topLinePunct w:val="0"/>
        <w:bidi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仲裁委员会申请仲裁；</w:t>
      </w:r>
    </w:p>
    <w:p>
      <w:pPr>
        <w:pageBreakBefore w:val="0"/>
        <w:widowControl w:val="0"/>
        <w:kinsoku/>
        <w:wordWrap/>
        <w:overflowPunct/>
        <w:topLinePunct w:val="0"/>
        <w:bidi w:val="0"/>
        <w:adjustRightInd/>
        <w:snapToGrid w:val="0"/>
        <w:spacing w:line="3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工程所在地  </w:t>
      </w:r>
      <w:r>
        <w:rPr>
          <w:rFonts w:hint="eastAsia" w:ascii="宋体" w:hAnsi="宋体" w:eastAsia="宋体" w:cs="宋体"/>
          <w:color w:val="auto"/>
          <w:sz w:val="24"/>
          <w:szCs w:val="24"/>
          <w:highlight w:val="none"/>
        </w:rPr>
        <w:t>人民法院起诉。</w:t>
      </w:r>
    </w:p>
    <w:p>
      <w:pPr>
        <w:keepNext/>
        <w:keepLines/>
        <w:numPr>
          <w:ilvl w:val="1"/>
          <w:numId w:val="0"/>
        </w:numPr>
        <w:spacing w:before="100" w:line="400" w:lineRule="exact"/>
        <w:jc w:val="center"/>
        <w:outlineLvl w:val="1"/>
        <w:rPr>
          <w:rFonts w:hint="eastAsia" w:ascii="宋体" w:hAnsi="宋体" w:eastAsia="宋体" w:cs="宋体"/>
          <w:b/>
          <w:bCs/>
          <w:color w:val="auto"/>
          <w:sz w:val="24"/>
          <w:highlight w:val="none"/>
        </w:rPr>
      </w:pPr>
      <w:r>
        <w:rPr>
          <w:rFonts w:hint="eastAsia" w:ascii="宋体" w:hAnsi="宋体" w:eastAsia="宋体" w:cs="宋体"/>
          <w:color w:val="auto"/>
          <w:szCs w:val="20"/>
          <w:highlight w:val="none"/>
        </w:rPr>
        <w:br w:type="page"/>
      </w:r>
    </w:p>
    <w:bookmarkEnd w:id="474"/>
    <w:bookmarkEnd w:id="475"/>
    <w:p>
      <w:pPr>
        <w:keepNext w:val="0"/>
        <w:keepLines w:val="0"/>
        <w:pageBreakBefore w:val="0"/>
        <w:widowControl w:val="0"/>
        <w:kinsoku/>
        <w:wordWrap/>
        <w:overflowPunct/>
        <w:topLinePunct w:val="0"/>
        <w:autoSpaceDE w:val="0"/>
        <w:autoSpaceDN w:val="0"/>
        <w:bidi w:val="0"/>
        <w:snapToGrid w:val="0"/>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协议书附件：</w:t>
      </w:r>
    </w:p>
    <w:p>
      <w:pPr>
        <w:keepNext w:val="0"/>
        <w:keepLines w:val="0"/>
        <w:pageBreakBefore w:val="0"/>
        <w:widowControl w:val="0"/>
        <w:kinsoku/>
        <w:wordWrap/>
        <w:overflowPunct/>
        <w:topLinePunct w:val="0"/>
        <w:bidi w:val="0"/>
        <w:adjustRightInd/>
        <w:spacing w:line="336"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安全生产合同</w:t>
      </w:r>
    </w:p>
    <w:p>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工程项目名称：</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工程项目地址：</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发包人名称（以下称甲方）：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承包人名称（以下称乙方）：</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为在</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施工合同的实施过程中创造安全、高效的施工环境，切实做好本项目的安全管理工作，双方特此签订安全生产合同：</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1、甲方职责：</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（1）严格遵守国家有关安全生产的法律法规，认真执行工程承包合同中的有关安全要求。</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（2）按照“安全第一、预防为主”和坚持“管生产必须管安全”的原则进行安全生产管理，做到生产与安全工作同时计划、布置、检查总结和评比。</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（3）重要的安全设施必须坚持与主体工程“三同时”的原则，</w:t>
      </w:r>
      <w:r>
        <w:rPr>
          <w:rFonts w:hint="eastAsia" w:ascii="宋体" w:hAnsi="宋体" w:cs="宋体"/>
          <w:color w:val="auto"/>
          <w:sz w:val="24"/>
          <w:szCs w:val="24"/>
          <w:highlight w:val="none"/>
          <w:lang w:eastAsia="zh-CN"/>
        </w:rPr>
        <w:t>即</w:t>
      </w:r>
      <w:r>
        <w:rPr>
          <w:rFonts w:hint="eastAsia" w:ascii="宋体" w:hAnsi="宋体" w:eastAsia="宋体" w:cs="宋体"/>
          <w:color w:val="auto"/>
          <w:sz w:val="24"/>
          <w:szCs w:val="24"/>
          <w:highlight w:val="none"/>
        </w:rPr>
        <w:t>：同时设计，同时施工，同时验收，投入使用。</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（4）定期召开安全生产调度会，及时传达中央及地方有关安全生产的精神。组织对乙方施工现场安全生产检查，监督乙方及时处理发现的各项安全隐患。</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2、乙方责任：</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（1）严格遵守国家有关安全生产的法律法规和有关安全生产的规定，认真执行工程承包合同中的有关安全要求，确保施工期间文物安全。</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坚持按照“安全第一、预防为主”和坚持“管生产必须管安全”的原则，加强安全生产教育，增强安全生产意识，建立健全各项安全生产的管理机构和安全生产管理制度，配置专职及兼职安全检查人员，有组织有领导地开展安全生产活动。各级领导、工程技术人员、生产管理人员和具体操作人员，必须熟悉和遵守本条款的各项规定，做到安全生产工作同时计划布置、检查、总结和评比。</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3%配置安全员，专职负责所有员工的安全和治安保卫工作及预防事故的发生。安全机构人员有权按有关规定发布指令，并采取保护性措施防止事故发生。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（4）乙方在任何时候都应采取各种合理的预防措施，防止其员工发生任何违法、违禁、暴力或妨碍治安的行为。</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必须具有劳动安全管理部门颁发的安全生产证书，参加施工的人员，必须接受安全技术教育，熟知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w:t>
      </w:r>
      <w:bookmarkStart w:id="485" w:name="_Hlk89721600"/>
      <w:r>
        <w:rPr>
          <w:rFonts w:hint="eastAsia" w:ascii="宋体" w:hAnsi="宋体" w:eastAsia="宋体" w:cs="宋体"/>
          <w:color w:val="auto"/>
          <w:sz w:val="24"/>
          <w:szCs w:val="24"/>
          <w:highlight w:val="none"/>
        </w:rPr>
        <w:t>施工现场如出现特种作业无证操作的现象时，项目经理必须承担管理责任。</w:t>
      </w:r>
    </w:p>
    <w:bookmarkEnd w:id="485"/>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于易燃易爆的材料除应专门妥善保管之外，还应配备有足够的消防设施，所有施工人员都应熟悉消防设备的性能和使用方法；乙方不得将任何种类的爆炸物给予、易货或其他方式转让给任何其他人，或允许、容忍上述同样行为。</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（7）操作人员上岗，必须按规定穿戴防护用品。施工负责人和安全检查员应随时检查劳动防护用品穿戴情况，不按规定穿戴防护用品的人员不得上岗。</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（8）所有施工机具设备和高空作业的设备均应定期检查，并有安全员的签字记录，保证其经常处于完好状态，不合格的机具、设备和劳动保护用品严禁使用。</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（9）施工中采用新技术、新工艺、新设备、新材料时，必须规定相应的安全技术措施，施工现场必须具有相关的安全标志牌。</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乙方必须按照本工程项目特点，组织制定本工程实施中的生产安全事故应急救援预案；如果发生安全事故，按照《国务院关于特大安全事故行政责任追究的规定》以及其他有关规定，及时上报有关部门，并坚持“三不放过”的原则，严肃处理相关责任人。</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3、违约责任：</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（1）如因甲方或乙方违约造成安全事故，将依法追究责任。</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（2）如因乙方原因造成文物损失，甲方将按照国家文物保护相关法律法规规定追究乙方责任。</w:t>
      </w:r>
    </w:p>
    <w:p>
      <w:pPr>
        <w:keepNext w:val="0"/>
        <w:keepLines w:val="0"/>
        <w:pageBreakBefore w:val="0"/>
        <w:widowControl w:val="0"/>
        <w:kinsoku/>
        <w:wordWrap/>
        <w:overflowPunct/>
        <w:topLinePunct w:val="0"/>
        <w:bidi w:val="0"/>
        <w:adjustRightInd/>
        <w:spacing w:line="336" w:lineRule="auto"/>
        <w:ind w:firstLine="480" w:firstLineChars="200"/>
        <w:textAlignment w:val="auto"/>
        <w:rPr>
          <w:rFonts w:hint="eastAsia" w:ascii="宋体" w:hAnsi="宋体" w:eastAsia="宋体" w:cs="宋体"/>
          <w:color w:val="auto"/>
          <w:sz w:val="24"/>
          <w:szCs w:val="24"/>
          <w:highlight w:val="none"/>
        </w:rPr>
      </w:pPr>
      <w:bookmarkStart w:id="486" w:name="_Hlk89721651"/>
      <w:r>
        <w:rPr>
          <w:rFonts w:hint="eastAsia" w:ascii="宋体" w:hAnsi="宋体" w:eastAsia="宋体" w:cs="宋体"/>
          <w:color w:val="auto"/>
          <w:sz w:val="24"/>
          <w:szCs w:val="24"/>
          <w:highlight w:val="none"/>
        </w:rPr>
        <w:t>本协议书正本二份、副本八份，合同双方各执正本一份，副本四份，当正本与副本的内容不一致时，以正本为准。</w:t>
      </w:r>
      <w:bookmarkEnd w:id="486"/>
      <w:r>
        <w:rPr>
          <w:rFonts w:hint="eastAsia" w:ascii="宋体" w:hAnsi="宋体" w:eastAsia="宋体" w:cs="宋体"/>
          <w:color w:val="auto"/>
          <w:sz w:val="24"/>
          <w:szCs w:val="24"/>
          <w:highlight w:val="none"/>
        </w:rPr>
        <w:t>由双方法定代表人或其授权的代理人签署与加盖公章生效，全部工程竣工验收后失效。</w:t>
      </w:r>
    </w:p>
    <w:p>
      <w:pPr>
        <w:keepNext w:val="0"/>
        <w:keepLines w:val="0"/>
        <w:pageBreakBefore w:val="0"/>
        <w:widowControl w:val="0"/>
        <w:kinsoku/>
        <w:wordWrap/>
        <w:overflowPunct/>
        <w:topLinePunct w:val="0"/>
        <w:bidi w:val="0"/>
        <w:adjustRightInd/>
        <w:spacing w:line="336" w:lineRule="auto"/>
        <w:ind w:firstLine="6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甲方单位：（盖章）                           乙方单位：（盖章）</w:t>
      </w:r>
    </w:p>
    <w:p>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                     法定代表人或委托代理人：</w:t>
      </w:r>
    </w:p>
    <w:p>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pPr>
        <w:keepNext w:val="0"/>
        <w:keepLines w:val="0"/>
        <w:pageBreakBefore w:val="0"/>
        <w:widowControl w:val="0"/>
        <w:kinsoku/>
        <w:wordWrap/>
        <w:overflowPunct/>
        <w:topLinePunct w:val="0"/>
        <w:bidi w:val="0"/>
        <w:adjustRightInd/>
        <w:spacing w:line="33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pPr>
        <w:keepNext w:val="0"/>
        <w:keepLines w:val="0"/>
        <w:pageBreakBefore w:val="0"/>
        <w:widowControl w:val="0"/>
        <w:kinsoku/>
        <w:wordWrap/>
        <w:overflowPunct/>
        <w:topLinePunct w:val="0"/>
        <w:bidi w:val="0"/>
        <w:adjustRightInd/>
        <w:spacing w:line="336" w:lineRule="auto"/>
        <w:ind w:firstLine="6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年   月   日                                   年    月    日</w:t>
      </w:r>
    </w:p>
    <w:p>
      <w:pPr>
        <w:keepNext w:val="0"/>
        <w:keepLines w:val="0"/>
        <w:pageBreakBefore w:val="0"/>
        <w:kinsoku/>
        <w:wordWrap/>
        <w:overflowPunct/>
        <w:topLinePunct w:val="0"/>
        <w:autoSpaceDE/>
        <w:autoSpaceDN/>
        <w:bidi w:val="0"/>
        <w:adjustRightInd/>
        <w:spacing w:line="324"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24"/>
          <w:szCs w:val="24"/>
          <w:highlight w:val="none"/>
        </w:rPr>
        <w:t>工程质量保修书</w:t>
      </w:r>
    </w:p>
    <w:p>
      <w:pPr>
        <w:keepNext w:val="0"/>
        <w:keepLines w:val="0"/>
        <w:pageBreakBefore w:val="0"/>
        <w:widowControl/>
        <w:kinsoku/>
        <w:wordWrap/>
        <w:overflowPunct/>
        <w:topLinePunct w:val="0"/>
        <w:autoSpaceDE/>
        <w:autoSpaceDN/>
        <w:bidi w:val="0"/>
        <w:snapToGrid w:val="0"/>
        <w:spacing w:after="120" w:afterLines="50" w:line="32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u w:val="single"/>
        </w:rPr>
        <w:t xml:space="preserve">                                  </w:t>
      </w:r>
    </w:p>
    <w:p>
      <w:pPr>
        <w:keepNext w:val="0"/>
        <w:keepLines w:val="0"/>
        <w:pageBreakBefore w:val="0"/>
        <w:widowControl/>
        <w:kinsoku/>
        <w:wordWrap/>
        <w:overflowPunct/>
        <w:topLinePunct w:val="0"/>
        <w:autoSpaceDE/>
        <w:autoSpaceDN/>
        <w:bidi w:val="0"/>
        <w:snapToGrid w:val="0"/>
        <w:spacing w:after="120" w:afterLines="50" w:line="324"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承包人（全称）：</w:t>
      </w:r>
      <w:r>
        <w:rPr>
          <w:rFonts w:hint="eastAsia" w:ascii="宋体" w:hAnsi="宋体" w:eastAsia="宋体" w:cs="宋体"/>
          <w:color w:val="auto"/>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发包人和承包人根据《中华人民共和国建筑法》和《建设工程质量管理条例》，经协商一致就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（工程名称）订立工程质量保修书。</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一、工程质量保修范围和内容</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承包人在质量保修期内，按照有关法律规定和合同约定，承担工程质量保修责任。</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具体保修的内容，双方约定如下：</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auto"/>
          <w:sz w:val="24"/>
          <w:szCs w:val="24"/>
          <w:highlight w:val="none"/>
          <w:u w:val="single"/>
        </w:rPr>
        <w:t xml:space="preserve">施工合同约定的工程均为保修项目 </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二、质量保修期</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根据《建设工程质量管理条例》及有关规定，工程的质量保修期如下：</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1．地基基础工程和主体结构工程为设计文件规定的工程合理使用年限；</w:t>
      </w: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2．屋面防水工程、有防水要求的卫生间、房间和外墙面的防渗为</w:t>
      </w:r>
      <w:r>
        <w:rPr>
          <w:rFonts w:hint="eastAsia" w:ascii="宋体" w:hAnsi="宋体" w:eastAsia="宋体" w:cs="宋体"/>
          <w:color w:val="auto"/>
          <w:sz w:val="24"/>
          <w:szCs w:val="24"/>
          <w:highlight w:val="none"/>
          <w:u w:val="single"/>
        </w:rPr>
        <w:t xml:space="preserve"> 5  </w:t>
      </w:r>
      <w:r>
        <w:rPr>
          <w:rFonts w:hint="eastAsia" w:ascii="宋体" w:hAnsi="宋体" w:eastAsia="宋体" w:cs="宋体"/>
          <w:color w:val="auto"/>
          <w:sz w:val="24"/>
          <w:szCs w:val="24"/>
          <w:highlight w:val="none"/>
        </w:rPr>
        <w:t>年；</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3．装修工程为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年；</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4．电气管线、给排水管道、设备安装工程为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年；</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5．供热与供冷系统为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个采暖期、供冷期；</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6．给排水设施、道路等配套工程为</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年；</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7．其他项目保修期限约定如下：</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质量保修期自工程竣工验收合格之日起计算。</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三、缺陷责任期</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工程缺陷责任期为</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个月，缺陷责任期自工程通过竣工验收之日起计算。单位/区段工程先于全部工程进行验收，单位/区段工程缺陷责任期自单位/区段工程验收合格之日起算。</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87" w:name="_Hlk89721702"/>
      <w:r>
        <w:rPr>
          <w:rFonts w:hint="eastAsia" w:ascii="宋体" w:hAnsi="宋体" w:eastAsia="宋体" w:cs="宋体"/>
          <w:color w:val="auto"/>
          <w:sz w:val="24"/>
          <w:szCs w:val="24"/>
          <w:highlight w:val="none"/>
        </w:rPr>
        <w:t>缺陷责任期终止后，发包人应返还剩余的质量保证金（本项目不收取质量保证金）。</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88" w:name="_Hlk89721726"/>
      <w:r>
        <w:rPr>
          <w:rFonts w:hint="eastAsia" w:ascii="宋体" w:hAnsi="宋体" w:eastAsia="宋体" w:cs="宋体"/>
          <w:color w:val="auto"/>
          <w:sz w:val="24"/>
          <w:szCs w:val="24"/>
          <w:highlight w:val="none"/>
        </w:rPr>
        <w:t>承包人在投标（或报价）文件中承诺的质量保修期长于《建设工程质量管理条例》等相应规定的，以承包人在投标（或报价）文件中的承诺为准。</w:t>
      </w:r>
    </w:p>
    <w:bookmarkEnd w:id="487"/>
    <w:bookmarkEnd w:id="488"/>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四、质量保修责任</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89" w:name="_Hlk89721788"/>
      <w:r>
        <w:rPr>
          <w:rFonts w:hint="eastAsia" w:ascii="宋体" w:hAnsi="宋体" w:eastAsia="宋体" w:cs="宋体"/>
          <w:color w:val="auto"/>
          <w:sz w:val="24"/>
          <w:szCs w:val="24"/>
          <w:highlight w:val="none"/>
        </w:rPr>
        <w:t>1．属于保修范围、内容的项目，承包人应当在接到保修通知之日起2天内派人保修。承包人不在约定期限内派人保修的，发包人可以委托他人修理。</w:t>
      </w:r>
    </w:p>
    <w:bookmarkEnd w:id="489"/>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2．发生紧急事故需抢修的，承包人在接到事故通知后，应当立即到达事故现场抢修。</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4．质量保修完成后，由发包人组织验收。</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90" w:name="_Hlk89721815"/>
      <w:r>
        <w:rPr>
          <w:rFonts w:hint="eastAsia" w:ascii="宋体" w:hAnsi="宋体" w:eastAsia="宋体" w:cs="宋体"/>
          <w:color w:val="auto"/>
          <w:sz w:val="24"/>
          <w:szCs w:val="24"/>
          <w:highlight w:val="none"/>
        </w:rPr>
        <w:t>5. 承包人不在约定期限内派人修理或经历两次（含两次）以上维修仍然不能解决问题的，发包人可以委托他人修理，所发生的费用均由承包人承担。</w:t>
      </w:r>
    </w:p>
    <w:bookmarkEnd w:id="490"/>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五、保修费用</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保修费用由造成质量缺陷的责任方承担。</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bookmarkStart w:id="491" w:name="_Hlk89721855"/>
      <w:r>
        <w:rPr>
          <w:rFonts w:hint="eastAsia" w:ascii="宋体" w:hAnsi="宋体" w:eastAsia="宋体" w:cs="宋体"/>
          <w:color w:val="auto"/>
          <w:sz w:val="24"/>
          <w:szCs w:val="24"/>
          <w:highlight w:val="none"/>
        </w:rPr>
        <w:t>六、双方约定的其他工程质量保修事项：在保修期内，若因工程质量缺陷或承包人维修不及时以及维修过程中给发包人或第三方造成人身、财产损害的，发包人或第三方的任何损失均由承包人承担。如第三方向发包人提出赔偿要求时，发包人有权要求承包人直接向第三方支付相应索赔费用或经通知承包人后，先行向第三方赔付，然后向承包人追偿 。</w:t>
      </w:r>
    </w:p>
    <w:bookmarkEnd w:id="491"/>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工程质量保修书由发包人、承包人在工程竣工验收前共同签署，作为工程总承包合同附件，其有效期限至保修期满。</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承包人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地  址：       </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法定代表人或委托代理人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传  真：  </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keepNext w:val="0"/>
        <w:keepLines w:val="0"/>
        <w:pageBreakBefore w:val="0"/>
        <w:widowControl/>
        <w:kinsoku/>
        <w:wordWrap/>
        <w:overflowPunct/>
        <w:topLinePunct w:val="0"/>
        <w:autoSpaceDE/>
        <w:autoSpaceDN/>
        <w:bidi w:val="0"/>
        <w:snapToGrid w:val="0"/>
        <w:spacing w:after="120" w:afterLines="50" w:line="324"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  号：                               账  号： </w:t>
      </w:r>
    </w:p>
    <w:p>
      <w:pPr>
        <w:keepNext w:val="0"/>
        <w:keepLines w:val="0"/>
        <w:pageBreakBefore w:val="0"/>
        <w:widowControl/>
        <w:kinsoku/>
        <w:wordWrap/>
        <w:overflowPunct/>
        <w:topLinePunct w:val="0"/>
        <w:autoSpaceDE/>
        <w:autoSpaceDN/>
        <w:bidi w:val="0"/>
        <w:snapToGrid w:val="0"/>
        <w:spacing w:after="120" w:afterLines="50" w:line="36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28"/>
          <w:szCs w:val="28"/>
          <w:highlight w:val="none"/>
          <w:lang w:val="zh-CN"/>
        </w:rPr>
        <w:t>工程项目廉政合同</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工程项目名称：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发包人名称(以下称甲方)：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承包人名称(以下称承包人)：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 xml:space="preserve">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加强工程建设中的廉政建设，规范工程建设项目双方的各项活动，防止发生各种谋取不正当利益的违法违纪行为，保护国家、集体和当事人的合法权益，根据国家有关工程建设的法律法规和廉政建设的相关规定，特订立本《</w:t>
      </w:r>
      <w:r>
        <w:rPr>
          <w:rFonts w:hint="eastAsia" w:ascii="宋体" w:hAnsi="宋体" w:eastAsia="宋体" w:cs="宋体"/>
          <w:color w:val="auto"/>
          <w:sz w:val="24"/>
          <w:szCs w:val="24"/>
          <w:highlight w:val="none"/>
          <w:lang w:val="zh-CN"/>
        </w:rPr>
        <w:t>工程项目</w:t>
      </w:r>
      <w:r>
        <w:rPr>
          <w:rFonts w:hint="eastAsia" w:ascii="宋体" w:hAnsi="宋体" w:eastAsia="宋体" w:cs="宋体"/>
          <w:color w:val="auto"/>
          <w:sz w:val="24"/>
          <w:szCs w:val="24"/>
          <w:highlight w:val="none"/>
        </w:rPr>
        <w:t>廉政合同》。</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第一条甲乙两方的约定</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（一）严格遵守党和国家（包括省、市）关于加强工程建设管理的有关法律、法规，以及廉政建设的各项规定。</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（二）严格执行《</w:t>
      </w:r>
      <w:r>
        <w:rPr>
          <w:rFonts w:hint="eastAsia" w:ascii="宋体" w:hAnsi="宋体" w:cs="宋体"/>
          <w:color w:val="auto"/>
          <w:sz w:val="24"/>
          <w:szCs w:val="24"/>
          <w:highlight w:val="none"/>
          <w:lang w:eastAsia="zh-CN"/>
        </w:rPr>
        <w:t>宁海县公安局内部维修改造项目</w:t>
      </w:r>
      <w:r>
        <w:rPr>
          <w:rFonts w:hint="eastAsia" w:ascii="宋体" w:hAnsi="宋体" w:eastAsia="宋体" w:cs="宋体"/>
          <w:color w:val="auto"/>
          <w:sz w:val="24"/>
          <w:szCs w:val="24"/>
          <w:highlight w:val="none"/>
        </w:rPr>
        <w:t>合同》规定，自觉按合同办事。</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（三）双方业务活动必须坚持公开、公平、公正、诚信、透明的原则（除法律法规认定的商业秘密和合同另有规定者外），不得损害国家、集体和各方利益，违反工程建设管理相关规章制度。</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（四）有对本方人员开展廉政告知、廉政教育和职业道德教育的义务。应加强本方人员廉政监督，建立健全廉政制度，认真查处本方人员的违规违纪行为。</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（五）发现一方在业务活动中有不廉洁行为时，有及时提醒对方并监督其纠正的权利和义务。</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（六）发现一方严重违反本合同条款的行为，有向其上级有关部门举报、建议给予处理并要求告知处理结果的权利。</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第二条甲方的责任</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（一）甲方及其工作人员不得以任何形式向乙方索要或收受回扣、礼金、有价证券和贵重物品等。不得在乙方报销任何应由甲方或个人支付的费用。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（二）甲方工作人员不得参加有可能影响公正执行公务的宴请及娱乐等活动。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（三）甲方及其工作人员不得要求、暗示或接受乙方为个人装修住房、婚丧嫁娶、配偶子女的工作安排以及出国（境）、旅游等提供方便。</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（四）甲方及其工作人员不得以任何理由向乙方推荐分包单位。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第三条乙方的责任</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（一）乙方不得以任何理由向甲方及其工作人员行贿和馈赠礼金、有价证券和贵重物品等。不得以任何名义在甲方报销应由乙方或个人支付的费用。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（二）乙方工作人员不得参加有可能影响公正执行公务的宴请及娱乐等活动。</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（三）乙方及其工作人员不得接受或暗示建设单位为个人装修住房、婚丧嫁娶、配偶子女的工作安排以及出国（境）、旅游等提供方便。</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第四条违约责任</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（一）甲方工作人员有违反本合同第一、二条责任行为的，按照管理权限，依据有关法律法规和规定给予党纪、政纪处分或组织处理；涉嫌犯罪的，移交司法机关追究刑事责任。</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（二）乙方工作人员有违反本合同第一、三条责任行为的，按照管理权限，依据有关法律法规和规定给予党纪、政纪处分或组织处理；涉嫌犯罪的，移交司法机关追究刑事责任。</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第五条本合同作为《</w:t>
      </w:r>
      <w:bookmarkStart w:id="492" w:name="_Hlk139543567"/>
      <w:r>
        <w:rPr>
          <w:rFonts w:hint="eastAsia" w:ascii="宋体" w:hAnsi="宋体" w:cs="宋体"/>
          <w:color w:val="auto"/>
          <w:sz w:val="24"/>
          <w:szCs w:val="24"/>
          <w:highlight w:val="none"/>
          <w:lang w:eastAsia="zh-CN"/>
        </w:rPr>
        <w:t>宁海县公安局内部维修改造项目</w:t>
      </w:r>
      <w:r>
        <w:rPr>
          <w:rFonts w:hint="eastAsia" w:ascii="宋体" w:hAnsi="宋体" w:eastAsia="宋体" w:cs="宋体"/>
          <w:color w:val="auto"/>
          <w:sz w:val="24"/>
          <w:szCs w:val="24"/>
          <w:highlight w:val="none"/>
        </w:rPr>
        <w:t>合同</w:t>
      </w:r>
      <w:bookmarkEnd w:id="492"/>
      <w:r>
        <w:rPr>
          <w:rFonts w:hint="eastAsia" w:ascii="宋体" w:hAnsi="宋体" w:eastAsia="宋体" w:cs="宋体"/>
          <w:color w:val="auto"/>
          <w:sz w:val="24"/>
          <w:szCs w:val="24"/>
          <w:highlight w:val="none"/>
        </w:rPr>
        <w:t>》的附件，与《</w:t>
      </w:r>
      <w:r>
        <w:rPr>
          <w:rFonts w:hint="eastAsia" w:ascii="宋体" w:hAnsi="宋体" w:cs="宋体"/>
          <w:color w:val="auto"/>
          <w:sz w:val="24"/>
          <w:szCs w:val="24"/>
          <w:highlight w:val="none"/>
          <w:lang w:eastAsia="zh-CN"/>
        </w:rPr>
        <w:t>宁海县公安局内部维修改造项目</w:t>
      </w:r>
      <w:r>
        <w:rPr>
          <w:rFonts w:hint="eastAsia" w:ascii="宋体" w:hAnsi="宋体" w:eastAsia="宋体" w:cs="宋体"/>
          <w:color w:val="auto"/>
          <w:sz w:val="24"/>
          <w:szCs w:val="24"/>
          <w:highlight w:val="none"/>
        </w:rPr>
        <w:t>合同》具有同等法律效力。经双方签署后立即生效。</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第六条本合同一式四份，甲乙方各执一份，送交各方上级主管部门各一份。</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甲方单位：（盖章）                              乙方单位：（盖章）</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法定代表人或委托代理人：                        法定代表人或委托代理人：</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                                          地址：</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电话：                                          电话： </w:t>
      </w:r>
    </w:p>
    <w:p>
      <w:pPr>
        <w:spacing w:line="360" w:lineRule="auto"/>
        <w:ind w:left="-420" w:leftChars="-200" w:right="-420" w:rightChars="-200" w:firstLine="480" w:firstLineChars="200"/>
        <w:jc w:val="center"/>
        <w:outlineLvl w:val="9"/>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9"/>
        <w:rPr>
          <w:rFonts w:hint="eastAsia" w:ascii="宋体" w:hAnsi="宋体" w:eastAsia="宋体" w:cs="宋体"/>
          <w:color w:val="auto"/>
          <w:sz w:val="24"/>
          <w:highlight w:val="none"/>
        </w:rPr>
        <w:sectPr>
          <w:headerReference r:id="rId7" w:type="first"/>
          <w:footerReference r:id="rId9" w:type="first"/>
          <w:footerReference r:id="rId8" w:type="default"/>
          <w:pgSz w:w="11906" w:h="16838"/>
          <w:pgMar w:top="1440" w:right="1080" w:bottom="1440" w:left="1080" w:header="851" w:footer="992" w:gutter="0"/>
          <w:pgNumType w:fmt="decimal"/>
          <w:cols w:space="720" w:num="1"/>
          <w:titlePg/>
          <w:docGrid w:linePitch="312" w:charSpace="0"/>
        </w:sectPr>
      </w:pPr>
    </w:p>
    <w:p>
      <w:pPr>
        <w:snapToGrid w:val="0"/>
        <w:spacing w:line="360" w:lineRule="auto"/>
        <w:jc w:val="center"/>
        <w:outlineLvl w:val="0"/>
        <w:rPr>
          <w:rFonts w:hint="eastAsia" w:ascii="宋体" w:hAnsi="宋体" w:eastAsia="宋体" w:cs="宋体"/>
          <w:b/>
          <w:color w:val="auto"/>
          <w:sz w:val="36"/>
          <w:szCs w:val="20"/>
          <w:highlight w:val="none"/>
        </w:rPr>
      </w:pPr>
      <w:bookmarkStart w:id="493" w:name="_Toc10046"/>
      <w:r>
        <w:rPr>
          <w:rFonts w:hint="eastAsia" w:ascii="宋体" w:hAnsi="宋体" w:eastAsia="宋体" w:cs="宋体"/>
          <w:b/>
          <w:color w:val="auto"/>
          <w:sz w:val="36"/>
          <w:szCs w:val="20"/>
          <w:highlight w:val="none"/>
        </w:rPr>
        <w:t>第六部分</w:t>
      </w:r>
      <w:bookmarkEnd w:id="413"/>
      <w:r>
        <w:rPr>
          <w:rFonts w:hint="eastAsia" w:ascii="宋体" w:hAnsi="宋体" w:eastAsia="宋体" w:cs="宋体"/>
          <w:b/>
          <w:color w:val="auto"/>
          <w:sz w:val="36"/>
          <w:szCs w:val="20"/>
          <w:highlight w:val="none"/>
        </w:rPr>
        <w:t xml:space="preserve"> </w:t>
      </w:r>
      <w:bookmarkEnd w:id="414"/>
      <w:r>
        <w:rPr>
          <w:rFonts w:hint="eastAsia" w:ascii="宋体" w:hAnsi="宋体" w:eastAsia="宋体" w:cs="宋体"/>
          <w:b/>
          <w:color w:val="auto"/>
          <w:sz w:val="36"/>
          <w:szCs w:val="20"/>
          <w:highlight w:val="none"/>
        </w:rPr>
        <w:t>应提交的有关格式范例</w:t>
      </w:r>
      <w:bookmarkEnd w:id="493"/>
    </w:p>
    <w:p>
      <w:pPr>
        <w:spacing w:line="360" w:lineRule="auto"/>
        <w:jc w:val="center"/>
        <w:outlineLvl w:val="9"/>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bookmarkStart w:id="494" w:name="_Toc12223"/>
      <w:r>
        <w:rPr>
          <w:rFonts w:hint="eastAsia" w:ascii="宋体" w:hAnsi="宋体" w:eastAsia="宋体" w:cs="宋体"/>
          <w:b/>
          <w:color w:val="auto"/>
          <w:kern w:val="0"/>
          <w:sz w:val="36"/>
          <w:szCs w:val="36"/>
          <w:highlight w:val="none"/>
        </w:rPr>
        <w:t>资格文件部分</w:t>
      </w:r>
      <w:bookmarkEnd w:id="494"/>
    </w:p>
    <w:p>
      <w:pPr>
        <w:spacing w:line="360" w:lineRule="auto"/>
        <w:jc w:val="center"/>
        <w:outlineLvl w:val="0"/>
        <w:rPr>
          <w:rFonts w:hint="eastAsia" w:ascii="宋体" w:hAnsi="宋体" w:eastAsia="宋体" w:cs="宋体"/>
          <w:b/>
          <w:color w:val="auto"/>
          <w:kern w:val="0"/>
          <w:sz w:val="36"/>
          <w:szCs w:val="36"/>
          <w:highlight w:val="none"/>
        </w:rPr>
      </w:pPr>
      <w:bookmarkStart w:id="495" w:name="_Toc26485"/>
      <w:r>
        <w:rPr>
          <w:rFonts w:hint="eastAsia" w:ascii="宋体" w:hAnsi="宋体" w:eastAsia="宋体" w:cs="宋体"/>
          <w:b/>
          <w:color w:val="auto"/>
          <w:kern w:val="0"/>
          <w:sz w:val="36"/>
          <w:szCs w:val="36"/>
          <w:highlight w:val="none"/>
        </w:rPr>
        <w:t>目录</w:t>
      </w:r>
      <w:bookmarkEnd w:id="495"/>
    </w:p>
    <w:p>
      <w:pPr>
        <w:spacing w:line="360" w:lineRule="auto"/>
        <w:jc w:val="center"/>
        <w:outlineLvl w:val="9"/>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（2）联合协议………………………………………………………………（页码）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 中小企业声明函………………………………………………………（页码）</w:t>
      </w: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我方参与（项目名称）【项目编号：（采购编号）】政府采购活动，郑重承诺：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、中国政府采购网（www.ccgp.gov.cn）列入失信被执行人、重大税收违法案件当事人名单</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即：重大税收违法失信主体</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）；本项目不接受联合体或者供应商不以联合体形式参与的，则不需要提供]</w:t>
      </w:r>
    </w:p>
    <w:p>
      <w:pPr>
        <w:snapToGrid w:val="0"/>
        <w:spacing w:line="360" w:lineRule="auto"/>
        <w:ind w:right="480"/>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.专门面向中小企业，工程全部由符合政策要求的中小企业（或小微企业）承建的，提供相应的中小企业声明函。 </w:t>
      </w:r>
    </w:p>
    <w:p>
      <w:pPr>
        <w:widowControl/>
        <w:spacing w:line="360" w:lineRule="auto"/>
        <w:ind w:firstLine="480"/>
        <w:jc w:val="left"/>
        <w:rPr>
          <w:rFonts w:hint="eastAsia" w:ascii="宋体" w:hAnsi="宋体" w:eastAsia="宋体" w:cs="宋体"/>
          <w:color w:val="auto"/>
          <w:sz w:val="24"/>
          <w:highlight w:val="none"/>
        </w:rPr>
      </w:pPr>
    </w:p>
    <w:p>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）和中小企业声明函，联合协议中中小企业合同金额应当达到竞争性磋商公告载明的比例；如果供应商本身提供所有标的均由中小企业承建的，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）和中小企业声明函，分包意向协议中中小企业合同金额应当达到竞争性磋商公告载明的比例；如果供应商本身提供所有标的均由中小企业承建，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（根据竞争性磋商公告本项目的特定资格要求提供相应的材料；未要求的，无需提供）</w:t>
      </w:r>
    </w:p>
    <w:p>
      <w:pPr>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中小企业声明函（工程）</w:t>
      </w:r>
    </w:p>
    <w:p>
      <w:pPr>
        <w:keepNext w:val="0"/>
        <w:keepLines w:val="0"/>
        <w:pageBreakBefore w:val="0"/>
        <w:widowControl w:val="0"/>
        <w:kinsoku/>
        <w:wordWrap/>
        <w:overflowPunct/>
        <w:topLinePunct w:val="0"/>
        <w:autoSpaceDE/>
        <w:autoSpaceDN/>
        <w:bidi w:val="0"/>
        <w:adjustRightInd w:val="0"/>
        <w:spacing w:line="300" w:lineRule="auto"/>
        <w:ind w:firstLine="360" w:firstLineChars="1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u w:val="single"/>
          <w:lang w:eastAsia="zh-CN"/>
        </w:rPr>
        <w:t>：</w:t>
      </w:r>
      <w:r>
        <w:rPr>
          <w:rFonts w:hint="eastAsia" w:ascii="宋体" w:hAnsi="宋体" w:cs="宋体"/>
          <w:color w:val="auto"/>
          <w:kern w:val="0"/>
          <w:sz w:val="24"/>
          <w:highlight w:val="none"/>
          <w:u w:val="single"/>
          <w:lang w:val="en-US" w:eastAsia="zh-CN"/>
        </w:rPr>
        <w:t>宁海县公安局内部维修改造项目</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建筑业）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pacing w:line="300" w:lineRule="auto"/>
        <w:ind w:firstLine="480" w:firstLineChars="200"/>
        <w:textAlignment w:val="auto"/>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00" w:lineRule="auto"/>
        <w:ind w:firstLine="5160" w:firstLineChars="215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keepNext w:val="0"/>
        <w:keepLines w:val="0"/>
        <w:pageBreakBefore w:val="0"/>
        <w:widowControl w:val="0"/>
        <w:kinsoku/>
        <w:wordWrap/>
        <w:overflowPunct/>
        <w:topLinePunct w:val="0"/>
        <w:autoSpaceDE/>
        <w:autoSpaceDN/>
        <w:bidi w:val="0"/>
        <w:adjustRightInd w:val="0"/>
        <w:spacing w:line="30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pacing w:line="300"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pacing w:line="300" w:lineRule="auto"/>
        <w:ind w:right="42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val="0"/>
        <w:spacing w:line="300" w:lineRule="auto"/>
        <w:ind w:right="420" w:firstLine="480" w:firstLineChars="200"/>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2"/>
          <w:sz w:val="24"/>
          <w:szCs w:val="24"/>
          <w:highlight w:val="none"/>
          <w:lang w:bidi="ar"/>
        </w:rPr>
        <w:t>本项目对应的中小企业划分标准所属行业：</w:t>
      </w:r>
      <w:r>
        <w:rPr>
          <w:rFonts w:hint="eastAsia" w:ascii="宋体" w:hAnsi="宋体" w:eastAsia="宋体" w:cs="宋体"/>
          <w:b w:val="0"/>
          <w:bCs w:val="0"/>
          <w:color w:val="auto"/>
          <w:kern w:val="2"/>
          <w:sz w:val="24"/>
          <w:szCs w:val="24"/>
          <w:highlight w:val="none"/>
          <w:u w:val="single"/>
          <w:lang w:val="en-US" w:eastAsia="zh-CN" w:bidi="ar"/>
        </w:rPr>
        <w:t>建筑业</w:t>
      </w:r>
      <w:r>
        <w:rPr>
          <w:rFonts w:hint="eastAsia" w:ascii="宋体" w:hAnsi="宋体" w:eastAsia="宋体" w:cs="宋体"/>
          <w:color w:val="auto"/>
          <w:kern w:val="2"/>
          <w:sz w:val="24"/>
          <w:szCs w:val="24"/>
          <w:highlight w:val="none"/>
          <w:lang w:bidi="ar"/>
        </w:rPr>
        <w:t>。 划分标准</w:t>
      </w:r>
      <w:r>
        <w:rPr>
          <w:rFonts w:hint="eastAsia" w:ascii="宋体" w:hAnsi="宋体" w:eastAsia="宋体" w:cs="宋体"/>
          <w:color w:val="auto"/>
          <w:kern w:val="2"/>
          <w:sz w:val="24"/>
          <w:szCs w:val="24"/>
          <w:highlight w:val="none"/>
          <w:lang w:eastAsia="zh-CN" w:bidi="ar"/>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insoku/>
        <w:wordWrap/>
        <w:overflowPunct/>
        <w:topLinePunct w:val="0"/>
        <w:bidi w:val="0"/>
        <w:spacing w:line="360" w:lineRule="auto"/>
        <w:jc w:val="center"/>
        <w:outlineLvl w:val="9"/>
        <w:rPr>
          <w:rFonts w:hint="eastAsia" w:ascii="宋体" w:hAnsi="宋体" w:eastAsia="宋体" w:cs="宋体"/>
          <w:b/>
          <w:color w:val="auto"/>
          <w:spacing w:val="6"/>
          <w:sz w:val="32"/>
          <w:szCs w:val="32"/>
          <w:highlight w:val="none"/>
          <w:lang w:val="en-US" w:eastAsia="zh-CN"/>
        </w:rPr>
      </w:pPr>
      <w:r>
        <w:rPr>
          <w:rFonts w:hint="eastAsia" w:ascii="宋体" w:hAnsi="宋体" w:eastAsia="宋体" w:cs="宋体"/>
          <w:b/>
          <w:color w:val="auto"/>
          <w:spacing w:val="6"/>
          <w:sz w:val="32"/>
          <w:szCs w:val="32"/>
          <w:highlight w:val="none"/>
        </w:rPr>
        <w:t>残疾人福利性单位声明函</w:t>
      </w:r>
      <w:r>
        <w:rPr>
          <w:rFonts w:hint="eastAsia" w:ascii="宋体" w:hAnsi="宋体" w:eastAsia="宋体" w:cs="宋体"/>
          <w:b/>
          <w:color w:val="auto"/>
          <w:spacing w:val="6"/>
          <w:sz w:val="32"/>
          <w:szCs w:val="32"/>
          <w:highlight w:val="none"/>
          <w:lang w:eastAsia="zh-CN"/>
        </w:rPr>
        <w:t>（</w:t>
      </w:r>
      <w:r>
        <w:rPr>
          <w:rFonts w:hint="eastAsia" w:ascii="宋体" w:hAnsi="宋体" w:eastAsia="宋体" w:cs="宋体"/>
          <w:b/>
          <w:color w:val="auto"/>
          <w:spacing w:val="6"/>
          <w:sz w:val="32"/>
          <w:szCs w:val="32"/>
          <w:highlight w:val="none"/>
          <w:lang w:val="en-US" w:eastAsia="zh-CN"/>
        </w:rPr>
        <w:t>如有）</w:t>
      </w:r>
    </w:p>
    <w:p>
      <w:pPr>
        <w:kinsoku/>
        <w:wordWrap/>
        <w:overflowPunct/>
        <w:topLinePunct w:val="0"/>
        <w:bidi w:val="0"/>
        <w:spacing w:line="360" w:lineRule="auto"/>
        <w:outlineLvl w:val="9"/>
        <w:rPr>
          <w:rFonts w:hint="eastAsia" w:ascii="宋体" w:hAnsi="宋体" w:eastAsia="宋体" w:cs="宋体"/>
          <w:b/>
          <w:color w:val="auto"/>
          <w:spacing w:val="6"/>
          <w:sz w:val="30"/>
          <w:szCs w:val="30"/>
          <w:highlight w:val="none"/>
        </w:rPr>
      </w:pPr>
    </w:p>
    <w:p>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p>
    <w:p>
      <w:pPr>
        <w:kinsoku/>
        <w:wordWrap/>
        <w:overflowPunct/>
        <w:topLinePunct w:val="0"/>
        <w:bidi w:val="0"/>
        <w:spacing w:line="360" w:lineRule="auto"/>
        <w:ind w:firstLine="480" w:firstLineChars="200"/>
        <w:outlineLvl w:val="9"/>
        <w:rPr>
          <w:rFonts w:hint="eastAsia" w:ascii="宋体" w:hAnsi="宋体" w:eastAsia="宋体" w:cs="宋体"/>
          <w:color w:val="auto"/>
          <w:sz w:val="24"/>
          <w:highlight w:val="none"/>
        </w:rPr>
      </w:pPr>
    </w:p>
    <w:p>
      <w:pPr>
        <w:tabs>
          <w:tab w:val="left" w:pos="4860"/>
        </w:tabs>
        <w:kinsoku/>
        <w:wordWrap/>
        <w:overflowPunct/>
        <w:topLinePunct w:val="0"/>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pPr>
        <w:tabs>
          <w:tab w:val="left" w:pos="4860"/>
        </w:tabs>
        <w:kinsoku/>
        <w:wordWrap/>
        <w:overflowPunct/>
        <w:topLinePunct w:val="0"/>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pStyle w:val="4"/>
        <w:outlineLvl w:val="9"/>
        <w:rPr>
          <w:rFonts w:hint="eastAsia" w:ascii="宋体" w:hAnsi="宋体" w:eastAsia="宋体" w:cs="宋体"/>
          <w:b w:val="0"/>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8"/>
          <w:szCs w:val="28"/>
          <w:highlight w:val="none"/>
        </w:rPr>
      </w:pPr>
      <w:bookmarkStart w:id="496" w:name="_Toc22165"/>
      <w:r>
        <w:rPr>
          <w:rFonts w:hint="eastAsia" w:ascii="宋体" w:hAnsi="宋体" w:eastAsia="宋体" w:cs="宋体"/>
          <w:b/>
          <w:color w:val="auto"/>
          <w:kern w:val="0"/>
          <w:sz w:val="28"/>
          <w:szCs w:val="28"/>
          <w:highlight w:val="none"/>
        </w:rPr>
        <w:t>目录</w:t>
      </w:r>
      <w:bookmarkEnd w:id="496"/>
    </w:p>
    <w:p>
      <w:pPr>
        <w:numPr>
          <w:ilvl w:val="255"/>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（1）响应函……………………………………………………………………………（页码）</w:t>
      </w:r>
    </w:p>
    <w:p>
      <w:pPr>
        <w:numPr>
          <w:ilvl w:val="255"/>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（2）授权委托书或法定代表人（单位负责人、自然人本人）身份证明……………（页码）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（3）分包意向协议………………………………………………………………………（页码）</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（4）符合性审查资料……………………………………………………………………（页码）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（5）评审标准相应的商务技术资料……………………………………………………（页码）（6）商务技术偏离表……………………………………………………………………（页码）</w:t>
      </w:r>
    </w:p>
    <w:p>
      <w:pPr>
        <w:snapToGrid w:val="0"/>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pPr>
        <w:snapToGrid w:val="0"/>
        <w:spacing w:line="360" w:lineRule="auto"/>
        <w:jc w:val="center"/>
        <w:rPr>
          <w:rFonts w:hint="eastAsia" w:ascii="宋体" w:hAnsi="宋体" w:eastAsia="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我方参加你方组织的（项目名称）【项目编号：（采购编号）】采购的有关活动，并对此项目提交响应文件及报价。为此：</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中小企业声明函</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pPr>
        <w:keepNext w:val="0"/>
        <w:keepLines w:val="0"/>
        <w:pageBreakBefore w:val="0"/>
        <w:widowControl w:val="0"/>
        <w:kinsoku/>
        <w:wordWrap/>
        <w:overflowPunct/>
        <w:topLinePunct w:val="0"/>
        <w:autoSpaceDE/>
        <w:autoSpaceDN/>
        <w:bidi w:val="0"/>
        <w:adjustRightInd w:val="0"/>
        <w:snapToGrid w:val="0"/>
        <w:spacing w:line="288"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4.5按照竞争性磋商文件的规定，在中标后向采购代理机构一次性支付招标代理服务费。</w:t>
      </w:r>
    </w:p>
    <w:p>
      <w:pPr>
        <w:keepNext w:val="0"/>
        <w:keepLines w:val="0"/>
        <w:pageBreakBefore w:val="0"/>
        <w:widowControl w:val="0"/>
        <w:kinsoku/>
        <w:wordWrap/>
        <w:overflowPunct/>
        <w:topLinePunct w:val="0"/>
        <w:autoSpaceDE/>
        <w:autoSpaceDN/>
        <w:bidi w:val="0"/>
        <w:adjustRightInd w:val="0"/>
        <w:snapToGrid w:val="0"/>
        <w:spacing w:line="288" w:lineRule="auto"/>
        <w:ind w:left="210" w:leftChars="10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pacing w:line="288" w:lineRule="auto"/>
        <w:ind w:firstLine="3600" w:firstLineChars="15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pPr>
        <w:keepNext w:val="0"/>
        <w:keepLines w:val="0"/>
        <w:pageBreakBefore w:val="0"/>
        <w:widowControl w:val="0"/>
        <w:kinsoku/>
        <w:wordWrap/>
        <w:overflowPunct/>
        <w:topLinePunct w:val="0"/>
        <w:autoSpaceDE/>
        <w:autoSpaceDN/>
        <w:bidi w:val="0"/>
        <w:adjustRightInd w:val="0"/>
        <w:spacing w:line="288" w:lineRule="auto"/>
        <w:ind w:firstLine="3600" w:firstLineChars="1500"/>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200" w:firstLine="4200" w:firstLineChars="1750"/>
        <w:textAlignment w:val="auto"/>
        <w:rPr>
          <w:rFonts w:hint="eastAsia" w:ascii="宋体" w:hAnsi="宋体" w:eastAsia="宋体" w:cs="宋体"/>
          <w:color w:val="auto"/>
          <w:kern w:val="0"/>
          <w:sz w:val="24"/>
          <w:highlight w:val="none"/>
          <w:u w:val="single"/>
        </w:rPr>
      </w:pPr>
    </w:p>
    <w:p>
      <w:pPr>
        <w:keepNext w:val="0"/>
        <w:keepLines w:val="0"/>
        <w:pageBreakBefore w:val="0"/>
        <w:widowControl w:val="0"/>
        <w:kinsoku/>
        <w:wordWrap/>
        <w:overflowPunct/>
        <w:topLinePunct w:val="0"/>
        <w:autoSpaceDE/>
        <w:autoSpaceDN/>
        <w:bidi w:val="0"/>
        <w:adjustRightInd w:val="0"/>
        <w:spacing w:line="288" w:lineRule="auto"/>
        <w:ind w:right="420"/>
        <w:textAlignment w:val="auto"/>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注：按本格式和要求提供。</w:t>
      </w:r>
    </w:p>
    <w:p>
      <w:pPr>
        <w:jc w:val="center"/>
        <w:rPr>
          <w:rFonts w:hint="eastAsia" w:ascii="宋体" w:hAnsi="宋体" w:eastAsia="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adjustRightInd/>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投标附录</w:t>
      </w:r>
    </w:p>
    <w:tbl>
      <w:tblPr>
        <w:tblStyle w:val="63"/>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730"/>
        <w:gridCol w:w="1275"/>
        <w:gridCol w:w="344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30"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275"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合同条款号</w:t>
            </w:r>
          </w:p>
        </w:tc>
        <w:tc>
          <w:tcPr>
            <w:tcW w:w="3445"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约定内容</w:t>
            </w:r>
          </w:p>
        </w:tc>
        <w:tc>
          <w:tcPr>
            <w:tcW w:w="1205"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30" w:type="dxa"/>
            <w:noWrap w:val="0"/>
            <w:vAlign w:val="center"/>
          </w:tcPr>
          <w:p>
            <w:pPr>
              <w:adjustRightInd/>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1275"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w:t>
            </w:r>
          </w:p>
        </w:tc>
        <w:tc>
          <w:tcPr>
            <w:tcW w:w="3445" w:type="dxa"/>
            <w:noWrap w:val="0"/>
            <w:vAlign w:val="center"/>
          </w:tcPr>
          <w:p>
            <w:pPr>
              <w:widowControl/>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p>
        </w:tc>
        <w:tc>
          <w:tcPr>
            <w:tcW w:w="1205" w:type="dxa"/>
            <w:noWrap w:val="0"/>
            <w:vAlign w:val="center"/>
          </w:tcPr>
          <w:p>
            <w:pPr>
              <w:adjustRightInd/>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30" w:type="dxa"/>
            <w:noWrap w:val="0"/>
            <w:vAlign w:val="center"/>
          </w:tcPr>
          <w:p>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误期违约金额</w:t>
            </w:r>
          </w:p>
        </w:tc>
        <w:tc>
          <w:tcPr>
            <w:tcW w:w="127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7.5.2</w:t>
            </w:r>
          </w:p>
        </w:tc>
        <w:tc>
          <w:tcPr>
            <w:tcW w:w="344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 元/天</w:t>
            </w:r>
          </w:p>
        </w:tc>
        <w:tc>
          <w:tcPr>
            <w:tcW w:w="1205" w:type="dxa"/>
            <w:noWrap w:val="0"/>
            <w:vAlign w:val="center"/>
          </w:tcPr>
          <w:p>
            <w:pPr>
              <w:adjustRightInd/>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730" w:type="dxa"/>
            <w:noWrap w:val="0"/>
            <w:vAlign w:val="center"/>
          </w:tcPr>
          <w:p>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误期赔偿费限额</w:t>
            </w:r>
          </w:p>
        </w:tc>
        <w:tc>
          <w:tcPr>
            <w:tcW w:w="127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7.5.2</w:t>
            </w:r>
          </w:p>
        </w:tc>
        <w:tc>
          <w:tcPr>
            <w:tcW w:w="344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合同金额的3%</w:t>
            </w:r>
          </w:p>
        </w:tc>
        <w:tc>
          <w:tcPr>
            <w:tcW w:w="1205" w:type="dxa"/>
            <w:noWrap w:val="0"/>
            <w:vAlign w:val="center"/>
          </w:tcPr>
          <w:p>
            <w:pPr>
              <w:adjustRightInd/>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730" w:type="dxa"/>
            <w:noWrap w:val="0"/>
            <w:vAlign w:val="center"/>
          </w:tcPr>
          <w:p>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施工总工期</w:t>
            </w:r>
          </w:p>
        </w:tc>
        <w:tc>
          <w:tcPr>
            <w:tcW w:w="127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344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Cs/>
                <w:color w:val="auto"/>
                <w:sz w:val="24"/>
                <w:szCs w:val="24"/>
                <w:highlight w:val="none"/>
                <w:lang w:val="en-US" w:eastAsia="zh-CN"/>
              </w:rPr>
              <w:t>90</w:t>
            </w:r>
            <w:r>
              <w:rPr>
                <w:rFonts w:hint="eastAsia" w:ascii="宋体" w:hAnsi="宋体" w:eastAsia="宋体" w:cs="宋体"/>
                <w:bCs/>
                <w:color w:val="auto"/>
                <w:sz w:val="24"/>
                <w:szCs w:val="24"/>
                <w:highlight w:val="none"/>
                <w:lang w:val="en-US" w:eastAsia="zh-CN"/>
              </w:rPr>
              <w:t>日历天</w:t>
            </w:r>
          </w:p>
        </w:tc>
        <w:tc>
          <w:tcPr>
            <w:tcW w:w="1205" w:type="dxa"/>
            <w:noWrap w:val="0"/>
            <w:vAlign w:val="center"/>
          </w:tcPr>
          <w:p>
            <w:pPr>
              <w:adjustRightInd/>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690"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730" w:type="dxa"/>
            <w:noWrap w:val="0"/>
            <w:vAlign w:val="center"/>
          </w:tcPr>
          <w:p>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质量标准</w:t>
            </w:r>
          </w:p>
        </w:tc>
        <w:tc>
          <w:tcPr>
            <w:tcW w:w="127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w:t>
            </w:r>
          </w:p>
        </w:tc>
        <w:tc>
          <w:tcPr>
            <w:tcW w:w="344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按国家施工验收规范一次性验收合格标准</w:t>
            </w:r>
          </w:p>
        </w:tc>
        <w:tc>
          <w:tcPr>
            <w:tcW w:w="1205" w:type="dxa"/>
            <w:noWrap w:val="0"/>
            <w:vAlign w:val="center"/>
          </w:tcPr>
          <w:p>
            <w:pPr>
              <w:adjustRightInd/>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90"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730" w:type="dxa"/>
            <w:noWrap w:val="0"/>
            <w:vAlign w:val="center"/>
          </w:tcPr>
          <w:p>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未达到工程质量验收一次性合格标准违约金</w:t>
            </w:r>
          </w:p>
        </w:tc>
        <w:tc>
          <w:tcPr>
            <w:tcW w:w="127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16.2.2</w:t>
            </w:r>
          </w:p>
        </w:tc>
        <w:tc>
          <w:tcPr>
            <w:tcW w:w="344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合同金额的1.5%</w:t>
            </w:r>
          </w:p>
        </w:tc>
        <w:tc>
          <w:tcPr>
            <w:tcW w:w="1205" w:type="dxa"/>
            <w:noWrap w:val="0"/>
            <w:vAlign w:val="center"/>
          </w:tcPr>
          <w:p>
            <w:pPr>
              <w:adjustRightInd/>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90"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730" w:type="dxa"/>
            <w:noWrap w:val="0"/>
            <w:vAlign w:val="center"/>
          </w:tcPr>
          <w:p>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未履行项目经理及主要施工管理人员到场承诺违约金限额</w:t>
            </w:r>
          </w:p>
        </w:tc>
        <w:tc>
          <w:tcPr>
            <w:tcW w:w="127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16.2.2</w:t>
            </w:r>
          </w:p>
        </w:tc>
        <w:tc>
          <w:tcPr>
            <w:tcW w:w="344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tc>
        <w:tc>
          <w:tcPr>
            <w:tcW w:w="1205" w:type="dxa"/>
            <w:noWrap w:val="0"/>
            <w:vAlign w:val="center"/>
          </w:tcPr>
          <w:p>
            <w:pPr>
              <w:adjustRightInd/>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0"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730" w:type="dxa"/>
            <w:noWrap w:val="0"/>
            <w:vAlign w:val="center"/>
          </w:tcPr>
          <w:p>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未履行主要机械设备到场承诺违约金限额</w:t>
            </w:r>
          </w:p>
        </w:tc>
        <w:tc>
          <w:tcPr>
            <w:tcW w:w="127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16.2.2</w:t>
            </w:r>
          </w:p>
        </w:tc>
        <w:tc>
          <w:tcPr>
            <w:tcW w:w="344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合同价款的0.5%/次</w:t>
            </w:r>
          </w:p>
        </w:tc>
        <w:tc>
          <w:tcPr>
            <w:tcW w:w="1205" w:type="dxa"/>
            <w:noWrap w:val="0"/>
            <w:vAlign w:val="center"/>
          </w:tcPr>
          <w:p>
            <w:pPr>
              <w:adjustRightInd/>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0"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730" w:type="dxa"/>
            <w:noWrap w:val="0"/>
            <w:vAlign w:val="center"/>
          </w:tcPr>
          <w:p>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未履行安全文明施工承诺违约金限额</w:t>
            </w:r>
          </w:p>
        </w:tc>
        <w:tc>
          <w:tcPr>
            <w:tcW w:w="127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16.2.2</w:t>
            </w:r>
          </w:p>
        </w:tc>
        <w:tc>
          <w:tcPr>
            <w:tcW w:w="344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合同金额的0.5%/次</w:t>
            </w:r>
          </w:p>
        </w:tc>
        <w:tc>
          <w:tcPr>
            <w:tcW w:w="1205" w:type="dxa"/>
            <w:noWrap w:val="0"/>
            <w:vAlign w:val="center"/>
          </w:tcPr>
          <w:p>
            <w:pPr>
              <w:adjustRightInd/>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90"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730" w:type="dxa"/>
            <w:noWrap w:val="0"/>
            <w:vAlign w:val="center"/>
          </w:tcPr>
          <w:p>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是否同意招标文件其他内容</w:t>
            </w:r>
          </w:p>
        </w:tc>
        <w:tc>
          <w:tcPr>
            <w:tcW w:w="127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p>
        </w:tc>
        <w:tc>
          <w:tcPr>
            <w:tcW w:w="344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同意招标文件其他内容</w:t>
            </w:r>
          </w:p>
        </w:tc>
        <w:tc>
          <w:tcPr>
            <w:tcW w:w="1205" w:type="dxa"/>
            <w:noWrap w:val="0"/>
            <w:vAlign w:val="center"/>
          </w:tcPr>
          <w:p>
            <w:pPr>
              <w:adjustRightInd/>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0" w:type="dxa"/>
            <w:noWrap w:val="0"/>
            <w:vAlign w:val="center"/>
          </w:tcPr>
          <w:p>
            <w:pPr>
              <w:adjustRightInd/>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2730" w:type="dxa"/>
            <w:noWrap w:val="0"/>
            <w:vAlign w:val="center"/>
          </w:tcPr>
          <w:p>
            <w:pPr>
              <w:adjustRightInd/>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是否同意合同条款及合同附件格式</w:t>
            </w:r>
          </w:p>
        </w:tc>
        <w:tc>
          <w:tcPr>
            <w:tcW w:w="127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p>
        </w:tc>
        <w:tc>
          <w:tcPr>
            <w:tcW w:w="3445" w:type="dxa"/>
            <w:noWrap w:val="0"/>
            <w:vAlign w:val="center"/>
          </w:tcPr>
          <w:p>
            <w:pPr>
              <w:adjustRightInd/>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同意合同条款及合同附件格式</w:t>
            </w:r>
          </w:p>
        </w:tc>
        <w:tc>
          <w:tcPr>
            <w:tcW w:w="1205" w:type="dxa"/>
            <w:noWrap w:val="0"/>
            <w:vAlign w:val="center"/>
          </w:tcPr>
          <w:p>
            <w:pPr>
              <w:adjustRightInd/>
              <w:snapToGrid w:val="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9345" w:type="dxa"/>
            <w:gridSpan w:val="5"/>
            <w:noWrap w:val="0"/>
            <w:vAlign w:val="center"/>
          </w:tcPr>
          <w:p>
            <w:pPr>
              <w:adjustRightInd/>
              <w:snapToGrid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p>
            <w:pPr>
              <w:numPr>
                <w:ilvl w:val="0"/>
                <w:numId w:val="4"/>
              </w:numPr>
              <w:adjustRightInd/>
              <w:snapToGrid w:val="0"/>
              <w:ind w:left="120" w:firstLine="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“投标承诺”一列，供应商必须承诺“同意”； </w:t>
            </w:r>
          </w:p>
          <w:p>
            <w:pPr>
              <w:numPr>
                <w:ilvl w:val="0"/>
                <w:numId w:val="4"/>
              </w:numPr>
              <w:adjustRightInd/>
              <w:snapToGrid w:val="0"/>
              <w:ind w:left="120" w:firstLine="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供应商在响应招标文件中规定的实质性要求和条件的基础上，可做出其他有利于</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人的承诺。3、上述扣款中发生履约担保支付限额不足时，发包人有权向承包人追偿或在进度款中扣除不足部分金额。</w:t>
            </w:r>
          </w:p>
        </w:tc>
      </w:tr>
    </w:tbl>
    <w:p>
      <w:pPr>
        <w:adjustRightInd/>
        <w:spacing w:line="360" w:lineRule="auto"/>
        <w:jc w:val="center"/>
        <w:rPr>
          <w:rFonts w:hint="eastAsia" w:ascii="宋体" w:hAnsi="宋体" w:eastAsia="宋体" w:cs="宋体"/>
          <w:color w:val="auto"/>
          <w:sz w:val="24"/>
          <w:szCs w:val="20"/>
          <w:highlight w:val="none"/>
          <w:lang w:bidi="ar"/>
        </w:rPr>
      </w:pPr>
    </w:p>
    <w:p>
      <w:pPr>
        <w:adjustRightInd/>
        <w:spacing w:line="360" w:lineRule="auto"/>
        <w:jc w:val="center"/>
        <w:rPr>
          <w:rFonts w:hint="eastAsia" w:ascii="宋体" w:hAnsi="宋体" w:eastAsia="宋体" w:cs="宋体"/>
          <w:color w:val="auto"/>
          <w:sz w:val="24"/>
          <w:szCs w:val="20"/>
          <w:highlight w:val="none"/>
          <w:lang w:bidi="ar"/>
        </w:rPr>
      </w:pPr>
    </w:p>
    <w:p>
      <w:pPr>
        <w:adjustRightInd/>
        <w:spacing w:line="360" w:lineRule="auto"/>
        <w:jc w:val="center"/>
        <w:rPr>
          <w:rFonts w:hint="eastAsia" w:ascii="宋体" w:hAnsi="宋体" w:eastAsia="宋体" w:cs="宋体"/>
          <w:color w:val="auto"/>
          <w:sz w:val="24"/>
          <w:szCs w:val="20"/>
          <w:highlight w:val="none"/>
          <w:lang w:bidi="ar"/>
        </w:rPr>
      </w:pPr>
    </w:p>
    <w:p>
      <w:pPr>
        <w:adjustRightInd/>
        <w:spacing w:line="360" w:lineRule="auto"/>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lang w:bidi="ar"/>
        </w:rPr>
        <w:t>供应商名称（电子签名）：</w:t>
      </w:r>
    </w:p>
    <w:p>
      <w:pPr>
        <w:pStyle w:val="518"/>
        <w:rPr>
          <w:rFonts w:hint="eastAsia"/>
          <w:color w:val="auto"/>
          <w:highlight w:val="none"/>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color w:val="auto"/>
          <w:sz w:val="24"/>
          <w:szCs w:val="20"/>
          <w:highlight w:val="none"/>
          <w:lang w:bidi="ar"/>
        </w:rPr>
        <w:t xml:space="preserve">             </w:t>
      </w:r>
      <w:r>
        <w:rPr>
          <w:rFonts w:hint="eastAsia" w:ascii="宋体" w:hAnsi="宋体" w:eastAsia="宋体" w:cs="宋体"/>
          <w:color w:val="auto"/>
          <w:sz w:val="24"/>
          <w:szCs w:val="20"/>
          <w:highlight w:val="none"/>
          <w:lang w:val="en-US" w:eastAsia="zh-CN" w:bidi="ar"/>
        </w:rPr>
        <w:t xml:space="preserve">           </w:t>
      </w:r>
      <w:r>
        <w:rPr>
          <w:rFonts w:hint="eastAsia" w:ascii="宋体" w:hAnsi="宋体" w:eastAsia="宋体" w:cs="宋体"/>
          <w:color w:val="auto"/>
          <w:sz w:val="24"/>
          <w:szCs w:val="20"/>
          <w:highlight w:val="none"/>
          <w:lang w:bidi="ar"/>
        </w:rPr>
        <w:t>日期：   年     月    日</w:t>
      </w:r>
    </w:p>
    <w:p>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rPr>
      </w:pPr>
    </w:p>
    <w:p>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7"/>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snapToGrid w:val="0"/>
        <w:spacing w:line="360" w:lineRule="auto"/>
        <w:ind w:right="480"/>
        <w:rPr>
          <w:rFonts w:hint="eastAsia" w:ascii="宋体" w:hAnsi="宋体" w:eastAsia="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w:t>
      </w:r>
    </w:p>
    <w:p>
      <w:pPr>
        <w:widowControl/>
        <w:spacing w:line="360" w:lineRule="auto"/>
        <w:ind w:firstLine="120" w:firstLineChars="50"/>
        <w:jc w:val="left"/>
        <w:rPr>
          <w:rFonts w:hint="eastAsia" w:ascii="宋体" w:hAnsi="宋体" w:eastAsia="宋体" w:cs="宋体"/>
          <w:color w:val="auto"/>
          <w:sz w:val="24"/>
          <w:highlight w:val="none"/>
        </w:rPr>
      </w:pPr>
      <w:bookmarkStart w:id="497"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lang w:eastAsia="zh-CN"/>
        </w:rPr>
        <w:t>）</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497"/>
    <w:p>
      <w:pPr>
        <w:snapToGrid w:val="0"/>
        <w:spacing w:line="360" w:lineRule="auto"/>
        <w:rPr>
          <w:rFonts w:hint="eastAsia" w:ascii="宋体" w:hAnsi="宋体" w:eastAsia="宋体" w:cs="宋体"/>
          <w:color w:val="auto"/>
          <w:kern w:val="0"/>
          <w:sz w:val="24"/>
          <w:highlight w:val="none"/>
        </w:rPr>
      </w:pPr>
    </w:p>
    <w:p>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499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4991"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响应文件满足采购文件</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w:t>
            </w:r>
            <w:r>
              <w:rPr>
                <w:rFonts w:hint="eastAsia" w:ascii="宋体" w:hAnsi="宋体" w:cs="宋体"/>
                <w:color w:val="auto"/>
                <w:kern w:val="0"/>
                <w:sz w:val="24"/>
                <w:highlight w:val="none"/>
                <w:lang w:eastAsia="zh-CN"/>
              </w:rPr>
              <w:t>其他</w:t>
            </w:r>
            <w:r>
              <w:rPr>
                <w:rFonts w:hint="eastAsia" w:ascii="宋体" w:hAnsi="宋体" w:eastAsia="宋体" w:cs="宋体"/>
                <w:color w:val="auto"/>
                <w:kern w:val="0"/>
                <w:sz w:val="24"/>
                <w:highlight w:val="none"/>
              </w:rPr>
              <w:t>实质性要求相应的材料（“</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 系指实质性要求条款，采购文件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vAlign w:val="center"/>
          </w:tcPr>
          <w:p>
            <w:pPr>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jc w:val="center"/>
        <w:rPr>
          <w:rFonts w:hint="eastAsia" w:ascii="宋体" w:hAnsi="宋体" w:eastAsia="宋体" w:cs="宋体"/>
          <w:b/>
          <w:bCs/>
          <w:color w:val="auto"/>
          <w:sz w:val="32"/>
          <w:szCs w:val="32"/>
          <w:highlight w:val="none"/>
        </w:rPr>
      </w:pPr>
    </w:p>
    <w:p>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pPr>
        <w:jc w:val="center"/>
        <w:rPr>
          <w:rFonts w:hint="eastAsia" w:ascii="宋体" w:hAnsi="宋体" w:eastAsia="宋体" w:cs="宋体"/>
          <w:b/>
          <w:color w:val="auto"/>
          <w:kern w:val="0"/>
          <w:sz w:val="32"/>
          <w:szCs w:val="32"/>
          <w:highlight w:val="none"/>
        </w:rPr>
      </w:pPr>
    </w:p>
    <w:p>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pPr>
        <w:jc w:val="center"/>
        <w:rPr>
          <w:rFonts w:hint="eastAsia" w:ascii="宋体" w:hAnsi="宋体" w:eastAsia="宋体" w:cs="宋体"/>
          <w:b/>
          <w:color w:val="auto"/>
          <w:kern w:val="0"/>
          <w:sz w:val="32"/>
          <w:szCs w:val="32"/>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ind w:firstLine="1911" w:firstLineChars="595"/>
        <w:rPr>
          <w:rFonts w:hint="eastAsia" w:ascii="宋体" w:hAnsi="宋体" w:eastAsia="宋体" w:cs="宋体"/>
          <w:b/>
          <w:bCs/>
          <w:color w:val="auto"/>
          <w:sz w:val="32"/>
          <w:szCs w:val="32"/>
          <w:highlight w:val="none"/>
        </w:rPr>
        <w:sectPr>
          <w:footerReference r:id="rId11" w:type="first"/>
          <w:footerReference r:id="rId10" w:type="default"/>
          <w:pgSz w:w="11906" w:h="16838"/>
          <w:pgMar w:top="1440" w:right="1080" w:bottom="1440" w:left="1080" w:header="851" w:footer="992" w:gutter="0"/>
          <w:pgNumType w:fmt="decimal"/>
          <w:cols w:space="720" w:num="1"/>
          <w:titlePg/>
          <w:docGrid w:linePitch="312" w:charSpace="0"/>
        </w:sectPr>
      </w:pPr>
    </w:p>
    <w:p>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七</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sectPr>
          <w:pgSz w:w="11906" w:h="16838"/>
          <w:pgMar w:top="1440" w:right="1080" w:bottom="1440" w:left="1080" w:header="851" w:footer="992" w:gutter="0"/>
          <w:pgNumType w:fmt="decimal"/>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bookmarkStart w:id="498" w:name="_Toc26780"/>
      <w:r>
        <w:rPr>
          <w:rFonts w:hint="eastAsia" w:ascii="宋体" w:hAnsi="宋体" w:eastAsia="宋体" w:cs="宋体"/>
          <w:b/>
          <w:color w:val="auto"/>
          <w:kern w:val="0"/>
          <w:sz w:val="36"/>
          <w:szCs w:val="36"/>
          <w:highlight w:val="none"/>
        </w:rPr>
        <w:t>报价文件部分</w:t>
      </w:r>
      <w:bookmarkEnd w:id="498"/>
    </w:p>
    <w:p>
      <w:pPr>
        <w:spacing w:line="360" w:lineRule="auto"/>
        <w:jc w:val="center"/>
        <w:outlineLvl w:val="0"/>
        <w:rPr>
          <w:rFonts w:hint="eastAsia" w:ascii="宋体" w:hAnsi="宋体" w:eastAsia="宋体" w:cs="宋体"/>
          <w:b/>
          <w:color w:val="auto"/>
          <w:kern w:val="0"/>
          <w:sz w:val="36"/>
          <w:szCs w:val="36"/>
          <w:highlight w:val="none"/>
        </w:rPr>
      </w:pPr>
      <w:bookmarkStart w:id="499" w:name="_Toc28096"/>
      <w:r>
        <w:rPr>
          <w:rFonts w:hint="eastAsia" w:ascii="宋体" w:hAnsi="宋体" w:eastAsia="宋体" w:cs="宋体"/>
          <w:b/>
          <w:color w:val="auto"/>
          <w:kern w:val="0"/>
          <w:sz w:val="36"/>
          <w:szCs w:val="36"/>
          <w:highlight w:val="none"/>
        </w:rPr>
        <w:t>目录</w:t>
      </w:r>
      <w:bookmarkEnd w:id="499"/>
    </w:p>
    <w:p>
      <w:pPr>
        <w:spacing w:line="360" w:lineRule="auto"/>
        <w:jc w:val="center"/>
        <w:outlineLvl w:val="9"/>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（1）报价单…………………………………………………………………………（页码）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（2）已标价工程量清单……………………………………………………………（页码）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footerReference r:id="rId14" w:type="first"/>
          <w:headerReference r:id="rId12" w:type="default"/>
          <w:footerReference r:id="rId13" w:type="default"/>
          <w:pgSz w:w="11906" w:h="16838"/>
          <w:pgMar w:top="1440" w:right="1080" w:bottom="1440" w:left="1080" w:header="851" w:footer="992" w:gutter="0"/>
          <w:pgNumType w:fmt="decimal"/>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lang w:eastAsia="zh-CN"/>
        </w:rPr>
      </w:pPr>
      <w:bookmarkStart w:id="500" w:name="_Toc24666"/>
      <w:r>
        <w:rPr>
          <w:rFonts w:hint="eastAsia" w:ascii="宋体" w:hAnsi="宋体" w:eastAsia="宋体" w:cs="宋体"/>
          <w:color w:val="auto"/>
          <w:kern w:val="2"/>
          <w:sz w:val="32"/>
          <w:szCs w:val="32"/>
          <w:highlight w:val="none"/>
        </w:rPr>
        <w:t>一、报价单</w:t>
      </w:r>
      <w:r>
        <w:rPr>
          <w:rFonts w:hint="eastAsia" w:ascii="宋体" w:hAnsi="宋体" w:eastAsia="宋体" w:cs="宋体"/>
          <w:color w:val="auto"/>
          <w:kern w:val="2"/>
          <w:sz w:val="32"/>
          <w:szCs w:val="32"/>
          <w:highlight w:val="none"/>
          <w:lang w:eastAsia="zh-CN"/>
        </w:rPr>
        <w:t>（</w:t>
      </w:r>
      <w:r>
        <w:rPr>
          <w:rFonts w:hint="eastAsia" w:ascii="宋体" w:hAnsi="宋体" w:eastAsia="宋体" w:cs="宋体"/>
          <w:color w:val="auto"/>
          <w:kern w:val="2"/>
          <w:sz w:val="32"/>
          <w:szCs w:val="32"/>
          <w:highlight w:val="none"/>
          <w:lang w:val="en-US" w:eastAsia="zh-CN"/>
        </w:rPr>
        <w:t>初次报价</w:t>
      </w:r>
      <w:r>
        <w:rPr>
          <w:rFonts w:hint="eastAsia" w:ascii="宋体" w:hAnsi="宋体" w:eastAsia="宋体" w:cs="宋体"/>
          <w:color w:val="auto"/>
          <w:kern w:val="2"/>
          <w:sz w:val="32"/>
          <w:szCs w:val="32"/>
          <w:highlight w:val="none"/>
          <w:lang w:eastAsia="zh-CN"/>
        </w:rPr>
        <w:t>）</w:t>
      </w:r>
      <w:bookmarkEnd w:id="500"/>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82"/>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单位均为人民币元</w:t>
      </w:r>
      <w:r>
        <w:rPr>
          <w:rFonts w:hint="eastAsia" w:ascii="宋体" w:hAnsi="宋体" w:cs="宋体"/>
          <w:b/>
          <w:color w:val="auto"/>
          <w:kern w:val="0"/>
          <w:sz w:val="24"/>
          <w:highlight w:val="none"/>
          <w:lang w:val="zh-CN"/>
        </w:rPr>
        <w:t>）</w:t>
      </w:r>
    </w:p>
    <w:tbl>
      <w:tblPr>
        <w:tblStyle w:val="63"/>
        <w:tblW w:w="9097" w:type="dxa"/>
        <w:jc w:val="center"/>
        <w:tblLayout w:type="fixed"/>
        <w:tblCellMar>
          <w:top w:w="0" w:type="dxa"/>
          <w:left w:w="108" w:type="dxa"/>
          <w:bottom w:w="0" w:type="dxa"/>
          <w:right w:w="108" w:type="dxa"/>
        </w:tblCellMar>
      </w:tblPr>
      <w:tblGrid>
        <w:gridCol w:w="1159"/>
        <w:gridCol w:w="2468"/>
        <w:gridCol w:w="1601"/>
        <w:gridCol w:w="1601"/>
        <w:gridCol w:w="2268"/>
      </w:tblGrid>
      <w:tr>
        <w:tblPrEx>
          <w:tblCellMar>
            <w:top w:w="0" w:type="dxa"/>
            <w:left w:w="108" w:type="dxa"/>
            <w:bottom w:w="0" w:type="dxa"/>
            <w:right w:w="108" w:type="dxa"/>
          </w:tblCellMar>
        </w:tblPrEx>
        <w:trPr>
          <w:trHeight w:val="567" w:hRule="exac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hAnsi="宋体" w:eastAsia="宋体" w:cs="宋体"/>
                <w:b/>
                <w:bCs/>
                <w:sz w:val="21"/>
              </w:rPr>
            </w:pPr>
            <w:r>
              <w:rPr>
                <w:rFonts w:hint="eastAsia" w:hAnsi="宋体" w:eastAsia="宋体" w:cs="宋体"/>
                <w:b/>
                <w:bCs/>
                <w:sz w:val="21"/>
              </w:rPr>
              <w:t>序号</w:t>
            </w:r>
          </w:p>
        </w:tc>
        <w:tc>
          <w:tcPr>
            <w:tcW w:w="246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hAnsi="宋体" w:eastAsia="宋体" w:cs="宋体"/>
                <w:b/>
                <w:bCs/>
                <w:sz w:val="21"/>
              </w:rPr>
            </w:pPr>
            <w:r>
              <w:rPr>
                <w:rFonts w:hint="eastAsia" w:hAnsi="宋体" w:eastAsia="宋体" w:cs="宋体"/>
                <w:b/>
                <w:bCs/>
                <w:sz w:val="21"/>
              </w:rPr>
              <w:t>响应内容</w:t>
            </w:r>
          </w:p>
        </w:tc>
        <w:tc>
          <w:tcPr>
            <w:tcW w:w="1601"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Ansi="宋体" w:eastAsia="宋体" w:cs="宋体"/>
                <w:b/>
                <w:bCs/>
                <w:sz w:val="21"/>
              </w:rPr>
            </w:pPr>
            <w:r>
              <w:rPr>
                <w:rFonts w:hint="eastAsia" w:hAnsi="宋体" w:eastAsia="宋体" w:cs="宋体"/>
                <w:b/>
                <w:bCs/>
                <w:sz w:val="21"/>
              </w:rPr>
              <w:t>投标总价</w:t>
            </w:r>
          </w:p>
        </w:tc>
        <w:tc>
          <w:tcPr>
            <w:tcW w:w="1601"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hAnsi="宋体" w:eastAsia="宋体" w:cs="宋体"/>
                <w:b/>
                <w:bCs/>
                <w:sz w:val="21"/>
                <w:lang w:val="en-US" w:eastAsia="zh-CN"/>
              </w:rPr>
            </w:pPr>
            <w:r>
              <w:rPr>
                <w:rFonts w:hint="eastAsia" w:hAnsi="宋体" w:eastAsia="宋体" w:cs="宋体"/>
                <w:b/>
                <w:bCs/>
                <w:sz w:val="21"/>
                <w:lang w:val="en-US" w:eastAsia="zh-CN"/>
              </w:rPr>
              <w:t>下浮率</w:t>
            </w:r>
          </w:p>
        </w:tc>
        <w:tc>
          <w:tcPr>
            <w:tcW w:w="2268" w:type="dxa"/>
            <w:tcBorders>
              <w:top w:val="single" w:color="auto" w:sz="4" w:space="0"/>
              <w:left w:val="nil"/>
              <w:bottom w:val="single" w:color="auto" w:sz="4" w:space="0"/>
              <w:right w:val="single" w:color="auto" w:sz="4" w:space="0"/>
            </w:tcBorders>
            <w:noWrap w:val="0"/>
            <w:vAlign w:val="center"/>
          </w:tcPr>
          <w:p>
            <w:pPr>
              <w:snapToGrid w:val="0"/>
              <w:spacing w:line="240" w:lineRule="auto"/>
              <w:jc w:val="center"/>
              <w:rPr>
                <w:rFonts w:hint="eastAsia" w:hAnsi="宋体" w:eastAsia="宋体" w:cs="宋体"/>
                <w:b/>
                <w:bCs/>
                <w:sz w:val="21"/>
                <w:lang w:eastAsia="zh-CN"/>
              </w:rPr>
            </w:pPr>
            <w:r>
              <w:rPr>
                <w:rFonts w:hint="eastAsia" w:hAnsi="宋体" w:eastAsia="宋体" w:cs="宋体"/>
                <w:b/>
                <w:bCs/>
                <w:sz w:val="21"/>
                <w:lang w:val="en-US" w:eastAsia="zh-CN"/>
              </w:rPr>
              <w:t>工期</w:t>
            </w:r>
          </w:p>
        </w:tc>
      </w:tr>
      <w:tr>
        <w:tblPrEx>
          <w:tblCellMar>
            <w:top w:w="0" w:type="dxa"/>
            <w:left w:w="108" w:type="dxa"/>
            <w:bottom w:w="0" w:type="dxa"/>
            <w:right w:w="108" w:type="dxa"/>
          </w:tblCellMar>
        </w:tblPrEx>
        <w:trPr>
          <w:cantSplit/>
          <w:trHeight w:val="567" w:hRule="exac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hAnsi="宋体" w:eastAsia="宋体" w:cs="宋体"/>
                <w:sz w:val="21"/>
              </w:rPr>
            </w:pPr>
            <w:r>
              <w:rPr>
                <w:rFonts w:hint="eastAsia" w:hAnsi="宋体" w:eastAsia="宋体" w:cs="宋体"/>
                <w:sz w:val="21"/>
              </w:rPr>
              <w:t>1</w:t>
            </w:r>
          </w:p>
        </w:tc>
        <w:tc>
          <w:tcPr>
            <w:tcW w:w="24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hAnsi="宋体" w:eastAsia="宋体" w:cs="宋体"/>
                <w:sz w:val="21"/>
                <w:lang w:eastAsia="zh-CN"/>
              </w:rPr>
            </w:pPr>
          </w:p>
        </w:tc>
        <w:tc>
          <w:tcPr>
            <w:tcW w:w="1601" w:type="dxa"/>
            <w:tcBorders>
              <w:top w:val="single" w:color="auto" w:sz="4" w:space="0"/>
              <w:left w:val="nil"/>
              <w:right w:val="single" w:color="auto" w:sz="4" w:space="0"/>
            </w:tcBorders>
            <w:noWrap w:val="0"/>
            <w:vAlign w:val="center"/>
          </w:tcPr>
          <w:p>
            <w:pPr>
              <w:snapToGrid w:val="0"/>
              <w:spacing w:before="50" w:after="50" w:line="240" w:lineRule="auto"/>
              <w:jc w:val="center"/>
              <w:rPr>
                <w:rFonts w:hint="eastAsia" w:hAnsi="宋体" w:eastAsia="宋体" w:cs="宋体"/>
                <w:sz w:val="21"/>
              </w:rPr>
            </w:pPr>
          </w:p>
        </w:tc>
        <w:tc>
          <w:tcPr>
            <w:tcW w:w="1601" w:type="dxa"/>
            <w:tcBorders>
              <w:top w:val="single" w:color="auto" w:sz="4" w:space="0"/>
              <w:left w:val="nil"/>
              <w:right w:val="single" w:color="auto" w:sz="4" w:space="0"/>
            </w:tcBorders>
            <w:noWrap w:val="0"/>
            <w:vAlign w:val="center"/>
          </w:tcPr>
          <w:p>
            <w:pPr>
              <w:snapToGrid w:val="0"/>
              <w:spacing w:before="50" w:after="50" w:line="240" w:lineRule="auto"/>
              <w:jc w:val="center"/>
              <w:rPr>
                <w:rFonts w:hint="eastAsia" w:hAnsi="宋体" w:eastAsia="宋体" w:cs="宋体"/>
                <w:sz w:val="21"/>
              </w:rPr>
            </w:pPr>
          </w:p>
        </w:tc>
        <w:tc>
          <w:tcPr>
            <w:tcW w:w="2268" w:type="dxa"/>
            <w:tcBorders>
              <w:top w:val="single" w:color="auto" w:sz="4" w:space="0"/>
              <w:left w:val="nil"/>
              <w:right w:val="single" w:color="auto" w:sz="4" w:space="0"/>
            </w:tcBorders>
            <w:noWrap w:val="0"/>
            <w:vAlign w:val="center"/>
          </w:tcPr>
          <w:p>
            <w:pPr>
              <w:snapToGrid w:val="0"/>
              <w:spacing w:before="50" w:after="50" w:line="240" w:lineRule="auto"/>
              <w:jc w:val="center"/>
              <w:rPr>
                <w:rFonts w:hint="eastAsia" w:hAnsi="宋体" w:eastAsia="宋体" w:cs="宋体"/>
                <w:sz w:val="21"/>
              </w:rPr>
            </w:pPr>
          </w:p>
        </w:tc>
      </w:tr>
      <w:tr>
        <w:tblPrEx>
          <w:tblCellMar>
            <w:top w:w="0" w:type="dxa"/>
            <w:left w:w="108" w:type="dxa"/>
            <w:bottom w:w="0" w:type="dxa"/>
            <w:right w:w="108" w:type="dxa"/>
          </w:tblCellMar>
        </w:tblPrEx>
        <w:trPr>
          <w:cantSplit/>
          <w:trHeight w:val="567" w:hRule="exact"/>
          <w:jc w:val="center"/>
        </w:trPr>
        <w:tc>
          <w:tcPr>
            <w:tcW w:w="362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hAnsi="宋体" w:eastAsia="宋体" w:cs="宋体"/>
                <w:sz w:val="21"/>
                <w:lang w:eastAsia="zh-CN"/>
              </w:rPr>
            </w:pPr>
            <w:r>
              <w:rPr>
                <w:rFonts w:hint="eastAsia" w:hAnsi="宋体" w:eastAsia="宋体" w:cs="宋体"/>
                <w:b/>
                <w:bCs/>
                <w:sz w:val="21"/>
              </w:rPr>
              <w:t>投标总价</w:t>
            </w:r>
            <w:r>
              <w:rPr>
                <w:rFonts w:hint="eastAsia" w:hAnsi="宋体" w:eastAsia="宋体" w:cs="宋体"/>
                <w:b/>
                <w:bCs/>
                <w:sz w:val="21"/>
                <w:lang w:eastAsia="zh-CN"/>
              </w:rPr>
              <w:t>（</w:t>
            </w:r>
            <w:r>
              <w:rPr>
                <w:rFonts w:hint="eastAsia" w:hAnsi="宋体" w:eastAsia="宋体" w:cs="宋体"/>
                <w:b/>
                <w:bCs/>
                <w:sz w:val="21"/>
                <w:lang w:val="en-US" w:eastAsia="zh-CN"/>
              </w:rPr>
              <w:t>大写</w:t>
            </w:r>
            <w:r>
              <w:rPr>
                <w:rFonts w:hint="eastAsia" w:hAnsi="宋体" w:eastAsia="宋体" w:cs="宋体"/>
                <w:b/>
                <w:bCs/>
                <w:sz w:val="21"/>
                <w:lang w:eastAsia="zh-CN"/>
              </w:rPr>
              <w:t>）</w:t>
            </w:r>
          </w:p>
        </w:tc>
        <w:tc>
          <w:tcPr>
            <w:tcW w:w="5470" w:type="dxa"/>
            <w:gridSpan w:val="3"/>
            <w:tcBorders>
              <w:top w:val="single" w:color="auto" w:sz="4" w:space="0"/>
              <w:left w:val="nil"/>
              <w:right w:val="single" w:color="auto" w:sz="4" w:space="0"/>
            </w:tcBorders>
            <w:noWrap w:val="0"/>
            <w:vAlign w:val="center"/>
          </w:tcPr>
          <w:p>
            <w:pPr>
              <w:snapToGrid w:val="0"/>
              <w:spacing w:before="50" w:after="50" w:line="240" w:lineRule="auto"/>
              <w:jc w:val="center"/>
              <w:rPr>
                <w:rFonts w:hint="eastAsia" w:hAnsi="宋体" w:eastAsia="宋体" w:cs="宋体"/>
                <w:sz w:val="21"/>
              </w:rPr>
            </w:pPr>
          </w:p>
        </w:tc>
      </w:tr>
      <w:tr>
        <w:tblPrEx>
          <w:tblCellMar>
            <w:top w:w="0" w:type="dxa"/>
            <w:left w:w="108" w:type="dxa"/>
            <w:bottom w:w="0" w:type="dxa"/>
            <w:right w:w="108" w:type="dxa"/>
          </w:tblCellMar>
        </w:tblPrEx>
        <w:trPr>
          <w:trHeight w:val="567" w:hRule="exac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240" w:lineRule="auto"/>
              <w:jc w:val="center"/>
              <w:rPr>
                <w:rFonts w:hint="eastAsia" w:hAnsi="宋体" w:eastAsia="宋体" w:cs="宋体"/>
                <w:sz w:val="21"/>
              </w:rPr>
            </w:pPr>
            <w:r>
              <w:rPr>
                <w:rFonts w:hint="eastAsia" w:hAnsi="宋体" w:eastAsia="宋体" w:cs="宋体"/>
                <w:sz w:val="21"/>
              </w:rPr>
              <w:t>报价备注</w:t>
            </w:r>
          </w:p>
        </w:tc>
        <w:tc>
          <w:tcPr>
            <w:tcW w:w="7938" w:type="dxa"/>
            <w:gridSpan w:val="4"/>
            <w:tcBorders>
              <w:top w:val="single" w:color="auto" w:sz="4" w:space="0"/>
              <w:left w:val="nil"/>
              <w:bottom w:val="single" w:color="auto" w:sz="4" w:space="0"/>
              <w:right w:val="single" w:color="auto" w:sz="4" w:space="0"/>
            </w:tcBorders>
            <w:noWrap w:val="0"/>
            <w:vAlign w:val="center"/>
          </w:tcPr>
          <w:p>
            <w:pPr>
              <w:snapToGrid w:val="0"/>
              <w:spacing w:before="50" w:after="50"/>
              <w:jc w:val="left"/>
              <w:rPr>
                <w:rFonts w:hint="eastAsia" w:hAnsi="宋体" w:eastAsia="宋体" w:cs="宋体"/>
                <w:sz w:val="21"/>
              </w:rPr>
            </w:pPr>
          </w:p>
        </w:tc>
      </w:tr>
    </w:tbl>
    <w:p>
      <w:pPr>
        <w:keepNext w:val="0"/>
        <w:keepLines w:val="0"/>
        <w:pageBreakBefore w:val="0"/>
        <w:widowControl w:val="0"/>
        <w:kinsoku/>
        <w:wordWrap/>
        <w:overflowPunct/>
        <w:topLinePunct w:val="0"/>
        <w:autoSpaceDE/>
        <w:autoSpaceDN/>
        <w:bidi w:val="0"/>
        <w:adjustRightInd w:val="0"/>
        <w:snapToGrid w:val="0"/>
        <w:spacing w:line="440" w:lineRule="exact"/>
        <w:ind w:left="480"/>
        <w:textAlignment w:val="auto"/>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1、报价一经涂改，应在涂改处加盖单位公章或者由法定代表人或授权委托人签名或盖章，否则其投标作无效标处理。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2、本项目投标报价需包含</w:t>
      </w:r>
      <w:r>
        <w:rPr>
          <w:rFonts w:hint="eastAsia" w:ascii="宋体" w:hAnsi="宋体" w:eastAsia="宋体" w:cs="宋体"/>
          <w:color w:val="auto"/>
          <w:kern w:val="0"/>
          <w:sz w:val="24"/>
          <w:highlight w:val="none"/>
          <w:lang w:val="zh-CN" w:eastAsia="zh-CN"/>
        </w:rPr>
        <w:t>宁海县公安局内部维修改造项目</w:t>
      </w:r>
      <w:r>
        <w:rPr>
          <w:rFonts w:hint="eastAsia" w:ascii="宋体" w:hAnsi="宋体" w:eastAsia="宋体" w:cs="宋体"/>
          <w:color w:val="auto"/>
          <w:kern w:val="0"/>
          <w:sz w:val="24"/>
          <w:highlight w:val="none"/>
          <w:lang w:val="zh-CN"/>
        </w:rPr>
        <w:t>所有采购内容的费用。详见工程量清单（招标控制价编制报告）及图纸。</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凡影响响应报价的所有相关费用应列入本次报价中。成交后，不得以不完全了解竞争性磋商采购文件、施工图纸、施工现场、周围环境、施工工序等情况为借口，而提出额外补偿或延长工期等的要求。如漏报，最终所发生的费用均由成交供应商承担，采购人一律不予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本项目工程暂估价（含暂定综合单价）</w:t>
      </w:r>
      <w:r>
        <w:rPr>
          <w:rFonts w:hint="eastAsia" w:ascii="宋体" w:hAnsi="宋体" w:eastAsia="宋体" w:cs="宋体"/>
          <w:color w:val="auto"/>
          <w:kern w:val="0"/>
          <w:sz w:val="24"/>
          <w:highlight w:val="none"/>
          <w:u w:val="single"/>
          <w:lang w:val="zh-CN"/>
        </w:rPr>
        <w:t>0</w:t>
      </w:r>
      <w:r>
        <w:rPr>
          <w:rFonts w:hint="eastAsia" w:ascii="宋体" w:hAnsi="宋体" w:eastAsia="宋体" w:cs="宋体"/>
          <w:color w:val="auto"/>
          <w:kern w:val="0"/>
          <w:sz w:val="24"/>
          <w:highlight w:val="none"/>
          <w:lang w:val="zh-CN"/>
        </w:rPr>
        <w:t xml:space="preserve"> 元（</w:t>
      </w:r>
      <w:r>
        <w:rPr>
          <w:rFonts w:hint="eastAsia" w:ascii="宋体" w:hAnsi="宋体" w:cs="宋体"/>
          <w:color w:val="auto"/>
          <w:kern w:val="0"/>
          <w:sz w:val="24"/>
          <w:highlight w:val="none"/>
          <w:lang w:val="en-US" w:eastAsia="zh-CN"/>
        </w:rPr>
        <w:t>不</w:t>
      </w:r>
      <w:r>
        <w:rPr>
          <w:rFonts w:hint="eastAsia" w:ascii="宋体" w:hAnsi="宋体" w:eastAsia="宋体" w:cs="宋体"/>
          <w:color w:val="auto"/>
          <w:kern w:val="0"/>
          <w:sz w:val="24"/>
          <w:highlight w:val="none"/>
          <w:lang w:val="zh-CN"/>
        </w:rPr>
        <w:t>含税价）、暂列金额</w:t>
      </w:r>
      <w:r>
        <w:rPr>
          <w:rFonts w:hint="eastAsia" w:ascii="宋体" w:hAnsi="宋体" w:eastAsia="宋体" w:cs="宋体"/>
          <w:color w:val="auto"/>
          <w:kern w:val="0"/>
          <w:sz w:val="24"/>
          <w:highlight w:val="none"/>
          <w:u w:val="single"/>
          <w:lang w:val="zh-CN"/>
        </w:rPr>
        <w:t>0</w:t>
      </w:r>
      <w:r>
        <w:rPr>
          <w:rFonts w:hint="eastAsia" w:ascii="宋体" w:hAnsi="宋体" w:eastAsia="宋体" w:cs="宋体"/>
          <w:color w:val="auto"/>
          <w:kern w:val="0"/>
          <w:sz w:val="24"/>
          <w:highlight w:val="none"/>
          <w:lang w:val="zh-CN"/>
        </w:rPr>
        <w:t xml:space="preserve"> 元（</w:t>
      </w:r>
      <w:r>
        <w:rPr>
          <w:rFonts w:hint="eastAsia" w:ascii="宋体" w:hAnsi="宋体" w:cs="宋体"/>
          <w:color w:val="auto"/>
          <w:kern w:val="0"/>
          <w:sz w:val="24"/>
          <w:highlight w:val="none"/>
          <w:lang w:val="en-US" w:eastAsia="zh-CN"/>
        </w:rPr>
        <w:t>不</w:t>
      </w:r>
      <w:r>
        <w:rPr>
          <w:rFonts w:hint="eastAsia" w:ascii="宋体" w:hAnsi="宋体" w:eastAsia="宋体" w:cs="宋体"/>
          <w:color w:val="auto"/>
          <w:kern w:val="0"/>
          <w:sz w:val="24"/>
          <w:highlight w:val="none"/>
          <w:lang w:val="zh-CN"/>
        </w:rPr>
        <w:t>含税价）、安全文明施工费（</w:t>
      </w:r>
      <w:r>
        <w:rPr>
          <w:rFonts w:hint="eastAsia" w:ascii="宋体" w:hAnsi="宋体" w:cs="宋体"/>
          <w:color w:val="auto"/>
          <w:kern w:val="0"/>
          <w:sz w:val="24"/>
          <w:highlight w:val="none"/>
          <w:lang w:val="en-US" w:eastAsia="zh-CN"/>
        </w:rPr>
        <w:t>不</w:t>
      </w:r>
      <w:r>
        <w:rPr>
          <w:rFonts w:hint="eastAsia" w:ascii="宋体" w:hAnsi="宋体" w:eastAsia="宋体" w:cs="宋体"/>
          <w:color w:val="auto"/>
          <w:kern w:val="0"/>
          <w:sz w:val="24"/>
          <w:highlight w:val="none"/>
          <w:lang w:val="zh-CN"/>
        </w:rPr>
        <w:t>含税价）及其他不可竞争费（</w:t>
      </w:r>
      <w:r>
        <w:rPr>
          <w:rFonts w:hint="eastAsia" w:ascii="宋体" w:hAnsi="宋体" w:cs="宋体"/>
          <w:color w:val="auto"/>
          <w:kern w:val="0"/>
          <w:sz w:val="24"/>
          <w:highlight w:val="none"/>
          <w:lang w:val="en-US" w:eastAsia="zh-CN"/>
        </w:rPr>
        <w:t>不</w:t>
      </w:r>
      <w:r>
        <w:rPr>
          <w:rFonts w:hint="eastAsia" w:ascii="宋体" w:hAnsi="宋体" w:eastAsia="宋体" w:cs="宋体"/>
          <w:color w:val="auto"/>
          <w:kern w:val="0"/>
          <w:sz w:val="24"/>
          <w:highlight w:val="none"/>
          <w:lang w:val="zh-CN"/>
        </w:rPr>
        <w:t>含税价），供应商不得修改其数额，否则其响应无效。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本次报价形式：响应报价采用总报价形式，以元表示，保留整数。供应商的响应报价=（最高限价-工程暂估价（含暂定综合单价）、暂列金额、安全文明施工费及其他不可竞争费总和）×（1-下浮率）+工程暂估价（含暂定综合单价）、暂列金额、安全文明施工费及其他不可竞争费总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kern w:val="0"/>
          <w:sz w:val="24"/>
          <w:highlight w:val="none"/>
          <w:lang w:val="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2160" w:firstLineChars="9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法定代表人或授权代表签名：     </w:t>
      </w:r>
    </w:p>
    <w:p>
      <w:pPr>
        <w:keepNext w:val="0"/>
        <w:keepLines w:val="0"/>
        <w:pageBreakBefore w:val="0"/>
        <w:widowControl w:val="0"/>
        <w:kinsoku/>
        <w:wordWrap/>
        <w:overflowPunct/>
        <w:topLinePunct w:val="0"/>
        <w:autoSpaceDE/>
        <w:autoSpaceDN/>
        <w:bidi w:val="0"/>
        <w:adjustRightInd w:val="0"/>
        <w:snapToGrid w:val="0"/>
        <w:spacing w:line="440" w:lineRule="exact"/>
        <w:ind w:firstLine="2160" w:firstLineChars="9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供应商公章：                               </w:t>
      </w:r>
    </w:p>
    <w:p>
      <w:pPr>
        <w:keepNext w:val="0"/>
        <w:keepLines w:val="0"/>
        <w:pageBreakBefore w:val="0"/>
        <w:widowControl w:val="0"/>
        <w:kinsoku/>
        <w:wordWrap/>
        <w:overflowPunct/>
        <w:topLinePunct w:val="0"/>
        <w:autoSpaceDE/>
        <w:autoSpaceDN/>
        <w:bidi w:val="0"/>
        <w:adjustRightInd w:val="0"/>
        <w:snapToGrid w:val="0"/>
        <w:spacing w:line="440" w:lineRule="exact"/>
        <w:ind w:firstLine="2160" w:firstLineChars="900"/>
        <w:jc w:val="lef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年    月    日</w:t>
      </w:r>
    </w:p>
    <w:p>
      <w:pPr>
        <w:pStyle w:val="690"/>
        <w:keepNext w:val="0"/>
        <w:pageBreakBefore w:val="0"/>
        <w:tabs>
          <w:tab w:val="clear" w:pos="720"/>
        </w:tabs>
        <w:snapToGrid w:val="0"/>
        <w:spacing w:before="120" w:after="120"/>
        <w:outlineLvl w:val="9"/>
        <w:rPr>
          <w:rFonts w:hint="eastAsia" w:ascii="宋体" w:hAnsi="宋体" w:eastAsia="宋体" w:cs="宋体"/>
          <w:color w:val="auto"/>
          <w:kern w:val="2"/>
          <w:sz w:val="32"/>
          <w:szCs w:val="32"/>
          <w:highlight w:val="none"/>
        </w:rPr>
      </w:pPr>
      <w:bookmarkStart w:id="501" w:name="_Toc10094"/>
      <w:r>
        <w:rPr>
          <w:rFonts w:hint="eastAsia" w:ascii="宋体" w:hAnsi="宋体" w:eastAsia="宋体" w:cs="宋体"/>
          <w:color w:val="auto"/>
          <w:kern w:val="2"/>
          <w:sz w:val="32"/>
          <w:szCs w:val="32"/>
          <w:highlight w:val="none"/>
        </w:rPr>
        <w:t>二、已标价工程量清单</w:t>
      </w:r>
      <w:bookmarkEnd w:id="501"/>
    </w:p>
    <w:p>
      <w:pPr>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注：按采购文件工程量清单编制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另册</w:t>
      </w:r>
      <w:r>
        <w:rPr>
          <w:rFonts w:hint="eastAsia" w:ascii="宋体" w:hAnsi="宋体" w:eastAsia="宋体" w:cs="宋体"/>
          <w:color w:val="auto"/>
          <w:sz w:val="24"/>
          <w:highlight w:val="none"/>
          <w:lang w:eastAsia="zh-CN"/>
        </w:rPr>
        <w:t>）</w:t>
      </w:r>
    </w:p>
    <w:p>
      <w:pPr>
        <w:pStyle w:val="62"/>
        <w:ind w:firstLine="480"/>
        <w:rPr>
          <w:rFonts w:hint="eastAsia" w:ascii="宋体" w:hAnsi="宋体" w:eastAsia="宋体" w:cs="宋体"/>
          <w:color w:val="auto"/>
          <w:sz w:val="24"/>
          <w:highlight w:val="none"/>
        </w:rPr>
      </w:pPr>
    </w:p>
    <w:p>
      <w:pPr>
        <w:pStyle w:val="62"/>
        <w:ind w:firstLine="480"/>
        <w:rPr>
          <w:rFonts w:hint="eastAsia" w:ascii="宋体" w:hAnsi="宋体" w:eastAsia="宋体" w:cs="宋体"/>
          <w:color w:val="auto"/>
          <w:sz w:val="24"/>
          <w:highlight w:val="none"/>
        </w:rPr>
        <w:sectPr>
          <w:footerReference r:id="rId18" w:type="first"/>
          <w:headerReference r:id="rId15" w:type="default"/>
          <w:footerReference r:id="rId16" w:type="default"/>
          <w:footerReference r:id="rId17" w:type="even"/>
          <w:pgSz w:w="11906" w:h="16838"/>
          <w:pgMar w:top="1440" w:right="1080" w:bottom="1440" w:left="1080" w:header="851" w:footer="992" w:gutter="0"/>
          <w:pgNumType w:fmt="decimal"/>
          <w:cols w:space="720" w:num="1"/>
          <w:titlePg/>
          <w:docGrid w:linePitch="312" w:charSpace="0"/>
        </w:sect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1</w:t>
      </w:r>
      <w:r>
        <w:rPr>
          <w:rFonts w:hint="eastAsia" w:ascii="宋体" w:hAnsi="宋体" w:eastAsia="宋体" w:cs="宋体"/>
          <w:b/>
          <w:color w:val="auto"/>
          <w:spacing w:val="6"/>
          <w:sz w:val="32"/>
          <w:szCs w:val="32"/>
          <w:highlight w:val="none"/>
        </w:rPr>
        <w:t>：质疑函范本及制作说明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cs="宋体"/>
          <w:color w:val="auto"/>
          <w:kern w:val="0"/>
          <w:sz w:val="24"/>
          <w:highlight w:val="none"/>
          <w:u w:val="single"/>
          <w:lang w:val="zh-CN"/>
        </w:rPr>
        <w:t>（</w:t>
      </w:r>
      <w:r>
        <w:rPr>
          <w:rFonts w:hint="eastAsia" w:ascii="宋体" w:hAnsi="宋体" w:eastAsia="宋体" w:cs="宋体"/>
          <w:color w:val="auto"/>
          <w:sz w:val="24"/>
          <w:highlight w:val="none"/>
        </w:rPr>
        <w:t>供应商全称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keepNext w:val="0"/>
        <w:keepLines w:val="0"/>
        <w:pageBreakBefore w:val="0"/>
        <w:kinsoku/>
        <w:wordWrap/>
        <w:overflowPunct/>
        <w:topLinePunct w:val="0"/>
        <w:autoSpaceDE w:val="0"/>
        <w:autoSpaceDN w:val="0"/>
        <w:bidi w:val="0"/>
        <w:adjustRightInd w:val="0"/>
        <w:spacing w:line="312" w:lineRule="auto"/>
        <w:jc w:val="center"/>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pPr>
        <w:keepNext w:val="0"/>
        <w:keepLines w:val="0"/>
        <w:pageBreakBefore w:val="0"/>
        <w:widowControl/>
        <w:kinsoku/>
        <w:wordWrap/>
        <w:overflowPunct/>
        <w:topLinePunct w:val="0"/>
        <w:bidi w:val="0"/>
        <w:adjustRightInd w:val="0"/>
        <w:spacing w:line="312" w:lineRule="auto"/>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bookmarkStart w:id="502"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02"/>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bidi w:val="0"/>
        <w:adjustRightInd w:val="0"/>
        <w:snapToGrid w:val="0"/>
        <w:spacing w:line="312"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bidi w:val="0"/>
        <w:adjustRightInd w:val="0"/>
        <w:snapToGrid w:val="0"/>
        <w:spacing w:line="312" w:lineRule="auto"/>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keepNext w:val="0"/>
        <w:keepLines w:val="0"/>
        <w:pageBreakBefore w:val="0"/>
        <w:kinsoku/>
        <w:wordWrap/>
        <w:overflowPunct/>
        <w:topLinePunct w:val="0"/>
        <w:bidi w:val="0"/>
        <w:adjustRightInd w:val="0"/>
        <w:snapToGrid w:val="0"/>
        <w:spacing w:line="312" w:lineRule="auto"/>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keepNext w:val="0"/>
        <w:keepLines w:val="0"/>
        <w:pageBreakBefore w:val="0"/>
        <w:kinsoku/>
        <w:wordWrap/>
        <w:overflowPunct/>
        <w:topLinePunct w:val="0"/>
        <w:bidi w:val="0"/>
        <w:adjustRightInd w:val="0"/>
        <w:spacing w:line="312" w:lineRule="auto"/>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autoSpaceDE w:val="0"/>
        <w:autoSpaceDN w:val="0"/>
        <w:jc w:val="center"/>
        <w:rPr>
          <w:rFonts w:hint="eastAsia" w:ascii="宋体" w:hAnsi="宋体" w:eastAsia="宋体" w:cs="宋体"/>
          <w:b/>
          <w:color w:val="auto"/>
          <w:spacing w:val="6"/>
          <w:sz w:val="32"/>
          <w:szCs w:val="32"/>
          <w:highlight w:val="none"/>
        </w:rPr>
        <w:sectPr>
          <w:pgSz w:w="11906" w:h="16838"/>
          <w:pgMar w:top="1440" w:right="1080" w:bottom="1440" w:left="1080" w:header="851" w:footer="992" w:gutter="0"/>
          <w:pgNumType w:fmt="decimal"/>
          <w:cols w:space="720" w:num="1"/>
          <w:titlePg/>
          <w:docGrid w:linePitch="312" w:charSpace="0"/>
        </w:sectPr>
      </w:pP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4"/>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0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03"/>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供应商名称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 xml:space="preserve">                                日期：  年  月   日</w:t>
      </w: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Arial"/>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Century"/>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81</w:t>
                    </w:r>
                    <w:r>
                      <w:fldChar w:fldCharType="end"/>
                    </w:r>
                  </w:p>
                </w:txbxContent>
              </v:textbox>
            </v:shape>
          </w:pict>
        </mc:Fallback>
      </mc:AlternateConten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42</w:t>
                    </w:r>
                    <w: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41</w:t>
                    </w:r>
                    <w:r>
                      <w:fldChar w:fldCharType="end"/>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79</w:t>
                    </w:r>
                    <w:r>
                      <w:fldChar w:fldCharType="end"/>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1"/>
                    </w:pPr>
                    <w:r>
                      <w:fldChar w:fldCharType="begin"/>
                    </w:r>
                    <w:r>
                      <w:instrText xml:space="preserve"> PAGE  \* MERGEFORMAT </w:instrText>
                    </w:r>
                    <w:r>
                      <w:fldChar w:fldCharType="separate"/>
                    </w:r>
                    <w:r>
                      <w:t>1</w:t>
                    </w:r>
                    <w:r>
                      <w:fldChar w:fldCharType="end"/>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B7C36"/>
    <w:multiLevelType w:val="singleLevel"/>
    <w:tmpl w:val="93BB7C36"/>
    <w:lvl w:ilvl="0" w:tentative="0">
      <w:start w:val="1"/>
      <w:numFmt w:val="decimal"/>
      <w:suff w:val="nothing"/>
      <w:lvlText w:val="（%1）"/>
      <w:lvlJc w:val="left"/>
    </w:lvl>
  </w:abstractNum>
  <w:abstractNum w:abstractNumId="1">
    <w:nsid w:val="DC18356E"/>
    <w:multiLevelType w:val="singleLevel"/>
    <w:tmpl w:val="DC18356E"/>
    <w:lvl w:ilvl="0" w:tentative="0">
      <w:start w:val="1"/>
      <w:numFmt w:val="decimal"/>
      <w:suff w:val="nothing"/>
      <w:lvlText w:val="%1、"/>
      <w:lvlJc w:val="left"/>
      <w:pPr>
        <w:ind w:left="120" w:firstLine="0"/>
      </w:pPr>
      <w:rPr>
        <w:rFonts w:hint="default"/>
        <w:b/>
        <w:bCs/>
      </w:rPr>
    </w:lvl>
  </w:abstractNum>
  <w:abstractNum w:abstractNumId="2">
    <w:nsid w:val="00000001"/>
    <w:multiLevelType w:val="singleLevel"/>
    <w:tmpl w:val="00000001"/>
    <w:lvl w:ilvl="0" w:tentative="0">
      <w:start w:val="1"/>
      <w:numFmt w:val="decimal"/>
      <w:lvlText w:val="%1."/>
      <w:lvlJc w:val="left"/>
      <w:pPr>
        <w:tabs>
          <w:tab w:val="left" w:pos="360"/>
        </w:tabs>
        <w:ind w:left="360" w:hanging="360"/>
      </w:pPr>
    </w:lvl>
  </w:abstractNum>
  <w:abstractNum w:abstractNumId="3">
    <w:nsid w:val="2A90F06F"/>
    <w:multiLevelType w:val="singleLevel"/>
    <w:tmpl w:val="2A90F06F"/>
    <w:lvl w:ilvl="0" w:tentative="0">
      <w:start w:val="2"/>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ZTE4MjI1ZTVjZDA0MTU2NDFhYmZmNzIyYjE5MG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3C22"/>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01675"/>
    <w:rsid w:val="011B5A3A"/>
    <w:rsid w:val="011F6449"/>
    <w:rsid w:val="01236AFB"/>
    <w:rsid w:val="019F7441"/>
    <w:rsid w:val="01B37585"/>
    <w:rsid w:val="01C65DA5"/>
    <w:rsid w:val="01D55165"/>
    <w:rsid w:val="01DF6BF8"/>
    <w:rsid w:val="01EC2C57"/>
    <w:rsid w:val="022D189F"/>
    <w:rsid w:val="025F0711"/>
    <w:rsid w:val="026B2E25"/>
    <w:rsid w:val="02824D4D"/>
    <w:rsid w:val="02DC4B10"/>
    <w:rsid w:val="02DD76CE"/>
    <w:rsid w:val="02F36323"/>
    <w:rsid w:val="02F5619C"/>
    <w:rsid w:val="0326446A"/>
    <w:rsid w:val="032D5555"/>
    <w:rsid w:val="03597303"/>
    <w:rsid w:val="036634D2"/>
    <w:rsid w:val="03D1158F"/>
    <w:rsid w:val="03DB6631"/>
    <w:rsid w:val="03DD35E4"/>
    <w:rsid w:val="03F040A4"/>
    <w:rsid w:val="04076900"/>
    <w:rsid w:val="041A5A3B"/>
    <w:rsid w:val="042311BA"/>
    <w:rsid w:val="042B157A"/>
    <w:rsid w:val="048F763B"/>
    <w:rsid w:val="049F330E"/>
    <w:rsid w:val="04AA775C"/>
    <w:rsid w:val="04AF1889"/>
    <w:rsid w:val="04C64E6C"/>
    <w:rsid w:val="04F66F48"/>
    <w:rsid w:val="04FC088E"/>
    <w:rsid w:val="05251E14"/>
    <w:rsid w:val="05A16594"/>
    <w:rsid w:val="05A7762D"/>
    <w:rsid w:val="05F04A0F"/>
    <w:rsid w:val="060E5804"/>
    <w:rsid w:val="060E5941"/>
    <w:rsid w:val="06110FAF"/>
    <w:rsid w:val="061D22B0"/>
    <w:rsid w:val="061E21DC"/>
    <w:rsid w:val="06493CA7"/>
    <w:rsid w:val="065A6178"/>
    <w:rsid w:val="066F1CF3"/>
    <w:rsid w:val="06716FC0"/>
    <w:rsid w:val="06930BB8"/>
    <w:rsid w:val="06C30929"/>
    <w:rsid w:val="06E45A7E"/>
    <w:rsid w:val="071077EF"/>
    <w:rsid w:val="07245D42"/>
    <w:rsid w:val="07264C62"/>
    <w:rsid w:val="0736444D"/>
    <w:rsid w:val="0774295E"/>
    <w:rsid w:val="0779354C"/>
    <w:rsid w:val="07950B26"/>
    <w:rsid w:val="07A46B95"/>
    <w:rsid w:val="07B8379D"/>
    <w:rsid w:val="08061376"/>
    <w:rsid w:val="08122CAE"/>
    <w:rsid w:val="08452D77"/>
    <w:rsid w:val="086401F8"/>
    <w:rsid w:val="08661343"/>
    <w:rsid w:val="08751CAA"/>
    <w:rsid w:val="087E4C40"/>
    <w:rsid w:val="08923AEE"/>
    <w:rsid w:val="08A871D0"/>
    <w:rsid w:val="08B11389"/>
    <w:rsid w:val="08D079DD"/>
    <w:rsid w:val="08D66AD6"/>
    <w:rsid w:val="08DA33A3"/>
    <w:rsid w:val="08E60609"/>
    <w:rsid w:val="08E80F13"/>
    <w:rsid w:val="09175C96"/>
    <w:rsid w:val="09335624"/>
    <w:rsid w:val="0944690F"/>
    <w:rsid w:val="09535675"/>
    <w:rsid w:val="095F057D"/>
    <w:rsid w:val="09642282"/>
    <w:rsid w:val="09733572"/>
    <w:rsid w:val="09772C16"/>
    <w:rsid w:val="098353B5"/>
    <w:rsid w:val="09A92330"/>
    <w:rsid w:val="09B06B87"/>
    <w:rsid w:val="09C13146"/>
    <w:rsid w:val="09E04166"/>
    <w:rsid w:val="09FC4E8C"/>
    <w:rsid w:val="0A1C0718"/>
    <w:rsid w:val="0A3E7710"/>
    <w:rsid w:val="0A5B7E63"/>
    <w:rsid w:val="0A703465"/>
    <w:rsid w:val="0A73514E"/>
    <w:rsid w:val="0A797E2C"/>
    <w:rsid w:val="0AA374A5"/>
    <w:rsid w:val="0AAB7649"/>
    <w:rsid w:val="0ABC5606"/>
    <w:rsid w:val="0AE97A36"/>
    <w:rsid w:val="0AFA273F"/>
    <w:rsid w:val="0B30404E"/>
    <w:rsid w:val="0B4C6C14"/>
    <w:rsid w:val="0B547599"/>
    <w:rsid w:val="0B631A88"/>
    <w:rsid w:val="0B683D45"/>
    <w:rsid w:val="0B7F3F11"/>
    <w:rsid w:val="0B884417"/>
    <w:rsid w:val="0B941820"/>
    <w:rsid w:val="0BF6188C"/>
    <w:rsid w:val="0BF73C91"/>
    <w:rsid w:val="0C170175"/>
    <w:rsid w:val="0C2048DC"/>
    <w:rsid w:val="0C571A41"/>
    <w:rsid w:val="0C5C1171"/>
    <w:rsid w:val="0C5E1CBC"/>
    <w:rsid w:val="0C615B50"/>
    <w:rsid w:val="0C8445DA"/>
    <w:rsid w:val="0C87121B"/>
    <w:rsid w:val="0CC007F7"/>
    <w:rsid w:val="0CC617AC"/>
    <w:rsid w:val="0CE618DF"/>
    <w:rsid w:val="0CFE707A"/>
    <w:rsid w:val="0CFF716D"/>
    <w:rsid w:val="0D063BDA"/>
    <w:rsid w:val="0D08375F"/>
    <w:rsid w:val="0D184CFB"/>
    <w:rsid w:val="0D4A7419"/>
    <w:rsid w:val="0D827401"/>
    <w:rsid w:val="0D84094E"/>
    <w:rsid w:val="0D8A00E9"/>
    <w:rsid w:val="0D8D589E"/>
    <w:rsid w:val="0DA01C73"/>
    <w:rsid w:val="0DA846E1"/>
    <w:rsid w:val="0DD63300"/>
    <w:rsid w:val="0DEA73DB"/>
    <w:rsid w:val="0DF50604"/>
    <w:rsid w:val="0DF702FE"/>
    <w:rsid w:val="0E0013EF"/>
    <w:rsid w:val="0E060E51"/>
    <w:rsid w:val="0E3746E5"/>
    <w:rsid w:val="0E40791B"/>
    <w:rsid w:val="0E45462B"/>
    <w:rsid w:val="0E5604B2"/>
    <w:rsid w:val="0E6D5D79"/>
    <w:rsid w:val="0E8B67DF"/>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43EEE"/>
    <w:rsid w:val="105B7B98"/>
    <w:rsid w:val="105D0EB6"/>
    <w:rsid w:val="10646583"/>
    <w:rsid w:val="107D4B15"/>
    <w:rsid w:val="10831EE3"/>
    <w:rsid w:val="108A3C80"/>
    <w:rsid w:val="10B6014E"/>
    <w:rsid w:val="10C26171"/>
    <w:rsid w:val="10F33360"/>
    <w:rsid w:val="10FC16EA"/>
    <w:rsid w:val="110F1D40"/>
    <w:rsid w:val="11110304"/>
    <w:rsid w:val="11266F33"/>
    <w:rsid w:val="112F2150"/>
    <w:rsid w:val="118963A1"/>
    <w:rsid w:val="118B7221"/>
    <w:rsid w:val="11C6522A"/>
    <w:rsid w:val="11C94643"/>
    <w:rsid w:val="11E104CC"/>
    <w:rsid w:val="11E20309"/>
    <w:rsid w:val="121865DB"/>
    <w:rsid w:val="121F5200"/>
    <w:rsid w:val="12255233"/>
    <w:rsid w:val="124473D0"/>
    <w:rsid w:val="12530213"/>
    <w:rsid w:val="127723A9"/>
    <w:rsid w:val="12862074"/>
    <w:rsid w:val="12883966"/>
    <w:rsid w:val="129E45B4"/>
    <w:rsid w:val="12D81596"/>
    <w:rsid w:val="12DE2118"/>
    <w:rsid w:val="13072A44"/>
    <w:rsid w:val="134A0092"/>
    <w:rsid w:val="134B1FA7"/>
    <w:rsid w:val="135F4BE2"/>
    <w:rsid w:val="139B1A0A"/>
    <w:rsid w:val="139D25C7"/>
    <w:rsid w:val="13BF3CE4"/>
    <w:rsid w:val="141008D8"/>
    <w:rsid w:val="14125FE6"/>
    <w:rsid w:val="14691D36"/>
    <w:rsid w:val="146D271E"/>
    <w:rsid w:val="14982588"/>
    <w:rsid w:val="149A5AD9"/>
    <w:rsid w:val="149E38CE"/>
    <w:rsid w:val="14A7619D"/>
    <w:rsid w:val="14FC1C4C"/>
    <w:rsid w:val="15026B93"/>
    <w:rsid w:val="150536C3"/>
    <w:rsid w:val="150C1963"/>
    <w:rsid w:val="15134A3F"/>
    <w:rsid w:val="151447A0"/>
    <w:rsid w:val="152B4878"/>
    <w:rsid w:val="154A6454"/>
    <w:rsid w:val="15762120"/>
    <w:rsid w:val="15992D75"/>
    <w:rsid w:val="15E312F7"/>
    <w:rsid w:val="15E61562"/>
    <w:rsid w:val="15F725A6"/>
    <w:rsid w:val="16155F5D"/>
    <w:rsid w:val="16645DAC"/>
    <w:rsid w:val="16A8729C"/>
    <w:rsid w:val="16AE750E"/>
    <w:rsid w:val="16B33777"/>
    <w:rsid w:val="16BC70A7"/>
    <w:rsid w:val="16C6339E"/>
    <w:rsid w:val="170671B4"/>
    <w:rsid w:val="172577D0"/>
    <w:rsid w:val="172F2D79"/>
    <w:rsid w:val="174447C5"/>
    <w:rsid w:val="17557BEF"/>
    <w:rsid w:val="17686429"/>
    <w:rsid w:val="17920BDE"/>
    <w:rsid w:val="17C7174B"/>
    <w:rsid w:val="17D349C1"/>
    <w:rsid w:val="18096901"/>
    <w:rsid w:val="183028D1"/>
    <w:rsid w:val="1830729E"/>
    <w:rsid w:val="1853372E"/>
    <w:rsid w:val="185570FA"/>
    <w:rsid w:val="1870062C"/>
    <w:rsid w:val="18817102"/>
    <w:rsid w:val="18825214"/>
    <w:rsid w:val="18830A15"/>
    <w:rsid w:val="18852B28"/>
    <w:rsid w:val="188B5321"/>
    <w:rsid w:val="19232435"/>
    <w:rsid w:val="19932372"/>
    <w:rsid w:val="19A20DD5"/>
    <w:rsid w:val="19AE03F1"/>
    <w:rsid w:val="19F72F9A"/>
    <w:rsid w:val="19FB50F5"/>
    <w:rsid w:val="1A016261"/>
    <w:rsid w:val="1A0257DE"/>
    <w:rsid w:val="1A071A03"/>
    <w:rsid w:val="1A115971"/>
    <w:rsid w:val="1A152126"/>
    <w:rsid w:val="1A1F16AE"/>
    <w:rsid w:val="1A266BC7"/>
    <w:rsid w:val="1A3B5C77"/>
    <w:rsid w:val="1A725B49"/>
    <w:rsid w:val="1A7935F0"/>
    <w:rsid w:val="1A8213DE"/>
    <w:rsid w:val="1A984BAD"/>
    <w:rsid w:val="1AB8220E"/>
    <w:rsid w:val="1ACE017F"/>
    <w:rsid w:val="1AE4166C"/>
    <w:rsid w:val="1AF06CFB"/>
    <w:rsid w:val="1AF11B8D"/>
    <w:rsid w:val="1B11359C"/>
    <w:rsid w:val="1B2A271F"/>
    <w:rsid w:val="1B530544"/>
    <w:rsid w:val="1B713184"/>
    <w:rsid w:val="1B864A41"/>
    <w:rsid w:val="1BA209CF"/>
    <w:rsid w:val="1BB4777D"/>
    <w:rsid w:val="1BCA69C2"/>
    <w:rsid w:val="1BD75AB8"/>
    <w:rsid w:val="1C0459C2"/>
    <w:rsid w:val="1C1B3B4A"/>
    <w:rsid w:val="1C7725CD"/>
    <w:rsid w:val="1C88086E"/>
    <w:rsid w:val="1CBA50DE"/>
    <w:rsid w:val="1CE61A3F"/>
    <w:rsid w:val="1D266CE1"/>
    <w:rsid w:val="1D3963AF"/>
    <w:rsid w:val="1D3D0FE5"/>
    <w:rsid w:val="1D6A673C"/>
    <w:rsid w:val="1D9247AE"/>
    <w:rsid w:val="1DB567EC"/>
    <w:rsid w:val="1DF51A98"/>
    <w:rsid w:val="1E3D060F"/>
    <w:rsid w:val="1E3F7D2E"/>
    <w:rsid w:val="1E4134E4"/>
    <w:rsid w:val="1E44152B"/>
    <w:rsid w:val="1E5062B3"/>
    <w:rsid w:val="1E523514"/>
    <w:rsid w:val="1E714A66"/>
    <w:rsid w:val="1E802593"/>
    <w:rsid w:val="1E8B6156"/>
    <w:rsid w:val="1E9516DF"/>
    <w:rsid w:val="1EA703CC"/>
    <w:rsid w:val="1EB7330C"/>
    <w:rsid w:val="1F0A0FF3"/>
    <w:rsid w:val="1F5771FF"/>
    <w:rsid w:val="1F904124"/>
    <w:rsid w:val="1FE868A9"/>
    <w:rsid w:val="1FFC753C"/>
    <w:rsid w:val="20034907"/>
    <w:rsid w:val="20173E4B"/>
    <w:rsid w:val="204E48BC"/>
    <w:rsid w:val="208921B3"/>
    <w:rsid w:val="20973DEB"/>
    <w:rsid w:val="20B26522"/>
    <w:rsid w:val="20B44310"/>
    <w:rsid w:val="20EF2BFD"/>
    <w:rsid w:val="211116EB"/>
    <w:rsid w:val="216133FC"/>
    <w:rsid w:val="219F3832"/>
    <w:rsid w:val="21C0372C"/>
    <w:rsid w:val="21D56769"/>
    <w:rsid w:val="21E52EF3"/>
    <w:rsid w:val="21FB5D7B"/>
    <w:rsid w:val="22015E94"/>
    <w:rsid w:val="220B1C3D"/>
    <w:rsid w:val="221A20CD"/>
    <w:rsid w:val="221D1D20"/>
    <w:rsid w:val="22334A87"/>
    <w:rsid w:val="225C57E4"/>
    <w:rsid w:val="22BE6801"/>
    <w:rsid w:val="22E50C2D"/>
    <w:rsid w:val="233500BF"/>
    <w:rsid w:val="23377FF7"/>
    <w:rsid w:val="236B425F"/>
    <w:rsid w:val="236D3F2E"/>
    <w:rsid w:val="23836192"/>
    <w:rsid w:val="23901F29"/>
    <w:rsid w:val="239C0061"/>
    <w:rsid w:val="23B908A4"/>
    <w:rsid w:val="23CB7951"/>
    <w:rsid w:val="23DC215F"/>
    <w:rsid w:val="23E95BEF"/>
    <w:rsid w:val="23FD0064"/>
    <w:rsid w:val="240278B2"/>
    <w:rsid w:val="241B6B26"/>
    <w:rsid w:val="242F536E"/>
    <w:rsid w:val="24382957"/>
    <w:rsid w:val="245375B0"/>
    <w:rsid w:val="24642C0A"/>
    <w:rsid w:val="24B22173"/>
    <w:rsid w:val="24B95AD9"/>
    <w:rsid w:val="24BE24DA"/>
    <w:rsid w:val="24CF5825"/>
    <w:rsid w:val="24D663E6"/>
    <w:rsid w:val="24D77F2B"/>
    <w:rsid w:val="24E85B0E"/>
    <w:rsid w:val="24F40DAC"/>
    <w:rsid w:val="258B00E2"/>
    <w:rsid w:val="25A917A6"/>
    <w:rsid w:val="25BC4323"/>
    <w:rsid w:val="25BE27CC"/>
    <w:rsid w:val="25D500E3"/>
    <w:rsid w:val="25F74A5C"/>
    <w:rsid w:val="2628662C"/>
    <w:rsid w:val="262D45DE"/>
    <w:rsid w:val="262F0C06"/>
    <w:rsid w:val="26572F97"/>
    <w:rsid w:val="26871DC8"/>
    <w:rsid w:val="26A53EF9"/>
    <w:rsid w:val="26A94201"/>
    <w:rsid w:val="26AC274F"/>
    <w:rsid w:val="27044A29"/>
    <w:rsid w:val="271D34C8"/>
    <w:rsid w:val="272E28D6"/>
    <w:rsid w:val="276142BF"/>
    <w:rsid w:val="27783712"/>
    <w:rsid w:val="27907362"/>
    <w:rsid w:val="27CC55DE"/>
    <w:rsid w:val="28097111"/>
    <w:rsid w:val="28333E1D"/>
    <w:rsid w:val="28454BD6"/>
    <w:rsid w:val="28455253"/>
    <w:rsid w:val="28551971"/>
    <w:rsid w:val="285B1C53"/>
    <w:rsid w:val="289F7086"/>
    <w:rsid w:val="28C32028"/>
    <w:rsid w:val="28CC490F"/>
    <w:rsid w:val="28DE40AA"/>
    <w:rsid w:val="29260D41"/>
    <w:rsid w:val="29345E77"/>
    <w:rsid w:val="294C65AD"/>
    <w:rsid w:val="296B44E2"/>
    <w:rsid w:val="29806583"/>
    <w:rsid w:val="298B3C4C"/>
    <w:rsid w:val="29F26D24"/>
    <w:rsid w:val="2A15033F"/>
    <w:rsid w:val="2A1662C1"/>
    <w:rsid w:val="2A1C7367"/>
    <w:rsid w:val="2A2815FA"/>
    <w:rsid w:val="2A54310C"/>
    <w:rsid w:val="2A6D6092"/>
    <w:rsid w:val="2A7D76B4"/>
    <w:rsid w:val="2A953B0E"/>
    <w:rsid w:val="2B437463"/>
    <w:rsid w:val="2B7807EE"/>
    <w:rsid w:val="2B830B12"/>
    <w:rsid w:val="2BA50BF7"/>
    <w:rsid w:val="2BBF00EC"/>
    <w:rsid w:val="2BC37CFD"/>
    <w:rsid w:val="2BD5237F"/>
    <w:rsid w:val="2BE536CE"/>
    <w:rsid w:val="2BE758D9"/>
    <w:rsid w:val="2C09049E"/>
    <w:rsid w:val="2C0A653C"/>
    <w:rsid w:val="2C191F85"/>
    <w:rsid w:val="2CB5310F"/>
    <w:rsid w:val="2CD40174"/>
    <w:rsid w:val="2CE82D6F"/>
    <w:rsid w:val="2D1C3A00"/>
    <w:rsid w:val="2D343236"/>
    <w:rsid w:val="2D4F6EFD"/>
    <w:rsid w:val="2DD15014"/>
    <w:rsid w:val="2DE25FD6"/>
    <w:rsid w:val="2DF72DE4"/>
    <w:rsid w:val="2E0220AF"/>
    <w:rsid w:val="2E4B082A"/>
    <w:rsid w:val="2E5D4E86"/>
    <w:rsid w:val="2E5D790B"/>
    <w:rsid w:val="2E6D4BB5"/>
    <w:rsid w:val="2E9A3C18"/>
    <w:rsid w:val="2EBB0FEE"/>
    <w:rsid w:val="2EC63002"/>
    <w:rsid w:val="2F0A6B38"/>
    <w:rsid w:val="2F6F0207"/>
    <w:rsid w:val="2F752057"/>
    <w:rsid w:val="2F946CCB"/>
    <w:rsid w:val="2FA636EF"/>
    <w:rsid w:val="2FD25781"/>
    <w:rsid w:val="2FDC745C"/>
    <w:rsid w:val="2FEC7727"/>
    <w:rsid w:val="2FFD7934"/>
    <w:rsid w:val="30272F37"/>
    <w:rsid w:val="302E3742"/>
    <w:rsid w:val="30733ACD"/>
    <w:rsid w:val="308C3862"/>
    <w:rsid w:val="309379D8"/>
    <w:rsid w:val="30A270F7"/>
    <w:rsid w:val="30DF1478"/>
    <w:rsid w:val="30E90273"/>
    <w:rsid w:val="30EC586F"/>
    <w:rsid w:val="319C6071"/>
    <w:rsid w:val="31A11ECE"/>
    <w:rsid w:val="31AC537E"/>
    <w:rsid w:val="31B40EBB"/>
    <w:rsid w:val="31E3679B"/>
    <w:rsid w:val="31E732FD"/>
    <w:rsid w:val="32517576"/>
    <w:rsid w:val="32A30D11"/>
    <w:rsid w:val="32BE5C2C"/>
    <w:rsid w:val="32D63C1D"/>
    <w:rsid w:val="32F221BA"/>
    <w:rsid w:val="32F37D51"/>
    <w:rsid w:val="32FB6478"/>
    <w:rsid w:val="33024A12"/>
    <w:rsid w:val="332410BB"/>
    <w:rsid w:val="33263B3F"/>
    <w:rsid w:val="33613E2E"/>
    <w:rsid w:val="336963EB"/>
    <w:rsid w:val="33816EEB"/>
    <w:rsid w:val="33EB55CD"/>
    <w:rsid w:val="33EC4C02"/>
    <w:rsid w:val="34055C0B"/>
    <w:rsid w:val="340D2360"/>
    <w:rsid w:val="3410665D"/>
    <w:rsid w:val="34211214"/>
    <w:rsid w:val="342E63AB"/>
    <w:rsid w:val="34945B3E"/>
    <w:rsid w:val="34950E68"/>
    <w:rsid w:val="34986E94"/>
    <w:rsid w:val="34A51AF9"/>
    <w:rsid w:val="34AF62C9"/>
    <w:rsid w:val="34CB4388"/>
    <w:rsid w:val="34FA6E12"/>
    <w:rsid w:val="34FB01C9"/>
    <w:rsid w:val="354D7158"/>
    <w:rsid w:val="355F4106"/>
    <w:rsid w:val="358D5588"/>
    <w:rsid w:val="35E2289C"/>
    <w:rsid w:val="363A3B40"/>
    <w:rsid w:val="365302AE"/>
    <w:rsid w:val="36607A0A"/>
    <w:rsid w:val="366E227C"/>
    <w:rsid w:val="366F2E0D"/>
    <w:rsid w:val="367B6A5C"/>
    <w:rsid w:val="36A74ADA"/>
    <w:rsid w:val="36AD60D5"/>
    <w:rsid w:val="36B224F9"/>
    <w:rsid w:val="36B82E98"/>
    <w:rsid w:val="36EC0CC9"/>
    <w:rsid w:val="36F31241"/>
    <w:rsid w:val="373F410B"/>
    <w:rsid w:val="374B6987"/>
    <w:rsid w:val="37A34AE3"/>
    <w:rsid w:val="37EE7094"/>
    <w:rsid w:val="38296C89"/>
    <w:rsid w:val="382E27FA"/>
    <w:rsid w:val="383002EB"/>
    <w:rsid w:val="38586797"/>
    <w:rsid w:val="38BC0149"/>
    <w:rsid w:val="38BE49A0"/>
    <w:rsid w:val="38D87D1C"/>
    <w:rsid w:val="38DA1D7A"/>
    <w:rsid w:val="39636459"/>
    <w:rsid w:val="396B7F6C"/>
    <w:rsid w:val="39B417A9"/>
    <w:rsid w:val="39D349ED"/>
    <w:rsid w:val="39FC5695"/>
    <w:rsid w:val="3A006D8E"/>
    <w:rsid w:val="3A204F94"/>
    <w:rsid w:val="3A2C112E"/>
    <w:rsid w:val="3A3651E5"/>
    <w:rsid w:val="3A744481"/>
    <w:rsid w:val="3A8C7BEF"/>
    <w:rsid w:val="3A906246"/>
    <w:rsid w:val="3AC240CF"/>
    <w:rsid w:val="3B2349B7"/>
    <w:rsid w:val="3B3757BB"/>
    <w:rsid w:val="3B563B4D"/>
    <w:rsid w:val="3B616CFF"/>
    <w:rsid w:val="3B6259F6"/>
    <w:rsid w:val="3B867018"/>
    <w:rsid w:val="3B976654"/>
    <w:rsid w:val="3BC01EFC"/>
    <w:rsid w:val="3BCA786A"/>
    <w:rsid w:val="3BD31E2F"/>
    <w:rsid w:val="3BD57167"/>
    <w:rsid w:val="3BF15831"/>
    <w:rsid w:val="3C105946"/>
    <w:rsid w:val="3C16395B"/>
    <w:rsid w:val="3C3913C6"/>
    <w:rsid w:val="3C3A6FCB"/>
    <w:rsid w:val="3C471448"/>
    <w:rsid w:val="3C5F759A"/>
    <w:rsid w:val="3C6C525A"/>
    <w:rsid w:val="3C771FCD"/>
    <w:rsid w:val="3C8E7B71"/>
    <w:rsid w:val="3CB06008"/>
    <w:rsid w:val="3CCE23CB"/>
    <w:rsid w:val="3CD17D17"/>
    <w:rsid w:val="3D0B51B6"/>
    <w:rsid w:val="3D2F373D"/>
    <w:rsid w:val="3D3C7F39"/>
    <w:rsid w:val="3D440F09"/>
    <w:rsid w:val="3D4504A0"/>
    <w:rsid w:val="3D5C27B7"/>
    <w:rsid w:val="3D8734BB"/>
    <w:rsid w:val="3D9A11D4"/>
    <w:rsid w:val="3DA16D89"/>
    <w:rsid w:val="3DA364BE"/>
    <w:rsid w:val="3DDF36A1"/>
    <w:rsid w:val="3DE041CB"/>
    <w:rsid w:val="3E0D48F6"/>
    <w:rsid w:val="3E144EC4"/>
    <w:rsid w:val="3E1868B4"/>
    <w:rsid w:val="3E377251"/>
    <w:rsid w:val="3E42664B"/>
    <w:rsid w:val="3E5A7334"/>
    <w:rsid w:val="3E7B5D6B"/>
    <w:rsid w:val="3E843E66"/>
    <w:rsid w:val="3E8F51FE"/>
    <w:rsid w:val="3E926F87"/>
    <w:rsid w:val="3E9A59DE"/>
    <w:rsid w:val="3EAF4836"/>
    <w:rsid w:val="3EC33DFA"/>
    <w:rsid w:val="3EFC7B0D"/>
    <w:rsid w:val="3F060E16"/>
    <w:rsid w:val="3F1D1096"/>
    <w:rsid w:val="3F2F0234"/>
    <w:rsid w:val="3F6363FE"/>
    <w:rsid w:val="3F756B8F"/>
    <w:rsid w:val="3F95482B"/>
    <w:rsid w:val="3F9B1EFB"/>
    <w:rsid w:val="4019356B"/>
    <w:rsid w:val="40592157"/>
    <w:rsid w:val="406E1CAE"/>
    <w:rsid w:val="40A0133A"/>
    <w:rsid w:val="40C31A53"/>
    <w:rsid w:val="40D958F2"/>
    <w:rsid w:val="40FF545D"/>
    <w:rsid w:val="410067C8"/>
    <w:rsid w:val="41306BEE"/>
    <w:rsid w:val="41526553"/>
    <w:rsid w:val="416176D3"/>
    <w:rsid w:val="418F0D2A"/>
    <w:rsid w:val="41D01505"/>
    <w:rsid w:val="420C350B"/>
    <w:rsid w:val="422C0B41"/>
    <w:rsid w:val="42474939"/>
    <w:rsid w:val="424C3C57"/>
    <w:rsid w:val="42613FF3"/>
    <w:rsid w:val="42660D96"/>
    <w:rsid w:val="428667D2"/>
    <w:rsid w:val="42CD1CE0"/>
    <w:rsid w:val="42CD54E6"/>
    <w:rsid w:val="42D27F5D"/>
    <w:rsid w:val="42E1381E"/>
    <w:rsid w:val="42ED6459"/>
    <w:rsid w:val="42F777ED"/>
    <w:rsid w:val="42FE58DD"/>
    <w:rsid w:val="43174B3D"/>
    <w:rsid w:val="434B790E"/>
    <w:rsid w:val="4360274F"/>
    <w:rsid w:val="436D4129"/>
    <w:rsid w:val="43977AB6"/>
    <w:rsid w:val="43A3342B"/>
    <w:rsid w:val="43AF3A7B"/>
    <w:rsid w:val="43C77C27"/>
    <w:rsid w:val="43DE09EE"/>
    <w:rsid w:val="44002FAD"/>
    <w:rsid w:val="441C37AA"/>
    <w:rsid w:val="445F4B27"/>
    <w:rsid w:val="449101DD"/>
    <w:rsid w:val="44DE1391"/>
    <w:rsid w:val="451B225C"/>
    <w:rsid w:val="452410C9"/>
    <w:rsid w:val="45317DFB"/>
    <w:rsid w:val="456D3CE4"/>
    <w:rsid w:val="4579042C"/>
    <w:rsid w:val="457F0571"/>
    <w:rsid w:val="45851176"/>
    <w:rsid w:val="45C55BC2"/>
    <w:rsid w:val="45C63B94"/>
    <w:rsid w:val="45D7301B"/>
    <w:rsid w:val="460E7DA5"/>
    <w:rsid w:val="46422483"/>
    <w:rsid w:val="464622B6"/>
    <w:rsid w:val="4659254A"/>
    <w:rsid w:val="465B0637"/>
    <w:rsid w:val="465E3F0D"/>
    <w:rsid w:val="466A16E6"/>
    <w:rsid w:val="46893F2B"/>
    <w:rsid w:val="46A923A1"/>
    <w:rsid w:val="46C444E6"/>
    <w:rsid w:val="46C4686E"/>
    <w:rsid w:val="477B778F"/>
    <w:rsid w:val="478203EC"/>
    <w:rsid w:val="47893C6F"/>
    <w:rsid w:val="47B025FA"/>
    <w:rsid w:val="4809698F"/>
    <w:rsid w:val="4811697D"/>
    <w:rsid w:val="486D05A6"/>
    <w:rsid w:val="487A3E25"/>
    <w:rsid w:val="488915F0"/>
    <w:rsid w:val="488B5503"/>
    <w:rsid w:val="48937E21"/>
    <w:rsid w:val="489A0361"/>
    <w:rsid w:val="48A8102D"/>
    <w:rsid w:val="48AD6D29"/>
    <w:rsid w:val="48B94FF3"/>
    <w:rsid w:val="48E37AAB"/>
    <w:rsid w:val="48FD4B4C"/>
    <w:rsid w:val="490A68E0"/>
    <w:rsid w:val="491055FE"/>
    <w:rsid w:val="494A3653"/>
    <w:rsid w:val="495F5B3E"/>
    <w:rsid w:val="496F77D7"/>
    <w:rsid w:val="497654FD"/>
    <w:rsid w:val="497756A4"/>
    <w:rsid w:val="498738A0"/>
    <w:rsid w:val="49880ACB"/>
    <w:rsid w:val="49B0389E"/>
    <w:rsid w:val="49B64211"/>
    <w:rsid w:val="49D41AAC"/>
    <w:rsid w:val="49E0398C"/>
    <w:rsid w:val="49F6167F"/>
    <w:rsid w:val="4A064FA0"/>
    <w:rsid w:val="4A16615C"/>
    <w:rsid w:val="4A4424D7"/>
    <w:rsid w:val="4A6175BB"/>
    <w:rsid w:val="4AB658F4"/>
    <w:rsid w:val="4AB82D0F"/>
    <w:rsid w:val="4AEB7664"/>
    <w:rsid w:val="4AFD7C19"/>
    <w:rsid w:val="4B0567D1"/>
    <w:rsid w:val="4B0857B4"/>
    <w:rsid w:val="4B236AAE"/>
    <w:rsid w:val="4B2F799D"/>
    <w:rsid w:val="4B5C0D0B"/>
    <w:rsid w:val="4B5F155D"/>
    <w:rsid w:val="4B707271"/>
    <w:rsid w:val="4B8A12B8"/>
    <w:rsid w:val="4B9739F7"/>
    <w:rsid w:val="4BEE2503"/>
    <w:rsid w:val="4BF727EA"/>
    <w:rsid w:val="4C245A30"/>
    <w:rsid w:val="4C7327B1"/>
    <w:rsid w:val="4C9B5863"/>
    <w:rsid w:val="4CB6685F"/>
    <w:rsid w:val="4CB84667"/>
    <w:rsid w:val="4CC367FE"/>
    <w:rsid w:val="4D077F3C"/>
    <w:rsid w:val="4D123355"/>
    <w:rsid w:val="4D2408F7"/>
    <w:rsid w:val="4D2A3B31"/>
    <w:rsid w:val="4D312C52"/>
    <w:rsid w:val="4D905305"/>
    <w:rsid w:val="4D964A72"/>
    <w:rsid w:val="4D9C1254"/>
    <w:rsid w:val="4D9E5B15"/>
    <w:rsid w:val="4DF3347D"/>
    <w:rsid w:val="4E54216E"/>
    <w:rsid w:val="4E613784"/>
    <w:rsid w:val="4E6A7E03"/>
    <w:rsid w:val="4E733164"/>
    <w:rsid w:val="4E793892"/>
    <w:rsid w:val="4E7D5FD6"/>
    <w:rsid w:val="4E800872"/>
    <w:rsid w:val="4EC153CA"/>
    <w:rsid w:val="4EC569ED"/>
    <w:rsid w:val="4ED50EA1"/>
    <w:rsid w:val="4EEC050C"/>
    <w:rsid w:val="4F104EC3"/>
    <w:rsid w:val="4F47354A"/>
    <w:rsid w:val="4F7D37CA"/>
    <w:rsid w:val="4F911C54"/>
    <w:rsid w:val="4F9842DC"/>
    <w:rsid w:val="4FE625E0"/>
    <w:rsid w:val="4FF54C3A"/>
    <w:rsid w:val="5021480F"/>
    <w:rsid w:val="505C301C"/>
    <w:rsid w:val="50830AE8"/>
    <w:rsid w:val="50962ECB"/>
    <w:rsid w:val="50A42E38"/>
    <w:rsid w:val="50A4577F"/>
    <w:rsid w:val="50B13D8B"/>
    <w:rsid w:val="50B73D1F"/>
    <w:rsid w:val="50BD5BC9"/>
    <w:rsid w:val="50C11EEE"/>
    <w:rsid w:val="50CD206E"/>
    <w:rsid w:val="50E97CFC"/>
    <w:rsid w:val="50FA4028"/>
    <w:rsid w:val="510D65B7"/>
    <w:rsid w:val="511157AB"/>
    <w:rsid w:val="511A07F1"/>
    <w:rsid w:val="5142540C"/>
    <w:rsid w:val="514B556D"/>
    <w:rsid w:val="518832C8"/>
    <w:rsid w:val="519D3C50"/>
    <w:rsid w:val="51A0432A"/>
    <w:rsid w:val="51A86090"/>
    <w:rsid w:val="51B7396D"/>
    <w:rsid w:val="52076DD7"/>
    <w:rsid w:val="52142E51"/>
    <w:rsid w:val="522A1749"/>
    <w:rsid w:val="522E4CC3"/>
    <w:rsid w:val="5244713B"/>
    <w:rsid w:val="52615633"/>
    <w:rsid w:val="526F4DE4"/>
    <w:rsid w:val="52804889"/>
    <w:rsid w:val="52825CE0"/>
    <w:rsid w:val="52977FD4"/>
    <w:rsid w:val="52A25790"/>
    <w:rsid w:val="52A96B6F"/>
    <w:rsid w:val="52B45975"/>
    <w:rsid w:val="52D94AA4"/>
    <w:rsid w:val="52DB396B"/>
    <w:rsid w:val="52EA3A62"/>
    <w:rsid w:val="52F50BB8"/>
    <w:rsid w:val="53097272"/>
    <w:rsid w:val="534C1537"/>
    <w:rsid w:val="53544462"/>
    <w:rsid w:val="536D5E34"/>
    <w:rsid w:val="538426F2"/>
    <w:rsid w:val="538611BC"/>
    <w:rsid w:val="5397158E"/>
    <w:rsid w:val="53C120CA"/>
    <w:rsid w:val="53DC6F0D"/>
    <w:rsid w:val="53E325D5"/>
    <w:rsid w:val="54013861"/>
    <w:rsid w:val="543970F9"/>
    <w:rsid w:val="54487265"/>
    <w:rsid w:val="544D6070"/>
    <w:rsid w:val="545F5483"/>
    <w:rsid w:val="54605E1E"/>
    <w:rsid w:val="54B3506A"/>
    <w:rsid w:val="54CA0D16"/>
    <w:rsid w:val="54DD4057"/>
    <w:rsid w:val="54E7490F"/>
    <w:rsid w:val="550158B0"/>
    <w:rsid w:val="550764A4"/>
    <w:rsid w:val="550B2BF6"/>
    <w:rsid w:val="55214EB5"/>
    <w:rsid w:val="55364EFD"/>
    <w:rsid w:val="555D4828"/>
    <w:rsid w:val="557A4C8B"/>
    <w:rsid w:val="558931E1"/>
    <w:rsid w:val="55923347"/>
    <w:rsid w:val="55925180"/>
    <w:rsid w:val="55983B1B"/>
    <w:rsid w:val="55A8376B"/>
    <w:rsid w:val="55BB6F76"/>
    <w:rsid w:val="55C40E60"/>
    <w:rsid w:val="55C94D0E"/>
    <w:rsid w:val="55DC29B6"/>
    <w:rsid w:val="55DD4241"/>
    <w:rsid w:val="55F360AA"/>
    <w:rsid w:val="55F53B68"/>
    <w:rsid w:val="566B6D1E"/>
    <w:rsid w:val="56B01C6E"/>
    <w:rsid w:val="56D24578"/>
    <w:rsid w:val="56DD2A92"/>
    <w:rsid w:val="57032A2C"/>
    <w:rsid w:val="570F5219"/>
    <w:rsid w:val="57284198"/>
    <w:rsid w:val="572E78E5"/>
    <w:rsid w:val="57441E9D"/>
    <w:rsid w:val="575D12B5"/>
    <w:rsid w:val="57603931"/>
    <w:rsid w:val="57610A87"/>
    <w:rsid w:val="577B1140"/>
    <w:rsid w:val="577B7F21"/>
    <w:rsid w:val="577F181B"/>
    <w:rsid w:val="57921984"/>
    <w:rsid w:val="579737F0"/>
    <w:rsid w:val="57980616"/>
    <w:rsid w:val="57AB7B30"/>
    <w:rsid w:val="57AF5251"/>
    <w:rsid w:val="57B26373"/>
    <w:rsid w:val="57B63F04"/>
    <w:rsid w:val="57CD20C2"/>
    <w:rsid w:val="57D675AB"/>
    <w:rsid w:val="57D95FDD"/>
    <w:rsid w:val="57F53090"/>
    <w:rsid w:val="582D7C06"/>
    <w:rsid w:val="58917D2F"/>
    <w:rsid w:val="5894085C"/>
    <w:rsid w:val="58AE4A09"/>
    <w:rsid w:val="58AE4F0C"/>
    <w:rsid w:val="58B85899"/>
    <w:rsid w:val="58E363A9"/>
    <w:rsid w:val="591E264C"/>
    <w:rsid w:val="59297A6C"/>
    <w:rsid w:val="594A0E70"/>
    <w:rsid w:val="595E1678"/>
    <w:rsid w:val="596D5BD4"/>
    <w:rsid w:val="597E3DD8"/>
    <w:rsid w:val="59AB4618"/>
    <w:rsid w:val="59F80043"/>
    <w:rsid w:val="5A09252F"/>
    <w:rsid w:val="5A0B2778"/>
    <w:rsid w:val="5A2A7C7B"/>
    <w:rsid w:val="5A3E2560"/>
    <w:rsid w:val="5A5D3B6E"/>
    <w:rsid w:val="5A637A76"/>
    <w:rsid w:val="5A6D33BA"/>
    <w:rsid w:val="5A792B1F"/>
    <w:rsid w:val="5A874767"/>
    <w:rsid w:val="5A9F4737"/>
    <w:rsid w:val="5AA85BE2"/>
    <w:rsid w:val="5AAD6F28"/>
    <w:rsid w:val="5ABE2749"/>
    <w:rsid w:val="5AD63A24"/>
    <w:rsid w:val="5AE51A4D"/>
    <w:rsid w:val="5B2E1A1D"/>
    <w:rsid w:val="5B5C3E21"/>
    <w:rsid w:val="5B7F05AD"/>
    <w:rsid w:val="5B843A1C"/>
    <w:rsid w:val="5B873E3F"/>
    <w:rsid w:val="5C02690E"/>
    <w:rsid w:val="5C196DA7"/>
    <w:rsid w:val="5C2A048C"/>
    <w:rsid w:val="5C2C639A"/>
    <w:rsid w:val="5C4D2220"/>
    <w:rsid w:val="5C80234E"/>
    <w:rsid w:val="5C8A680C"/>
    <w:rsid w:val="5D0C4701"/>
    <w:rsid w:val="5D0F0395"/>
    <w:rsid w:val="5D221076"/>
    <w:rsid w:val="5D397964"/>
    <w:rsid w:val="5D5A391C"/>
    <w:rsid w:val="5D5F10C0"/>
    <w:rsid w:val="5D790E2F"/>
    <w:rsid w:val="5D891B7B"/>
    <w:rsid w:val="5DAD38EE"/>
    <w:rsid w:val="5DD52015"/>
    <w:rsid w:val="5DF179D9"/>
    <w:rsid w:val="5E006862"/>
    <w:rsid w:val="5E0207B9"/>
    <w:rsid w:val="5E1834A1"/>
    <w:rsid w:val="5E261785"/>
    <w:rsid w:val="5E4A7017"/>
    <w:rsid w:val="5E552BBA"/>
    <w:rsid w:val="5E611C10"/>
    <w:rsid w:val="5E7A0F3F"/>
    <w:rsid w:val="5E910E34"/>
    <w:rsid w:val="5EC84F8E"/>
    <w:rsid w:val="5EFC7377"/>
    <w:rsid w:val="5F06174D"/>
    <w:rsid w:val="5F3A3602"/>
    <w:rsid w:val="5F45733B"/>
    <w:rsid w:val="5F473629"/>
    <w:rsid w:val="5F6277C6"/>
    <w:rsid w:val="5F6D0B1D"/>
    <w:rsid w:val="5F75467A"/>
    <w:rsid w:val="5F8D0B82"/>
    <w:rsid w:val="5FB05FBE"/>
    <w:rsid w:val="5FCC5339"/>
    <w:rsid w:val="5FE34A5B"/>
    <w:rsid w:val="5FEB66AA"/>
    <w:rsid w:val="5FF42892"/>
    <w:rsid w:val="5FFE1E36"/>
    <w:rsid w:val="60232584"/>
    <w:rsid w:val="603F3936"/>
    <w:rsid w:val="607330CE"/>
    <w:rsid w:val="60825176"/>
    <w:rsid w:val="609F2AC4"/>
    <w:rsid w:val="60C80F39"/>
    <w:rsid w:val="60D27CDE"/>
    <w:rsid w:val="60FA2EE8"/>
    <w:rsid w:val="61054A27"/>
    <w:rsid w:val="610A52BC"/>
    <w:rsid w:val="610D059B"/>
    <w:rsid w:val="611D2366"/>
    <w:rsid w:val="61421856"/>
    <w:rsid w:val="615227C4"/>
    <w:rsid w:val="61654E3F"/>
    <w:rsid w:val="6182292A"/>
    <w:rsid w:val="619F7F92"/>
    <w:rsid w:val="61E22B7E"/>
    <w:rsid w:val="61F94C26"/>
    <w:rsid w:val="62000E56"/>
    <w:rsid w:val="624F3E49"/>
    <w:rsid w:val="62632286"/>
    <w:rsid w:val="626A673E"/>
    <w:rsid w:val="62885958"/>
    <w:rsid w:val="62F40B65"/>
    <w:rsid w:val="62FC2CFE"/>
    <w:rsid w:val="63024505"/>
    <w:rsid w:val="6346759F"/>
    <w:rsid w:val="635600A5"/>
    <w:rsid w:val="635B1DB5"/>
    <w:rsid w:val="63711FED"/>
    <w:rsid w:val="63841957"/>
    <w:rsid w:val="63880DDC"/>
    <w:rsid w:val="638D750D"/>
    <w:rsid w:val="63AC6CC0"/>
    <w:rsid w:val="63F23480"/>
    <w:rsid w:val="64055776"/>
    <w:rsid w:val="641F5B67"/>
    <w:rsid w:val="64240056"/>
    <w:rsid w:val="643E143A"/>
    <w:rsid w:val="64491666"/>
    <w:rsid w:val="648B6EEF"/>
    <w:rsid w:val="64C158BF"/>
    <w:rsid w:val="64CE2EAA"/>
    <w:rsid w:val="653C3090"/>
    <w:rsid w:val="653D11CC"/>
    <w:rsid w:val="65854376"/>
    <w:rsid w:val="658767BE"/>
    <w:rsid w:val="65892531"/>
    <w:rsid w:val="65CD4F6C"/>
    <w:rsid w:val="65D025CA"/>
    <w:rsid w:val="660760F9"/>
    <w:rsid w:val="660D3A72"/>
    <w:rsid w:val="66195831"/>
    <w:rsid w:val="662E75B1"/>
    <w:rsid w:val="66342C2E"/>
    <w:rsid w:val="663E784C"/>
    <w:rsid w:val="666351EC"/>
    <w:rsid w:val="668B6A45"/>
    <w:rsid w:val="67112C4A"/>
    <w:rsid w:val="672F3F24"/>
    <w:rsid w:val="673E055F"/>
    <w:rsid w:val="67551CE3"/>
    <w:rsid w:val="6773145F"/>
    <w:rsid w:val="679F1764"/>
    <w:rsid w:val="67A22552"/>
    <w:rsid w:val="67B22DCC"/>
    <w:rsid w:val="67BC5ABE"/>
    <w:rsid w:val="67BE71AA"/>
    <w:rsid w:val="67CF7323"/>
    <w:rsid w:val="67D90273"/>
    <w:rsid w:val="67DE5875"/>
    <w:rsid w:val="67E55852"/>
    <w:rsid w:val="67EB1AB4"/>
    <w:rsid w:val="67FA1285"/>
    <w:rsid w:val="68551F4F"/>
    <w:rsid w:val="685B1B3F"/>
    <w:rsid w:val="687C10C9"/>
    <w:rsid w:val="68840C16"/>
    <w:rsid w:val="68876EFB"/>
    <w:rsid w:val="68884654"/>
    <w:rsid w:val="68982A5A"/>
    <w:rsid w:val="689F444F"/>
    <w:rsid w:val="68B96DBB"/>
    <w:rsid w:val="68C3377A"/>
    <w:rsid w:val="68CA2805"/>
    <w:rsid w:val="68E937A3"/>
    <w:rsid w:val="68FB149A"/>
    <w:rsid w:val="691A5BA5"/>
    <w:rsid w:val="69220E84"/>
    <w:rsid w:val="6922138F"/>
    <w:rsid w:val="693D1D24"/>
    <w:rsid w:val="693E15D3"/>
    <w:rsid w:val="6947763D"/>
    <w:rsid w:val="69627681"/>
    <w:rsid w:val="6977531D"/>
    <w:rsid w:val="69CC2BFF"/>
    <w:rsid w:val="69FD55B8"/>
    <w:rsid w:val="6A0B1C62"/>
    <w:rsid w:val="6A2406C8"/>
    <w:rsid w:val="6A627569"/>
    <w:rsid w:val="6A7B50CC"/>
    <w:rsid w:val="6A9A1ADF"/>
    <w:rsid w:val="6A9E04CD"/>
    <w:rsid w:val="6A9E5F94"/>
    <w:rsid w:val="6ADE0BD1"/>
    <w:rsid w:val="6AE54422"/>
    <w:rsid w:val="6AE81378"/>
    <w:rsid w:val="6AE96859"/>
    <w:rsid w:val="6B0C237E"/>
    <w:rsid w:val="6B147746"/>
    <w:rsid w:val="6B24787C"/>
    <w:rsid w:val="6B562C14"/>
    <w:rsid w:val="6B573233"/>
    <w:rsid w:val="6B5B6274"/>
    <w:rsid w:val="6B935D53"/>
    <w:rsid w:val="6C1316F7"/>
    <w:rsid w:val="6C196F71"/>
    <w:rsid w:val="6C1F6EE3"/>
    <w:rsid w:val="6C226FCB"/>
    <w:rsid w:val="6C31226F"/>
    <w:rsid w:val="6C517EC7"/>
    <w:rsid w:val="6C552F0B"/>
    <w:rsid w:val="6C8C67B7"/>
    <w:rsid w:val="6C9003BD"/>
    <w:rsid w:val="6C9D744C"/>
    <w:rsid w:val="6CB227BC"/>
    <w:rsid w:val="6CD7002F"/>
    <w:rsid w:val="6CDE53E3"/>
    <w:rsid w:val="6D073C22"/>
    <w:rsid w:val="6D167928"/>
    <w:rsid w:val="6D26299B"/>
    <w:rsid w:val="6D3F175A"/>
    <w:rsid w:val="6D4772EC"/>
    <w:rsid w:val="6D9078AF"/>
    <w:rsid w:val="6DAA3FEF"/>
    <w:rsid w:val="6DC0172B"/>
    <w:rsid w:val="6DCB690C"/>
    <w:rsid w:val="6DD41A5B"/>
    <w:rsid w:val="6DF43C2E"/>
    <w:rsid w:val="6DF51CA3"/>
    <w:rsid w:val="6E48095A"/>
    <w:rsid w:val="6E8335BD"/>
    <w:rsid w:val="6E8E12EF"/>
    <w:rsid w:val="6E972936"/>
    <w:rsid w:val="6EA453E3"/>
    <w:rsid w:val="6EB64C6D"/>
    <w:rsid w:val="6ED446C5"/>
    <w:rsid w:val="6ED86C32"/>
    <w:rsid w:val="6F2A7D94"/>
    <w:rsid w:val="6F8331F1"/>
    <w:rsid w:val="6FAE1A09"/>
    <w:rsid w:val="6FD75BF8"/>
    <w:rsid w:val="6FE85BD6"/>
    <w:rsid w:val="707723D0"/>
    <w:rsid w:val="70953742"/>
    <w:rsid w:val="70F5661B"/>
    <w:rsid w:val="71360107"/>
    <w:rsid w:val="713B688E"/>
    <w:rsid w:val="7148279F"/>
    <w:rsid w:val="719153D9"/>
    <w:rsid w:val="71AD69F8"/>
    <w:rsid w:val="71D43752"/>
    <w:rsid w:val="71DE7E1D"/>
    <w:rsid w:val="71F1796A"/>
    <w:rsid w:val="71FB63D5"/>
    <w:rsid w:val="72154626"/>
    <w:rsid w:val="72262B5D"/>
    <w:rsid w:val="72283FF7"/>
    <w:rsid w:val="722E7212"/>
    <w:rsid w:val="72336685"/>
    <w:rsid w:val="723A0474"/>
    <w:rsid w:val="725923E4"/>
    <w:rsid w:val="72864BF7"/>
    <w:rsid w:val="729023FC"/>
    <w:rsid w:val="73B61051"/>
    <w:rsid w:val="73C0646E"/>
    <w:rsid w:val="742038F2"/>
    <w:rsid w:val="742222F5"/>
    <w:rsid w:val="74476126"/>
    <w:rsid w:val="74706664"/>
    <w:rsid w:val="747F3682"/>
    <w:rsid w:val="748C3B60"/>
    <w:rsid w:val="749C4185"/>
    <w:rsid w:val="74C517D1"/>
    <w:rsid w:val="75067759"/>
    <w:rsid w:val="752E6DCD"/>
    <w:rsid w:val="7551380D"/>
    <w:rsid w:val="755D394A"/>
    <w:rsid w:val="75600BE5"/>
    <w:rsid w:val="7564475C"/>
    <w:rsid w:val="7583797F"/>
    <w:rsid w:val="75D20F1D"/>
    <w:rsid w:val="75DA2C18"/>
    <w:rsid w:val="75F37776"/>
    <w:rsid w:val="75F54412"/>
    <w:rsid w:val="761D08E0"/>
    <w:rsid w:val="76353AE4"/>
    <w:rsid w:val="765D347C"/>
    <w:rsid w:val="76826699"/>
    <w:rsid w:val="7685558B"/>
    <w:rsid w:val="768D04E3"/>
    <w:rsid w:val="76AB2793"/>
    <w:rsid w:val="76C87133"/>
    <w:rsid w:val="76CD08D5"/>
    <w:rsid w:val="76DB4B92"/>
    <w:rsid w:val="76E44AD6"/>
    <w:rsid w:val="77052AA4"/>
    <w:rsid w:val="77136511"/>
    <w:rsid w:val="77340A39"/>
    <w:rsid w:val="77351FD0"/>
    <w:rsid w:val="77472422"/>
    <w:rsid w:val="777032C5"/>
    <w:rsid w:val="777F31F2"/>
    <w:rsid w:val="77822286"/>
    <w:rsid w:val="77CE4490"/>
    <w:rsid w:val="77D1700D"/>
    <w:rsid w:val="77E97202"/>
    <w:rsid w:val="77EC04CC"/>
    <w:rsid w:val="782A3D58"/>
    <w:rsid w:val="78526DDD"/>
    <w:rsid w:val="78775729"/>
    <w:rsid w:val="78972781"/>
    <w:rsid w:val="78A42DB0"/>
    <w:rsid w:val="78A61571"/>
    <w:rsid w:val="78A656AB"/>
    <w:rsid w:val="78B2245C"/>
    <w:rsid w:val="78DD498A"/>
    <w:rsid w:val="78E172CC"/>
    <w:rsid w:val="78EA1D1F"/>
    <w:rsid w:val="79036DC3"/>
    <w:rsid w:val="7904172F"/>
    <w:rsid w:val="790D5629"/>
    <w:rsid w:val="790F7E27"/>
    <w:rsid w:val="792A231A"/>
    <w:rsid w:val="79316829"/>
    <w:rsid w:val="797E66A9"/>
    <w:rsid w:val="798518A4"/>
    <w:rsid w:val="79A97383"/>
    <w:rsid w:val="79E27E8B"/>
    <w:rsid w:val="79F850CE"/>
    <w:rsid w:val="79FD443C"/>
    <w:rsid w:val="7A1D1975"/>
    <w:rsid w:val="7A3E5150"/>
    <w:rsid w:val="7A4670D6"/>
    <w:rsid w:val="7A534B63"/>
    <w:rsid w:val="7A5C1EB5"/>
    <w:rsid w:val="7A615382"/>
    <w:rsid w:val="7A67303B"/>
    <w:rsid w:val="7A9949D4"/>
    <w:rsid w:val="7AAB1D04"/>
    <w:rsid w:val="7AB46E34"/>
    <w:rsid w:val="7ABA4368"/>
    <w:rsid w:val="7AD05746"/>
    <w:rsid w:val="7AE03419"/>
    <w:rsid w:val="7B257FFD"/>
    <w:rsid w:val="7B343476"/>
    <w:rsid w:val="7B564EC8"/>
    <w:rsid w:val="7B5A2978"/>
    <w:rsid w:val="7B5A7E4C"/>
    <w:rsid w:val="7B667AF9"/>
    <w:rsid w:val="7B7468F8"/>
    <w:rsid w:val="7BB816DF"/>
    <w:rsid w:val="7BEC1C9F"/>
    <w:rsid w:val="7BEE0103"/>
    <w:rsid w:val="7C0A0FE4"/>
    <w:rsid w:val="7C2059A9"/>
    <w:rsid w:val="7C254906"/>
    <w:rsid w:val="7C590818"/>
    <w:rsid w:val="7C7C10F6"/>
    <w:rsid w:val="7C853BEA"/>
    <w:rsid w:val="7C881368"/>
    <w:rsid w:val="7CD564F7"/>
    <w:rsid w:val="7CE27788"/>
    <w:rsid w:val="7D0C32F1"/>
    <w:rsid w:val="7D0F408D"/>
    <w:rsid w:val="7D344D95"/>
    <w:rsid w:val="7D491C6C"/>
    <w:rsid w:val="7D5429C0"/>
    <w:rsid w:val="7D6D017E"/>
    <w:rsid w:val="7D6E6D43"/>
    <w:rsid w:val="7DB57A34"/>
    <w:rsid w:val="7DE60973"/>
    <w:rsid w:val="7DEF0916"/>
    <w:rsid w:val="7E1E5218"/>
    <w:rsid w:val="7E4436FD"/>
    <w:rsid w:val="7E6C679B"/>
    <w:rsid w:val="7E9A4E1F"/>
    <w:rsid w:val="7EA7723A"/>
    <w:rsid w:val="7ED36B9B"/>
    <w:rsid w:val="7EF56FBB"/>
    <w:rsid w:val="7F0768EB"/>
    <w:rsid w:val="7F143BEC"/>
    <w:rsid w:val="7F362021"/>
    <w:rsid w:val="7F52262B"/>
    <w:rsid w:val="7F715AF2"/>
    <w:rsid w:val="7F7B47F9"/>
    <w:rsid w:val="7F886E69"/>
    <w:rsid w:val="7FBC56E6"/>
    <w:rsid w:val="9FC78728"/>
    <w:rsid w:val="BB7FA927"/>
    <w:rsid w:val="EFF72F48"/>
    <w:rsid w:val="F5FFD31F"/>
    <w:rsid w:val="F7ED41B5"/>
    <w:rsid w:val="FDB5A1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ind w:firstLine="200" w:firstLineChars="200"/>
    </w:pPr>
    <w:rPr>
      <w:rFonts w:ascii="Arial" w:hAnsi="Arial"/>
      <w:spacing w:val="-5"/>
      <w:kern w:val="0"/>
      <w:sz w:val="24"/>
      <w:szCs w:val="20"/>
    </w:rPr>
  </w:style>
  <w:style w:type="paragraph" w:styleId="6">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19"/>
    <w:qFormat/>
    <w:uiPriority w:val="0"/>
    <w:pPr>
      <w:ind w:firstLine="420"/>
    </w:pPr>
    <w:rPr>
      <w:rFonts w:hAnsi="Calibri" w:cs="Times New Roman"/>
      <w:snapToGrid/>
      <w:szCs w:val="20"/>
    </w:rPr>
  </w:style>
  <w:style w:type="paragraph" w:styleId="26">
    <w:name w:val="Body Text Indent"/>
    <w:basedOn w:val="1"/>
    <w:next w:val="1"/>
    <w:link w:val="263"/>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qFormat/>
    <w:uiPriority w:val="0"/>
    <w:rPr>
      <w:b/>
      <w:bCs/>
    </w:rPr>
  </w:style>
  <w:style w:type="paragraph" w:styleId="62">
    <w:name w:val="Body Text First Indent 2"/>
    <w:basedOn w:val="26"/>
    <w:next w:val="1"/>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6"/>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6"/>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1"/>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0"/>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0"/>
    <w:qFormat/>
    <w:uiPriority w:val="99"/>
    <w:rPr>
      <w:kern w:val="2"/>
      <w:sz w:val="21"/>
      <w:szCs w:val="24"/>
    </w:rPr>
  </w:style>
  <w:style w:type="character" w:customStyle="1" w:styleId="343">
    <w:name w:val="签名 Char"/>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7"/>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8"/>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2">
    <w:name w:val="p16"/>
    <w:basedOn w:val="1"/>
    <w:qFormat/>
    <w:uiPriority w:val="0"/>
    <w:pPr>
      <w:widowControl/>
      <w:spacing w:before="100" w:after="100"/>
      <w:jc w:val="left"/>
    </w:pPr>
    <w:rPr>
      <w:rFonts w:ascii="宋体" w:hAnsi="宋体" w:cs="宋体"/>
      <w:color w:val="000000"/>
      <w:kern w:val="0"/>
      <w:sz w:val="24"/>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空2格  1."/>
    <w:basedOn w:val="1"/>
    <w:qFormat/>
    <w:uiPriority w:val="0"/>
    <w:pPr>
      <w:spacing w:line="360" w:lineRule="auto"/>
      <w:ind w:firstLine="480" w:firstLineChars="200"/>
      <w:textAlignment w:val="baseline"/>
    </w:pPr>
    <w:rPr>
      <w:rFonts w:cs="宋体"/>
      <w:kern w:val="0"/>
      <w:sz w:val="28"/>
      <w:szCs w:val="20"/>
    </w:rPr>
  </w:style>
  <w:style w:type="paragraph" w:customStyle="1" w:styleId="96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91</Pages>
  <Words>53716</Words>
  <Characters>56111</Characters>
  <Lines>405</Lines>
  <Paragraphs>114</Paragraphs>
  <TotalTime>91</TotalTime>
  <ScaleCrop>false</ScaleCrop>
  <LinksUpToDate>false</LinksUpToDate>
  <CharactersWithSpaces>63015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Administrator</cp:lastModifiedBy>
  <cp:lastPrinted>2025-07-04T06:24:00Z</cp:lastPrinted>
  <dcterms:modified xsi:type="dcterms:W3CDTF">2025-07-07T05:53:46Z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12F13086BE684DA0B454BF86ECB5A6FE_13</vt:lpwstr>
  </property>
  <property fmtid="{D5CDD505-2E9C-101B-9397-08002B2CF9AE}" pid="5" name="commondata">
    <vt:lpwstr>eyJoZGlkIjoiNGNlMmFkMDQ1NDY0ZmRiM2Q0NjY4NTFjN2IwMTllYjMifQ==</vt:lpwstr>
  </property>
  <property fmtid="{D5CDD505-2E9C-101B-9397-08002B2CF9AE}" pid="6" name="KSOTemplateDocerSaveRecord">
    <vt:lpwstr>eyJoZGlkIjoiNWIxNGZkZjkzOTIyNmE1MjI4NDc3OTliMjU4YmYwYzQiLCJ1c2VySWQiOiIyNjc3NzMxNzIifQ==</vt:lpwstr>
  </property>
</Properties>
</file>