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EDBC8">
      <w:pPr>
        <w:kinsoku/>
        <w:wordWrap/>
        <w:overflowPunct/>
        <w:topLinePunct w:val="0"/>
        <w:bidi w:val="0"/>
        <w:spacing w:line="360" w:lineRule="auto"/>
        <w:jc w:val="center"/>
        <w:outlineLvl w:val="9"/>
        <w:rPr>
          <w:rFonts w:ascii="宋体" w:hAnsi="宋体" w:cs="宋体"/>
          <w:b/>
          <w:color w:val="auto"/>
          <w:sz w:val="24"/>
          <w:highlight w:val="none"/>
        </w:rPr>
      </w:pPr>
    </w:p>
    <w:p w14:paraId="17633F73">
      <w:pPr>
        <w:kinsoku/>
        <w:wordWrap/>
        <w:overflowPunct/>
        <w:topLinePunct w:val="0"/>
        <w:bidi w:val="0"/>
        <w:adjustRightInd/>
        <w:spacing w:line="360" w:lineRule="auto"/>
        <w:jc w:val="center"/>
        <w:outlineLvl w:val="9"/>
        <w:rPr>
          <w:rFonts w:ascii="宋体" w:hAnsi="宋体" w:cs="宋体"/>
          <w:b/>
          <w:color w:val="auto"/>
          <w:sz w:val="48"/>
          <w:szCs w:val="48"/>
          <w:highlight w:val="none"/>
        </w:rPr>
      </w:pPr>
    </w:p>
    <w:p w14:paraId="5E2AB96F">
      <w:pPr>
        <w:kinsoku/>
        <w:wordWrap/>
        <w:overflowPunct/>
        <w:topLinePunct w:val="0"/>
        <w:bidi w:val="0"/>
        <w:outlineLvl w:val="9"/>
        <w:rPr>
          <w:color w:val="auto"/>
          <w:highlight w:val="none"/>
        </w:rPr>
      </w:pPr>
    </w:p>
    <w:p w14:paraId="1B2761A4">
      <w:pPr>
        <w:spacing w:after="120"/>
        <w:jc w:val="center"/>
        <w:rPr>
          <w:rFonts w:ascii="宋体"/>
          <w:b/>
          <w:bCs/>
          <w:color w:val="auto"/>
          <w:sz w:val="48"/>
          <w:szCs w:val="48"/>
          <w:highlight w:val="none"/>
        </w:rPr>
      </w:pPr>
      <w:r>
        <w:rPr>
          <w:rFonts w:hint="eastAsia" w:ascii="宋体" w:hAnsi="宋体" w:cs="宋体"/>
          <w:b/>
          <w:bCs/>
          <w:color w:val="auto"/>
          <w:sz w:val="48"/>
          <w:szCs w:val="48"/>
          <w:highlight w:val="none"/>
        </w:rPr>
        <w:t>政</w:t>
      </w:r>
      <w:r>
        <w:rPr>
          <w:rFonts w:ascii="宋体" w:hAnsi="宋体" w:cs="宋体"/>
          <w:b/>
          <w:bCs/>
          <w:color w:val="auto"/>
          <w:sz w:val="48"/>
          <w:szCs w:val="48"/>
          <w:highlight w:val="none"/>
        </w:rPr>
        <w:t xml:space="preserve"> </w:t>
      </w:r>
      <w:r>
        <w:rPr>
          <w:rFonts w:hint="eastAsia" w:ascii="宋体" w:hAnsi="宋体" w:cs="宋体"/>
          <w:b/>
          <w:bCs/>
          <w:color w:val="auto"/>
          <w:sz w:val="48"/>
          <w:szCs w:val="48"/>
          <w:highlight w:val="none"/>
        </w:rPr>
        <w:t>府</w:t>
      </w:r>
      <w:r>
        <w:rPr>
          <w:rFonts w:ascii="宋体" w:hAnsi="宋体" w:cs="宋体"/>
          <w:b/>
          <w:bCs/>
          <w:color w:val="auto"/>
          <w:sz w:val="48"/>
          <w:szCs w:val="48"/>
          <w:highlight w:val="none"/>
        </w:rPr>
        <w:t xml:space="preserve"> </w:t>
      </w:r>
      <w:r>
        <w:rPr>
          <w:rFonts w:hint="eastAsia" w:ascii="宋体" w:hAnsi="宋体" w:cs="宋体"/>
          <w:b/>
          <w:bCs/>
          <w:color w:val="auto"/>
          <w:sz w:val="48"/>
          <w:szCs w:val="48"/>
          <w:highlight w:val="none"/>
        </w:rPr>
        <w:t>采</w:t>
      </w:r>
      <w:r>
        <w:rPr>
          <w:rFonts w:ascii="宋体" w:hAnsi="宋体" w:cs="宋体"/>
          <w:b/>
          <w:bCs/>
          <w:color w:val="auto"/>
          <w:sz w:val="48"/>
          <w:szCs w:val="48"/>
          <w:highlight w:val="none"/>
        </w:rPr>
        <w:t xml:space="preserve"> </w:t>
      </w:r>
      <w:r>
        <w:rPr>
          <w:rFonts w:hint="eastAsia" w:ascii="宋体" w:hAnsi="宋体" w:cs="宋体"/>
          <w:b/>
          <w:bCs/>
          <w:color w:val="auto"/>
          <w:sz w:val="48"/>
          <w:szCs w:val="48"/>
          <w:highlight w:val="none"/>
        </w:rPr>
        <w:t>购</w:t>
      </w:r>
      <w:r>
        <w:rPr>
          <w:rFonts w:ascii="宋体" w:hAnsi="宋体" w:cs="宋体"/>
          <w:b/>
          <w:bCs/>
          <w:color w:val="auto"/>
          <w:sz w:val="48"/>
          <w:szCs w:val="48"/>
          <w:highlight w:val="none"/>
        </w:rPr>
        <w:t xml:space="preserve"> </w:t>
      </w:r>
      <w:r>
        <w:rPr>
          <w:rFonts w:hint="eastAsia" w:ascii="宋体" w:hAnsi="宋体" w:cs="宋体"/>
          <w:b/>
          <w:bCs/>
          <w:color w:val="auto"/>
          <w:sz w:val="48"/>
          <w:szCs w:val="48"/>
          <w:highlight w:val="none"/>
        </w:rPr>
        <w:t>项</w:t>
      </w:r>
      <w:r>
        <w:rPr>
          <w:rFonts w:ascii="宋体" w:hAnsi="宋体" w:cs="宋体"/>
          <w:b/>
          <w:bCs/>
          <w:color w:val="auto"/>
          <w:sz w:val="48"/>
          <w:szCs w:val="48"/>
          <w:highlight w:val="none"/>
        </w:rPr>
        <w:t xml:space="preserve"> </w:t>
      </w:r>
      <w:r>
        <w:rPr>
          <w:rFonts w:hint="eastAsia" w:ascii="宋体" w:hAnsi="宋体" w:cs="宋体"/>
          <w:b/>
          <w:bCs/>
          <w:color w:val="auto"/>
          <w:sz w:val="48"/>
          <w:szCs w:val="48"/>
          <w:highlight w:val="none"/>
        </w:rPr>
        <w:t>目</w:t>
      </w:r>
    </w:p>
    <w:p w14:paraId="1C7C86EC">
      <w:pPr>
        <w:kinsoku/>
        <w:wordWrap/>
        <w:overflowPunct/>
        <w:topLinePunct w:val="0"/>
        <w:bidi w:val="0"/>
        <w:adjustRightInd/>
        <w:spacing w:line="360" w:lineRule="auto"/>
        <w:jc w:val="center"/>
        <w:outlineLvl w:val="9"/>
        <w:rPr>
          <w:rFonts w:hint="eastAsia" w:ascii="宋体" w:hAnsi="宋体" w:cs="宋体"/>
          <w:b/>
          <w:color w:val="auto"/>
          <w:sz w:val="44"/>
          <w:szCs w:val="44"/>
          <w:highlight w:val="none"/>
        </w:rPr>
      </w:pPr>
      <w:r>
        <w:rPr>
          <w:rFonts w:hint="eastAsia" w:ascii="宋体" w:hAnsi="宋体" w:cs="宋体"/>
          <w:b/>
          <w:bCs/>
          <w:color w:val="auto"/>
          <w:sz w:val="72"/>
          <w:szCs w:val="72"/>
          <w:highlight w:val="none"/>
        </w:rPr>
        <w:t>竞争性磋商文件</w:t>
      </w:r>
      <w:r>
        <w:rPr>
          <w:rFonts w:hint="eastAsia" w:ascii="宋体" w:hAnsi="宋体" w:cs="宋体"/>
          <w:b/>
          <w:color w:val="auto"/>
          <w:sz w:val="44"/>
          <w:szCs w:val="44"/>
          <w:highlight w:val="none"/>
        </w:rPr>
        <w:t xml:space="preserve"> </w:t>
      </w:r>
    </w:p>
    <w:p w14:paraId="3AEBC366">
      <w:pPr>
        <w:kinsoku/>
        <w:wordWrap/>
        <w:overflowPunct/>
        <w:topLinePunct w:val="0"/>
        <w:bidi w:val="0"/>
        <w:adjustRightInd/>
        <w:spacing w:line="360" w:lineRule="auto"/>
        <w:jc w:val="center"/>
        <w:outlineLvl w:val="9"/>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5902D944">
      <w:pPr>
        <w:kinsoku/>
        <w:wordWrap/>
        <w:overflowPunct/>
        <w:topLinePunct w:val="0"/>
        <w:bidi w:val="0"/>
        <w:snapToGrid w:val="0"/>
        <w:spacing w:line="360" w:lineRule="auto"/>
        <w:jc w:val="left"/>
        <w:outlineLvl w:val="9"/>
        <w:rPr>
          <w:rFonts w:hint="eastAsia" w:ascii="宋体" w:hAnsi="宋体" w:cs="宋体"/>
          <w:color w:val="auto"/>
          <w:sz w:val="30"/>
          <w:szCs w:val="30"/>
          <w:highlight w:val="none"/>
        </w:rPr>
      </w:pPr>
    </w:p>
    <w:p w14:paraId="6E757EC2">
      <w:pPr>
        <w:kinsoku/>
        <w:wordWrap/>
        <w:overflowPunct/>
        <w:topLinePunct w:val="0"/>
        <w:bidi w:val="0"/>
        <w:snapToGrid w:val="0"/>
        <w:spacing w:line="360" w:lineRule="auto"/>
        <w:jc w:val="left"/>
        <w:outlineLvl w:val="9"/>
        <w:rPr>
          <w:rFonts w:hint="eastAsia" w:ascii="宋体" w:hAnsi="宋体" w:cs="宋体"/>
          <w:color w:val="auto"/>
          <w:sz w:val="30"/>
          <w:szCs w:val="30"/>
          <w:highlight w:val="none"/>
        </w:rPr>
      </w:pPr>
    </w:p>
    <w:p w14:paraId="22E0BC25">
      <w:pPr>
        <w:kinsoku/>
        <w:wordWrap/>
        <w:overflowPunct/>
        <w:topLinePunct w:val="0"/>
        <w:bidi w:val="0"/>
        <w:snapToGrid w:val="0"/>
        <w:spacing w:line="360" w:lineRule="auto"/>
        <w:jc w:val="left"/>
        <w:outlineLvl w:val="9"/>
        <w:rPr>
          <w:rFonts w:hint="eastAsia" w:ascii="宋体" w:hAnsi="宋体" w:cs="宋体"/>
          <w:color w:val="auto"/>
          <w:sz w:val="30"/>
          <w:szCs w:val="30"/>
          <w:highlight w:val="none"/>
        </w:rPr>
      </w:pPr>
    </w:p>
    <w:p w14:paraId="00ABC48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color w:val="auto"/>
          <w:sz w:val="36"/>
          <w:szCs w:val="36"/>
          <w:highlight w:val="none"/>
        </w:rPr>
      </w:pPr>
      <w:r>
        <w:rPr>
          <w:rFonts w:hint="eastAsia" w:ascii="宋体" w:hAnsi="宋体" w:cs="宋体"/>
          <w:color w:val="auto"/>
          <w:sz w:val="36"/>
          <w:szCs w:val="36"/>
          <w:highlight w:val="none"/>
        </w:rPr>
        <w:t>项目编号</w:t>
      </w:r>
      <w:r>
        <w:rPr>
          <w:rFonts w:hint="eastAsia" w:ascii="宋体" w:hAnsi="宋体" w:cs="宋体"/>
          <w:color w:val="auto"/>
          <w:sz w:val="36"/>
          <w:szCs w:val="36"/>
          <w:highlight w:val="none"/>
          <w:lang w:eastAsia="zh-CN"/>
        </w:rPr>
        <w:t>：NH-TS2025-050</w:t>
      </w:r>
      <w:r>
        <w:rPr>
          <w:rFonts w:hint="eastAsia" w:ascii="宋体" w:hAnsi="宋体" w:cs="宋体"/>
          <w:color w:val="auto"/>
          <w:sz w:val="36"/>
          <w:szCs w:val="36"/>
          <w:highlight w:val="none"/>
        </w:rPr>
        <w:t xml:space="preserve">  </w:t>
      </w:r>
    </w:p>
    <w:p w14:paraId="61563F26">
      <w:pPr>
        <w:kinsoku/>
        <w:wordWrap/>
        <w:overflowPunct/>
        <w:topLinePunct w:val="0"/>
        <w:bidi w:val="0"/>
        <w:snapToGrid w:val="0"/>
        <w:spacing w:line="360" w:lineRule="auto"/>
        <w:ind w:left="1500" w:hanging="1800" w:hangingChars="500"/>
        <w:jc w:val="left"/>
        <w:outlineLvl w:val="9"/>
        <w:rPr>
          <w:rFonts w:ascii="宋体" w:hAnsi="宋体" w:cs="宋体"/>
          <w:color w:val="auto"/>
          <w:sz w:val="36"/>
          <w:szCs w:val="36"/>
          <w:highlight w:val="none"/>
        </w:rPr>
      </w:pPr>
      <w:r>
        <w:rPr>
          <w:rFonts w:hint="eastAsia" w:ascii="宋体" w:hAnsi="宋体" w:cs="宋体"/>
          <w:color w:val="auto"/>
          <w:sz w:val="36"/>
          <w:szCs w:val="36"/>
          <w:highlight w:val="none"/>
        </w:rPr>
        <w:t>项目名称：</w:t>
      </w:r>
      <w:r>
        <w:rPr>
          <w:rFonts w:hint="eastAsia" w:ascii="宋体" w:hAnsi="宋体" w:cs="宋体"/>
          <w:color w:val="auto"/>
          <w:sz w:val="36"/>
          <w:szCs w:val="36"/>
          <w:highlight w:val="none"/>
          <w:lang w:eastAsia="zh-CN"/>
        </w:rPr>
        <w:t>宁海县桃源街道回浦小学教学楼中庭窗户等维修工程</w:t>
      </w:r>
    </w:p>
    <w:p w14:paraId="6B485783">
      <w:pPr>
        <w:kinsoku/>
        <w:wordWrap/>
        <w:overflowPunct/>
        <w:topLinePunct w:val="0"/>
        <w:bidi w:val="0"/>
        <w:adjustRightInd/>
        <w:spacing w:line="360" w:lineRule="auto"/>
        <w:outlineLvl w:val="9"/>
        <w:rPr>
          <w:rFonts w:ascii="宋体" w:hAnsi="宋体" w:cs="宋体"/>
          <w:color w:val="auto"/>
          <w:sz w:val="36"/>
          <w:szCs w:val="36"/>
          <w:highlight w:val="none"/>
        </w:rPr>
      </w:pPr>
    </w:p>
    <w:p w14:paraId="649E7C04">
      <w:pPr>
        <w:kinsoku/>
        <w:wordWrap/>
        <w:overflowPunct/>
        <w:topLinePunct w:val="0"/>
        <w:bidi w:val="0"/>
        <w:spacing w:line="360" w:lineRule="auto"/>
        <w:jc w:val="center"/>
        <w:outlineLvl w:val="9"/>
        <w:rPr>
          <w:rFonts w:hint="eastAsia" w:ascii="宋体" w:hAnsi="宋体" w:cs="宋体"/>
          <w:b/>
          <w:color w:val="auto"/>
          <w:sz w:val="36"/>
          <w:szCs w:val="36"/>
          <w:highlight w:val="none"/>
        </w:rPr>
      </w:pPr>
    </w:p>
    <w:p w14:paraId="70F075D4">
      <w:pPr>
        <w:kinsoku/>
        <w:wordWrap/>
        <w:overflowPunct/>
        <w:topLinePunct w:val="0"/>
        <w:bidi w:val="0"/>
        <w:spacing w:line="360" w:lineRule="auto"/>
        <w:jc w:val="center"/>
        <w:outlineLvl w:val="9"/>
        <w:rPr>
          <w:rFonts w:hint="eastAsia" w:ascii="宋体" w:hAnsi="宋体" w:cs="宋体"/>
          <w:b/>
          <w:color w:val="auto"/>
          <w:sz w:val="36"/>
          <w:szCs w:val="36"/>
          <w:highlight w:val="none"/>
        </w:rPr>
      </w:pPr>
    </w:p>
    <w:p w14:paraId="5DBB15D3">
      <w:pPr>
        <w:kinsoku/>
        <w:wordWrap/>
        <w:overflowPunct/>
        <w:topLinePunct w:val="0"/>
        <w:bidi w:val="0"/>
        <w:spacing w:line="360" w:lineRule="auto"/>
        <w:jc w:val="center"/>
        <w:outlineLvl w:val="9"/>
        <w:rPr>
          <w:rFonts w:hint="default" w:ascii="宋体" w:hAnsi="宋体" w:eastAsia="宋体" w:cs="宋体"/>
          <w:color w:val="auto"/>
          <w:sz w:val="36"/>
          <w:szCs w:val="36"/>
          <w:highlight w:val="none"/>
          <w:lang w:val="en-US" w:eastAsia="zh-CN"/>
        </w:rPr>
      </w:pPr>
      <w:r>
        <w:rPr>
          <w:rFonts w:hint="eastAsia" w:ascii="宋体" w:hAnsi="宋体" w:cs="宋体"/>
          <w:b/>
          <w:color w:val="auto"/>
          <w:sz w:val="36"/>
          <w:szCs w:val="36"/>
          <w:highlight w:val="none"/>
        </w:rPr>
        <w:t xml:space="preserve"> </w:t>
      </w:r>
      <w:r>
        <w:rPr>
          <w:rFonts w:hint="eastAsia" w:ascii="宋体" w:hAnsi="宋体" w:cs="宋体"/>
          <w:b/>
          <w:color w:val="auto"/>
          <w:sz w:val="36"/>
          <w:szCs w:val="36"/>
          <w:highlight w:val="none"/>
          <w:lang w:val="en-US" w:eastAsia="zh-CN"/>
        </w:rPr>
        <w:t xml:space="preserve">           </w:t>
      </w:r>
    </w:p>
    <w:p w14:paraId="5A7A5CDE">
      <w:pPr>
        <w:kinsoku/>
        <w:wordWrap/>
        <w:overflowPunct/>
        <w:topLinePunct w:val="0"/>
        <w:bidi w:val="0"/>
        <w:spacing w:line="360" w:lineRule="auto"/>
        <w:jc w:val="center"/>
        <w:outlineLvl w:val="9"/>
        <w:rPr>
          <w:rFonts w:hint="eastAsia" w:ascii="宋体" w:hAnsi="宋体" w:cs="宋体"/>
          <w:bCs/>
          <w:color w:val="auto"/>
          <w:sz w:val="36"/>
          <w:szCs w:val="36"/>
          <w:highlight w:val="none"/>
          <w:lang w:eastAsia="zh-CN"/>
        </w:rPr>
      </w:pPr>
      <w:r>
        <w:rPr>
          <w:rFonts w:hint="eastAsia" w:ascii="宋体" w:hAnsi="宋体" w:cs="宋体"/>
          <w:bCs/>
          <w:color w:val="auto"/>
          <w:sz w:val="36"/>
          <w:szCs w:val="36"/>
          <w:highlight w:val="none"/>
        </w:rPr>
        <w:t>采购人：</w:t>
      </w:r>
      <w:r>
        <w:rPr>
          <w:rFonts w:hint="eastAsia" w:ascii="宋体" w:hAnsi="宋体" w:cs="宋体"/>
          <w:bCs/>
          <w:color w:val="auto"/>
          <w:sz w:val="36"/>
          <w:szCs w:val="36"/>
          <w:highlight w:val="none"/>
          <w:lang w:eastAsia="zh-CN"/>
        </w:rPr>
        <w:t>宁海县桃源街道回浦小学</w:t>
      </w:r>
    </w:p>
    <w:p w14:paraId="1833C646">
      <w:pPr>
        <w:kinsoku/>
        <w:wordWrap/>
        <w:overflowPunct/>
        <w:topLinePunct w:val="0"/>
        <w:bidi w:val="0"/>
        <w:spacing w:line="360" w:lineRule="auto"/>
        <w:jc w:val="center"/>
        <w:outlineLvl w:val="9"/>
        <w:rPr>
          <w:rFonts w:ascii="宋体" w:hAnsi="宋体" w:cs="宋体"/>
          <w:bCs/>
          <w:color w:val="auto"/>
          <w:sz w:val="36"/>
          <w:szCs w:val="36"/>
          <w:highlight w:val="none"/>
        </w:rPr>
      </w:pPr>
      <w:r>
        <w:rPr>
          <w:rFonts w:hint="eastAsia" w:ascii="宋体" w:hAnsi="宋体" w:cs="宋体"/>
          <w:bCs/>
          <w:color w:val="auto"/>
          <w:sz w:val="36"/>
          <w:szCs w:val="36"/>
          <w:highlight w:val="none"/>
        </w:rPr>
        <w:t>采购代理机构：</w:t>
      </w:r>
      <w:r>
        <w:rPr>
          <w:rFonts w:hint="eastAsia" w:ascii="宋体" w:hAnsi="宋体" w:cs="宋体"/>
          <w:bCs/>
          <w:color w:val="auto"/>
          <w:sz w:val="36"/>
          <w:szCs w:val="36"/>
          <w:highlight w:val="none"/>
          <w:lang w:eastAsia="zh-CN"/>
        </w:rPr>
        <w:t>宁海童氏工程管理咨询有限公司</w:t>
      </w:r>
    </w:p>
    <w:p w14:paraId="3D582F1F">
      <w:pPr>
        <w:kinsoku/>
        <w:wordWrap/>
        <w:overflowPunct/>
        <w:topLinePunct w:val="0"/>
        <w:bidi w:val="0"/>
        <w:snapToGrid w:val="0"/>
        <w:spacing w:line="360" w:lineRule="auto"/>
        <w:jc w:val="center"/>
        <w:outlineLvl w:val="9"/>
        <w:rPr>
          <w:rFonts w:hint="eastAsia" w:ascii="宋体" w:hAnsi="宋体" w:cs="宋体"/>
          <w:bCs/>
          <w:color w:val="auto"/>
          <w:sz w:val="32"/>
          <w:szCs w:val="32"/>
          <w:highlight w:val="none"/>
        </w:rPr>
      </w:pPr>
    </w:p>
    <w:p w14:paraId="79B78F74">
      <w:pPr>
        <w:kinsoku/>
        <w:wordWrap/>
        <w:overflowPunct/>
        <w:topLinePunct w:val="0"/>
        <w:bidi w:val="0"/>
        <w:spacing w:line="360" w:lineRule="auto"/>
        <w:jc w:val="center"/>
        <w:outlineLvl w:val="9"/>
        <w:rPr>
          <w:rFonts w:hint="eastAsia" w:ascii="宋体" w:hAnsi="宋体" w:eastAsia="宋体" w:cs="宋体"/>
          <w:bCs/>
          <w:color w:val="auto"/>
          <w:sz w:val="36"/>
          <w:szCs w:val="36"/>
          <w:highlight w:val="none"/>
          <w:lang w:eastAsia="zh-CN"/>
        </w:rPr>
      </w:pPr>
      <w:r>
        <w:rPr>
          <w:rFonts w:hint="eastAsia" w:ascii="宋体" w:hAnsi="宋体" w:eastAsia="宋体" w:cs="宋体"/>
          <w:bCs/>
          <w:color w:val="auto"/>
          <w:sz w:val="36"/>
          <w:szCs w:val="36"/>
          <w:highlight w:val="none"/>
          <w:lang w:eastAsia="zh-CN"/>
        </w:rPr>
        <w:t>二〇二</w:t>
      </w:r>
      <w:r>
        <w:rPr>
          <w:rFonts w:hint="eastAsia" w:ascii="宋体" w:hAnsi="宋体" w:eastAsia="宋体" w:cs="宋体"/>
          <w:bCs/>
          <w:color w:val="auto"/>
          <w:sz w:val="36"/>
          <w:szCs w:val="36"/>
          <w:highlight w:val="none"/>
          <w:lang w:val="en-US" w:eastAsia="zh-CN"/>
        </w:rPr>
        <w:t>五</w:t>
      </w:r>
      <w:r>
        <w:rPr>
          <w:rFonts w:hint="eastAsia" w:ascii="宋体" w:hAnsi="宋体" w:eastAsia="宋体" w:cs="宋体"/>
          <w:bCs/>
          <w:color w:val="auto"/>
          <w:sz w:val="36"/>
          <w:szCs w:val="36"/>
          <w:highlight w:val="none"/>
          <w:lang w:eastAsia="zh-CN"/>
        </w:rPr>
        <w:t>年</w:t>
      </w:r>
      <w:r>
        <w:rPr>
          <w:rFonts w:hint="eastAsia" w:ascii="宋体" w:hAnsi="宋体" w:cs="宋体"/>
          <w:bCs/>
          <w:color w:val="auto"/>
          <w:sz w:val="36"/>
          <w:szCs w:val="36"/>
          <w:highlight w:val="none"/>
          <w:lang w:val="en-US" w:eastAsia="zh-CN"/>
        </w:rPr>
        <w:t xml:space="preserve">  六</w:t>
      </w:r>
      <w:r>
        <w:rPr>
          <w:rFonts w:hint="eastAsia" w:ascii="宋体" w:hAnsi="宋体" w:eastAsia="宋体" w:cs="宋体"/>
          <w:bCs/>
          <w:color w:val="auto"/>
          <w:sz w:val="36"/>
          <w:szCs w:val="36"/>
          <w:highlight w:val="none"/>
          <w:lang w:eastAsia="zh-CN"/>
        </w:rPr>
        <w:t>月</w:t>
      </w:r>
    </w:p>
    <w:p w14:paraId="3F887B00">
      <w:pPr>
        <w:rPr>
          <w:rFonts w:hint="eastAsia" w:ascii="宋体" w:hAnsi="宋体" w:cs="宋体"/>
          <w:color w:val="auto"/>
          <w:sz w:val="24"/>
          <w:highlight w:val="none"/>
        </w:rPr>
      </w:pPr>
      <w:r>
        <w:rPr>
          <w:rFonts w:hint="eastAsia" w:ascii="宋体" w:hAnsi="宋体" w:cs="宋体"/>
          <w:color w:val="auto"/>
          <w:sz w:val="24"/>
          <w:highlight w:val="none"/>
        </w:rPr>
        <w:br w:type="page"/>
      </w:r>
    </w:p>
    <w:p w14:paraId="3D7105A1">
      <w:pPr>
        <w:kinsoku/>
        <w:wordWrap/>
        <w:overflowPunct/>
        <w:topLinePunct w:val="0"/>
        <w:bidi w:val="0"/>
        <w:spacing w:line="360" w:lineRule="auto"/>
        <w:jc w:val="center"/>
        <w:outlineLvl w:val="9"/>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6202E24">
      <w:pPr>
        <w:kinsoku/>
        <w:wordWrap/>
        <w:overflowPunct/>
        <w:topLinePunct w:val="0"/>
        <w:bidi w:val="0"/>
        <w:spacing w:line="360" w:lineRule="auto"/>
        <w:jc w:val="center"/>
        <w:outlineLvl w:val="9"/>
        <w:rPr>
          <w:rFonts w:ascii="宋体" w:hAnsi="宋体" w:cs="宋体"/>
          <w:color w:val="auto"/>
          <w:sz w:val="24"/>
          <w:highlight w:val="none"/>
        </w:rPr>
      </w:pPr>
    </w:p>
    <w:p w14:paraId="545448D5">
      <w:pPr>
        <w:kinsoku/>
        <w:wordWrap/>
        <w:overflowPunct/>
        <w:topLinePunct w:val="0"/>
        <w:bidi w:val="0"/>
        <w:spacing w:line="360" w:lineRule="auto"/>
        <w:jc w:val="center"/>
        <w:outlineLvl w:val="9"/>
        <w:rPr>
          <w:rFonts w:hint="eastAsia" w:ascii="宋体" w:hAnsi="宋体" w:cs="宋体"/>
          <w:b/>
          <w:color w:val="auto"/>
          <w:sz w:val="48"/>
          <w:szCs w:val="48"/>
          <w:highlight w:val="none"/>
        </w:rPr>
      </w:pPr>
    </w:p>
    <w:p w14:paraId="5BD527BD">
      <w:pPr>
        <w:kinsoku/>
        <w:wordWrap/>
        <w:overflowPunct/>
        <w:topLinePunct w:val="0"/>
        <w:bidi w:val="0"/>
        <w:spacing w:line="360" w:lineRule="auto"/>
        <w:jc w:val="center"/>
        <w:outlineLvl w:val="9"/>
        <w:rPr>
          <w:rFonts w:ascii="宋体" w:hAnsi="宋体" w:cs="宋体"/>
          <w:b/>
          <w:color w:val="auto"/>
          <w:sz w:val="48"/>
          <w:szCs w:val="48"/>
          <w:highlight w:val="none"/>
        </w:rPr>
      </w:pPr>
      <w:r>
        <w:rPr>
          <w:rFonts w:hint="eastAsia" w:ascii="宋体" w:hAnsi="宋体" w:cs="宋体"/>
          <w:b/>
          <w:color w:val="auto"/>
          <w:sz w:val="48"/>
          <w:szCs w:val="48"/>
          <w:highlight w:val="none"/>
        </w:rPr>
        <w:t>目  录</w:t>
      </w:r>
    </w:p>
    <w:sdt>
      <w:sdtPr>
        <w:rPr>
          <w:rFonts w:ascii="宋体" w:hAnsi="宋体" w:eastAsia="宋体" w:cs="Times New Roman"/>
          <w:color w:val="auto"/>
          <w:kern w:val="2"/>
          <w:sz w:val="21"/>
          <w:szCs w:val="24"/>
          <w:highlight w:val="none"/>
          <w:lang w:val="en-US" w:eastAsia="zh-CN" w:bidi="ar-SA"/>
        </w:rPr>
        <w:id w:val="147454320"/>
        <w15:color w:val="DBDBDB"/>
        <w:docPartObj>
          <w:docPartGallery w:val="Table of Contents"/>
          <w:docPartUnique/>
        </w:docPartObj>
      </w:sdtPr>
      <w:sdtEndPr>
        <w:rPr>
          <w:rFonts w:ascii="宋体" w:hAnsi="宋体" w:eastAsia="宋体" w:cs="宋体"/>
          <w:color w:val="auto"/>
          <w:kern w:val="2"/>
          <w:sz w:val="21"/>
          <w:szCs w:val="32"/>
          <w:highlight w:val="none"/>
          <w:lang w:val="en-US" w:eastAsia="zh-CN" w:bidi="ar-SA"/>
        </w:rPr>
      </w:sdtEndPr>
      <w:sdtContent>
        <w:p w14:paraId="6D6AEF79">
          <w:pPr>
            <w:spacing w:before="0" w:beforeLines="0" w:after="0" w:afterLines="0" w:line="240" w:lineRule="auto"/>
            <w:ind w:left="0" w:leftChars="0" w:right="0" w:rightChars="0" w:firstLine="0" w:firstLineChars="0"/>
            <w:jc w:val="center"/>
            <w:rPr>
              <w:color w:val="auto"/>
              <w:highlight w:val="none"/>
            </w:rPr>
          </w:pPr>
        </w:p>
        <w:p w14:paraId="114CAC7A">
          <w:pPr>
            <w:pStyle w:val="44"/>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"1-1"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_Toc9238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第一部分 </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lang w:eastAsia="zh-CN"/>
            </w:rPr>
            <w:t>采购</w:t>
          </w:r>
          <w:r>
            <w:rPr>
              <w:rFonts w:hint="eastAsia" w:ascii="宋体" w:hAnsi="宋体" w:eastAsia="宋体" w:cs="宋体"/>
              <w:color w:val="auto"/>
              <w:sz w:val="32"/>
              <w:szCs w:val="32"/>
              <w:highlight w:val="none"/>
            </w:rPr>
            <w:t>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_Toc9238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5</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17152539">
          <w:pPr>
            <w:pStyle w:val="44"/>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_Toc29691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第二部分 </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lang w:eastAsia="zh-CN"/>
            </w:rPr>
            <w:t>供应商</w:t>
          </w:r>
          <w:r>
            <w:rPr>
              <w:rFonts w:hint="eastAsia" w:ascii="宋体" w:hAnsi="宋体" w:eastAsia="宋体" w:cs="宋体"/>
              <w:color w:val="auto"/>
              <w:sz w:val="32"/>
              <w:szCs w:val="32"/>
              <w:highlight w:val="none"/>
            </w:rPr>
            <w:t>须知</w:t>
          </w:r>
          <w:r>
            <w:rPr>
              <w:rFonts w:hint="eastAsia" w:ascii="宋体" w:hAnsi="宋体" w:eastAsia="宋体" w:cs="宋体"/>
              <w:color w:val="auto"/>
              <w:sz w:val="32"/>
              <w:szCs w:val="32"/>
              <w:highlight w:val="none"/>
            </w:rPr>
            <w:tab/>
          </w:r>
          <w:r>
            <w:rPr>
              <w:rFonts w:hint="eastAsia" w:ascii="宋体" w:hAnsi="宋体" w:cs="宋体"/>
              <w:color w:val="auto"/>
              <w:sz w:val="32"/>
              <w:szCs w:val="32"/>
              <w:highlight w:val="none"/>
              <w:lang w:val="en-US" w:eastAsia="zh-CN"/>
            </w:rPr>
            <w:t>9</w:t>
          </w:r>
          <w:r>
            <w:rPr>
              <w:rFonts w:hint="eastAsia" w:ascii="宋体" w:hAnsi="宋体" w:eastAsia="宋体" w:cs="宋体"/>
              <w:color w:val="auto"/>
              <w:sz w:val="32"/>
              <w:szCs w:val="32"/>
              <w:highlight w:val="none"/>
            </w:rPr>
            <w:fldChar w:fldCharType="end"/>
          </w:r>
        </w:p>
        <w:p w14:paraId="2FDC3631">
          <w:pPr>
            <w:pStyle w:val="44"/>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_Toc26044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第三部分  采购需求</w:t>
          </w:r>
          <w:r>
            <w:rPr>
              <w:rFonts w:hint="eastAsia" w:ascii="宋体" w:hAnsi="宋体" w:eastAsia="宋体" w:cs="宋体"/>
              <w:color w:val="auto"/>
              <w:sz w:val="32"/>
              <w:szCs w:val="32"/>
              <w:highlight w:val="none"/>
            </w:rPr>
            <w:tab/>
          </w:r>
          <w:r>
            <w:rPr>
              <w:rFonts w:hint="eastAsia" w:ascii="宋体" w:hAnsi="宋体" w:cs="宋体"/>
              <w:color w:val="auto"/>
              <w:sz w:val="32"/>
              <w:szCs w:val="32"/>
              <w:highlight w:val="none"/>
              <w:lang w:val="en-US" w:eastAsia="zh-CN"/>
            </w:rPr>
            <w:t>2</w:t>
          </w:r>
          <w:r>
            <w:rPr>
              <w:rFonts w:hint="eastAsia" w:ascii="宋体" w:hAnsi="宋体" w:eastAsia="宋体" w:cs="宋体"/>
              <w:color w:val="auto"/>
              <w:sz w:val="32"/>
              <w:szCs w:val="32"/>
              <w:highlight w:val="none"/>
            </w:rPr>
            <w:fldChar w:fldCharType="end"/>
          </w:r>
          <w:r>
            <w:rPr>
              <w:rFonts w:hint="eastAsia" w:ascii="宋体" w:hAnsi="宋体" w:cs="宋体"/>
              <w:color w:val="auto"/>
              <w:sz w:val="32"/>
              <w:szCs w:val="32"/>
              <w:highlight w:val="none"/>
              <w:lang w:val="en-US" w:eastAsia="zh-CN"/>
            </w:rPr>
            <w:t>0</w:t>
          </w:r>
        </w:p>
        <w:p w14:paraId="367C5743">
          <w:pPr>
            <w:pStyle w:val="44"/>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_Toc18651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第四部分  评标办法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_Toc18651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20</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36B44CB4">
          <w:pPr>
            <w:pStyle w:val="44"/>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_Toc8264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第五部分 </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拟签订的合同文本</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_Toc8264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4FF35E31">
          <w:pPr>
            <w:pStyle w:val="44"/>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_Toc22993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第六部分</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 xml:space="preserve"> 应提交的有关格式范例</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_Toc22993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32</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6E868324">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cs="宋体"/>
              <w:color w:val="auto"/>
              <w:sz w:val="32"/>
              <w:szCs w:val="32"/>
              <w:highlight w:val="none"/>
            </w:rPr>
          </w:pPr>
          <w:r>
            <w:rPr>
              <w:rFonts w:hint="eastAsia" w:ascii="宋体" w:hAnsi="宋体" w:eastAsia="宋体" w:cs="宋体"/>
              <w:color w:val="auto"/>
              <w:sz w:val="32"/>
              <w:szCs w:val="32"/>
              <w:highlight w:val="none"/>
            </w:rPr>
            <w:fldChar w:fldCharType="end"/>
          </w:r>
        </w:p>
      </w:sdtContent>
    </w:sdt>
    <w:p w14:paraId="5CBD3094">
      <w:pPr>
        <w:kinsoku/>
        <w:wordWrap/>
        <w:overflowPunct/>
        <w:topLinePunct w:val="0"/>
        <w:bidi w:val="0"/>
        <w:spacing w:line="360" w:lineRule="auto"/>
        <w:outlineLvl w:val="9"/>
        <w:rPr>
          <w:rFonts w:ascii="宋体" w:hAnsi="宋体" w:cs="宋体"/>
          <w:color w:val="auto"/>
          <w:sz w:val="32"/>
          <w:szCs w:val="32"/>
          <w:highlight w:val="none"/>
        </w:rPr>
      </w:pPr>
    </w:p>
    <w:p w14:paraId="4CCEAD00">
      <w:pPr>
        <w:kinsoku/>
        <w:wordWrap/>
        <w:overflowPunct/>
        <w:topLinePunct w:val="0"/>
        <w:bidi w:val="0"/>
        <w:spacing w:line="360" w:lineRule="auto"/>
        <w:outlineLvl w:val="9"/>
        <w:rPr>
          <w:rFonts w:ascii="宋体" w:hAnsi="宋体" w:cs="宋体"/>
          <w:color w:val="auto"/>
          <w:sz w:val="32"/>
          <w:szCs w:val="32"/>
          <w:highlight w:val="none"/>
        </w:rPr>
      </w:pPr>
    </w:p>
    <w:p w14:paraId="7F93C2EC">
      <w:pPr>
        <w:kinsoku/>
        <w:wordWrap/>
        <w:overflowPunct/>
        <w:topLinePunct w:val="0"/>
        <w:bidi w:val="0"/>
        <w:spacing w:line="360" w:lineRule="auto"/>
        <w:ind w:firstLine="549" w:firstLineChars="229"/>
        <w:outlineLvl w:val="9"/>
        <w:rPr>
          <w:rFonts w:ascii="宋体" w:hAnsi="宋体" w:cs="宋体"/>
          <w:color w:val="auto"/>
          <w:sz w:val="24"/>
          <w:highlight w:val="none"/>
        </w:rPr>
      </w:pPr>
      <w:bookmarkStart w:id="1" w:name="_Hlt91233176"/>
      <w:bookmarkEnd w:id="1"/>
      <w:bookmarkStart w:id="2" w:name="_Toc91899869"/>
    </w:p>
    <w:p w14:paraId="71D5C453">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6FEA2E29">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6855522A">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25A35469">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49CCC953">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6D2F3CC4">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4CE3BBAA">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2C55000B">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55EA0DBF">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48D3486E">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6A02A252">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3AF9A075">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34479AB4">
      <w:pPr>
        <w:kinsoku/>
        <w:wordWrap/>
        <w:overflowPunct/>
        <w:topLinePunct w:val="0"/>
        <w:bidi w:val="0"/>
        <w:spacing w:line="360" w:lineRule="auto"/>
        <w:outlineLvl w:val="9"/>
        <w:rPr>
          <w:rFonts w:ascii="宋体" w:hAnsi="宋体" w:cs="宋体"/>
          <w:color w:val="auto"/>
          <w:sz w:val="24"/>
          <w:highlight w:val="none"/>
        </w:rPr>
      </w:pPr>
    </w:p>
    <w:bookmarkEnd w:id="2"/>
    <w:p w14:paraId="44AF27AB">
      <w:pPr>
        <w:rPr>
          <w:rFonts w:hint="eastAsia" w:ascii="宋体" w:hAnsi="宋体" w:cs="宋体"/>
          <w:b/>
          <w:color w:val="auto"/>
          <w:sz w:val="36"/>
          <w:szCs w:val="20"/>
          <w:highlight w:val="none"/>
        </w:rPr>
      </w:pPr>
      <w:bookmarkStart w:id="3" w:name="_Hlt74729822"/>
      <w:bookmarkEnd w:id="3"/>
      <w:bookmarkStart w:id="4" w:name="_Hlt74707423"/>
      <w:bookmarkEnd w:id="4"/>
      <w:bookmarkStart w:id="5" w:name="_Hlt74728647"/>
      <w:bookmarkEnd w:id="5"/>
      <w:bookmarkStart w:id="6" w:name="_Hlt74649545"/>
      <w:bookmarkEnd w:id="6"/>
      <w:bookmarkStart w:id="7" w:name="_Toc91899870"/>
      <w:bookmarkStart w:id="8" w:name="第二部分"/>
      <w:bookmarkStart w:id="9" w:name="_Toc91899871"/>
      <w:r>
        <w:rPr>
          <w:rFonts w:hint="eastAsia" w:ascii="宋体" w:hAnsi="宋体" w:cs="宋体"/>
          <w:b/>
          <w:color w:val="auto"/>
          <w:sz w:val="36"/>
          <w:szCs w:val="20"/>
          <w:highlight w:val="none"/>
        </w:rPr>
        <w:br w:type="page"/>
      </w:r>
    </w:p>
    <w:p w14:paraId="527B7327">
      <w:pPr>
        <w:rPr>
          <w:rFonts w:hint="eastAsia"/>
          <w:color w:val="auto"/>
          <w:highlight w:val="none"/>
        </w:rPr>
      </w:pPr>
      <w:r>
        <w:rPr>
          <w:rFonts w:hint="eastAsia"/>
          <w:color w:val="auto"/>
          <w:highlight w:val="none"/>
        </w:rPr>
        <w:br w:type="page"/>
      </w:r>
    </w:p>
    <w:p w14:paraId="1E294C8B">
      <w:pPr>
        <w:rPr>
          <w:rFonts w:hint="eastAsia"/>
          <w:color w:val="auto"/>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14:paraId="3C8A6C1C">
      <w:pPr>
        <w:kinsoku/>
        <w:wordWrap/>
        <w:overflowPunct/>
        <w:topLinePunct w:val="0"/>
        <w:bidi w:val="0"/>
        <w:adjustRightInd/>
        <w:spacing w:line="360" w:lineRule="auto"/>
        <w:jc w:val="center"/>
        <w:outlineLvl w:val="0"/>
        <w:rPr>
          <w:rFonts w:ascii="宋体" w:hAnsi="宋体" w:cs="宋体"/>
          <w:b/>
          <w:color w:val="auto"/>
          <w:sz w:val="36"/>
          <w:szCs w:val="20"/>
          <w:highlight w:val="none"/>
        </w:rPr>
      </w:pPr>
      <w:bookmarkStart w:id="10" w:name="_Toc9238"/>
      <w:r>
        <w:rPr>
          <w:rFonts w:hint="eastAsia" w:ascii="宋体" w:hAnsi="宋体" w:cs="宋体"/>
          <w:b/>
          <w:color w:val="auto"/>
          <w:sz w:val="36"/>
          <w:szCs w:val="20"/>
          <w:highlight w:val="none"/>
        </w:rPr>
        <w:t>第一部分</w:t>
      </w:r>
      <w:r>
        <w:rPr>
          <w:rFonts w:hint="eastAsia" w:ascii="宋体" w:hAnsi="宋体" w:cs="宋体"/>
          <w:b/>
          <w:color w:val="auto"/>
          <w:sz w:val="36"/>
          <w:szCs w:val="20"/>
          <w:highlight w:val="none"/>
          <w:lang w:val="en-US" w:eastAsia="zh-CN"/>
        </w:rPr>
        <w:t xml:space="preserve">  </w:t>
      </w:r>
      <w:r>
        <w:rPr>
          <w:rFonts w:hint="eastAsia" w:ascii="宋体" w:hAnsi="宋体" w:cs="宋体"/>
          <w:b/>
          <w:color w:val="auto"/>
          <w:sz w:val="36"/>
          <w:szCs w:val="20"/>
          <w:highlight w:val="none"/>
          <w:lang w:eastAsia="zh-CN"/>
        </w:rPr>
        <w:t>采购</w:t>
      </w:r>
      <w:r>
        <w:rPr>
          <w:rFonts w:hint="eastAsia" w:ascii="宋体" w:hAnsi="宋体" w:cs="宋体"/>
          <w:b/>
          <w:color w:val="auto"/>
          <w:sz w:val="36"/>
          <w:szCs w:val="20"/>
          <w:highlight w:val="none"/>
        </w:rPr>
        <w:t>公告</w:t>
      </w:r>
      <w:bookmarkEnd w:id="10"/>
    </w:p>
    <w:p w14:paraId="0533229F">
      <w:pPr>
        <w:pBdr>
          <w:top w:val="single" w:color="auto" w:sz="4" w:space="1"/>
          <w:left w:val="single" w:color="auto" w:sz="4" w:space="4"/>
          <w:bottom w:val="single" w:color="auto" w:sz="4" w:space="2"/>
          <w:right w:val="single" w:color="auto" w:sz="4" w:space="4"/>
        </w:pBdr>
        <w:kinsoku/>
        <w:wordWrap/>
        <w:overflowPunct/>
        <w:topLinePunct w:val="0"/>
        <w:bidi w:val="0"/>
        <w:spacing w:line="360" w:lineRule="auto"/>
        <w:ind w:firstLine="420" w:firstLineChars="200"/>
        <w:outlineLvl w:val="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项目概况</w:t>
      </w:r>
    </w:p>
    <w:p w14:paraId="116E409F">
      <w:pPr>
        <w:pBdr>
          <w:top w:val="single" w:color="auto" w:sz="4" w:space="1"/>
          <w:left w:val="single" w:color="auto" w:sz="4" w:space="4"/>
          <w:bottom w:val="single" w:color="auto" w:sz="4" w:space="2"/>
          <w:right w:val="single" w:color="auto" w:sz="4" w:space="4"/>
        </w:pBdr>
        <w:kinsoku/>
        <w:wordWrap/>
        <w:overflowPunct/>
        <w:topLinePunct w:val="0"/>
        <w:bidi w:val="0"/>
        <w:spacing w:line="360" w:lineRule="auto"/>
        <w:ind w:firstLine="420" w:firstLineChars="200"/>
        <w:outlineLvl w:val="9"/>
        <w:rPr>
          <w:rFonts w:asciiTheme="minorEastAsia" w:hAnsiTheme="minorEastAsia" w:eastAsiaTheme="minorEastAsia"/>
          <w:color w:val="auto"/>
          <w:sz w:val="21"/>
          <w:szCs w:val="21"/>
          <w:highlight w:val="none"/>
          <w:u w:val="single"/>
        </w:rPr>
      </w:pPr>
      <w:r>
        <w:rPr>
          <w:rFonts w:hint="eastAsia" w:cs="仿宋_GB2312" w:asciiTheme="minorEastAsia" w:hAnsiTheme="minorEastAsia" w:eastAsiaTheme="minorEastAsia"/>
          <w:color w:val="auto"/>
          <w:sz w:val="21"/>
          <w:szCs w:val="21"/>
          <w:highlight w:val="none"/>
          <w:u w:val="single"/>
        </w:rPr>
        <w:t>（</w:t>
      </w:r>
      <w:r>
        <w:rPr>
          <w:rFonts w:hint="eastAsia" w:cs="仿宋_GB2312" w:asciiTheme="minorEastAsia" w:hAnsiTheme="minorEastAsia" w:eastAsiaTheme="minorEastAsia"/>
          <w:color w:val="auto"/>
          <w:sz w:val="21"/>
          <w:szCs w:val="21"/>
          <w:highlight w:val="none"/>
          <w:u w:val="single"/>
          <w:lang w:eastAsia="zh-CN"/>
        </w:rPr>
        <w:t>宁海县桃源街道回浦小学教学楼中庭窗户等维修工程</w:t>
      </w:r>
      <w:r>
        <w:rPr>
          <w:rFonts w:hint="eastAsia" w:cs="仿宋_GB2312" w:asciiTheme="minorEastAsia" w:hAnsiTheme="minorEastAsia" w:eastAsiaTheme="minorEastAsia"/>
          <w:color w:val="auto"/>
          <w:sz w:val="21"/>
          <w:szCs w:val="21"/>
          <w:highlight w:val="none"/>
          <w:u w:val="single"/>
        </w:rPr>
        <w:t>）</w:t>
      </w:r>
      <w:r>
        <w:rPr>
          <w:rFonts w:hint="eastAsia" w:asciiTheme="minorEastAsia" w:hAnsiTheme="minorEastAsia" w:eastAsiaTheme="minorEastAsia"/>
          <w:color w:val="auto"/>
          <w:sz w:val="21"/>
          <w:szCs w:val="21"/>
          <w:highlight w:val="none"/>
        </w:rPr>
        <w:t>招标项目的潜在</w:t>
      </w:r>
      <w:r>
        <w:rPr>
          <w:rFonts w:hint="eastAsia" w:asciiTheme="minorEastAsia" w:hAnsiTheme="minorEastAsia" w:eastAsiaTheme="minorEastAsia"/>
          <w:color w:val="auto"/>
          <w:sz w:val="21"/>
          <w:szCs w:val="21"/>
          <w:highlight w:val="none"/>
          <w:lang w:eastAsia="zh-CN"/>
        </w:rPr>
        <w:t>供应商</w:t>
      </w:r>
      <w:r>
        <w:rPr>
          <w:rFonts w:hint="eastAsia" w:asciiTheme="minorEastAsia" w:hAnsiTheme="minorEastAsia" w:eastAsiaTheme="minorEastAsia"/>
          <w:color w:val="auto"/>
          <w:sz w:val="21"/>
          <w:szCs w:val="21"/>
          <w:highlight w:val="none"/>
        </w:rPr>
        <w:t>应在政采云平台（</w:t>
      </w:r>
      <w:r>
        <w:rPr>
          <w:color w:val="auto"/>
          <w:sz w:val="21"/>
          <w:szCs w:val="21"/>
          <w:highlight w:val="none"/>
        </w:rPr>
        <w:fldChar w:fldCharType="begin"/>
      </w:r>
      <w:r>
        <w:rPr>
          <w:color w:val="auto"/>
          <w:sz w:val="21"/>
          <w:szCs w:val="21"/>
          <w:highlight w:val="none"/>
        </w:rPr>
        <w:instrText xml:space="preserve"> HYPERLINK "https://www.zcygov.cn/）获取（下载）招标文件，并于202%20年%20月%20日%20点%20分00秒" </w:instrText>
      </w:r>
      <w:r>
        <w:rPr>
          <w:color w:val="auto"/>
          <w:sz w:val="21"/>
          <w:szCs w:val="21"/>
          <w:highlight w:val="none"/>
        </w:rPr>
        <w:fldChar w:fldCharType="separate"/>
      </w:r>
      <w:r>
        <w:rPr>
          <w:rStyle w:val="76"/>
          <w:rFonts w:cs="Times New Roman" w:asciiTheme="minorEastAsia" w:hAnsiTheme="minorEastAsia" w:eastAsiaTheme="minorEastAsia"/>
          <w:snapToGrid/>
          <w:color w:val="auto"/>
          <w:kern w:val="2"/>
          <w:sz w:val="21"/>
          <w:szCs w:val="21"/>
          <w:highlight w:val="none"/>
        </w:rPr>
        <w:t>https://www.zcygov.cn/）获取（下载）招标文件，并于</w:t>
      </w:r>
      <w:r>
        <w:rPr>
          <w:rStyle w:val="76"/>
          <w:rFonts w:hint="eastAsia" w:cs="Times New Roman" w:asciiTheme="minorEastAsia" w:hAnsiTheme="minorEastAsia" w:eastAsiaTheme="minorEastAsia"/>
          <w:snapToGrid/>
          <w:color w:val="auto"/>
          <w:kern w:val="2"/>
          <w:sz w:val="21"/>
          <w:szCs w:val="21"/>
          <w:highlight w:val="none"/>
        </w:rPr>
        <w:t>202</w:t>
      </w:r>
      <w:r>
        <w:rPr>
          <w:rStyle w:val="76"/>
          <w:rFonts w:hint="eastAsia" w:cs="Times New Roman" w:asciiTheme="minorEastAsia" w:hAnsiTheme="minorEastAsia" w:eastAsiaTheme="minorEastAsia"/>
          <w:snapToGrid/>
          <w:color w:val="auto"/>
          <w:kern w:val="2"/>
          <w:sz w:val="21"/>
          <w:szCs w:val="21"/>
          <w:highlight w:val="none"/>
          <w:lang w:val="en-US" w:eastAsia="zh-CN"/>
        </w:rPr>
        <w:t>5</w:t>
      </w:r>
      <w:r>
        <w:rPr>
          <w:rStyle w:val="76"/>
          <w:rFonts w:cs="Times New Roman" w:asciiTheme="minorEastAsia" w:hAnsiTheme="minorEastAsia" w:eastAsiaTheme="minorEastAsia"/>
          <w:snapToGrid/>
          <w:color w:val="auto"/>
          <w:kern w:val="2"/>
          <w:sz w:val="21"/>
          <w:szCs w:val="21"/>
          <w:highlight w:val="none"/>
        </w:rPr>
        <w:t>年</w:t>
      </w:r>
      <w:r>
        <w:rPr>
          <w:rStyle w:val="76"/>
          <w:rFonts w:hint="eastAsia" w:cs="Times New Roman" w:asciiTheme="minorEastAsia" w:hAnsiTheme="minorEastAsia" w:eastAsiaTheme="minorEastAsia"/>
          <w:snapToGrid/>
          <w:color w:val="auto"/>
          <w:kern w:val="2"/>
          <w:sz w:val="21"/>
          <w:szCs w:val="21"/>
          <w:highlight w:val="none"/>
          <w:lang w:val="en-US" w:eastAsia="zh-CN"/>
        </w:rPr>
        <w:t xml:space="preserve">  </w:t>
      </w:r>
      <w:r>
        <w:rPr>
          <w:rStyle w:val="76"/>
          <w:rFonts w:hint="eastAsia" w:cs="Times New Roman" w:asciiTheme="minorEastAsia" w:hAnsiTheme="minorEastAsia" w:eastAsiaTheme="minorEastAsia"/>
          <w:snapToGrid/>
          <w:color w:val="auto"/>
          <w:kern w:val="2"/>
          <w:sz w:val="21"/>
          <w:szCs w:val="21"/>
          <w:highlight w:val="none"/>
        </w:rPr>
        <w:t>月</w:t>
      </w:r>
      <w:r>
        <w:rPr>
          <w:rStyle w:val="76"/>
          <w:rFonts w:hint="eastAsia" w:cs="Times New Roman" w:asciiTheme="minorEastAsia" w:hAnsiTheme="minorEastAsia" w:eastAsiaTheme="minorEastAsia"/>
          <w:snapToGrid/>
          <w:color w:val="auto"/>
          <w:kern w:val="2"/>
          <w:sz w:val="21"/>
          <w:szCs w:val="21"/>
          <w:highlight w:val="none"/>
          <w:lang w:val="en-US" w:eastAsia="zh-CN"/>
        </w:rPr>
        <w:t xml:space="preserve"> </w:t>
      </w:r>
      <w:r>
        <w:rPr>
          <w:rStyle w:val="76"/>
          <w:rFonts w:hint="eastAsia" w:cs="Times New Roman" w:asciiTheme="minorEastAsia" w:hAnsiTheme="minorEastAsia" w:eastAsiaTheme="minorEastAsia"/>
          <w:snapToGrid/>
          <w:color w:val="auto"/>
          <w:kern w:val="2"/>
          <w:sz w:val="21"/>
          <w:szCs w:val="21"/>
          <w:highlight w:val="none"/>
        </w:rPr>
        <w:t>日</w:t>
      </w:r>
      <w:r>
        <w:rPr>
          <w:rStyle w:val="76"/>
          <w:rFonts w:hint="eastAsia" w:cs="Times New Roman" w:asciiTheme="minorEastAsia" w:hAnsiTheme="minorEastAsia" w:eastAsiaTheme="minorEastAsia"/>
          <w:snapToGrid/>
          <w:color w:val="auto"/>
          <w:kern w:val="2"/>
          <w:sz w:val="21"/>
          <w:szCs w:val="21"/>
          <w:highlight w:val="none"/>
          <w:lang w:val="en-US" w:eastAsia="zh-CN"/>
        </w:rPr>
        <w:t>13</w:t>
      </w:r>
      <w:r>
        <w:rPr>
          <w:rStyle w:val="76"/>
          <w:rFonts w:hint="eastAsia" w:cs="Times New Roman" w:asciiTheme="minorEastAsia" w:hAnsiTheme="minorEastAsia" w:eastAsiaTheme="minorEastAsia"/>
          <w:snapToGrid/>
          <w:color w:val="auto"/>
          <w:kern w:val="2"/>
          <w:sz w:val="21"/>
          <w:szCs w:val="21"/>
          <w:highlight w:val="none"/>
        </w:rPr>
        <w:t>点</w:t>
      </w:r>
      <w:r>
        <w:rPr>
          <w:rStyle w:val="76"/>
          <w:rFonts w:hint="eastAsia" w:cs="Times New Roman" w:asciiTheme="minorEastAsia" w:hAnsiTheme="minorEastAsia" w:eastAsiaTheme="minorEastAsia"/>
          <w:snapToGrid/>
          <w:color w:val="auto"/>
          <w:kern w:val="2"/>
          <w:sz w:val="21"/>
          <w:szCs w:val="21"/>
          <w:highlight w:val="none"/>
          <w:lang w:val="en-US" w:eastAsia="zh-CN"/>
        </w:rPr>
        <w:t>30</w:t>
      </w:r>
      <w:r>
        <w:rPr>
          <w:rStyle w:val="76"/>
          <w:rFonts w:hint="eastAsia" w:cs="Times New Roman" w:asciiTheme="minorEastAsia" w:hAnsiTheme="minorEastAsia" w:eastAsiaTheme="minorEastAsia"/>
          <w:snapToGrid/>
          <w:color w:val="auto"/>
          <w:kern w:val="2"/>
          <w:sz w:val="21"/>
          <w:szCs w:val="21"/>
          <w:highlight w:val="none"/>
        </w:rPr>
        <w:t>分</w:t>
      </w:r>
      <w:r>
        <w:rPr>
          <w:rStyle w:val="76"/>
          <w:rFonts w:hint="eastAsia" w:cs="Times New Roman" w:asciiTheme="minorEastAsia" w:hAnsiTheme="minorEastAsia" w:eastAsiaTheme="minorEastAsia"/>
          <w:bCs/>
          <w:snapToGrid/>
          <w:color w:val="auto"/>
          <w:kern w:val="2"/>
          <w:sz w:val="21"/>
          <w:szCs w:val="21"/>
          <w:highlight w:val="none"/>
        </w:rPr>
        <w:t>00秒</w:t>
      </w:r>
      <w:r>
        <w:rPr>
          <w:rStyle w:val="76"/>
          <w:rFonts w:hint="eastAsia" w:cs="Times New Roman" w:asciiTheme="minorEastAsia" w:hAnsiTheme="minorEastAsia" w:eastAsiaTheme="minorEastAsia"/>
          <w:bCs/>
          <w:snapToGrid/>
          <w:color w:val="auto"/>
          <w:kern w:val="2"/>
          <w:sz w:val="21"/>
          <w:szCs w:val="21"/>
          <w:highlight w:val="none"/>
        </w:rPr>
        <w:fldChar w:fldCharType="end"/>
      </w:r>
      <w:r>
        <w:rPr>
          <w:rFonts w:hint="eastAsia" w:asciiTheme="minorEastAsia" w:hAnsiTheme="minorEastAsia" w:eastAsiaTheme="minorEastAsia"/>
          <w:bCs/>
          <w:color w:val="auto"/>
          <w:sz w:val="21"/>
          <w:szCs w:val="21"/>
          <w:highlight w:val="none"/>
        </w:rPr>
        <w:t>（北京时间）前</w:t>
      </w:r>
      <w:r>
        <w:rPr>
          <w:rFonts w:hint="eastAsia" w:asciiTheme="minorEastAsia" w:hAnsiTheme="minorEastAsia" w:eastAsiaTheme="minorEastAsia"/>
          <w:color w:val="auto"/>
          <w:sz w:val="21"/>
          <w:szCs w:val="21"/>
          <w:highlight w:val="none"/>
        </w:rPr>
        <w:t>递交（上传）投标文件。</w:t>
      </w:r>
    </w:p>
    <w:p w14:paraId="5825EC0E">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 xml:space="preserve">一、项目基本情况                                            </w:t>
      </w:r>
    </w:p>
    <w:p w14:paraId="1854B883">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项目编号：</w:t>
      </w:r>
      <w:r>
        <w:rPr>
          <w:rFonts w:hint="eastAsia" w:ascii="宋体" w:hAnsi="宋体" w:cs="宋体"/>
          <w:b w:val="0"/>
          <w:bCs/>
          <w:color w:val="auto"/>
          <w:sz w:val="21"/>
          <w:szCs w:val="21"/>
          <w:highlight w:val="none"/>
          <w:lang w:eastAsia="zh-CN"/>
        </w:rPr>
        <w:t>NH-TS2025-050</w:t>
      </w:r>
    </w:p>
    <w:p w14:paraId="1456C293">
      <w:pPr>
        <w:keepNext w:val="0"/>
        <w:keepLines w:val="0"/>
        <w:pageBreakBefore w:val="0"/>
        <w:kinsoku/>
        <w:wordWrap/>
        <w:overflowPunct/>
        <w:topLinePunct w:val="0"/>
        <w:autoSpaceDE/>
        <w:autoSpaceDN/>
        <w:bidi w:val="0"/>
        <w:spacing w:line="336" w:lineRule="auto"/>
        <w:ind w:firstLine="420"/>
        <w:textAlignment w:val="auto"/>
        <w:outlineLvl w:val="9"/>
        <w:rPr>
          <w:rFonts w:hint="eastAsia" w:ascii="宋体" w:hAnsi="宋体" w:cs="宋体"/>
          <w:b w:val="0"/>
          <w:bCs/>
          <w:color w:val="auto"/>
          <w:sz w:val="21"/>
          <w:szCs w:val="21"/>
          <w:highlight w:val="none"/>
          <w:lang w:eastAsia="zh-CN"/>
        </w:rPr>
      </w:pPr>
      <w:r>
        <w:rPr>
          <w:rFonts w:hint="eastAsia" w:ascii="宋体" w:hAnsi="宋体" w:cs="宋体"/>
          <w:b/>
          <w:color w:val="auto"/>
          <w:sz w:val="21"/>
          <w:szCs w:val="21"/>
          <w:highlight w:val="none"/>
        </w:rPr>
        <w:t>项目名称：</w:t>
      </w:r>
      <w:r>
        <w:rPr>
          <w:rFonts w:hint="eastAsia" w:ascii="宋体" w:hAnsi="宋体" w:cs="宋体"/>
          <w:b w:val="0"/>
          <w:bCs/>
          <w:color w:val="auto"/>
          <w:sz w:val="21"/>
          <w:szCs w:val="21"/>
          <w:highlight w:val="none"/>
          <w:lang w:eastAsia="zh-CN"/>
        </w:rPr>
        <w:t>宁海县桃源街道回浦小学教学楼中庭窗户等维修工程</w:t>
      </w:r>
    </w:p>
    <w:p w14:paraId="0D9A95A4">
      <w:pPr>
        <w:pStyle w:val="23"/>
        <w:ind w:firstLine="420"/>
      </w:pPr>
      <w:r>
        <w:rPr>
          <w:rFonts w:hint="eastAsia" w:ascii="宋体" w:hAnsi="宋体" w:eastAsia="宋体" w:cs="宋体"/>
          <w:b/>
          <w:snapToGrid/>
          <w:color w:val="auto"/>
          <w:kern w:val="2"/>
          <w:sz w:val="21"/>
          <w:szCs w:val="21"/>
          <w:highlight w:val="none"/>
          <w:lang w:val="en-US" w:eastAsia="zh-CN" w:bidi="ar-SA"/>
        </w:rPr>
        <w:t>采购方式：</w:t>
      </w:r>
      <w:r>
        <w:t>竞争性磋商</w:t>
      </w:r>
    </w:p>
    <w:p w14:paraId="30A9B988">
      <w:pPr>
        <w:keepNext w:val="0"/>
        <w:keepLines w:val="0"/>
        <w:pageBreakBefore w:val="0"/>
        <w:kinsoku/>
        <w:wordWrap/>
        <w:overflowPunct/>
        <w:topLinePunct w:val="0"/>
        <w:autoSpaceDE/>
        <w:autoSpaceDN/>
        <w:bidi w:val="0"/>
        <w:spacing w:line="336" w:lineRule="auto"/>
        <w:textAlignment w:val="auto"/>
        <w:outlineLvl w:val="9"/>
        <w:rPr>
          <w:rFonts w:hint="default" w:ascii="宋体" w:hAnsi="宋体" w:cs="宋体"/>
          <w:color w:val="auto"/>
          <w:sz w:val="21"/>
          <w:szCs w:val="21"/>
          <w:highlight w:val="none"/>
          <w:lang w:val="en-US"/>
        </w:rPr>
      </w:pP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 xml:space="preserve"> 预算金额（元）：</w:t>
      </w:r>
      <w:r>
        <w:rPr>
          <w:rFonts w:hint="eastAsia" w:ascii="宋体" w:hAnsi="宋体" w:cs="宋体"/>
          <w:color w:val="auto"/>
          <w:sz w:val="21"/>
          <w:szCs w:val="21"/>
          <w:highlight w:val="none"/>
          <w:lang w:val="en-US" w:eastAsia="zh-CN"/>
        </w:rPr>
        <w:t>648386.00</w:t>
      </w:r>
    </w:p>
    <w:p w14:paraId="53FF29D9">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cs="宋体"/>
          <w:color w:val="auto"/>
          <w:sz w:val="21"/>
          <w:szCs w:val="21"/>
          <w:highlight w:val="none"/>
          <w:lang w:val="en-US"/>
        </w:rPr>
      </w:pPr>
      <w:r>
        <w:rPr>
          <w:rFonts w:hint="eastAsia" w:ascii="宋体" w:hAnsi="宋体" w:cs="宋体"/>
          <w:b/>
          <w:color w:val="auto"/>
          <w:sz w:val="21"/>
          <w:szCs w:val="21"/>
          <w:highlight w:val="none"/>
        </w:rPr>
        <w:t>最高限价（元）</w:t>
      </w:r>
      <w:r>
        <w:rPr>
          <w:rFonts w:hint="eastAsia" w:ascii="宋体" w:hAnsi="宋体" w:cs="宋体"/>
          <w:b/>
          <w:color w:val="auto"/>
          <w:sz w:val="21"/>
          <w:szCs w:val="21"/>
          <w:highlight w:val="none"/>
          <w:lang w:eastAsia="zh-CN"/>
        </w:rPr>
        <w:t>：</w:t>
      </w:r>
      <w:r>
        <w:rPr>
          <w:rFonts w:hint="eastAsia" w:ascii="宋体" w:hAnsi="宋体" w:cs="宋体"/>
          <w:color w:val="auto"/>
          <w:sz w:val="21"/>
          <w:szCs w:val="21"/>
          <w:highlight w:val="none"/>
          <w:lang w:val="en-US" w:eastAsia="zh-CN"/>
        </w:rPr>
        <w:t>617547.00</w:t>
      </w:r>
    </w:p>
    <w:p w14:paraId="7CDEBBCD">
      <w:pPr>
        <w:pStyle w:val="5"/>
        <w:keepNext w:val="0"/>
        <w:keepLines w:val="0"/>
        <w:pageBreakBefore w:val="0"/>
        <w:kinsoku/>
        <w:wordWrap/>
        <w:overflowPunct/>
        <w:topLinePunct w:val="0"/>
        <w:autoSpaceDE/>
        <w:autoSpaceDN/>
        <w:bidi w:val="0"/>
        <w:spacing w:line="336" w:lineRule="auto"/>
        <w:ind w:firstLine="480"/>
        <w:textAlignment w:val="auto"/>
        <w:outlineLvl w:val="9"/>
        <w:rPr>
          <w:rFonts w:hint="eastAsia" w:hAnsi="宋体" w:cs="宋体"/>
          <w:b/>
          <w:color w:val="auto"/>
          <w:sz w:val="21"/>
          <w:szCs w:val="21"/>
          <w:highlight w:val="none"/>
        </w:rPr>
      </w:pPr>
      <w:r>
        <w:rPr>
          <w:rFonts w:hint="eastAsia" w:hAnsi="宋体" w:cs="宋体"/>
          <w:b/>
          <w:color w:val="auto"/>
          <w:sz w:val="21"/>
          <w:szCs w:val="21"/>
          <w:highlight w:val="none"/>
        </w:rPr>
        <w:t>采购需求：</w:t>
      </w:r>
    </w:p>
    <w:p w14:paraId="2ABC5EB3">
      <w:pPr>
        <w:keepNext w:val="0"/>
        <w:keepLines w:val="0"/>
        <w:pageBreakBefore w:val="0"/>
        <w:widowControl/>
        <w:kinsoku/>
        <w:wordWrap/>
        <w:overflowPunct/>
        <w:topLinePunct w:val="0"/>
        <w:autoSpaceDE/>
        <w:autoSpaceDN/>
        <w:bidi w:val="0"/>
        <w:adjustRightInd/>
        <w:snapToGrid/>
        <w:spacing w:line="336" w:lineRule="auto"/>
        <w:ind w:firstLine="843" w:firstLineChars="400"/>
        <w:jc w:val="left"/>
        <w:textAlignment w:val="auto"/>
        <w:outlineLvl w:val="9"/>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标项一：</w:t>
      </w:r>
    </w:p>
    <w:p w14:paraId="35C998B2">
      <w:pPr>
        <w:keepNext w:val="0"/>
        <w:keepLines w:val="0"/>
        <w:pageBreakBefore w:val="0"/>
        <w:widowControl/>
        <w:kinsoku/>
        <w:wordWrap/>
        <w:overflowPunct/>
        <w:topLinePunct w:val="0"/>
        <w:autoSpaceDE/>
        <w:autoSpaceDN/>
        <w:bidi w:val="0"/>
        <w:adjustRightInd/>
        <w:snapToGrid/>
        <w:spacing w:line="336" w:lineRule="auto"/>
        <w:ind w:firstLine="840" w:firstLineChars="400"/>
        <w:jc w:val="left"/>
        <w:textAlignment w:val="auto"/>
        <w:outlineLvl w:val="9"/>
        <w:rPr>
          <w:rFonts w:hint="eastAsia" w:ascii="宋体" w:hAnsi="宋体" w:cs="宋体"/>
          <w:b w:val="0"/>
          <w:bCs/>
          <w:color w:val="auto"/>
          <w:sz w:val="21"/>
          <w:szCs w:val="21"/>
          <w:highlight w:val="none"/>
          <w:lang w:eastAsia="zh-CN"/>
        </w:rPr>
      </w:pPr>
      <w:r>
        <w:rPr>
          <w:rFonts w:hint="eastAsia" w:ascii="宋体" w:hAnsi="宋体" w:eastAsia="宋体" w:cs="宋体"/>
          <w:color w:val="auto"/>
          <w:kern w:val="0"/>
          <w:sz w:val="21"/>
          <w:szCs w:val="21"/>
          <w:highlight w:val="none"/>
        </w:rPr>
        <w:t>标项名称</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eastAsia="zh-CN"/>
        </w:rPr>
        <w:t>宁海县桃源街道回浦小学教学楼中庭窗户等维修工程</w:t>
      </w:r>
    </w:p>
    <w:p w14:paraId="1F571333">
      <w:pPr>
        <w:keepNext w:val="0"/>
        <w:keepLines w:val="0"/>
        <w:pageBreakBefore w:val="0"/>
        <w:widowControl/>
        <w:kinsoku/>
        <w:wordWrap/>
        <w:overflowPunct/>
        <w:topLinePunct w:val="0"/>
        <w:autoSpaceDE/>
        <w:autoSpaceDN/>
        <w:bidi w:val="0"/>
        <w:adjustRightInd/>
        <w:snapToGrid/>
        <w:spacing w:line="336" w:lineRule="auto"/>
        <w:ind w:firstLine="840" w:firstLineChars="400"/>
        <w:jc w:val="left"/>
        <w:textAlignment w:val="auto"/>
        <w:outlineLvl w:val="9"/>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rPr>
        <w:t>数量</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CN"/>
        </w:rPr>
        <w:t>批</w:t>
      </w:r>
    </w:p>
    <w:p w14:paraId="27877632">
      <w:pPr>
        <w:keepNext w:val="0"/>
        <w:keepLines w:val="0"/>
        <w:pageBreakBefore w:val="0"/>
        <w:widowControl/>
        <w:kinsoku/>
        <w:wordWrap/>
        <w:overflowPunct/>
        <w:topLinePunct w:val="0"/>
        <w:autoSpaceDE/>
        <w:autoSpaceDN/>
        <w:bidi w:val="0"/>
        <w:adjustRightInd/>
        <w:snapToGrid/>
        <w:spacing w:line="336" w:lineRule="auto"/>
        <w:ind w:firstLine="840" w:firstLineChars="4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预算金额（元）</w:t>
      </w:r>
      <w:r>
        <w:rPr>
          <w:rFonts w:hint="eastAsia" w:ascii="宋体" w:hAnsi="宋体" w:eastAsia="宋体" w:cs="宋体"/>
          <w:color w:val="auto"/>
          <w:kern w:val="0"/>
          <w:sz w:val="21"/>
          <w:szCs w:val="21"/>
          <w:highlight w:val="none"/>
          <w:lang w:eastAsia="zh-CN"/>
        </w:rPr>
        <w:t>：</w:t>
      </w:r>
      <w:r>
        <w:rPr>
          <w:rFonts w:hint="eastAsia" w:ascii="宋体" w:hAnsi="宋体" w:cs="宋体"/>
          <w:color w:val="auto"/>
          <w:sz w:val="21"/>
          <w:szCs w:val="21"/>
          <w:highlight w:val="none"/>
          <w:lang w:val="en-US" w:eastAsia="zh-CN"/>
        </w:rPr>
        <w:t>648386.00</w:t>
      </w:r>
    </w:p>
    <w:p w14:paraId="46FE69C8">
      <w:pPr>
        <w:keepNext w:val="0"/>
        <w:keepLines w:val="0"/>
        <w:pageBreakBefore w:val="0"/>
        <w:widowControl/>
        <w:kinsoku/>
        <w:wordWrap/>
        <w:overflowPunct/>
        <w:topLinePunct w:val="0"/>
        <w:autoSpaceDE/>
        <w:autoSpaceDN/>
        <w:bidi w:val="0"/>
        <w:adjustRightInd/>
        <w:snapToGrid/>
        <w:spacing w:line="336" w:lineRule="auto"/>
        <w:ind w:firstLine="840" w:firstLineChars="4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简要规格描述或项目基本概况介绍、用途：</w:t>
      </w:r>
      <w:r>
        <w:rPr>
          <w:rFonts w:hint="eastAsia" w:ascii="宋体" w:hAnsi="宋体" w:eastAsia="宋体" w:cs="宋体"/>
          <w:color w:val="auto"/>
          <w:kern w:val="0"/>
          <w:sz w:val="21"/>
          <w:szCs w:val="21"/>
          <w:highlight w:val="none"/>
          <w:lang w:val="en-US" w:eastAsia="zh-CN"/>
        </w:rPr>
        <w:t>具体以招标文件第三部分采购需求为准，供应商可点击本公告下方“浏览采购文件”查看采购需求。</w:t>
      </w:r>
    </w:p>
    <w:p w14:paraId="7A640C82">
      <w:pPr>
        <w:keepNext w:val="0"/>
        <w:keepLines w:val="0"/>
        <w:pageBreakBefore w:val="0"/>
        <w:widowControl/>
        <w:kinsoku/>
        <w:wordWrap/>
        <w:overflowPunct/>
        <w:topLinePunct w:val="0"/>
        <w:autoSpaceDE/>
        <w:autoSpaceDN/>
        <w:bidi w:val="0"/>
        <w:adjustRightInd/>
        <w:snapToGrid/>
        <w:spacing w:line="336" w:lineRule="auto"/>
        <w:ind w:firstLine="840" w:firstLineChars="400"/>
        <w:jc w:val="left"/>
        <w:textAlignment w:val="auto"/>
        <w:outlineLvl w:val="9"/>
        <w:rPr>
          <w:rFonts w:hint="eastAsia"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b w:val="0"/>
          <w:bCs w:val="0"/>
          <w:snapToGrid w:val="0"/>
          <w:color w:val="auto"/>
          <w:kern w:val="0"/>
          <w:sz w:val="21"/>
          <w:szCs w:val="21"/>
          <w:highlight w:val="none"/>
          <w:lang w:val="en-US" w:eastAsia="zh-CN" w:bidi="ar-SA"/>
        </w:rPr>
        <w:t>合同履约期限：</w:t>
      </w:r>
      <w:r>
        <w:rPr>
          <w:rFonts w:hint="eastAsia" w:ascii="宋体" w:hAnsi="宋体" w:cs="宋体"/>
          <w:b/>
        </w:rPr>
        <w:t>自开工令发出之日起</w:t>
      </w:r>
      <w:r>
        <w:rPr>
          <w:rFonts w:hint="eastAsia" w:ascii="宋体" w:hAnsi="宋体" w:cs="宋体"/>
          <w:b/>
          <w:lang w:val="en-US" w:eastAsia="zh-CN"/>
        </w:rPr>
        <w:t>30</w:t>
      </w:r>
      <w:r>
        <w:rPr>
          <w:rFonts w:hint="eastAsia" w:ascii="宋体" w:hAnsi="宋体" w:cs="宋体"/>
          <w:b/>
        </w:rPr>
        <w:t>日历天内完成</w:t>
      </w:r>
    </w:p>
    <w:p w14:paraId="79A44B62">
      <w:pPr>
        <w:pStyle w:val="5"/>
        <w:keepNext w:val="0"/>
        <w:keepLines w:val="0"/>
        <w:pageBreakBefore w:val="0"/>
        <w:kinsoku/>
        <w:wordWrap/>
        <w:overflowPunct/>
        <w:topLinePunct w:val="0"/>
        <w:autoSpaceDE/>
        <w:autoSpaceDN/>
        <w:bidi w:val="0"/>
        <w:spacing w:line="336" w:lineRule="auto"/>
        <w:ind w:firstLine="900" w:firstLineChars="427"/>
        <w:textAlignment w:val="auto"/>
        <w:outlineLvl w:val="9"/>
        <w:rPr>
          <w:rFonts w:hAnsi="宋体" w:cs="宋体"/>
          <w:color w:val="auto"/>
          <w:kern w:val="0"/>
          <w:sz w:val="21"/>
          <w:szCs w:val="21"/>
          <w:highlight w:val="none"/>
        </w:rPr>
      </w:pPr>
      <w:r>
        <w:rPr>
          <w:rFonts w:hint="eastAsia" w:hAnsi="宋体" w:cs="宋体"/>
          <w:b/>
          <w:color w:val="auto"/>
          <w:sz w:val="21"/>
          <w:szCs w:val="21"/>
          <w:highlight w:val="none"/>
        </w:rPr>
        <w:t>本项目接受联合体投标：</w:t>
      </w:r>
      <w:sdt>
        <w:sdtPr>
          <w:rPr>
            <w:rFonts w:hint="eastAsia" w:hAnsi="宋体" w:cs="宋体"/>
            <w:color w:val="auto"/>
            <w:kern w:val="0"/>
            <w:sz w:val="21"/>
            <w:szCs w:val="21"/>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1"/>
            <w:szCs w:val="21"/>
            <w:highlight w:val="none"/>
          </w:rPr>
        </w:sdtEndPr>
        <w:sdtContent>
          <w:r>
            <w:rPr>
              <w:rFonts w:hint="eastAsia" w:ascii="MS Gothic" w:hAnsi="MS Gothic" w:eastAsia="宋体" w:cs="宋体"/>
              <w:snapToGrid w:val="0"/>
              <w:color w:val="auto"/>
              <w:kern w:val="0"/>
              <w:sz w:val="21"/>
              <w:szCs w:val="21"/>
              <w:highlight w:val="none"/>
              <w:lang w:val="en-US" w:eastAsia="zh-CN" w:bidi="ar-SA"/>
            </w:rPr>
            <w:t>☐</w:t>
          </w:r>
        </w:sdtContent>
      </w:sdt>
      <w:r>
        <w:rPr>
          <w:rFonts w:hint="eastAsia" w:hAnsi="宋体" w:cs="宋体"/>
          <w:b/>
          <w:color w:val="auto"/>
          <w:sz w:val="21"/>
          <w:szCs w:val="21"/>
          <w:highlight w:val="none"/>
        </w:rPr>
        <w:t>是</w:t>
      </w:r>
      <w:r>
        <w:rPr>
          <w:rFonts w:hint="eastAsia" w:hAnsi="宋体" w:cs="宋体"/>
          <w:b/>
          <w:snapToGrid/>
          <w:color w:val="auto"/>
          <w:kern w:val="2"/>
          <w:sz w:val="21"/>
          <w:szCs w:val="21"/>
          <w:highlight w:val="none"/>
          <w:lang w:eastAsia="zh-CN"/>
        </w:rPr>
        <w:t>；</w:t>
      </w:r>
      <w:sdt>
        <w:sdtPr>
          <w:rPr>
            <w:rFonts w:hint="eastAsia" w:hAnsi="宋体" w:cs="宋体"/>
            <w:color w:val="auto"/>
            <w:kern w:val="0"/>
            <w:sz w:val="21"/>
            <w:szCs w:val="21"/>
            <w:highlight w:val="none"/>
          </w:rPr>
          <w:id w:val="3"/>
          <w14:checkbox>
            <w14:checked w14:val="1"/>
            <w14:checkedState w14:val="00FE" w14:font="Wingdings"/>
            <w14:uncheckedState w14:val="2610" w14:font="MS Gothic"/>
          </w14:checkbox>
        </w:sdtPr>
        <w:sdtEndPr>
          <w:rPr>
            <w:rFonts w:hint="eastAsia" w:hAnsi="宋体" w:cs="宋体"/>
            <w:color w:val="auto"/>
            <w:kern w:val="0"/>
            <w:sz w:val="21"/>
            <w:szCs w:val="21"/>
            <w:highlight w:val="none"/>
          </w:rPr>
        </w:sdtEndPr>
        <w:sdtContent>
          <w:r>
            <w:rPr>
              <w:rFonts w:hint="eastAsia" w:ascii="Wingdings" w:hAnsi="Wingdings" w:eastAsia="宋体" w:cs="宋体"/>
              <w:snapToGrid w:val="0"/>
              <w:color w:val="auto"/>
              <w:kern w:val="0"/>
              <w:sz w:val="21"/>
              <w:szCs w:val="21"/>
              <w:highlight w:val="none"/>
              <w:lang w:val="en-US" w:eastAsia="zh-CN" w:bidi="ar-SA"/>
            </w:rPr>
            <w:t>þ</w:t>
          </w:r>
        </w:sdtContent>
      </w:sdt>
      <w:r>
        <w:rPr>
          <w:rFonts w:hint="eastAsia" w:hAnsi="宋体" w:cs="宋体"/>
          <w:b/>
          <w:color w:val="auto"/>
          <w:sz w:val="21"/>
          <w:szCs w:val="21"/>
          <w:highlight w:val="none"/>
        </w:rPr>
        <w:t>否</w:t>
      </w:r>
      <w:r>
        <w:rPr>
          <w:rFonts w:hint="eastAsia" w:hAnsi="宋体" w:cs="宋体"/>
          <w:color w:val="auto"/>
          <w:kern w:val="0"/>
          <w:sz w:val="21"/>
          <w:szCs w:val="21"/>
          <w:highlight w:val="none"/>
        </w:rPr>
        <w:t>。</w:t>
      </w:r>
    </w:p>
    <w:p w14:paraId="3D82D835">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二、</w:t>
      </w:r>
      <w:bookmarkStart w:id="11" w:name="_Hlk101132948"/>
      <w:r>
        <w:rPr>
          <w:rFonts w:hint="eastAsia" w:ascii="宋体" w:hAnsi="宋体" w:cs="宋体"/>
          <w:b/>
          <w:color w:val="auto"/>
          <w:sz w:val="21"/>
          <w:szCs w:val="21"/>
          <w:highlight w:val="none"/>
        </w:rPr>
        <w:t>申请人的资格要求</w:t>
      </w:r>
      <w:bookmarkEnd w:id="11"/>
      <w:r>
        <w:rPr>
          <w:rFonts w:hint="eastAsia" w:ascii="宋体" w:hAnsi="宋体" w:cs="宋体"/>
          <w:b/>
          <w:color w:val="auto"/>
          <w:sz w:val="21"/>
          <w:szCs w:val="21"/>
          <w:highlight w:val="none"/>
        </w:rPr>
        <w:t>：</w:t>
      </w:r>
    </w:p>
    <w:p w14:paraId="498F3ABE">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snapToGrid w:val="0"/>
          <w:color w:val="auto"/>
          <w:kern w:val="28"/>
          <w:sz w:val="21"/>
          <w:szCs w:val="21"/>
          <w:highlight w:val="none"/>
          <w:lang w:eastAsia="zh-CN"/>
        </w:rPr>
      </w:pPr>
      <w:r>
        <w:rPr>
          <w:rFonts w:hint="eastAsia" w:ascii="宋体" w:hAnsi="宋体" w:cs="宋体"/>
          <w:snapToGrid w:val="0"/>
          <w:color w:val="auto"/>
          <w:kern w:val="28"/>
          <w:sz w:val="21"/>
          <w:szCs w:val="21"/>
          <w:highlight w:val="none"/>
        </w:rPr>
        <w:t>1. 满足《中华人民共和国政府采购法》第二十二条规定</w:t>
      </w:r>
      <w:r>
        <w:rPr>
          <w:rFonts w:hint="eastAsia" w:ascii="宋体" w:hAnsi="宋体" w:cs="宋体"/>
          <w:snapToGrid w:val="0"/>
          <w:color w:val="auto"/>
          <w:kern w:val="28"/>
          <w:sz w:val="21"/>
          <w:szCs w:val="21"/>
          <w:highlight w:val="none"/>
          <w:lang w:eastAsia="zh-CN"/>
        </w:rPr>
        <w:t>；</w:t>
      </w:r>
      <w:r>
        <w:rPr>
          <w:rFonts w:hint="eastAsia" w:ascii="宋体" w:hAnsi="宋体" w:cs="宋体"/>
          <w:snapToGrid w:val="0"/>
          <w:color w:val="auto"/>
          <w:kern w:val="28"/>
          <w:sz w:val="21"/>
          <w:szCs w:val="21"/>
          <w:highlight w:val="none"/>
        </w:rPr>
        <w:t>未被“信用中国”（www.creditchina.gov.cn)、中国政府采购网（www.ccgp.gov.cn）列入失信被执行人、重大税收违法案件当事人名单（重大税收违法失信主体）、政府采购严重违法失信行为记录名单</w:t>
      </w:r>
      <w:r>
        <w:rPr>
          <w:rFonts w:hint="eastAsia" w:ascii="宋体" w:hAnsi="宋体" w:cs="宋体"/>
          <w:snapToGrid w:val="0"/>
          <w:color w:val="auto"/>
          <w:kern w:val="28"/>
          <w:sz w:val="21"/>
          <w:szCs w:val="21"/>
          <w:highlight w:val="none"/>
          <w:lang w:eastAsia="zh-CN"/>
        </w:rPr>
        <w:t>；</w:t>
      </w:r>
    </w:p>
    <w:p w14:paraId="640F3335">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snapToGrid w:val="0"/>
          <w:color w:val="auto"/>
          <w:kern w:val="28"/>
          <w:sz w:val="21"/>
          <w:szCs w:val="21"/>
          <w:highlight w:val="none"/>
          <w:lang w:eastAsia="zh-CN"/>
        </w:rPr>
      </w:pPr>
      <w:r>
        <w:rPr>
          <w:rFonts w:ascii="宋体" w:hAnsi="宋体" w:cs="宋体"/>
          <w:snapToGrid w:val="0"/>
          <w:color w:val="auto"/>
          <w:kern w:val="28"/>
          <w:sz w:val="21"/>
          <w:szCs w:val="21"/>
          <w:highlight w:val="none"/>
        </w:rPr>
        <w:t>2</w:t>
      </w:r>
      <w:r>
        <w:rPr>
          <w:rFonts w:hint="eastAsia" w:ascii="宋体" w:hAnsi="宋体" w:cs="宋体"/>
          <w:snapToGrid w:val="0"/>
          <w:color w:val="auto"/>
          <w:kern w:val="28"/>
          <w:sz w:val="21"/>
          <w:szCs w:val="21"/>
          <w:highlight w:val="none"/>
        </w:rPr>
        <w:t>.</w:t>
      </w:r>
      <w:r>
        <w:rPr>
          <w:rFonts w:hint="eastAsia"/>
          <w:color w:val="auto"/>
          <w:sz w:val="21"/>
          <w:szCs w:val="21"/>
          <w:highlight w:val="none"/>
        </w:rPr>
        <w:t xml:space="preserve"> </w:t>
      </w:r>
      <w:r>
        <w:rPr>
          <w:rFonts w:hint="eastAsia" w:ascii="宋体" w:hAnsi="宋体" w:cs="宋体"/>
          <w:snapToGrid w:val="0"/>
          <w:color w:val="auto"/>
          <w:kern w:val="28"/>
          <w:sz w:val="21"/>
          <w:szCs w:val="21"/>
          <w:highlight w:val="none"/>
        </w:rPr>
        <w:t>以联合体</w:t>
      </w:r>
      <w:r>
        <w:rPr>
          <w:rFonts w:hint="eastAsia" w:ascii="宋体" w:hAnsi="宋体" w:eastAsia="宋体" w:cs="宋体"/>
          <w:snapToGrid w:val="0"/>
          <w:color w:val="auto"/>
          <w:kern w:val="28"/>
          <w:sz w:val="21"/>
          <w:szCs w:val="21"/>
          <w:highlight w:val="none"/>
        </w:rPr>
        <w:t>形式</w:t>
      </w:r>
      <w:r>
        <w:rPr>
          <w:rFonts w:hint="eastAsia" w:ascii="宋体" w:hAnsi="宋体" w:cs="宋体"/>
          <w:snapToGrid w:val="0"/>
          <w:color w:val="auto"/>
          <w:kern w:val="28"/>
          <w:sz w:val="21"/>
          <w:szCs w:val="21"/>
          <w:highlight w:val="none"/>
        </w:rPr>
        <w:t>投标的，提供联合协议</w:t>
      </w:r>
      <w:r>
        <w:rPr>
          <w:rFonts w:hint="eastAsia" w:ascii="宋体" w:hAnsi="宋体" w:cs="宋体"/>
          <w:snapToGrid w:val="0"/>
          <w:color w:val="auto"/>
          <w:kern w:val="28"/>
          <w:sz w:val="21"/>
          <w:szCs w:val="21"/>
          <w:highlight w:val="none"/>
          <w:lang w:eastAsia="zh-CN"/>
        </w:rPr>
        <w:t>；</w:t>
      </w:r>
    </w:p>
    <w:p w14:paraId="4E74DC69">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ascii="宋体" w:hAnsi="宋体" w:cs="宋体"/>
          <w:snapToGrid w:val="0"/>
          <w:color w:val="auto"/>
          <w:kern w:val="28"/>
          <w:sz w:val="21"/>
          <w:szCs w:val="21"/>
          <w:highlight w:val="none"/>
        </w:rPr>
      </w:pPr>
      <w:r>
        <w:rPr>
          <w:rFonts w:ascii="宋体" w:hAnsi="宋体" w:cs="宋体"/>
          <w:snapToGrid w:val="0"/>
          <w:color w:val="auto"/>
          <w:kern w:val="28"/>
          <w:sz w:val="21"/>
          <w:szCs w:val="21"/>
          <w:highlight w:val="none"/>
        </w:rPr>
        <w:t>3</w:t>
      </w:r>
      <w:r>
        <w:rPr>
          <w:rFonts w:hint="eastAsia" w:ascii="宋体" w:hAnsi="宋体" w:cs="宋体"/>
          <w:snapToGrid w:val="0"/>
          <w:color w:val="auto"/>
          <w:kern w:val="28"/>
          <w:sz w:val="21"/>
          <w:szCs w:val="21"/>
          <w:highlight w:val="none"/>
        </w:rPr>
        <w:t>.</w:t>
      </w:r>
      <w:r>
        <w:rPr>
          <w:rFonts w:hint="eastAsia" w:ascii="宋体" w:hAnsi="宋体" w:cs="宋体"/>
          <w:snapToGrid w:val="0"/>
          <w:color w:val="auto"/>
          <w:kern w:val="28"/>
          <w:sz w:val="21"/>
          <w:szCs w:val="21"/>
          <w:highlight w:val="none"/>
          <w:lang w:val="en-US" w:eastAsia="zh-CN"/>
        </w:rPr>
        <w:t xml:space="preserve"> </w:t>
      </w:r>
      <w:r>
        <w:rPr>
          <w:rFonts w:hint="eastAsia" w:ascii="宋体" w:hAnsi="宋体" w:cs="宋体"/>
          <w:snapToGrid w:val="0"/>
          <w:color w:val="auto"/>
          <w:kern w:val="28"/>
          <w:sz w:val="21"/>
          <w:szCs w:val="21"/>
          <w:highlight w:val="none"/>
        </w:rPr>
        <w:t>落实政府采购政策需满足的资格要求：</w:t>
      </w:r>
    </w:p>
    <w:p w14:paraId="7180D19A">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hint="eastAsia" w:ascii="宋体" w:hAnsi="宋体" w:eastAsia="宋体" w:cs="宋体"/>
          <w:color w:val="auto"/>
          <w:sz w:val="21"/>
          <w:szCs w:val="21"/>
          <w:highlight w:val="none"/>
          <w:lang w:eastAsia="zh-CN"/>
        </w:rPr>
      </w:pPr>
      <w:sdt>
        <w:sdtPr>
          <w:rPr>
            <w:rFonts w:hint="eastAsia" w:ascii="宋体" w:hAnsi="宋体" w:cs="宋体"/>
            <w:color w:val="auto"/>
            <w:kern w:val="0"/>
            <w:sz w:val="21"/>
            <w:szCs w:val="21"/>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sz w:val="21"/>
          <w:szCs w:val="21"/>
          <w:highlight w:val="none"/>
        </w:rPr>
        <w:t>无</w:t>
      </w:r>
      <w:r>
        <w:rPr>
          <w:rFonts w:hint="eastAsia" w:ascii="宋体" w:hAnsi="宋体" w:cs="宋体"/>
          <w:color w:val="auto"/>
          <w:sz w:val="21"/>
          <w:szCs w:val="21"/>
          <w:highlight w:val="none"/>
          <w:lang w:eastAsia="zh-CN"/>
        </w:rPr>
        <w:t>；</w:t>
      </w:r>
    </w:p>
    <w:p w14:paraId="59FC60DD">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5"/>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MS Gothic"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专</w:t>
      </w:r>
      <w:r>
        <w:rPr>
          <w:rFonts w:hint="eastAsia" w:ascii="宋体" w:hAnsi="宋体" w:cs="宋体"/>
          <w:color w:val="auto"/>
          <w:sz w:val="21"/>
          <w:szCs w:val="21"/>
          <w:highlight w:val="none"/>
        </w:rPr>
        <w:t>门面向中小企业</w:t>
      </w:r>
    </w:p>
    <w:p w14:paraId="125F1EBA">
      <w:pPr>
        <w:keepNext w:val="0"/>
        <w:keepLines w:val="0"/>
        <w:pageBreakBefore w:val="0"/>
        <w:kinsoku/>
        <w:wordWrap/>
        <w:overflowPunct/>
        <w:topLinePunct w:val="0"/>
        <w:autoSpaceDE/>
        <w:autoSpaceDN/>
        <w:bidi w:val="0"/>
        <w:spacing w:line="336" w:lineRule="auto"/>
        <w:ind w:firstLine="785" w:firstLineChars="374"/>
        <w:textAlignment w:val="auto"/>
        <w:outlineLvl w:val="9"/>
        <w:rPr>
          <w:rFonts w:hint="eastAsia" w:ascii="宋体" w:hAnsi="宋体" w:eastAsia="宋体" w:cs="宋体"/>
          <w:color w:val="auto"/>
          <w:sz w:val="21"/>
          <w:szCs w:val="21"/>
          <w:highlight w:val="none"/>
          <w:u w:val="single"/>
          <w:lang w:eastAsia="zh-CN"/>
        </w:rPr>
      </w:pPr>
      <w:sdt>
        <w:sdtPr>
          <w:rPr>
            <w:rFonts w:hint="eastAsia" w:ascii="宋体" w:hAnsi="宋体" w:cs="宋体"/>
            <w:color w:val="auto"/>
            <w:kern w:val="0"/>
            <w:sz w:val="21"/>
            <w:szCs w:val="21"/>
            <w:highlight w:val="none"/>
          </w:rPr>
          <w:id w:val="6"/>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MS Gothic" w:cs="宋体"/>
              <w:color w:val="auto"/>
              <w:kern w:val="0"/>
              <w:sz w:val="21"/>
              <w:szCs w:val="21"/>
              <w:highlight w:val="none"/>
              <w:lang w:val="en-US" w:eastAsia="zh-CN" w:bidi="ar-SA"/>
            </w:rPr>
            <w:t>þ</w:t>
          </w:r>
        </w:sdtContent>
      </w:sdt>
      <w:r>
        <w:rPr>
          <w:rFonts w:hint="eastAsia" w:ascii="宋体" w:hAnsi="宋体" w:cs="宋体"/>
          <w:color w:val="auto"/>
          <w:sz w:val="21"/>
          <w:szCs w:val="21"/>
          <w:highlight w:val="none"/>
        </w:rPr>
        <w:t>货物全部由符合政策要求的中小企业制造，提供中小企业声明函</w:t>
      </w:r>
      <w:r>
        <w:rPr>
          <w:rFonts w:hint="eastAsia" w:ascii="宋体" w:hAnsi="宋体" w:cs="宋体"/>
          <w:color w:val="auto"/>
          <w:sz w:val="21"/>
          <w:szCs w:val="21"/>
          <w:highlight w:val="none"/>
          <w:lang w:eastAsia="zh-CN"/>
        </w:rPr>
        <w:t>；</w:t>
      </w:r>
    </w:p>
    <w:p w14:paraId="2557FFE8">
      <w:pPr>
        <w:keepNext w:val="0"/>
        <w:keepLines w:val="0"/>
        <w:pageBreakBefore w:val="0"/>
        <w:kinsoku/>
        <w:wordWrap/>
        <w:overflowPunct/>
        <w:topLinePunct w:val="0"/>
        <w:autoSpaceDE/>
        <w:autoSpaceDN/>
        <w:bidi w:val="0"/>
        <w:spacing w:line="336" w:lineRule="auto"/>
        <w:ind w:firstLine="785" w:firstLineChars="374"/>
        <w:textAlignment w:val="auto"/>
        <w:outlineLvl w:val="9"/>
        <w:rPr>
          <w:rFonts w:hint="eastAsia" w:ascii="宋体" w:hAnsi="宋体" w:eastAsia="宋体" w:cs="宋体"/>
          <w:color w:val="auto"/>
          <w:sz w:val="21"/>
          <w:szCs w:val="21"/>
          <w:highlight w:val="none"/>
          <w:lang w:eastAsia="zh-CN"/>
        </w:rPr>
      </w:pPr>
      <w:sdt>
        <w:sdtPr>
          <w:rPr>
            <w:rFonts w:hint="eastAsia" w:ascii="宋体" w:hAnsi="宋体" w:cs="宋体"/>
            <w:color w:val="auto"/>
            <w:kern w:val="0"/>
            <w:sz w:val="21"/>
            <w:szCs w:val="21"/>
            <w:highlight w:val="none"/>
          </w:rPr>
          <w:id w:val="7"/>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货物全部由符合政策要求的小微企业制造，提供中小企业声明函</w:t>
      </w:r>
      <w:r>
        <w:rPr>
          <w:rFonts w:hint="eastAsia" w:ascii="宋体" w:hAnsi="宋体" w:cs="宋体"/>
          <w:color w:val="auto"/>
          <w:sz w:val="21"/>
          <w:szCs w:val="21"/>
          <w:highlight w:val="none"/>
          <w:lang w:eastAsia="zh-CN"/>
        </w:rPr>
        <w:t>；</w:t>
      </w:r>
    </w:p>
    <w:p w14:paraId="6611B398">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hint="eastAsia" w:ascii="宋体" w:hAnsi="宋体" w:eastAsia="宋体" w:cs="宋体"/>
          <w:color w:val="auto"/>
          <w:sz w:val="21"/>
          <w:szCs w:val="21"/>
          <w:highlight w:val="none"/>
          <w:lang w:eastAsia="zh-CN"/>
        </w:rPr>
      </w:pPr>
      <w:sdt>
        <w:sdtPr>
          <w:rPr>
            <w:rFonts w:hint="eastAsia" w:ascii="宋体" w:hAnsi="宋体" w:cs="宋体"/>
            <w:color w:val="auto"/>
            <w:kern w:val="0"/>
            <w:sz w:val="21"/>
            <w:szCs w:val="21"/>
            <w:highlight w:val="none"/>
          </w:rPr>
          <w:id w:val="8"/>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bookmarkStart w:id="12" w:name="_Hlk101132524"/>
        </w:sdtContent>
      </w:sdt>
      <w:r>
        <w:rPr>
          <w:rFonts w:hint="eastAsia" w:ascii="宋体" w:hAnsi="宋体" w:cs="宋体"/>
          <w:color w:val="auto"/>
          <w:sz w:val="21"/>
          <w:szCs w:val="21"/>
          <w:highlight w:val="none"/>
        </w:rPr>
        <w:t>要求以联合体形式参加，提供联合协议和中小企业声明函，联合协议中中小企业合同金额应当达到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%，其中小微企业合同金额应当达到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pacing w:val="8"/>
          <w:kern w:val="0"/>
          <w:sz w:val="21"/>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1"/>
          <w:szCs w:val="21"/>
          <w:highlight w:val="none"/>
          <w:lang w:eastAsia="zh-CN"/>
        </w:rPr>
        <w:t>；</w:t>
      </w:r>
    </w:p>
    <w:bookmarkEnd w:id="12"/>
    <w:p w14:paraId="0AEA0D95">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hint="eastAsia" w:ascii="宋体" w:hAnsi="宋体" w:eastAsia="宋体" w:cs="宋体"/>
          <w:color w:val="auto"/>
          <w:sz w:val="21"/>
          <w:szCs w:val="21"/>
          <w:highlight w:val="none"/>
          <w:lang w:eastAsia="zh-CN"/>
        </w:rPr>
      </w:pPr>
      <w:sdt>
        <w:sdtPr>
          <w:rPr>
            <w:rFonts w:hint="eastAsia" w:ascii="宋体" w:hAnsi="宋体" w:cs="宋体"/>
            <w:color w:val="auto"/>
            <w:kern w:val="0"/>
            <w:sz w:val="21"/>
            <w:szCs w:val="21"/>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要求合同分包，提供分包意向协议和中小企业声明函，分包意向协议中中小企业合同金额应当达到达到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%，其中小微企业合同金额应当达到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pacing w:val="8"/>
          <w:kern w:val="0"/>
          <w:sz w:val="21"/>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1"/>
          <w:szCs w:val="21"/>
          <w:highlight w:val="none"/>
          <w:lang w:eastAsia="zh-CN"/>
        </w:rPr>
        <w:t>；</w:t>
      </w:r>
    </w:p>
    <w:p w14:paraId="16337628">
      <w:pPr>
        <w:keepNext w:val="0"/>
        <w:keepLines w:val="0"/>
        <w:pageBreakBefore w:val="0"/>
        <w:widowControl/>
        <w:numPr>
          <w:ilvl w:val="0"/>
          <w:numId w:val="1"/>
        </w:numPr>
        <w:kinsoku/>
        <w:wordWrap/>
        <w:overflowPunct/>
        <w:topLinePunct w:val="0"/>
        <w:autoSpaceDE/>
        <w:autoSpaceDN/>
        <w:bidi w:val="0"/>
        <w:adjustRightInd/>
        <w:snapToGrid/>
        <w:spacing w:line="336" w:lineRule="auto"/>
        <w:ind w:left="0" w:leftChars="0" w:firstLine="420" w:firstLineChars="200"/>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本项目的特定资格要求：</w:t>
      </w:r>
    </w:p>
    <w:p w14:paraId="71D62CDB">
      <w:pPr>
        <w:keepNext w:val="0"/>
        <w:keepLines w:val="0"/>
        <w:pageBreakBefore w:val="0"/>
        <w:widowControl/>
        <w:numPr>
          <w:ilvl w:val="0"/>
          <w:numId w:val="0"/>
        </w:numPr>
        <w:kinsoku/>
        <w:wordWrap/>
        <w:overflowPunct/>
        <w:topLinePunct w:val="0"/>
        <w:autoSpaceDE/>
        <w:autoSpaceDN/>
        <w:bidi w:val="0"/>
        <w:adjustRightInd/>
        <w:snapToGrid/>
        <w:spacing w:line="336" w:lineRule="auto"/>
        <w:ind w:firstLine="420" w:firstLineChars="200"/>
        <w:jc w:val="left"/>
        <w:textAlignment w:val="auto"/>
        <w:outlineLvl w:val="9"/>
        <w:rPr>
          <w:rFonts w:hint="eastAsia" w:ascii="宋体" w:hAnsi="宋体" w:cs="宋体"/>
          <w:color w:val="auto"/>
          <w:sz w:val="21"/>
          <w:szCs w:val="21"/>
          <w:highlight w:val="none"/>
        </w:rPr>
      </w:pPr>
      <w:r>
        <w:rPr>
          <w:rFonts w:hint="eastAsia" w:ascii="宋体" w:hAnsi="宋体" w:cs="宋体" w:eastAsiaTheme="minorEastAsia"/>
          <w:color w:val="auto"/>
          <w:sz w:val="21"/>
          <w:szCs w:val="21"/>
          <w:highlight w:val="none"/>
          <w:lang w:val="en-US" w:eastAsia="zh-CN"/>
        </w:rPr>
        <w:t>4.1</w:t>
      </w:r>
      <w:r>
        <w:rPr>
          <w:rFonts w:hint="eastAsia" w:asciiTheme="minorEastAsia" w:hAnsiTheme="minorEastAsia" w:eastAsiaTheme="minorEastAsia" w:cstheme="minorEastAsia"/>
          <w:b/>
          <w:bCs/>
          <w:color w:val="auto"/>
          <w:sz w:val="21"/>
          <w:szCs w:val="21"/>
        </w:rPr>
        <w:t>供应商须具备</w:t>
      </w:r>
      <w:r>
        <w:rPr>
          <w:rFonts w:hint="eastAsia" w:asciiTheme="minorEastAsia" w:hAnsiTheme="minorEastAsia" w:eastAsiaTheme="minorEastAsia" w:cstheme="minorEastAsia"/>
          <w:b/>
          <w:bCs/>
          <w:color w:val="auto"/>
          <w:sz w:val="21"/>
          <w:szCs w:val="21"/>
          <w:lang w:eastAsia="zh-CN"/>
        </w:rPr>
        <w:t>建筑装修装饰工程专业承包二级及以上资质</w:t>
      </w:r>
      <w:r>
        <w:rPr>
          <w:rFonts w:hint="eastAsia" w:asciiTheme="minorEastAsia" w:hAnsiTheme="minorEastAsia" w:eastAsiaTheme="minorEastAsia" w:cstheme="minorEastAsia"/>
          <w:b/>
          <w:bCs/>
          <w:color w:val="auto"/>
          <w:sz w:val="21"/>
          <w:szCs w:val="21"/>
        </w:rPr>
        <w:t>（对应资质应在“浙江省建筑市场监管公共服务系统”上资质动态核查结果处于“合格”状态）并具备有效的建筑施工企业安全生产许可证；</w:t>
      </w:r>
    </w:p>
    <w:p w14:paraId="1FE8554B">
      <w:pPr>
        <w:keepNext w:val="0"/>
        <w:keepLines w:val="0"/>
        <w:pageBreakBefore w:val="0"/>
        <w:widowControl/>
        <w:numPr>
          <w:ilvl w:val="0"/>
          <w:numId w:val="0"/>
        </w:numPr>
        <w:kinsoku/>
        <w:wordWrap/>
        <w:overflowPunct/>
        <w:topLinePunct w:val="0"/>
        <w:autoSpaceDE/>
        <w:autoSpaceDN/>
        <w:bidi w:val="0"/>
        <w:adjustRightInd/>
        <w:snapToGrid/>
        <w:spacing w:line="336" w:lineRule="auto"/>
        <w:ind w:firstLine="422" w:firstLineChars="200"/>
        <w:jc w:val="left"/>
        <w:textAlignment w:val="auto"/>
        <w:outlineLvl w:val="9"/>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4.2拟派项目经理资格:具备建筑工程专业的二级及以上注册建造师执业资格</w:t>
      </w:r>
      <w:r>
        <w:rPr>
          <w:rFonts w:hint="eastAsia" w:asciiTheme="minorEastAsia" w:hAnsiTheme="minorEastAsia" w:eastAsiaTheme="minorEastAsia" w:cstheme="minorEastAsia"/>
          <w:b/>
          <w:bCs/>
          <w:color w:val="auto"/>
          <w:sz w:val="21"/>
          <w:szCs w:val="21"/>
        </w:rPr>
        <w:t>并取得《项目负责人安全生产考核合格证书》</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且在投标截止日不得在其他任何在建合同工程中担任项目负责人（包括工程总承包项目中的施工负责人）。</w:t>
      </w:r>
    </w:p>
    <w:p w14:paraId="682DA8F1">
      <w:pPr>
        <w:keepNext w:val="0"/>
        <w:keepLines w:val="0"/>
        <w:pageBreakBefore w:val="0"/>
        <w:widowControl/>
        <w:numPr>
          <w:ilvl w:val="0"/>
          <w:numId w:val="0"/>
        </w:numPr>
        <w:kinsoku/>
        <w:wordWrap/>
        <w:overflowPunct/>
        <w:topLinePunct w:val="0"/>
        <w:autoSpaceDE/>
        <w:autoSpaceDN/>
        <w:bidi w:val="0"/>
        <w:adjustRightInd/>
        <w:snapToGrid/>
        <w:spacing w:line="336" w:lineRule="auto"/>
        <w:ind w:firstLine="420" w:firstLineChars="200"/>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未在中国裁判文书网有行贿犯罪相关记录。（以投标截止日当天中国裁判文书网查询结果为准，如相关记录已失效，供应商需提供相关证明资料</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若在开标当天因不可抗力事件导致无法查询且一时无法恢复查询的，可在中标公示期间对中标候选人进行事后查询。中标候选人在中国裁判文书网有行贿犯罪相关记录，采购</w:t>
      </w:r>
      <w:r>
        <w:rPr>
          <w:rFonts w:hint="eastAsia" w:ascii="宋体" w:hAnsi="宋体" w:cs="宋体"/>
          <w:color w:val="auto"/>
          <w:sz w:val="21"/>
          <w:szCs w:val="21"/>
          <w:highlight w:val="none"/>
          <w:lang w:val="en-US" w:eastAsia="zh-CN"/>
        </w:rPr>
        <w:t>人</w:t>
      </w:r>
      <w:r>
        <w:rPr>
          <w:rFonts w:hint="eastAsia" w:ascii="宋体" w:hAnsi="宋体" w:cs="宋体"/>
          <w:color w:val="auto"/>
          <w:sz w:val="21"/>
          <w:szCs w:val="21"/>
          <w:highlight w:val="none"/>
        </w:rPr>
        <w:t>将依法取消其中标资格）。</w:t>
      </w:r>
    </w:p>
    <w:p w14:paraId="64389A1C">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 xml:space="preserve">三、获取招标文件 </w:t>
      </w:r>
    </w:p>
    <w:p w14:paraId="294A3088">
      <w:pPr>
        <w:keepNext w:val="0"/>
        <w:keepLines w:val="0"/>
        <w:pageBreakBefore w:val="0"/>
        <w:kinsoku/>
        <w:wordWrap/>
        <w:overflowPunct/>
        <w:topLinePunct w:val="0"/>
        <w:autoSpaceDE/>
        <w:autoSpaceDN/>
        <w:bidi w:val="0"/>
        <w:spacing w:line="336" w:lineRule="auto"/>
        <w:ind w:firstLine="422" w:firstLineChars="200"/>
        <w:textAlignment w:val="auto"/>
        <w:outlineLvl w:val="9"/>
        <w:rPr>
          <w:rFonts w:ascii="宋体" w:hAnsi="宋体" w:cs="宋体"/>
          <w:color w:val="auto"/>
          <w:sz w:val="21"/>
          <w:szCs w:val="21"/>
          <w:highlight w:val="none"/>
        </w:rPr>
      </w:pPr>
      <w:r>
        <w:rPr>
          <w:rFonts w:hint="eastAsia" w:ascii="宋体" w:hAnsi="宋体" w:cs="宋体"/>
          <w:b/>
          <w:color w:val="auto"/>
          <w:sz w:val="21"/>
          <w:szCs w:val="21"/>
          <w:highlight w:val="none"/>
        </w:rPr>
        <w:t>时间：</w:t>
      </w:r>
      <w:r>
        <w:rPr>
          <w:rFonts w:hint="eastAsia" w:cs="宋体" w:asciiTheme="minorEastAsia" w:hAnsiTheme="minorEastAsia" w:eastAsiaTheme="minorEastAsia"/>
          <w:b w:val="0"/>
          <w:bCs/>
          <w:color w:val="auto"/>
          <w:sz w:val="21"/>
          <w:szCs w:val="21"/>
          <w:highlight w:val="none"/>
        </w:rPr>
        <w:t>202</w:t>
      </w:r>
      <w:r>
        <w:rPr>
          <w:rFonts w:hint="eastAsia" w:cs="宋体" w:asciiTheme="minorEastAsia" w:hAnsiTheme="minorEastAsia" w:eastAsiaTheme="minorEastAsia"/>
          <w:b w:val="0"/>
          <w:bCs/>
          <w:color w:val="auto"/>
          <w:sz w:val="21"/>
          <w:szCs w:val="21"/>
          <w:highlight w:val="none"/>
          <w:lang w:val="en-US" w:eastAsia="zh-CN"/>
        </w:rPr>
        <w:t>5</w:t>
      </w:r>
      <w:r>
        <w:rPr>
          <w:rFonts w:hint="eastAsia" w:cs="宋体" w:asciiTheme="minorEastAsia" w:hAnsiTheme="minorEastAsia" w:eastAsiaTheme="minorEastAsia"/>
          <w:b w:val="0"/>
          <w:bCs/>
          <w:color w:val="auto"/>
          <w:sz w:val="21"/>
          <w:szCs w:val="21"/>
          <w:highlight w:val="none"/>
        </w:rPr>
        <w:t>年</w:t>
      </w:r>
      <w:r>
        <w:rPr>
          <w:rFonts w:hint="eastAsia" w:cs="宋体" w:asciiTheme="minorEastAsia" w:hAnsiTheme="minorEastAsia" w:eastAsiaTheme="minorEastAsia"/>
          <w:b w:val="0"/>
          <w:bCs/>
          <w:color w:val="auto"/>
          <w:sz w:val="21"/>
          <w:szCs w:val="21"/>
          <w:highlight w:val="none"/>
          <w:lang w:val="en-US" w:eastAsia="zh-CN"/>
        </w:rPr>
        <w:t xml:space="preserve">   </w:t>
      </w:r>
      <w:r>
        <w:rPr>
          <w:rFonts w:hint="eastAsia" w:cs="宋体" w:asciiTheme="minorEastAsia" w:hAnsiTheme="minorEastAsia" w:eastAsiaTheme="minorEastAsia"/>
          <w:b w:val="0"/>
          <w:bCs/>
          <w:color w:val="auto"/>
          <w:sz w:val="21"/>
          <w:szCs w:val="21"/>
          <w:highlight w:val="none"/>
        </w:rPr>
        <w:t>月</w:t>
      </w:r>
      <w:r>
        <w:rPr>
          <w:rFonts w:hint="eastAsia" w:cs="宋体" w:asciiTheme="minorEastAsia" w:hAnsiTheme="minorEastAsia" w:eastAsiaTheme="minorEastAsia"/>
          <w:b w:val="0"/>
          <w:bCs/>
          <w:color w:val="auto"/>
          <w:sz w:val="21"/>
          <w:szCs w:val="21"/>
          <w:highlight w:val="none"/>
          <w:lang w:val="en-US" w:eastAsia="zh-CN"/>
        </w:rPr>
        <w:t xml:space="preserve"> </w:t>
      </w:r>
      <w:r>
        <w:rPr>
          <w:rFonts w:hint="eastAsia" w:cs="宋体" w:asciiTheme="minorEastAsia" w:hAnsiTheme="minorEastAsia" w:eastAsiaTheme="minorEastAsia"/>
          <w:b w:val="0"/>
          <w:bCs/>
          <w:color w:val="auto"/>
          <w:sz w:val="21"/>
          <w:szCs w:val="21"/>
          <w:highlight w:val="none"/>
        </w:rPr>
        <w:t>日至202</w:t>
      </w:r>
      <w:r>
        <w:rPr>
          <w:rFonts w:hint="eastAsia" w:cs="宋体" w:asciiTheme="minorEastAsia" w:hAnsiTheme="minorEastAsia" w:eastAsiaTheme="minorEastAsia"/>
          <w:b w:val="0"/>
          <w:bCs/>
          <w:color w:val="auto"/>
          <w:sz w:val="21"/>
          <w:szCs w:val="21"/>
          <w:highlight w:val="none"/>
          <w:lang w:val="en-US" w:eastAsia="zh-CN"/>
        </w:rPr>
        <w:t>5</w:t>
      </w:r>
      <w:r>
        <w:rPr>
          <w:rFonts w:hint="eastAsia" w:cs="宋体" w:asciiTheme="minorEastAsia" w:hAnsiTheme="minorEastAsia" w:eastAsiaTheme="minorEastAsia"/>
          <w:b w:val="0"/>
          <w:bCs/>
          <w:color w:val="auto"/>
          <w:sz w:val="21"/>
          <w:szCs w:val="21"/>
          <w:highlight w:val="none"/>
        </w:rPr>
        <w:t>年</w:t>
      </w:r>
      <w:r>
        <w:rPr>
          <w:rFonts w:hint="eastAsia" w:cs="宋体" w:asciiTheme="minorEastAsia" w:hAnsiTheme="minorEastAsia" w:eastAsiaTheme="minorEastAsia"/>
          <w:b w:val="0"/>
          <w:bCs/>
          <w:color w:val="auto"/>
          <w:sz w:val="21"/>
          <w:szCs w:val="21"/>
          <w:highlight w:val="none"/>
          <w:lang w:val="en-US" w:eastAsia="zh-CN"/>
        </w:rPr>
        <w:t xml:space="preserve">  </w:t>
      </w:r>
      <w:r>
        <w:rPr>
          <w:rFonts w:hint="eastAsia" w:cs="宋体" w:asciiTheme="minorEastAsia" w:hAnsiTheme="minorEastAsia" w:eastAsiaTheme="minorEastAsia"/>
          <w:b w:val="0"/>
          <w:bCs/>
          <w:color w:val="auto"/>
          <w:sz w:val="21"/>
          <w:szCs w:val="21"/>
          <w:highlight w:val="none"/>
        </w:rPr>
        <w:t>月</w:t>
      </w:r>
      <w:r>
        <w:rPr>
          <w:rFonts w:hint="eastAsia" w:cs="宋体" w:asciiTheme="minorEastAsia" w:hAnsiTheme="minorEastAsia" w:eastAsiaTheme="minorEastAsia"/>
          <w:b w:val="0"/>
          <w:bCs/>
          <w:color w:val="auto"/>
          <w:sz w:val="21"/>
          <w:szCs w:val="21"/>
          <w:highlight w:val="none"/>
          <w:lang w:val="en-US" w:eastAsia="zh-CN"/>
        </w:rPr>
        <w:t xml:space="preserve">  </w:t>
      </w:r>
      <w:r>
        <w:rPr>
          <w:rFonts w:hint="eastAsia" w:cs="宋体" w:asciiTheme="minorEastAsia" w:hAnsiTheme="minorEastAsia" w:eastAsiaTheme="minorEastAsia"/>
          <w:b w:val="0"/>
          <w:bCs/>
          <w:color w:val="auto"/>
          <w:sz w:val="21"/>
          <w:szCs w:val="21"/>
          <w:highlight w:val="none"/>
        </w:rPr>
        <w:t>日</w:t>
      </w:r>
      <w:r>
        <w:rPr>
          <w:rFonts w:hint="eastAsia" w:cs="宋体" w:asciiTheme="minorEastAsia" w:hAnsiTheme="minorEastAsia" w:eastAsiaTheme="minorEastAsia"/>
          <w:color w:val="auto"/>
          <w:sz w:val="21"/>
          <w:szCs w:val="21"/>
          <w:highlight w:val="none"/>
        </w:rPr>
        <w:t>，</w:t>
      </w:r>
      <w:r>
        <w:rPr>
          <w:rFonts w:hint="eastAsia" w:ascii="宋体" w:hAnsi="宋体" w:cs="宋体"/>
          <w:color w:val="auto"/>
          <w:sz w:val="21"/>
          <w:szCs w:val="21"/>
          <w:highlight w:val="none"/>
        </w:rPr>
        <w:t>每天上午00:00至12:00 ，下午12:00至23:59（北京时间，线上获取法定节假日均可，线下获取文件法定节假日除外）</w:t>
      </w:r>
    </w:p>
    <w:p w14:paraId="7A892F68">
      <w:pPr>
        <w:keepNext w:val="0"/>
        <w:keepLines w:val="0"/>
        <w:pageBreakBefore w:val="0"/>
        <w:kinsoku/>
        <w:wordWrap/>
        <w:overflowPunct/>
        <w:topLinePunct w:val="0"/>
        <w:autoSpaceDE/>
        <w:autoSpaceDN/>
        <w:bidi w:val="0"/>
        <w:spacing w:line="336" w:lineRule="auto"/>
        <w:ind w:firstLine="422" w:firstLineChars="200"/>
        <w:textAlignment w:val="auto"/>
        <w:outlineLvl w:val="9"/>
        <w:rPr>
          <w:rFonts w:ascii="宋体" w:hAnsi="宋体" w:cs="宋体"/>
          <w:color w:val="auto"/>
          <w:sz w:val="21"/>
          <w:szCs w:val="21"/>
          <w:highlight w:val="none"/>
        </w:rPr>
      </w:pPr>
      <w:r>
        <w:rPr>
          <w:rFonts w:hint="eastAsia" w:ascii="宋体" w:hAnsi="宋体" w:cs="宋体"/>
          <w:b/>
          <w:color w:val="auto"/>
          <w:sz w:val="21"/>
          <w:szCs w:val="21"/>
          <w:highlight w:val="none"/>
        </w:rPr>
        <w:t>地点（网址）：</w:t>
      </w:r>
      <w:r>
        <w:rPr>
          <w:rFonts w:hint="eastAsia" w:ascii="宋体" w:hAnsi="宋体" w:cs="宋体"/>
          <w:color w:val="auto"/>
          <w:sz w:val="21"/>
          <w:szCs w:val="21"/>
          <w:highlight w:val="none"/>
        </w:rPr>
        <w:t xml:space="preserve">政采云平台（https://www.zcygov.cn/） </w:t>
      </w:r>
    </w:p>
    <w:p w14:paraId="0FBB59E6">
      <w:pPr>
        <w:keepNext w:val="0"/>
        <w:keepLines w:val="0"/>
        <w:pageBreakBefore w:val="0"/>
        <w:kinsoku/>
        <w:wordWrap/>
        <w:overflowPunct/>
        <w:topLinePunct w:val="0"/>
        <w:autoSpaceDE/>
        <w:autoSpaceDN/>
        <w:bidi w:val="0"/>
        <w:spacing w:line="336" w:lineRule="auto"/>
        <w:ind w:firstLine="422" w:firstLineChars="200"/>
        <w:textAlignment w:val="auto"/>
        <w:outlineLvl w:val="9"/>
        <w:rPr>
          <w:rFonts w:ascii="宋体" w:hAnsi="宋体" w:cs="宋体"/>
          <w:color w:val="auto"/>
          <w:sz w:val="21"/>
          <w:szCs w:val="21"/>
          <w:highlight w:val="none"/>
        </w:rPr>
      </w:pPr>
      <w:r>
        <w:rPr>
          <w:rFonts w:hint="eastAsia" w:ascii="宋体" w:hAnsi="宋体" w:cs="宋体"/>
          <w:b/>
          <w:color w:val="auto"/>
          <w:sz w:val="21"/>
          <w:szCs w:val="21"/>
          <w:highlight w:val="none"/>
        </w:rPr>
        <w:t>方式：</w:t>
      </w:r>
      <w:r>
        <w:rPr>
          <w:rFonts w:hint="eastAsia" w:ascii="宋体" w:hAnsi="宋体" w:cs="宋体"/>
          <w:color w:val="auto"/>
          <w:sz w:val="21"/>
          <w:szCs w:val="21"/>
          <w:highlight w:val="none"/>
        </w:rPr>
        <w:t>供应商登录政采云平台https://www.zcygov.cn/在线申请获取</w:t>
      </w:r>
      <w:r>
        <w:rPr>
          <w:rFonts w:hint="eastAsia" w:ascii="宋体" w:hAnsi="宋体" w:cs="宋体"/>
          <w:color w:val="auto"/>
          <w:sz w:val="21"/>
          <w:szCs w:val="21"/>
          <w:highlight w:val="none"/>
          <w:lang w:eastAsia="zh-CN"/>
        </w:rPr>
        <w:t>招标文件</w:t>
      </w:r>
      <w:r>
        <w:rPr>
          <w:rFonts w:hint="eastAsia" w:ascii="宋体" w:hAnsi="宋体" w:cs="宋体"/>
          <w:color w:val="auto"/>
          <w:sz w:val="21"/>
          <w:szCs w:val="21"/>
          <w:highlight w:val="none"/>
        </w:rPr>
        <w:t>（进入“项目采购”应用，在获取</w:t>
      </w:r>
      <w:r>
        <w:rPr>
          <w:rFonts w:hint="eastAsia" w:ascii="宋体" w:hAnsi="宋体" w:cs="宋体"/>
          <w:color w:val="auto"/>
          <w:sz w:val="21"/>
          <w:szCs w:val="21"/>
          <w:highlight w:val="none"/>
          <w:lang w:eastAsia="zh-CN"/>
        </w:rPr>
        <w:t>招标文件</w:t>
      </w:r>
      <w:r>
        <w:rPr>
          <w:rFonts w:hint="eastAsia" w:ascii="宋体" w:hAnsi="宋体" w:cs="宋体"/>
          <w:color w:val="auto"/>
          <w:sz w:val="21"/>
          <w:szCs w:val="21"/>
          <w:highlight w:val="none"/>
        </w:rPr>
        <w:t>菜单中选择项目，申请获取</w:t>
      </w:r>
      <w:r>
        <w:rPr>
          <w:rFonts w:hint="eastAsia" w:ascii="宋体" w:hAnsi="宋体" w:cs="宋体"/>
          <w:color w:val="auto"/>
          <w:sz w:val="21"/>
          <w:szCs w:val="21"/>
          <w:highlight w:val="none"/>
          <w:lang w:eastAsia="zh-CN"/>
        </w:rPr>
        <w:t>招标文件</w:t>
      </w:r>
      <w:r>
        <w:rPr>
          <w:rFonts w:hint="eastAsia" w:ascii="宋体" w:hAnsi="宋体" w:cs="宋体"/>
          <w:color w:val="auto"/>
          <w:sz w:val="21"/>
          <w:szCs w:val="21"/>
          <w:highlight w:val="none"/>
        </w:rPr>
        <w:t xml:space="preserve">）。 </w:t>
      </w:r>
    </w:p>
    <w:p w14:paraId="3032CC5E">
      <w:pPr>
        <w:keepNext w:val="0"/>
        <w:keepLines w:val="0"/>
        <w:pageBreakBefore w:val="0"/>
        <w:kinsoku/>
        <w:wordWrap/>
        <w:overflowPunct/>
        <w:topLinePunct w:val="0"/>
        <w:autoSpaceDE/>
        <w:autoSpaceDN/>
        <w:bidi w:val="0"/>
        <w:spacing w:line="336" w:lineRule="auto"/>
        <w:ind w:firstLine="422" w:firstLineChars="200"/>
        <w:textAlignment w:val="auto"/>
        <w:outlineLvl w:val="9"/>
        <w:rPr>
          <w:rFonts w:ascii="宋体" w:hAnsi="宋体" w:cs="宋体"/>
          <w:color w:val="auto"/>
          <w:sz w:val="21"/>
          <w:szCs w:val="21"/>
          <w:highlight w:val="none"/>
        </w:rPr>
      </w:pPr>
      <w:r>
        <w:rPr>
          <w:rFonts w:hint="eastAsia" w:ascii="宋体" w:hAnsi="宋体" w:cs="宋体"/>
          <w:b/>
          <w:color w:val="auto"/>
          <w:sz w:val="21"/>
          <w:szCs w:val="21"/>
          <w:highlight w:val="none"/>
        </w:rPr>
        <w:t>售价（元）：</w:t>
      </w:r>
      <w:r>
        <w:rPr>
          <w:rFonts w:hint="eastAsia" w:ascii="宋体" w:hAnsi="宋体" w:cs="宋体"/>
          <w:color w:val="auto"/>
          <w:sz w:val="21"/>
          <w:szCs w:val="21"/>
          <w:highlight w:val="none"/>
        </w:rPr>
        <w:t xml:space="preserve">0 </w:t>
      </w:r>
    </w:p>
    <w:p w14:paraId="41FC2E4F">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四、提交投标文件截止时间、开标时间和地点</w:t>
      </w:r>
    </w:p>
    <w:p w14:paraId="64AD495C">
      <w:pPr>
        <w:keepNext w:val="0"/>
        <w:keepLines w:val="0"/>
        <w:pageBreakBefore w:val="0"/>
        <w:kinsoku/>
        <w:wordWrap/>
        <w:overflowPunct/>
        <w:topLinePunct w:val="0"/>
        <w:autoSpaceDE/>
        <w:autoSpaceDN/>
        <w:bidi w:val="0"/>
        <w:spacing w:line="336" w:lineRule="auto"/>
        <w:ind w:firstLine="422" w:firstLineChars="200"/>
        <w:textAlignment w:val="auto"/>
        <w:outlineLvl w:val="9"/>
        <w:rPr>
          <w:rFonts w:ascii="宋体" w:hAnsi="宋体" w:cs="宋体"/>
          <w:color w:val="auto"/>
          <w:sz w:val="21"/>
          <w:szCs w:val="21"/>
          <w:highlight w:val="none"/>
        </w:rPr>
      </w:pPr>
      <w:r>
        <w:rPr>
          <w:rFonts w:hint="eastAsia" w:ascii="宋体" w:hAnsi="宋体" w:cs="宋体"/>
          <w:b/>
          <w:color w:val="auto"/>
          <w:sz w:val="21"/>
          <w:szCs w:val="21"/>
          <w:highlight w:val="none"/>
        </w:rPr>
        <w:t>提交投标文件截止时间：</w:t>
      </w:r>
      <w:r>
        <w:rPr>
          <w:rFonts w:hint="eastAsia" w:ascii="宋体" w:hAnsi="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13</w:t>
      </w:r>
      <w:r>
        <w:rPr>
          <w:rFonts w:hint="eastAsia" w:ascii="宋体" w:hAnsi="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30</w:t>
      </w:r>
      <w:r>
        <w:rPr>
          <w:rFonts w:hint="eastAsia" w:ascii="宋体" w:hAnsi="宋体" w:cs="宋体"/>
          <w:color w:val="auto"/>
          <w:sz w:val="21"/>
          <w:szCs w:val="21"/>
          <w:highlight w:val="none"/>
          <w:u w:val="single"/>
        </w:rPr>
        <w:t>分00秒</w:t>
      </w:r>
      <w:r>
        <w:rPr>
          <w:rFonts w:hint="eastAsia" w:ascii="宋体" w:hAnsi="宋体" w:cs="宋体"/>
          <w:color w:val="auto"/>
          <w:sz w:val="21"/>
          <w:szCs w:val="21"/>
          <w:highlight w:val="none"/>
        </w:rPr>
        <w:t>（北京时间）</w:t>
      </w:r>
    </w:p>
    <w:p w14:paraId="677870CB">
      <w:pPr>
        <w:keepNext w:val="0"/>
        <w:keepLines w:val="0"/>
        <w:pageBreakBefore w:val="0"/>
        <w:kinsoku/>
        <w:wordWrap/>
        <w:overflowPunct/>
        <w:topLinePunct w:val="0"/>
        <w:autoSpaceDE/>
        <w:autoSpaceDN/>
        <w:bidi w:val="0"/>
        <w:spacing w:line="336" w:lineRule="auto"/>
        <w:ind w:firstLine="422" w:firstLineChars="200"/>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投标地点（网址）：</w:t>
      </w:r>
      <w:r>
        <w:rPr>
          <w:rFonts w:hint="eastAsia" w:asciiTheme="minorEastAsia" w:hAnsiTheme="minorEastAsia" w:eastAsiaTheme="minorEastAsia"/>
          <w:color w:val="auto"/>
          <w:sz w:val="21"/>
          <w:szCs w:val="21"/>
          <w:highlight w:val="none"/>
        </w:rPr>
        <w:t>政府采购云平台（http://www.zcygov.cn/）。</w:t>
      </w:r>
    </w:p>
    <w:p w14:paraId="476E2D85">
      <w:pPr>
        <w:keepNext w:val="0"/>
        <w:keepLines w:val="0"/>
        <w:pageBreakBefore w:val="0"/>
        <w:kinsoku/>
        <w:wordWrap/>
        <w:overflowPunct/>
        <w:topLinePunct w:val="0"/>
        <w:autoSpaceDE/>
        <w:autoSpaceDN/>
        <w:bidi w:val="0"/>
        <w:spacing w:line="336" w:lineRule="auto"/>
        <w:ind w:firstLine="422" w:firstLineChars="200"/>
        <w:textAlignment w:val="auto"/>
        <w:outlineLvl w:val="9"/>
        <w:rPr>
          <w:rFonts w:ascii="宋体" w:hAnsi="宋体" w:cs="宋体"/>
          <w:bCs/>
          <w:color w:val="auto"/>
          <w:sz w:val="21"/>
          <w:szCs w:val="21"/>
          <w:highlight w:val="none"/>
          <w:u w:val="single"/>
        </w:rPr>
      </w:pPr>
      <w:r>
        <w:rPr>
          <w:rFonts w:hint="eastAsia" w:ascii="宋体" w:hAnsi="宋体" w:cs="宋体"/>
          <w:b/>
          <w:color w:val="auto"/>
          <w:sz w:val="21"/>
          <w:szCs w:val="21"/>
          <w:highlight w:val="none"/>
        </w:rPr>
        <w:t>开标时间：</w:t>
      </w:r>
      <w:r>
        <w:rPr>
          <w:rFonts w:hint="eastAsia" w:ascii="宋体" w:hAnsi="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13</w:t>
      </w:r>
      <w:r>
        <w:rPr>
          <w:rFonts w:hint="eastAsia" w:ascii="宋体" w:hAnsi="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30</w:t>
      </w:r>
      <w:r>
        <w:rPr>
          <w:rFonts w:hint="eastAsia" w:ascii="宋体" w:hAnsi="宋体" w:cs="宋体"/>
          <w:color w:val="auto"/>
          <w:sz w:val="21"/>
          <w:szCs w:val="21"/>
          <w:highlight w:val="none"/>
          <w:u w:val="single"/>
        </w:rPr>
        <w:t>分00秒</w:t>
      </w:r>
    </w:p>
    <w:p w14:paraId="0432A811">
      <w:pPr>
        <w:keepNext w:val="0"/>
        <w:keepLines w:val="0"/>
        <w:pageBreakBefore w:val="0"/>
        <w:kinsoku/>
        <w:wordWrap/>
        <w:overflowPunct/>
        <w:topLinePunct w:val="0"/>
        <w:autoSpaceDE/>
        <w:autoSpaceDN/>
        <w:bidi w:val="0"/>
        <w:spacing w:line="336" w:lineRule="auto"/>
        <w:ind w:firstLine="422" w:firstLineChars="200"/>
        <w:textAlignment w:val="auto"/>
        <w:outlineLvl w:val="9"/>
        <w:rPr>
          <w:rFonts w:ascii="宋体" w:hAnsi="宋体" w:cs="宋体"/>
          <w:color w:val="auto"/>
          <w:sz w:val="21"/>
          <w:szCs w:val="21"/>
          <w:highlight w:val="none"/>
        </w:rPr>
      </w:pPr>
      <w:r>
        <w:rPr>
          <w:rFonts w:hint="eastAsia" w:ascii="宋体" w:hAnsi="宋体" w:cs="宋体"/>
          <w:b/>
          <w:color w:val="auto"/>
          <w:sz w:val="21"/>
          <w:szCs w:val="21"/>
          <w:highlight w:val="none"/>
        </w:rPr>
        <w:t>开标地点（网址）：</w:t>
      </w:r>
      <w:r>
        <w:rPr>
          <w:rFonts w:hint="eastAsia" w:asciiTheme="minorEastAsia" w:hAnsiTheme="minorEastAsia" w:eastAsiaTheme="minorEastAsia"/>
          <w:color w:val="auto"/>
          <w:sz w:val="21"/>
          <w:szCs w:val="21"/>
          <w:highlight w:val="none"/>
        </w:rPr>
        <w:t>政府采购云平台（http://www.zcygov.cn/）。</w:t>
      </w:r>
    </w:p>
    <w:p w14:paraId="54D6F372">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1"/>
          <w:szCs w:val="21"/>
          <w:highlight w:val="none"/>
        </w:rPr>
      </w:pPr>
      <w:r>
        <w:rPr>
          <w:rFonts w:hint="eastAsia" w:ascii="宋体" w:hAnsi="宋体" w:cs="宋体"/>
          <w:b/>
          <w:color w:val="auto"/>
          <w:sz w:val="21"/>
          <w:szCs w:val="21"/>
          <w:highlight w:val="none"/>
        </w:rPr>
        <w:t xml:space="preserve">五、公告期限 </w:t>
      </w:r>
    </w:p>
    <w:p w14:paraId="05E87FAB">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自本公告发布之日起5个工作日。</w:t>
      </w:r>
    </w:p>
    <w:p w14:paraId="13900116">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六、其他补充事宜</w:t>
      </w:r>
    </w:p>
    <w:p w14:paraId="493BDC6F">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 xml:space="preserve"> 1.</w:t>
      </w:r>
      <w:r>
        <w:rPr>
          <w:rFonts w:ascii="宋体" w:hAnsi="宋体" w:cs="宋体"/>
          <w:color w:val="auto"/>
          <w:sz w:val="21"/>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1"/>
          <w:szCs w:val="21"/>
          <w:highlight w:val="none"/>
        </w:rPr>
        <w:t>。</w:t>
      </w:r>
    </w:p>
    <w:p w14:paraId="1B50B9F0">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7A33DE">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0A7E5DB">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4.其他事项：</w:t>
      </w:r>
    </w:p>
    <w:p w14:paraId="6A32EA19">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（1）需要落实的政府采购政策：包括节约资源、保护环境、支持创新、促进中小企业发展等。详见招标文件的第二部分总则。</w:t>
      </w:r>
    </w:p>
    <w:p w14:paraId="488D88E4">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（2）电子招投标的说明：①电子招投标：本项目以数据电文形式，依托“政府采购云平台（www.zcygov.cn）”进行招投标活动，不接受纸质投标文件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②投标准备：注册账号--点击“商家入驻”，进行政府采购供应商资料填写</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申领CA数字证书---申领流程详见“浙江政府采购网-下载专区-电子交易客户端-CA驱动和申领流程”</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安装“政采云电子交易客户端”----前往“浙江政府采购网-下载专区-电子交易客户端”进行下载并安装</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③招标文件的获取：使用账号登录或者使用CA登录政采云平台</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进入“项目采购”应用，在获取</w:t>
      </w:r>
      <w:r>
        <w:rPr>
          <w:rFonts w:hint="eastAsia" w:ascii="宋体" w:hAnsi="宋体" w:cs="宋体"/>
          <w:color w:val="auto"/>
          <w:sz w:val="21"/>
          <w:szCs w:val="21"/>
          <w:highlight w:val="none"/>
          <w:lang w:eastAsia="zh-CN"/>
        </w:rPr>
        <w:t>招标文件</w:t>
      </w:r>
      <w:r>
        <w:rPr>
          <w:rFonts w:hint="eastAsia" w:ascii="宋体" w:hAnsi="宋体" w:cs="宋体"/>
          <w:color w:val="auto"/>
          <w:sz w:val="21"/>
          <w:szCs w:val="21"/>
          <w:highlight w:val="none"/>
        </w:rPr>
        <w:t>菜单中选择项目，获取招标文件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④投标文件的制作</w:t>
      </w:r>
      <w:r>
        <w:rPr>
          <w:rFonts w:hint="eastAsia" w:cs="仿宋_GB2312" w:asciiTheme="minorEastAsia" w:hAnsiTheme="minorEastAsia" w:eastAsiaTheme="minorEastAsia"/>
          <w:color w:val="auto"/>
          <w:sz w:val="21"/>
          <w:szCs w:val="21"/>
          <w:highlight w:val="none"/>
        </w:rPr>
        <w:t>（文件后缀为：jmbs）</w:t>
      </w:r>
      <w:r>
        <w:rPr>
          <w:rFonts w:hint="eastAsia" w:ascii="宋体" w:hAnsi="宋体" w:cs="宋体"/>
          <w:color w:val="auto"/>
          <w:sz w:val="21"/>
          <w:szCs w:val="21"/>
          <w:highlight w:val="none"/>
        </w:rPr>
        <w:t>：在“政采云电子交易客户端”中完成“填写基本信息”、“导入投标文件”、“标书关联”、“标书检查”、“电子签名”、“生成电子标书”等操作</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⑤采购人、</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将依托政采云平台完成本项目的电子交易活动，平台不接受未按上述方式获取招标文件的供应商进行投标活动</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⑥对未按上述方式获取招标文件的供应商对该文件提出的质疑，采购人或采购代理机构将不予处理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⑦不提供招标文件纸质版</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⑧投标文件的传输递交：投标供应商在投标截止时间前将加密的投标文件上传至政府采购云平台，还可以在投标截止时间前直接提交或者以邮政快递方式递交备份投标文件1份。备份投标文件</w:t>
      </w:r>
      <w:r>
        <w:rPr>
          <w:rFonts w:hint="eastAsia" w:ascii="宋体" w:hAnsi="宋体" w:cs="宋体"/>
          <w:color w:val="auto"/>
          <w:sz w:val="21"/>
          <w:szCs w:val="21"/>
          <w:highlight w:val="none"/>
          <w:lang w:eastAsia="zh-CN"/>
        </w:rPr>
        <w:t>（文件后缀为：bfbs）</w:t>
      </w:r>
      <w:r>
        <w:rPr>
          <w:rFonts w:hint="eastAsia" w:ascii="宋体" w:hAnsi="宋体" w:cs="宋体"/>
          <w:color w:val="auto"/>
          <w:sz w:val="21"/>
          <w:szCs w:val="21"/>
          <w:highlight w:val="none"/>
        </w:rPr>
        <w:t>的制作、存储、密封详见招标文件第二部分第15点—“备份投标文件”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未在电子交易平台传输递交投标文件的，投标无效</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⑩具体操作指南：详见政采云平台“服务中心-帮助文档-项目采购-操作流程-电子招投标-政府采购项目电子交易管理操作指南-供应商”。</w:t>
      </w:r>
    </w:p>
    <w:p w14:paraId="36302516">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（3）招标文件公告期限与招标公告的公告期限一致。</w:t>
      </w:r>
    </w:p>
    <w:p w14:paraId="783189AF">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hint="eastAsia"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lang w:val="en-US" w:eastAsia="zh-CN"/>
        </w:rPr>
        <w:t>4</w:t>
      </w:r>
      <w:r>
        <w:rPr>
          <w:rFonts w:hint="eastAsia" w:cs="宋体"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lang w:val="en-US" w:eastAsia="zh-CN"/>
        </w:rPr>
        <w:t>《第一部分  招标公告》中二、申请人的资格要求：第一条中的“重大税收违法案件当事人名单”即为“重大税收违法失信主体”。</w:t>
      </w:r>
      <w:r>
        <w:rPr>
          <w:rFonts w:hint="eastAsia" w:cs="宋体" w:asciiTheme="minorEastAsia" w:hAnsiTheme="minorEastAsia" w:eastAsiaTheme="minorEastAsia"/>
          <w:color w:val="auto"/>
          <w:sz w:val="21"/>
          <w:szCs w:val="21"/>
          <w:highlight w:val="none"/>
          <w:lang w:val="en-US" w:eastAsia="zh-CN"/>
        </w:rPr>
        <w:br w:type="textWrapping"/>
      </w:r>
      <w:r>
        <w:rPr>
          <w:rFonts w:hint="eastAsia" w:cs="宋体" w:asciiTheme="minorEastAsia" w:hAnsiTheme="minorEastAsia" w:eastAsiaTheme="minorEastAsia"/>
          <w:color w:val="auto"/>
          <w:sz w:val="21"/>
          <w:szCs w:val="21"/>
          <w:highlight w:val="none"/>
          <w:lang w:val="en-US" w:eastAsia="zh-CN"/>
        </w:rPr>
        <w:t xml:space="preserve">    （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EC29766">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七、对本次采购提出询问、质疑、投诉，请按以下方式联系</w:t>
      </w:r>
    </w:p>
    <w:p w14:paraId="45DF9879">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1.采购人信息</w:t>
      </w:r>
    </w:p>
    <w:p w14:paraId="0CD9D373">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    称：</w:t>
      </w:r>
      <w:r>
        <w:rPr>
          <w:rFonts w:hint="eastAsia" w:ascii="宋体" w:hAnsi="宋体" w:cs="宋体"/>
          <w:color w:val="auto"/>
          <w:sz w:val="21"/>
          <w:szCs w:val="21"/>
          <w:highlight w:val="none"/>
          <w:lang w:val="en-US" w:eastAsia="zh-CN"/>
        </w:rPr>
        <w:t>宁海县桃源街道回浦小学</w:t>
      </w:r>
    </w:p>
    <w:p w14:paraId="5327022E">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    址：宁海县桃源街道后徐村298号</w:t>
      </w:r>
    </w:p>
    <w:p w14:paraId="38F1F95C">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传    真：/</w:t>
      </w:r>
    </w:p>
    <w:p w14:paraId="3A083F39">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项目联系人（询问）：</w:t>
      </w:r>
      <w:r>
        <w:rPr>
          <w:rFonts w:hint="eastAsia" w:ascii="宋体" w:hAnsi="宋体" w:cs="宋体"/>
          <w:color w:val="auto"/>
          <w:sz w:val="21"/>
          <w:szCs w:val="21"/>
          <w:highlight w:val="none"/>
          <w:lang w:val="en-US" w:eastAsia="zh-CN"/>
        </w:rPr>
        <w:t>田老师</w:t>
      </w:r>
    </w:p>
    <w:p w14:paraId="0564C37C">
      <w:pPr>
        <w:keepNext w:val="0"/>
        <w:keepLines w:val="0"/>
        <w:pageBreakBefore w:val="0"/>
        <w:kinsoku/>
        <w:wordWrap/>
        <w:overflowPunct/>
        <w:topLinePunct w:val="0"/>
        <w:autoSpaceDE/>
        <w:autoSpaceDN/>
        <w:bidi w:val="0"/>
        <w:spacing w:line="336" w:lineRule="auto"/>
        <w:ind w:firstLine="480"/>
        <w:textAlignment w:val="auto"/>
        <w:outlineLvl w:val="9"/>
        <w:rPr>
          <w:rFonts w:hint="default"/>
          <w:lang w:val="en-US" w:eastAsia="zh-CN"/>
        </w:rPr>
      </w:pPr>
      <w:r>
        <w:rPr>
          <w:rFonts w:hint="eastAsia" w:ascii="宋体" w:hAnsi="宋体" w:eastAsia="宋体" w:cs="宋体"/>
          <w:color w:val="auto"/>
          <w:sz w:val="21"/>
          <w:szCs w:val="21"/>
          <w:highlight w:val="none"/>
          <w:lang w:val="en-US" w:eastAsia="zh-CN"/>
        </w:rPr>
        <w:t>项目联系方式（询问）：</w:t>
      </w:r>
      <w:r>
        <w:rPr>
          <w:rFonts w:hint="eastAsia" w:ascii="宋体" w:hAnsi="宋体" w:cs="宋体"/>
          <w:color w:val="auto"/>
          <w:sz w:val="21"/>
          <w:szCs w:val="21"/>
          <w:highlight w:val="none"/>
          <w:lang w:val="en-US" w:eastAsia="zh-CN"/>
        </w:rPr>
        <w:t>1377</w:t>
      </w:r>
      <w:bookmarkStart w:id="944" w:name="_GoBack"/>
      <w:bookmarkEnd w:id="944"/>
      <w:r>
        <w:rPr>
          <w:rFonts w:hint="eastAsia" w:ascii="宋体" w:hAnsi="宋体" w:cs="宋体"/>
          <w:color w:val="auto"/>
          <w:sz w:val="21"/>
          <w:szCs w:val="21"/>
          <w:highlight w:val="none"/>
          <w:lang w:val="en-US" w:eastAsia="zh-CN"/>
        </w:rPr>
        <w:t>7211419</w:t>
      </w:r>
    </w:p>
    <w:p w14:paraId="379D7CD9">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p>
    <w:p w14:paraId="3ECEA7F2">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2.采购代理机构信息</w:t>
      </w:r>
    </w:p>
    <w:p w14:paraId="72E65CFA">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名    称：宁海童氏工程管理咨询有限公司</w:t>
      </w:r>
    </w:p>
    <w:p w14:paraId="0D1E5911">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地    址：宁海县时代大道178号四楼</w:t>
      </w:r>
    </w:p>
    <w:p w14:paraId="73468D79">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传    真：0574-82533300</w:t>
      </w:r>
    </w:p>
    <w:p w14:paraId="601E88BE">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项目联系人（询问）：胡云燕</w:t>
      </w:r>
    </w:p>
    <w:p w14:paraId="6539B822">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项目联系方式（询问）：0574-82533300</w:t>
      </w:r>
    </w:p>
    <w:p w14:paraId="1A352E46">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质疑联系人：葛振球</w:t>
      </w:r>
    </w:p>
    <w:p w14:paraId="7AD2EE7E">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质疑联系方式：0574-82533300</w:t>
      </w:r>
    </w:p>
    <w:p w14:paraId="7800AE38">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p>
    <w:p w14:paraId="48E820A3">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3.同级政府采购监督管理部门：</w:t>
      </w:r>
    </w:p>
    <w:p w14:paraId="688091FB">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名    称：宁海县政府采购管理办公室             </w:t>
      </w:r>
    </w:p>
    <w:p w14:paraId="4849ED6B">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地    址：宁海县跃龙街道桃源中路218号            </w:t>
      </w:r>
    </w:p>
    <w:p w14:paraId="5B4F65B2">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传    真：0574-65265612            </w:t>
      </w:r>
    </w:p>
    <w:p w14:paraId="41124BA8">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联系人 ：王老师             </w:t>
      </w:r>
    </w:p>
    <w:p w14:paraId="25EF81BA">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投诉电话：0574-65265668 </w:t>
      </w:r>
    </w:p>
    <w:p w14:paraId="7D15BC85">
      <w:pPr>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14:paraId="4C0D7A6B">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95763</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获取热线服务帮助。</w:t>
      </w:r>
    </w:p>
    <w:p w14:paraId="54C26877">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hAnsi="宋体" w:cs="宋体"/>
          <w:b/>
          <w:color w:val="auto"/>
          <w:sz w:val="21"/>
          <w:szCs w:val="21"/>
          <w:highlight w:val="none"/>
        </w:rPr>
      </w:pPr>
      <w:r>
        <w:rPr>
          <w:rFonts w:hint="eastAsia" w:ascii="宋体" w:hAnsi="宋体" w:cs="宋体"/>
          <w:color w:val="auto"/>
          <w:sz w:val="21"/>
          <w:szCs w:val="21"/>
          <w:highlight w:val="none"/>
        </w:rPr>
        <w:t>CA问题联系电话（人工）：汇信CA 400-888-4636</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天谷CA 400-087-8198。</w:t>
      </w:r>
    </w:p>
    <w:p w14:paraId="4A3FAAD7">
      <w:pPr>
        <w:tabs>
          <w:tab w:val="left" w:pos="432"/>
        </w:tabs>
        <w:kinsoku/>
        <w:wordWrap/>
        <w:overflowPunct/>
        <w:topLinePunct w:val="0"/>
        <w:bidi w:val="0"/>
        <w:outlineLvl w:val="9"/>
        <w:rPr>
          <w:rFonts w:ascii="宋体"/>
          <w:snapToGrid w:val="0"/>
          <w:color w:val="auto"/>
          <w:sz w:val="21"/>
          <w:szCs w:val="21"/>
          <w:highlight w:val="none"/>
        </w:rPr>
      </w:pPr>
      <w:r>
        <w:rPr>
          <w:color w:val="auto"/>
          <w:sz w:val="21"/>
          <w:szCs w:val="21"/>
          <w:highlight w:val="none"/>
        </w:rPr>
        <w:br w:type="page"/>
      </w:r>
    </w:p>
    <w:bookmarkEnd w:id="7"/>
    <w:bookmarkEnd w:id="8"/>
    <w:p w14:paraId="50C2706D">
      <w:pPr>
        <w:numPr>
          <w:ilvl w:val="0"/>
          <w:numId w:val="0"/>
        </w:numPr>
        <w:kinsoku/>
        <w:wordWrap/>
        <w:overflowPunct/>
        <w:topLinePunct w:val="0"/>
        <w:bidi w:val="0"/>
        <w:adjustRightInd/>
        <w:spacing w:line="360" w:lineRule="auto"/>
        <w:jc w:val="center"/>
        <w:outlineLvl w:val="0"/>
        <w:rPr>
          <w:sz w:val="36"/>
          <w:szCs w:val="36"/>
        </w:rPr>
      </w:pPr>
      <w:r>
        <w:rPr>
          <w:rFonts w:hint="eastAsia"/>
          <w:b/>
          <w:bCs/>
          <w:color w:val="auto"/>
          <w:sz w:val="36"/>
          <w:szCs w:val="36"/>
          <w:highlight w:val="none"/>
          <w:lang w:eastAsia="zh-CN"/>
        </w:rPr>
        <w:t>第二部分</w:t>
      </w:r>
      <w:r>
        <w:rPr>
          <w:rFonts w:hint="eastAsia"/>
          <w:b/>
          <w:bCs/>
          <w:color w:val="auto"/>
          <w:sz w:val="36"/>
          <w:szCs w:val="36"/>
          <w:highlight w:val="none"/>
          <w:lang w:val="en-US" w:eastAsia="zh-CN"/>
        </w:rPr>
        <w:t xml:space="preserve">  </w:t>
      </w:r>
      <w:r>
        <w:rPr>
          <w:rFonts w:hint="eastAsia"/>
          <w:b/>
          <w:bCs/>
          <w:color w:val="auto"/>
          <w:sz w:val="36"/>
          <w:szCs w:val="36"/>
          <w:highlight w:val="none"/>
        </w:rPr>
        <w:t>磋商采购资料表</w:t>
      </w:r>
    </w:p>
    <w:p w14:paraId="35E69C98">
      <w:pPr>
        <w:numPr>
          <w:ilvl w:val="0"/>
          <w:numId w:val="0"/>
        </w:numPr>
        <w:kinsoku/>
        <w:wordWrap/>
        <w:overflowPunct/>
        <w:topLinePunct w:val="0"/>
        <w:bidi w:val="0"/>
        <w:adjustRightInd/>
        <w:spacing w:line="360" w:lineRule="auto"/>
        <w:jc w:val="center"/>
        <w:outlineLvl w:val="0"/>
      </w:pPr>
      <w:r>
        <w:rPr>
          <w:rFonts w:hint="eastAsia" w:ascii="宋体" w:hAnsi="宋体" w:cs="宋体"/>
          <w:b/>
          <w:color w:val="auto"/>
          <w:sz w:val="32"/>
          <w:szCs w:val="20"/>
          <w:highlight w:val="none"/>
        </w:rPr>
        <w:t>前附表</w:t>
      </w:r>
    </w:p>
    <w:tbl>
      <w:tblPr>
        <w:tblStyle w:val="62"/>
        <w:tblpPr w:leftFromText="180" w:rightFromText="180" w:vertAnchor="text" w:horzAnchor="page" w:tblpX="1546" w:tblpY="611"/>
        <w:tblOverlap w:val="never"/>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715"/>
        <w:gridCol w:w="6690"/>
      </w:tblGrid>
      <w:tr w14:paraId="7AC7C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tcPr>
          <w:p w14:paraId="7B9195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715" w:type="dxa"/>
            <w:vAlign w:val="center"/>
          </w:tcPr>
          <w:p w14:paraId="768393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rPr>
              <w:t>事项</w:t>
            </w:r>
          </w:p>
        </w:tc>
        <w:tc>
          <w:tcPr>
            <w:tcW w:w="6690" w:type="dxa"/>
            <w:vAlign w:val="center"/>
          </w:tcPr>
          <w:p w14:paraId="0B88E5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rPr>
              <w:t>本项目的特别规定</w:t>
            </w:r>
          </w:p>
        </w:tc>
      </w:tr>
      <w:tr w14:paraId="5057B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1A4DCA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15" w:type="dxa"/>
            <w:vAlign w:val="center"/>
          </w:tcPr>
          <w:p w14:paraId="7A02C9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rPr>
              <w:t>项目属性与核心产品</w:t>
            </w:r>
          </w:p>
        </w:tc>
        <w:tc>
          <w:tcPr>
            <w:tcW w:w="6690" w:type="dxa"/>
            <w:vAlign w:val="center"/>
          </w:tcPr>
          <w:p w14:paraId="0083C25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货物类，单一产品或核心产品为：</w:t>
            </w:r>
          </w:p>
          <w:p w14:paraId="0BB4EE6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eastAsia" w:ascii="宋体" w:hAnsi="宋体" w:cs="宋体"/>
                <w:color w:val="auto"/>
                <w:sz w:val="21"/>
                <w:szCs w:val="21"/>
                <w:highlight w:val="none"/>
                <w:u w:val="none"/>
                <w:lang w:eastAsia="zh-CN"/>
              </w:rPr>
            </w:pPr>
            <w:r>
              <w:rPr>
                <w:rFonts w:hint="eastAsia" w:ascii="宋体" w:hAnsi="宋体" w:cs="宋体"/>
                <w:color w:val="auto"/>
                <w:sz w:val="21"/>
                <w:szCs w:val="21"/>
                <w:highlight w:val="none"/>
                <w:lang w:val="en-US" w:eastAsia="zh-CN"/>
              </w:rPr>
              <w:t>标项一：</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p>
        </w:tc>
      </w:tr>
      <w:tr w14:paraId="08E2B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28EB204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715" w:type="dxa"/>
            <w:vAlign w:val="center"/>
          </w:tcPr>
          <w:p w14:paraId="3940A5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rPr>
              <w:t>采购标的及其对应的中小企业划分标准所属行业</w:t>
            </w:r>
          </w:p>
        </w:tc>
        <w:tc>
          <w:tcPr>
            <w:tcW w:w="6690" w:type="dxa"/>
            <w:vAlign w:val="center"/>
          </w:tcPr>
          <w:p w14:paraId="7E7EFEF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0" w:lineRule="exact"/>
              <w:ind w:left="0" w:right="0" w:rightChars="0"/>
              <w:textAlignment w:val="auto"/>
              <w:outlineLvl w:val="9"/>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标的：</w:t>
            </w:r>
          </w:p>
          <w:p w14:paraId="76C87DC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0" w:lineRule="exact"/>
              <w:ind w:left="0" w:right="0" w:rightChars="0"/>
              <w:textAlignment w:val="auto"/>
              <w:outlineLvl w:val="9"/>
              <w:rPr>
                <w:rFonts w:hint="eastAsia" w:ascii="宋体" w:hAnsi="宋体" w:eastAsia="宋体" w:cs="宋体"/>
                <w:color w:val="auto"/>
                <w:kern w:val="0"/>
                <w:sz w:val="21"/>
                <w:szCs w:val="21"/>
                <w:highlight w:val="none"/>
                <w:u w:val="single"/>
                <w:lang w:eastAsia="zh-CN"/>
              </w:rPr>
            </w:pPr>
            <w:r>
              <w:rPr>
                <w:rFonts w:hint="eastAsia" w:ascii="宋体" w:hAnsi="宋体" w:cs="宋体"/>
                <w:color w:val="auto"/>
                <w:kern w:val="0"/>
                <w:sz w:val="21"/>
                <w:szCs w:val="21"/>
                <w:highlight w:val="none"/>
                <w:u w:val="none"/>
                <w:lang w:val="en-US" w:eastAsia="zh-CN"/>
              </w:rPr>
              <w:t>标项一：</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eastAsia="zh-CN"/>
              </w:rPr>
              <w:t>宁海县桃源街道回浦小学教学楼中庭窗户等维修工程</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w:t>
            </w:r>
            <w:r>
              <w:rPr>
                <w:rFonts w:hint="eastAsia" w:ascii="宋体" w:hAnsi="宋体" w:eastAsia="宋体" w:cs="宋体"/>
                <w:color w:val="auto"/>
                <w:kern w:val="0"/>
                <w:sz w:val="21"/>
                <w:szCs w:val="21"/>
                <w:highlight w:val="none"/>
                <w:u w:val="none"/>
                <w:lang w:eastAsia="zh-CN"/>
              </w:rPr>
              <w:t>属于</w:t>
            </w:r>
            <w:r>
              <w:rPr>
                <w:rFonts w:hint="eastAsia" w:ascii="宋体" w:hAnsi="宋体" w:eastAsia="宋体" w:cs="宋体"/>
                <w:color w:val="auto"/>
                <w:kern w:val="0"/>
                <w:sz w:val="21"/>
                <w:szCs w:val="21"/>
                <w:highlight w:val="none"/>
                <w:u w:val="single"/>
                <w:lang w:val="en-US" w:eastAsia="zh-CN"/>
              </w:rPr>
              <w:t xml:space="preserve"> 建筑业 </w:t>
            </w:r>
            <w:r>
              <w:rPr>
                <w:rFonts w:hint="eastAsia" w:ascii="宋体" w:hAnsi="宋体" w:eastAsia="宋体" w:cs="宋体"/>
                <w:color w:val="auto"/>
                <w:kern w:val="0"/>
                <w:sz w:val="21"/>
                <w:szCs w:val="21"/>
                <w:highlight w:val="none"/>
                <w:u w:val="single"/>
                <w:lang w:eastAsia="zh-CN"/>
              </w:rPr>
              <w:t>。</w:t>
            </w:r>
          </w:p>
          <w:p w14:paraId="762369B7">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0" w:lineRule="exact"/>
              <w:ind w:left="0" w:right="0" w:rightChars="0"/>
              <w:textAlignment w:val="auto"/>
              <w:outlineLvl w:val="9"/>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（2）本项目专门面向中小企业。</w:t>
            </w:r>
          </w:p>
        </w:tc>
      </w:tr>
      <w:tr w14:paraId="465C9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629" w:type="dxa"/>
            <w:vAlign w:val="center"/>
          </w:tcPr>
          <w:p w14:paraId="502AAC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715" w:type="dxa"/>
            <w:vAlign w:val="center"/>
          </w:tcPr>
          <w:p w14:paraId="69D6936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rPr>
              <w:t>是否允许采购进口产品</w:t>
            </w:r>
          </w:p>
        </w:tc>
        <w:tc>
          <w:tcPr>
            <w:tcW w:w="6690" w:type="dxa"/>
            <w:vAlign w:val="center"/>
          </w:tcPr>
          <w:p w14:paraId="23B5016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47451097"/>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本项目不允许采购进口产品。</w:t>
            </w:r>
          </w:p>
          <w:p w14:paraId="78A0750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eastAsia" w:ascii="宋体" w:hAnsi="宋体" w:cs="宋体"/>
                <w:color w:val="auto"/>
                <w:kern w:val="0"/>
                <w:sz w:val="21"/>
                <w:szCs w:val="21"/>
                <w:highlight w:val="none"/>
                <w:lang w:eastAsia="zh-CN"/>
              </w:rPr>
            </w:pPr>
            <w:sdt>
              <w:sdtPr>
                <w:rPr>
                  <w:rFonts w:hint="eastAsia" w:ascii="宋体" w:hAnsi="宋体" w:cs="宋体"/>
                  <w:color w:val="auto"/>
                  <w:kern w:val="0"/>
                  <w:sz w:val="21"/>
                  <w:szCs w:val="21"/>
                  <w:highlight w:val="none"/>
                </w:rPr>
                <w:id w:val="147463262"/>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lang w:val="en-US" w:eastAsia="zh-CN"/>
              </w:rPr>
              <w:t>标项一：可</w:t>
            </w:r>
            <w:r>
              <w:rPr>
                <w:rFonts w:hint="eastAsia" w:ascii="宋体" w:hAnsi="宋体" w:cs="宋体"/>
                <w:color w:val="auto"/>
                <w:kern w:val="0"/>
                <w:sz w:val="21"/>
                <w:szCs w:val="21"/>
                <w:highlight w:val="none"/>
              </w:rPr>
              <w:t>以就</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rPr>
              <w:t>采购进口产品</w:t>
            </w:r>
            <w:r>
              <w:rPr>
                <w:rFonts w:hint="eastAsia" w:ascii="宋体" w:hAnsi="宋体" w:cs="宋体"/>
                <w:color w:val="auto"/>
                <w:kern w:val="0"/>
                <w:sz w:val="21"/>
                <w:szCs w:val="21"/>
                <w:highlight w:val="none"/>
                <w:lang w:eastAsia="zh-CN"/>
              </w:rPr>
              <w:t>。</w:t>
            </w:r>
          </w:p>
        </w:tc>
      </w:tr>
      <w:tr w14:paraId="1D87E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1501D7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715" w:type="dxa"/>
            <w:vAlign w:val="center"/>
          </w:tcPr>
          <w:p w14:paraId="24CA24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422" w:firstLineChars="200"/>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rPr>
              <w:t>分包</w:t>
            </w:r>
          </w:p>
        </w:tc>
        <w:tc>
          <w:tcPr>
            <w:tcW w:w="6690" w:type="dxa"/>
            <w:vAlign w:val="center"/>
          </w:tcPr>
          <w:p w14:paraId="5250D3E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eastAsia" w:ascii="宋体" w:hAnsi="宋体" w:cs="宋体"/>
                <w:color w:val="auto"/>
                <w:sz w:val="21"/>
                <w:szCs w:val="21"/>
                <w:highlight w:val="none"/>
              </w:rPr>
            </w:pPr>
            <w:sdt>
              <w:sdtPr>
                <w:rPr>
                  <w:rFonts w:hint="eastAsia" w:ascii="宋体" w:hAnsi="宋体" w:cs="宋体"/>
                  <w:color w:val="auto"/>
                  <w:kern w:val="0"/>
                  <w:sz w:val="21"/>
                  <w:szCs w:val="21"/>
                  <w:highlight w:val="none"/>
                </w:rPr>
                <w:id w:val="147476050"/>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default"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rPr>
              <w:t xml:space="preserve"> A</w:t>
            </w:r>
            <w:r>
              <w:rPr>
                <w:rFonts w:hint="eastAsia" w:ascii="宋体" w:hAnsi="宋体" w:cs="宋体"/>
                <w:color w:val="auto"/>
                <w:sz w:val="21"/>
                <w:szCs w:val="21"/>
                <w:highlight w:val="none"/>
              </w:rPr>
              <w:t>同意将非主体、非关键性的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工作分包。</w:t>
            </w:r>
          </w:p>
          <w:p w14:paraId="066F8F5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color w:val="auto"/>
                <w:sz w:val="21"/>
                <w:szCs w:val="21"/>
                <w:highlight w:val="none"/>
              </w:rPr>
            </w:pPr>
            <w:sdt>
              <w:sdtPr>
                <w:rPr>
                  <w:rFonts w:hint="eastAsia" w:ascii="宋体" w:hAnsi="宋体" w:cs="宋体"/>
                  <w:color w:val="auto"/>
                  <w:kern w:val="0"/>
                  <w:sz w:val="21"/>
                  <w:szCs w:val="21"/>
                  <w:highlight w:val="none"/>
                </w:rPr>
                <w:id w:val="147480506"/>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 xml:space="preserve"> B</w:t>
            </w:r>
            <w:r>
              <w:rPr>
                <w:rFonts w:hint="eastAsia" w:ascii="宋体" w:hAnsi="宋体" w:cs="宋体"/>
                <w:color w:val="auto"/>
                <w:sz w:val="21"/>
                <w:szCs w:val="21"/>
                <w:highlight w:val="none"/>
              </w:rPr>
              <w:t>不同意分包。</w:t>
            </w:r>
          </w:p>
          <w:p w14:paraId="751693E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color w:val="auto"/>
                <w:sz w:val="21"/>
                <w:szCs w:val="21"/>
                <w:highlight w:val="none"/>
              </w:rPr>
            </w:pPr>
            <w:r>
              <w:rPr>
                <w:rFonts w:hint="eastAsia" w:ascii="宋体" w:hAnsi="宋体" w:cs="宋体"/>
                <w:color w:val="auto"/>
                <w:sz w:val="21"/>
                <w:szCs w:val="21"/>
                <w:highlight w:val="none"/>
              </w:rPr>
              <w:t>注：不得限制大中型企业向小微企业合理分包。</w:t>
            </w:r>
          </w:p>
        </w:tc>
      </w:tr>
      <w:tr w14:paraId="5F3C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1068E4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715" w:type="dxa"/>
            <w:vAlign w:val="center"/>
          </w:tcPr>
          <w:p w14:paraId="62BB48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rPr>
              <w:t>开标前答疑会或现场考察</w:t>
            </w:r>
          </w:p>
        </w:tc>
        <w:tc>
          <w:tcPr>
            <w:tcW w:w="6690" w:type="dxa"/>
            <w:vAlign w:val="center"/>
          </w:tcPr>
          <w:p w14:paraId="75FB45C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color w:val="auto"/>
                <w:sz w:val="21"/>
                <w:szCs w:val="21"/>
                <w:highlight w:val="none"/>
              </w:rPr>
            </w:pPr>
            <w:sdt>
              <w:sdtPr>
                <w:rPr>
                  <w:rFonts w:hint="eastAsia" w:ascii="宋体" w:hAnsi="宋体" w:cs="宋体"/>
                  <w:color w:val="auto"/>
                  <w:kern w:val="0"/>
                  <w:sz w:val="21"/>
                  <w:szCs w:val="21"/>
                  <w:highlight w:val="none"/>
                </w:rPr>
                <w:id w:val="147471174"/>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MS Gothic"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不组织。</w:t>
            </w:r>
          </w:p>
          <w:p w14:paraId="6AF6690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color w:val="auto"/>
                <w:sz w:val="21"/>
                <w:szCs w:val="21"/>
                <w:highlight w:val="none"/>
              </w:rPr>
            </w:pPr>
            <w:sdt>
              <w:sdtPr>
                <w:rPr>
                  <w:rFonts w:hint="eastAsia" w:ascii="宋体" w:hAnsi="宋体" w:cs="宋体"/>
                  <w:color w:val="auto"/>
                  <w:kern w:val="0"/>
                  <w:sz w:val="21"/>
                  <w:szCs w:val="21"/>
                  <w:highlight w:val="none"/>
                </w:rPr>
                <w:id w:val="147466407"/>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B组织，</w:t>
            </w:r>
            <w:r>
              <w:rPr>
                <w:rFonts w:hint="eastAsia" w:ascii="宋体" w:hAnsi="宋体" w:cs="宋体"/>
                <w:color w:val="auto"/>
                <w:sz w:val="21"/>
                <w:szCs w:val="21"/>
                <w:highlight w:val="none"/>
              </w:rPr>
              <w:t>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,地点：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，联系方式：</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tc>
      </w:tr>
      <w:tr w14:paraId="2B39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457724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715" w:type="dxa"/>
            <w:vAlign w:val="center"/>
          </w:tcPr>
          <w:p w14:paraId="1C5188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rPr>
              <w:t>样品提供</w:t>
            </w:r>
          </w:p>
        </w:tc>
        <w:tc>
          <w:tcPr>
            <w:tcW w:w="6690" w:type="dxa"/>
            <w:vAlign w:val="center"/>
          </w:tcPr>
          <w:p w14:paraId="29E3443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color w:val="auto"/>
                <w:sz w:val="21"/>
                <w:szCs w:val="21"/>
                <w:highlight w:val="none"/>
              </w:rPr>
            </w:pPr>
            <w:sdt>
              <w:sdtPr>
                <w:rPr>
                  <w:rFonts w:hint="eastAsia" w:ascii="宋体" w:hAnsi="宋体" w:cs="宋体"/>
                  <w:color w:val="auto"/>
                  <w:kern w:val="0"/>
                  <w:sz w:val="21"/>
                  <w:szCs w:val="21"/>
                  <w:highlight w:val="none"/>
                </w:rPr>
                <w:id w:val="147460741"/>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不要求提供。</w:t>
            </w:r>
          </w:p>
          <w:p w14:paraId="2B93174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47482812"/>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MS Gothic"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rPr>
              <w:t>B要求提供，</w:t>
            </w:r>
          </w:p>
          <w:p w14:paraId="0C13318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cs="宋体"/>
                <w:b/>
                <w:bCs/>
                <w:color w:val="auto"/>
                <w:kern w:val="0"/>
                <w:sz w:val="21"/>
                <w:szCs w:val="21"/>
                <w:highlight w:val="none"/>
              </w:rPr>
              <w:t>（1）</w:t>
            </w:r>
            <w:r>
              <w:rPr>
                <w:rFonts w:hint="eastAsia" w:ascii="宋体" w:hAnsi="宋体" w:cs="宋体"/>
                <w:b/>
                <w:bCs/>
                <w:snapToGrid w:val="0"/>
                <w:color w:val="auto"/>
                <w:kern w:val="28"/>
                <w:sz w:val="21"/>
                <w:szCs w:val="21"/>
                <w:highlight w:val="none"/>
              </w:rPr>
              <w:t>样品：</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u w:val="single"/>
                <w:lang w:val="en-US" w:eastAsia="zh-CN"/>
              </w:rPr>
              <w:t>/</w:t>
            </w:r>
            <w:r>
              <w:rPr>
                <w:rFonts w:hint="eastAsia" w:ascii="宋体" w:hAnsi="宋体" w:cs="宋体"/>
                <w:color w:val="auto"/>
                <w:kern w:val="0"/>
                <w:sz w:val="21"/>
                <w:szCs w:val="21"/>
                <w:highlight w:val="none"/>
              </w:rPr>
              <w:t>（2）</w:t>
            </w:r>
            <w:r>
              <w:rPr>
                <w:rFonts w:hint="eastAsia" w:ascii="宋体" w:hAnsi="宋体" w:cs="宋体"/>
                <w:snapToGrid w:val="0"/>
                <w:color w:val="auto"/>
                <w:kern w:val="28"/>
                <w:sz w:val="21"/>
                <w:szCs w:val="21"/>
                <w:highlight w:val="none"/>
              </w:rPr>
              <w:t>样品制作的标准和要求：</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eastAsia="zh-CN"/>
              </w:rPr>
              <w:t>；</w:t>
            </w:r>
          </w:p>
          <w:p w14:paraId="49418D4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（3）样品的评审方法以及评审标准</w:t>
            </w:r>
            <w:r>
              <w:rPr>
                <w:rFonts w:hint="eastAsia" w:ascii="宋体" w:hAnsi="宋体" w:cs="宋体"/>
                <w:snapToGrid w:val="0"/>
                <w:color w:val="auto"/>
                <w:kern w:val="28"/>
                <w:sz w:val="21"/>
                <w:szCs w:val="21"/>
                <w:highlight w:val="none"/>
              </w:rPr>
              <w:t>：详见</w:t>
            </w:r>
            <w:r>
              <w:rPr>
                <w:rFonts w:hint="eastAsia" w:ascii="宋体" w:hAnsi="宋体" w:cs="宋体"/>
                <w:color w:val="auto"/>
                <w:sz w:val="21"/>
                <w:szCs w:val="21"/>
                <w:highlight w:val="none"/>
                <w:u w:val="single"/>
              </w:rPr>
              <w:t>评标办法</w:t>
            </w:r>
            <w:r>
              <w:rPr>
                <w:rFonts w:hint="eastAsia" w:ascii="宋体" w:hAnsi="宋体" w:cs="宋体"/>
                <w:color w:val="auto"/>
                <w:kern w:val="0"/>
                <w:sz w:val="21"/>
                <w:szCs w:val="21"/>
                <w:highlight w:val="none"/>
                <w:lang w:eastAsia="zh-CN"/>
              </w:rPr>
              <w:t>；</w:t>
            </w:r>
          </w:p>
          <w:p w14:paraId="7E9813B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（4）是否需要随样品提交检测报告：</w:t>
            </w:r>
            <w:sdt>
              <w:sdtPr>
                <w:rPr>
                  <w:rFonts w:hint="eastAsia" w:ascii="宋体" w:hAnsi="宋体" w:cs="宋体"/>
                  <w:color w:val="auto"/>
                  <w:kern w:val="0"/>
                  <w:sz w:val="21"/>
                  <w:szCs w:val="21"/>
                  <w:highlight w:val="none"/>
                </w:rPr>
                <w:id w:val="147451191"/>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MS Gothic"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否</w:t>
            </w:r>
            <w:r>
              <w:rPr>
                <w:rFonts w:hint="eastAsia" w:ascii="宋体" w:hAnsi="宋体" w:cs="宋体"/>
                <w:color w:val="auto"/>
                <w:kern w:val="0"/>
                <w:sz w:val="21"/>
                <w:szCs w:val="21"/>
                <w:highlight w:val="none"/>
                <w:lang w:eastAsia="zh-CN"/>
              </w:rPr>
              <w:t>；</w:t>
            </w:r>
            <w:sdt>
              <w:sdtPr>
                <w:rPr>
                  <w:rFonts w:hint="eastAsia" w:ascii="宋体" w:hAnsi="宋体" w:cs="宋体"/>
                  <w:color w:val="auto"/>
                  <w:kern w:val="0"/>
                  <w:sz w:val="21"/>
                  <w:szCs w:val="21"/>
                  <w:highlight w:val="none"/>
                </w:rPr>
                <w:id w:val="147473073"/>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是，检测机构的要求</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检测内容</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5999D95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color w:val="auto"/>
                <w:sz w:val="21"/>
                <w:szCs w:val="21"/>
                <w:highlight w:val="none"/>
              </w:rPr>
            </w:pPr>
            <w:r>
              <w:rPr>
                <w:rFonts w:hint="eastAsia" w:ascii="宋体" w:hAnsi="宋体" w:cs="宋体"/>
                <w:color w:val="auto"/>
                <w:sz w:val="21"/>
                <w:szCs w:val="21"/>
                <w:highlight w:val="none"/>
              </w:rPr>
              <w:t>（5）</w:t>
            </w:r>
            <w:r>
              <w:rPr>
                <w:rFonts w:hint="eastAsia" w:ascii="宋体" w:hAnsi="宋体" w:cs="宋体"/>
                <w:b/>
                <w:bCs/>
                <w:color w:val="auto"/>
                <w:sz w:val="21"/>
                <w:szCs w:val="21"/>
                <w:highlight w:val="none"/>
              </w:rPr>
              <w:t>提供样品的时间：</w:t>
            </w:r>
            <w:r>
              <w:rPr>
                <w:rFonts w:hint="eastAsia" w:ascii="宋体" w:hAnsi="宋体" w:cs="宋体"/>
                <w:b/>
                <w:bCs/>
                <w:color w:val="000000" w:themeColor="text1"/>
                <w:sz w:val="21"/>
                <w:szCs w:val="21"/>
                <w:highlight w:val="none"/>
                <w:u w:val="single"/>
                <w:lang w:val="en-US" w:eastAsia="zh-CN"/>
                <w14:textFill>
                  <w14:solidFill>
                    <w14:schemeClr w14:val="tx1"/>
                  </w14:solidFill>
                </w14:textFill>
              </w:rPr>
              <w:t>/</w:t>
            </w:r>
            <w:r>
              <w:rPr>
                <w:rFonts w:hint="eastAsia" w:ascii="宋体" w:hAnsi="宋体" w:cs="宋体"/>
                <w:b/>
                <w:bCs/>
                <w:color w:val="000000" w:themeColor="text1"/>
                <w:sz w:val="21"/>
                <w:szCs w:val="21"/>
                <w:highlight w:val="none"/>
                <w:u w:val="single"/>
                <w:lang w:eastAsia="zh-CN"/>
                <w14:textFill>
                  <w14:solidFill>
                    <w14:schemeClr w14:val="tx1"/>
                  </w14:solidFill>
                </w14:textFill>
              </w:rPr>
              <w:t>前</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rPr>
              <w:t>地点：</w:t>
            </w:r>
            <w:r>
              <w:rPr>
                <w:rFonts w:hint="eastAsia" w:ascii="宋体" w:hAnsi="宋体" w:cs="宋体"/>
                <w:b/>
                <w:bCs/>
                <w:color w:val="auto"/>
                <w:kern w:val="0"/>
                <w:sz w:val="21"/>
                <w:szCs w:val="21"/>
                <w:highlight w:val="none"/>
                <w:u w:val="single"/>
                <w:lang w:val="en-US" w:eastAsia="zh-CN"/>
              </w:rPr>
              <w:t>/</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rPr>
              <w:t>联系人</w:t>
            </w: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u w:val="single"/>
                <w:lang w:val="en-US" w:eastAsia="zh-CN"/>
              </w:rPr>
              <w:t>/</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rPr>
              <w:t>，</w:t>
            </w:r>
            <w:r>
              <w:rPr>
                <w:rFonts w:hint="eastAsia" w:ascii="宋体" w:hAnsi="宋体" w:cs="宋体"/>
                <w:b/>
                <w:bCs/>
                <w:color w:val="auto"/>
                <w:kern w:val="28"/>
                <w:sz w:val="21"/>
                <w:szCs w:val="21"/>
                <w:highlight w:val="none"/>
              </w:rPr>
              <w:t>联系电话：</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u w:val="single"/>
                <w:lang w:val="en-US" w:eastAsia="zh-CN"/>
              </w:rPr>
              <w:t>/</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rPr>
              <w:t>。</w:t>
            </w:r>
            <w:r>
              <w:rPr>
                <w:rFonts w:hint="eastAsia" w:ascii="宋体" w:hAnsi="宋体" w:cs="宋体"/>
                <w:color w:val="auto"/>
                <w:sz w:val="21"/>
                <w:szCs w:val="21"/>
                <w:highlight w:val="none"/>
              </w:rPr>
              <w:t>请</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在上述时间内提供样品并按规定位置安装完毕。超过截止时间的，采购人或采购代理机构将不予接收，并将清场并封闭样品现场。</w:t>
            </w:r>
          </w:p>
          <w:p w14:paraId="445961E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color w:val="auto"/>
                <w:sz w:val="21"/>
                <w:szCs w:val="21"/>
                <w:highlight w:val="none"/>
              </w:rPr>
            </w:pPr>
            <w:r>
              <w:rPr>
                <w:rFonts w:hint="eastAsia" w:ascii="宋体" w:hAnsi="宋体" w:cs="宋体"/>
                <w:color w:val="auto"/>
                <w:sz w:val="21"/>
                <w:szCs w:val="21"/>
                <w:highlight w:val="none"/>
              </w:rPr>
              <w:t>(6)采购活动结束后，对于未中标人提供的样品，采购人、</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将通知未中标人在规定的时间内取回，逾期未取回的，采购人、</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不负保管义务</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对于中标人提供的样品，采购人将进行保管、封存，并作为履约验收的参考。</w:t>
            </w:r>
          </w:p>
          <w:p w14:paraId="216F02E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b/>
                <w:color w:val="auto"/>
                <w:sz w:val="21"/>
                <w:szCs w:val="21"/>
                <w:highlight w:val="none"/>
              </w:rPr>
            </w:pPr>
            <w:r>
              <w:rPr>
                <w:rFonts w:hint="eastAsia" w:ascii="宋体" w:hAnsi="宋体" w:cs="宋体"/>
                <w:color w:val="auto"/>
                <w:sz w:val="21"/>
                <w:szCs w:val="21"/>
                <w:highlight w:val="none"/>
              </w:rPr>
              <w:t>（7）制作、运输、安装和保管样品所发生的一切费用由</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自理。</w:t>
            </w:r>
          </w:p>
        </w:tc>
      </w:tr>
      <w:tr w14:paraId="638FC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13EE86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715" w:type="dxa"/>
            <w:vAlign w:val="center"/>
          </w:tcPr>
          <w:p w14:paraId="0EAC1C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bCs/>
                <w:color w:val="auto"/>
                <w:sz w:val="21"/>
                <w:szCs w:val="21"/>
                <w:highlight w:val="none"/>
              </w:rPr>
            </w:pPr>
            <w:r>
              <w:rPr>
                <w:rFonts w:hint="eastAsia" w:ascii="宋体" w:hAnsi="宋体" w:cs="宋体"/>
                <w:b/>
                <w:color w:val="auto"/>
                <w:sz w:val="21"/>
                <w:szCs w:val="21"/>
                <w:highlight w:val="none"/>
              </w:rPr>
              <w:t>方案讲解演示</w:t>
            </w:r>
          </w:p>
        </w:tc>
        <w:tc>
          <w:tcPr>
            <w:tcW w:w="6690" w:type="dxa"/>
            <w:vAlign w:val="center"/>
          </w:tcPr>
          <w:p w14:paraId="4AE1BD2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color w:val="auto"/>
                <w:sz w:val="21"/>
                <w:szCs w:val="21"/>
                <w:highlight w:val="none"/>
              </w:rPr>
            </w:pPr>
            <w:sdt>
              <w:sdtPr>
                <w:rPr>
                  <w:rFonts w:hint="eastAsia" w:ascii="宋体" w:hAnsi="宋体" w:cs="宋体"/>
                  <w:color w:val="auto"/>
                  <w:kern w:val="0"/>
                  <w:sz w:val="21"/>
                  <w:szCs w:val="21"/>
                  <w:highlight w:val="none"/>
                </w:rPr>
                <w:id w:val="147452053"/>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MS Gothic"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不组织。</w:t>
            </w:r>
          </w:p>
          <w:p w14:paraId="09FC8AF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47461830"/>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B组织。</w:t>
            </w:r>
          </w:p>
          <w:p w14:paraId="37C5F3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textAlignment w:val="auto"/>
              <w:outlineLvl w:val="9"/>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（1）在评标时安排每个</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进行方案讲解演示。每个</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时间不超过</w:t>
            </w:r>
            <w:r>
              <w:rPr>
                <w:rFonts w:hint="eastAsia" w:ascii="宋体" w:hAnsi="宋体" w:cs="宋体"/>
                <w:color w:val="auto"/>
                <w:kern w:val="0"/>
                <w:sz w:val="21"/>
                <w:szCs w:val="21"/>
                <w:highlight w:val="none"/>
                <w:u w:val="single"/>
              </w:rPr>
              <w:t>20</w:t>
            </w:r>
            <w:r>
              <w:rPr>
                <w:rFonts w:hint="eastAsia" w:ascii="宋体" w:hAnsi="宋体" w:cs="宋体"/>
                <w:color w:val="auto"/>
                <w:kern w:val="0"/>
                <w:sz w:val="21"/>
                <w:szCs w:val="21"/>
                <w:highlight w:val="none"/>
                <w:u w:val="single"/>
                <w:lang w:eastAsia="zh-CN"/>
              </w:rPr>
              <w:t>（</w:t>
            </w:r>
            <w:r>
              <w:rPr>
                <w:rFonts w:hint="eastAsia" w:ascii="宋体" w:hAnsi="宋体" w:cs="宋体"/>
                <w:color w:val="auto"/>
                <w:kern w:val="0"/>
                <w:sz w:val="21"/>
                <w:szCs w:val="21"/>
                <w:highlight w:val="none"/>
                <w:u w:val="single"/>
                <w:lang w:val="en-US" w:eastAsia="zh-CN"/>
              </w:rPr>
              <w:t>编制时可根据项目情况进行调整</w:t>
            </w:r>
            <w:r>
              <w:rPr>
                <w:rFonts w:hint="eastAsia" w:ascii="宋体" w:hAnsi="宋体" w:cs="宋体"/>
                <w:color w:val="auto"/>
                <w:kern w:val="0"/>
                <w:sz w:val="21"/>
                <w:szCs w:val="21"/>
                <w:highlight w:val="none"/>
                <w:u w:val="single"/>
                <w:lang w:eastAsia="zh-CN"/>
              </w:rPr>
              <w:t>）</w:t>
            </w:r>
            <w:r>
              <w:rPr>
                <w:rFonts w:hint="eastAsia" w:ascii="宋体" w:hAnsi="宋体" w:cs="宋体"/>
                <w:color w:val="auto"/>
                <w:kern w:val="0"/>
                <w:sz w:val="21"/>
                <w:szCs w:val="21"/>
                <w:highlight w:val="none"/>
              </w:rPr>
              <w:t>分钟，讲解次序以投标文件解密时间先后次序为准，讲解演示人员不超过</w:t>
            </w:r>
            <w:r>
              <w:rPr>
                <w:rFonts w:hint="eastAsia" w:ascii="宋体" w:hAnsi="宋体" w:cs="宋体"/>
                <w:color w:val="auto"/>
                <w:kern w:val="0"/>
                <w:sz w:val="21"/>
                <w:szCs w:val="21"/>
                <w:highlight w:val="none"/>
                <w:u w:val="single"/>
              </w:rPr>
              <w:t>3</w:t>
            </w:r>
            <w:r>
              <w:rPr>
                <w:rFonts w:hint="eastAsia" w:ascii="宋体" w:hAnsi="宋体" w:cs="宋体"/>
                <w:color w:val="auto"/>
                <w:kern w:val="0"/>
                <w:sz w:val="21"/>
                <w:szCs w:val="21"/>
                <w:highlight w:val="none"/>
                <w:u w:val="single"/>
                <w:lang w:eastAsia="zh-CN"/>
              </w:rPr>
              <w:t>（</w:t>
            </w:r>
            <w:r>
              <w:rPr>
                <w:rFonts w:hint="eastAsia" w:ascii="宋体" w:hAnsi="宋体" w:cs="宋体"/>
                <w:color w:val="auto"/>
                <w:kern w:val="0"/>
                <w:sz w:val="21"/>
                <w:szCs w:val="21"/>
                <w:highlight w:val="none"/>
                <w:u w:val="single"/>
                <w:lang w:val="en-US" w:eastAsia="zh-CN"/>
              </w:rPr>
              <w:t>编制时可根据项目情况进行调整</w:t>
            </w:r>
            <w:r>
              <w:rPr>
                <w:rFonts w:hint="eastAsia" w:ascii="宋体" w:hAnsi="宋体" w:cs="宋体"/>
                <w:color w:val="auto"/>
                <w:kern w:val="0"/>
                <w:sz w:val="21"/>
                <w:szCs w:val="21"/>
                <w:highlight w:val="none"/>
                <w:u w:val="single"/>
                <w:lang w:eastAsia="zh-CN"/>
              </w:rPr>
              <w:t>）</w:t>
            </w:r>
            <w:r>
              <w:rPr>
                <w:rFonts w:hint="eastAsia" w:ascii="宋体" w:hAnsi="宋体" w:cs="宋体"/>
                <w:color w:val="auto"/>
                <w:kern w:val="0"/>
                <w:sz w:val="21"/>
                <w:szCs w:val="21"/>
                <w:highlight w:val="none"/>
              </w:rPr>
              <w:t>人。讲解演示结束后按要求解答评标委员会提问。</w:t>
            </w:r>
          </w:p>
          <w:p w14:paraId="414D89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textAlignment w:val="auto"/>
              <w:outlineLvl w:val="9"/>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（2）方案讲解演示可选择以下其中一种方式：</w:t>
            </w:r>
          </w:p>
          <w:p w14:paraId="1DE8C44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textAlignment w:val="auto"/>
              <w:outlineLvl w:val="9"/>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方式一：政采云平台在线讲解演示。政采云平台在线讲解需</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根据政采云平台操作要求做好准备工作，提前完善软硬件配置环境。</w:t>
            </w:r>
          </w:p>
          <w:p w14:paraId="7A4C6A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textAlignment w:val="auto"/>
              <w:outlineLvl w:val="9"/>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方式二：</w:t>
            </w:r>
            <w:r>
              <w:rPr>
                <w:rFonts w:hint="eastAsia" w:ascii="宋体" w:hAnsi="宋体" w:cs="宋体"/>
                <w:color w:val="auto"/>
                <w:kern w:val="0"/>
                <w:sz w:val="21"/>
                <w:szCs w:val="21"/>
                <w:highlight w:val="none"/>
                <w:lang w:val="en-US" w:eastAsia="zh-CN"/>
              </w:rPr>
              <w:t>评标</w:t>
            </w:r>
            <w:r>
              <w:rPr>
                <w:rFonts w:hint="eastAsia" w:ascii="宋体" w:hAnsi="宋体" w:cs="宋体"/>
                <w:color w:val="auto"/>
                <w:kern w:val="0"/>
                <w:sz w:val="21"/>
                <w:szCs w:val="21"/>
                <w:highlight w:val="none"/>
              </w:rPr>
              <w:t>现场讲解演示。现场讲解地点为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，讲解演示所用电脑等设备由</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自备。现场讲解演示人员进场时提供讲解人员名单（加盖公章或授权代表签名）及身份证明，否则不得讲解演示。</w:t>
            </w:r>
          </w:p>
          <w:p w14:paraId="200F1B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textAlignment w:val="auto"/>
              <w:outlineLvl w:val="9"/>
              <w:rPr>
                <w:rFonts w:hint="default" w:ascii="宋体" w:hAnsi="宋体" w:cs="宋体"/>
                <w:b/>
                <w:color w:val="auto"/>
                <w:kern w:val="0"/>
                <w:sz w:val="21"/>
                <w:szCs w:val="21"/>
                <w:highlight w:val="none"/>
                <w:lang w:val="zh-CN"/>
              </w:rPr>
            </w:pPr>
            <w:r>
              <w:rPr>
                <w:rFonts w:hint="eastAsia" w:ascii="宋体" w:hAnsi="宋体" w:cs="宋体"/>
                <w:color w:val="auto"/>
                <w:kern w:val="0"/>
                <w:sz w:val="21"/>
                <w:szCs w:val="21"/>
                <w:highlight w:val="none"/>
              </w:rPr>
              <w:t>注：因</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自身原因导致无法演示或者演示效果不理想的，责任自负。因平台原因导致本项目方案讲解演示环节无法顺利开展，按照《浙江省政府采购项目电子交易管理暂行办法》相关规定执行。</w:t>
            </w:r>
          </w:p>
        </w:tc>
      </w:tr>
      <w:tr w14:paraId="53D03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restart"/>
            <w:vAlign w:val="center"/>
          </w:tcPr>
          <w:p w14:paraId="724220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715" w:type="dxa"/>
            <w:vMerge w:val="restart"/>
            <w:vAlign w:val="center"/>
          </w:tcPr>
          <w:p w14:paraId="1FB6F6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lang w:eastAsia="zh-CN"/>
              </w:rPr>
              <w:t>供应商</w:t>
            </w:r>
            <w:r>
              <w:rPr>
                <w:rFonts w:hint="eastAsia" w:ascii="宋体" w:hAnsi="宋体" w:cs="宋体"/>
                <w:b/>
                <w:color w:val="auto"/>
                <w:sz w:val="21"/>
                <w:szCs w:val="21"/>
                <w:highlight w:val="none"/>
              </w:rPr>
              <w:t>应当提供的资格、资信证明文件</w:t>
            </w:r>
          </w:p>
        </w:tc>
        <w:tc>
          <w:tcPr>
            <w:tcW w:w="6690" w:type="dxa"/>
            <w:vAlign w:val="center"/>
          </w:tcPr>
          <w:p w14:paraId="49134F2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color w:val="auto"/>
                <w:sz w:val="21"/>
                <w:szCs w:val="21"/>
                <w:highlight w:val="none"/>
              </w:rPr>
            </w:pPr>
            <w:r>
              <w:rPr>
                <w:rFonts w:hint="eastAsia" w:ascii="宋体" w:hAnsi="宋体" w:cs="宋体"/>
                <w:color w:val="auto"/>
                <w:sz w:val="21"/>
                <w:szCs w:val="21"/>
                <w:highlight w:val="none"/>
              </w:rPr>
              <w:t>（1）资格证明文件：见招标文件第二部分</w:t>
            </w:r>
            <w:r>
              <w:rPr>
                <w:rFonts w:hint="eastAsia" w:ascii="宋体" w:hAnsi="宋体" w:cs="宋体"/>
                <w:color w:val="auto"/>
                <w:sz w:val="21"/>
                <w:szCs w:val="21"/>
                <w:highlight w:val="none"/>
                <w:lang w:eastAsia="zh-CN"/>
              </w:rPr>
              <w:t>第八项</w:t>
            </w:r>
            <w:r>
              <w:rPr>
                <w:rFonts w:hint="eastAsia" w:ascii="宋体" w:hAnsi="宋体" w:cs="宋体"/>
                <w:color w:val="auto"/>
                <w:sz w:val="21"/>
                <w:szCs w:val="21"/>
                <w:highlight w:val="none"/>
              </w:rPr>
              <w:t>。</w:t>
            </w:r>
          </w:p>
          <w:p w14:paraId="4311596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snapToGrid w:val="0"/>
                <w:color w:val="auto"/>
                <w:kern w:val="0"/>
                <w:sz w:val="21"/>
                <w:szCs w:val="21"/>
                <w:highlight w:val="none"/>
              </w:rPr>
            </w:pPr>
            <w:r>
              <w:rPr>
                <w:rFonts w:hint="eastAsia" w:ascii="宋体" w:hAnsi="宋体" w:cs="宋体"/>
                <w:color w:val="auto"/>
                <w:kern w:val="0"/>
                <w:sz w:val="21"/>
                <w:szCs w:val="21"/>
                <w:highlight w:val="none"/>
                <w:lang w:val="zh-CN"/>
              </w:rPr>
              <w:t>供应商未提供有效的资格证明文件的，视为供应商不具备招标文件中规定的资格要求，投标无效。</w:t>
            </w:r>
          </w:p>
        </w:tc>
      </w:tr>
      <w:tr w14:paraId="3DC67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continue"/>
            <w:vAlign w:val="center"/>
          </w:tcPr>
          <w:p w14:paraId="0678B5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eastAsia="宋体" w:cs="宋体"/>
                <w:color w:val="auto"/>
                <w:sz w:val="21"/>
                <w:szCs w:val="21"/>
                <w:highlight w:val="none"/>
              </w:rPr>
            </w:pPr>
          </w:p>
        </w:tc>
        <w:tc>
          <w:tcPr>
            <w:tcW w:w="1715" w:type="dxa"/>
            <w:vMerge w:val="continue"/>
            <w:vAlign w:val="center"/>
          </w:tcPr>
          <w:p w14:paraId="2F6943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b/>
                <w:color w:val="auto"/>
                <w:sz w:val="21"/>
                <w:szCs w:val="21"/>
                <w:highlight w:val="none"/>
              </w:rPr>
            </w:pPr>
          </w:p>
        </w:tc>
        <w:tc>
          <w:tcPr>
            <w:tcW w:w="6690" w:type="dxa"/>
            <w:vAlign w:val="center"/>
          </w:tcPr>
          <w:p w14:paraId="41C23AD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color w:val="auto"/>
                <w:sz w:val="21"/>
                <w:szCs w:val="21"/>
                <w:highlight w:val="none"/>
              </w:rPr>
            </w:pPr>
            <w:r>
              <w:rPr>
                <w:rFonts w:hint="eastAsia" w:ascii="宋体" w:hAnsi="宋体" w:cs="宋体"/>
                <w:color w:val="auto"/>
                <w:sz w:val="21"/>
                <w:szCs w:val="21"/>
                <w:highlight w:val="none"/>
              </w:rPr>
              <w:t>（2）资信证明文件：根据招标文件第四部分评标标准提供。</w:t>
            </w:r>
          </w:p>
        </w:tc>
      </w:tr>
      <w:tr w14:paraId="124C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50F954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715" w:type="dxa"/>
            <w:vAlign w:val="center"/>
          </w:tcPr>
          <w:p w14:paraId="083F71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rPr>
              <w:t>节能产品、环境标志产品</w:t>
            </w:r>
          </w:p>
        </w:tc>
        <w:tc>
          <w:tcPr>
            <w:tcW w:w="6690" w:type="dxa"/>
            <w:vAlign w:val="center"/>
          </w:tcPr>
          <w:p w14:paraId="2C168C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textAlignment w:val="auto"/>
              <w:outlineLvl w:val="9"/>
              <w:rPr>
                <w:rFonts w:hint="default" w:ascii="宋体" w:hAnsi="宋体" w:cs="宋体"/>
                <w:color w:val="auto"/>
                <w:sz w:val="21"/>
                <w:szCs w:val="21"/>
                <w:highlight w:val="none"/>
              </w:rPr>
            </w:pPr>
            <w:r>
              <w:rPr>
                <w:rFonts w:hint="eastAsia" w:ascii="宋体" w:hAnsi="宋体" w:cs="宋体"/>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994F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7B9E5C0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715" w:type="dxa"/>
            <w:vAlign w:val="center"/>
          </w:tcPr>
          <w:p w14:paraId="67DCCA7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rPr>
              <w:t>报价要求</w:t>
            </w:r>
          </w:p>
        </w:tc>
        <w:tc>
          <w:tcPr>
            <w:tcW w:w="6690" w:type="dxa"/>
            <w:vAlign w:val="center"/>
          </w:tcPr>
          <w:p w14:paraId="146DDB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outlineLvl w:val="9"/>
              <w:rPr>
                <w:rFonts w:hint="default" w:ascii="宋体" w:hAnsi="宋体" w:cs="宋体"/>
                <w:b/>
                <w:color w:val="auto"/>
                <w:kern w:val="0"/>
                <w:sz w:val="21"/>
                <w:szCs w:val="21"/>
                <w:highlight w:val="none"/>
                <w:lang w:val="zh-CN"/>
              </w:rPr>
            </w:pPr>
            <w:r>
              <w:rPr>
                <w:rFonts w:hint="eastAsia" w:ascii="宋体" w:hAnsi="宋体" w:cs="宋体"/>
                <w:color w:val="auto"/>
                <w:kern w:val="0"/>
                <w:sz w:val="21"/>
                <w:szCs w:val="21"/>
                <w:highlight w:val="none"/>
                <w:lang w:val="zh-CN"/>
              </w:rPr>
              <w:t>有关本项目实施所需的所有费用（含税费）均计入报价。</w:t>
            </w:r>
            <w:r>
              <w:rPr>
                <w:rFonts w:hint="eastAsia" w:ascii="宋体" w:hAnsi="宋体" w:cs="宋体"/>
                <w:b/>
                <w:bCs/>
                <w:color w:val="auto"/>
                <w:kern w:val="0"/>
                <w:sz w:val="21"/>
                <w:szCs w:val="21"/>
                <w:highlight w:val="none"/>
                <w:lang w:val="zh-CN"/>
              </w:rPr>
              <w:t>投标文件</w:t>
            </w:r>
            <w:r>
              <w:rPr>
                <w:rFonts w:hint="eastAsia" w:ascii="宋体" w:hAnsi="宋体" w:cs="宋体"/>
                <w:b/>
                <w:bCs/>
                <w:color w:val="auto"/>
                <w:sz w:val="21"/>
                <w:szCs w:val="21"/>
                <w:highlight w:val="none"/>
              </w:rPr>
              <w:t>开标一览表（报价表）是报价的唯一载体，如</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在政府采购云平台填写的投标报价与投标文件报价文件中开标一览表（报价表）不一致的，以报价文件中开标一览表（报价表）为准。</w:t>
            </w:r>
            <w:r>
              <w:rPr>
                <w:rFonts w:hint="eastAsia" w:ascii="宋体" w:hAnsi="宋体" w:cs="宋体"/>
                <w:color w:val="auto"/>
                <w:kern w:val="0"/>
                <w:sz w:val="21"/>
                <w:szCs w:val="21"/>
                <w:highlight w:val="none"/>
                <w:lang w:val="zh-CN"/>
              </w:rPr>
              <w:t>招标文件未列明，而供应商认为必需的费用也需列入报价。</w:t>
            </w:r>
          </w:p>
          <w:p w14:paraId="33BE9A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211" w:firstLineChars="100"/>
              <w:jc w:val="left"/>
              <w:textAlignment w:val="auto"/>
              <w:outlineLvl w:val="9"/>
              <w:rPr>
                <w:rFonts w:hint="eastAsia"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en-US" w:eastAsia="zh-CN"/>
              </w:rPr>
              <w:t>本项目</w:t>
            </w:r>
            <w:r>
              <w:rPr>
                <w:rFonts w:hint="eastAsia" w:ascii="宋体" w:hAnsi="宋体" w:cs="宋体"/>
                <w:b/>
                <w:color w:val="auto"/>
                <w:kern w:val="0"/>
                <w:sz w:val="21"/>
                <w:szCs w:val="21"/>
                <w:highlight w:val="none"/>
                <w:lang w:val="zh-CN"/>
              </w:rPr>
              <w:t>采用</w:t>
            </w:r>
            <w:r>
              <w:rPr>
                <w:rFonts w:hint="eastAsia" w:ascii="宋体" w:hAnsi="宋体" w:cs="宋体"/>
                <w:b/>
                <w:color w:val="auto"/>
                <w:kern w:val="0"/>
                <w:sz w:val="21"/>
                <w:szCs w:val="21"/>
                <w:highlight w:val="none"/>
                <w:lang w:val="en-US" w:eastAsia="zh-CN"/>
              </w:rPr>
              <w:t>人民币</w:t>
            </w:r>
            <w:r>
              <w:rPr>
                <w:rFonts w:hint="eastAsia" w:ascii="宋体" w:hAnsi="宋体" w:cs="宋体"/>
                <w:b/>
                <w:color w:val="auto"/>
                <w:kern w:val="0"/>
                <w:sz w:val="21"/>
                <w:szCs w:val="21"/>
                <w:highlight w:val="none"/>
                <w:lang w:val="zh-CN"/>
              </w:rPr>
              <w:t>报价。</w:t>
            </w:r>
          </w:p>
          <w:p w14:paraId="6AD491A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211" w:firstLineChars="100"/>
              <w:jc w:val="left"/>
              <w:textAlignment w:val="auto"/>
              <w:outlineLvl w:val="9"/>
              <w:rPr>
                <w:rFonts w:hint="eastAsia"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投标报价须是完成本项目的所有费用，应包括设备价、安装调试、货物运至项目现场的运输费、保险费、培训费、售后服务、利润、税金等一切与本次采购相关的费用。</w:t>
            </w:r>
          </w:p>
          <w:p w14:paraId="4B93A6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outlineLvl w:val="9"/>
              <w:rPr>
                <w:rFonts w:hint="eastAsia"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不论投标结果如何，供应商均应自行承担所有与投标有关的全部费用。</w:t>
            </w:r>
          </w:p>
          <w:p w14:paraId="362673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outlineLvl w:val="9"/>
              <w:rPr>
                <w:rFonts w:hint="default"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投标报价出现下列情形的，投标无效：</w:t>
            </w:r>
          </w:p>
          <w:p w14:paraId="2E6257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211" w:firstLineChars="100"/>
              <w:jc w:val="left"/>
              <w:textAlignment w:val="auto"/>
              <w:outlineLvl w:val="9"/>
              <w:rPr>
                <w:rFonts w:hint="default"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投标文件出现不是唯一的、有选择性投标报价的；</w:t>
            </w:r>
          </w:p>
          <w:p w14:paraId="6F6FC7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211" w:firstLineChars="100"/>
              <w:jc w:val="left"/>
              <w:textAlignment w:val="auto"/>
              <w:outlineLvl w:val="9"/>
              <w:rPr>
                <w:rFonts w:hint="default" w:ascii="宋体" w:hAnsi="宋体" w:cs="宋体"/>
                <w:color w:val="auto"/>
                <w:kern w:val="0"/>
                <w:sz w:val="21"/>
                <w:szCs w:val="21"/>
                <w:highlight w:val="none"/>
                <w:lang w:val="zh-CN"/>
              </w:rPr>
            </w:pPr>
            <w:r>
              <w:rPr>
                <w:rFonts w:hint="eastAsia" w:ascii="宋体" w:hAnsi="宋体" w:cs="宋体"/>
                <w:b/>
                <w:color w:val="auto"/>
                <w:kern w:val="0"/>
                <w:sz w:val="21"/>
                <w:szCs w:val="21"/>
                <w:highlight w:val="none"/>
                <w:lang w:val="zh-CN"/>
              </w:rPr>
              <w:t>投标报价超过招标文件中规定的预算金额或者最高限价的；</w:t>
            </w:r>
          </w:p>
          <w:p w14:paraId="34C4B2D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firstLine="211" w:firstLineChars="100"/>
              <w:textAlignment w:val="auto"/>
              <w:outlineLvl w:val="9"/>
              <w:rPr>
                <w:rFonts w:hint="eastAsia" w:ascii="宋体" w:hAnsi="宋体" w:eastAsia="宋体" w:cs="宋体"/>
                <w:b/>
                <w:color w:val="auto"/>
                <w:sz w:val="21"/>
                <w:szCs w:val="21"/>
                <w:highlight w:val="none"/>
                <w:lang w:eastAsia="zh-CN"/>
              </w:rPr>
            </w:pPr>
            <w:r>
              <w:rPr>
                <w:rFonts w:hint="eastAsia" w:ascii="宋体" w:hAnsi="宋体" w:cs="宋体"/>
                <w:b/>
                <w:color w:val="auto"/>
                <w:kern w:val="0"/>
                <w:sz w:val="21"/>
                <w:szCs w:val="21"/>
                <w:highlight w:val="none"/>
                <w:lang w:eastAsia="zh-CN"/>
              </w:rPr>
              <w:t>报价明显低于其他通过符合性审查供应商的报价（</w:t>
            </w:r>
            <w:r>
              <w:rPr>
                <w:rFonts w:hint="eastAsia" w:ascii="宋体" w:hAnsi="宋体" w:cs="宋体"/>
                <w:b/>
                <w:color w:val="auto"/>
                <w:kern w:val="0"/>
                <w:sz w:val="21"/>
                <w:szCs w:val="21"/>
                <w:highlight w:val="none"/>
                <w:lang w:val="en-US" w:eastAsia="zh-CN"/>
              </w:rPr>
              <w:t>低于项目预算50%的）</w:t>
            </w:r>
            <w:r>
              <w:rPr>
                <w:rFonts w:hint="eastAsia" w:ascii="宋体" w:hAnsi="宋体" w:cs="宋体"/>
                <w:b/>
                <w:color w:val="auto"/>
                <w:kern w:val="0"/>
                <w:sz w:val="21"/>
                <w:szCs w:val="21"/>
                <w:highlight w:val="none"/>
                <w:lang w:eastAsia="zh-CN"/>
              </w:rPr>
              <w:t>，有可能影响产品质量或者不能诚信履约的，未能按要求提供书面说明或者提交相关证明材料，不能证明其报价合理性的</w:t>
            </w:r>
            <w:r>
              <w:rPr>
                <w:rFonts w:hint="eastAsia" w:ascii="宋体" w:hAnsi="宋体" w:cs="宋体"/>
                <w:b/>
                <w:color w:val="auto"/>
                <w:sz w:val="21"/>
                <w:szCs w:val="21"/>
                <w:highlight w:val="none"/>
                <w:lang w:eastAsia="zh-CN"/>
              </w:rPr>
              <w:t>；</w:t>
            </w:r>
          </w:p>
          <w:p w14:paraId="000C961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firstLine="211" w:firstLineChars="100"/>
              <w:textAlignment w:val="auto"/>
              <w:outlineLvl w:val="9"/>
              <w:rPr>
                <w:rFonts w:hint="default" w:ascii="宋体" w:hAnsi="宋体" w:cs="宋体"/>
                <w:color w:val="auto"/>
                <w:sz w:val="21"/>
                <w:szCs w:val="21"/>
                <w:highlight w:val="none"/>
              </w:rPr>
            </w:pPr>
            <w:r>
              <w:rPr>
                <w:rFonts w:hint="eastAsia" w:ascii="宋体" w:hAnsi="宋体" w:cs="宋体"/>
                <w:b/>
                <w:color w:val="auto"/>
                <w:kern w:val="0"/>
                <w:sz w:val="21"/>
                <w:szCs w:val="21"/>
                <w:highlight w:val="none"/>
                <w:lang w:eastAsia="zh-CN"/>
              </w:rPr>
              <w:t>供应商</w:t>
            </w:r>
            <w:r>
              <w:rPr>
                <w:rFonts w:hint="eastAsia" w:ascii="宋体" w:hAnsi="宋体" w:cs="宋体"/>
                <w:b/>
                <w:color w:val="auto"/>
                <w:kern w:val="0"/>
                <w:sz w:val="21"/>
                <w:szCs w:val="21"/>
                <w:highlight w:val="none"/>
              </w:rPr>
              <w:t>对根据修正原则修正后的报价不确认的</w:t>
            </w:r>
            <w:r>
              <w:rPr>
                <w:rFonts w:hint="eastAsia" w:ascii="宋体" w:hAnsi="宋体" w:cs="宋体"/>
                <w:b/>
                <w:color w:val="auto"/>
                <w:sz w:val="21"/>
                <w:szCs w:val="21"/>
                <w:highlight w:val="none"/>
              </w:rPr>
              <w:t>。</w:t>
            </w:r>
          </w:p>
        </w:tc>
      </w:tr>
      <w:tr w14:paraId="25EF0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36242DF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715" w:type="dxa"/>
            <w:vAlign w:val="center"/>
          </w:tcPr>
          <w:p w14:paraId="37A763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rPr>
              <w:t>中小企业信用融资</w:t>
            </w:r>
          </w:p>
        </w:tc>
        <w:tc>
          <w:tcPr>
            <w:tcW w:w="6690" w:type="dxa"/>
            <w:vAlign w:val="center"/>
          </w:tcPr>
          <w:p w14:paraId="09B0F2F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firstLine="210" w:firstLineChars="100"/>
              <w:textAlignment w:val="auto"/>
              <w:outlineLvl w:val="9"/>
              <w:rPr>
                <w:rFonts w:hint="default" w:ascii="宋体" w:hAnsi="宋体" w:cs="宋体"/>
                <w:color w:val="auto"/>
                <w:sz w:val="21"/>
                <w:szCs w:val="21"/>
                <w:highlight w:val="none"/>
              </w:rPr>
            </w:pPr>
            <w:r>
              <w:rPr>
                <w:rFonts w:hint="eastAsia" w:ascii="宋体" w:hAnsi="宋体" w:cs="宋体"/>
                <w:snapToGrid w:val="0"/>
                <w:color w:val="auto"/>
                <w:kern w:val="28"/>
                <w:sz w:val="21"/>
                <w:szCs w:val="21"/>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0B71E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207C83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715" w:type="dxa"/>
            <w:vAlign w:val="center"/>
          </w:tcPr>
          <w:p w14:paraId="111112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rPr>
              <w:t xml:space="preserve">备份投标文件送达地点和签收人员 </w:t>
            </w:r>
          </w:p>
        </w:tc>
        <w:tc>
          <w:tcPr>
            <w:tcW w:w="6690" w:type="dxa"/>
            <w:vAlign w:val="center"/>
          </w:tcPr>
          <w:p w14:paraId="3109FAE4">
            <w:pPr>
              <w:pStyle w:val="34"/>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eastAsia" w:cs="宋体" w:asciiTheme="minorEastAsia" w:hAnsiTheme="minorEastAsia" w:eastAsiaTheme="minorEastAsia"/>
                <w:color w:val="auto"/>
                <w:kern w:val="28"/>
                <w:sz w:val="21"/>
                <w:szCs w:val="21"/>
                <w:highlight w:val="none"/>
                <w:lang w:val="en-US" w:eastAsia="zh-CN"/>
              </w:rPr>
            </w:pPr>
            <w:r>
              <w:rPr>
                <w:rFonts w:hint="eastAsia" w:cs="宋体" w:asciiTheme="minorEastAsia" w:hAnsiTheme="minorEastAsia" w:eastAsiaTheme="minorEastAsia"/>
                <w:color w:val="auto"/>
                <w:kern w:val="28"/>
                <w:sz w:val="21"/>
                <w:szCs w:val="21"/>
                <w:highlight w:val="none"/>
                <w:lang w:val="en-US" w:eastAsia="zh-CN"/>
              </w:rPr>
              <w:t>供应商可以准备U盘存储的电子备份投标文件1份，按政府采购云平台要求制作的电子备份投标文件，以用于异常情况处理。</w:t>
            </w:r>
          </w:p>
          <w:p w14:paraId="1886782C">
            <w:pPr>
              <w:pStyle w:val="34"/>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eastAsia" w:cs="宋体" w:asciiTheme="minorEastAsia" w:hAnsiTheme="minorEastAsia" w:eastAsiaTheme="minorEastAsia"/>
                <w:color w:val="auto"/>
                <w:kern w:val="28"/>
                <w:sz w:val="21"/>
                <w:szCs w:val="21"/>
                <w:highlight w:val="none"/>
                <w:lang w:val="en-US" w:eastAsia="zh-CN"/>
              </w:rPr>
            </w:pPr>
            <w:r>
              <w:rPr>
                <w:rFonts w:hint="eastAsia" w:cs="宋体" w:asciiTheme="minorEastAsia" w:hAnsiTheme="minorEastAsia" w:eastAsiaTheme="minorEastAsia"/>
                <w:color w:val="auto"/>
                <w:kern w:val="28"/>
                <w:sz w:val="21"/>
                <w:szCs w:val="21"/>
                <w:highlight w:val="none"/>
                <w:lang w:val="en-US" w:eastAsia="zh-CN"/>
              </w:rPr>
              <w:t>如提供备份投标文件的，应于投标文件提交（上传）截止时间前，将以U盘存储的电子备份投标文件密封，递交至</w:t>
            </w:r>
            <w:r>
              <w:rPr>
                <w:rFonts w:hint="eastAsia" w:cs="宋体" w:asciiTheme="minorEastAsia" w:hAnsiTheme="minorEastAsia" w:eastAsiaTheme="minorEastAsia"/>
                <w:color w:val="auto"/>
                <w:kern w:val="28"/>
                <w:sz w:val="21"/>
                <w:szCs w:val="21"/>
                <w:highlight w:val="none"/>
                <w:u w:val="single"/>
                <w:lang w:val="en-US" w:eastAsia="zh-CN"/>
              </w:rPr>
              <w:t>宁海县政务服务中心（宁海县桃源街道金水东路5号五楼）</w:t>
            </w:r>
            <w:r>
              <w:rPr>
                <w:rFonts w:hint="eastAsia" w:cs="宋体" w:asciiTheme="minorEastAsia" w:hAnsiTheme="minorEastAsia" w:eastAsiaTheme="minorEastAsia"/>
                <w:color w:val="auto"/>
                <w:kern w:val="28"/>
                <w:sz w:val="21"/>
                <w:szCs w:val="21"/>
                <w:highlight w:val="none"/>
                <w:lang w:val="en-US" w:eastAsia="zh-CN"/>
              </w:rPr>
              <w:t>，逾期送达或未密封将予以拒收。</w:t>
            </w:r>
          </w:p>
          <w:p w14:paraId="790C8DBE">
            <w:pPr>
              <w:pStyle w:val="34"/>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eastAsia" w:cs="宋体" w:asciiTheme="minorEastAsia" w:hAnsiTheme="minorEastAsia" w:eastAsiaTheme="minorEastAsia"/>
                <w:b/>
                <w:bCs/>
                <w:color w:val="auto"/>
                <w:kern w:val="28"/>
                <w:sz w:val="21"/>
                <w:szCs w:val="21"/>
                <w:highlight w:val="none"/>
                <w:lang w:val="en-US" w:eastAsia="zh-CN"/>
              </w:rPr>
            </w:pPr>
            <w:r>
              <w:rPr>
                <w:rFonts w:hint="eastAsia" w:cs="宋体" w:asciiTheme="minorEastAsia" w:hAnsiTheme="minorEastAsia" w:eastAsiaTheme="minorEastAsia"/>
                <w:b/>
                <w:bCs/>
                <w:color w:val="auto"/>
                <w:kern w:val="28"/>
                <w:sz w:val="21"/>
                <w:szCs w:val="21"/>
                <w:highlight w:val="none"/>
                <w:lang w:val="en-US" w:eastAsia="zh-CN"/>
              </w:rPr>
              <w:t>供应商可采用邮寄（含快递）方式递交备份投标文件。</w:t>
            </w:r>
          </w:p>
          <w:p w14:paraId="73D69025">
            <w:pPr>
              <w:pStyle w:val="34"/>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eastAsia" w:cs="宋体" w:asciiTheme="minorEastAsia" w:hAnsiTheme="minorEastAsia" w:eastAsiaTheme="minorEastAsia"/>
                <w:color w:val="auto"/>
                <w:kern w:val="28"/>
                <w:sz w:val="21"/>
                <w:szCs w:val="21"/>
                <w:highlight w:val="none"/>
                <w:lang w:val="en-US" w:eastAsia="zh-CN"/>
              </w:rPr>
            </w:pPr>
            <w:r>
              <w:rPr>
                <w:rFonts w:hint="eastAsia" w:cs="宋体" w:asciiTheme="minorEastAsia" w:hAnsiTheme="minorEastAsia" w:eastAsiaTheme="minorEastAsia"/>
                <w:color w:val="auto"/>
                <w:kern w:val="28"/>
                <w:sz w:val="21"/>
                <w:szCs w:val="21"/>
                <w:highlight w:val="none"/>
                <w:lang w:val="en-US" w:eastAsia="zh-CN"/>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2A500F7C">
            <w:pPr>
              <w:pStyle w:val="34"/>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eastAsia" w:cs="宋体" w:asciiTheme="minorEastAsia" w:hAnsiTheme="minorEastAsia" w:eastAsiaTheme="minorEastAsia"/>
                <w:color w:val="auto"/>
                <w:kern w:val="28"/>
                <w:sz w:val="21"/>
                <w:szCs w:val="21"/>
                <w:highlight w:val="none"/>
                <w:lang w:val="en-US" w:eastAsia="zh-CN"/>
              </w:rPr>
            </w:pPr>
            <w:r>
              <w:rPr>
                <w:rFonts w:hint="eastAsia" w:cs="宋体" w:asciiTheme="minorEastAsia" w:hAnsiTheme="minorEastAsia" w:eastAsiaTheme="minorEastAsia"/>
                <w:color w:val="auto"/>
                <w:kern w:val="28"/>
                <w:sz w:val="21"/>
                <w:szCs w:val="21"/>
                <w:highlight w:val="none"/>
                <w:lang w:val="en-US" w:eastAsia="zh-CN"/>
              </w:rPr>
              <w:t>拟在开标前一个工作日16:00前到件的邮寄地址为：宁海县时代大道178号四楼；</w:t>
            </w:r>
          </w:p>
          <w:p w14:paraId="7CD2232E">
            <w:pPr>
              <w:pStyle w:val="34"/>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cs="宋体" w:asciiTheme="minorEastAsia" w:hAnsiTheme="minorEastAsia" w:eastAsiaTheme="minorEastAsia"/>
                <w:color w:val="auto"/>
                <w:kern w:val="28"/>
                <w:sz w:val="21"/>
                <w:szCs w:val="21"/>
                <w:highlight w:val="none"/>
                <w:lang w:val="en-US" w:eastAsia="zh-CN"/>
              </w:rPr>
            </w:pPr>
            <w:r>
              <w:rPr>
                <w:rFonts w:hint="eastAsia" w:cs="宋体" w:asciiTheme="minorEastAsia" w:hAnsiTheme="minorEastAsia" w:eastAsiaTheme="minorEastAsia"/>
                <w:color w:val="auto"/>
                <w:kern w:val="28"/>
                <w:sz w:val="21"/>
                <w:szCs w:val="21"/>
                <w:highlight w:val="none"/>
                <w:lang w:val="en-US" w:eastAsia="zh-CN"/>
              </w:rPr>
              <w:t>收件人：胡云燕   联系方式：0574-82533300</w:t>
            </w:r>
          </w:p>
          <w:p w14:paraId="60ECE25A">
            <w:pPr>
              <w:pStyle w:val="34"/>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eastAsia" w:cs="宋体" w:asciiTheme="minorEastAsia" w:hAnsiTheme="minorEastAsia" w:eastAsiaTheme="minorEastAsia"/>
                <w:color w:val="auto"/>
                <w:kern w:val="28"/>
                <w:sz w:val="21"/>
                <w:szCs w:val="21"/>
                <w:highlight w:val="none"/>
                <w:lang w:val="en-US" w:eastAsia="zh-CN"/>
              </w:rPr>
            </w:pPr>
            <w:r>
              <w:rPr>
                <w:rFonts w:hint="eastAsia" w:cs="宋体" w:asciiTheme="minorEastAsia" w:hAnsiTheme="minorEastAsia" w:eastAsiaTheme="minorEastAsia"/>
                <w:color w:val="auto"/>
                <w:kern w:val="28"/>
                <w:sz w:val="21"/>
                <w:szCs w:val="21"/>
                <w:highlight w:val="none"/>
                <w:lang w:val="en-US" w:eastAsia="zh-CN"/>
              </w:rPr>
              <w:t>请各供应商确保密封包装在邮寄过程密封包装完好，因邮寄过程的密封破损造成不符合开标要求的，本采购代理及采购人概不负责。</w:t>
            </w:r>
          </w:p>
          <w:p w14:paraId="3BF5EAB0">
            <w:pPr>
              <w:pStyle w:val="34"/>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hAnsi="宋体" w:cs="宋体"/>
                <w:color w:val="auto"/>
                <w:kern w:val="28"/>
                <w:sz w:val="21"/>
                <w:szCs w:val="21"/>
                <w:highlight w:val="none"/>
              </w:rPr>
            </w:pPr>
            <w:r>
              <w:rPr>
                <w:rFonts w:hint="eastAsia" w:cs="宋体" w:asciiTheme="minorEastAsia" w:hAnsiTheme="minorEastAsia" w:eastAsiaTheme="minorEastAsia"/>
                <w:b/>
                <w:color w:val="auto"/>
                <w:sz w:val="21"/>
                <w:szCs w:val="21"/>
                <w:highlight w:val="none"/>
              </w:rPr>
              <w:t>采购人、</w:t>
            </w:r>
            <w:r>
              <w:rPr>
                <w:rFonts w:hint="eastAsia" w:cs="宋体" w:asciiTheme="minorEastAsia" w:hAnsiTheme="minorEastAsia" w:eastAsiaTheme="minorEastAsia"/>
                <w:b/>
                <w:color w:val="auto"/>
                <w:sz w:val="21"/>
                <w:szCs w:val="21"/>
                <w:highlight w:val="none"/>
                <w:lang w:eastAsia="zh-CN"/>
              </w:rPr>
              <w:t>采购代理机构</w:t>
            </w:r>
            <w:r>
              <w:rPr>
                <w:rFonts w:hint="eastAsia" w:cs="宋体" w:asciiTheme="minorEastAsia" w:hAnsiTheme="minorEastAsia" w:eastAsiaTheme="minorEastAsia"/>
                <w:b/>
                <w:color w:val="auto"/>
                <w:sz w:val="21"/>
                <w:szCs w:val="21"/>
                <w:highlight w:val="none"/>
              </w:rPr>
              <w:t>不强制或变相强制供应商提交备份</w:t>
            </w:r>
            <w:r>
              <w:rPr>
                <w:rFonts w:hint="eastAsia" w:cs="宋体" w:asciiTheme="minorEastAsia" w:hAnsiTheme="minorEastAsia" w:eastAsiaTheme="minorEastAsia"/>
                <w:b/>
                <w:color w:val="auto"/>
                <w:sz w:val="21"/>
                <w:szCs w:val="21"/>
                <w:highlight w:val="none"/>
                <w:lang w:eastAsia="zh-CN"/>
              </w:rPr>
              <w:t>投标文件</w:t>
            </w:r>
            <w:r>
              <w:rPr>
                <w:rFonts w:hint="eastAsia" w:cs="宋体" w:asciiTheme="minorEastAsia" w:hAnsiTheme="minorEastAsia" w:eastAsiaTheme="minorEastAsia"/>
                <w:b/>
                <w:color w:val="auto"/>
                <w:sz w:val="21"/>
                <w:szCs w:val="21"/>
                <w:highlight w:val="none"/>
              </w:rPr>
              <w:t>。</w:t>
            </w:r>
          </w:p>
        </w:tc>
      </w:tr>
      <w:tr w14:paraId="531E7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restart"/>
            <w:vAlign w:val="center"/>
          </w:tcPr>
          <w:p w14:paraId="0FAB1F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715" w:type="dxa"/>
            <w:vMerge w:val="restart"/>
            <w:vAlign w:val="center"/>
          </w:tcPr>
          <w:p w14:paraId="37293D6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b/>
                <w:color w:val="auto"/>
                <w:sz w:val="21"/>
                <w:szCs w:val="21"/>
                <w:highlight w:val="none"/>
              </w:rPr>
            </w:pPr>
            <w:r>
              <w:rPr>
                <w:rFonts w:hint="eastAsia" w:cs="仿宋_GB2312" w:asciiTheme="minorEastAsia" w:hAnsiTheme="minorEastAsia" w:eastAsiaTheme="minorEastAsia"/>
                <w:b/>
                <w:color w:val="auto"/>
                <w:sz w:val="21"/>
                <w:szCs w:val="21"/>
                <w:highlight w:val="none"/>
              </w:rPr>
              <w:t>特别说明</w:t>
            </w:r>
          </w:p>
        </w:tc>
        <w:tc>
          <w:tcPr>
            <w:tcW w:w="6690" w:type="dxa"/>
            <w:vAlign w:val="center"/>
          </w:tcPr>
          <w:p w14:paraId="5B25BD7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联合体投标的，联合体各方分别提供与联合体协议中规定的分工内容相应的业绩证明材料，业绩数量以提供材料较少的一方为准。</w:t>
            </w:r>
          </w:p>
        </w:tc>
      </w:tr>
      <w:tr w14:paraId="3357B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continue"/>
          </w:tcPr>
          <w:p w14:paraId="7FFC76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color w:val="auto"/>
                <w:sz w:val="21"/>
                <w:szCs w:val="21"/>
                <w:highlight w:val="none"/>
              </w:rPr>
            </w:pPr>
          </w:p>
        </w:tc>
        <w:tc>
          <w:tcPr>
            <w:tcW w:w="1715" w:type="dxa"/>
            <w:vMerge w:val="continue"/>
            <w:vAlign w:val="center"/>
          </w:tcPr>
          <w:p w14:paraId="45B02D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b/>
                <w:color w:val="auto"/>
                <w:sz w:val="21"/>
                <w:szCs w:val="21"/>
                <w:highlight w:val="none"/>
              </w:rPr>
            </w:pPr>
          </w:p>
        </w:tc>
        <w:tc>
          <w:tcPr>
            <w:tcW w:w="6690" w:type="dxa"/>
            <w:vAlign w:val="center"/>
          </w:tcPr>
          <w:p w14:paraId="27F790E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snapToGrid w:val="0"/>
                <w:color w:val="auto"/>
                <w:kern w:val="28"/>
                <w:sz w:val="21"/>
                <w:szCs w:val="21"/>
                <w:highlight w:val="none"/>
              </w:rPr>
            </w:pPr>
            <w:sdt>
              <w:sdtPr>
                <w:rPr>
                  <w:rFonts w:hint="eastAsia" w:cs="Arial" w:asciiTheme="minorEastAsia" w:hAnsiTheme="minorEastAsia" w:eastAsiaTheme="minorEastAsia"/>
                  <w:color w:val="auto"/>
                  <w:kern w:val="0"/>
                  <w:sz w:val="21"/>
                  <w:szCs w:val="21"/>
                  <w:highlight w:val="none"/>
                </w:rPr>
                <w:id w:val="147465255"/>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1"/>
                  <w:szCs w:val="21"/>
                  <w:highlight w:val="none"/>
                </w:rPr>
              </w:sdtEndPr>
              <w:sdtContent>
                <w:r>
                  <w:rPr>
                    <w:rFonts w:hint="eastAsia" w:ascii="MS Gothic" w:hAnsi="MS Gothic" w:eastAsia="MS Mincho" w:cs="MS Mincho"/>
                    <w:color w:val="auto"/>
                    <w:kern w:val="0"/>
                    <w:sz w:val="21"/>
                    <w:szCs w:val="21"/>
                    <w:highlight w:val="none"/>
                    <w:lang w:val="en-US" w:eastAsia="zh-CN" w:bidi="ar-SA"/>
                  </w:rPr>
                  <w:t>☐</w:t>
                </w:r>
              </w:sdtContent>
            </w:sdt>
            <w:r>
              <w:rPr>
                <w:rFonts w:hint="eastAsia" w:ascii="宋体" w:hAnsi="宋体" w:cs="宋体"/>
                <w:snapToGrid w:val="0"/>
                <w:color w:val="auto"/>
                <w:kern w:val="28"/>
                <w:sz w:val="21"/>
                <w:szCs w:val="21"/>
                <w:highlight w:val="none"/>
              </w:rPr>
              <w:t>联合体投标的，联合体各方均需按招标文件第四部分评标标准要求提供资信证明文件，否则视为不符合相关要求。</w:t>
            </w:r>
          </w:p>
          <w:p w14:paraId="04F55F8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snapToGrid w:val="0"/>
                <w:color w:val="auto"/>
                <w:kern w:val="28"/>
                <w:sz w:val="21"/>
                <w:szCs w:val="21"/>
                <w:highlight w:val="none"/>
              </w:rPr>
            </w:pPr>
            <w:sdt>
              <w:sdtPr>
                <w:rPr>
                  <w:rFonts w:hint="eastAsia" w:cs="Arial" w:asciiTheme="minorEastAsia" w:hAnsiTheme="minorEastAsia" w:eastAsiaTheme="minorEastAsia"/>
                  <w:color w:val="auto"/>
                  <w:kern w:val="0"/>
                  <w:sz w:val="21"/>
                  <w:szCs w:val="21"/>
                  <w:highlight w:val="none"/>
                </w:rPr>
                <w:id w:val="147459449"/>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1"/>
                  <w:szCs w:val="21"/>
                  <w:highlight w:val="none"/>
                </w:rPr>
              </w:sdtEndPr>
              <w:sdtContent>
                <w:r>
                  <w:rPr>
                    <w:rFonts w:hint="eastAsia" w:ascii="Wingdings" w:hAnsi="Wingdings" w:cs="Arial" w:eastAsiaTheme="minorEastAsia"/>
                    <w:color w:val="auto"/>
                    <w:kern w:val="0"/>
                    <w:sz w:val="21"/>
                    <w:szCs w:val="21"/>
                    <w:highlight w:val="none"/>
                    <w:lang w:val="en-US" w:eastAsia="zh-CN" w:bidi="ar-SA"/>
                  </w:rPr>
                  <w:t>þ</w:t>
                </w:r>
              </w:sdtContent>
            </w:sdt>
            <w:r>
              <w:rPr>
                <w:rFonts w:hint="eastAsia" w:ascii="宋体" w:hAnsi="宋体" w:cs="宋体"/>
                <w:snapToGrid w:val="0"/>
                <w:color w:val="auto"/>
                <w:kern w:val="28"/>
                <w:sz w:val="21"/>
                <w:szCs w:val="21"/>
                <w:highlight w:val="none"/>
              </w:rPr>
              <w:t>联合体投标的，联合体中有一方或者联合体成员根据分工按招标文件第四部分评标标准要求提供资信证明文件的，视为符合了相关要求。</w:t>
            </w:r>
          </w:p>
        </w:tc>
      </w:tr>
      <w:tr w14:paraId="4D2F3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5430A9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lang w:val="en-US" w:eastAsia="zh-CN"/>
              </w:rPr>
              <w:t>14</w:t>
            </w:r>
          </w:p>
        </w:tc>
        <w:tc>
          <w:tcPr>
            <w:tcW w:w="1715" w:type="dxa"/>
            <w:vAlign w:val="center"/>
          </w:tcPr>
          <w:p w14:paraId="687C81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cs="宋体" w:asciiTheme="minorEastAsia" w:hAnsiTheme="minorEastAsia" w:eastAsiaTheme="minorEastAsia"/>
                <w:b/>
                <w:color w:val="auto"/>
                <w:kern w:val="2"/>
                <w:sz w:val="21"/>
                <w:szCs w:val="21"/>
                <w:highlight w:val="none"/>
                <w:lang w:val="en-US" w:eastAsia="zh-CN" w:bidi="ar-SA"/>
              </w:rPr>
            </w:pPr>
            <w:r>
              <w:rPr>
                <w:rFonts w:hint="eastAsia" w:cs="宋体" w:asciiTheme="minorEastAsia" w:hAnsiTheme="minorEastAsia" w:eastAsiaTheme="minorEastAsia"/>
                <w:b/>
                <w:color w:val="auto"/>
                <w:sz w:val="21"/>
                <w:szCs w:val="21"/>
                <w:highlight w:val="none"/>
                <w:lang w:val="en-US" w:eastAsia="zh-CN"/>
              </w:rPr>
              <w:t>其他说明</w:t>
            </w:r>
          </w:p>
        </w:tc>
        <w:tc>
          <w:tcPr>
            <w:tcW w:w="6690" w:type="dxa"/>
            <w:vAlign w:val="center"/>
          </w:tcPr>
          <w:p w14:paraId="20208543">
            <w:pPr>
              <w:keepNext w:val="0"/>
              <w:keepLines w:val="0"/>
              <w:suppressLineNumbers w:val="0"/>
              <w:spacing w:before="0" w:beforeLines="0" w:beforeAutospacing="0" w:after="0" w:afterLines="0" w:afterAutospacing="0" w:line="400" w:lineRule="exact"/>
              <w:ind w:left="0" w:right="0" w:firstLine="420" w:firstLineChars="200"/>
              <w:rPr>
                <w:rFonts w:hint="default" w:ascii="宋体" w:hAnsi="宋体" w:eastAsia="宋体" w:cs="宋体"/>
                <w:color w:val="auto"/>
                <w:sz w:val="21"/>
                <w:szCs w:val="24"/>
              </w:rPr>
            </w:pPr>
            <w:r>
              <w:rPr>
                <w:rFonts w:hint="eastAsia" w:cs="Arial" w:asciiTheme="minorEastAsia" w:hAnsiTheme="minorEastAsia" w:eastAsiaTheme="minorEastAsia"/>
                <w:color w:val="auto"/>
                <w:kern w:val="0"/>
                <w:sz w:val="21"/>
                <w:szCs w:val="21"/>
                <w:highlight w:val="none"/>
              </w:rPr>
              <w:t>招标代理服务费的收取标准：代理机构按下表中货物招标的标准（按差额定率累进法计算），</w:t>
            </w:r>
            <w:r>
              <w:rPr>
                <w:rFonts w:hint="eastAsia" w:cs="Arial" w:asciiTheme="minorEastAsia" w:hAnsiTheme="minorEastAsia" w:eastAsiaTheme="minorEastAsia"/>
                <w:color w:val="auto"/>
                <w:kern w:val="0"/>
                <w:sz w:val="21"/>
                <w:szCs w:val="21"/>
                <w:highlight w:val="none"/>
                <w:lang w:val="en-US" w:eastAsia="zh-CN"/>
              </w:rPr>
              <w:t>根据本项目的中标金额，向中标人收取招标代理服务费,</w:t>
            </w:r>
            <w:r>
              <w:rPr>
                <w:rFonts w:hint="default" w:ascii="宋体" w:hAnsi="宋体" w:eastAsia="宋体" w:cs="宋体"/>
                <w:color w:val="auto"/>
                <w:sz w:val="21"/>
                <w:szCs w:val="24"/>
              </w:rPr>
              <w:t>不足10000元的，按10000元计取。</w:t>
            </w:r>
          </w:p>
          <w:p w14:paraId="2EA48A9C">
            <w:pPr>
              <w:pStyle w:val="19"/>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80" w:lineRule="exact"/>
              <w:ind w:left="0" w:right="0"/>
              <w:textAlignment w:val="auto"/>
              <w:rPr>
                <w:rFonts w:hint="eastAsia" w:cs="Arial" w:asciiTheme="minorEastAsia" w:hAnsiTheme="minorEastAsia" w:eastAsiaTheme="minorEastAsia"/>
                <w:color w:val="auto"/>
                <w:kern w:val="0"/>
                <w:sz w:val="21"/>
                <w:szCs w:val="21"/>
                <w:highlight w:val="none"/>
              </w:rPr>
            </w:pPr>
          </w:p>
          <w:tbl>
            <w:tblPr>
              <w:tblStyle w:val="62"/>
              <w:tblW w:w="5817" w:type="dxa"/>
              <w:jc w:val="center"/>
              <w:tblLayout w:type="fixed"/>
              <w:tblCellMar>
                <w:top w:w="15" w:type="dxa"/>
                <w:left w:w="15" w:type="dxa"/>
                <w:bottom w:w="15" w:type="dxa"/>
                <w:right w:w="15" w:type="dxa"/>
              </w:tblCellMar>
            </w:tblPr>
            <w:tblGrid>
              <w:gridCol w:w="1669"/>
              <w:gridCol w:w="1443"/>
              <w:gridCol w:w="1368"/>
              <w:gridCol w:w="1337"/>
            </w:tblGrid>
            <w:tr w14:paraId="4401A182">
              <w:tblPrEx>
                <w:tblCellMar>
                  <w:top w:w="15" w:type="dxa"/>
                  <w:left w:w="15" w:type="dxa"/>
                  <w:bottom w:w="15" w:type="dxa"/>
                  <w:right w:w="15" w:type="dxa"/>
                </w:tblCellMar>
              </w:tblPrEx>
              <w:trPr>
                <w:trHeight w:val="608" w:hRule="atLeast"/>
                <w:jc w:val="center"/>
              </w:trPr>
              <w:tc>
                <w:tcPr>
                  <w:tcW w:w="1669" w:type="dxa"/>
                  <w:tcBorders>
                    <w:top w:val="single" w:color="auto" w:sz="4" w:space="0"/>
                    <w:left w:val="single" w:color="auto" w:sz="6" w:space="0"/>
                    <w:bottom w:val="single" w:color="auto" w:sz="4" w:space="0"/>
                    <w:right w:val="single" w:color="auto" w:sz="4" w:space="0"/>
                    <w:tl2br w:val="single" w:color="auto" w:sz="4" w:space="0"/>
                  </w:tcBorders>
                  <w:noWrap w:val="0"/>
                  <w:tcMar>
                    <w:top w:w="30" w:type="dxa"/>
                    <w:left w:w="150" w:type="dxa"/>
                    <w:bottom w:w="30" w:type="dxa"/>
                    <w:right w:w="150" w:type="dxa"/>
                  </w:tcMar>
                  <w:vAlign w:val="center"/>
                </w:tcPr>
                <w:p w14:paraId="68D11C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服费类型</w:t>
                  </w:r>
                </w:p>
                <w:p w14:paraId="2334BE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金额（万元）</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778EB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货物招标</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46007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服务招标</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5CB82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工程招标</w:t>
                  </w:r>
                </w:p>
              </w:tc>
            </w:tr>
            <w:tr w14:paraId="1CD21018">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FE28C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100以下</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A84E2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C541A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5F3B3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14:paraId="657AA9BD">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33CAF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100-500</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9BDCE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237A7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24C9D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r>
          </w:tbl>
          <w:p w14:paraId="70280DC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关于本次采购的服务费汇入以下账户：</w:t>
            </w:r>
          </w:p>
          <w:p w14:paraId="759F53A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textAlignment w:val="auto"/>
              <w:outlineLvl w:val="9"/>
              <w:rPr>
                <w:rFonts w:hint="eastAsia" w:cs="Arial" w:asciiTheme="minorEastAsia" w:hAnsiTheme="minorEastAsia" w:eastAsiaTheme="minorEastAsia"/>
                <w:color w:val="auto"/>
                <w:kern w:val="0"/>
                <w:sz w:val="21"/>
                <w:szCs w:val="21"/>
                <w:highlight w:val="none"/>
                <w:lang w:eastAsia="zh-CN"/>
              </w:rPr>
            </w:pPr>
            <w:r>
              <w:rPr>
                <w:rFonts w:hint="eastAsia" w:cs="Arial" w:asciiTheme="minorEastAsia" w:hAnsiTheme="minorEastAsia" w:eastAsiaTheme="minorEastAsia"/>
                <w:color w:val="auto"/>
                <w:kern w:val="0"/>
                <w:sz w:val="21"/>
                <w:szCs w:val="21"/>
                <w:highlight w:val="none"/>
              </w:rPr>
              <w:t>开户银行：</w:t>
            </w:r>
            <w:r>
              <w:rPr>
                <w:rFonts w:hint="eastAsia" w:cs="Arial" w:asciiTheme="minorEastAsia" w:hAnsiTheme="minorEastAsia" w:eastAsiaTheme="minorEastAsia"/>
                <w:color w:val="auto"/>
                <w:kern w:val="0"/>
                <w:sz w:val="21"/>
                <w:szCs w:val="21"/>
                <w:highlight w:val="none"/>
                <w:lang w:eastAsia="zh-CN"/>
              </w:rPr>
              <w:t>宁波银行宁海支行</w:t>
            </w:r>
          </w:p>
          <w:p w14:paraId="5537F2E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账    号：60010122000570946</w:t>
            </w:r>
          </w:p>
          <w:p w14:paraId="3135F8A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textAlignment w:val="auto"/>
              <w:outlineLvl w:val="9"/>
              <w:rPr>
                <w:rFonts w:hint="eastAsia" w:cs="Arial" w:asciiTheme="minorEastAsia" w:hAnsiTheme="minorEastAsia" w:eastAsiaTheme="minorEastAsia"/>
                <w:color w:val="auto"/>
                <w:kern w:val="0"/>
                <w:sz w:val="21"/>
                <w:szCs w:val="21"/>
                <w:highlight w:val="none"/>
                <w:lang w:val="en-US" w:eastAsia="zh-CN" w:bidi="ar-SA"/>
              </w:rPr>
            </w:pPr>
            <w:r>
              <w:rPr>
                <w:rFonts w:hint="eastAsia" w:cs="Arial" w:asciiTheme="minorEastAsia" w:hAnsiTheme="minorEastAsia" w:eastAsiaTheme="minorEastAsia"/>
                <w:color w:val="auto"/>
                <w:kern w:val="0"/>
                <w:sz w:val="21"/>
                <w:szCs w:val="21"/>
                <w:highlight w:val="none"/>
              </w:rPr>
              <w:t>户    名：</w:t>
            </w:r>
            <w:r>
              <w:rPr>
                <w:rFonts w:hint="eastAsia" w:cs="Arial" w:asciiTheme="minorEastAsia" w:hAnsiTheme="minorEastAsia" w:eastAsiaTheme="minorEastAsia"/>
                <w:color w:val="auto"/>
                <w:kern w:val="0"/>
                <w:sz w:val="21"/>
                <w:szCs w:val="21"/>
                <w:highlight w:val="none"/>
                <w:lang w:eastAsia="zh-CN"/>
              </w:rPr>
              <w:t>宁海童氏工程管理咨询有限公司</w:t>
            </w:r>
          </w:p>
        </w:tc>
      </w:tr>
      <w:tr w14:paraId="05B1B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shd w:val="clear" w:color="auto" w:fill="auto"/>
            <w:vAlign w:val="center"/>
          </w:tcPr>
          <w:p w14:paraId="4BE4605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15</w:t>
            </w:r>
          </w:p>
        </w:tc>
        <w:tc>
          <w:tcPr>
            <w:tcW w:w="1715" w:type="dxa"/>
            <w:shd w:val="clear" w:color="auto" w:fill="auto"/>
            <w:vAlign w:val="center"/>
          </w:tcPr>
          <w:p w14:paraId="0B75DD8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关于分公司投标</w:t>
            </w:r>
          </w:p>
        </w:tc>
        <w:tc>
          <w:tcPr>
            <w:tcW w:w="6690" w:type="dxa"/>
            <w:shd w:val="clear" w:color="auto" w:fill="auto"/>
            <w:vAlign w:val="center"/>
          </w:tcPr>
          <w:p w14:paraId="1DDA858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textAlignment w:val="auto"/>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tc>
      </w:tr>
      <w:bookmarkEnd w:id="9"/>
    </w:tbl>
    <w:p w14:paraId="6F433C62">
      <w:pPr>
        <w:kinsoku/>
        <w:wordWrap/>
        <w:overflowPunct/>
        <w:topLinePunct w:val="0"/>
        <w:bidi w:val="0"/>
        <w:outlineLvl w:val="9"/>
        <w:rPr>
          <w:rFonts w:hint="eastAsia" w:ascii="宋体" w:hAnsi="宋体" w:cs="宋体"/>
          <w:b/>
          <w:color w:val="auto"/>
          <w:sz w:val="32"/>
          <w:szCs w:val="20"/>
          <w:highlight w:val="none"/>
        </w:rPr>
      </w:pPr>
      <w:bookmarkStart w:id="13" w:name="第三部分"/>
      <w:bookmarkStart w:id="14" w:name="_Toc164416483"/>
      <w:r>
        <w:rPr>
          <w:rFonts w:hint="eastAsia" w:ascii="宋体" w:hAnsi="宋体" w:cs="宋体"/>
          <w:b/>
          <w:color w:val="auto"/>
          <w:sz w:val="32"/>
          <w:szCs w:val="20"/>
          <w:highlight w:val="none"/>
        </w:rPr>
        <w:br w:type="page"/>
      </w:r>
    </w:p>
    <w:bookmarkEnd w:id="13"/>
    <w:bookmarkEnd w:id="14"/>
    <w:p w14:paraId="54DB135E">
      <w:pPr>
        <w:spacing w:line="380" w:lineRule="exact"/>
        <w:ind w:firstLine="515" w:firstLineChars="171"/>
        <w:jc w:val="center"/>
        <w:outlineLvl w:val="0"/>
        <w:rPr>
          <w:rFonts w:ascii="宋体"/>
          <w:b/>
          <w:bCs/>
          <w:color w:val="auto"/>
          <w:sz w:val="30"/>
          <w:szCs w:val="30"/>
          <w:highlight w:val="none"/>
        </w:rPr>
      </w:pPr>
      <w:bookmarkStart w:id="15" w:name="_Toc50046891"/>
      <w:bookmarkStart w:id="16" w:name="_Toc26044"/>
      <w:bookmarkStart w:id="17" w:name="第四部分"/>
      <w:r>
        <w:rPr>
          <w:rFonts w:hint="eastAsia" w:ascii="宋体" w:hAnsi="宋体" w:cs="宋体"/>
          <w:b/>
          <w:bCs/>
          <w:color w:val="auto"/>
          <w:sz w:val="30"/>
          <w:szCs w:val="30"/>
          <w:highlight w:val="none"/>
        </w:rPr>
        <w:t>竞争性磋商须知</w:t>
      </w:r>
      <w:bookmarkEnd w:id="15"/>
    </w:p>
    <w:p w14:paraId="76944879">
      <w:pPr>
        <w:spacing w:line="42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一、适用范围</w:t>
      </w:r>
    </w:p>
    <w:p w14:paraId="3C2EC7B3">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本竞争性磋商文件仅适用于</w:t>
      </w:r>
      <w:r>
        <w:rPr>
          <w:rFonts w:hint="eastAsia" w:ascii="宋体" w:hAnsi="宋体"/>
          <w:color w:val="auto"/>
          <w:szCs w:val="21"/>
          <w:highlight w:val="none"/>
        </w:rPr>
        <w:t>本项目所叙述的服务的磋商、评审、验收、合同履约、付款等（法律、法规另有规定的，从其规定）。</w:t>
      </w:r>
    </w:p>
    <w:p w14:paraId="63815C2C">
      <w:pPr>
        <w:spacing w:line="42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二、定义</w:t>
      </w:r>
    </w:p>
    <w:p w14:paraId="5B687774">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1、“采购人”系指</w:t>
      </w:r>
      <w:r>
        <w:rPr>
          <w:rFonts w:hint="eastAsia" w:ascii="宋体" w:hAnsi="宋体"/>
          <w:color w:val="auto"/>
          <w:szCs w:val="21"/>
          <w:highlight w:val="none"/>
          <w:lang w:eastAsia="zh-CN"/>
        </w:rPr>
        <w:t>业主</w:t>
      </w:r>
      <w:r>
        <w:rPr>
          <w:rFonts w:hint="eastAsia" w:ascii="宋体" w:hAnsi="宋体"/>
          <w:color w:val="auto"/>
          <w:szCs w:val="21"/>
          <w:highlight w:val="none"/>
        </w:rPr>
        <w:t>。</w:t>
      </w:r>
    </w:p>
    <w:p w14:paraId="2C9DAC1A">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2、“代理机构”系指</w:t>
      </w:r>
      <w:r>
        <w:rPr>
          <w:rFonts w:hint="eastAsia" w:ascii="宋体" w:hAnsi="宋体"/>
          <w:color w:val="auto"/>
          <w:szCs w:val="21"/>
          <w:highlight w:val="none"/>
          <w:lang w:eastAsia="zh-CN"/>
        </w:rPr>
        <w:t>本项目的代理单位</w:t>
      </w:r>
      <w:r>
        <w:rPr>
          <w:rFonts w:hint="eastAsia" w:ascii="宋体" w:hAnsi="宋体"/>
          <w:color w:val="auto"/>
          <w:szCs w:val="21"/>
          <w:highlight w:val="none"/>
        </w:rPr>
        <w:t>。</w:t>
      </w:r>
    </w:p>
    <w:p w14:paraId="6DAC3ACF">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3、“供应商”系指向采购人提交磋商响应文件的供应商。</w:t>
      </w:r>
    </w:p>
    <w:p w14:paraId="3CB85940">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4、“服务”系指</w:t>
      </w:r>
      <w:r>
        <w:rPr>
          <w:rFonts w:ascii="宋体" w:hAnsi="宋体"/>
          <w:color w:val="auto"/>
          <w:szCs w:val="21"/>
          <w:highlight w:val="none"/>
        </w:rPr>
        <w:t>本竞争性磋商文件</w:t>
      </w:r>
      <w:r>
        <w:rPr>
          <w:rFonts w:hint="eastAsia" w:ascii="宋体" w:hAnsi="宋体"/>
          <w:color w:val="auto"/>
          <w:szCs w:val="21"/>
          <w:highlight w:val="none"/>
        </w:rPr>
        <w:t>规定供应商</w:t>
      </w:r>
      <w:r>
        <w:rPr>
          <w:rFonts w:ascii="宋体" w:hAnsi="宋体"/>
          <w:color w:val="auto"/>
          <w:szCs w:val="21"/>
          <w:highlight w:val="none"/>
        </w:rPr>
        <w:t>须承担的</w:t>
      </w:r>
      <w:r>
        <w:rPr>
          <w:rFonts w:hint="eastAsia" w:ascii="宋体" w:hAnsi="宋体"/>
          <w:color w:val="auto"/>
          <w:szCs w:val="21"/>
          <w:highlight w:val="none"/>
        </w:rPr>
        <w:t>技术服务</w:t>
      </w:r>
      <w:r>
        <w:rPr>
          <w:rFonts w:ascii="宋体" w:hAnsi="宋体"/>
          <w:color w:val="auto"/>
          <w:szCs w:val="21"/>
          <w:highlight w:val="none"/>
        </w:rPr>
        <w:t>以及其他类似的义务</w:t>
      </w:r>
      <w:r>
        <w:rPr>
          <w:rFonts w:hint="eastAsia" w:ascii="宋体" w:hAnsi="宋体"/>
          <w:color w:val="auto"/>
          <w:szCs w:val="21"/>
          <w:highlight w:val="none"/>
        </w:rPr>
        <w:t>。</w:t>
      </w:r>
    </w:p>
    <w:p w14:paraId="5AF1B3F9">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5、“同级政府采购监管部门”系指</w:t>
      </w:r>
      <w:r>
        <w:rPr>
          <w:rFonts w:hint="eastAsia"/>
          <w:color w:val="auto"/>
          <w:szCs w:val="21"/>
          <w:highlight w:val="none"/>
          <w:lang w:eastAsia="zh-CN"/>
        </w:rPr>
        <w:t>宁海县财政局政府采购监管处</w:t>
      </w:r>
      <w:r>
        <w:rPr>
          <w:rFonts w:hint="eastAsia" w:ascii="宋体" w:hAnsi="宋体"/>
          <w:color w:val="auto"/>
          <w:szCs w:val="21"/>
          <w:highlight w:val="none"/>
        </w:rPr>
        <w:t>。</w:t>
      </w:r>
    </w:p>
    <w:p w14:paraId="169DFF60">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eastAsia="宋体" w:cs="宋体"/>
          <w:color w:val="auto"/>
          <w:szCs w:val="21"/>
          <w:highlight w:val="none"/>
        </w:rPr>
        <w:t>★</w:t>
      </w:r>
      <w:r>
        <w:rPr>
          <w:rFonts w:hint="eastAsia" w:ascii="宋体" w:hAnsi="宋体"/>
          <w:color w:val="auto"/>
          <w:szCs w:val="21"/>
          <w:highlight w:val="none"/>
        </w:rPr>
        <w:t>”系指实质性响应条款。</w:t>
      </w:r>
    </w:p>
    <w:p w14:paraId="6EB84014">
      <w:pPr>
        <w:spacing w:line="420" w:lineRule="exact"/>
        <w:ind w:firstLine="420" w:firstLineChars="200"/>
        <w:jc w:val="left"/>
        <w:rPr>
          <w:rFonts w:ascii="宋体" w:hAnsi="宋体" w:eastAsia="宋体" w:cs="Times New Roman"/>
          <w:color w:val="auto"/>
          <w:szCs w:val="21"/>
          <w:highlight w:val="none"/>
        </w:rPr>
      </w:pPr>
      <w:r>
        <w:rPr>
          <w:rFonts w:hint="eastAsia" w:ascii="宋体" w:hAnsi="宋体"/>
          <w:color w:val="auto"/>
          <w:szCs w:val="21"/>
          <w:highlight w:val="none"/>
          <w:lang w:eastAsia="zh-CN"/>
        </w:rPr>
        <w:t>★</w:t>
      </w:r>
      <w:r>
        <w:rPr>
          <w:rFonts w:hint="eastAsia" w:ascii="宋体" w:hAnsi="宋体"/>
          <w:b/>
          <w:color w:val="auto"/>
          <w:szCs w:val="21"/>
          <w:highlight w:val="none"/>
        </w:rPr>
        <w:t>三、</w:t>
      </w:r>
      <w:r>
        <w:rPr>
          <w:rFonts w:hint="eastAsia" w:ascii="宋体" w:hAnsi="宋体" w:eastAsia="宋体" w:cs="Times New Roman"/>
          <w:b/>
          <w:bCs/>
          <w:color w:val="auto"/>
          <w:szCs w:val="21"/>
          <w:highlight w:val="none"/>
        </w:rPr>
        <w:t>合格的</w:t>
      </w:r>
      <w:r>
        <w:rPr>
          <w:rFonts w:hint="eastAsia" w:ascii="宋体" w:hAnsi="宋体" w:eastAsia="宋体" w:cs="Times New Roman"/>
          <w:b/>
          <w:bCs/>
          <w:color w:val="auto"/>
          <w:szCs w:val="21"/>
          <w:highlight w:val="none"/>
          <w:lang w:eastAsia="zh-CN"/>
        </w:rPr>
        <w:t>供应商</w:t>
      </w:r>
      <w:r>
        <w:rPr>
          <w:rFonts w:hint="eastAsia" w:ascii="宋体" w:hAnsi="宋体" w:eastAsia="宋体" w:cs="Times New Roman"/>
          <w:b/>
          <w:bCs/>
          <w:color w:val="auto"/>
          <w:szCs w:val="21"/>
          <w:highlight w:val="none"/>
        </w:rPr>
        <w:t>和合格的</w:t>
      </w:r>
      <w:r>
        <w:rPr>
          <w:rFonts w:hint="eastAsia" w:ascii="宋体" w:hAnsi="宋体" w:eastAsia="宋体" w:cs="Times New Roman"/>
          <w:b/>
          <w:bCs/>
          <w:color w:val="auto"/>
          <w:szCs w:val="21"/>
          <w:highlight w:val="none"/>
          <w:lang w:val="en-US" w:eastAsia="zh-CN"/>
        </w:rPr>
        <w:t>响应</w:t>
      </w:r>
      <w:r>
        <w:rPr>
          <w:rFonts w:hint="eastAsia" w:ascii="宋体" w:hAnsi="宋体" w:eastAsia="宋体" w:cs="Times New Roman"/>
          <w:b/>
          <w:bCs/>
          <w:color w:val="auto"/>
          <w:szCs w:val="21"/>
          <w:highlight w:val="none"/>
        </w:rPr>
        <w:t>货物或服务</w:t>
      </w:r>
    </w:p>
    <w:p w14:paraId="3DAB5BAA">
      <w:pPr>
        <w:spacing w:line="42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1.1合格的</w:t>
      </w:r>
      <w:r>
        <w:rPr>
          <w:rFonts w:hint="eastAsia" w:ascii="宋体" w:hAnsi="宋体" w:eastAsia="宋体" w:cs="Times New Roman"/>
          <w:color w:val="auto"/>
          <w:szCs w:val="21"/>
          <w:highlight w:val="none"/>
          <w:lang w:eastAsia="zh-CN"/>
        </w:rPr>
        <w:t>供应商</w:t>
      </w:r>
      <w:r>
        <w:rPr>
          <w:rFonts w:hint="eastAsia" w:ascii="宋体" w:hAnsi="宋体" w:eastAsia="宋体" w:cs="Times New Roman"/>
          <w:color w:val="auto"/>
          <w:szCs w:val="21"/>
          <w:highlight w:val="none"/>
        </w:rPr>
        <w:t>：</w:t>
      </w:r>
      <w:r>
        <w:rPr>
          <w:rFonts w:hint="eastAsia" w:ascii="宋体" w:hAnsi="宋体"/>
          <w:color w:val="auto"/>
          <w:szCs w:val="21"/>
          <w:highlight w:val="none"/>
        </w:rPr>
        <w:t>详见竞争性磋商公告</w:t>
      </w:r>
    </w:p>
    <w:p w14:paraId="416B161F">
      <w:pPr>
        <w:spacing w:line="42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1.2 合格的</w:t>
      </w:r>
      <w:r>
        <w:rPr>
          <w:rFonts w:hint="eastAsia" w:ascii="宋体" w:hAnsi="宋体" w:eastAsia="宋体" w:cs="Times New Roman"/>
          <w:color w:val="auto"/>
          <w:szCs w:val="21"/>
          <w:highlight w:val="none"/>
          <w:lang w:val="en-US" w:eastAsia="zh-CN"/>
        </w:rPr>
        <w:t>响应</w:t>
      </w:r>
      <w:r>
        <w:rPr>
          <w:rFonts w:hint="eastAsia" w:ascii="宋体" w:hAnsi="宋体" w:eastAsia="宋体" w:cs="Times New Roman"/>
          <w:color w:val="auto"/>
          <w:szCs w:val="21"/>
          <w:highlight w:val="none"/>
        </w:rPr>
        <w:t>货物或服务：</w:t>
      </w:r>
    </w:p>
    <w:p w14:paraId="1DF1B952">
      <w:pPr>
        <w:spacing w:line="42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1.2.1应该是中国境内生产的货物或提供的服务。</w:t>
      </w:r>
    </w:p>
    <w:p w14:paraId="0276EE6A">
      <w:pPr>
        <w:spacing w:line="42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若</w:t>
      </w:r>
      <w:r>
        <w:rPr>
          <w:rFonts w:hint="eastAsia" w:ascii="宋体" w:hAnsi="宋体" w:eastAsia="宋体" w:cs="Times New Roman"/>
          <w:color w:val="auto"/>
          <w:szCs w:val="21"/>
          <w:highlight w:val="none"/>
          <w:lang w:val="en-US" w:eastAsia="zh-CN"/>
        </w:rPr>
        <w:t>响应</w:t>
      </w:r>
      <w:r>
        <w:rPr>
          <w:rFonts w:hint="eastAsia" w:ascii="宋体" w:hAnsi="宋体" w:eastAsia="宋体" w:cs="Times New Roman"/>
          <w:color w:val="auto"/>
          <w:szCs w:val="21"/>
          <w:highlight w:val="none"/>
        </w:rPr>
        <w:t>货物或服务是国家实行许可证制度或生产注册证制度的产品或服务，则应具备相应有效的证书。</w:t>
      </w:r>
    </w:p>
    <w:p w14:paraId="0FDE30E2">
      <w:pPr>
        <w:spacing w:line="42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采购文件</w:t>
      </w:r>
      <w:r>
        <w:rPr>
          <w:rFonts w:hint="eastAsia" w:ascii="宋体" w:hAnsi="宋体" w:eastAsia="宋体" w:cs="Times New Roman"/>
          <w:color w:val="auto"/>
          <w:szCs w:val="21"/>
          <w:highlight w:val="none"/>
        </w:rPr>
        <w:t>允许采购进口产品的，若</w:t>
      </w:r>
      <w:r>
        <w:rPr>
          <w:rFonts w:hint="eastAsia" w:ascii="宋体" w:hAnsi="宋体" w:eastAsia="宋体" w:cs="Times New Roman"/>
          <w:color w:val="auto"/>
          <w:szCs w:val="21"/>
          <w:highlight w:val="none"/>
          <w:lang w:val="en-US" w:eastAsia="zh-CN"/>
        </w:rPr>
        <w:t>响应</w:t>
      </w:r>
      <w:r>
        <w:rPr>
          <w:rFonts w:hint="eastAsia" w:ascii="宋体" w:hAnsi="宋体" w:eastAsia="宋体" w:cs="Times New Roman"/>
          <w:color w:val="auto"/>
          <w:szCs w:val="21"/>
          <w:highlight w:val="none"/>
        </w:rPr>
        <w:t>货物是进口产品，</w:t>
      </w:r>
      <w:r>
        <w:rPr>
          <w:rFonts w:hint="eastAsia" w:ascii="宋体" w:hAnsi="宋体" w:eastAsia="宋体" w:cs="Times New Roman"/>
          <w:color w:val="auto"/>
          <w:szCs w:val="21"/>
          <w:highlight w:val="none"/>
          <w:lang w:eastAsia="zh-CN"/>
        </w:rPr>
        <w:t>供应商</w:t>
      </w:r>
      <w:r>
        <w:rPr>
          <w:rFonts w:hint="eastAsia" w:ascii="宋体" w:hAnsi="宋体" w:eastAsia="宋体" w:cs="Times New Roman"/>
          <w:color w:val="auto"/>
          <w:szCs w:val="21"/>
          <w:highlight w:val="none"/>
        </w:rPr>
        <w:t>应保证所投产品为可履行合法报通关手续进入中国关境内、在中国海关完税的可合法销售的货物。</w:t>
      </w:r>
    </w:p>
    <w:p w14:paraId="0D9199A0">
      <w:pPr>
        <w:spacing w:line="42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1.2.2国家规定有标准及规范的，投标货物或服务应按有效的标准及规范执行，应符合国家及</w:t>
      </w:r>
      <w:r>
        <w:rPr>
          <w:rFonts w:hint="eastAsia" w:ascii="宋体" w:hAnsi="宋体" w:eastAsia="宋体" w:cs="Times New Roman"/>
          <w:color w:val="auto"/>
          <w:szCs w:val="21"/>
          <w:highlight w:val="none"/>
          <w:lang w:eastAsia="zh-CN"/>
        </w:rPr>
        <w:t>采购文件</w:t>
      </w:r>
      <w:r>
        <w:rPr>
          <w:rFonts w:hint="eastAsia" w:ascii="宋体" w:hAnsi="宋体" w:eastAsia="宋体" w:cs="Times New Roman"/>
          <w:color w:val="auto"/>
          <w:szCs w:val="21"/>
          <w:highlight w:val="none"/>
        </w:rPr>
        <w:t>提出的有关技术、质量、安全标准。</w:t>
      </w:r>
    </w:p>
    <w:p w14:paraId="6564C7C7">
      <w:pPr>
        <w:spacing w:line="42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1.2.3</w:t>
      </w:r>
      <w:r>
        <w:rPr>
          <w:rFonts w:hint="eastAsia" w:ascii="宋体" w:hAnsi="宋体" w:eastAsia="宋体" w:cs="Times New Roman"/>
          <w:color w:val="auto"/>
          <w:szCs w:val="21"/>
          <w:highlight w:val="none"/>
          <w:lang w:eastAsia="zh-CN"/>
        </w:rPr>
        <w:t>供应商</w:t>
      </w:r>
      <w:r>
        <w:rPr>
          <w:rFonts w:hint="eastAsia" w:ascii="宋体" w:hAnsi="宋体" w:eastAsia="宋体" w:cs="Times New Roman"/>
          <w:color w:val="auto"/>
          <w:szCs w:val="21"/>
          <w:highlight w:val="none"/>
        </w:rPr>
        <w:t>应保证所提供的产品或服务免受第三方提出侵犯其知识产权（专利权、商标权、工业设计权及使用权等）的索赔或起诉，否则，由此可能产生的一切法律责任和经济责任均由</w:t>
      </w:r>
      <w:r>
        <w:rPr>
          <w:rFonts w:hint="eastAsia" w:ascii="宋体" w:hAnsi="宋体" w:eastAsia="宋体" w:cs="Times New Roman"/>
          <w:color w:val="auto"/>
          <w:szCs w:val="21"/>
          <w:highlight w:val="none"/>
          <w:lang w:eastAsia="zh-CN"/>
        </w:rPr>
        <w:t>供应商</w:t>
      </w:r>
      <w:r>
        <w:rPr>
          <w:rFonts w:hint="eastAsia" w:ascii="宋体" w:hAnsi="宋体" w:eastAsia="宋体" w:cs="Times New Roman"/>
          <w:color w:val="auto"/>
          <w:szCs w:val="21"/>
          <w:highlight w:val="none"/>
        </w:rPr>
        <w:t>承担。</w:t>
      </w:r>
    </w:p>
    <w:p w14:paraId="0C248084">
      <w:pPr>
        <w:spacing w:line="42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四、磋商费用</w:t>
      </w:r>
    </w:p>
    <w:p w14:paraId="74CABCB6">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1、不论磋商的结果如何，供应商自行承担其参加本次磋商活动有关的全部费用。</w:t>
      </w:r>
    </w:p>
    <w:p w14:paraId="0D93A210">
      <w:pPr>
        <w:adjustRightInd w:val="0"/>
        <w:spacing w:line="42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五、磋商报价</w:t>
      </w:r>
    </w:p>
    <w:p w14:paraId="0518C1D0">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1、磋商报价</w:t>
      </w:r>
      <w:r>
        <w:rPr>
          <w:rFonts w:hint="eastAsia" w:ascii="宋体" w:hAnsi="宋体"/>
          <w:color w:val="auto"/>
          <w:szCs w:val="21"/>
          <w:highlight w:val="none"/>
          <w:lang w:val="en-US" w:eastAsia="zh-CN"/>
        </w:rPr>
        <w:t>详见第四部分磋商采购资料表</w:t>
      </w:r>
      <w:r>
        <w:rPr>
          <w:rFonts w:hint="eastAsia" w:ascii="宋体" w:hAnsi="宋体"/>
          <w:color w:val="auto"/>
          <w:szCs w:val="21"/>
          <w:highlight w:val="none"/>
        </w:rPr>
        <w:t>。</w:t>
      </w:r>
    </w:p>
    <w:p w14:paraId="30F4C89D">
      <w:pPr>
        <w:spacing w:line="42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六、磋商有效期</w:t>
      </w:r>
    </w:p>
    <w:p w14:paraId="1225AF34">
      <w:pPr>
        <w:spacing w:line="420" w:lineRule="exact"/>
        <w:ind w:firstLine="420" w:firstLineChars="200"/>
        <w:jc w:val="left"/>
        <w:rPr>
          <w:rFonts w:hint="eastAsia" w:ascii="宋体" w:hAnsi="宋体"/>
          <w:color w:val="auto"/>
          <w:szCs w:val="21"/>
          <w:highlight w:val="none"/>
        </w:rPr>
      </w:pPr>
      <w:r>
        <w:rPr>
          <w:rFonts w:hint="eastAsia" w:ascii="宋体" w:hAnsi="宋体"/>
          <w:bCs/>
          <w:color w:val="auto"/>
          <w:szCs w:val="21"/>
          <w:highlight w:val="none"/>
          <w:lang w:eastAsia="zh-CN"/>
        </w:rPr>
        <w:t>★</w:t>
      </w:r>
      <w:r>
        <w:rPr>
          <w:rFonts w:hint="eastAsia" w:ascii="宋体" w:hAnsi="宋体"/>
          <w:color w:val="auto"/>
          <w:szCs w:val="21"/>
          <w:highlight w:val="none"/>
        </w:rPr>
        <w:t>1、磋商响应文件从磋商之日起，磋商有效期为90个日历日。磋商有效期不能小于竞争性磋商文件的要求。</w:t>
      </w:r>
    </w:p>
    <w:p w14:paraId="1A101F81">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2、特殊情况下，采购人可与供应商协商延缓磋商响应文件的有效期，这种要求和答复均以书面形式进行。</w:t>
      </w:r>
    </w:p>
    <w:p w14:paraId="7F5E7A99">
      <w:pPr>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3、供应商可拒绝接受延期要求。同意延长有效期的供应商不能修改磋商响应文件。</w:t>
      </w:r>
    </w:p>
    <w:p w14:paraId="708497CB">
      <w:pPr>
        <w:spacing w:line="42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七、磋商响应文件的形式和效力</w:t>
      </w:r>
    </w:p>
    <w:p w14:paraId="6ACA19D5">
      <w:pPr>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、磋商响应文件分为电子磋商响应文件以及备份磋商响应文件，备份磋商响应文件分为以</w:t>
      </w:r>
      <w:r>
        <w:rPr>
          <w:rFonts w:hint="eastAsia" w:ascii="宋体" w:hAnsi="宋体" w:cs="宋体"/>
          <w:color w:val="auto"/>
          <w:kern w:val="0"/>
          <w:szCs w:val="21"/>
          <w:highlight w:val="none"/>
        </w:rPr>
        <w:t>U盘或光盘存储的电子</w:t>
      </w:r>
      <w:r>
        <w:rPr>
          <w:rFonts w:hint="eastAsia" w:ascii="宋体" w:hAnsi="宋体"/>
          <w:color w:val="auto"/>
          <w:szCs w:val="21"/>
          <w:highlight w:val="none"/>
        </w:rPr>
        <w:t>备份磋商响应文件</w:t>
      </w:r>
      <w:r>
        <w:rPr>
          <w:rFonts w:hint="eastAsia" w:ascii="宋体" w:hAnsi="宋体"/>
          <w:b/>
          <w:bCs/>
          <w:color w:val="auto"/>
          <w:szCs w:val="21"/>
          <w:highlight w:val="none"/>
        </w:rPr>
        <w:t>（自愿提供，用于异常处理）</w:t>
      </w:r>
      <w:r>
        <w:rPr>
          <w:rFonts w:hint="eastAsia" w:ascii="宋体" w:hAnsi="宋体"/>
          <w:color w:val="auto"/>
          <w:szCs w:val="21"/>
          <w:highlight w:val="none"/>
        </w:rPr>
        <w:t>。</w:t>
      </w:r>
    </w:p>
    <w:p w14:paraId="2D3CBF23">
      <w:pPr>
        <w:spacing w:line="420" w:lineRule="exact"/>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rPr>
        <w:t>（1）供应商应于</w:t>
      </w:r>
      <w:r>
        <w:rPr>
          <w:rFonts w:hint="eastAsia" w:ascii="宋体" w:hAnsi="宋体" w:eastAsia="宋体" w:cs="宋体"/>
          <w:color w:val="auto"/>
          <w:kern w:val="0"/>
          <w:szCs w:val="21"/>
          <w:highlight w:val="none"/>
          <w:lang w:eastAsia="zh-CN"/>
        </w:rPr>
        <w:t>开标</w:t>
      </w:r>
      <w:r>
        <w:rPr>
          <w:rFonts w:hint="eastAsia" w:ascii="宋体" w:hAnsi="宋体" w:eastAsia="宋体" w:cs="宋体"/>
          <w:color w:val="auto"/>
          <w:kern w:val="0"/>
          <w:szCs w:val="21"/>
          <w:highlight w:val="none"/>
        </w:rPr>
        <w:t xml:space="preserve">前将电子磋商响应文件上传到政府采购云平台 </w:t>
      </w: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HYPERLINK "http://www.zcygov.cn，并应于2021年" </w:instrText>
      </w:r>
      <w:r>
        <w:rPr>
          <w:rFonts w:hint="eastAsia" w:ascii="宋体" w:hAnsi="宋体" w:eastAsia="宋体" w:cs="宋体"/>
          <w:color w:val="auto"/>
          <w:kern w:val="0"/>
          <w:szCs w:val="21"/>
          <w:highlight w:val="none"/>
        </w:rPr>
        <w:fldChar w:fldCharType="separate"/>
      </w:r>
      <w:r>
        <w:rPr>
          <w:rFonts w:hint="eastAsia" w:ascii="宋体" w:hAnsi="宋体" w:eastAsia="宋体" w:cs="宋体"/>
          <w:color w:val="auto"/>
          <w:kern w:val="0"/>
          <w:szCs w:val="21"/>
          <w:highlight w:val="none"/>
        </w:rPr>
        <w:t>www.zcygov.cn，并应于</w:t>
      </w:r>
      <w:r>
        <w:rPr>
          <w:rFonts w:hint="eastAsia" w:ascii="宋体" w:hAnsi="宋体" w:eastAsia="宋体" w:cs="宋体"/>
          <w:color w:val="auto"/>
          <w:kern w:val="0"/>
          <w:szCs w:val="21"/>
          <w:highlight w:val="none"/>
          <w:lang w:eastAsia="zh-CN"/>
        </w:rPr>
        <w:t>开标</w: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前将以U盘或光盘存储的电子备份磋商响应文件密封，采用邮寄送达方式递交。</w:t>
      </w:r>
    </w:p>
    <w:p w14:paraId="51475347">
      <w:pPr>
        <w:spacing w:line="420" w:lineRule="exact"/>
        <w:rPr>
          <w:rFonts w:hint="eastAsia" w:ascii="宋体" w:hAnsi="宋体" w:cs="仿宋_GB2312"/>
          <w:color w:val="auto"/>
          <w:szCs w:val="21"/>
          <w:highlight w:val="none"/>
        </w:rPr>
      </w:pPr>
      <w:r>
        <w:rPr>
          <w:rFonts w:hint="eastAsia" w:ascii="宋体" w:hAnsi="宋体" w:cs="仿宋_GB2312"/>
          <w:color w:val="auto"/>
          <w:szCs w:val="21"/>
          <w:highlight w:val="none"/>
        </w:rPr>
        <w:t>各供应商应当确保</w:t>
      </w:r>
      <w:r>
        <w:rPr>
          <w:rFonts w:hint="eastAsia" w:ascii="宋体" w:hAnsi="宋体" w:cs="宋体"/>
          <w:color w:val="auto"/>
          <w:kern w:val="0"/>
          <w:szCs w:val="21"/>
          <w:highlight w:val="none"/>
        </w:rPr>
        <w:t>电子备份磋商响应文件</w:t>
      </w:r>
      <w:r>
        <w:rPr>
          <w:rFonts w:hint="eastAsia" w:ascii="宋体" w:hAnsi="宋体" w:cs="仿宋_GB2312"/>
          <w:color w:val="auto"/>
          <w:szCs w:val="21"/>
          <w:highlight w:val="none"/>
        </w:rPr>
        <w:t>的密封包装在邮寄过程保持完好，并在邮寄包裹上注明项目名称、</w:t>
      </w:r>
      <w:r>
        <w:rPr>
          <w:rFonts w:hint="eastAsia" w:ascii="宋体" w:hAnsi="宋体" w:cs="仿宋_GB2312"/>
          <w:color w:val="auto"/>
          <w:szCs w:val="21"/>
          <w:highlight w:val="none"/>
          <w:lang w:eastAsia="zh-CN"/>
        </w:rPr>
        <w:t>项目编号</w:t>
      </w:r>
      <w:r>
        <w:rPr>
          <w:rFonts w:hint="eastAsia" w:ascii="宋体" w:hAnsi="宋体" w:cs="仿宋_GB2312"/>
          <w:color w:val="auto"/>
          <w:szCs w:val="21"/>
          <w:highlight w:val="none"/>
        </w:rPr>
        <w:t>，因邮寄造成</w:t>
      </w:r>
      <w:r>
        <w:rPr>
          <w:rFonts w:hint="eastAsia" w:ascii="宋体" w:hAnsi="宋体" w:cs="宋体"/>
          <w:color w:val="auto"/>
          <w:kern w:val="0"/>
          <w:szCs w:val="21"/>
          <w:highlight w:val="none"/>
        </w:rPr>
        <w:t>电子备份磋商响应文件</w:t>
      </w:r>
      <w:r>
        <w:rPr>
          <w:rFonts w:hint="eastAsia" w:ascii="宋体" w:hAnsi="宋体" w:cs="仿宋_GB2312"/>
          <w:color w:val="auto"/>
          <w:szCs w:val="21"/>
          <w:highlight w:val="none"/>
        </w:rPr>
        <w:t>密封破损而不符合竞争性磋商文件对磋商响应文件的密封要求、或邮寄过程中导致</w:t>
      </w:r>
      <w:r>
        <w:rPr>
          <w:rFonts w:hint="eastAsia" w:ascii="宋体" w:hAnsi="宋体" w:cs="宋体"/>
          <w:color w:val="auto"/>
          <w:kern w:val="0"/>
          <w:szCs w:val="21"/>
          <w:highlight w:val="none"/>
        </w:rPr>
        <w:t>电子备份磋商响应文件</w:t>
      </w:r>
      <w:r>
        <w:rPr>
          <w:rFonts w:hint="eastAsia" w:ascii="宋体" w:hAnsi="宋体" w:cs="仿宋_GB2312"/>
          <w:color w:val="auto"/>
          <w:szCs w:val="21"/>
          <w:highlight w:val="none"/>
        </w:rPr>
        <w:t>未在磋商截止时间前送达的，代理机构将拒绝其磋商响应文件。各供应商自行考虑邮寄在途时间，磋商响应文件送达时间以代理机构工作人员实际签收时间为准。</w:t>
      </w:r>
    </w:p>
    <w:p w14:paraId="2A9608F4">
      <w:pPr>
        <w:snapToGri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）开启时间后</w:t>
      </w:r>
      <w:r>
        <w:rPr>
          <w:rFonts w:hint="eastAsia" w:ascii="宋体" w:hAnsi="宋体" w:eastAsia="宋体" w:cs="宋体"/>
          <w:color w:val="auto"/>
          <w:kern w:val="0"/>
          <w:szCs w:val="21"/>
          <w:highlight w:val="none"/>
          <w:lang w:val="en-US" w:eastAsia="zh-CN"/>
        </w:rPr>
        <w:t>30分钟</w:t>
      </w:r>
      <w:r>
        <w:rPr>
          <w:rFonts w:hint="eastAsia" w:ascii="宋体" w:hAnsi="宋体" w:eastAsia="宋体" w:cs="宋体"/>
          <w:color w:val="auto"/>
          <w:kern w:val="0"/>
          <w:szCs w:val="21"/>
          <w:highlight w:val="none"/>
        </w:rPr>
        <w:t>内供</w:t>
      </w:r>
      <w:r>
        <w:rPr>
          <w:rFonts w:hint="eastAsia" w:ascii="宋体" w:hAnsi="宋体" w:cs="宋体"/>
          <w:color w:val="auto"/>
          <w:kern w:val="0"/>
          <w:szCs w:val="21"/>
          <w:highlight w:val="none"/>
        </w:rPr>
        <w:t>应商可以登录政府采购云平台https://www.zcygov.cn/，用“项目采购-开标评标”功能进行解密磋商响应文件。供应商按时在线解密磋商响应文件的，以在线解密的磋商响应文件作为评审依据，若供应商在规定时间内无法解密或解密失败，则以备份电子磋商响应文件作为评审依据（若备份电子磋商响应文件与政采云平台上传的磋商响应文件被识别为不一致，仍以备份电子磋商响应文件作为评审依据）。无论是否启用备份电子磋商响应文件，备份电子磋商响应文件均不退还供应商。若供应商在规定时间内无法解密或解密失败且未提供备份电子磋商响应文件或所提供的备份电子磋商响应文件无法读取的，视为磋商响应文件撤回。</w:t>
      </w:r>
    </w:p>
    <w:p w14:paraId="4D9DDB08">
      <w:pPr>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、电子磋商响应文件，按“项目采购-电子招投标操作指南”及本竞争性磋商文件要求制作，并加密。</w:t>
      </w:r>
    </w:p>
    <w:p w14:paraId="027E84D7">
      <w:pPr>
        <w:adjustRightInd w:val="0"/>
        <w:snapToGrid w:val="0"/>
        <w:spacing w:line="420" w:lineRule="exact"/>
        <w:ind w:firstLine="420" w:firstLineChars="200"/>
        <w:rPr>
          <w:rFonts w:hint="eastAsia" w:ascii="宋体" w:hAnsi="宋体" w:cs="仿宋"/>
          <w:bCs/>
          <w:color w:val="auto"/>
          <w:szCs w:val="21"/>
          <w:highlight w:val="none"/>
        </w:rPr>
      </w:pPr>
      <w:r>
        <w:rPr>
          <w:rFonts w:hint="eastAsia" w:ascii="宋体" w:hAnsi="宋体" w:cs="仿宋"/>
          <w:bCs/>
          <w:color w:val="auto"/>
          <w:szCs w:val="21"/>
          <w:highlight w:val="none"/>
        </w:rPr>
        <w:t>响应文件制作说明：</w:t>
      </w:r>
    </w:p>
    <w:p w14:paraId="398C5F3E">
      <w:pPr>
        <w:adjustRightInd w:val="0"/>
        <w:snapToGrid w:val="0"/>
        <w:spacing w:line="420" w:lineRule="exact"/>
        <w:ind w:firstLine="420" w:firstLineChars="200"/>
        <w:rPr>
          <w:rFonts w:hint="eastAsia" w:ascii="宋体" w:hAnsi="宋体" w:cs="仿宋"/>
          <w:bCs/>
          <w:color w:val="auto"/>
          <w:szCs w:val="21"/>
          <w:highlight w:val="none"/>
        </w:rPr>
      </w:pPr>
      <w:r>
        <w:rPr>
          <w:rFonts w:hint="eastAsia" w:ascii="宋体" w:hAnsi="宋体" w:cs="仿宋"/>
          <w:bCs/>
          <w:color w:val="auto"/>
          <w:szCs w:val="21"/>
          <w:highlight w:val="none"/>
        </w:rPr>
        <w:t>（1）应按照本项目磋商文件和政府采购云平台的要求编制、加密并递交响应文件。供应商在使用系统进行响应的过程中遇到涉及平台使用的任何问题，可致电政府采购云平台技术支持热线咨询，联系方式：</w:t>
      </w:r>
      <w:r>
        <w:rPr>
          <w:rFonts w:hint="eastAsia" w:ascii="宋体" w:hAnsi="宋体" w:cs="仿宋"/>
          <w:bCs/>
          <w:color w:val="auto"/>
          <w:szCs w:val="21"/>
          <w:highlight w:val="none"/>
          <w:lang w:val="en-US" w:eastAsia="zh-CN"/>
        </w:rPr>
        <w:t>95763</w:t>
      </w:r>
      <w:r>
        <w:rPr>
          <w:rFonts w:hint="eastAsia" w:ascii="宋体" w:hAnsi="宋体" w:cs="仿宋"/>
          <w:bCs/>
          <w:color w:val="auto"/>
          <w:szCs w:val="21"/>
          <w:highlight w:val="none"/>
        </w:rPr>
        <w:t>。</w:t>
      </w:r>
    </w:p>
    <w:p w14:paraId="5CEBFF5F">
      <w:pPr>
        <w:adjustRightInd w:val="0"/>
        <w:snapToGrid w:val="0"/>
        <w:spacing w:line="420" w:lineRule="exact"/>
        <w:ind w:firstLine="420" w:firstLineChars="200"/>
        <w:jc w:val="left"/>
        <w:rPr>
          <w:rFonts w:hint="eastAsia" w:ascii="宋体" w:hAnsi="宋体" w:cs="仿宋"/>
          <w:bCs/>
          <w:color w:val="auto"/>
          <w:szCs w:val="21"/>
          <w:highlight w:val="none"/>
        </w:rPr>
      </w:pPr>
      <w:r>
        <w:rPr>
          <w:rFonts w:hint="eastAsia" w:ascii="宋体" w:hAnsi="宋体" w:cs="仿宋"/>
          <w:bCs/>
          <w:color w:val="auto"/>
          <w:szCs w:val="21"/>
          <w:highlight w:val="none"/>
        </w:rPr>
        <w:t>（2）供应商通过政府采购云平台电子投标工具制作响应文件。电子投标工具请供应商自行前往浙江政府采购网下载并安装：zfcg.czt.zj.gov.cn/bidClientTemplate/2019-05-27/12946.html</w:t>
      </w:r>
    </w:p>
    <w:p w14:paraId="1C74C215">
      <w:pPr>
        <w:adjustRightInd w:val="0"/>
        <w:snapToGrid w:val="0"/>
        <w:spacing w:line="420" w:lineRule="exact"/>
        <w:ind w:firstLine="420" w:firstLineChars="200"/>
        <w:rPr>
          <w:rFonts w:hint="eastAsia" w:ascii="宋体" w:hAnsi="宋体" w:cs="仿宋"/>
          <w:bCs/>
          <w:color w:val="auto"/>
          <w:szCs w:val="21"/>
          <w:highlight w:val="none"/>
        </w:rPr>
      </w:pPr>
      <w:r>
        <w:rPr>
          <w:rFonts w:hint="eastAsia" w:ascii="宋体" w:hAnsi="宋体" w:cs="仿宋"/>
          <w:bCs/>
          <w:color w:val="auto"/>
          <w:szCs w:val="21"/>
          <w:highlight w:val="none"/>
        </w:rPr>
        <w:t>供应商响应文件制作及电子交易操作指南详见：</w:t>
      </w:r>
    </w:p>
    <w:p w14:paraId="795D678F">
      <w:pPr>
        <w:adjustRightInd w:val="0"/>
        <w:snapToGrid w:val="0"/>
        <w:spacing w:line="420" w:lineRule="exact"/>
        <w:ind w:firstLine="420" w:firstLineChars="200"/>
        <w:rPr>
          <w:rFonts w:hint="eastAsia" w:ascii="宋体" w:hAnsi="宋体" w:cs="仿宋"/>
          <w:bCs/>
          <w:color w:val="auto"/>
          <w:szCs w:val="21"/>
          <w:highlight w:val="none"/>
        </w:rPr>
      </w:pPr>
      <w:r>
        <w:rPr>
          <w:rFonts w:hint="eastAsia" w:ascii="宋体" w:hAnsi="宋体" w:cs="仿宋"/>
          <w:bCs/>
          <w:color w:val="auto"/>
          <w:szCs w:val="21"/>
          <w:highlight w:val="none"/>
        </w:rPr>
        <w:t>①政府采购项目电子交易管理操作指南（视频）：</w:t>
      </w:r>
    </w:p>
    <w:p w14:paraId="0667EE15">
      <w:pPr>
        <w:adjustRightInd w:val="0"/>
        <w:snapToGrid w:val="0"/>
        <w:spacing w:line="420" w:lineRule="exact"/>
        <w:ind w:firstLine="420" w:firstLineChars="200"/>
        <w:rPr>
          <w:rFonts w:hint="eastAsia" w:ascii="宋体" w:hAnsi="宋体" w:cs="仿宋"/>
          <w:bCs/>
          <w:color w:val="auto"/>
          <w:szCs w:val="21"/>
          <w:highlight w:val="none"/>
        </w:rPr>
      </w:pPr>
      <w:r>
        <w:rPr>
          <w:rFonts w:hint="eastAsia" w:ascii="宋体" w:hAnsi="宋体" w:cs="仿宋"/>
          <w:bCs/>
          <w:color w:val="auto"/>
          <w:szCs w:val="21"/>
          <w:highlight w:val="none"/>
        </w:rPr>
        <w:fldChar w:fldCharType="begin"/>
      </w:r>
      <w:r>
        <w:rPr>
          <w:rFonts w:hint="eastAsia" w:ascii="宋体" w:hAnsi="宋体" w:cs="仿宋"/>
          <w:bCs/>
          <w:color w:val="auto"/>
          <w:szCs w:val="21"/>
          <w:highlight w:val="none"/>
        </w:rPr>
        <w:instrText xml:space="preserve"> HYPERLINK "https://service.zcygov.cn/" \l "/knowledges/CW1EtGwBFdiHxlNd6I3m/7GyLXW0BXgMSmLUuYuPM" </w:instrText>
      </w:r>
      <w:r>
        <w:rPr>
          <w:rFonts w:hint="eastAsia" w:ascii="宋体" w:hAnsi="宋体" w:cs="仿宋"/>
          <w:bCs/>
          <w:color w:val="auto"/>
          <w:szCs w:val="21"/>
          <w:highlight w:val="none"/>
        </w:rPr>
        <w:fldChar w:fldCharType="separate"/>
      </w:r>
      <w:r>
        <w:rPr>
          <w:rFonts w:hint="eastAsia" w:ascii="宋体" w:hAnsi="宋体" w:cs="仿宋"/>
          <w:bCs/>
          <w:color w:val="auto"/>
          <w:szCs w:val="21"/>
          <w:highlight w:val="none"/>
        </w:rPr>
        <w:t>service.zcygov.cn/#/knowledges/CW1EtGwBFdiHxlNd6I3m/7GyLXW0BXgMSmLUuYuPM</w:t>
      </w:r>
      <w:r>
        <w:rPr>
          <w:rFonts w:hint="eastAsia" w:ascii="宋体" w:hAnsi="宋体" w:cs="仿宋"/>
          <w:bCs/>
          <w:color w:val="auto"/>
          <w:szCs w:val="21"/>
          <w:highlight w:val="none"/>
        </w:rPr>
        <w:fldChar w:fldCharType="end"/>
      </w:r>
      <w:r>
        <w:rPr>
          <w:rFonts w:hint="eastAsia" w:ascii="宋体" w:hAnsi="宋体" w:cs="仿宋"/>
          <w:bCs/>
          <w:color w:val="auto"/>
          <w:szCs w:val="21"/>
          <w:highlight w:val="none"/>
        </w:rPr>
        <w:t>（电脑登录账号观看）；</w:t>
      </w:r>
    </w:p>
    <w:p w14:paraId="015C1CDF">
      <w:pPr>
        <w:adjustRightInd w:val="0"/>
        <w:snapToGrid w:val="0"/>
        <w:spacing w:line="420" w:lineRule="exact"/>
        <w:ind w:firstLine="420" w:firstLineChars="200"/>
        <w:rPr>
          <w:rFonts w:hint="eastAsia" w:ascii="宋体" w:hAnsi="宋体" w:cs="仿宋"/>
          <w:bCs/>
          <w:color w:val="auto"/>
          <w:szCs w:val="21"/>
          <w:highlight w:val="none"/>
        </w:rPr>
      </w:pPr>
      <w:r>
        <w:rPr>
          <w:rFonts w:hint="eastAsia" w:ascii="宋体" w:hAnsi="宋体" w:cs="仿宋"/>
          <w:bCs/>
          <w:color w:val="auto"/>
          <w:szCs w:val="21"/>
          <w:highlight w:val="none"/>
        </w:rPr>
        <w:t>②政府采购项目电子交易管理操作指南（文本）：</w:t>
      </w:r>
    </w:p>
    <w:p w14:paraId="5CBDB347">
      <w:pPr>
        <w:adjustRightInd w:val="0"/>
        <w:snapToGrid w:val="0"/>
        <w:spacing w:line="420" w:lineRule="exact"/>
        <w:ind w:firstLine="420" w:firstLineChars="200"/>
        <w:rPr>
          <w:rFonts w:hint="eastAsia" w:ascii="宋体" w:hAnsi="宋体" w:cs="仿宋"/>
          <w:bCs/>
          <w:color w:val="auto"/>
          <w:szCs w:val="21"/>
          <w:highlight w:val="none"/>
        </w:rPr>
      </w:pPr>
      <w:r>
        <w:rPr>
          <w:rFonts w:hint="eastAsia" w:ascii="宋体" w:hAnsi="宋体" w:cs="仿宋"/>
          <w:bCs/>
          <w:color w:val="auto"/>
          <w:szCs w:val="21"/>
          <w:highlight w:val="none"/>
        </w:rPr>
        <w:t>service.zcygov.cn/#/knowledges/CW1EtGwBFdiHxlNd6I3m/6IMVAG0BFdiHxlNdQ8Na（电脑登录账号浏览）。</w:t>
      </w:r>
    </w:p>
    <w:p w14:paraId="5F0F9ED1">
      <w:pPr>
        <w:adjustRightInd w:val="0"/>
        <w:snapToGrid w:val="0"/>
        <w:spacing w:line="420" w:lineRule="exact"/>
        <w:ind w:firstLine="420" w:firstLineChars="200"/>
        <w:rPr>
          <w:rFonts w:hint="eastAsia" w:ascii="宋体" w:hAnsi="宋体" w:cs="宋体"/>
          <w:color w:val="auto"/>
          <w:szCs w:val="21"/>
          <w:highlight w:val="none"/>
        </w:rPr>
      </w:pPr>
      <w:r>
        <w:rPr>
          <w:rFonts w:hint="eastAsia" w:ascii="宋体" w:hAnsi="宋体" w:cs="仿宋"/>
          <w:bCs/>
          <w:color w:val="auto"/>
          <w:szCs w:val="21"/>
          <w:highlight w:val="none"/>
        </w:rPr>
        <w:t>（3）以U盘或光盘存储的电子备份响应文件1份，即按“项目采购-电子招投标操作指南”制作的电子备份文件，以用于异常情况处理。</w:t>
      </w:r>
    </w:p>
    <w:p w14:paraId="73B574A5">
      <w:pPr>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、磋商响应文件填写字迹必须清楚、工整，对不同文字文本磋商响应文件的解释发生异议的，以中文文本为准。</w:t>
      </w:r>
    </w:p>
    <w:p w14:paraId="7559DBAB">
      <w:pPr>
        <w:spacing w:line="420" w:lineRule="exact"/>
        <w:ind w:firstLine="420" w:firstLineChars="200"/>
        <w:jc w:val="left"/>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、磋商响应文件的效力</w:t>
      </w:r>
    </w:p>
    <w:p w14:paraId="11649F9F">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磋商响应文件的启用，按先后顺位分别为电子磋商响应文件、以</w:t>
      </w:r>
      <w:r>
        <w:rPr>
          <w:rFonts w:hint="eastAsia" w:ascii="宋体" w:hAnsi="宋体" w:cs="宋体"/>
          <w:color w:val="auto"/>
          <w:kern w:val="0"/>
          <w:szCs w:val="21"/>
          <w:highlight w:val="none"/>
        </w:rPr>
        <w:t>U盘或光盘存储的电子</w:t>
      </w:r>
      <w:r>
        <w:rPr>
          <w:rFonts w:hint="eastAsia" w:ascii="宋体" w:hAnsi="宋体"/>
          <w:color w:val="auto"/>
          <w:szCs w:val="21"/>
          <w:highlight w:val="none"/>
        </w:rPr>
        <w:t>备份磋商响应文件。在下一顺位的磋商响应文件启用时，前一顺位的磋商响应文件自动失效。</w:t>
      </w:r>
    </w:p>
    <w:p w14:paraId="196D3DEC">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电子磋商响应文件未能按时解密，供应商提供了电子备份磋商响应文件，以电子备份磋商响应文件作为依据，否则视为磋商响应文件撤回。电子磋商响应文件已按时解密的，电子备份磋商响应文件自动失效。</w:t>
      </w:r>
    </w:p>
    <w:p w14:paraId="3B736F85">
      <w:pPr>
        <w:spacing w:line="420" w:lineRule="exact"/>
        <w:ind w:firstLine="422" w:firstLineChars="200"/>
        <w:rPr>
          <w:rFonts w:ascii="宋体" w:hAnsi="宋体"/>
          <w:b/>
          <w:color w:val="auto"/>
          <w:szCs w:val="21"/>
          <w:highlight w:val="none"/>
        </w:rPr>
      </w:pPr>
      <w:r>
        <w:rPr>
          <w:rFonts w:hint="eastAsia" w:ascii="宋体" w:hAnsi="宋体"/>
          <w:b/>
          <w:color w:val="auto"/>
          <w:szCs w:val="21"/>
          <w:highlight w:val="none"/>
        </w:rPr>
        <w:t>八、磋商响应文件的组成</w:t>
      </w:r>
    </w:p>
    <w:p w14:paraId="3FD1D4F6">
      <w:pPr>
        <w:spacing w:line="420" w:lineRule="exact"/>
        <w:ind w:firstLine="422" w:firstLineChars="200"/>
        <w:jc w:val="left"/>
        <w:rPr>
          <w:rFonts w:hint="eastAsia" w:ascii="宋体" w:hAnsi="宋体"/>
          <w:b/>
          <w:color w:val="auto"/>
          <w:szCs w:val="21"/>
          <w:highlight w:val="none"/>
        </w:rPr>
      </w:pPr>
      <w:bookmarkStart w:id="18" w:name="_Hlk38989741"/>
      <w:r>
        <w:rPr>
          <w:rFonts w:hint="eastAsia" w:ascii="宋体" w:hAnsi="宋体"/>
          <w:b/>
          <w:color w:val="auto"/>
          <w:szCs w:val="21"/>
          <w:highlight w:val="none"/>
        </w:rPr>
        <w:t>供应商应对磋商响应文件编制目录和评分索引表以方便查询。</w:t>
      </w:r>
    </w:p>
    <w:p w14:paraId="489641A0">
      <w:pPr>
        <w:snapToGrid w:val="0"/>
        <w:spacing w:line="420" w:lineRule="exact"/>
        <w:ind w:firstLine="413" w:firstLineChars="196"/>
        <w:jc w:val="left"/>
        <w:rPr>
          <w:rFonts w:ascii="宋体" w:hAnsi="宋体"/>
          <w:b/>
          <w:color w:val="auto"/>
          <w:szCs w:val="21"/>
          <w:highlight w:val="none"/>
        </w:rPr>
      </w:pPr>
      <w:r>
        <w:rPr>
          <w:rFonts w:ascii="宋体" w:hAnsi="宋体"/>
          <w:b/>
          <w:color w:val="auto"/>
          <w:szCs w:val="21"/>
          <w:highlight w:val="none"/>
        </w:rPr>
        <w:t>A</w:t>
      </w:r>
      <w:r>
        <w:rPr>
          <w:rFonts w:hint="eastAsia" w:ascii="宋体" w:hAnsi="宋体"/>
          <w:b/>
          <w:color w:val="auto"/>
          <w:szCs w:val="21"/>
          <w:highlight w:val="none"/>
        </w:rPr>
        <w:t>、第一册：资格文件</w:t>
      </w:r>
    </w:p>
    <w:p w14:paraId="71DBCCF1">
      <w:pPr>
        <w:spacing w:line="420" w:lineRule="exact"/>
        <w:ind w:firstLine="420" w:firstLineChars="200"/>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A1、</w:t>
      </w:r>
      <w:r>
        <w:rPr>
          <w:rFonts w:hint="eastAsia" w:ascii="宋体" w:hAnsi="宋体"/>
          <w:color w:val="auto"/>
          <w:szCs w:val="21"/>
          <w:highlight w:val="none"/>
        </w:rPr>
        <w:t>关于资格的承诺函</w:t>
      </w:r>
      <w:r>
        <w:rPr>
          <w:rFonts w:hint="eastAsia" w:ascii="宋体" w:hAnsi="宋体" w:cs="Arial"/>
          <w:color w:val="auto"/>
          <w:kern w:val="0"/>
          <w:szCs w:val="21"/>
          <w:highlight w:val="none"/>
        </w:rPr>
        <w:t>；</w:t>
      </w:r>
      <w:r>
        <w:rPr>
          <w:rFonts w:hint="eastAsia" w:ascii="宋体" w:hAnsi="宋体"/>
          <w:szCs w:val="21"/>
          <w:highlight w:val="none"/>
          <w:lang w:eastAsia="zh-CN"/>
        </w:rPr>
        <w:t>（格式见附件）</w:t>
      </w:r>
    </w:p>
    <w:p w14:paraId="0CE2495F">
      <w:pPr>
        <w:spacing w:line="420" w:lineRule="exact"/>
        <w:ind w:firstLine="420" w:firstLineChars="200"/>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A2、营业执照副本（或事业法人登记证副本或其他登记证明材料）复印件加盖供应商公章（供应商如果有名称变更的，应提供由行政主管部门出具的变更证明文件复印件加盖供应商公章）；</w:t>
      </w:r>
    </w:p>
    <w:p w14:paraId="47C38C92">
      <w:pPr>
        <w:spacing w:line="420" w:lineRule="exact"/>
        <w:ind w:firstLine="420" w:firstLineChars="200"/>
        <w:jc w:val="left"/>
        <w:rPr>
          <w:rFonts w:hint="eastAsia" w:ascii="宋体" w:hAnsi="宋体" w:eastAsia="宋体" w:cs="Arial"/>
          <w:color w:val="auto"/>
          <w:kern w:val="0"/>
          <w:szCs w:val="21"/>
          <w:highlight w:val="none"/>
          <w:lang w:eastAsia="zh-CN"/>
        </w:rPr>
      </w:pPr>
      <w:r>
        <w:rPr>
          <w:rFonts w:hint="eastAsia" w:ascii="宋体" w:hAnsi="宋体" w:cs="Arial"/>
          <w:color w:val="auto"/>
          <w:kern w:val="0"/>
          <w:szCs w:val="21"/>
          <w:highlight w:val="none"/>
        </w:rPr>
        <w:t>A</w:t>
      </w:r>
      <w:r>
        <w:rPr>
          <w:rFonts w:hint="eastAsia" w:ascii="宋体" w:hAnsi="宋体"/>
          <w:color w:val="auto"/>
          <w:szCs w:val="21"/>
          <w:highlight w:val="none"/>
          <w:lang w:val="en-US" w:eastAsia="zh-CN"/>
        </w:rPr>
        <w:t>3</w:t>
      </w:r>
      <w:r>
        <w:rPr>
          <w:rFonts w:hint="eastAsia" w:ascii="宋体" w:hAnsi="宋体"/>
          <w:color w:val="auto"/>
          <w:szCs w:val="21"/>
          <w:highlight w:val="none"/>
        </w:rPr>
        <w:t>、中小企业声明函；</w:t>
      </w:r>
      <w:r>
        <w:rPr>
          <w:rFonts w:hint="eastAsia" w:ascii="宋体" w:hAnsi="宋体"/>
          <w:szCs w:val="21"/>
          <w:highlight w:val="none"/>
          <w:lang w:eastAsia="zh-CN"/>
        </w:rPr>
        <w:t>（格式见附件）</w:t>
      </w:r>
    </w:p>
    <w:p w14:paraId="0F80C72E">
      <w:pPr>
        <w:spacing w:line="420" w:lineRule="exact"/>
        <w:ind w:firstLine="420" w:firstLineChars="200"/>
        <w:jc w:val="left"/>
        <w:rPr>
          <w:rFonts w:hint="eastAsia" w:ascii="宋体" w:hAnsi="宋体"/>
          <w:color w:val="auto"/>
          <w:szCs w:val="21"/>
          <w:highlight w:val="none"/>
          <w:lang w:eastAsia="zh-CN"/>
        </w:rPr>
      </w:pPr>
      <w:r>
        <w:rPr>
          <w:rFonts w:hint="eastAsia" w:ascii="宋体" w:hAnsi="宋体" w:cs="Arial"/>
          <w:color w:val="auto"/>
          <w:kern w:val="0"/>
          <w:szCs w:val="21"/>
          <w:highlight w:val="none"/>
        </w:rPr>
        <w:t>A</w:t>
      </w:r>
      <w:r>
        <w:rPr>
          <w:rFonts w:hint="eastAsia" w:ascii="宋体" w:hAnsi="宋体"/>
          <w:color w:val="auto"/>
          <w:szCs w:val="21"/>
          <w:highlight w:val="none"/>
          <w:lang w:val="en-US" w:eastAsia="zh-CN"/>
        </w:rPr>
        <w:t>4</w:t>
      </w:r>
      <w:r>
        <w:rPr>
          <w:rFonts w:hint="eastAsia" w:ascii="宋体" w:hAnsi="宋体"/>
          <w:color w:val="auto"/>
          <w:szCs w:val="21"/>
          <w:highlight w:val="none"/>
        </w:rPr>
        <w:t>、残疾人福利性单位声明函（如有需提供）；</w:t>
      </w:r>
    </w:p>
    <w:p w14:paraId="78EB0792">
      <w:pPr>
        <w:spacing w:line="420" w:lineRule="exact"/>
        <w:ind w:firstLine="420" w:firstLineChars="200"/>
        <w:jc w:val="left"/>
        <w:rPr>
          <w:rFonts w:hint="eastAsia" w:ascii="宋体" w:hAnsi="宋体" w:eastAsia="宋体" w:cs="Times New Roman"/>
          <w:color w:val="auto"/>
          <w:szCs w:val="21"/>
          <w:highlight w:val="none"/>
          <w:lang w:val="en-US" w:eastAsia="zh-CN"/>
        </w:rPr>
      </w:pPr>
      <w:r>
        <w:rPr>
          <w:rFonts w:hint="eastAsia" w:ascii="宋体" w:hAnsi="宋体" w:cs="Arial"/>
          <w:color w:val="auto"/>
          <w:kern w:val="0"/>
          <w:szCs w:val="21"/>
          <w:highlight w:val="none"/>
        </w:rPr>
        <w:t>A</w:t>
      </w:r>
      <w:r>
        <w:rPr>
          <w:rFonts w:hint="eastAsia" w:ascii="宋体" w:hAnsi="宋体" w:cs="Arial"/>
          <w:color w:val="auto"/>
          <w:kern w:val="0"/>
          <w:szCs w:val="21"/>
          <w:highlight w:val="none"/>
          <w:lang w:val="en-US" w:eastAsia="zh-CN"/>
        </w:rPr>
        <w:t>5</w:t>
      </w:r>
      <w:r>
        <w:rPr>
          <w:rFonts w:hint="eastAsia" w:ascii="宋体" w:hAnsi="宋体" w:eastAsia="宋体" w:cs="Times New Roman"/>
          <w:color w:val="auto"/>
          <w:szCs w:val="21"/>
          <w:highlight w:val="none"/>
          <w:lang w:val="en-US" w:eastAsia="zh-CN"/>
        </w:rPr>
        <w:t>、</w:t>
      </w:r>
      <w:r>
        <w:rPr>
          <w:rFonts w:hint="eastAsia" w:ascii="宋体" w:hAnsi="宋体"/>
          <w:szCs w:val="21"/>
          <w:highlight w:val="none"/>
          <w:lang w:eastAsia="zh-CN"/>
        </w:rPr>
        <w:t>省级以上监狱管理局、戒毒管理局（含新疆生产建设兵团）出具的属于监狱企业的证明文件（如有请提供）</w:t>
      </w:r>
      <w:r>
        <w:rPr>
          <w:rFonts w:hint="eastAsia" w:ascii="宋体" w:hAnsi="宋体" w:eastAsia="宋体" w:cs="Times New Roman"/>
          <w:color w:val="auto"/>
          <w:szCs w:val="21"/>
          <w:highlight w:val="none"/>
          <w:lang w:val="en-US" w:eastAsia="zh-CN"/>
        </w:rPr>
        <w:t>。</w:t>
      </w:r>
    </w:p>
    <w:p w14:paraId="68F5F5C3">
      <w:pPr>
        <w:spacing w:line="420" w:lineRule="exact"/>
        <w:ind w:firstLine="420" w:firstLineChars="200"/>
        <w:jc w:val="left"/>
        <w:rPr>
          <w:rFonts w:hint="default" w:ascii="宋体" w:hAnsi="宋体" w:eastAsia="宋体" w:cs="Times New Roman"/>
          <w:color w:val="auto"/>
          <w:szCs w:val="21"/>
          <w:highlight w:val="none"/>
          <w:lang w:val="en-US" w:eastAsia="zh-CN"/>
        </w:rPr>
      </w:pPr>
      <w:r>
        <w:rPr>
          <w:rFonts w:hint="eastAsia" w:ascii="宋体" w:hAnsi="宋体"/>
          <w:color w:val="auto"/>
          <w:szCs w:val="21"/>
        </w:rPr>
        <w:t>A</w:t>
      </w:r>
      <w:r>
        <w:rPr>
          <w:rFonts w:hint="eastAsia" w:ascii="宋体" w:hAnsi="宋体"/>
          <w:color w:val="auto"/>
          <w:szCs w:val="21"/>
          <w:lang w:val="en-US" w:eastAsia="zh-CN"/>
        </w:rPr>
        <w:t>6</w:t>
      </w:r>
      <w:r>
        <w:rPr>
          <w:rFonts w:hint="eastAsia" w:ascii="宋体" w:hAnsi="宋体"/>
          <w:color w:val="auto"/>
          <w:szCs w:val="21"/>
        </w:rPr>
        <w:t>、供应商认为需要的其他资料（如有需提供）。</w:t>
      </w:r>
    </w:p>
    <w:p w14:paraId="49D03D7F">
      <w:pPr>
        <w:spacing w:line="420" w:lineRule="exact"/>
        <w:ind w:firstLine="422" w:firstLineChars="200"/>
        <w:jc w:val="left"/>
        <w:rPr>
          <w:rFonts w:hint="eastAsia" w:ascii="宋体" w:hAnsi="宋体"/>
          <w:b/>
          <w:color w:val="auto"/>
          <w:szCs w:val="21"/>
          <w:highlight w:val="none"/>
        </w:rPr>
      </w:pPr>
      <w:r>
        <w:rPr>
          <w:rFonts w:ascii="宋体" w:hAnsi="宋体"/>
          <w:b/>
          <w:color w:val="auto"/>
          <w:szCs w:val="21"/>
          <w:highlight w:val="none"/>
        </w:rPr>
        <w:t>B</w:t>
      </w:r>
      <w:r>
        <w:rPr>
          <w:rFonts w:hint="eastAsia" w:ascii="宋体" w:hAnsi="宋体"/>
          <w:b/>
          <w:color w:val="auto"/>
          <w:szCs w:val="21"/>
          <w:highlight w:val="none"/>
        </w:rPr>
        <w:t>、第二册：商务和技术文件</w:t>
      </w:r>
    </w:p>
    <w:p w14:paraId="6EA5B6AC">
      <w:pPr>
        <w:spacing w:line="420" w:lineRule="exact"/>
        <w:ind w:firstLine="420" w:firstLineChars="200"/>
        <w:jc w:val="left"/>
        <w:rPr>
          <w:rFonts w:hint="eastAsia" w:ascii="宋体" w:hAnsi="宋体"/>
          <w:color w:val="auto"/>
          <w:szCs w:val="21"/>
          <w:highlight w:val="none"/>
        </w:rPr>
      </w:pPr>
      <w:r>
        <w:rPr>
          <w:rFonts w:hint="eastAsia" w:ascii="宋体" w:hAnsi="宋体" w:eastAsia="宋体" w:cs="Times New Roman"/>
          <w:bCs/>
          <w:color w:val="auto"/>
          <w:szCs w:val="21"/>
          <w:highlight w:val="none"/>
        </w:rPr>
        <w:t>B</w:t>
      </w:r>
      <w:r>
        <w:rPr>
          <w:rFonts w:hint="eastAsia" w:ascii="宋体" w:hAnsi="宋体" w:eastAsia="宋体" w:cs="Times New Roman"/>
          <w:bCs/>
          <w:color w:val="auto"/>
          <w:szCs w:val="21"/>
          <w:highlight w:val="none"/>
          <w:lang w:val="en-US" w:eastAsia="zh-CN"/>
        </w:rPr>
        <w:t>1、</w:t>
      </w:r>
      <w:r>
        <w:rPr>
          <w:rFonts w:hint="eastAsia" w:ascii="宋体" w:hAnsi="宋体"/>
          <w:color w:val="auto"/>
          <w:szCs w:val="21"/>
          <w:highlight w:val="none"/>
        </w:rPr>
        <w:t>磋商函（格式见附件）</w:t>
      </w:r>
    </w:p>
    <w:p w14:paraId="4268B867">
      <w:pPr>
        <w:spacing w:line="420" w:lineRule="exact"/>
        <w:ind w:firstLine="420" w:firstLineChars="200"/>
        <w:jc w:val="left"/>
        <w:rPr>
          <w:rFonts w:hint="eastAsia" w:ascii="宋体" w:hAnsi="宋体"/>
          <w:color w:val="auto"/>
          <w:szCs w:val="21"/>
          <w:highlight w:val="none"/>
        </w:rPr>
      </w:pPr>
      <w:r>
        <w:rPr>
          <w:rFonts w:hint="eastAsia" w:ascii="宋体" w:hAnsi="宋体" w:eastAsia="宋体" w:cs="Times New Roman"/>
          <w:bCs/>
          <w:color w:val="auto"/>
          <w:szCs w:val="21"/>
          <w:highlight w:val="none"/>
        </w:rPr>
        <w:t>B</w:t>
      </w:r>
      <w:r>
        <w:rPr>
          <w:rFonts w:hint="eastAsia" w:ascii="宋体" w:hAnsi="宋体" w:eastAsia="宋体" w:cs="Times New Roman"/>
          <w:bCs/>
          <w:color w:val="auto"/>
          <w:szCs w:val="21"/>
          <w:highlight w:val="none"/>
          <w:lang w:val="en-US" w:eastAsia="zh-CN"/>
        </w:rPr>
        <w:t>2、</w:t>
      </w:r>
      <w:r>
        <w:rPr>
          <w:rFonts w:hint="eastAsia" w:ascii="宋体" w:hAnsi="宋体"/>
          <w:color w:val="auto"/>
          <w:szCs w:val="21"/>
          <w:highlight w:val="none"/>
        </w:rPr>
        <w:t>授权委托书或法定代表人（单位负责人、自然人本人）身份证明（格式见附件）</w:t>
      </w:r>
    </w:p>
    <w:p w14:paraId="51B48EEA">
      <w:pPr>
        <w:spacing w:line="420" w:lineRule="exact"/>
        <w:ind w:firstLine="420" w:firstLineChars="200"/>
        <w:jc w:val="left"/>
        <w:rPr>
          <w:rFonts w:hint="eastAsia" w:ascii="宋体" w:hAnsi="宋体"/>
          <w:color w:val="auto"/>
          <w:szCs w:val="21"/>
          <w:highlight w:val="none"/>
        </w:rPr>
      </w:pPr>
      <w:r>
        <w:rPr>
          <w:rFonts w:hint="eastAsia" w:ascii="宋体" w:hAnsi="宋体" w:eastAsia="宋体" w:cs="Times New Roman"/>
          <w:bCs/>
          <w:color w:val="auto"/>
          <w:szCs w:val="21"/>
          <w:highlight w:val="none"/>
        </w:rPr>
        <w:t>B</w:t>
      </w:r>
      <w:r>
        <w:rPr>
          <w:rFonts w:hint="eastAsia" w:ascii="宋体" w:hAnsi="宋体" w:eastAsia="宋体" w:cs="Times New Roman"/>
          <w:bCs/>
          <w:color w:val="auto"/>
          <w:szCs w:val="21"/>
          <w:highlight w:val="none"/>
          <w:lang w:val="en-US" w:eastAsia="zh-CN"/>
        </w:rPr>
        <w:t>3、</w:t>
      </w:r>
      <w:r>
        <w:rPr>
          <w:rFonts w:hint="eastAsia" w:ascii="宋体" w:hAnsi="宋体"/>
          <w:color w:val="auto"/>
          <w:szCs w:val="21"/>
          <w:highlight w:val="none"/>
        </w:rPr>
        <w:t>分包意向协议</w:t>
      </w:r>
      <w:r>
        <w:rPr>
          <w:rFonts w:hint="eastAsia" w:ascii="宋体" w:hAnsi="宋体" w:eastAsia="宋体" w:cs="Times New Roman"/>
          <w:bCs/>
          <w:color w:val="auto"/>
          <w:szCs w:val="21"/>
          <w:highlight w:val="none"/>
        </w:rPr>
        <w:t>（如有需提供）</w:t>
      </w:r>
    </w:p>
    <w:p w14:paraId="1D0EAA26">
      <w:pPr>
        <w:spacing w:line="420" w:lineRule="exact"/>
        <w:ind w:firstLine="420" w:firstLineChars="200"/>
        <w:jc w:val="left"/>
        <w:rPr>
          <w:rFonts w:hint="eastAsia" w:ascii="宋体" w:hAnsi="宋体"/>
          <w:color w:val="auto"/>
          <w:szCs w:val="21"/>
          <w:highlight w:val="none"/>
        </w:rPr>
      </w:pPr>
      <w:r>
        <w:rPr>
          <w:rFonts w:hint="eastAsia" w:ascii="宋体" w:hAnsi="宋体" w:eastAsia="宋体" w:cs="Times New Roman"/>
          <w:bCs/>
          <w:color w:val="auto"/>
          <w:szCs w:val="21"/>
          <w:highlight w:val="none"/>
        </w:rPr>
        <w:t>B</w:t>
      </w:r>
      <w:r>
        <w:rPr>
          <w:rFonts w:hint="eastAsia" w:ascii="宋体" w:hAnsi="宋体" w:eastAsia="宋体" w:cs="Times New Roman"/>
          <w:bCs/>
          <w:color w:val="auto"/>
          <w:szCs w:val="21"/>
          <w:highlight w:val="none"/>
          <w:lang w:val="en-US" w:eastAsia="zh-CN"/>
        </w:rPr>
        <w:t>4、</w:t>
      </w:r>
      <w:r>
        <w:rPr>
          <w:rFonts w:hint="eastAsia" w:ascii="宋体" w:hAnsi="宋体"/>
          <w:color w:val="auto"/>
          <w:szCs w:val="21"/>
          <w:highlight w:val="none"/>
        </w:rPr>
        <w:t>符合性审查资料（格式见附件）</w:t>
      </w:r>
    </w:p>
    <w:p w14:paraId="2AB15633">
      <w:pPr>
        <w:spacing w:line="420" w:lineRule="exact"/>
        <w:ind w:firstLine="420" w:firstLineChars="200"/>
        <w:jc w:val="left"/>
        <w:rPr>
          <w:rFonts w:hint="eastAsia" w:ascii="宋体" w:hAnsi="宋体"/>
          <w:color w:val="auto"/>
          <w:szCs w:val="21"/>
          <w:highlight w:val="none"/>
        </w:rPr>
      </w:pPr>
      <w:r>
        <w:rPr>
          <w:rFonts w:hint="eastAsia" w:ascii="宋体" w:hAnsi="宋体" w:eastAsia="宋体" w:cs="Times New Roman"/>
          <w:bCs/>
          <w:color w:val="auto"/>
          <w:szCs w:val="21"/>
          <w:highlight w:val="none"/>
        </w:rPr>
        <w:t>B</w:t>
      </w:r>
      <w:r>
        <w:rPr>
          <w:rFonts w:hint="eastAsia" w:ascii="宋体" w:hAnsi="宋体" w:eastAsia="宋体" w:cs="Times New Roman"/>
          <w:bCs/>
          <w:color w:val="auto"/>
          <w:szCs w:val="21"/>
          <w:highlight w:val="none"/>
          <w:lang w:val="en-US" w:eastAsia="zh-CN"/>
        </w:rPr>
        <w:t>5、</w:t>
      </w:r>
      <w:r>
        <w:rPr>
          <w:rFonts w:hint="eastAsia" w:ascii="宋体" w:hAnsi="宋体"/>
          <w:color w:val="auto"/>
          <w:szCs w:val="21"/>
          <w:highlight w:val="none"/>
        </w:rPr>
        <w:t>评标标准相应的商务技术资料</w:t>
      </w:r>
    </w:p>
    <w:p w14:paraId="61C14A06">
      <w:pPr>
        <w:spacing w:line="420" w:lineRule="exact"/>
        <w:ind w:firstLine="420" w:firstLineChars="200"/>
        <w:jc w:val="left"/>
        <w:rPr>
          <w:rFonts w:hint="eastAsia" w:ascii="宋体" w:hAnsi="宋体"/>
          <w:color w:val="auto"/>
          <w:szCs w:val="21"/>
          <w:highlight w:val="none"/>
        </w:rPr>
      </w:pPr>
      <w:r>
        <w:rPr>
          <w:rFonts w:hint="eastAsia" w:ascii="宋体" w:hAnsi="宋体" w:eastAsia="宋体" w:cs="Times New Roman"/>
          <w:bCs/>
          <w:color w:val="auto"/>
          <w:szCs w:val="21"/>
          <w:highlight w:val="none"/>
        </w:rPr>
        <w:t>B</w:t>
      </w:r>
      <w:r>
        <w:rPr>
          <w:rFonts w:hint="eastAsia" w:ascii="宋体" w:hAnsi="宋体" w:eastAsia="宋体" w:cs="Times New Roman"/>
          <w:bCs/>
          <w:color w:val="auto"/>
          <w:szCs w:val="21"/>
          <w:highlight w:val="none"/>
          <w:lang w:val="en-US" w:eastAsia="zh-CN"/>
        </w:rPr>
        <w:t>6、</w:t>
      </w:r>
      <w:r>
        <w:rPr>
          <w:rFonts w:hint="eastAsia" w:ascii="宋体" w:hAnsi="宋体"/>
          <w:color w:val="auto"/>
          <w:szCs w:val="21"/>
          <w:highlight w:val="none"/>
        </w:rPr>
        <w:t>商务技术偏离表（格式见附件）</w:t>
      </w:r>
    </w:p>
    <w:p w14:paraId="27893137">
      <w:pPr>
        <w:spacing w:line="420" w:lineRule="exact"/>
        <w:ind w:firstLine="420" w:firstLineChars="200"/>
        <w:jc w:val="left"/>
        <w:rPr>
          <w:rFonts w:hint="eastAsia" w:ascii="宋体" w:hAnsi="宋体"/>
          <w:bCs/>
          <w:color w:val="auto"/>
          <w:szCs w:val="21"/>
          <w:highlight w:val="none"/>
        </w:rPr>
      </w:pPr>
      <w:r>
        <w:rPr>
          <w:rFonts w:hint="eastAsia" w:ascii="宋体" w:hAnsi="宋体" w:eastAsia="宋体" w:cs="Times New Roman"/>
          <w:bCs/>
          <w:color w:val="auto"/>
          <w:szCs w:val="21"/>
          <w:highlight w:val="none"/>
        </w:rPr>
        <w:t>B</w:t>
      </w:r>
      <w:r>
        <w:rPr>
          <w:rFonts w:hint="eastAsia" w:ascii="宋体" w:hAnsi="宋体" w:eastAsia="宋体" w:cs="Times New Roman"/>
          <w:bCs/>
          <w:color w:val="auto"/>
          <w:szCs w:val="21"/>
          <w:highlight w:val="none"/>
          <w:lang w:val="en-US" w:eastAsia="zh-CN"/>
        </w:rPr>
        <w:t>7、</w:t>
      </w:r>
      <w:r>
        <w:rPr>
          <w:rFonts w:hint="eastAsia" w:ascii="宋体" w:hAnsi="宋体"/>
          <w:color w:val="auto"/>
          <w:szCs w:val="21"/>
          <w:highlight w:val="none"/>
          <w:lang w:val="zh-CN"/>
        </w:rPr>
        <w:t>政府采购供应商廉洁自律承诺书</w:t>
      </w:r>
      <w:r>
        <w:rPr>
          <w:rFonts w:hint="eastAsia" w:ascii="宋体" w:hAnsi="宋体"/>
          <w:color w:val="auto"/>
          <w:szCs w:val="21"/>
          <w:highlight w:val="none"/>
        </w:rPr>
        <w:t>（格式见附件）</w:t>
      </w:r>
    </w:p>
    <w:p w14:paraId="5B2B5AE3">
      <w:pPr>
        <w:spacing w:line="420" w:lineRule="exact"/>
        <w:ind w:firstLine="420" w:firstLineChars="200"/>
        <w:jc w:val="left"/>
        <w:rPr>
          <w:rFonts w:hint="eastAsia" w:ascii="宋体" w:hAnsi="宋体"/>
          <w:color w:val="auto"/>
          <w:szCs w:val="21"/>
          <w:highlight w:val="none"/>
        </w:rPr>
      </w:pPr>
      <w:r>
        <w:rPr>
          <w:rFonts w:hint="eastAsia" w:ascii="宋体" w:hAnsi="宋体" w:eastAsia="宋体" w:cs="Times New Roman"/>
          <w:bCs/>
          <w:color w:val="auto"/>
          <w:szCs w:val="21"/>
          <w:highlight w:val="none"/>
        </w:rPr>
        <w:t>B</w:t>
      </w:r>
      <w:r>
        <w:rPr>
          <w:rFonts w:hint="eastAsia" w:ascii="宋体" w:hAnsi="宋体" w:eastAsia="宋体" w:cs="Times New Roman"/>
          <w:bCs/>
          <w:color w:val="auto"/>
          <w:szCs w:val="21"/>
          <w:highlight w:val="none"/>
          <w:lang w:val="en-US" w:eastAsia="zh-CN"/>
        </w:rPr>
        <w:t>8</w:t>
      </w:r>
      <w:r>
        <w:rPr>
          <w:rFonts w:hint="eastAsia" w:ascii="宋体" w:hAnsi="宋体" w:eastAsia="宋体" w:cs="Times New Roman"/>
          <w:bCs/>
          <w:color w:val="auto"/>
          <w:szCs w:val="21"/>
          <w:highlight w:val="none"/>
        </w:rPr>
        <w:t>、供应</w:t>
      </w:r>
      <w:r>
        <w:rPr>
          <w:rFonts w:hint="eastAsia" w:ascii="宋体" w:hAnsi="宋体"/>
          <w:bCs/>
          <w:color w:val="auto"/>
          <w:szCs w:val="21"/>
          <w:highlight w:val="none"/>
        </w:rPr>
        <w:t>商认为需要的其他资料（如有需提供）。</w:t>
      </w:r>
    </w:p>
    <w:p w14:paraId="4C37F172">
      <w:pPr>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“商务和技术文件”中不得出现涉及报价的内容，否则作无效报价处理。</w:t>
      </w:r>
    </w:p>
    <w:p w14:paraId="140AD2DF">
      <w:pPr>
        <w:spacing w:line="420" w:lineRule="exact"/>
        <w:ind w:firstLine="632" w:firstLineChars="300"/>
        <w:jc w:val="left"/>
        <w:rPr>
          <w:rFonts w:ascii="宋体" w:hAnsi="宋体"/>
          <w:b/>
          <w:color w:val="auto"/>
          <w:szCs w:val="21"/>
          <w:highlight w:val="none"/>
        </w:rPr>
      </w:pPr>
      <w:r>
        <w:rPr>
          <w:rFonts w:ascii="宋体" w:hAnsi="宋体"/>
          <w:b/>
          <w:color w:val="auto"/>
          <w:szCs w:val="21"/>
          <w:highlight w:val="none"/>
        </w:rPr>
        <w:t>C</w:t>
      </w:r>
      <w:r>
        <w:rPr>
          <w:rFonts w:hint="eastAsia" w:ascii="宋体" w:hAnsi="宋体"/>
          <w:b/>
          <w:color w:val="auto"/>
          <w:szCs w:val="21"/>
          <w:highlight w:val="none"/>
        </w:rPr>
        <w:t>、第三册：</w:t>
      </w:r>
      <w:r>
        <w:rPr>
          <w:rFonts w:hint="eastAsia" w:ascii="宋体" w:hAnsi="宋体"/>
          <w:b/>
          <w:color w:val="auto"/>
          <w:szCs w:val="21"/>
          <w:highlight w:val="none"/>
          <w:lang w:val="en-US" w:eastAsia="zh-CN"/>
        </w:rPr>
        <w:t>报价</w:t>
      </w:r>
      <w:r>
        <w:rPr>
          <w:rFonts w:hint="eastAsia" w:ascii="宋体" w:hAnsi="宋体"/>
          <w:b/>
          <w:color w:val="auto"/>
          <w:szCs w:val="21"/>
          <w:highlight w:val="none"/>
        </w:rPr>
        <w:t>文件</w:t>
      </w:r>
    </w:p>
    <w:p w14:paraId="7459F4E9">
      <w:pPr>
        <w:spacing w:line="420" w:lineRule="exact"/>
        <w:ind w:firstLine="630" w:firstLineChars="300"/>
        <w:jc w:val="left"/>
        <w:rPr>
          <w:rFonts w:hint="eastAsia" w:ascii="宋体" w:hAnsi="宋体"/>
          <w:color w:val="auto"/>
          <w:szCs w:val="21"/>
          <w:highlight w:val="none"/>
        </w:rPr>
      </w:pPr>
      <w:r>
        <w:rPr>
          <w:rFonts w:ascii="宋体" w:hAnsi="宋体"/>
          <w:color w:val="auto"/>
          <w:szCs w:val="21"/>
          <w:highlight w:val="none"/>
        </w:rPr>
        <w:t>C1</w:t>
      </w:r>
      <w:r>
        <w:rPr>
          <w:rFonts w:hint="eastAsia" w:ascii="宋体" w:hAnsi="宋体"/>
          <w:color w:val="auto"/>
          <w:szCs w:val="21"/>
          <w:highlight w:val="none"/>
        </w:rPr>
        <w:t>、报价一览表；（格式见附件）</w:t>
      </w:r>
    </w:p>
    <w:bookmarkEnd w:id="18"/>
    <w:p w14:paraId="680AC772">
      <w:pPr>
        <w:spacing w:line="420" w:lineRule="exact"/>
        <w:ind w:firstLine="630" w:firstLineChars="300"/>
        <w:jc w:val="left"/>
        <w:rPr>
          <w:rFonts w:hint="eastAsia" w:ascii="宋体" w:hAnsi="宋体"/>
          <w:color w:val="auto"/>
          <w:szCs w:val="21"/>
          <w:highlight w:val="none"/>
        </w:rPr>
      </w:pPr>
      <w:r>
        <w:rPr>
          <w:rFonts w:ascii="宋体" w:hAnsi="宋体"/>
          <w:color w:val="auto"/>
          <w:szCs w:val="21"/>
          <w:highlight w:val="none"/>
        </w:rPr>
        <w:t>C</w:t>
      </w:r>
      <w:r>
        <w:rPr>
          <w:rFonts w:hint="eastAsia" w:ascii="宋体" w:hAnsi="宋体"/>
          <w:color w:val="auto"/>
          <w:szCs w:val="21"/>
          <w:highlight w:val="none"/>
        </w:rPr>
        <w:t>2、</w:t>
      </w:r>
      <w:r>
        <w:rPr>
          <w:rFonts w:hint="eastAsia" w:ascii="宋体" w:hAnsi="宋体" w:cs="宋体"/>
          <w:sz w:val="24"/>
        </w:rPr>
        <w:t>已标价工程量清单；</w:t>
      </w:r>
      <w:r>
        <w:rPr>
          <w:rFonts w:hint="eastAsia" w:ascii="宋体" w:hAnsi="宋体"/>
          <w:color w:val="auto"/>
          <w:szCs w:val="21"/>
          <w:highlight w:val="none"/>
        </w:rPr>
        <w:t>（格式见附件）</w:t>
      </w:r>
    </w:p>
    <w:p w14:paraId="1CFC1C06">
      <w:pPr>
        <w:spacing w:line="420" w:lineRule="exact"/>
        <w:ind w:firstLine="420" w:firstLineChars="200"/>
        <w:jc w:val="left"/>
        <w:rPr>
          <w:rFonts w:ascii="宋体" w:hAnsi="宋体"/>
          <w:b/>
          <w:bCs/>
          <w:color w:val="auto"/>
          <w:szCs w:val="21"/>
          <w:highlight w:val="none"/>
        </w:rPr>
      </w:pPr>
      <w:r>
        <w:rPr>
          <w:rFonts w:hint="eastAsia" w:ascii="宋体" w:hAnsi="宋体"/>
          <w:color w:val="auto"/>
          <w:szCs w:val="21"/>
          <w:highlight w:val="none"/>
          <w:lang w:eastAsia="zh-CN"/>
        </w:rPr>
        <w:t>★</w:t>
      </w:r>
      <w:r>
        <w:rPr>
          <w:rFonts w:hint="eastAsia" w:ascii="宋体" w:hAnsi="宋体"/>
          <w:b/>
          <w:bCs/>
          <w:color w:val="auto"/>
          <w:szCs w:val="21"/>
          <w:highlight w:val="none"/>
        </w:rPr>
        <w:t>九、磋商响应文件的签署盖章</w:t>
      </w:r>
    </w:p>
    <w:p w14:paraId="53E887FD">
      <w:pPr>
        <w:tabs>
          <w:tab w:val="left" w:pos="900"/>
        </w:tabs>
        <w:spacing w:line="420" w:lineRule="exact"/>
        <w:ind w:firstLine="422" w:firstLineChars="200"/>
        <w:jc w:val="left"/>
        <w:rPr>
          <w:rFonts w:hint="eastAsia" w:ascii="宋体" w:hAnsi="宋体"/>
          <w:b/>
          <w:bCs/>
          <w:color w:val="auto"/>
          <w:szCs w:val="21"/>
          <w:highlight w:val="none"/>
        </w:rPr>
      </w:pPr>
      <w:r>
        <w:rPr>
          <w:rFonts w:ascii="宋体" w:hAnsi="宋体"/>
          <w:b/>
          <w:bCs/>
          <w:color w:val="auto"/>
          <w:szCs w:val="21"/>
          <w:highlight w:val="none"/>
        </w:rPr>
        <w:t>1</w:t>
      </w:r>
      <w:r>
        <w:rPr>
          <w:rFonts w:hint="eastAsia" w:ascii="宋体" w:hAnsi="宋体"/>
          <w:b/>
          <w:bCs/>
          <w:color w:val="auto"/>
          <w:szCs w:val="21"/>
          <w:highlight w:val="none"/>
        </w:rPr>
        <w:t>、竞争性磋商文件第</w:t>
      </w:r>
      <w:r>
        <w:rPr>
          <w:rFonts w:hint="eastAsia" w:ascii="宋体" w:hAnsi="宋体"/>
          <w:b/>
          <w:bCs/>
          <w:color w:val="auto"/>
          <w:szCs w:val="21"/>
          <w:highlight w:val="none"/>
          <w:lang w:eastAsia="zh-CN"/>
        </w:rPr>
        <w:t>六</w:t>
      </w:r>
      <w:r>
        <w:rPr>
          <w:rFonts w:hint="eastAsia" w:ascii="宋体" w:hAnsi="宋体"/>
          <w:b/>
          <w:bCs/>
          <w:color w:val="auto"/>
          <w:szCs w:val="21"/>
          <w:highlight w:val="none"/>
          <w:lang w:val="en-US" w:eastAsia="zh-CN"/>
        </w:rPr>
        <w:t>部分</w:t>
      </w:r>
      <w:r>
        <w:rPr>
          <w:rFonts w:hint="eastAsia" w:ascii="宋体" w:hAnsi="宋体"/>
          <w:b/>
          <w:bCs/>
          <w:color w:val="auto"/>
          <w:szCs w:val="21"/>
          <w:highlight w:val="none"/>
        </w:rPr>
        <w:t>“附件”中标明加盖公章或签字的，</w:t>
      </w:r>
      <w:r>
        <w:rPr>
          <w:rFonts w:hint="eastAsia" w:ascii="宋体" w:hAnsi="宋体" w:cs="宋体"/>
          <w:b/>
          <w:bCs/>
          <w:color w:val="auto"/>
          <w:szCs w:val="21"/>
          <w:highlight w:val="none"/>
        </w:rPr>
        <w:t>加盖公章部分采用CA签章，</w:t>
      </w:r>
      <w:r>
        <w:rPr>
          <w:rFonts w:hint="eastAsia" w:ascii="宋体" w:hAnsi="宋体"/>
          <w:b/>
          <w:bCs/>
          <w:color w:val="auto"/>
          <w:szCs w:val="21"/>
          <w:highlight w:val="none"/>
        </w:rPr>
        <w:t>签字部分由法定代表人或授权代表签字后扫描上传。授权代表签字的，</w:t>
      </w:r>
      <w:r>
        <w:rPr>
          <w:rFonts w:hint="eastAsia" w:ascii="宋体" w:hAnsi="宋体" w:cs="宋体"/>
          <w:b/>
          <w:bCs/>
          <w:color w:val="auto"/>
          <w:kern w:val="0"/>
          <w:szCs w:val="21"/>
          <w:highlight w:val="none"/>
        </w:rPr>
        <w:t>还</w:t>
      </w:r>
      <w:r>
        <w:rPr>
          <w:rFonts w:hint="eastAsia" w:ascii="宋体" w:hAnsi="宋体"/>
          <w:b/>
          <w:bCs/>
          <w:color w:val="auto"/>
          <w:szCs w:val="21"/>
          <w:highlight w:val="none"/>
        </w:rPr>
        <w:t>应附法定代表人签署的法定代表人授权书。</w:t>
      </w:r>
    </w:p>
    <w:p w14:paraId="35A6C68A">
      <w:pPr>
        <w:spacing w:line="42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十、磋商响应文件的密封、标记、份数</w:t>
      </w:r>
    </w:p>
    <w:p w14:paraId="5BEE878E">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1、电子磋商响应文件：供应商应根据“项目采购-电子招投标操作指南”及本竞争性磋商文件规定的格式和顺序编制电子磋商响应文件并进行关联定位。</w:t>
      </w:r>
    </w:p>
    <w:p w14:paraId="78CE38E0">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s="宋体"/>
          <w:color w:val="auto"/>
          <w:kern w:val="0"/>
          <w:szCs w:val="21"/>
          <w:highlight w:val="none"/>
        </w:rPr>
        <w:t>以U盘或光盘存储的电子备份磋商响应文件</w:t>
      </w:r>
      <w:r>
        <w:rPr>
          <w:rFonts w:hint="eastAsia" w:ascii="宋体" w:hAnsi="宋体"/>
          <w:color w:val="auto"/>
          <w:szCs w:val="21"/>
          <w:highlight w:val="none"/>
        </w:rPr>
        <w:t>用封袋密封后递交。</w:t>
      </w:r>
    </w:p>
    <w:p w14:paraId="59365642">
      <w:pPr>
        <w:spacing w:line="420" w:lineRule="exact"/>
        <w:ind w:firstLine="420" w:firstLineChars="200"/>
        <w:jc w:val="left"/>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hint="eastAsia" w:ascii="宋体" w:hAnsi="宋体" w:cs="宋体"/>
          <w:color w:val="auto"/>
          <w:kern w:val="0"/>
          <w:szCs w:val="21"/>
          <w:highlight w:val="none"/>
        </w:rPr>
        <w:t>电子备份磋商响应文件须在</w:t>
      </w:r>
      <w:r>
        <w:rPr>
          <w:rFonts w:hint="eastAsia" w:ascii="宋体" w:hAnsi="宋体"/>
          <w:color w:val="auto"/>
          <w:szCs w:val="21"/>
          <w:highlight w:val="none"/>
        </w:rPr>
        <w:t>封袋上注明：</w:t>
      </w:r>
    </w:p>
    <w:p w14:paraId="4F80FFFF">
      <w:pPr>
        <w:tabs>
          <w:tab w:val="left" w:pos="900"/>
        </w:tabs>
        <w:spacing w:line="420" w:lineRule="exact"/>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）注    明：</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“电子备份磋商响应文件”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5F77BC3">
      <w:pPr>
        <w:tabs>
          <w:tab w:val="left" w:pos="900"/>
        </w:tabs>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hint="eastAsia" w:ascii="宋体" w:hAnsi="宋体"/>
          <w:color w:val="auto"/>
          <w:szCs w:val="21"/>
          <w:highlight w:val="none"/>
          <w:lang w:eastAsia="zh-CN"/>
        </w:rPr>
        <w:t>项目编号</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45E1A130">
      <w:pPr>
        <w:tabs>
          <w:tab w:val="left" w:pos="900"/>
        </w:tabs>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）项目名称：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2B9D1E6E">
      <w:pPr>
        <w:tabs>
          <w:tab w:val="left" w:pos="900"/>
        </w:tabs>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）所投</w:t>
      </w:r>
      <w:r>
        <w:rPr>
          <w:rFonts w:hint="eastAsia" w:ascii="宋体" w:hAnsi="宋体"/>
          <w:color w:val="auto"/>
          <w:szCs w:val="21"/>
          <w:highlight w:val="none"/>
          <w:lang w:val="en-US" w:eastAsia="zh-CN"/>
        </w:rPr>
        <w:t>标项</w:t>
      </w:r>
      <w:r>
        <w:rPr>
          <w:rFonts w:hint="eastAsia" w:ascii="宋体" w:hAnsi="宋体"/>
          <w:color w:val="auto"/>
          <w:szCs w:val="21"/>
          <w:highlight w:val="none"/>
        </w:rPr>
        <w:t>（如有多个</w:t>
      </w:r>
      <w:r>
        <w:rPr>
          <w:rFonts w:hint="eastAsia" w:ascii="宋体" w:hAnsi="宋体"/>
          <w:color w:val="auto"/>
          <w:szCs w:val="21"/>
          <w:highlight w:val="none"/>
          <w:lang w:val="en-US" w:eastAsia="zh-CN"/>
        </w:rPr>
        <w:t>标项</w:t>
      </w:r>
      <w:r>
        <w:rPr>
          <w:rFonts w:hint="eastAsia" w:ascii="宋体" w:hAnsi="宋体"/>
          <w:color w:val="auto"/>
          <w:szCs w:val="21"/>
          <w:highlight w:val="none"/>
        </w:rPr>
        <w:t>须填写）：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40DB4A5F">
      <w:pPr>
        <w:tabs>
          <w:tab w:val="left" w:pos="900"/>
        </w:tabs>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）在</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日（规定的开启日期和时间）前不准启封；</w:t>
      </w:r>
    </w:p>
    <w:p w14:paraId="799C7CBA">
      <w:pPr>
        <w:tabs>
          <w:tab w:val="left" w:pos="900"/>
        </w:tabs>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）供应商的名称：</w:t>
      </w:r>
      <w:r>
        <w:rPr>
          <w:rFonts w:ascii="宋体" w:hAnsi="宋体"/>
          <w:color w:val="auto"/>
          <w:szCs w:val="21"/>
          <w:highlight w:val="none"/>
          <w:u w:val="single"/>
        </w:rPr>
        <w:t xml:space="preserve">                                          </w:t>
      </w:r>
      <w:r>
        <w:rPr>
          <w:rFonts w:hint="eastAsia" w:ascii="宋体" w:hAnsi="宋体"/>
          <w:color w:val="auto"/>
          <w:szCs w:val="21"/>
          <w:highlight w:val="none"/>
        </w:rPr>
        <w:t>。</w:t>
      </w:r>
    </w:p>
    <w:p w14:paraId="44E6FDCF">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供应商须在包封上加盖供应商公章或由其法定代表人或授权代表签字。</w:t>
      </w:r>
    </w:p>
    <w:p w14:paraId="4A19B9BE">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供应商未按上述要求标记的，采购人（代理机构）不承担错放或提前开封的责任。</w:t>
      </w:r>
    </w:p>
    <w:p w14:paraId="5CF6D704">
      <w:pPr>
        <w:spacing w:line="420" w:lineRule="exact"/>
        <w:ind w:firstLine="422" w:firstLineChars="200"/>
        <w:jc w:val="left"/>
        <w:rPr>
          <w:rFonts w:hint="eastAsia" w:ascii="宋体" w:hAnsi="宋体"/>
          <w:b/>
          <w:color w:val="auto"/>
          <w:szCs w:val="21"/>
          <w:highlight w:val="none"/>
        </w:rPr>
      </w:pPr>
      <w:bookmarkStart w:id="19" w:name="_Toc237939759"/>
      <w:r>
        <w:rPr>
          <w:rFonts w:hint="eastAsia" w:ascii="宋体" w:hAnsi="宋体"/>
          <w:b/>
          <w:color w:val="auto"/>
          <w:szCs w:val="21"/>
          <w:highlight w:val="none"/>
        </w:rPr>
        <w:t>十一、磋商响应文件的递交</w:t>
      </w:r>
      <w:bookmarkEnd w:id="19"/>
    </w:p>
    <w:p w14:paraId="7ED242D5">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1、磋商响应文件递交的具体要求详见竞争性磋商公告。</w:t>
      </w:r>
    </w:p>
    <w:p w14:paraId="71072D17">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2、供应商未按上述要求密封的电子备份磋商响应文件，代理机构不予受理。</w:t>
      </w:r>
    </w:p>
    <w:p w14:paraId="5A21F89C">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逾期送达的或者未送达指定地点的，</w:t>
      </w:r>
      <w:r>
        <w:rPr>
          <w:rFonts w:hint="eastAsia" w:ascii="宋体" w:hAnsi="宋体"/>
          <w:color w:val="auto"/>
          <w:szCs w:val="21"/>
          <w:highlight w:val="none"/>
        </w:rPr>
        <w:t>代理机构</w:t>
      </w:r>
      <w:r>
        <w:rPr>
          <w:rFonts w:ascii="宋体" w:hAnsi="宋体"/>
          <w:color w:val="auto"/>
          <w:szCs w:val="21"/>
          <w:highlight w:val="none"/>
        </w:rPr>
        <w:t>不予受理。</w:t>
      </w:r>
    </w:p>
    <w:p w14:paraId="72EC493A">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4、磋商响应文件的补充、修改</w:t>
      </w:r>
    </w:p>
    <w:p w14:paraId="10AA6246">
      <w:pPr>
        <w:spacing w:line="420" w:lineRule="exact"/>
        <w:ind w:firstLine="420" w:firstLineChars="200"/>
        <w:rPr>
          <w:rFonts w:hint="eastAsia"/>
          <w:color w:val="auto"/>
          <w:szCs w:val="21"/>
          <w:highlight w:val="none"/>
          <w:lang w:val="en"/>
        </w:rPr>
      </w:pPr>
      <w:r>
        <w:rPr>
          <w:rFonts w:hint="eastAsia" w:ascii="宋体" w:hAnsi="宋体"/>
          <w:color w:val="auto"/>
          <w:szCs w:val="21"/>
          <w:highlight w:val="none"/>
        </w:rPr>
        <w:t>磋商响应文件递交截止时间前，供应商可以对递交的磋商响应文件进行补充、修改，</w:t>
      </w:r>
      <w:r>
        <w:rPr>
          <w:rFonts w:hint="eastAsia"/>
          <w:color w:val="auto"/>
          <w:szCs w:val="21"/>
          <w:highlight w:val="none"/>
          <w:lang w:val="en"/>
        </w:rPr>
        <w:t>补充、修改</w:t>
      </w:r>
      <w:r>
        <w:rPr>
          <w:rFonts w:hint="eastAsia"/>
          <w:color w:val="auto"/>
          <w:szCs w:val="21"/>
          <w:highlight w:val="none"/>
        </w:rPr>
        <w:t>电子磋商响应文件</w:t>
      </w:r>
      <w:r>
        <w:rPr>
          <w:rFonts w:hint="eastAsia"/>
          <w:color w:val="auto"/>
          <w:szCs w:val="21"/>
          <w:highlight w:val="none"/>
          <w:lang w:val="en"/>
        </w:rPr>
        <w:t>的，应当先行撤回原文件，补充、修改后重新上传，电子备份磋商响应文件也应重新制作。</w:t>
      </w:r>
      <w:r>
        <w:rPr>
          <w:rFonts w:hint="eastAsia" w:ascii="宋体" w:hAnsi="宋体"/>
          <w:color w:val="auto"/>
          <w:szCs w:val="21"/>
          <w:highlight w:val="none"/>
        </w:rPr>
        <w:t>在递交截止时间之后，供应商不得对其磋商响应文件进行补充、修改。递交截止时间之后供应商要求撤销响应文件的，应向采购人提交正式文件。</w:t>
      </w:r>
    </w:p>
    <w:p w14:paraId="7CF70B2B">
      <w:pPr>
        <w:spacing w:line="420" w:lineRule="exact"/>
        <w:ind w:firstLine="422" w:firstLineChars="200"/>
        <w:jc w:val="left"/>
        <w:rPr>
          <w:rFonts w:hint="eastAsia" w:ascii="宋体" w:hAnsi="宋体"/>
          <w:color w:val="auto"/>
          <w:szCs w:val="21"/>
          <w:highlight w:val="none"/>
        </w:rPr>
      </w:pPr>
      <w:r>
        <w:rPr>
          <w:rFonts w:hint="eastAsia" w:ascii="宋体" w:hAnsi="宋体"/>
          <w:b/>
          <w:color w:val="auto"/>
          <w:szCs w:val="21"/>
          <w:highlight w:val="none"/>
        </w:rPr>
        <w:t>十二、竞争性磋商文件的澄清或修改</w:t>
      </w:r>
    </w:p>
    <w:p w14:paraId="6967AFDC">
      <w:pPr>
        <w:spacing w:line="420" w:lineRule="exact"/>
        <w:ind w:firstLine="420" w:firstLineChars="200"/>
        <w:rPr>
          <w:rFonts w:hint="eastAsia" w:ascii="宋体" w:hAnsi="宋体"/>
          <w:color w:val="auto"/>
          <w:szCs w:val="21"/>
          <w:highlight w:val="none"/>
        </w:rPr>
      </w:pPr>
      <w:r>
        <w:rPr>
          <w:rFonts w:hint="eastAsia" w:ascii="宋体" w:hAnsi="宋体" w:cs="Arial"/>
          <w:bCs/>
          <w:iCs/>
          <w:color w:val="auto"/>
          <w:szCs w:val="21"/>
          <w:highlight w:val="none"/>
        </w:rPr>
        <w:t>1、</w:t>
      </w:r>
      <w:r>
        <w:rPr>
          <w:rFonts w:hint="eastAsia" w:ascii="宋体" w:hAnsi="宋体"/>
          <w:color w:val="auto"/>
          <w:szCs w:val="21"/>
          <w:highlight w:val="none"/>
        </w:rPr>
        <w:t>采购人可以对已发出的竞争性磋商文件进行必要的澄清或者修改，将以“更正公告”的形式发布在政采云平台，供应商应及时登录政采云平台，进行浏览并下载，未及时浏览下载的责任自负。澄清或者修改的内容可能影响磋商响应文件编制的，采购人应当在</w:t>
      </w:r>
      <w:r>
        <w:rPr>
          <w:rFonts w:hint="eastAsia" w:ascii="宋体" w:hAnsi="宋体" w:cs="宋体"/>
          <w:bCs/>
          <w:iCs/>
          <w:color w:val="auto"/>
          <w:szCs w:val="21"/>
          <w:highlight w:val="none"/>
        </w:rPr>
        <w:t>提交磋商响应文件的截止时间</w:t>
      </w:r>
      <w:r>
        <w:rPr>
          <w:rFonts w:hint="eastAsia" w:ascii="宋体" w:hAnsi="宋体"/>
          <w:color w:val="auto"/>
          <w:szCs w:val="21"/>
          <w:highlight w:val="none"/>
        </w:rPr>
        <w:t>至少</w:t>
      </w:r>
      <w:r>
        <w:rPr>
          <w:rFonts w:ascii="宋体" w:hAnsi="宋体"/>
          <w:color w:val="auto"/>
          <w:szCs w:val="21"/>
          <w:highlight w:val="none"/>
        </w:rPr>
        <w:t>5</w:t>
      </w:r>
      <w:r>
        <w:rPr>
          <w:rFonts w:hint="eastAsia" w:ascii="宋体" w:hAnsi="宋体"/>
          <w:color w:val="auto"/>
          <w:szCs w:val="21"/>
          <w:highlight w:val="none"/>
        </w:rPr>
        <w:t>日前，不足5日的，采购人应当顺延</w:t>
      </w:r>
      <w:r>
        <w:rPr>
          <w:rFonts w:hint="eastAsia" w:ascii="宋体" w:hAnsi="宋体" w:cs="宋体"/>
          <w:bCs/>
          <w:iCs/>
          <w:color w:val="auto"/>
          <w:szCs w:val="21"/>
          <w:highlight w:val="none"/>
        </w:rPr>
        <w:t>提交磋商响应文件的截止时间</w:t>
      </w:r>
      <w:r>
        <w:rPr>
          <w:rFonts w:hint="eastAsia" w:ascii="宋体" w:hAnsi="宋体"/>
          <w:color w:val="auto"/>
          <w:szCs w:val="21"/>
          <w:highlight w:val="none"/>
        </w:rPr>
        <w:t>；澄清或者修改的内容不影响磋商响应文件编制的，则不受</w:t>
      </w:r>
      <w:r>
        <w:rPr>
          <w:rFonts w:ascii="宋体" w:hAnsi="宋体"/>
          <w:color w:val="auto"/>
          <w:szCs w:val="21"/>
          <w:highlight w:val="none"/>
        </w:rPr>
        <w:t>5</w:t>
      </w:r>
      <w:r>
        <w:rPr>
          <w:rFonts w:hint="eastAsia" w:ascii="宋体" w:hAnsi="宋体"/>
          <w:color w:val="auto"/>
          <w:szCs w:val="21"/>
          <w:highlight w:val="none"/>
        </w:rPr>
        <w:t>日的期限限制。澄清或者修改的内容为竞争性磋商文件的组成部分，对所有供应商具有约束力。</w:t>
      </w:r>
    </w:p>
    <w:p w14:paraId="5CF3BC2F">
      <w:pPr>
        <w:spacing w:line="42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十三、质疑</w:t>
      </w:r>
    </w:p>
    <w:p w14:paraId="1F8E0235">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供应商认为竞争性磋商文件、磋商采购过程、成交结果使自己的权益受到损害的，可以在知道或者应知其权益受到损害之日起7个工作日内，以书面形式向采购人、采购代理机构提出质疑。供应商应当在法定质疑期内一次性提出针对竞争性磋商公告、竞争性磋商文件、磋商采购过程、采购结果等同一采购程序环节的质疑，第二次提出的质疑视为质疑无效，采购人、采购代理机构将不予受理（对于采购人、采购代理机构作出的澄清或者修改的内容提出质疑的除外）</w:t>
      </w:r>
      <w:r>
        <w:rPr>
          <w:rFonts w:ascii="宋体" w:hAnsi="宋体"/>
          <w:color w:val="auto"/>
          <w:szCs w:val="21"/>
          <w:highlight w:val="none"/>
        </w:rPr>
        <w:t>。</w:t>
      </w:r>
    </w:p>
    <w:p w14:paraId="46D5787D">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提出质疑的供应商应当是参与所质疑项目采购活动的供应商。</w:t>
      </w:r>
      <w:r>
        <w:rPr>
          <w:rFonts w:hint="eastAsia" w:ascii="宋体" w:hAnsi="宋体"/>
          <w:color w:val="auto"/>
          <w:szCs w:val="21"/>
          <w:highlight w:val="none"/>
        </w:rPr>
        <w:t>未依法获取采购文件的</w:t>
      </w:r>
      <w:r>
        <w:rPr>
          <w:rFonts w:ascii="宋体" w:hAnsi="宋体"/>
          <w:color w:val="auto"/>
          <w:szCs w:val="21"/>
          <w:highlight w:val="none"/>
        </w:rPr>
        <w:t>，不得</w:t>
      </w:r>
      <w:r>
        <w:rPr>
          <w:rFonts w:hint="eastAsia" w:ascii="宋体" w:hAnsi="宋体"/>
          <w:color w:val="auto"/>
          <w:szCs w:val="21"/>
          <w:highlight w:val="none"/>
        </w:rPr>
        <w:t>就采购文件</w:t>
      </w:r>
      <w:r>
        <w:rPr>
          <w:rFonts w:ascii="宋体" w:hAnsi="宋体"/>
          <w:color w:val="auto"/>
          <w:szCs w:val="21"/>
          <w:highlight w:val="none"/>
        </w:rPr>
        <w:t>提出质疑</w:t>
      </w:r>
      <w:r>
        <w:rPr>
          <w:rFonts w:hint="eastAsia" w:ascii="宋体" w:hAnsi="宋体"/>
          <w:color w:val="auto"/>
          <w:szCs w:val="21"/>
          <w:highlight w:val="none"/>
        </w:rPr>
        <w:t>；</w:t>
      </w:r>
      <w:r>
        <w:rPr>
          <w:rFonts w:ascii="宋体" w:hAnsi="宋体"/>
          <w:color w:val="auto"/>
          <w:szCs w:val="21"/>
          <w:highlight w:val="none"/>
        </w:rPr>
        <w:t>未提交</w:t>
      </w:r>
      <w:r>
        <w:rPr>
          <w:rFonts w:hint="eastAsia" w:ascii="宋体" w:hAnsi="宋体"/>
          <w:color w:val="auto"/>
          <w:szCs w:val="21"/>
          <w:highlight w:val="none"/>
        </w:rPr>
        <w:t>磋商响应文件</w:t>
      </w:r>
      <w:r>
        <w:rPr>
          <w:rFonts w:ascii="宋体" w:hAnsi="宋体"/>
          <w:color w:val="auto"/>
          <w:szCs w:val="21"/>
          <w:highlight w:val="none"/>
        </w:rPr>
        <w:t>的供应商，视为与采购结果没有利害关系，不得就采购响应截止时间后的采购过程、采购结果提出质疑。</w:t>
      </w:r>
    </w:p>
    <w:p w14:paraId="591DEEAA">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3、供应商提出质疑应当提交质疑函和必要的证明材料，质疑函应当以书面形式提出，质疑函格式和内容须符合财政部《质疑函范本》要求，供应商可到中国政府采购网自行下载财政部《质疑函范本》。</w:t>
      </w:r>
    </w:p>
    <w:p w14:paraId="043E9381">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4、供应商质疑实行实名制，质疑函应当署名，供应商为自然人的，</w:t>
      </w:r>
      <w:r>
        <w:rPr>
          <w:rFonts w:ascii="宋体" w:hAnsi="宋体"/>
          <w:color w:val="auto"/>
          <w:szCs w:val="21"/>
          <w:highlight w:val="none"/>
        </w:rPr>
        <w:t>应当由本人签字；</w:t>
      </w:r>
      <w:r>
        <w:rPr>
          <w:rFonts w:hint="eastAsia" w:ascii="宋体" w:hAnsi="宋体"/>
          <w:color w:val="auto"/>
          <w:szCs w:val="21"/>
          <w:highlight w:val="none"/>
        </w:rPr>
        <w:t>供应商</w:t>
      </w:r>
      <w:r>
        <w:rPr>
          <w:rFonts w:ascii="宋体" w:hAnsi="宋体"/>
          <w:color w:val="auto"/>
          <w:szCs w:val="21"/>
          <w:highlight w:val="none"/>
        </w:rPr>
        <w:t>为法人</w:t>
      </w:r>
      <w:r>
        <w:rPr>
          <w:rFonts w:hint="eastAsia" w:ascii="宋体" w:hAnsi="宋体"/>
          <w:color w:val="auto"/>
          <w:szCs w:val="21"/>
          <w:highlight w:val="none"/>
        </w:rPr>
        <w:t>或者</w:t>
      </w:r>
      <w:r>
        <w:rPr>
          <w:rFonts w:ascii="宋体" w:hAnsi="宋体"/>
          <w:color w:val="auto"/>
          <w:szCs w:val="21"/>
          <w:highlight w:val="none"/>
        </w:rPr>
        <w:t>其他组织的，应当由法定代表人</w:t>
      </w:r>
      <w:r>
        <w:rPr>
          <w:rFonts w:hint="eastAsia" w:ascii="宋体" w:hAnsi="宋体"/>
          <w:color w:val="auto"/>
          <w:szCs w:val="21"/>
          <w:highlight w:val="none"/>
        </w:rPr>
        <w:t>、</w:t>
      </w:r>
      <w:r>
        <w:rPr>
          <w:rFonts w:ascii="宋体" w:hAnsi="宋体"/>
          <w:color w:val="auto"/>
          <w:szCs w:val="21"/>
          <w:highlight w:val="none"/>
        </w:rPr>
        <w:t>主要负责人</w:t>
      </w:r>
      <w:r>
        <w:rPr>
          <w:rFonts w:hint="eastAsia" w:ascii="宋体" w:hAnsi="宋体"/>
          <w:color w:val="auto"/>
          <w:szCs w:val="21"/>
          <w:highlight w:val="none"/>
        </w:rPr>
        <w:t>，或者其授权代表（指代理人</w:t>
      </w:r>
      <w:r>
        <w:rPr>
          <w:rFonts w:ascii="宋体" w:hAnsi="宋体"/>
          <w:color w:val="auto"/>
          <w:szCs w:val="21"/>
          <w:highlight w:val="none"/>
        </w:rPr>
        <w:t>）签字</w:t>
      </w:r>
      <w:r>
        <w:rPr>
          <w:rFonts w:hint="eastAsia" w:ascii="宋体" w:hAnsi="宋体"/>
          <w:color w:val="auto"/>
          <w:szCs w:val="21"/>
          <w:highlight w:val="none"/>
        </w:rPr>
        <w:t>或者</w:t>
      </w:r>
      <w:r>
        <w:rPr>
          <w:rFonts w:ascii="宋体" w:hAnsi="宋体"/>
          <w:color w:val="auto"/>
          <w:szCs w:val="21"/>
          <w:highlight w:val="none"/>
        </w:rPr>
        <w:t>盖章</w:t>
      </w:r>
      <w:r>
        <w:rPr>
          <w:rFonts w:hint="eastAsia" w:ascii="宋体" w:hAnsi="宋体"/>
          <w:color w:val="auto"/>
          <w:szCs w:val="21"/>
          <w:highlight w:val="none"/>
        </w:rPr>
        <w:t>，</w:t>
      </w:r>
      <w:r>
        <w:rPr>
          <w:rFonts w:ascii="宋体" w:hAnsi="宋体"/>
          <w:color w:val="auto"/>
          <w:szCs w:val="21"/>
          <w:highlight w:val="none"/>
        </w:rPr>
        <w:t>并加盖公章</w:t>
      </w:r>
      <w:r>
        <w:rPr>
          <w:rFonts w:hint="eastAsia" w:ascii="宋体" w:hAnsi="宋体"/>
          <w:color w:val="auto"/>
          <w:szCs w:val="21"/>
          <w:highlight w:val="none"/>
        </w:rPr>
        <w:t>；代理人提出质疑的，应当提交供应商签署的授权委托书；以联合体形式参加政府采购活动的，其质疑应当由组成联合体的所有供应商共同提出。</w:t>
      </w:r>
    </w:p>
    <w:p w14:paraId="6B0FC745">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5、采购人、采购代理机构接收质疑函的方式：只接收供应商</w:t>
      </w:r>
      <w:r>
        <w:rPr>
          <w:rFonts w:ascii="宋体" w:hAnsi="宋体"/>
          <w:color w:val="auto"/>
          <w:szCs w:val="21"/>
          <w:highlight w:val="none"/>
        </w:rPr>
        <w:t>以</w:t>
      </w:r>
      <w:r>
        <w:rPr>
          <w:rFonts w:hint="eastAsia" w:ascii="宋体" w:hAnsi="宋体"/>
          <w:color w:val="auto"/>
          <w:szCs w:val="21"/>
          <w:highlight w:val="none"/>
        </w:rPr>
        <w:t>当面</w:t>
      </w:r>
      <w:r>
        <w:rPr>
          <w:rFonts w:ascii="宋体" w:hAnsi="宋体"/>
          <w:color w:val="auto"/>
          <w:szCs w:val="21"/>
          <w:highlight w:val="none"/>
        </w:rPr>
        <w:t>递交</w:t>
      </w:r>
      <w:r>
        <w:rPr>
          <w:rFonts w:hint="eastAsia" w:ascii="宋体" w:hAnsi="宋体"/>
          <w:color w:val="auto"/>
          <w:szCs w:val="21"/>
          <w:highlight w:val="none"/>
        </w:rPr>
        <w:t>、</w:t>
      </w:r>
      <w:r>
        <w:rPr>
          <w:rFonts w:ascii="宋体" w:hAnsi="宋体"/>
          <w:color w:val="auto"/>
          <w:szCs w:val="21"/>
          <w:highlight w:val="none"/>
        </w:rPr>
        <w:t>邮寄</w:t>
      </w:r>
      <w:r>
        <w:rPr>
          <w:rFonts w:hint="eastAsia" w:ascii="宋体" w:hAnsi="宋体"/>
          <w:color w:val="auto"/>
          <w:szCs w:val="21"/>
          <w:highlight w:val="none"/>
        </w:rPr>
        <w:t>、传真或电子邮件</w:t>
      </w:r>
      <w:r>
        <w:rPr>
          <w:rFonts w:ascii="宋体" w:hAnsi="宋体"/>
          <w:color w:val="auto"/>
          <w:szCs w:val="21"/>
          <w:highlight w:val="none"/>
        </w:rPr>
        <w:t>方式提</w:t>
      </w:r>
      <w:r>
        <w:rPr>
          <w:rFonts w:hint="eastAsia" w:ascii="宋体" w:hAnsi="宋体"/>
          <w:color w:val="auto"/>
          <w:szCs w:val="21"/>
          <w:highlight w:val="none"/>
        </w:rPr>
        <w:t>出的质疑函，</w:t>
      </w:r>
      <w:r>
        <w:rPr>
          <w:rFonts w:ascii="宋体" w:hAnsi="宋体"/>
          <w:color w:val="auto"/>
          <w:szCs w:val="21"/>
          <w:highlight w:val="none"/>
        </w:rPr>
        <w:t>以其他方式提出的质疑不予</w:t>
      </w:r>
      <w:r>
        <w:rPr>
          <w:rFonts w:hint="eastAsia" w:ascii="宋体" w:hAnsi="宋体"/>
          <w:color w:val="auto"/>
          <w:szCs w:val="21"/>
          <w:highlight w:val="none"/>
        </w:rPr>
        <w:t>接收</w:t>
      </w:r>
      <w:r>
        <w:rPr>
          <w:rFonts w:ascii="宋体" w:hAnsi="宋体"/>
          <w:color w:val="auto"/>
          <w:szCs w:val="21"/>
          <w:highlight w:val="none"/>
        </w:rPr>
        <w:t>。</w:t>
      </w:r>
    </w:p>
    <w:p w14:paraId="4CB15C86">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采取邮寄方式的，提出质疑的时间为</w:t>
      </w:r>
      <w:r>
        <w:rPr>
          <w:rFonts w:ascii="宋体" w:hAnsi="宋体"/>
          <w:color w:val="auto"/>
          <w:szCs w:val="21"/>
          <w:highlight w:val="none"/>
        </w:rPr>
        <w:t>质疑函</w:t>
      </w:r>
      <w:r>
        <w:rPr>
          <w:rFonts w:hint="eastAsia" w:ascii="宋体" w:hAnsi="宋体"/>
          <w:color w:val="auto"/>
          <w:szCs w:val="21"/>
          <w:highlight w:val="none"/>
        </w:rPr>
        <w:t>原件交邮</w:t>
      </w:r>
      <w:r>
        <w:rPr>
          <w:rFonts w:ascii="宋体" w:hAnsi="宋体"/>
          <w:color w:val="auto"/>
          <w:szCs w:val="21"/>
          <w:highlight w:val="none"/>
        </w:rPr>
        <w:t>的</w:t>
      </w:r>
      <w:r>
        <w:rPr>
          <w:rFonts w:hint="eastAsia" w:ascii="宋体" w:hAnsi="宋体"/>
          <w:color w:val="auto"/>
          <w:szCs w:val="21"/>
          <w:highlight w:val="none"/>
        </w:rPr>
        <w:t>时间（以邮戳时间或快递收件时间为准）。</w:t>
      </w:r>
    </w:p>
    <w:p w14:paraId="2F2D3105">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采取传真、电子邮件方式的，供应商应当在传真、电子邮件发出后将质疑函原件邮寄给被质疑人，提出质疑的时间为</w:t>
      </w:r>
      <w:r>
        <w:rPr>
          <w:rFonts w:ascii="宋体" w:hAnsi="宋体"/>
          <w:color w:val="auto"/>
          <w:szCs w:val="21"/>
          <w:highlight w:val="none"/>
        </w:rPr>
        <w:t>质疑函</w:t>
      </w:r>
      <w:r>
        <w:rPr>
          <w:rFonts w:hint="eastAsia" w:ascii="宋体" w:hAnsi="宋体"/>
          <w:color w:val="auto"/>
          <w:szCs w:val="21"/>
          <w:highlight w:val="none"/>
        </w:rPr>
        <w:t>原件交邮</w:t>
      </w:r>
      <w:r>
        <w:rPr>
          <w:rFonts w:ascii="宋体" w:hAnsi="宋体"/>
          <w:color w:val="auto"/>
          <w:szCs w:val="21"/>
          <w:highlight w:val="none"/>
        </w:rPr>
        <w:t>的</w:t>
      </w:r>
      <w:r>
        <w:rPr>
          <w:rFonts w:hint="eastAsia" w:ascii="宋体" w:hAnsi="宋体"/>
          <w:color w:val="auto"/>
          <w:szCs w:val="21"/>
          <w:highlight w:val="none"/>
        </w:rPr>
        <w:t>时间（以邮戳时间或快递收件时间为准）。</w:t>
      </w:r>
    </w:p>
    <w:p w14:paraId="5E786420">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6、采购人、采购代理机构</w:t>
      </w:r>
      <w:r>
        <w:rPr>
          <w:rFonts w:ascii="宋体" w:hAnsi="宋体"/>
          <w:color w:val="auto"/>
          <w:szCs w:val="21"/>
          <w:highlight w:val="none"/>
        </w:rPr>
        <w:t>以实际收到</w:t>
      </w:r>
      <w:r>
        <w:rPr>
          <w:rFonts w:hint="eastAsia" w:ascii="宋体" w:hAnsi="宋体"/>
          <w:color w:val="auto"/>
          <w:szCs w:val="21"/>
          <w:highlight w:val="none"/>
        </w:rPr>
        <w:t>质疑函</w:t>
      </w:r>
      <w:r>
        <w:rPr>
          <w:rFonts w:ascii="宋体" w:hAnsi="宋体"/>
          <w:color w:val="auto"/>
          <w:szCs w:val="21"/>
          <w:highlight w:val="none"/>
        </w:rPr>
        <w:t>原件之日作为收到</w:t>
      </w:r>
      <w:r>
        <w:rPr>
          <w:rFonts w:hint="eastAsia" w:ascii="宋体" w:hAnsi="宋体"/>
          <w:color w:val="auto"/>
          <w:szCs w:val="21"/>
          <w:highlight w:val="none"/>
        </w:rPr>
        <w:t>质疑函</w:t>
      </w:r>
      <w:r>
        <w:rPr>
          <w:rFonts w:ascii="宋体" w:hAnsi="宋体"/>
          <w:color w:val="auto"/>
          <w:szCs w:val="21"/>
          <w:highlight w:val="none"/>
        </w:rPr>
        <w:t>的日期</w:t>
      </w:r>
      <w:r>
        <w:rPr>
          <w:rFonts w:hint="eastAsia" w:ascii="宋体" w:hAnsi="宋体"/>
          <w:color w:val="auto"/>
          <w:szCs w:val="21"/>
          <w:highlight w:val="none"/>
        </w:rPr>
        <w:t>，将在收到质疑函后7个工作日内作出答复。</w:t>
      </w:r>
    </w:p>
    <w:p w14:paraId="22C12D61">
      <w:pPr>
        <w:adjustRightInd w:val="0"/>
        <w:spacing w:line="420" w:lineRule="exact"/>
        <w:ind w:firstLine="420" w:firstLineChars="200"/>
        <w:jc w:val="left"/>
        <w:rPr>
          <w:rFonts w:hint="eastAsia" w:ascii="宋体" w:hAnsi="宋体"/>
          <w:b/>
          <w:color w:val="auto"/>
          <w:szCs w:val="21"/>
          <w:highlight w:val="none"/>
        </w:rPr>
      </w:pPr>
      <w:r>
        <w:rPr>
          <w:rFonts w:hint="eastAsia" w:ascii="宋体" w:hAnsi="宋体"/>
          <w:color w:val="auto"/>
          <w:szCs w:val="21"/>
          <w:highlight w:val="none"/>
        </w:rPr>
        <w:t>7、采购人、采购代理机构接收质疑函的联系人、联系电话和通讯地址等信息详见竞争性磋商公告。</w:t>
      </w:r>
    </w:p>
    <w:p w14:paraId="225351B6">
      <w:pPr>
        <w:numPr>
          <w:ilvl w:val="0"/>
          <w:numId w:val="0"/>
        </w:numPr>
        <w:spacing w:line="420" w:lineRule="exact"/>
        <w:ind w:firstLine="422" w:firstLineChars="200"/>
        <w:rPr>
          <w:rFonts w:hint="eastAsia" w:ascii="宋体" w:hAnsi="宋体"/>
          <w:b/>
          <w:color w:val="auto"/>
          <w:szCs w:val="21"/>
          <w:highlight w:val="none"/>
        </w:rPr>
      </w:pPr>
      <w:r>
        <w:rPr>
          <w:rFonts w:hint="eastAsia" w:ascii="宋体" w:hAnsi="宋体"/>
          <w:b/>
          <w:color w:val="auto"/>
          <w:szCs w:val="21"/>
          <w:highlight w:val="none"/>
          <w:lang w:eastAsia="zh-CN"/>
        </w:rPr>
        <w:t>十四、</w:t>
      </w:r>
      <w:r>
        <w:rPr>
          <w:rFonts w:hint="eastAsia" w:ascii="宋体" w:hAnsi="宋体"/>
          <w:b/>
          <w:color w:val="auto"/>
          <w:szCs w:val="21"/>
          <w:highlight w:val="none"/>
        </w:rPr>
        <w:t>评审</w:t>
      </w:r>
    </w:p>
    <w:p w14:paraId="1BD99E0C">
      <w:pPr>
        <w:numPr>
          <w:ilvl w:val="0"/>
          <w:numId w:val="2"/>
        </w:num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具体详见第</w:t>
      </w:r>
      <w:r>
        <w:rPr>
          <w:rFonts w:hint="eastAsia" w:ascii="宋体" w:hAnsi="宋体"/>
          <w:color w:val="auto"/>
          <w:szCs w:val="21"/>
          <w:highlight w:val="none"/>
          <w:lang w:val="en-US" w:eastAsia="zh-CN"/>
        </w:rPr>
        <w:t>四部分</w:t>
      </w:r>
      <w:r>
        <w:rPr>
          <w:rFonts w:hint="eastAsia" w:ascii="宋体" w:hAnsi="宋体"/>
          <w:color w:val="auto"/>
          <w:szCs w:val="21"/>
          <w:highlight w:val="none"/>
        </w:rPr>
        <w:t>“评标办法”。</w:t>
      </w:r>
    </w:p>
    <w:p w14:paraId="3C14941C">
      <w:pPr>
        <w:numPr>
          <w:ilvl w:val="0"/>
          <w:numId w:val="3"/>
        </w:numPr>
        <w:spacing w:line="420" w:lineRule="exact"/>
        <w:ind w:left="0" w:leftChars="0" w:firstLine="422" w:firstLineChars="200"/>
        <w:rPr>
          <w:rFonts w:hint="eastAsia" w:ascii="宋体" w:hAnsi="宋体"/>
          <w:b/>
          <w:color w:val="auto"/>
          <w:szCs w:val="21"/>
          <w:highlight w:val="none"/>
        </w:rPr>
      </w:pPr>
      <w:r>
        <w:rPr>
          <w:rFonts w:hint="eastAsia" w:ascii="宋体" w:hAnsi="宋体"/>
          <w:b/>
          <w:color w:val="auto"/>
          <w:szCs w:val="21"/>
          <w:highlight w:val="none"/>
        </w:rPr>
        <w:t>成交结果通知</w:t>
      </w:r>
    </w:p>
    <w:p w14:paraId="6E284D68">
      <w:pPr>
        <w:numPr>
          <w:ilvl w:val="0"/>
          <w:numId w:val="4"/>
        </w:numPr>
        <w:spacing w:line="420" w:lineRule="exact"/>
        <w:ind w:firstLine="420" w:firstLineChars="200"/>
        <w:rPr>
          <w:rFonts w:hint="eastAsia" w:ascii="宋体" w:hAnsi="宋体" w:cs="宋体"/>
          <w:color w:val="auto"/>
          <w:highlight w:val="none"/>
        </w:rPr>
      </w:pPr>
      <w:r>
        <w:rPr>
          <w:rFonts w:hint="eastAsia" w:ascii="宋体" w:hAnsi="宋体" w:cs="宋体"/>
          <w:color w:val="auto"/>
          <w:highlight w:val="none"/>
        </w:rPr>
        <w:t>采购人确认评审结果后，代理机构将在相关媒体上发布成交结果公告，并向确定成交供应商发出确定成交通知书。</w:t>
      </w:r>
    </w:p>
    <w:p w14:paraId="6E951869">
      <w:pPr>
        <w:numPr>
          <w:ilvl w:val="0"/>
          <w:numId w:val="4"/>
        </w:numPr>
        <w:spacing w:line="420" w:lineRule="exact"/>
        <w:ind w:left="0" w:leftChars="0" w:firstLine="420" w:firstLineChars="200"/>
        <w:rPr>
          <w:rFonts w:hint="eastAsia" w:ascii="宋体" w:hAnsi="宋体" w:cs="宋体"/>
          <w:color w:val="auto"/>
          <w:highlight w:val="none"/>
        </w:rPr>
      </w:pPr>
      <w:r>
        <w:rPr>
          <w:rFonts w:hint="eastAsia" w:ascii="宋体" w:hAnsi="宋体" w:cs="宋体"/>
          <w:color w:val="auto"/>
          <w:highlight w:val="none"/>
        </w:rPr>
        <w:t>确定成交通知书发出后，若确定成交供应商放弃成交，应当承担相应的法律责任，确定成交通知书对采购人和确定成交供应商具有同等法律效力。</w:t>
      </w:r>
    </w:p>
    <w:p w14:paraId="1B5A727D">
      <w:pPr>
        <w:numPr>
          <w:ilvl w:val="0"/>
          <w:numId w:val="3"/>
        </w:numPr>
        <w:spacing w:line="420" w:lineRule="exact"/>
        <w:ind w:left="0" w:leftChars="0" w:firstLine="422" w:firstLineChars="200"/>
        <w:rPr>
          <w:rFonts w:hint="eastAsia" w:ascii="宋体" w:hAnsi="宋体"/>
          <w:b/>
          <w:color w:val="auto"/>
          <w:szCs w:val="21"/>
          <w:highlight w:val="none"/>
        </w:rPr>
      </w:pPr>
      <w:r>
        <w:rPr>
          <w:rFonts w:hint="eastAsia" w:ascii="宋体" w:hAnsi="宋体"/>
          <w:b/>
          <w:color w:val="auto"/>
          <w:szCs w:val="21"/>
          <w:highlight w:val="none"/>
        </w:rPr>
        <w:t>签订合同</w:t>
      </w:r>
    </w:p>
    <w:p w14:paraId="6EE579C5">
      <w:pPr>
        <w:numPr>
          <w:ilvl w:val="0"/>
          <w:numId w:val="5"/>
        </w:numPr>
        <w:spacing w:line="420" w:lineRule="exact"/>
        <w:ind w:firstLine="420" w:firstLineChars="200"/>
        <w:rPr>
          <w:rFonts w:hint="eastAsia" w:ascii="宋体" w:hAnsi="宋体"/>
          <w:b/>
          <w:color w:val="auto"/>
          <w:szCs w:val="21"/>
          <w:highlight w:val="none"/>
        </w:rPr>
      </w:pPr>
      <w:r>
        <w:rPr>
          <w:rFonts w:hint="eastAsia" w:ascii="宋体" w:hAnsi="宋体" w:cs="宋体"/>
          <w:color w:val="auto"/>
          <w:highlight w:val="none"/>
        </w:rPr>
        <w:t>确定成交供应商在确定成交通知书发出后</w:t>
      </w:r>
      <w:r>
        <w:rPr>
          <w:rFonts w:ascii="宋体" w:hAnsi="宋体" w:cs="宋体"/>
          <w:color w:val="auto"/>
          <w:highlight w:val="none"/>
        </w:rPr>
        <w:t>30</w:t>
      </w:r>
      <w:r>
        <w:rPr>
          <w:rFonts w:hint="eastAsia" w:ascii="宋体" w:hAnsi="宋体" w:cs="宋体"/>
          <w:color w:val="auto"/>
          <w:highlight w:val="none"/>
        </w:rPr>
        <w:t>日内，应与采购人按照竞争性磋商文件、确定成交供应商的磋商响应文件、磋商过程中有关的澄清文件等约定内容签订书面合同。竞争性磋商文件、确定成交供应商的磋商响应文件、磋商过程中有关的澄清文件等均应作为合同附件。</w:t>
      </w:r>
    </w:p>
    <w:p w14:paraId="1E0401DF">
      <w:pPr>
        <w:numPr>
          <w:ilvl w:val="0"/>
          <w:numId w:val="3"/>
        </w:numPr>
        <w:spacing w:line="420" w:lineRule="exact"/>
        <w:ind w:left="0" w:leftChars="0" w:firstLine="422" w:firstLineChars="200"/>
        <w:rPr>
          <w:rFonts w:hint="eastAsia" w:ascii="宋体" w:hAnsi="宋体"/>
          <w:b/>
          <w:color w:val="auto"/>
          <w:szCs w:val="21"/>
          <w:highlight w:val="none"/>
        </w:rPr>
      </w:pPr>
      <w:r>
        <w:rPr>
          <w:rFonts w:hint="eastAsia" w:ascii="宋体" w:hAnsi="宋体"/>
          <w:b/>
          <w:color w:val="auto"/>
          <w:szCs w:val="21"/>
          <w:highlight w:val="none"/>
        </w:rPr>
        <w:t>代理服务费</w:t>
      </w:r>
    </w:p>
    <w:p w14:paraId="56389956">
      <w:pPr>
        <w:numPr>
          <w:ilvl w:val="0"/>
          <w:numId w:val="0"/>
        </w:numPr>
        <w:spacing w:line="420" w:lineRule="exact"/>
        <w:ind w:firstLine="420" w:firstLineChars="200"/>
        <w:rPr>
          <w:rFonts w:hint="eastAsia" w:ascii="宋体" w:hAnsi="Times New Roman" w:eastAsia="宋体" w:cs="Times New Roman"/>
          <w:color w:val="auto"/>
          <w:szCs w:val="21"/>
          <w:highlight w:val="none"/>
          <w:lang w:val="en-US" w:eastAsia="zh-CN"/>
        </w:rPr>
      </w:pPr>
      <w:r>
        <w:rPr>
          <w:rFonts w:hint="eastAsia" w:ascii="宋体"/>
          <w:color w:val="auto"/>
          <w:szCs w:val="21"/>
          <w:highlight w:val="none"/>
          <w:lang w:val="en-US" w:eastAsia="zh-CN"/>
        </w:rPr>
        <w:t>1、</w:t>
      </w:r>
      <w:r>
        <w:rPr>
          <w:rFonts w:hint="eastAsia" w:ascii="宋体"/>
          <w:color w:val="auto"/>
          <w:szCs w:val="21"/>
          <w:highlight w:val="none"/>
        </w:rPr>
        <w:t>本采购代理机构参照国家发改委发改办价格[2003]857号通知和原国家计委计价格[2002]1980号文件规定的招标代理服务收费标准，按照</w:t>
      </w:r>
      <w:r>
        <w:rPr>
          <w:rFonts w:hint="eastAsia" w:ascii="宋体" w:hAnsi="Times New Roman" w:eastAsia="宋体" w:cs="Times New Roman"/>
          <w:color w:val="auto"/>
          <w:szCs w:val="21"/>
          <w:highlight w:val="none"/>
          <w:lang w:val="en-US" w:eastAsia="zh-CN"/>
        </w:rPr>
        <w:t>成交通知书确定的成交金额，向各标项成交供应商收取招标服务费。</w:t>
      </w:r>
    </w:p>
    <w:p w14:paraId="54EC083F">
      <w:pPr>
        <w:numPr>
          <w:ilvl w:val="0"/>
          <w:numId w:val="0"/>
        </w:num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2、成交供应商应在代理机构发出成交通知书5个工作日内向本代理机构支付代理服务费。</w:t>
      </w:r>
    </w:p>
    <w:p w14:paraId="13CC323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3、代理服务费只收现金、银行票汇款、电汇款。</w:t>
      </w:r>
    </w:p>
    <w:p w14:paraId="50F172FB">
      <w:pPr>
        <w:spacing w:line="360" w:lineRule="auto"/>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十</w:t>
      </w:r>
      <w:r>
        <w:rPr>
          <w:rFonts w:hint="eastAsia" w:ascii="宋体" w:hAnsi="宋体"/>
          <w:b/>
          <w:color w:val="auto"/>
          <w:szCs w:val="21"/>
          <w:highlight w:val="none"/>
          <w:lang w:eastAsia="zh-CN"/>
        </w:rPr>
        <w:t>八</w:t>
      </w:r>
      <w:r>
        <w:rPr>
          <w:rFonts w:hint="eastAsia" w:ascii="宋体" w:hAnsi="宋体"/>
          <w:b/>
          <w:color w:val="auto"/>
          <w:szCs w:val="21"/>
          <w:highlight w:val="none"/>
        </w:rPr>
        <w:t>、特别说明</w:t>
      </w:r>
    </w:p>
    <w:p w14:paraId="2F5852DB">
      <w:pPr>
        <w:spacing w:line="360" w:lineRule="auto"/>
        <w:ind w:firstLine="420" w:firstLineChars="200"/>
        <w:jc w:val="left"/>
        <w:rPr>
          <w:rFonts w:hint="eastAsia" w:ascii="宋体" w:hAnsi="宋体"/>
          <w:color w:val="auto"/>
          <w:szCs w:val="21"/>
          <w:highlight w:val="none"/>
        </w:rPr>
      </w:pPr>
      <w:bookmarkStart w:id="20" w:name="_Toc40625909"/>
      <w:bookmarkStart w:id="21" w:name="_Toc441316546"/>
      <w:bookmarkStart w:id="22" w:name="_Toc419729150"/>
      <w:bookmarkStart w:id="23" w:name="_Toc436408700"/>
      <w:bookmarkStart w:id="24" w:name="_Toc419729158"/>
      <w:r>
        <w:rPr>
          <w:rFonts w:hint="eastAsia" w:ascii="宋体" w:hAnsi="宋体"/>
          <w:color w:val="auto"/>
          <w:szCs w:val="21"/>
          <w:highlight w:val="none"/>
        </w:rPr>
        <w:t>1、执行财政部、工业和信息化部《政府采购促进中小企业发展管理办法》（财库〔2020〕46号）。政府采购活动中有关中小企业的相关规定如下：</w:t>
      </w:r>
    </w:p>
    <w:p w14:paraId="5B4288E8">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1.1中小企业，是指在中华人民共和国境内依法设立，依据国务院批准的中小企业划分标准确定的中型企业、小型企业和微型企业，但与大企业的负责人为同一人，或者与大企业存在直接控股、管理关系的除外。</w:t>
      </w:r>
    </w:p>
    <w:p w14:paraId="282E8C04">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符合中小企业划分标准的个体工商户，在政府采购活动中视同中小企业。</w:t>
      </w:r>
    </w:p>
    <w:p w14:paraId="7DEE9BB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1.2在政府采购活动中，供应商提供的货物、工程或者服务符合下列情形的，享受《政府采购促进中小企业发展管理办法》规定的中小企业扶持政策：</w:t>
      </w:r>
    </w:p>
    <w:p w14:paraId="6B629BE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（1）在货物采购项目中，货物由中小企业制造，即货物由中小企业生产且使用该中小企业商号或者注册商标；</w:t>
      </w:r>
    </w:p>
    <w:p w14:paraId="1EAA9560">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（2）在工程采购项目中，工程由中小企业承建，即工程施工单位为中小企业；</w:t>
      </w:r>
    </w:p>
    <w:p w14:paraId="00EC877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（3）在服务采购项目中，服务由中小企业承接，即提供服务的人员为中小企业依照《中华人民共和国劳动合同法》订立劳动合同的从业人员。</w:t>
      </w:r>
    </w:p>
    <w:p w14:paraId="2BF46B4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在货物采购项目中，供应商提供的货物既有中小企业制造货物，也有大型企业制造货物的，不享受《政府采购促进中小企业发展管理办法》规定的中小企业扶持政策。</w:t>
      </w:r>
    </w:p>
    <w:p w14:paraId="34FC38C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以联合体形式参加政府采购活动，联合体各方均为中小企业的，联合体视同中小企业。其中，联合体各方均为小微企业的，联合体视同小微企业。</w:t>
      </w:r>
    </w:p>
    <w:p w14:paraId="618A3DC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1.3中小企业参加政府采购活动，应当出具《政府采购促进中小企业发展管理办法》规定的《中小企业声明函》（格式见本采购文件附件），否则不得享受相关中小企业扶持政策。</w:t>
      </w:r>
    </w:p>
    <w:p w14:paraId="7B67529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533AF964">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供应商提供声明函内容不实的，属于提供虚假材料谋取中标、成交，依照《中华人民共和国政府采购法》等国家有关规定追究相应责任。</w:t>
      </w:r>
    </w:p>
    <w:p w14:paraId="2576532A">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适用招标投标法的政府采购工程建设项目，供应商提供声明函内容不实的，属于弄虚作假骗取中标，依照《中华人民共和国招标投标法》等国家有关规定追究相应责任。</w:t>
      </w:r>
    </w:p>
    <w:p w14:paraId="03EDDB40">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1.5《中小企业声明函》由参加投标的供应商提交，如供应商为代理商，须自行采集制造商的中小企业划分类型信息填入相应栏目并对其真实性负责。</w:t>
      </w:r>
    </w:p>
    <w:p w14:paraId="511B9FC3">
      <w:pPr>
        <w:spacing w:line="360" w:lineRule="auto"/>
        <w:ind w:firstLine="420" w:firstLineChars="200"/>
        <w:rPr>
          <w:rFonts w:hint="eastAsia" w:ascii="宋体" w:hAnsi="宋体" w:cs="宋体"/>
          <w:color w:val="auto"/>
          <w:highlight w:val="none"/>
        </w:rPr>
      </w:pPr>
      <w:bookmarkStart w:id="25" w:name="_Toc60671167"/>
      <w:bookmarkStart w:id="26" w:name="_Toc60671248"/>
      <w:bookmarkStart w:id="27" w:name="_Toc20584"/>
      <w:r>
        <w:rPr>
          <w:rFonts w:hint="eastAsia" w:ascii="宋体" w:hAnsi="宋体" w:cs="宋体"/>
          <w:color w:val="auto"/>
          <w:highlight w:val="none"/>
        </w:rPr>
        <w:t>2、执行财政部、司法部《关于政府采购支持监狱企业发展有关问题的通知》。监狱企业（监狱和戒毒企业）提供自己企业的产品（服务）参加投标视同小型、微型企业，监狱企业参加政府采购活动时，必须提供由省级以上监狱管理局、戒毒管理局（含新疆生产建设兵团）出具的属于监狱企业的证明文件，未能提供上述证明文件的不予认可。</w:t>
      </w:r>
    </w:p>
    <w:p w14:paraId="2C544DD4">
      <w:pPr>
        <w:spacing w:line="360" w:lineRule="auto"/>
        <w:ind w:firstLine="420" w:firstLineChars="200"/>
        <w:outlineLvl w:val="9"/>
        <w:rPr>
          <w:rFonts w:ascii="宋体" w:hAnsi="宋体"/>
          <w:color w:val="auto"/>
          <w:szCs w:val="21"/>
          <w:highlight w:val="none"/>
        </w:rPr>
      </w:pPr>
      <w:r>
        <w:rPr>
          <w:rFonts w:hint="eastAsia" w:ascii="宋体" w:hAnsi="宋体" w:cs="宋体"/>
          <w:color w:val="auto"/>
          <w:highlight w:val="none"/>
        </w:rPr>
        <w:t>3、执行《三部门联合发布关于促进残疾人就业政府采购政策的通知》，在政府采购活动中，残疾人福利性单位视同小型、微型企业，残疾人福利性单位参加政府采购活动时，应当提供《残疾人福利性单位声明函》（附件），并对声明的真实性负责，未能提供的不予认可</w:t>
      </w:r>
      <w:r>
        <w:rPr>
          <w:rFonts w:hint="eastAsia" w:ascii="宋体" w:hAnsi="宋体"/>
          <w:color w:val="auto"/>
          <w:szCs w:val="21"/>
          <w:highlight w:val="none"/>
        </w:rPr>
        <w:t>。</w:t>
      </w:r>
      <w:bookmarkEnd w:id="25"/>
      <w:bookmarkEnd w:id="26"/>
      <w:bookmarkEnd w:id="27"/>
    </w:p>
    <w:p w14:paraId="10695377">
      <w:pPr>
        <w:spacing w:line="360" w:lineRule="auto"/>
        <w:ind w:firstLine="420" w:firstLineChars="200"/>
        <w:outlineLvl w:val="9"/>
        <w:rPr>
          <w:rFonts w:ascii="宋体" w:hAnsi="宋体"/>
          <w:color w:val="auto"/>
          <w:szCs w:val="21"/>
          <w:highlight w:val="none"/>
        </w:rPr>
      </w:pPr>
      <w:bookmarkStart w:id="28" w:name="_Toc60671249"/>
      <w:bookmarkStart w:id="29" w:name="_Toc21541017"/>
      <w:bookmarkStart w:id="30" w:name="_Toc21511"/>
      <w:bookmarkStart w:id="31" w:name="_Toc60671168"/>
      <w:r>
        <w:rPr>
          <w:rFonts w:ascii="宋体" w:hAnsi="宋体"/>
          <w:color w:val="auto"/>
          <w:szCs w:val="21"/>
          <w:highlight w:val="none"/>
        </w:rPr>
        <w:t>4</w:t>
      </w:r>
      <w:r>
        <w:rPr>
          <w:rFonts w:hint="eastAsia" w:ascii="宋体" w:hAnsi="宋体"/>
          <w:color w:val="auto"/>
          <w:szCs w:val="21"/>
          <w:highlight w:val="none"/>
        </w:rPr>
        <w:t>、本项目不组织潜在供应商现场考察或者召开开标前答疑。</w:t>
      </w:r>
      <w:bookmarkEnd w:id="28"/>
      <w:bookmarkEnd w:id="29"/>
      <w:bookmarkEnd w:id="30"/>
      <w:bookmarkEnd w:id="31"/>
    </w:p>
    <w:bookmarkEnd w:id="20"/>
    <w:bookmarkEnd w:id="21"/>
    <w:bookmarkEnd w:id="22"/>
    <w:bookmarkEnd w:id="23"/>
    <w:p w14:paraId="577ACDC1">
      <w:pPr>
        <w:adjustRightInd w:val="0"/>
        <w:spacing w:line="360" w:lineRule="auto"/>
        <w:ind w:firstLine="420" w:firstLineChars="200"/>
        <w:jc w:val="left"/>
        <w:rPr>
          <w:rFonts w:hint="eastAsia" w:ascii="宋体" w:hAnsi="宋体"/>
          <w:bCs/>
          <w:color w:val="auto"/>
          <w:szCs w:val="21"/>
          <w:highlight w:val="none"/>
        </w:rPr>
      </w:pPr>
      <w:bookmarkStart w:id="32" w:name="_Toc441316554"/>
      <w:bookmarkStart w:id="33" w:name="_Toc436408708"/>
      <w:r>
        <w:rPr>
          <w:rFonts w:hint="eastAsia" w:ascii="宋体" w:hAnsi="宋体"/>
          <w:color w:val="auto"/>
          <w:szCs w:val="21"/>
          <w:highlight w:val="none"/>
        </w:rPr>
        <w:t>5、本</w:t>
      </w:r>
      <w:r>
        <w:rPr>
          <w:rFonts w:hint="eastAsia" w:ascii="宋体" w:hAnsi="宋体" w:cs="宋体"/>
          <w:color w:val="auto"/>
          <w:highlight w:val="none"/>
        </w:rPr>
        <w:t>竞争性磋商文件</w:t>
      </w:r>
      <w:r>
        <w:rPr>
          <w:rFonts w:hint="eastAsia" w:ascii="宋体" w:hAnsi="宋体"/>
          <w:color w:val="auto"/>
          <w:szCs w:val="21"/>
          <w:highlight w:val="none"/>
        </w:rPr>
        <w:t>未及事项，在签订合同时供需双方友好商定。</w:t>
      </w:r>
      <w:bookmarkEnd w:id="32"/>
      <w:bookmarkEnd w:id="33"/>
    </w:p>
    <w:p w14:paraId="05ADE16D">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6、</w:t>
      </w:r>
      <w:bookmarkEnd w:id="24"/>
      <w:bookmarkStart w:id="34" w:name="_Toc419729159"/>
      <w:r>
        <w:rPr>
          <w:rFonts w:hint="eastAsia" w:ascii="宋体" w:hAnsi="宋体"/>
          <w:bCs/>
          <w:color w:val="auto"/>
          <w:szCs w:val="21"/>
          <w:highlight w:val="none"/>
        </w:rPr>
        <w:t>本</w:t>
      </w:r>
      <w:r>
        <w:rPr>
          <w:rFonts w:hint="eastAsia" w:ascii="宋体" w:hAnsi="宋体" w:cs="宋体"/>
          <w:color w:val="auto"/>
          <w:highlight w:val="none"/>
        </w:rPr>
        <w:t>竞争性磋商文件</w:t>
      </w:r>
      <w:r>
        <w:rPr>
          <w:rFonts w:hint="eastAsia" w:ascii="宋体" w:hAnsi="宋体"/>
          <w:bCs/>
          <w:color w:val="auto"/>
          <w:szCs w:val="21"/>
          <w:highlight w:val="none"/>
        </w:rPr>
        <w:t>解释权归采购人。</w:t>
      </w:r>
      <w:bookmarkEnd w:id="34"/>
    </w:p>
    <w:p w14:paraId="02A14AF4">
      <w:pPr>
        <w:kinsoku/>
        <w:wordWrap/>
        <w:overflowPunct/>
        <w:topLinePunct w:val="0"/>
        <w:bidi w:val="0"/>
        <w:spacing w:line="360" w:lineRule="auto"/>
        <w:jc w:val="center"/>
        <w:outlineLvl w:val="0"/>
        <w:rPr>
          <w:rFonts w:hint="eastAsia" w:ascii="宋体" w:hAnsi="宋体" w:cs="宋体"/>
          <w:b/>
          <w:color w:val="auto"/>
          <w:sz w:val="36"/>
          <w:szCs w:val="36"/>
          <w:highlight w:val="none"/>
        </w:rPr>
      </w:pPr>
    </w:p>
    <w:p w14:paraId="0543A768">
      <w:pPr>
        <w:kinsoku/>
        <w:wordWrap/>
        <w:overflowPunct/>
        <w:topLinePunct w:val="0"/>
        <w:bidi w:val="0"/>
        <w:spacing w:line="360" w:lineRule="auto"/>
        <w:jc w:val="center"/>
        <w:outlineLvl w:val="0"/>
        <w:rPr>
          <w:rFonts w:hint="eastAsia" w:ascii="宋体" w:hAnsi="宋体" w:cs="宋体"/>
          <w:b/>
          <w:color w:val="auto"/>
          <w:sz w:val="36"/>
          <w:szCs w:val="36"/>
          <w:highlight w:val="none"/>
        </w:rPr>
      </w:pPr>
    </w:p>
    <w:p w14:paraId="3BB23B24">
      <w:pPr>
        <w:kinsoku/>
        <w:wordWrap/>
        <w:overflowPunct/>
        <w:topLinePunct w:val="0"/>
        <w:bidi w:val="0"/>
        <w:spacing w:line="360" w:lineRule="auto"/>
        <w:jc w:val="center"/>
        <w:outlineLvl w:val="0"/>
        <w:rPr>
          <w:rFonts w:hint="eastAsia" w:ascii="宋体" w:hAnsi="宋体" w:cs="宋体"/>
          <w:b/>
          <w:color w:val="auto"/>
          <w:sz w:val="36"/>
          <w:szCs w:val="36"/>
          <w:highlight w:val="none"/>
        </w:rPr>
      </w:pPr>
    </w:p>
    <w:p w14:paraId="1FC6E065">
      <w:pPr>
        <w:kinsoku/>
        <w:wordWrap/>
        <w:overflowPunct/>
        <w:topLinePunct w:val="0"/>
        <w:bidi w:val="0"/>
        <w:spacing w:line="360" w:lineRule="auto"/>
        <w:jc w:val="both"/>
        <w:outlineLvl w:val="0"/>
        <w:rPr>
          <w:rFonts w:hint="eastAsia" w:ascii="宋体" w:hAnsi="宋体" w:cs="宋体"/>
          <w:b/>
          <w:color w:val="auto"/>
          <w:sz w:val="36"/>
          <w:szCs w:val="36"/>
          <w:highlight w:val="none"/>
        </w:rPr>
      </w:pPr>
    </w:p>
    <w:p w14:paraId="189661E8">
      <w:pPr>
        <w:kinsoku/>
        <w:wordWrap/>
        <w:overflowPunct/>
        <w:topLinePunct w:val="0"/>
        <w:bidi w:val="0"/>
        <w:spacing w:line="360" w:lineRule="auto"/>
        <w:jc w:val="both"/>
        <w:outlineLvl w:val="0"/>
        <w:rPr>
          <w:rFonts w:hint="eastAsia" w:ascii="宋体" w:hAnsi="宋体" w:cs="宋体"/>
          <w:b/>
          <w:color w:val="auto"/>
          <w:sz w:val="36"/>
          <w:szCs w:val="36"/>
          <w:highlight w:val="none"/>
        </w:rPr>
      </w:pPr>
    </w:p>
    <w:p w14:paraId="10198474">
      <w:pPr>
        <w:kinsoku/>
        <w:wordWrap/>
        <w:overflowPunct/>
        <w:topLinePunct w:val="0"/>
        <w:bidi w:val="0"/>
        <w:spacing w:line="360" w:lineRule="auto"/>
        <w:jc w:val="both"/>
        <w:outlineLvl w:val="0"/>
        <w:rPr>
          <w:rFonts w:hint="eastAsia" w:ascii="宋体" w:hAnsi="宋体" w:cs="宋体"/>
          <w:b/>
          <w:color w:val="auto"/>
          <w:sz w:val="36"/>
          <w:szCs w:val="36"/>
          <w:highlight w:val="none"/>
        </w:rPr>
      </w:pPr>
    </w:p>
    <w:p w14:paraId="34392B3D">
      <w:pPr>
        <w:kinsoku/>
        <w:wordWrap/>
        <w:overflowPunct/>
        <w:topLinePunct w:val="0"/>
        <w:bidi w:val="0"/>
        <w:spacing w:line="360" w:lineRule="auto"/>
        <w:jc w:val="both"/>
        <w:outlineLvl w:val="0"/>
        <w:rPr>
          <w:rFonts w:hint="eastAsia" w:ascii="宋体" w:hAnsi="宋体" w:cs="宋体"/>
          <w:b/>
          <w:color w:val="auto"/>
          <w:sz w:val="36"/>
          <w:szCs w:val="36"/>
          <w:highlight w:val="none"/>
        </w:rPr>
      </w:pPr>
    </w:p>
    <w:p w14:paraId="4F925F24">
      <w:pPr>
        <w:kinsoku/>
        <w:wordWrap/>
        <w:overflowPunct/>
        <w:topLinePunct w:val="0"/>
        <w:bidi w:val="0"/>
        <w:spacing w:line="360" w:lineRule="auto"/>
        <w:jc w:val="both"/>
        <w:outlineLvl w:val="0"/>
        <w:rPr>
          <w:rFonts w:hint="eastAsia" w:ascii="宋体" w:hAnsi="宋体" w:cs="宋体"/>
          <w:b/>
          <w:color w:val="auto"/>
          <w:sz w:val="36"/>
          <w:szCs w:val="36"/>
          <w:highlight w:val="none"/>
        </w:rPr>
      </w:pPr>
    </w:p>
    <w:p w14:paraId="7EEC96E1">
      <w:pPr>
        <w:kinsoku/>
        <w:wordWrap/>
        <w:overflowPunct/>
        <w:topLinePunct w:val="0"/>
        <w:bidi w:val="0"/>
        <w:spacing w:line="360" w:lineRule="auto"/>
        <w:jc w:val="both"/>
        <w:outlineLvl w:val="0"/>
        <w:rPr>
          <w:rFonts w:hint="eastAsia" w:ascii="宋体" w:hAnsi="宋体" w:cs="宋体"/>
          <w:b/>
          <w:color w:val="auto"/>
          <w:sz w:val="36"/>
          <w:szCs w:val="36"/>
          <w:highlight w:val="none"/>
        </w:rPr>
      </w:pPr>
    </w:p>
    <w:p w14:paraId="0F9DCE6B">
      <w:pPr>
        <w:kinsoku/>
        <w:wordWrap/>
        <w:overflowPunct/>
        <w:topLinePunct w:val="0"/>
        <w:bidi w:val="0"/>
        <w:spacing w:line="360" w:lineRule="auto"/>
        <w:jc w:val="both"/>
        <w:outlineLvl w:val="0"/>
        <w:rPr>
          <w:rFonts w:hint="eastAsia" w:ascii="宋体" w:hAnsi="宋体" w:cs="宋体"/>
          <w:b/>
          <w:color w:val="auto"/>
          <w:sz w:val="36"/>
          <w:szCs w:val="36"/>
          <w:highlight w:val="none"/>
        </w:rPr>
      </w:pPr>
    </w:p>
    <w:p w14:paraId="4FAA227B">
      <w:pPr>
        <w:kinsoku/>
        <w:wordWrap/>
        <w:overflowPunct/>
        <w:topLinePunct w:val="0"/>
        <w:bidi w:val="0"/>
        <w:spacing w:line="360" w:lineRule="auto"/>
        <w:jc w:val="both"/>
        <w:outlineLvl w:val="0"/>
        <w:rPr>
          <w:rFonts w:hint="eastAsia" w:ascii="宋体" w:hAnsi="宋体" w:cs="宋体"/>
          <w:b/>
          <w:color w:val="auto"/>
          <w:sz w:val="36"/>
          <w:szCs w:val="36"/>
          <w:highlight w:val="none"/>
        </w:rPr>
      </w:pPr>
    </w:p>
    <w:p w14:paraId="5E533C47">
      <w:pPr>
        <w:kinsoku/>
        <w:wordWrap/>
        <w:overflowPunct/>
        <w:topLinePunct w:val="0"/>
        <w:bidi w:val="0"/>
        <w:spacing w:line="360" w:lineRule="auto"/>
        <w:jc w:val="both"/>
        <w:outlineLvl w:val="0"/>
        <w:rPr>
          <w:rFonts w:hint="eastAsia" w:ascii="宋体" w:hAnsi="宋体" w:cs="宋体"/>
          <w:b/>
          <w:color w:val="auto"/>
          <w:sz w:val="36"/>
          <w:szCs w:val="36"/>
          <w:highlight w:val="none"/>
        </w:rPr>
      </w:pPr>
    </w:p>
    <w:p w14:paraId="4357204A">
      <w:pPr>
        <w:kinsoku/>
        <w:wordWrap/>
        <w:overflowPunct/>
        <w:topLinePunct w:val="0"/>
        <w:bidi w:val="0"/>
        <w:spacing w:line="360" w:lineRule="auto"/>
        <w:jc w:val="both"/>
        <w:outlineLvl w:val="0"/>
        <w:rPr>
          <w:rFonts w:hint="eastAsia" w:ascii="宋体" w:hAnsi="宋体" w:cs="宋体"/>
          <w:b/>
          <w:color w:val="auto"/>
          <w:sz w:val="36"/>
          <w:szCs w:val="36"/>
          <w:highlight w:val="none"/>
        </w:rPr>
      </w:pPr>
    </w:p>
    <w:p w14:paraId="4969698B">
      <w:pPr>
        <w:kinsoku/>
        <w:wordWrap/>
        <w:overflowPunct/>
        <w:topLinePunct w:val="0"/>
        <w:bidi w:val="0"/>
        <w:spacing w:line="360" w:lineRule="auto"/>
        <w:jc w:val="both"/>
        <w:outlineLvl w:val="0"/>
        <w:rPr>
          <w:rFonts w:hint="eastAsia" w:ascii="宋体" w:hAnsi="宋体" w:cs="宋体"/>
          <w:b/>
          <w:color w:val="auto"/>
          <w:sz w:val="36"/>
          <w:szCs w:val="36"/>
          <w:highlight w:val="none"/>
        </w:rPr>
      </w:pPr>
    </w:p>
    <w:p w14:paraId="6FD76726">
      <w:pPr>
        <w:kinsoku/>
        <w:wordWrap/>
        <w:overflowPunct/>
        <w:topLinePunct w:val="0"/>
        <w:bidi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第三部分   采购需求</w:t>
      </w:r>
      <w:bookmarkEnd w:id="16"/>
    </w:p>
    <w:p w14:paraId="23EC7DED">
      <w:pPr>
        <w:keepNext w:val="0"/>
        <w:keepLines w:val="0"/>
        <w:pageBreakBefore w:val="0"/>
        <w:widowControl/>
        <w:kinsoku/>
        <w:wordWrap/>
        <w:overflowPunct/>
        <w:topLinePunct w:val="0"/>
        <w:autoSpaceDE/>
        <w:autoSpaceDN/>
        <w:bidi w:val="0"/>
        <w:adjustRightInd/>
        <w:snapToGrid/>
        <w:spacing w:line="360" w:lineRule="auto"/>
        <w:ind w:firstLine="422" w:firstLineChars="200"/>
        <w:jc w:val="both"/>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一、基本情况</w:t>
      </w:r>
    </w:p>
    <w:p w14:paraId="328DF2A8">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宁海县桃源街道回浦小学教学楼中庭窗户等维修工程由宁海县桃源街道回浦小学负责建设，建设地点位于宁海县桃源街道回浦小学内。本工程主要建设内容为校内1#、2#、3#教学楼二至四层开放式中庭原有不锈钢栏杆拆除后安装隔音窗，窗户采用三玻两腔中空玻璃（6+12A+6+12A+6），护窗不锈钢栏杆安装，部分防火门更换。</w:t>
      </w:r>
    </w:p>
    <w:p w14:paraId="5E5B7395">
      <w:pPr>
        <w:tabs>
          <w:tab w:val="left" w:pos="840"/>
        </w:tabs>
        <w:rPr>
          <w:rFonts w:hint="eastAsia" w:ascii="宋体" w:hAnsi="宋体" w:cs="宋体"/>
          <w:kern w:val="0"/>
          <w:sz w:val="21"/>
          <w:szCs w:val="21"/>
        </w:rPr>
      </w:pPr>
      <w:r>
        <w:rPr>
          <w:rFonts w:hint="eastAsia" w:ascii="宋体" w:hAnsi="宋体" w:cs="宋体"/>
          <w:kern w:val="1"/>
          <w:sz w:val="24"/>
        </w:rPr>
        <w:t xml:space="preserve"> </w:t>
      </w:r>
      <w:r>
        <w:rPr>
          <w:rFonts w:hint="eastAsia" w:ascii="宋体" w:hAnsi="宋体" w:cs="宋体"/>
          <w:kern w:val="1"/>
          <w:sz w:val="24"/>
          <w:lang w:val="en-US" w:eastAsia="zh-CN"/>
        </w:rPr>
        <w:t xml:space="preserve">  </w:t>
      </w:r>
      <w:r>
        <w:rPr>
          <w:rFonts w:hint="eastAsia" w:ascii="宋体" w:hAnsi="宋体" w:cs="宋体"/>
          <w:b/>
          <w:bCs/>
          <w:kern w:val="1"/>
          <w:sz w:val="21"/>
          <w:szCs w:val="21"/>
        </w:rPr>
        <w:t>二、编制依据</w:t>
      </w:r>
    </w:p>
    <w:p w14:paraId="4C718B71">
      <w:pPr>
        <w:spacing w:line="360" w:lineRule="auto"/>
        <w:ind w:firstLine="420"/>
        <w:rPr>
          <w:rFonts w:hint="eastAsia" w:ascii="宋体" w:hAnsi="宋体" w:cs="宋体"/>
          <w:sz w:val="21"/>
          <w:szCs w:val="21"/>
        </w:rPr>
      </w:pPr>
      <w:r>
        <w:rPr>
          <w:rFonts w:hint="eastAsia" w:ascii="宋体" w:hAnsi="宋体" w:cs="宋体"/>
          <w:sz w:val="21"/>
          <w:szCs w:val="21"/>
        </w:rPr>
        <w:t>1.设计图纸；</w:t>
      </w:r>
    </w:p>
    <w:p w14:paraId="75210A8D">
      <w:pPr>
        <w:spacing w:line="360" w:lineRule="auto"/>
        <w:ind w:firstLine="420"/>
        <w:rPr>
          <w:rFonts w:hint="eastAsia" w:ascii="宋体" w:hAnsi="宋体"/>
          <w:sz w:val="21"/>
          <w:szCs w:val="21"/>
        </w:rPr>
      </w:pPr>
      <w:r>
        <w:rPr>
          <w:rFonts w:hint="eastAsia" w:ascii="宋体" w:hAnsi="宋体" w:cs="宋体"/>
          <w:sz w:val="21"/>
          <w:szCs w:val="21"/>
        </w:rPr>
        <w:t>2.</w:t>
      </w:r>
      <w:r>
        <w:rPr>
          <w:rFonts w:ascii="宋体" w:hAnsi="宋体"/>
          <w:sz w:val="21"/>
          <w:szCs w:val="21"/>
        </w:rPr>
        <w:t>《浙江省</w:t>
      </w:r>
      <w:r>
        <w:rPr>
          <w:rFonts w:hint="eastAsia" w:ascii="宋体" w:hAnsi="宋体"/>
          <w:sz w:val="21"/>
          <w:szCs w:val="21"/>
        </w:rPr>
        <w:t>房屋建筑与装饰</w:t>
      </w:r>
      <w:r>
        <w:rPr>
          <w:rFonts w:ascii="宋体" w:hAnsi="宋体"/>
          <w:sz w:val="21"/>
          <w:szCs w:val="21"/>
        </w:rPr>
        <w:t>工程预算定额》</w:t>
      </w:r>
      <w:r>
        <w:rPr>
          <w:rFonts w:hint="eastAsia" w:ascii="宋体" w:hAnsi="宋体"/>
          <w:sz w:val="21"/>
          <w:szCs w:val="21"/>
        </w:rPr>
        <w:t>(</w:t>
      </w:r>
      <w:r>
        <w:rPr>
          <w:rFonts w:ascii="宋体" w:hAnsi="宋体"/>
          <w:sz w:val="21"/>
          <w:szCs w:val="21"/>
        </w:rPr>
        <w:t>201</w:t>
      </w:r>
      <w:r>
        <w:rPr>
          <w:rFonts w:hint="eastAsia" w:ascii="宋体" w:hAnsi="宋体"/>
          <w:sz w:val="21"/>
          <w:szCs w:val="21"/>
        </w:rPr>
        <w:t>8</w:t>
      </w:r>
      <w:r>
        <w:rPr>
          <w:rFonts w:ascii="宋体" w:hAnsi="宋体"/>
          <w:sz w:val="21"/>
          <w:szCs w:val="21"/>
        </w:rPr>
        <w:t>版</w:t>
      </w:r>
      <w:r>
        <w:rPr>
          <w:rFonts w:hint="eastAsia" w:ascii="宋体" w:hAnsi="宋体"/>
          <w:sz w:val="21"/>
          <w:szCs w:val="21"/>
        </w:rPr>
        <w:t>)</w:t>
      </w:r>
      <w:r>
        <w:rPr>
          <w:rFonts w:ascii="宋体" w:hAnsi="宋体"/>
          <w:sz w:val="21"/>
          <w:szCs w:val="21"/>
        </w:rPr>
        <w:t>、《浙江省</w:t>
      </w:r>
      <w:r>
        <w:rPr>
          <w:rFonts w:hint="eastAsia" w:ascii="宋体" w:hAnsi="宋体"/>
          <w:sz w:val="21"/>
          <w:szCs w:val="21"/>
        </w:rPr>
        <w:t>通用安装</w:t>
      </w:r>
      <w:r>
        <w:rPr>
          <w:rFonts w:ascii="宋体" w:hAnsi="宋体"/>
          <w:sz w:val="21"/>
          <w:szCs w:val="21"/>
        </w:rPr>
        <w:t>工程预算定额》</w:t>
      </w:r>
      <w:r>
        <w:rPr>
          <w:rFonts w:hint="eastAsia" w:ascii="宋体" w:hAnsi="宋体"/>
          <w:sz w:val="21"/>
          <w:szCs w:val="21"/>
        </w:rPr>
        <w:t>(</w:t>
      </w:r>
      <w:r>
        <w:rPr>
          <w:rFonts w:ascii="宋体" w:hAnsi="宋体"/>
          <w:sz w:val="21"/>
          <w:szCs w:val="21"/>
        </w:rPr>
        <w:t>201</w:t>
      </w:r>
      <w:r>
        <w:rPr>
          <w:rFonts w:hint="eastAsia" w:ascii="宋体" w:hAnsi="宋体"/>
          <w:sz w:val="21"/>
          <w:szCs w:val="21"/>
        </w:rPr>
        <w:t>8</w:t>
      </w:r>
      <w:r>
        <w:rPr>
          <w:rFonts w:ascii="宋体" w:hAnsi="宋体"/>
          <w:sz w:val="21"/>
          <w:szCs w:val="21"/>
        </w:rPr>
        <w:t>版</w:t>
      </w:r>
      <w:r>
        <w:rPr>
          <w:rFonts w:hint="eastAsia" w:ascii="宋体" w:hAnsi="宋体"/>
          <w:sz w:val="21"/>
          <w:szCs w:val="21"/>
        </w:rPr>
        <w:t>)</w:t>
      </w:r>
      <w:r>
        <w:rPr>
          <w:rFonts w:ascii="宋体" w:hAnsi="宋体"/>
          <w:sz w:val="21"/>
          <w:szCs w:val="21"/>
        </w:rPr>
        <w:t>、《浙江省</w:t>
      </w:r>
      <w:r>
        <w:rPr>
          <w:rFonts w:hint="eastAsia" w:ascii="宋体" w:hAnsi="宋体"/>
          <w:sz w:val="21"/>
          <w:szCs w:val="21"/>
          <w:lang w:eastAsia="zh-CN"/>
        </w:rPr>
        <w:t>市政</w:t>
      </w:r>
      <w:r>
        <w:rPr>
          <w:rFonts w:ascii="宋体" w:hAnsi="宋体"/>
          <w:sz w:val="21"/>
          <w:szCs w:val="21"/>
        </w:rPr>
        <w:t>工程预算定额》</w:t>
      </w:r>
      <w:r>
        <w:rPr>
          <w:rFonts w:hint="eastAsia" w:ascii="宋体" w:hAnsi="宋体"/>
          <w:sz w:val="21"/>
          <w:szCs w:val="21"/>
        </w:rPr>
        <w:t>(</w:t>
      </w:r>
      <w:r>
        <w:rPr>
          <w:rFonts w:ascii="宋体" w:hAnsi="宋体"/>
          <w:sz w:val="21"/>
          <w:szCs w:val="21"/>
        </w:rPr>
        <w:t>201</w:t>
      </w:r>
      <w:r>
        <w:rPr>
          <w:rFonts w:hint="eastAsia" w:ascii="宋体" w:hAnsi="宋体"/>
          <w:sz w:val="21"/>
          <w:szCs w:val="21"/>
        </w:rPr>
        <w:t>8</w:t>
      </w:r>
      <w:r>
        <w:rPr>
          <w:rFonts w:ascii="宋体" w:hAnsi="宋体"/>
          <w:sz w:val="21"/>
          <w:szCs w:val="21"/>
        </w:rPr>
        <w:t>版</w:t>
      </w:r>
      <w:r>
        <w:rPr>
          <w:rFonts w:hint="eastAsia" w:ascii="宋体" w:hAnsi="宋体"/>
          <w:sz w:val="21"/>
          <w:szCs w:val="21"/>
        </w:rPr>
        <w:t>)</w:t>
      </w:r>
      <w:r>
        <w:rPr>
          <w:rFonts w:hint="eastAsia" w:ascii="宋体" w:hAnsi="宋体"/>
          <w:sz w:val="21"/>
          <w:szCs w:val="21"/>
          <w:lang w:eastAsia="zh-CN"/>
        </w:rPr>
        <w:t>、</w:t>
      </w:r>
      <w:r>
        <w:rPr>
          <w:rFonts w:ascii="宋体" w:hAnsi="宋体"/>
          <w:sz w:val="21"/>
          <w:szCs w:val="21"/>
        </w:rPr>
        <w:t>《</w:t>
      </w:r>
      <w:r>
        <w:rPr>
          <w:rFonts w:hint="eastAsia" w:ascii="宋体" w:hAnsi="宋体"/>
          <w:sz w:val="21"/>
          <w:szCs w:val="21"/>
        </w:rPr>
        <w:t>浙江省园林绿化及仿古建筑</w:t>
      </w:r>
      <w:r>
        <w:rPr>
          <w:rFonts w:ascii="宋体" w:hAnsi="宋体"/>
          <w:sz w:val="21"/>
          <w:szCs w:val="21"/>
        </w:rPr>
        <w:t>工程预算定额》</w:t>
      </w:r>
      <w:r>
        <w:rPr>
          <w:rFonts w:hint="eastAsia" w:ascii="宋体" w:hAnsi="宋体"/>
          <w:sz w:val="21"/>
          <w:szCs w:val="21"/>
        </w:rPr>
        <w:t>(</w:t>
      </w:r>
      <w:r>
        <w:rPr>
          <w:rFonts w:ascii="宋体" w:hAnsi="宋体"/>
          <w:sz w:val="21"/>
          <w:szCs w:val="21"/>
        </w:rPr>
        <w:t>201</w:t>
      </w:r>
      <w:r>
        <w:rPr>
          <w:rFonts w:hint="eastAsia" w:ascii="宋体" w:hAnsi="宋体"/>
          <w:sz w:val="21"/>
          <w:szCs w:val="21"/>
        </w:rPr>
        <w:t>8</w:t>
      </w:r>
      <w:r>
        <w:rPr>
          <w:rFonts w:ascii="宋体" w:hAnsi="宋体"/>
          <w:sz w:val="21"/>
          <w:szCs w:val="21"/>
        </w:rPr>
        <w:t>版</w:t>
      </w:r>
      <w:r>
        <w:rPr>
          <w:rFonts w:hint="eastAsia" w:ascii="宋体" w:hAnsi="宋体"/>
          <w:sz w:val="21"/>
          <w:szCs w:val="21"/>
        </w:rPr>
        <w:t>)</w:t>
      </w:r>
      <w:r>
        <w:rPr>
          <w:rFonts w:ascii="宋体" w:hAnsi="宋体"/>
          <w:sz w:val="21"/>
          <w:szCs w:val="21"/>
        </w:rPr>
        <w:t>、《浙江省</w:t>
      </w:r>
      <w:r>
        <w:rPr>
          <w:rFonts w:hint="eastAsia" w:ascii="宋体" w:hAnsi="宋体"/>
          <w:sz w:val="21"/>
          <w:szCs w:val="21"/>
        </w:rPr>
        <w:t>施工机械台班费用定额</w:t>
      </w:r>
      <w:r>
        <w:rPr>
          <w:rFonts w:ascii="宋体" w:hAnsi="宋体"/>
          <w:sz w:val="21"/>
          <w:szCs w:val="21"/>
        </w:rPr>
        <w:t>》</w:t>
      </w:r>
      <w:r>
        <w:rPr>
          <w:rFonts w:hint="eastAsia" w:ascii="宋体" w:hAnsi="宋体"/>
          <w:sz w:val="21"/>
          <w:szCs w:val="21"/>
        </w:rPr>
        <w:t>(</w:t>
      </w:r>
      <w:r>
        <w:rPr>
          <w:rFonts w:ascii="宋体" w:hAnsi="宋体"/>
          <w:sz w:val="21"/>
          <w:szCs w:val="21"/>
        </w:rPr>
        <w:t>201</w:t>
      </w:r>
      <w:r>
        <w:rPr>
          <w:rFonts w:hint="eastAsia" w:ascii="宋体" w:hAnsi="宋体"/>
          <w:sz w:val="21"/>
          <w:szCs w:val="21"/>
        </w:rPr>
        <w:t>8</w:t>
      </w:r>
      <w:r>
        <w:rPr>
          <w:rFonts w:ascii="宋体" w:hAnsi="宋体"/>
          <w:sz w:val="21"/>
          <w:szCs w:val="21"/>
        </w:rPr>
        <w:t>版</w:t>
      </w:r>
      <w:r>
        <w:rPr>
          <w:rFonts w:hint="eastAsia" w:ascii="宋体" w:hAnsi="宋体"/>
          <w:sz w:val="21"/>
          <w:szCs w:val="21"/>
        </w:rPr>
        <w:t>)及省市建设和造价管理机构颁发的有关文件和图集等。</w:t>
      </w:r>
    </w:p>
    <w:p w14:paraId="5E8EF99C">
      <w:pPr>
        <w:spacing w:line="360" w:lineRule="auto"/>
        <w:ind w:firstLine="420"/>
        <w:rPr>
          <w:rFonts w:hint="eastAsia" w:ascii="宋体" w:hAnsi="宋体" w:cs="宋体"/>
          <w:sz w:val="21"/>
          <w:szCs w:val="21"/>
        </w:rPr>
      </w:pPr>
      <w:r>
        <w:rPr>
          <w:rFonts w:hint="eastAsia" w:ascii="宋体" w:hAnsi="宋体" w:cs="宋体"/>
          <w:sz w:val="21"/>
          <w:szCs w:val="21"/>
        </w:rPr>
        <w:t>3.相关文件：《转发省住建厅、省发改委、省财政厅关于颁发浙江省建设工程计价依据(2018版)的通知》(甬发改投资 [2018]601号)、宁波市造价处转发《关于发布浙江省房屋建筑人工综合价格指数的通知》（甬建价[2018]83号）、宁波市物价局、宁波市城管局《关于公布宁波市中心城区建筑渣土处理费市场信息参考价的通知》（甬建价[2018]60号）、宁波市造价处《关于明确宁波市中心城区建筑渣土处置费作为非竞争性费用列入工程造价等有关计价问题的通知》（甬建价[2019]1号）。</w:t>
      </w:r>
    </w:p>
    <w:p w14:paraId="29BCA350">
      <w:pPr>
        <w:tabs>
          <w:tab w:val="left" w:pos="1080"/>
          <w:tab w:val="left" w:pos="9180"/>
          <w:tab w:val="left" w:pos="9360"/>
        </w:tabs>
        <w:spacing w:line="360" w:lineRule="auto"/>
        <w:ind w:firstLine="422" w:firstLineChars="200"/>
        <w:outlineLvl w:val="0"/>
        <w:rPr>
          <w:rFonts w:hint="eastAsia" w:ascii="宋体" w:hAnsi="宋体"/>
          <w:b/>
          <w:sz w:val="21"/>
          <w:szCs w:val="21"/>
        </w:rPr>
      </w:pPr>
      <w:r>
        <w:rPr>
          <w:rFonts w:hint="eastAsia" w:ascii="宋体" w:hAnsi="宋体"/>
          <w:b/>
          <w:kern w:val="28"/>
          <w:sz w:val="21"/>
          <w:szCs w:val="21"/>
        </w:rPr>
        <w:t>三、编制原则及办法</w:t>
      </w:r>
    </w:p>
    <w:p w14:paraId="0DAC4DFF">
      <w:pPr>
        <w:numPr>
          <w:ilvl w:val="0"/>
          <w:numId w:val="6"/>
        </w:numPr>
        <w:tabs>
          <w:tab w:val="left" w:pos="720"/>
          <w:tab w:val="left" w:pos="900"/>
          <w:tab w:val="left" w:pos="9180"/>
          <w:tab w:val="left" w:pos="9360"/>
          <w:tab w:val="clear" w:pos="1290"/>
        </w:tabs>
        <w:spacing w:line="360" w:lineRule="auto"/>
        <w:ind w:left="0" w:right="25" w:rightChars="12" w:firstLine="480"/>
        <w:rPr>
          <w:rFonts w:hint="eastAsia" w:ascii="宋体" w:hAnsi="宋体"/>
          <w:sz w:val="21"/>
          <w:szCs w:val="21"/>
        </w:rPr>
      </w:pPr>
      <w:r>
        <w:rPr>
          <w:rFonts w:hint="eastAsia" w:ascii="宋体" w:hAnsi="宋体"/>
          <w:sz w:val="21"/>
          <w:szCs w:val="21"/>
        </w:rPr>
        <w:t>编制方法：采用综合单价法编制。计税方法：增值税一般计税法。</w:t>
      </w:r>
    </w:p>
    <w:p w14:paraId="3965208F">
      <w:pPr>
        <w:numPr>
          <w:ilvl w:val="0"/>
          <w:numId w:val="6"/>
        </w:numPr>
        <w:tabs>
          <w:tab w:val="left" w:pos="720"/>
          <w:tab w:val="left" w:pos="900"/>
          <w:tab w:val="left" w:pos="9180"/>
          <w:tab w:val="left" w:pos="9360"/>
          <w:tab w:val="clear" w:pos="1290"/>
        </w:tabs>
        <w:spacing w:line="360" w:lineRule="auto"/>
        <w:ind w:left="0" w:right="25" w:rightChars="12" w:firstLine="480"/>
        <w:rPr>
          <w:rFonts w:hint="eastAsia" w:ascii="宋体" w:hAnsi="宋体"/>
          <w:sz w:val="21"/>
          <w:szCs w:val="21"/>
        </w:rPr>
      </w:pPr>
      <w:r>
        <w:rPr>
          <w:rFonts w:hint="eastAsia" w:ascii="宋体" w:hAnsi="宋体"/>
          <w:sz w:val="21"/>
          <w:szCs w:val="21"/>
        </w:rPr>
        <w:t>《宁波建设工程造价信息》（综合版)202</w:t>
      </w:r>
      <w:r>
        <w:rPr>
          <w:rFonts w:hint="eastAsia" w:ascii="宋体" w:hAnsi="宋体"/>
          <w:sz w:val="21"/>
          <w:szCs w:val="21"/>
          <w:lang w:val="en-US" w:eastAsia="zh-CN"/>
        </w:rPr>
        <w:t>5</w:t>
      </w:r>
      <w:r>
        <w:rPr>
          <w:rFonts w:hint="eastAsia" w:ascii="宋体" w:hAnsi="宋体"/>
          <w:sz w:val="21"/>
          <w:szCs w:val="21"/>
        </w:rPr>
        <w:t>年</w:t>
      </w:r>
      <w:r>
        <w:rPr>
          <w:rFonts w:hint="eastAsia" w:ascii="宋体" w:hAnsi="宋体"/>
          <w:sz w:val="21"/>
          <w:szCs w:val="21"/>
          <w:lang w:val="en-US" w:eastAsia="zh-CN"/>
        </w:rPr>
        <w:t>04</w:t>
      </w:r>
      <w:r>
        <w:rPr>
          <w:rFonts w:hint="eastAsia" w:ascii="宋体" w:hAnsi="宋体"/>
          <w:sz w:val="21"/>
          <w:szCs w:val="21"/>
        </w:rPr>
        <w:t>月刊、《浙江造价信息》(正刊)202</w:t>
      </w:r>
      <w:r>
        <w:rPr>
          <w:rFonts w:hint="eastAsia" w:ascii="宋体" w:hAnsi="宋体"/>
          <w:sz w:val="21"/>
          <w:szCs w:val="21"/>
          <w:lang w:val="en-US" w:eastAsia="zh-CN"/>
        </w:rPr>
        <w:t>5</w:t>
      </w:r>
      <w:r>
        <w:rPr>
          <w:rFonts w:hint="eastAsia" w:ascii="宋体" w:hAnsi="宋体"/>
          <w:sz w:val="21"/>
          <w:szCs w:val="21"/>
        </w:rPr>
        <w:t>年第</w:t>
      </w:r>
      <w:r>
        <w:rPr>
          <w:rFonts w:hint="eastAsia" w:ascii="宋体" w:hAnsi="宋体"/>
          <w:sz w:val="21"/>
          <w:szCs w:val="21"/>
          <w:lang w:val="en-US" w:eastAsia="zh-CN"/>
        </w:rPr>
        <w:t>04</w:t>
      </w:r>
      <w:r>
        <w:rPr>
          <w:rFonts w:hint="eastAsia" w:ascii="宋体" w:hAnsi="宋体"/>
          <w:sz w:val="21"/>
          <w:szCs w:val="21"/>
        </w:rPr>
        <w:t>期。</w:t>
      </w:r>
    </w:p>
    <w:p w14:paraId="3B336E42">
      <w:pPr>
        <w:numPr>
          <w:ilvl w:val="0"/>
          <w:numId w:val="6"/>
        </w:numPr>
        <w:tabs>
          <w:tab w:val="left" w:pos="720"/>
          <w:tab w:val="left" w:pos="900"/>
          <w:tab w:val="left" w:pos="9180"/>
          <w:tab w:val="left" w:pos="9360"/>
          <w:tab w:val="clear" w:pos="1290"/>
        </w:tabs>
        <w:spacing w:line="360" w:lineRule="auto"/>
        <w:ind w:left="0" w:right="25" w:rightChars="12" w:firstLine="480"/>
        <w:rPr>
          <w:rFonts w:hint="eastAsia" w:ascii="宋体" w:hAnsi="宋体"/>
          <w:sz w:val="21"/>
          <w:szCs w:val="21"/>
        </w:rPr>
      </w:pPr>
      <w:r>
        <w:rPr>
          <w:rFonts w:hint="eastAsia" w:ascii="宋体" w:hAnsi="宋体"/>
          <w:sz w:val="21"/>
          <w:szCs w:val="21"/>
        </w:rPr>
        <w:t>材料价格选用先后顺序(含机械燃料动力费)：《宁波建设工程造价信息》(综合版)202</w:t>
      </w:r>
      <w:r>
        <w:rPr>
          <w:rFonts w:hint="eastAsia" w:ascii="宋体" w:hAnsi="宋体"/>
          <w:sz w:val="21"/>
          <w:szCs w:val="21"/>
          <w:lang w:val="en-US" w:eastAsia="zh-CN"/>
        </w:rPr>
        <w:t>5</w:t>
      </w:r>
      <w:r>
        <w:rPr>
          <w:rFonts w:hint="eastAsia" w:ascii="宋体" w:hAnsi="宋体"/>
          <w:sz w:val="21"/>
          <w:szCs w:val="21"/>
        </w:rPr>
        <w:t>年</w:t>
      </w:r>
      <w:r>
        <w:rPr>
          <w:rFonts w:hint="eastAsia" w:ascii="宋体" w:hAnsi="宋体"/>
          <w:sz w:val="21"/>
          <w:szCs w:val="21"/>
          <w:lang w:val="en-US" w:eastAsia="zh-CN"/>
        </w:rPr>
        <w:t>04</w:t>
      </w:r>
      <w:r>
        <w:rPr>
          <w:rFonts w:hint="eastAsia" w:ascii="宋体" w:hAnsi="宋体"/>
          <w:sz w:val="21"/>
          <w:szCs w:val="21"/>
        </w:rPr>
        <w:t>月刊宁海县（除税后）信息价、市区信息价、《浙江造价信息》(正刊)202</w:t>
      </w:r>
      <w:r>
        <w:rPr>
          <w:rFonts w:hint="eastAsia" w:ascii="宋体" w:hAnsi="宋体"/>
          <w:sz w:val="21"/>
          <w:szCs w:val="21"/>
          <w:lang w:val="en-US" w:eastAsia="zh-CN"/>
        </w:rPr>
        <w:t>5</w:t>
      </w:r>
      <w:r>
        <w:rPr>
          <w:rFonts w:hint="eastAsia" w:ascii="宋体" w:hAnsi="宋体"/>
          <w:sz w:val="21"/>
          <w:szCs w:val="21"/>
        </w:rPr>
        <w:t>年第</w:t>
      </w:r>
      <w:r>
        <w:rPr>
          <w:rFonts w:hint="eastAsia" w:ascii="宋体" w:hAnsi="宋体"/>
          <w:sz w:val="21"/>
          <w:szCs w:val="21"/>
          <w:lang w:val="en-US" w:eastAsia="zh-CN"/>
        </w:rPr>
        <w:t>04</w:t>
      </w:r>
      <w:r>
        <w:rPr>
          <w:rFonts w:hint="eastAsia" w:ascii="宋体" w:hAnsi="宋体"/>
          <w:sz w:val="21"/>
          <w:szCs w:val="21"/>
        </w:rPr>
        <w:t>期、无信息价的材料或设备采用市场价。</w:t>
      </w:r>
    </w:p>
    <w:p w14:paraId="6DB0A98E">
      <w:pPr>
        <w:numPr>
          <w:ilvl w:val="0"/>
          <w:numId w:val="6"/>
        </w:numPr>
        <w:tabs>
          <w:tab w:val="left" w:pos="720"/>
          <w:tab w:val="left" w:pos="900"/>
          <w:tab w:val="left" w:pos="9180"/>
          <w:tab w:val="left" w:pos="9360"/>
          <w:tab w:val="clear" w:pos="1290"/>
        </w:tabs>
        <w:spacing w:line="360" w:lineRule="auto"/>
        <w:ind w:left="0" w:right="25" w:rightChars="12" w:firstLine="480"/>
        <w:rPr>
          <w:rFonts w:hint="eastAsia" w:ascii="宋体" w:hAnsi="宋体"/>
          <w:sz w:val="21"/>
          <w:szCs w:val="21"/>
        </w:rPr>
      </w:pPr>
      <w:r>
        <w:rPr>
          <w:rFonts w:hint="eastAsia" w:ascii="宋体" w:hAnsi="宋体"/>
          <w:sz w:val="21"/>
          <w:szCs w:val="21"/>
        </w:rPr>
        <w:t>取费</w:t>
      </w:r>
    </w:p>
    <w:p w14:paraId="6F7F972F">
      <w:pPr>
        <w:numPr>
          <w:ilvl w:val="0"/>
          <w:numId w:val="7"/>
        </w:numPr>
        <w:tabs>
          <w:tab w:val="left" w:pos="720"/>
          <w:tab w:val="left" w:pos="1080"/>
          <w:tab w:val="left" w:pos="1661"/>
          <w:tab w:val="left" w:pos="9180"/>
          <w:tab w:val="left" w:pos="9360"/>
        </w:tabs>
        <w:spacing w:line="360" w:lineRule="auto"/>
        <w:ind w:left="0" w:right="25" w:rightChars="12" w:firstLine="480"/>
        <w:rPr>
          <w:rFonts w:hint="eastAsia" w:ascii="宋体" w:hAnsi="宋体"/>
          <w:sz w:val="21"/>
          <w:szCs w:val="21"/>
        </w:rPr>
      </w:pPr>
      <w:r>
        <w:rPr>
          <w:rFonts w:hint="eastAsia" w:ascii="宋体" w:hAnsi="宋体"/>
          <w:sz w:val="21"/>
          <w:szCs w:val="21"/>
        </w:rPr>
        <w:t>施工组织措施费费率：按相应工程中间值取费。其中安全文明施工基本费按市区工程中间值计取。施工组织措施费计入以下费用：</w:t>
      </w:r>
      <w:r>
        <w:rPr>
          <w:rFonts w:hint="eastAsia" w:ascii="宋体" w:hAnsi="宋体"/>
          <w:kern w:val="0"/>
          <w:sz w:val="21"/>
          <w:szCs w:val="21"/>
          <w:lang w:val="zh-CN"/>
        </w:rPr>
        <w:t>安全文明施工基本费、冬雨季施工增加费</w:t>
      </w:r>
      <w:r>
        <w:rPr>
          <w:rFonts w:hint="eastAsia" w:ascii="宋体" w:hAnsi="宋体"/>
          <w:sz w:val="21"/>
          <w:szCs w:val="21"/>
        </w:rPr>
        <w:t>。</w:t>
      </w:r>
    </w:p>
    <w:p w14:paraId="71B826B7">
      <w:pPr>
        <w:numPr>
          <w:ilvl w:val="0"/>
          <w:numId w:val="7"/>
        </w:numPr>
        <w:tabs>
          <w:tab w:val="left" w:pos="720"/>
          <w:tab w:val="left" w:pos="1080"/>
          <w:tab w:val="left" w:pos="1661"/>
          <w:tab w:val="left" w:pos="9180"/>
          <w:tab w:val="left" w:pos="9360"/>
        </w:tabs>
        <w:spacing w:line="360" w:lineRule="auto"/>
        <w:ind w:left="0" w:right="25" w:rightChars="12" w:firstLine="480"/>
        <w:rPr>
          <w:rFonts w:hint="eastAsia" w:ascii="宋体" w:hAnsi="宋体"/>
          <w:sz w:val="21"/>
          <w:szCs w:val="21"/>
        </w:rPr>
      </w:pPr>
      <w:r>
        <w:rPr>
          <w:rFonts w:hint="eastAsia" w:ascii="宋体" w:hAnsi="宋体"/>
          <w:sz w:val="21"/>
          <w:szCs w:val="21"/>
        </w:rPr>
        <w:t>企业管理费费率：按相应工程三类中值取定。</w:t>
      </w:r>
    </w:p>
    <w:p w14:paraId="7161EED3">
      <w:pPr>
        <w:numPr>
          <w:ilvl w:val="0"/>
          <w:numId w:val="7"/>
        </w:numPr>
        <w:tabs>
          <w:tab w:val="left" w:pos="720"/>
          <w:tab w:val="left" w:pos="1080"/>
          <w:tab w:val="left" w:pos="1661"/>
          <w:tab w:val="left" w:pos="9180"/>
          <w:tab w:val="left" w:pos="9360"/>
        </w:tabs>
        <w:spacing w:line="360" w:lineRule="auto"/>
        <w:ind w:left="0" w:right="25" w:rightChars="12" w:firstLine="480"/>
        <w:rPr>
          <w:rFonts w:hint="eastAsia" w:ascii="宋体" w:hAnsi="宋体"/>
          <w:sz w:val="21"/>
          <w:szCs w:val="21"/>
        </w:rPr>
      </w:pPr>
      <w:r>
        <w:rPr>
          <w:rFonts w:hint="eastAsia" w:ascii="宋体" w:hAnsi="宋体"/>
          <w:sz w:val="21"/>
          <w:szCs w:val="21"/>
        </w:rPr>
        <w:t>利润费率：各专业工程按相应工程中间值取定。</w:t>
      </w:r>
    </w:p>
    <w:p w14:paraId="6353C576">
      <w:pPr>
        <w:numPr>
          <w:ilvl w:val="0"/>
          <w:numId w:val="7"/>
        </w:numPr>
        <w:tabs>
          <w:tab w:val="left" w:pos="720"/>
          <w:tab w:val="left" w:pos="1080"/>
          <w:tab w:val="left" w:pos="1661"/>
          <w:tab w:val="left" w:pos="9180"/>
          <w:tab w:val="left" w:pos="9360"/>
        </w:tabs>
        <w:spacing w:line="360" w:lineRule="auto"/>
        <w:ind w:left="0" w:right="25" w:rightChars="12" w:firstLine="480"/>
        <w:rPr>
          <w:rFonts w:hint="eastAsia" w:ascii="宋体" w:hAnsi="宋体"/>
          <w:sz w:val="21"/>
          <w:szCs w:val="21"/>
        </w:rPr>
      </w:pPr>
      <w:r>
        <w:rPr>
          <w:rFonts w:hint="eastAsia"/>
          <w:sz w:val="21"/>
          <w:szCs w:val="21"/>
        </w:rPr>
        <w:t>规费：</w:t>
      </w:r>
      <w:r>
        <w:rPr>
          <w:rFonts w:hint="eastAsia" w:ascii="宋体" w:hAnsi="宋体"/>
          <w:sz w:val="21"/>
          <w:szCs w:val="21"/>
        </w:rPr>
        <w:t>按相应工程标准费率的30%计取（如有新的政策性文件，从其规定）。</w:t>
      </w:r>
    </w:p>
    <w:p w14:paraId="1D9002AC">
      <w:pPr>
        <w:numPr>
          <w:ilvl w:val="0"/>
          <w:numId w:val="7"/>
        </w:numPr>
        <w:tabs>
          <w:tab w:val="left" w:pos="1080"/>
          <w:tab w:val="left" w:pos="9180"/>
          <w:tab w:val="left" w:pos="9360"/>
        </w:tabs>
        <w:spacing w:line="360" w:lineRule="auto"/>
        <w:ind w:left="0" w:right="25" w:rightChars="12" w:firstLine="480"/>
        <w:rPr>
          <w:rFonts w:hint="eastAsia" w:ascii="宋体" w:hAnsi="宋体"/>
          <w:sz w:val="21"/>
          <w:szCs w:val="21"/>
        </w:rPr>
      </w:pPr>
      <w:r>
        <w:rPr>
          <w:rFonts w:hint="eastAsia" w:ascii="宋体" w:hAnsi="宋体"/>
          <w:sz w:val="21"/>
          <w:szCs w:val="21"/>
        </w:rPr>
        <w:t>税金税率：浙建建发</w:t>
      </w:r>
      <w:r>
        <w:rPr>
          <w:rFonts w:ascii="宋体" w:hAnsi="宋体"/>
          <w:sz w:val="21"/>
          <w:szCs w:val="21"/>
        </w:rPr>
        <w:t>(2019</w:t>
      </w:r>
      <w:r>
        <w:rPr>
          <w:rFonts w:hint="eastAsia" w:ascii="宋体" w:hAnsi="宋体"/>
          <w:sz w:val="21"/>
          <w:szCs w:val="21"/>
        </w:rPr>
        <w:t>)</w:t>
      </w:r>
      <w:r>
        <w:rPr>
          <w:rFonts w:ascii="宋体" w:hAnsi="宋体"/>
          <w:sz w:val="21"/>
          <w:szCs w:val="21"/>
        </w:rPr>
        <w:t xml:space="preserve"> 92 </w:t>
      </w:r>
      <w:r>
        <w:rPr>
          <w:rFonts w:hint="eastAsia" w:ascii="宋体" w:hAnsi="宋体"/>
          <w:sz w:val="21"/>
          <w:szCs w:val="21"/>
        </w:rPr>
        <w:t>号规定9%计入。</w:t>
      </w:r>
    </w:p>
    <w:p w14:paraId="28F32814">
      <w:pPr>
        <w:spacing w:line="560" w:lineRule="exact"/>
        <w:ind w:firstLine="211" w:firstLineChars="100"/>
        <w:rPr>
          <w:rFonts w:hint="eastAsia" w:ascii="仿宋_GB2312" w:hAnsi="仿宋_GB2312" w:eastAsia="仿宋_GB2312" w:cs="仿宋_GB2312"/>
          <w:sz w:val="21"/>
          <w:szCs w:val="21"/>
        </w:rPr>
      </w:pPr>
      <w:r>
        <w:rPr>
          <w:rFonts w:hint="eastAsia" w:ascii="宋体" w:hAnsi="宋体" w:cs="宋体"/>
          <w:b/>
          <w:sz w:val="21"/>
          <w:szCs w:val="21"/>
        </w:rPr>
        <w:t>四、相关事项说明</w:t>
      </w:r>
    </w:p>
    <w:p w14:paraId="552F3D05">
      <w:pPr>
        <w:spacing w:line="360" w:lineRule="auto"/>
        <w:ind w:firstLine="420"/>
        <w:rPr>
          <w:rFonts w:hint="default" w:ascii="宋体" w:hAnsi="宋体" w:eastAsia="宋体" w:cs="宋体"/>
          <w:sz w:val="21"/>
          <w:szCs w:val="21"/>
          <w:vertAlign w:val="baseline"/>
          <w:lang w:val="en-US" w:eastAsia="zh-CN"/>
        </w:rPr>
      </w:pPr>
      <w:r>
        <w:rPr>
          <w:rFonts w:hint="eastAsia" w:ascii="宋体" w:hAnsi="宋体" w:cs="宋体"/>
          <w:sz w:val="21"/>
          <w:szCs w:val="21"/>
        </w:rPr>
        <w:t>1、本工程位于</w:t>
      </w:r>
      <w:r>
        <w:rPr>
          <w:rFonts w:hint="eastAsia" w:ascii="宋体" w:hAnsi="宋体" w:eastAsia="宋体" w:cs="宋体"/>
          <w:sz w:val="21"/>
          <w:szCs w:val="21"/>
          <w:lang w:val="en-US" w:eastAsia="zh-CN"/>
        </w:rPr>
        <w:t>宁海县桃源街道回浦小学内，</w:t>
      </w:r>
      <w:r>
        <w:rPr>
          <w:rFonts w:hint="eastAsia" w:ascii="宋体" w:hAnsi="宋体" w:eastAsia="宋体" w:cs="宋体"/>
          <w:sz w:val="21"/>
          <w:szCs w:val="21"/>
          <w:lang w:eastAsia="zh-CN"/>
        </w:rPr>
        <w:t>本工程主要建设内容为</w:t>
      </w:r>
      <w:r>
        <w:rPr>
          <w:rFonts w:hint="eastAsia" w:ascii="宋体" w:hAnsi="宋体" w:eastAsia="宋体" w:cs="宋体"/>
          <w:sz w:val="21"/>
          <w:szCs w:val="21"/>
          <w:lang w:val="en-US" w:eastAsia="zh-CN"/>
        </w:rPr>
        <w:t>校内1#、2#、3#教学楼二至四层开放式中庭原有不锈钢栏杆拆除后安装隔音窗，护窗不锈钢栏杆安装及部分防火门更换。</w:t>
      </w:r>
    </w:p>
    <w:p w14:paraId="5575018B">
      <w:pPr>
        <w:spacing w:line="360" w:lineRule="auto"/>
        <w:ind w:firstLine="420"/>
        <w:rPr>
          <w:rFonts w:hint="eastAsia" w:ascii="宋体" w:hAnsi="宋体" w:cs="宋体"/>
          <w:sz w:val="21"/>
          <w:szCs w:val="21"/>
        </w:rPr>
      </w:pPr>
      <w:r>
        <w:rPr>
          <w:rFonts w:hint="eastAsia" w:ascii="宋体" w:hAnsi="宋体" w:eastAsia="宋体" w:cs="宋体"/>
          <w:sz w:val="21"/>
          <w:szCs w:val="21"/>
          <w:lang w:val="en-US" w:eastAsia="zh-CN"/>
        </w:rPr>
        <w:t>2、</w:t>
      </w:r>
      <w:r>
        <w:rPr>
          <w:rFonts w:hint="eastAsia" w:ascii="宋体" w:hAnsi="宋体" w:cs="宋体"/>
          <w:sz w:val="21"/>
          <w:szCs w:val="21"/>
        </w:rPr>
        <w:t>以下子目的价格根据业主意见计入：</w:t>
      </w:r>
    </w:p>
    <w:p w14:paraId="16932C2C">
      <w:pPr>
        <w:numPr>
          <w:ilvl w:val="0"/>
          <w:numId w:val="8"/>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eastAsia="zh-CN"/>
        </w:rPr>
        <w:t>本工程护窗不锈钢栏杆按市场价</w:t>
      </w:r>
      <w:r>
        <w:rPr>
          <w:rFonts w:hint="eastAsia" w:ascii="宋体" w:hAnsi="宋体" w:cs="宋体"/>
          <w:sz w:val="21"/>
          <w:szCs w:val="21"/>
          <w:lang w:val="en-US" w:eastAsia="zh-CN"/>
        </w:rPr>
        <w:t>200元/m计入</w:t>
      </w:r>
      <w:r>
        <w:rPr>
          <w:rFonts w:hint="eastAsia" w:ascii="宋体" w:hAnsi="宋体" w:cs="宋体"/>
          <w:sz w:val="21"/>
          <w:szCs w:val="21"/>
          <w:lang w:eastAsia="zh-CN"/>
        </w:rPr>
        <w:t>；</w:t>
      </w:r>
    </w:p>
    <w:p w14:paraId="144E9A56">
      <w:pPr>
        <w:numPr>
          <w:ilvl w:val="0"/>
          <w:numId w:val="8"/>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eastAsia="zh-CN"/>
        </w:rPr>
        <w:t>本工程建筑垃圾清理及外运按市场价</w:t>
      </w:r>
      <w:r>
        <w:rPr>
          <w:rFonts w:hint="eastAsia" w:ascii="宋体" w:hAnsi="宋体" w:cs="宋体"/>
          <w:sz w:val="21"/>
          <w:szCs w:val="21"/>
          <w:lang w:val="en-US" w:eastAsia="zh-CN"/>
        </w:rPr>
        <w:t>3000元/项计入</w:t>
      </w:r>
      <w:r>
        <w:rPr>
          <w:rFonts w:hint="eastAsia" w:ascii="宋体" w:hAnsi="宋体" w:cs="宋体"/>
          <w:sz w:val="21"/>
          <w:szCs w:val="21"/>
          <w:lang w:eastAsia="zh-CN"/>
        </w:rPr>
        <w:t>，包干使用，结算时不做调整</w:t>
      </w:r>
      <w:r>
        <w:rPr>
          <w:rFonts w:hint="eastAsia" w:ascii="宋体" w:hAnsi="宋体" w:cs="宋体"/>
          <w:sz w:val="21"/>
          <w:szCs w:val="21"/>
          <w:lang w:val="en-US" w:eastAsia="zh-CN"/>
        </w:rPr>
        <w:t>；</w:t>
      </w:r>
    </w:p>
    <w:p w14:paraId="13F9BBEF">
      <w:pPr>
        <w:numPr>
          <w:ilvl w:val="0"/>
          <w:numId w:val="8"/>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val="en-US" w:eastAsia="zh-CN"/>
        </w:rPr>
        <w:t>本工程应业主要求设不可预见费26000元整。</w:t>
      </w:r>
    </w:p>
    <w:p w14:paraId="4464D55C">
      <w:pPr>
        <w:numPr>
          <w:ilvl w:val="0"/>
          <w:numId w:val="9"/>
        </w:numPr>
        <w:tabs>
          <w:tab w:val="left" w:pos="720"/>
          <w:tab w:val="left" w:pos="1080"/>
          <w:tab w:val="left" w:pos="9180"/>
          <w:tab w:val="left" w:pos="9360"/>
        </w:tabs>
        <w:spacing w:line="360" w:lineRule="auto"/>
        <w:ind w:left="400" w:leftChars="0" w:right="25" w:rightChars="12"/>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详见预算书</w:t>
      </w:r>
    </w:p>
    <w:p w14:paraId="31B778BC">
      <w:pPr>
        <w:snapToGrid w:val="0"/>
        <w:spacing w:line="360" w:lineRule="auto"/>
        <w:ind w:firstLine="482" w:firstLineChars="200"/>
        <w:jc w:val="left"/>
        <w:outlineLvl w:val="1"/>
        <w:rPr>
          <w:rFonts w:hint="eastAsia" w:ascii="宋体" w:hAnsi="宋体" w:cs="宋体"/>
          <w:b/>
          <w:bCs w:val="0"/>
          <w:sz w:val="24"/>
          <w:szCs w:val="24"/>
          <w:lang w:val="en-US" w:eastAsia="zh-CN"/>
        </w:rPr>
      </w:pPr>
      <w:r>
        <w:rPr>
          <w:rFonts w:hint="eastAsia" w:ascii="宋体" w:hAnsi="宋体" w:cs="宋体"/>
          <w:b/>
          <w:bCs w:val="0"/>
          <w:sz w:val="24"/>
          <w:szCs w:val="24"/>
          <w:lang w:val="en-US" w:eastAsia="zh-CN"/>
        </w:rPr>
        <w:t>四、工程量清单</w:t>
      </w:r>
    </w:p>
    <w:p w14:paraId="3032B97A">
      <w:pPr>
        <w:snapToGrid w:val="0"/>
        <w:spacing w:line="360" w:lineRule="auto"/>
        <w:ind w:firstLine="480" w:firstLineChars="200"/>
        <w:jc w:val="left"/>
        <w:outlineLvl w:val="1"/>
        <w:rPr>
          <w:rFonts w:hint="default" w:ascii="宋体" w:hAnsi="宋体" w:cs="宋体"/>
          <w:bCs/>
          <w:sz w:val="24"/>
          <w:szCs w:val="24"/>
          <w:lang w:val="en-US" w:eastAsia="zh-CN"/>
        </w:rPr>
      </w:pPr>
      <w:r>
        <w:rPr>
          <w:rFonts w:hint="eastAsia" w:ascii="宋体" w:hAnsi="宋体" w:cs="宋体"/>
          <w:bCs/>
          <w:sz w:val="24"/>
          <w:szCs w:val="24"/>
          <w:lang w:val="en-US" w:eastAsia="zh-CN"/>
        </w:rPr>
        <w:t>详见附件工程量清单</w:t>
      </w:r>
    </w:p>
    <w:p w14:paraId="26DDFAF4">
      <w:pPr>
        <w:numPr>
          <w:ilvl w:val="0"/>
          <w:numId w:val="0"/>
        </w:numPr>
        <w:adjustRightInd/>
        <w:spacing w:line="440" w:lineRule="exact"/>
        <w:rPr>
          <w:rFonts w:hint="eastAsia" w:ascii="宋体" w:hAnsi="Calibri" w:eastAsia="宋体" w:cs="Times New Roman"/>
          <w:b/>
          <w:color w:val="auto"/>
          <w:sz w:val="24"/>
          <w:szCs w:val="24"/>
          <w:highlight w:val="none"/>
          <w:lang w:val="en-US" w:eastAsia="zh-CN"/>
        </w:rPr>
      </w:pPr>
    </w:p>
    <w:p w14:paraId="7304BA20">
      <w:pPr>
        <w:widowControl/>
        <w:kinsoku/>
        <w:wordWrap/>
        <w:overflowPunct/>
        <w:topLinePunct w:val="0"/>
        <w:bidi w:val="0"/>
        <w:adjustRightInd/>
        <w:spacing w:line="360" w:lineRule="auto"/>
        <w:jc w:val="left"/>
        <w:outlineLvl w:val="9"/>
        <w:rPr>
          <w:rFonts w:hint="eastAsia" w:ascii="宋体" w:hAnsi="宋体" w:eastAsia="宋体" w:cs="宋体"/>
          <w:b/>
          <w:color w:val="auto"/>
          <w:kern w:val="0"/>
          <w:sz w:val="24"/>
          <w:szCs w:val="24"/>
          <w:highlight w:val="none"/>
          <w:lang w:eastAsia="zh-CN"/>
        </w:rPr>
      </w:pPr>
      <w:bookmarkStart w:id="35" w:name="_Toc18651"/>
      <w:r>
        <w:rPr>
          <w:rFonts w:hint="eastAsia" w:ascii="宋体" w:hAnsi="宋体" w:cs="宋体"/>
          <w:b w:val="0"/>
          <w:bCs w:val="0"/>
          <w:sz w:val="21"/>
          <w:szCs w:val="21"/>
          <w:lang w:val="en-US" w:eastAsia="zh-CN"/>
        </w:rPr>
        <w:t xml:space="preserve"> </w:t>
      </w:r>
      <w:r>
        <w:rPr>
          <w:rFonts w:hint="eastAsia" w:ascii="宋体" w:hAnsi="宋体" w:cs="宋体"/>
          <w:b/>
          <w:color w:val="auto"/>
          <w:kern w:val="0"/>
          <w:sz w:val="24"/>
          <w:szCs w:val="24"/>
          <w:highlight w:val="none"/>
          <w:lang w:eastAsia="zh-CN"/>
        </w:rPr>
        <w:t>二</w:t>
      </w:r>
      <w:r>
        <w:rPr>
          <w:rFonts w:hint="eastAsia" w:ascii="宋体" w:hAnsi="宋体" w:eastAsia="宋体" w:cs="宋体"/>
          <w:b/>
          <w:color w:val="auto"/>
          <w:kern w:val="0"/>
          <w:sz w:val="24"/>
          <w:szCs w:val="24"/>
          <w:highlight w:val="none"/>
        </w:rPr>
        <w:t>、重要商务要求一览表</w:t>
      </w:r>
      <w:r>
        <w:rPr>
          <w:rFonts w:hint="eastAsia" w:ascii="宋体" w:hAnsi="宋体" w:cs="宋体"/>
          <w:b/>
          <w:color w:val="auto"/>
          <w:kern w:val="0"/>
          <w:sz w:val="24"/>
          <w:szCs w:val="24"/>
          <w:highlight w:val="none"/>
          <w:lang w:val="en-US" w:eastAsia="zh-CN"/>
        </w:rPr>
        <w:t>：</w:t>
      </w:r>
    </w:p>
    <w:tbl>
      <w:tblPr>
        <w:tblStyle w:val="62"/>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046"/>
      </w:tblGrid>
      <w:tr w14:paraId="4718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4E28FF27">
            <w:pPr>
              <w:keepNext w:val="0"/>
              <w:keepLines w:val="0"/>
              <w:suppressLineNumbers w:val="0"/>
              <w:spacing w:before="0" w:beforeAutospacing="0" w:after="0" w:afterAutospacing="0" w:line="360" w:lineRule="exact"/>
              <w:ind w:left="0" w:right="0"/>
              <w:jc w:val="center"/>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序号</w:t>
            </w:r>
          </w:p>
        </w:tc>
        <w:tc>
          <w:tcPr>
            <w:tcW w:w="9046" w:type="dxa"/>
            <w:noWrap w:val="0"/>
            <w:vAlign w:val="center"/>
          </w:tcPr>
          <w:p w14:paraId="2E302825">
            <w:pPr>
              <w:keepNext w:val="0"/>
              <w:keepLines w:val="0"/>
              <w:suppressLineNumbers w:val="0"/>
              <w:spacing w:before="0" w:beforeAutospacing="0" w:after="0" w:afterAutospacing="0" w:line="360" w:lineRule="exact"/>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商务条款</w:t>
            </w:r>
            <w:r>
              <w:rPr>
                <w:rFonts w:hint="eastAsia" w:asciiTheme="majorEastAsia" w:hAnsiTheme="majorEastAsia" w:eastAsiaTheme="majorEastAsia" w:cstheme="majorEastAsia"/>
                <w:color w:val="auto"/>
                <w:sz w:val="21"/>
                <w:szCs w:val="21"/>
                <w:highlight w:val="none"/>
              </w:rPr>
              <w:t>要求</w:t>
            </w:r>
          </w:p>
        </w:tc>
      </w:tr>
      <w:tr w14:paraId="7F15D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4061288B">
            <w:pPr>
              <w:keepNext w:val="0"/>
              <w:keepLines w:val="0"/>
              <w:suppressLineNumbers w:val="0"/>
              <w:spacing w:before="0" w:beforeAutospacing="0" w:after="0" w:afterAutospacing="0" w:line="360" w:lineRule="exact"/>
              <w:ind w:left="0" w:right="0"/>
              <w:jc w:val="center"/>
              <w:rPr>
                <w:rFonts w:hint="eastAsia" w:asciiTheme="majorEastAsia" w:hAnsiTheme="majorEastAsia" w:eastAsiaTheme="majorEastAsia" w:cstheme="majorEastAsia"/>
                <w:b w:val="0"/>
                <w:bCs w:val="0"/>
                <w:color w:val="auto"/>
                <w:sz w:val="21"/>
                <w:szCs w:val="21"/>
                <w:highlight w:val="none"/>
              </w:rPr>
            </w:pPr>
            <w:r>
              <w:rPr>
                <w:rFonts w:hint="eastAsia" w:ascii="宋体" w:hAnsi="宋体" w:eastAsia="宋体" w:cs="宋体"/>
                <w:color w:val="auto"/>
                <w:szCs w:val="21"/>
                <w:highlight w:val="none"/>
              </w:rPr>
              <w:t>★</w:t>
            </w:r>
            <w:r>
              <w:rPr>
                <w:rFonts w:hint="eastAsia" w:asciiTheme="majorEastAsia" w:hAnsiTheme="majorEastAsia" w:eastAsiaTheme="majorEastAsia" w:cstheme="majorEastAsia"/>
                <w:b w:val="0"/>
                <w:bCs w:val="0"/>
                <w:color w:val="auto"/>
                <w:sz w:val="21"/>
                <w:szCs w:val="21"/>
                <w:highlight w:val="none"/>
              </w:rPr>
              <w:t>1</w:t>
            </w:r>
          </w:p>
        </w:tc>
        <w:tc>
          <w:tcPr>
            <w:tcW w:w="9046" w:type="dxa"/>
            <w:noWrap w:val="0"/>
            <w:vAlign w:val="center"/>
          </w:tcPr>
          <w:p w14:paraId="6EA0124A">
            <w:pPr>
              <w:keepNext w:val="0"/>
              <w:keepLines w:val="0"/>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履约保证金：</w:t>
            </w:r>
          </w:p>
          <w:p w14:paraId="50DCAC99">
            <w:pPr>
              <w:keepNext w:val="0"/>
              <w:keepLines w:val="0"/>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rPr>
              <w:t>履约担保金额为签约合同价的</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u w:val="single"/>
                <w:lang w:val="en-US" w:eastAsia="zh-CN"/>
              </w:rPr>
              <w:t>1</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 xml:space="preserve">% </w:t>
            </w:r>
          </w:p>
          <w:p w14:paraId="2087FDE2">
            <w:pPr>
              <w:keepNext w:val="0"/>
              <w:keepLines w:val="0"/>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rPr>
              <w:t>履约保证金形式：银行保函或银行汇票或支票或保险保单方式</w:t>
            </w:r>
            <w:r>
              <w:rPr>
                <w:rFonts w:hint="eastAsia" w:asciiTheme="majorEastAsia" w:hAnsiTheme="majorEastAsia" w:eastAsiaTheme="majorEastAsia" w:cstheme="majorEastAsia"/>
                <w:color w:val="auto"/>
                <w:sz w:val="21"/>
                <w:szCs w:val="21"/>
                <w:highlight w:val="none"/>
                <w:lang w:eastAsia="zh-CN"/>
              </w:rPr>
              <w:t>。</w:t>
            </w:r>
          </w:p>
          <w:p w14:paraId="4BFB6506">
            <w:pPr>
              <w:keepNext w:val="0"/>
              <w:keepLines w:val="0"/>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w:t>
            </w:r>
            <w:r>
              <w:rPr>
                <w:rFonts w:hint="eastAsia" w:asciiTheme="majorEastAsia" w:hAnsiTheme="majorEastAsia" w:eastAsiaTheme="majorEastAsia" w:cstheme="majorEastAsia"/>
                <w:color w:val="auto"/>
                <w:sz w:val="21"/>
                <w:szCs w:val="21"/>
                <w:highlight w:val="none"/>
              </w:rPr>
              <w:t>履约担保返还期限：在工程竣工验收合格后10日内全额返还。</w:t>
            </w:r>
          </w:p>
        </w:tc>
      </w:tr>
      <w:tr w14:paraId="3241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44776562">
            <w:pPr>
              <w:keepNext w:val="0"/>
              <w:keepLines w:val="0"/>
              <w:suppressLineNumbers w:val="0"/>
              <w:spacing w:before="0" w:beforeAutospacing="0" w:after="0" w:afterAutospacing="0" w:line="360" w:lineRule="exact"/>
              <w:ind w:left="0" w:right="0"/>
              <w:jc w:val="center"/>
              <w:rPr>
                <w:rFonts w:hint="eastAsia" w:asciiTheme="majorEastAsia" w:hAnsiTheme="majorEastAsia" w:eastAsiaTheme="majorEastAsia" w:cstheme="majorEastAsia"/>
                <w:b w:val="0"/>
                <w:bCs w:val="0"/>
                <w:color w:val="auto"/>
                <w:sz w:val="21"/>
                <w:szCs w:val="21"/>
                <w:highlight w:val="none"/>
              </w:rPr>
            </w:pPr>
            <w:r>
              <w:rPr>
                <w:rFonts w:hint="eastAsia" w:ascii="宋体" w:hAnsi="宋体" w:eastAsia="宋体" w:cs="宋体"/>
                <w:color w:val="auto"/>
                <w:szCs w:val="21"/>
                <w:highlight w:val="none"/>
              </w:rPr>
              <w:t>★</w:t>
            </w:r>
            <w:r>
              <w:rPr>
                <w:rFonts w:hint="eastAsia" w:asciiTheme="majorEastAsia" w:hAnsiTheme="majorEastAsia" w:eastAsiaTheme="majorEastAsia" w:cstheme="majorEastAsia"/>
                <w:b w:val="0"/>
                <w:bCs w:val="0"/>
                <w:color w:val="auto"/>
                <w:sz w:val="21"/>
                <w:szCs w:val="21"/>
                <w:highlight w:val="none"/>
              </w:rPr>
              <w:t>2</w:t>
            </w:r>
          </w:p>
        </w:tc>
        <w:tc>
          <w:tcPr>
            <w:tcW w:w="9046" w:type="dxa"/>
            <w:noWrap w:val="0"/>
            <w:vAlign w:val="center"/>
          </w:tcPr>
          <w:p w14:paraId="139733DD">
            <w:pPr>
              <w:keepNext w:val="0"/>
              <w:keepLines w:val="0"/>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付款方式：</w:t>
            </w:r>
          </w:p>
          <w:p w14:paraId="3C00AFBA">
            <w:pPr>
              <w:keepNext w:val="0"/>
              <w:keepLines w:val="0"/>
              <w:numPr>
                <w:ilvl w:val="0"/>
                <w:numId w:val="0"/>
              </w:numPr>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1、合同生效及具备实施条件后7个工作日内，采购人支付合同总价的40%；</w:t>
            </w:r>
          </w:p>
          <w:p w14:paraId="32E4655D">
            <w:pPr>
              <w:keepNext w:val="0"/>
              <w:keepLines w:val="0"/>
              <w:numPr>
                <w:ilvl w:val="0"/>
                <w:numId w:val="0"/>
              </w:numPr>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2、工程验收合格后7个工作日内，采购人支付至合同总价的80%；</w:t>
            </w:r>
          </w:p>
          <w:p w14:paraId="44175334">
            <w:pPr>
              <w:keepNext w:val="0"/>
              <w:keepLines w:val="0"/>
              <w:numPr>
                <w:ilvl w:val="0"/>
                <w:numId w:val="0"/>
              </w:numPr>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3、工程竣工验收（终验）合格后，根据相关部门核准的决算价，付清尾款。</w:t>
            </w:r>
          </w:p>
          <w:p w14:paraId="3F8DB9FC">
            <w:pPr>
              <w:keepNext w:val="0"/>
              <w:keepLines w:val="0"/>
              <w:numPr>
                <w:ilvl w:val="0"/>
                <w:numId w:val="0"/>
              </w:numPr>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注：具体条款以双方签订的合同约定为准。每次付款前，供应商提供正规的发票。供应商如有更优惠的付款方式欢迎提供。</w:t>
            </w:r>
          </w:p>
        </w:tc>
      </w:tr>
      <w:tr w14:paraId="24290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3AFD6DE7">
            <w:pPr>
              <w:keepNext w:val="0"/>
              <w:keepLines w:val="0"/>
              <w:suppressLineNumbers w:val="0"/>
              <w:spacing w:before="0" w:beforeAutospacing="0" w:after="0" w:afterAutospacing="0" w:line="360" w:lineRule="exact"/>
              <w:ind w:left="0" w:right="0"/>
              <w:jc w:val="center"/>
              <w:rPr>
                <w:rFonts w:hint="eastAsia" w:asciiTheme="majorEastAsia" w:hAnsiTheme="majorEastAsia" w:eastAsiaTheme="majorEastAsia" w:cstheme="majorEastAsia"/>
                <w:b w:val="0"/>
                <w:bCs w:val="0"/>
                <w:color w:val="auto"/>
                <w:sz w:val="21"/>
                <w:szCs w:val="21"/>
                <w:highlight w:val="none"/>
              </w:rPr>
            </w:pPr>
            <w:r>
              <w:rPr>
                <w:rFonts w:hint="eastAsia" w:ascii="宋体" w:hAnsi="宋体" w:eastAsia="宋体" w:cs="宋体"/>
                <w:color w:val="auto"/>
                <w:szCs w:val="21"/>
                <w:highlight w:val="none"/>
              </w:rPr>
              <w:t>★</w:t>
            </w:r>
            <w:r>
              <w:rPr>
                <w:rFonts w:hint="eastAsia" w:asciiTheme="majorEastAsia" w:hAnsiTheme="majorEastAsia" w:eastAsiaTheme="majorEastAsia" w:cstheme="majorEastAsia"/>
                <w:b w:val="0"/>
                <w:bCs w:val="0"/>
                <w:color w:val="auto"/>
                <w:sz w:val="21"/>
                <w:szCs w:val="21"/>
                <w:highlight w:val="none"/>
              </w:rPr>
              <w:t>3</w:t>
            </w:r>
          </w:p>
        </w:tc>
        <w:tc>
          <w:tcPr>
            <w:tcW w:w="9046" w:type="dxa"/>
            <w:noWrap w:val="0"/>
            <w:vAlign w:val="center"/>
          </w:tcPr>
          <w:p w14:paraId="54E2C942">
            <w:pPr>
              <w:keepNext w:val="0"/>
              <w:keepLines w:val="0"/>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施工</w:t>
            </w:r>
            <w:r>
              <w:rPr>
                <w:rFonts w:hint="eastAsia" w:asciiTheme="majorEastAsia" w:hAnsiTheme="majorEastAsia" w:eastAsiaTheme="majorEastAsia" w:cstheme="majorEastAsia"/>
                <w:color w:val="auto"/>
                <w:sz w:val="21"/>
                <w:szCs w:val="21"/>
                <w:highlight w:val="none"/>
              </w:rPr>
              <w:t>工期：合同签订后</w:t>
            </w:r>
            <w:r>
              <w:rPr>
                <w:rFonts w:hint="eastAsia" w:asciiTheme="majorEastAsia" w:hAnsiTheme="majorEastAsia" w:eastAsiaTheme="majorEastAsia" w:cstheme="majorEastAsia"/>
                <w:color w:val="auto"/>
                <w:sz w:val="21"/>
                <w:szCs w:val="21"/>
                <w:highlight w:val="none"/>
                <w:lang w:val="en-US" w:eastAsia="zh-CN"/>
              </w:rPr>
              <w:t>30</w:t>
            </w:r>
            <w:r>
              <w:rPr>
                <w:rFonts w:hint="eastAsia" w:asciiTheme="majorEastAsia" w:hAnsiTheme="majorEastAsia" w:eastAsiaTheme="majorEastAsia" w:cstheme="majorEastAsia"/>
                <w:color w:val="auto"/>
                <w:sz w:val="21"/>
                <w:szCs w:val="21"/>
                <w:highlight w:val="none"/>
              </w:rPr>
              <w:t>天内完工并通过竣工验收。</w:t>
            </w:r>
          </w:p>
          <w:p w14:paraId="2EB8DAE3">
            <w:pPr>
              <w:keepNext w:val="0"/>
              <w:keepLines w:val="0"/>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施工地点：</w:t>
            </w:r>
            <w:r>
              <w:rPr>
                <w:rFonts w:hint="eastAsia" w:asciiTheme="majorEastAsia" w:hAnsiTheme="majorEastAsia" w:eastAsiaTheme="majorEastAsia" w:cstheme="majorEastAsia"/>
                <w:color w:val="auto"/>
                <w:sz w:val="21"/>
                <w:szCs w:val="21"/>
                <w:highlight w:val="none"/>
                <w:lang w:eastAsia="zh-CN"/>
              </w:rPr>
              <w:t>宁海县桃源街道回浦小学内</w:t>
            </w:r>
            <w:r>
              <w:rPr>
                <w:rFonts w:hint="eastAsia" w:asciiTheme="majorEastAsia" w:hAnsiTheme="majorEastAsia" w:eastAsiaTheme="majorEastAsia" w:cstheme="majorEastAsia"/>
                <w:color w:val="auto"/>
                <w:sz w:val="21"/>
                <w:szCs w:val="21"/>
                <w:highlight w:val="none"/>
                <w:lang w:val="en-US" w:eastAsia="zh-CN"/>
              </w:rPr>
              <w:t>。</w:t>
            </w:r>
          </w:p>
        </w:tc>
      </w:tr>
      <w:tr w14:paraId="1BE38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646B2B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b w:val="0"/>
                <w:bCs w:val="0"/>
                <w:sz w:val="21"/>
                <w:szCs w:val="21"/>
                <w:lang w:eastAsia="zh-CN"/>
              </w:rPr>
            </w:pPr>
            <w:r>
              <w:rPr>
                <w:rFonts w:hint="eastAsia" w:ascii="宋体" w:hAnsi="宋体" w:eastAsia="宋体" w:cs="宋体"/>
                <w:color w:val="auto"/>
                <w:szCs w:val="21"/>
                <w:highlight w:val="none"/>
              </w:rPr>
              <w:t>★</w:t>
            </w:r>
            <w:r>
              <w:rPr>
                <w:rFonts w:hint="eastAsia" w:ascii="宋体" w:hAnsi="宋体" w:eastAsia="宋体" w:cs="宋体"/>
                <w:b w:val="0"/>
                <w:bCs w:val="0"/>
                <w:color w:val="auto"/>
                <w:sz w:val="24"/>
                <w:szCs w:val="24"/>
                <w:highlight w:val="none"/>
                <w:lang w:val="en-US" w:eastAsia="zh-CN"/>
              </w:rPr>
              <w:t>4</w:t>
            </w:r>
          </w:p>
        </w:tc>
        <w:tc>
          <w:tcPr>
            <w:tcW w:w="9046" w:type="dxa"/>
            <w:noWrap w:val="0"/>
            <w:vAlign w:val="center"/>
          </w:tcPr>
          <w:p w14:paraId="442B2E50">
            <w:pPr>
              <w:keepNext w:val="0"/>
              <w:keepLines w:val="0"/>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质量保修期</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1、质量保修期不少于</w:t>
            </w: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rPr>
              <w:t>年</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质量保修期从</w:t>
            </w:r>
            <w:r>
              <w:rPr>
                <w:rFonts w:hint="eastAsia" w:asciiTheme="majorEastAsia" w:hAnsiTheme="majorEastAsia" w:eastAsiaTheme="majorEastAsia" w:cstheme="majorEastAsia"/>
                <w:color w:val="auto"/>
                <w:sz w:val="21"/>
                <w:szCs w:val="21"/>
                <w:highlight w:val="none"/>
                <w:lang w:val="en-US" w:eastAsia="zh-CN"/>
              </w:rPr>
              <w:t>采购</w:t>
            </w:r>
            <w:r>
              <w:rPr>
                <w:rFonts w:hint="eastAsia" w:asciiTheme="majorEastAsia" w:hAnsiTheme="majorEastAsia" w:eastAsiaTheme="majorEastAsia" w:cstheme="majorEastAsia"/>
                <w:color w:val="auto"/>
                <w:sz w:val="21"/>
                <w:szCs w:val="21"/>
                <w:highlight w:val="none"/>
              </w:rPr>
              <w:t>人批准的竣工验收通过之日起计算。</w:t>
            </w:r>
          </w:p>
          <w:p w14:paraId="16AA9F86">
            <w:pPr>
              <w:keepNext w:val="0"/>
              <w:keepLines w:val="0"/>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2、质量保修期内供应商须免费负责修理和替换任何由于</w:t>
            </w:r>
            <w:r>
              <w:rPr>
                <w:rFonts w:hint="eastAsia" w:asciiTheme="majorEastAsia" w:hAnsiTheme="majorEastAsia" w:eastAsiaTheme="majorEastAsia" w:cstheme="majorEastAsia"/>
                <w:color w:val="auto"/>
                <w:sz w:val="21"/>
                <w:szCs w:val="21"/>
                <w:highlight w:val="none"/>
                <w:lang w:val="en-US" w:eastAsia="zh-CN"/>
              </w:rPr>
              <w:t>改造、</w:t>
            </w:r>
            <w:r>
              <w:rPr>
                <w:rFonts w:hint="eastAsia" w:asciiTheme="majorEastAsia" w:hAnsiTheme="majorEastAsia" w:eastAsiaTheme="majorEastAsia" w:cstheme="majorEastAsia"/>
                <w:color w:val="auto"/>
                <w:sz w:val="21"/>
                <w:szCs w:val="21"/>
                <w:highlight w:val="none"/>
              </w:rPr>
              <w:t>配件自身的质量问题造成的损坏。</w:t>
            </w:r>
          </w:p>
        </w:tc>
      </w:tr>
      <w:tr w14:paraId="7621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3204E7BC">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c>
          <w:tcPr>
            <w:tcW w:w="9046" w:type="dxa"/>
            <w:noWrap w:val="0"/>
            <w:vAlign w:val="center"/>
          </w:tcPr>
          <w:p w14:paraId="155CE05C">
            <w:pPr>
              <w:keepNext w:val="0"/>
              <w:keepLines w:val="0"/>
              <w:suppressLineNumbers w:val="0"/>
              <w:spacing w:before="0" w:beforeAutospacing="0" w:after="0" w:afterAutospacing="0" w:line="360" w:lineRule="exact"/>
              <w:ind w:left="0" w:right="0"/>
              <w:jc w:val="left"/>
              <w:rPr>
                <w:rFonts w:hint="eastAsia" w:eastAsia="宋体" w:asciiTheme="majorEastAsia" w:hAnsiTheme="majorEastAsia" w:cstheme="majorEastAsia"/>
                <w:color w:val="auto"/>
                <w:sz w:val="21"/>
                <w:szCs w:val="21"/>
                <w:highlight w:val="none"/>
                <w:lang w:eastAsia="zh-CN"/>
              </w:rPr>
            </w:pPr>
            <w:r>
              <w:rPr>
                <w:rFonts w:hint="eastAsia" w:ascii="宋体" w:hAnsi="宋体" w:cs="宋体"/>
                <w:kern w:val="0"/>
                <w:szCs w:val="21"/>
              </w:rPr>
              <w:t>质量要求</w:t>
            </w:r>
            <w:r>
              <w:rPr>
                <w:rFonts w:hint="eastAsia" w:ascii="宋体" w:hAnsi="宋体" w:cs="宋体"/>
                <w:kern w:val="0"/>
                <w:szCs w:val="21"/>
                <w:lang w:eastAsia="zh-CN"/>
              </w:rPr>
              <w:t>：</w:t>
            </w:r>
            <w:r>
              <w:rPr>
                <w:rFonts w:hint="eastAsia" w:ascii="宋体" w:hAnsi="宋体" w:cs="宋体"/>
                <w:kern w:val="0"/>
                <w:szCs w:val="21"/>
              </w:rPr>
              <w:t>达到国家和行业施工验收规范一次性验收合格</w:t>
            </w:r>
          </w:p>
        </w:tc>
      </w:tr>
      <w:tr w14:paraId="3D4EA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7009C537">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p>
        </w:tc>
        <w:tc>
          <w:tcPr>
            <w:tcW w:w="9046" w:type="dxa"/>
            <w:noWrap w:val="0"/>
            <w:vAlign w:val="center"/>
          </w:tcPr>
          <w:p w14:paraId="60646A56">
            <w:pPr>
              <w:keepNext w:val="0"/>
              <w:keepLines w:val="0"/>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作业要求</w:t>
            </w:r>
          </w:p>
          <w:p w14:paraId="045FE045">
            <w:pPr>
              <w:keepNext w:val="0"/>
              <w:keepLines w:val="0"/>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安全生产要求：供应商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供应商全权负责。</w:t>
            </w:r>
          </w:p>
          <w:p w14:paraId="519ACD5D">
            <w:pPr>
              <w:keepNext w:val="0"/>
              <w:keepLines w:val="0"/>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（2）文明施工要求：在施工过程中，必须做到文明施工。工序衔接交叉合理，交接责任明确，施工场地整洁、卫生、道路畅通，有必要的围护和遮挡措施等。</w:t>
            </w:r>
          </w:p>
          <w:p w14:paraId="0202D624">
            <w:pPr>
              <w:keepNext w:val="0"/>
              <w:keepLines w:val="0"/>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3）供应商必须为全体作业员工购买社会和人身意外保险、公众责任保险费等其他保险，必须重视安全生产工作，确保不出安全生产责任事故。如发生安全生产责任事故或公众安全事故（含交通事故），一切责任及损失由供应商承担。</w:t>
            </w:r>
          </w:p>
        </w:tc>
      </w:tr>
      <w:tr w14:paraId="566C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48EE47E3">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szCs w:val="21"/>
                <w:lang w:val="en-US" w:eastAsia="zh-CN"/>
              </w:rPr>
              <w:t>7</w:t>
            </w:r>
          </w:p>
        </w:tc>
        <w:tc>
          <w:tcPr>
            <w:tcW w:w="9046" w:type="dxa"/>
            <w:noWrap w:val="0"/>
            <w:vAlign w:val="center"/>
          </w:tcPr>
          <w:p w14:paraId="3C175E8F">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cs="宋体"/>
                <w:szCs w:val="21"/>
              </w:rPr>
            </w:pPr>
            <w:r>
              <w:rPr>
                <w:rFonts w:hint="eastAsia" w:ascii="宋体" w:hAnsi="宋体" w:cs="宋体"/>
                <w:szCs w:val="21"/>
              </w:rPr>
              <w:t>其他</w:t>
            </w:r>
          </w:p>
          <w:p w14:paraId="2A18FD3C">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default" w:ascii="宋体" w:hAnsi="宋体" w:cs="宋体"/>
                <w:kern w:val="0"/>
                <w:szCs w:val="21"/>
              </w:rPr>
            </w:pPr>
            <w:r>
              <w:rPr>
                <w:rFonts w:hint="eastAsia" w:ascii="宋体" w:hAnsi="宋体" w:cs="宋体"/>
                <w:kern w:val="0"/>
                <w:szCs w:val="21"/>
              </w:rPr>
              <w:t>1、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27A14C23">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default" w:ascii="宋体" w:hAnsi="宋体" w:cs="宋体"/>
                <w:kern w:val="0"/>
                <w:szCs w:val="21"/>
              </w:rPr>
            </w:pPr>
            <w:r>
              <w:rPr>
                <w:rFonts w:hint="eastAsia" w:ascii="宋体" w:hAnsi="宋体" w:cs="宋体"/>
                <w:kern w:val="0"/>
                <w:szCs w:val="21"/>
              </w:rPr>
              <w:t>2、本工程为固定综合单价合同，工程量按实际工程量结算。</w:t>
            </w:r>
          </w:p>
          <w:p w14:paraId="675FCED0">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default" w:ascii="宋体" w:hAnsi="宋体" w:cs="宋体"/>
                <w:kern w:val="0"/>
                <w:szCs w:val="21"/>
              </w:rPr>
            </w:pPr>
            <w:r>
              <w:rPr>
                <w:rFonts w:hint="eastAsia" w:ascii="宋体" w:hAnsi="宋体" w:cs="宋体"/>
                <w:kern w:val="0"/>
                <w:szCs w:val="21"/>
              </w:rPr>
              <w:t>3、供应商不得擅自改动采购人提供的工程量清单内容（计量单位、工程数量等），磋商报价应以采购人提供的工程量清单为基础，结合施工图纸进行报价，竞争性磋商文件（或补充说明）或工程量清单编制说明中出现对施工图修改调整时，以竞争性磋商文件（或补充说明）或工程量清单编制说明的修改调整为准；若工程量清单中分部分项工程量清单项目与施工图纸相对应的项目就具体构造、作法、用材等出现矛盾时，磋商时以采购人提供的工程量清单为准，结算时按实际工程量调整。</w:t>
            </w:r>
          </w:p>
          <w:p w14:paraId="2E2BDDBC">
            <w:pPr>
              <w:keepNext w:val="0"/>
              <w:keepLines w:val="0"/>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lang w:val="en-US" w:eastAsia="zh-CN"/>
              </w:rPr>
            </w:pPr>
            <w:r>
              <w:rPr>
                <w:rFonts w:hint="eastAsia" w:ascii="宋体" w:hAnsi="宋体" w:cs="宋体"/>
                <w:kern w:val="0"/>
                <w:szCs w:val="21"/>
              </w:rPr>
              <w:t>4、施工单位须落实安全生产措施，在施工中发生的一切生产安全事故及其它事故由施工单位负责，同采购人无涉。</w:t>
            </w:r>
          </w:p>
        </w:tc>
      </w:tr>
      <w:tr w14:paraId="3035C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248697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cs="宋体"/>
                <w:b w:val="0"/>
                <w:bCs w:val="0"/>
                <w:sz w:val="21"/>
                <w:szCs w:val="21"/>
              </w:rPr>
            </w:pPr>
            <w:r>
              <w:rPr>
                <w:rFonts w:hint="eastAsia" w:ascii="宋体" w:hAnsi="宋体" w:cs="宋体"/>
                <w:b w:val="0"/>
                <w:bCs w:val="0"/>
                <w:color w:val="auto"/>
                <w:sz w:val="24"/>
                <w:szCs w:val="24"/>
                <w:highlight w:val="none"/>
                <w:lang w:val="en-US" w:eastAsia="zh-CN"/>
              </w:rPr>
              <w:t>8</w:t>
            </w:r>
          </w:p>
        </w:tc>
        <w:tc>
          <w:tcPr>
            <w:tcW w:w="9046" w:type="dxa"/>
            <w:noWrap w:val="0"/>
            <w:vAlign w:val="center"/>
          </w:tcPr>
          <w:p w14:paraId="75C05772">
            <w:pPr>
              <w:keepNext w:val="0"/>
              <w:keepLines w:val="0"/>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1、本招标所提的要求仅为主要要求，不应作为完整的详细的要求；</w:t>
            </w:r>
          </w:p>
          <w:p w14:paraId="2D9001DE">
            <w:pPr>
              <w:keepNext w:val="0"/>
              <w:keepLines w:val="0"/>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2、供应商应负责保护采购人的利益不受损害；一切由于文字、商标和技术专利侵权引起的法律裁决、诉讼及其费用均与采购人无关。</w:t>
            </w:r>
          </w:p>
        </w:tc>
      </w:tr>
      <w:tr w14:paraId="33235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3CE6F090">
            <w:pPr>
              <w:keepNext w:val="0"/>
              <w:keepLines w:val="0"/>
              <w:suppressLineNumbers w:val="0"/>
              <w:spacing w:before="0" w:beforeAutospacing="0" w:after="0" w:afterAutospacing="0" w:line="360" w:lineRule="exact"/>
              <w:ind w:left="0" w:right="0" w:firstLine="210" w:firstLineChars="100"/>
              <w:jc w:val="left"/>
              <w:rPr>
                <w:rFonts w:hint="eastAsia" w:asciiTheme="majorEastAsia" w:hAnsiTheme="majorEastAsia" w:eastAsiaTheme="majorEastAsia" w:cstheme="majorEastAsia"/>
                <w:color w:val="auto"/>
                <w:sz w:val="21"/>
                <w:szCs w:val="21"/>
                <w:highlight w:val="none"/>
                <w:lang w:eastAsia="zh-CN"/>
              </w:rPr>
            </w:pPr>
            <w:r>
              <w:rPr>
                <w:rFonts w:hint="eastAsia" w:ascii="宋体" w:hAnsi="宋体" w:eastAsia="宋体" w:cs="宋体"/>
                <w:color w:val="auto"/>
                <w:szCs w:val="21"/>
                <w:highlight w:val="none"/>
              </w:rPr>
              <w:t>★</w:t>
            </w:r>
            <w:r>
              <w:rPr>
                <w:rFonts w:hint="eastAsia" w:ascii="宋体" w:hAnsi="宋体" w:cs="宋体"/>
                <w:b w:val="0"/>
                <w:bCs w:val="0"/>
                <w:color w:val="auto"/>
                <w:sz w:val="24"/>
                <w:szCs w:val="24"/>
                <w:highlight w:val="none"/>
                <w:lang w:val="en-US" w:eastAsia="zh-CN"/>
              </w:rPr>
              <w:t>9</w:t>
            </w:r>
          </w:p>
        </w:tc>
        <w:tc>
          <w:tcPr>
            <w:tcW w:w="9046" w:type="dxa"/>
            <w:noWrap w:val="0"/>
            <w:vAlign w:val="center"/>
          </w:tcPr>
          <w:p w14:paraId="1AAC6C84">
            <w:pPr>
              <w:keepNext w:val="0"/>
              <w:keepLines w:val="0"/>
              <w:pageBreakBefore w:val="0"/>
              <w:widowControl w:val="0"/>
              <w:numPr>
                <w:ilvl w:val="0"/>
                <w:numId w:val="10"/>
              </w:numPr>
              <w:suppressLineNumbers w:val="0"/>
              <w:kinsoku/>
              <w:wordWrap/>
              <w:overflowPunct/>
              <w:topLinePunct w:val="0"/>
              <w:autoSpaceDE/>
              <w:autoSpaceDN/>
              <w:bidi w:val="0"/>
              <w:adjustRightInd w:val="0"/>
              <w:spacing w:before="0" w:beforeAutospacing="0" w:after="0" w:afterAutospacing="0" w:line="360" w:lineRule="auto"/>
              <w:ind w:left="0" w:right="0"/>
              <w:jc w:val="left"/>
              <w:textAlignment w:val="auto"/>
              <w:rPr>
                <w:rFonts w:hint="eastAsia" w:ascii="宋体" w:hAnsi="宋体" w:cs="宋体"/>
                <w:kern w:val="0"/>
                <w:szCs w:val="21"/>
              </w:rPr>
            </w:pPr>
            <w:r>
              <w:rPr>
                <w:rFonts w:hint="eastAsia" w:asciiTheme="majorEastAsia" w:hAnsiTheme="majorEastAsia" w:eastAsiaTheme="majorEastAsia" w:cstheme="majorEastAsia"/>
                <w:color w:val="auto"/>
                <w:sz w:val="21"/>
                <w:szCs w:val="21"/>
                <w:highlight w:val="none"/>
              </w:rPr>
              <w:t>报价方式：</w:t>
            </w:r>
            <w:r>
              <w:rPr>
                <w:rFonts w:hint="eastAsia" w:ascii="宋体" w:hAnsi="宋体" w:cs="宋体"/>
                <w:kern w:val="0"/>
                <w:szCs w:val="21"/>
              </w:rPr>
              <w:t>按竞争性磋商文件“工程量清单”内容报价。投标人的投标报价不得高于最高限价。</w:t>
            </w:r>
          </w:p>
          <w:p w14:paraId="31CFD256">
            <w:pPr>
              <w:keepNext w:val="0"/>
              <w:keepLines w:val="0"/>
              <w:pageBreakBefore w:val="0"/>
              <w:widowControl w:val="0"/>
              <w:numPr>
                <w:ilvl w:val="0"/>
                <w:numId w:val="0"/>
              </w:numPr>
              <w:suppressLineNumbers w:val="0"/>
              <w:kinsoku/>
              <w:wordWrap/>
              <w:overflowPunct/>
              <w:topLinePunct w:val="0"/>
              <w:autoSpaceDE/>
              <w:autoSpaceDN/>
              <w:bidi w:val="0"/>
              <w:adjustRightInd w:val="0"/>
              <w:spacing w:before="0" w:beforeAutospacing="0" w:after="0" w:afterAutospacing="0" w:line="360" w:lineRule="auto"/>
              <w:ind w:left="0" w:right="0"/>
              <w:jc w:val="left"/>
              <w:textAlignment w:val="auto"/>
              <w:rPr>
                <w:rFonts w:hint="eastAsia" w:ascii="宋体" w:hAnsi="宋体" w:eastAsia="宋体" w:cs="宋体"/>
                <w:kern w:val="0"/>
                <w:szCs w:val="21"/>
                <w:lang w:val="en-US" w:eastAsia="zh-CN"/>
              </w:rPr>
            </w:pPr>
            <w:r>
              <w:rPr>
                <w:rFonts w:hint="eastAsia" w:ascii="宋体" w:hAnsi="宋体" w:cs="宋体"/>
                <w:kern w:val="0"/>
                <w:szCs w:val="21"/>
              </w:rPr>
              <w:t>2、最高限价</w:t>
            </w:r>
            <w:r>
              <w:rPr>
                <w:rFonts w:hint="eastAsia" w:ascii="宋体" w:hAnsi="宋体" w:cs="宋体"/>
                <w:color w:val="auto"/>
                <w:sz w:val="21"/>
                <w:szCs w:val="21"/>
                <w:highlight w:val="none"/>
                <w:u w:val="single"/>
                <w:lang w:val="en-US" w:eastAsia="zh-CN"/>
              </w:rPr>
              <w:t>617547</w:t>
            </w:r>
            <w:r>
              <w:rPr>
                <w:rFonts w:hint="eastAsia" w:ascii="宋体" w:hAnsi="宋体" w:cs="宋体"/>
                <w:kern w:val="0"/>
                <w:szCs w:val="21"/>
              </w:rPr>
              <w:t>元，</w:t>
            </w:r>
            <w:r>
              <w:rPr>
                <w:rFonts w:hint="eastAsia" w:ascii="宋体" w:hAnsi="宋体" w:cs="宋体"/>
                <w:kern w:val="0"/>
                <w:szCs w:val="21"/>
                <w:lang w:val="en-US" w:eastAsia="zh-CN"/>
              </w:rPr>
              <w:t>其中暂列金及不可竞争</w:t>
            </w:r>
            <w:r>
              <w:rPr>
                <w:rFonts w:hint="eastAsia" w:ascii="宋体" w:hAnsi="宋体" w:cs="宋体"/>
                <w:kern w:val="0"/>
                <w:szCs w:val="21"/>
              </w:rPr>
              <w:t>性费用</w:t>
            </w:r>
            <w:r>
              <w:rPr>
                <w:rFonts w:hint="eastAsia" w:ascii="宋体" w:hAnsi="宋体" w:cs="宋体"/>
                <w:kern w:val="0"/>
                <w:szCs w:val="21"/>
                <w:u w:val="single"/>
                <w:lang w:val="en-US" w:eastAsia="zh-CN"/>
              </w:rPr>
              <w:t>31610</w:t>
            </w:r>
            <w:r>
              <w:rPr>
                <w:rFonts w:hint="eastAsia" w:ascii="宋体" w:hAnsi="宋体" w:cs="宋体"/>
                <w:kern w:val="0"/>
                <w:szCs w:val="21"/>
              </w:rPr>
              <w:t>元（含税）</w:t>
            </w:r>
            <w:r>
              <w:rPr>
                <w:rFonts w:hint="eastAsia" w:ascii="宋体" w:hAnsi="宋体" w:cs="宋体"/>
                <w:kern w:val="0"/>
                <w:szCs w:val="21"/>
                <w:lang w:val="en-US" w:eastAsia="zh-CN"/>
              </w:rPr>
              <w:t>不下浮。</w:t>
            </w:r>
          </w:p>
          <w:p w14:paraId="048ADD4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auto"/>
              <w:ind w:left="0" w:right="0"/>
              <w:jc w:val="left"/>
              <w:textAlignment w:val="auto"/>
              <w:rPr>
                <w:rFonts w:hint="eastAsia"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所有有效供应商应在规定时间内（第二次报价开启后的30分钟内）在线提交第二次报价（即最终报价），磋商小组以第二次报价（即最终报价）作为价格评议的标准。</w:t>
            </w:r>
          </w:p>
          <w:p w14:paraId="1D491736">
            <w:pPr>
              <w:keepNext w:val="0"/>
              <w:keepLines w:val="0"/>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rPr>
            </w:pPr>
            <w:r>
              <w:rPr>
                <w:rFonts w:hint="eastAsia" w:ascii="宋体" w:hAnsi="宋体" w:cs="宋体"/>
                <w:b/>
                <w:bCs/>
                <w:kern w:val="0"/>
                <w:szCs w:val="21"/>
              </w:rPr>
              <w:t>注：投标人投标报价精确至元，保留至整数。</w:t>
            </w:r>
          </w:p>
        </w:tc>
      </w:tr>
    </w:tbl>
    <w:p w14:paraId="14887246">
      <w:pPr>
        <w:pStyle w:val="25"/>
        <w:ind w:left="0" w:leftChars="0" w:firstLine="0" w:firstLineChars="0"/>
        <w:rPr>
          <w:rFonts w:hint="eastAsia"/>
        </w:rPr>
      </w:pPr>
    </w:p>
    <w:p w14:paraId="531E292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428ACDE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4A99046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2A50ECA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47A3763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7EE7A2D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067F388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6" w:name="_Toc184308076"/>
      <w:bookmarkEnd w:id="36"/>
      <w:bookmarkStart w:id="37" w:name="_Toc184314463"/>
      <w:bookmarkEnd w:id="37"/>
      <w:bookmarkStart w:id="38" w:name="_Toc184308081"/>
      <w:bookmarkEnd w:id="38"/>
      <w:bookmarkStart w:id="39" w:name="_Toc184312073"/>
      <w:bookmarkEnd w:id="39"/>
      <w:bookmarkStart w:id="40" w:name="_Toc184310337"/>
      <w:bookmarkEnd w:id="40"/>
      <w:bookmarkStart w:id="41" w:name="_Toc184310333"/>
      <w:bookmarkEnd w:id="41"/>
      <w:bookmarkStart w:id="42" w:name="_Toc184310278"/>
      <w:bookmarkEnd w:id="42"/>
      <w:bookmarkStart w:id="43" w:name="_Toc184314454"/>
      <w:bookmarkEnd w:id="43"/>
      <w:bookmarkStart w:id="44" w:name="_Toc184314450"/>
      <w:bookmarkEnd w:id="44"/>
      <w:bookmarkStart w:id="45" w:name="_Toc184313305"/>
      <w:bookmarkEnd w:id="45"/>
      <w:bookmarkStart w:id="46" w:name="_Toc184312080"/>
      <w:bookmarkEnd w:id="46"/>
      <w:bookmarkStart w:id="47" w:name="_Toc184313293"/>
      <w:bookmarkEnd w:id="47"/>
      <w:bookmarkStart w:id="48" w:name="_Toc184310300"/>
      <w:bookmarkEnd w:id="48"/>
      <w:bookmarkStart w:id="49" w:name="_Toc184308100"/>
      <w:bookmarkEnd w:id="49"/>
      <w:bookmarkStart w:id="50" w:name="_Toc184312084"/>
      <w:bookmarkEnd w:id="50"/>
      <w:bookmarkStart w:id="51" w:name="_Toc184308054"/>
      <w:bookmarkEnd w:id="51"/>
      <w:bookmarkStart w:id="52" w:name="_Toc184308070"/>
      <w:bookmarkEnd w:id="52"/>
      <w:bookmarkStart w:id="53" w:name="_Toc184310275"/>
      <w:bookmarkEnd w:id="53"/>
      <w:bookmarkStart w:id="54" w:name="_Toc184312089"/>
      <w:bookmarkEnd w:id="54"/>
      <w:bookmarkStart w:id="55" w:name="_Toc184314423"/>
      <w:bookmarkEnd w:id="55"/>
      <w:bookmarkStart w:id="56" w:name="_Toc184308049"/>
      <w:bookmarkEnd w:id="56"/>
      <w:bookmarkStart w:id="57" w:name="_Toc184312123"/>
      <w:bookmarkEnd w:id="57"/>
      <w:bookmarkStart w:id="58" w:name="_Toc184308097"/>
      <w:bookmarkEnd w:id="58"/>
      <w:bookmarkStart w:id="59" w:name="_Toc184313307"/>
      <w:bookmarkEnd w:id="59"/>
      <w:bookmarkStart w:id="60" w:name="_Toc184312132"/>
      <w:bookmarkEnd w:id="60"/>
      <w:bookmarkStart w:id="61" w:name="_Toc184310281"/>
      <w:bookmarkEnd w:id="61"/>
      <w:bookmarkStart w:id="62" w:name="_Toc184312135"/>
      <w:bookmarkEnd w:id="62"/>
      <w:bookmarkStart w:id="63" w:name="_Toc184313304"/>
      <w:bookmarkEnd w:id="63"/>
      <w:bookmarkStart w:id="64" w:name="_Toc184312095"/>
      <w:bookmarkEnd w:id="64"/>
      <w:bookmarkStart w:id="65" w:name="_Toc184308106"/>
      <w:bookmarkEnd w:id="65"/>
      <w:bookmarkStart w:id="66" w:name="_Toc184312098"/>
      <w:bookmarkEnd w:id="66"/>
      <w:bookmarkStart w:id="67" w:name="_Toc184308041"/>
      <w:bookmarkEnd w:id="67"/>
      <w:bookmarkStart w:id="68" w:name="_Toc184310310"/>
      <w:bookmarkEnd w:id="68"/>
      <w:bookmarkStart w:id="69" w:name="_Toc184312136"/>
      <w:bookmarkEnd w:id="69"/>
      <w:bookmarkStart w:id="70" w:name="_Toc184313288"/>
      <w:bookmarkEnd w:id="70"/>
      <w:bookmarkStart w:id="71" w:name="_Toc184314421"/>
      <w:bookmarkEnd w:id="71"/>
      <w:bookmarkStart w:id="72" w:name="_Toc184313265"/>
      <w:bookmarkEnd w:id="72"/>
      <w:bookmarkStart w:id="73" w:name="_Toc184314444"/>
      <w:bookmarkEnd w:id="73"/>
      <w:bookmarkStart w:id="74" w:name="_Toc184314457"/>
      <w:bookmarkEnd w:id="74"/>
      <w:bookmarkStart w:id="75" w:name="_Toc184313251"/>
      <w:bookmarkEnd w:id="75"/>
      <w:bookmarkStart w:id="76" w:name="_Toc184312094"/>
      <w:bookmarkEnd w:id="76"/>
      <w:bookmarkStart w:id="77" w:name="_Toc184308063"/>
      <w:bookmarkEnd w:id="77"/>
      <w:bookmarkStart w:id="78" w:name="_Toc184313283"/>
      <w:bookmarkEnd w:id="78"/>
      <w:bookmarkStart w:id="79" w:name="_Toc184314430"/>
      <w:bookmarkEnd w:id="79"/>
      <w:bookmarkStart w:id="80" w:name="_Toc184310306"/>
      <w:bookmarkEnd w:id="80"/>
      <w:bookmarkStart w:id="81" w:name="_Toc184312079"/>
      <w:bookmarkEnd w:id="81"/>
      <w:bookmarkStart w:id="82" w:name="_Toc184312099"/>
      <w:bookmarkEnd w:id="82"/>
      <w:bookmarkStart w:id="83" w:name="_Toc184313255"/>
      <w:bookmarkEnd w:id="83"/>
      <w:bookmarkStart w:id="84" w:name="_Toc184308083"/>
      <w:bookmarkEnd w:id="84"/>
      <w:bookmarkStart w:id="85" w:name="_Toc184314455"/>
      <w:bookmarkEnd w:id="85"/>
      <w:bookmarkStart w:id="86" w:name="_Toc184314479"/>
      <w:bookmarkEnd w:id="86"/>
      <w:bookmarkStart w:id="87" w:name="_Toc184310312"/>
      <w:bookmarkEnd w:id="87"/>
      <w:bookmarkStart w:id="88" w:name="_Toc184312097"/>
      <w:bookmarkEnd w:id="88"/>
      <w:bookmarkStart w:id="89" w:name="_Toc184312138"/>
      <w:bookmarkEnd w:id="89"/>
      <w:bookmarkStart w:id="90" w:name="_Toc184308080"/>
      <w:bookmarkEnd w:id="90"/>
      <w:bookmarkStart w:id="91" w:name="_Toc184312111"/>
      <w:bookmarkEnd w:id="91"/>
      <w:bookmarkStart w:id="92" w:name="_Toc184308094"/>
      <w:bookmarkEnd w:id="92"/>
      <w:bookmarkStart w:id="93" w:name="_Toc184312088"/>
      <w:bookmarkEnd w:id="93"/>
      <w:bookmarkStart w:id="94" w:name="_Toc184308085"/>
      <w:bookmarkEnd w:id="94"/>
      <w:bookmarkStart w:id="95" w:name="_Toc184313264"/>
      <w:bookmarkEnd w:id="95"/>
      <w:bookmarkStart w:id="96" w:name="_Toc184308095"/>
      <w:bookmarkEnd w:id="96"/>
      <w:bookmarkStart w:id="97" w:name="_Toc184312077"/>
      <w:bookmarkEnd w:id="97"/>
      <w:bookmarkStart w:id="98" w:name="_Toc184312139"/>
      <w:bookmarkEnd w:id="98"/>
      <w:bookmarkStart w:id="99" w:name="_Toc184312120"/>
      <w:bookmarkEnd w:id="99"/>
      <w:bookmarkStart w:id="100" w:name="_Toc184314428"/>
      <w:bookmarkEnd w:id="100"/>
      <w:bookmarkStart w:id="101" w:name="_Toc184308079"/>
      <w:bookmarkEnd w:id="101"/>
      <w:bookmarkStart w:id="102" w:name="_Toc184313308"/>
      <w:bookmarkEnd w:id="102"/>
      <w:bookmarkStart w:id="103" w:name="_Toc184313294"/>
      <w:bookmarkEnd w:id="103"/>
      <w:bookmarkStart w:id="104" w:name="_Toc184313291"/>
      <w:bookmarkEnd w:id="104"/>
      <w:bookmarkStart w:id="105" w:name="_Toc184312093"/>
      <w:bookmarkEnd w:id="105"/>
      <w:bookmarkStart w:id="106" w:name="_Toc184314410"/>
      <w:bookmarkEnd w:id="106"/>
      <w:bookmarkStart w:id="107" w:name="_Toc184314445"/>
      <w:bookmarkEnd w:id="107"/>
      <w:bookmarkStart w:id="108" w:name="_Toc184314432"/>
      <w:bookmarkEnd w:id="108"/>
      <w:bookmarkStart w:id="109" w:name="_Toc184312129"/>
      <w:bookmarkEnd w:id="109"/>
      <w:bookmarkStart w:id="110" w:name="_Toc184314466"/>
      <w:bookmarkEnd w:id="110"/>
      <w:bookmarkStart w:id="111" w:name="_Toc184310279"/>
      <w:bookmarkEnd w:id="111"/>
      <w:bookmarkStart w:id="112" w:name="_Toc184310273"/>
      <w:bookmarkEnd w:id="112"/>
      <w:bookmarkStart w:id="113" w:name="_Toc184313240"/>
      <w:bookmarkEnd w:id="113"/>
      <w:bookmarkStart w:id="114" w:name="_Toc184313280"/>
      <w:bookmarkEnd w:id="114"/>
      <w:bookmarkStart w:id="115" w:name="_Toc184313303"/>
      <w:bookmarkEnd w:id="115"/>
      <w:bookmarkStart w:id="116" w:name="_Toc184313277"/>
      <w:bookmarkEnd w:id="116"/>
      <w:bookmarkStart w:id="117" w:name="_Toc184313244"/>
      <w:bookmarkEnd w:id="117"/>
      <w:bookmarkStart w:id="118" w:name="_Toc184308099"/>
      <w:bookmarkEnd w:id="118"/>
      <w:bookmarkStart w:id="119" w:name="_Toc184314412"/>
      <w:bookmarkEnd w:id="119"/>
      <w:bookmarkStart w:id="120" w:name="_Toc184312078"/>
      <w:bookmarkEnd w:id="120"/>
      <w:bookmarkStart w:id="121" w:name="_Toc184310295"/>
      <w:bookmarkEnd w:id="121"/>
      <w:bookmarkStart w:id="122" w:name="_Toc184308040"/>
      <w:bookmarkEnd w:id="122"/>
      <w:bookmarkStart w:id="123" w:name="_Toc184308039"/>
      <w:bookmarkEnd w:id="123"/>
      <w:bookmarkStart w:id="124" w:name="_Toc184312076"/>
      <w:bookmarkEnd w:id="124"/>
      <w:bookmarkStart w:id="125" w:name="_Toc184313271"/>
      <w:bookmarkEnd w:id="125"/>
      <w:bookmarkStart w:id="126" w:name="_Toc184308062"/>
      <w:bookmarkEnd w:id="126"/>
      <w:bookmarkStart w:id="127" w:name="_Toc184310331"/>
      <w:bookmarkEnd w:id="127"/>
      <w:bookmarkStart w:id="128" w:name="_Toc184310334"/>
      <w:bookmarkEnd w:id="128"/>
      <w:bookmarkStart w:id="129" w:name="_Toc184313272"/>
      <w:bookmarkEnd w:id="129"/>
      <w:bookmarkStart w:id="130" w:name="_Toc184310290"/>
      <w:bookmarkEnd w:id="130"/>
      <w:bookmarkStart w:id="131" w:name="_Toc184313270"/>
      <w:bookmarkEnd w:id="131"/>
      <w:bookmarkStart w:id="132" w:name="_Toc184313259"/>
      <w:bookmarkEnd w:id="132"/>
      <w:bookmarkStart w:id="133" w:name="_Toc184308068"/>
      <w:bookmarkEnd w:id="133"/>
      <w:bookmarkStart w:id="134" w:name="_Toc184310339"/>
      <w:bookmarkEnd w:id="134"/>
      <w:bookmarkStart w:id="135" w:name="_Toc184310336"/>
      <w:bookmarkEnd w:id="135"/>
      <w:bookmarkStart w:id="136" w:name="_Toc184310327"/>
      <w:bookmarkEnd w:id="136"/>
      <w:bookmarkStart w:id="137" w:name="_Toc184312106"/>
      <w:bookmarkEnd w:id="137"/>
      <w:bookmarkStart w:id="138" w:name="_Toc184310324"/>
      <w:bookmarkEnd w:id="138"/>
      <w:bookmarkStart w:id="139" w:name="_Toc184308101"/>
      <w:bookmarkEnd w:id="139"/>
      <w:bookmarkStart w:id="140" w:name="_Toc184310288"/>
      <w:bookmarkEnd w:id="140"/>
      <w:bookmarkStart w:id="141" w:name="_Toc184310320"/>
      <w:bookmarkEnd w:id="141"/>
      <w:bookmarkStart w:id="142" w:name="_Toc184314478"/>
      <w:bookmarkEnd w:id="142"/>
      <w:bookmarkStart w:id="143" w:name="_Toc184314413"/>
      <w:bookmarkEnd w:id="143"/>
      <w:bookmarkStart w:id="144" w:name="_Toc184310323"/>
      <w:bookmarkEnd w:id="144"/>
      <w:bookmarkStart w:id="145" w:name="_Toc184308074"/>
      <w:bookmarkEnd w:id="145"/>
      <w:bookmarkStart w:id="146" w:name="_Toc184314448"/>
      <w:bookmarkEnd w:id="146"/>
      <w:bookmarkStart w:id="147" w:name="_Toc184310313"/>
      <w:bookmarkEnd w:id="147"/>
      <w:bookmarkStart w:id="148" w:name="_Toc184308077"/>
      <w:bookmarkEnd w:id="148"/>
      <w:bookmarkStart w:id="149" w:name="_Toc184313269"/>
      <w:bookmarkEnd w:id="149"/>
      <w:bookmarkStart w:id="150" w:name="_Toc184312110"/>
      <w:bookmarkEnd w:id="150"/>
      <w:bookmarkStart w:id="151" w:name="_Toc184312105"/>
      <w:bookmarkEnd w:id="151"/>
      <w:bookmarkStart w:id="152" w:name="_Toc184310321"/>
      <w:bookmarkEnd w:id="152"/>
      <w:bookmarkStart w:id="153" w:name="_Toc184313297"/>
      <w:bookmarkEnd w:id="153"/>
      <w:bookmarkStart w:id="154" w:name="_Toc184312108"/>
      <w:bookmarkEnd w:id="154"/>
      <w:bookmarkStart w:id="155" w:name="_Toc184308108"/>
      <w:bookmarkEnd w:id="155"/>
      <w:bookmarkStart w:id="156" w:name="_Toc184314418"/>
      <w:bookmarkEnd w:id="156"/>
      <w:bookmarkStart w:id="157" w:name="_Toc184314434"/>
      <w:bookmarkEnd w:id="157"/>
      <w:bookmarkStart w:id="158" w:name="_Toc184308044"/>
      <w:bookmarkEnd w:id="158"/>
      <w:bookmarkStart w:id="159" w:name="_Toc184308082"/>
      <w:bookmarkEnd w:id="159"/>
      <w:bookmarkStart w:id="160" w:name="_Toc184314461"/>
      <w:bookmarkEnd w:id="160"/>
      <w:bookmarkStart w:id="161" w:name="_Toc184308088"/>
      <w:bookmarkEnd w:id="161"/>
      <w:bookmarkStart w:id="162" w:name="_Toc184313284"/>
      <w:bookmarkEnd w:id="162"/>
      <w:bookmarkStart w:id="163" w:name="_Toc184310291"/>
      <w:bookmarkEnd w:id="163"/>
      <w:bookmarkStart w:id="164" w:name="_Toc184313306"/>
      <w:bookmarkEnd w:id="164"/>
      <w:bookmarkStart w:id="165" w:name="_Toc184310293"/>
      <w:bookmarkEnd w:id="165"/>
      <w:bookmarkStart w:id="166" w:name="_Toc184313300"/>
      <w:bookmarkEnd w:id="166"/>
      <w:bookmarkStart w:id="167" w:name="_Toc184313253"/>
      <w:bookmarkEnd w:id="167"/>
      <w:bookmarkStart w:id="168" w:name="_Toc184313310"/>
      <w:bookmarkEnd w:id="168"/>
      <w:bookmarkStart w:id="169" w:name="_Toc184308043"/>
      <w:bookmarkEnd w:id="169"/>
      <w:bookmarkStart w:id="170" w:name="_Toc184314462"/>
      <w:bookmarkEnd w:id="170"/>
      <w:bookmarkStart w:id="171" w:name="_Toc184308061"/>
      <w:bookmarkEnd w:id="171"/>
      <w:bookmarkStart w:id="172" w:name="_Toc184312112"/>
      <w:bookmarkEnd w:id="172"/>
      <w:bookmarkStart w:id="173" w:name="_Toc184313252"/>
      <w:bookmarkEnd w:id="173"/>
      <w:bookmarkStart w:id="174" w:name="_Toc184312067"/>
      <w:bookmarkEnd w:id="174"/>
      <w:bookmarkStart w:id="175" w:name="_Toc184314460"/>
      <w:bookmarkEnd w:id="175"/>
      <w:bookmarkStart w:id="176" w:name="_Toc184308053"/>
      <w:bookmarkEnd w:id="176"/>
      <w:bookmarkStart w:id="177" w:name="_Toc184308086"/>
      <w:bookmarkEnd w:id="177"/>
      <w:bookmarkStart w:id="178" w:name="_Toc184310292"/>
      <w:bookmarkEnd w:id="178"/>
      <w:bookmarkStart w:id="179" w:name="_Toc184314438"/>
      <w:bookmarkEnd w:id="179"/>
      <w:bookmarkStart w:id="180" w:name="_Toc184310328"/>
      <w:bookmarkEnd w:id="180"/>
      <w:bookmarkStart w:id="181" w:name="_Toc184310282"/>
      <w:bookmarkEnd w:id="181"/>
      <w:bookmarkStart w:id="182" w:name="_Toc184312081"/>
      <w:bookmarkEnd w:id="182"/>
      <w:bookmarkStart w:id="183" w:name="_Toc184314481"/>
      <w:bookmarkEnd w:id="183"/>
      <w:bookmarkStart w:id="184" w:name="_Toc184308046"/>
      <w:bookmarkEnd w:id="184"/>
      <w:bookmarkStart w:id="185" w:name="_Toc184308058"/>
      <w:bookmarkEnd w:id="185"/>
      <w:bookmarkStart w:id="186" w:name="_Toc184310326"/>
      <w:bookmarkEnd w:id="186"/>
      <w:bookmarkStart w:id="187" w:name="_Toc184312102"/>
      <w:bookmarkEnd w:id="187"/>
      <w:bookmarkStart w:id="188" w:name="_Toc184310308"/>
      <w:bookmarkEnd w:id="188"/>
      <w:bookmarkStart w:id="189" w:name="_Toc184314468"/>
      <w:bookmarkEnd w:id="189"/>
      <w:bookmarkStart w:id="190" w:name="_Toc184313290"/>
      <w:bookmarkEnd w:id="190"/>
      <w:bookmarkStart w:id="191" w:name="_Toc184310285"/>
      <w:bookmarkEnd w:id="191"/>
      <w:bookmarkStart w:id="192" w:name="_Toc184314464"/>
      <w:bookmarkEnd w:id="192"/>
      <w:bookmarkStart w:id="193" w:name="_Toc184310330"/>
      <w:bookmarkEnd w:id="193"/>
      <w:bookmarkStart w:id="194" w:name="_Toc184308084"/>
      <w:bookmarkEnd w:id="194"/>
      <w:bookmarkStart w:id="195" w:name="_Toc184308069"/>
      <w:bookmarkEnd w:id="195"/>
      <w:bookmarkStart w:id="196" w:name="_Toc184310283"/>
      <w:bookmarkEnd w:id="196"/>
      <w:bookmarkStart w:id="197" w:name="_Toc184313268"/>
      <w:bookmarkEnd w:id="197"/>
      <w:bookmarkStart w:id="198" w:name="_Toc184313276"/>
      <w:bookmarkEnd w:id="198"/>
      <w:bookmarkStart w:id="199" w:name="_Toc184314480"/>
      <w:bookmarkEnd w:id="199"/>
      <w:bookmarkStart w:id="200" w:name="_Toc184312101"/>
      <w:bookmarkEnd w:id="200"/>
      <w:bookmarkStart w:id="201" w:name="_Toc184314429"/>
      <w:bookmarkEnd w:id="201"/>
      <w:bookmarkStart w:id="202" w:name="_Toc184314459"/>
      <w:bookmarkEnd w:id="202"/>
      <w:bookmarkStart w:id="203" w:name="_Toc184310274"/>
      <w:bookmarkEnd w:id="203"/>
      <w:bookmarkStart w:id="204" w:name="_Toc184313261"/>
      <w:bookmarkEnd w:id="204"/>
      <w:bookmarkStart w:id="205" w:name="_Toc184310319"/>
      <w:bookmarkEnd w:id="205"/>
      <w:bookmarkStart w:id="206" w:name="_Toc184312085"/>
      <w:bookmarkEnd w:id="206"/>
      <w:bookmarkStart w:id="207" w:name="_Toc184313241"/>
      <w:bookmarkEnd w:id="207"/>
      <w:bookmarkStart w:id="208" w:name="_Toc184313257"/>
      <w:bookmarkEnd w:id="208"/>
      <w:bookmarkStart w:id="209" w:name="_Toc184308051"/>
      <w:bookmarkEnd w:id="209"/>
      <w:bookmarkStart w:id="210" w:name="_Toc184308048"/>
      <w:bookmarkEnd w:id="210"/>
      <w:bookmarkStart w:id="211" w:name="_Toc184310341"/>
      <w:bookmarkEnd w:id="211"/>
      <w:bookmarkStart w:id="212" w:name="_Toc184313292"/>
      <w:bookmarkEnd w:id="212"/>
      <w:bookmarkStart w:id="213" w:name="_Toc184314427"/>
      <w:bookmarkEnd w:id="213"/>
      <w:bookmarkStart w:id="214" w:name="_Toc184312122"/>
      <w:bookmarkEnd w:id="214"/>
      <w:bookmarkStart w:id="215" w:name="_Toc184312113"/>
      <w:bookmarkEnd w:id="215"/>
      <w:bookmarkStart w:id="216" w:name="_Toc184314451"/>
      <w:bookmarkEnd w:id="216"/>
      <w:bookmarkStart w:id="217" w:name="_Toc184308078"/>
      <w:bookmarkEnd w:id="217"/>
      <w:bookmarkStart w:id="218" w:name="_Toc184314439"/>
      <w:bookmarkEnd w:id="218"/>
      <w:bookmarkStart w:id="219" w:name="_Toc184308093"/>
      <w:bookmarkEnd w:id="219"/>
      <w:bookmarkStart w:id="220" w:name="_Toc184312119"/>
      <w:bookmarkEnd w:id="220"/>
      <w:bookmarkStart w:id="221" w:name="_Toc184313246"/>
      <w:bookmarkEnd w:id="221"/>
      <w:bookmarkStart w:id="222" w:name="_Toc184312071"/>
      <w:bookmarkEnd w:id="222"/>
      <w:bookmarkStart w:id="223" w:name="_Toc184312090"/>
      <w:bookmarkEnd w:id="223"/>
      <w:bookmarkStart w:id="224" w:name="_Toc184314442"/>
      <w:bookmarkEnd w:id="224"/>
      <w:bookmarkStart w:id="225" w:name="_Toc184308060"/>
      <w:bookmarkEnd w:id="225"/>
      <w:bookmarkStart w:id="226" w:name="_Toc184314415"/>
      <w:bookmarkEnd w:id="226"/>
      <w:bookmarkStart w:id="227" w:name="_Toc184310332"/>
      <w:bookmarkEnd w:id="227"/>
      <w:bookmarkStart w:id="228" w:name="_Toc184310284"/>
      <w:bookmarkEnd w:id="228"/>
      <w:bookmarkStart w:id="229" w:name="_Toc184308104"/>
      <w:bookmarkEnd w:id="229"/>
      <w:bookmarkStart w:id="230" w:name="_Toc184312133"/>
      <w:bookmarkEnd w:id="230"/>
      <w:bookmarkStart w:id="231" w:name="_Toc184313273"/>
      <w:bookmarkEnd w:id="231"/>
      <w:bookmarkStart w:id="232" w:name="_Toc184310343"/>
      <w:bookmarkEnd w:id="232"/>
      <w:bookmarkStart w:id="233" w:name="_Toc184312118"/>
      <w:bookmarkEnd w:id="233"/>
      <w:bookmarkStart w:id="234" w:name="_Toc184308103"/>
      <w:bookmarkEnd w:id="234"/>
      <w:bookmarkStart w:id="235" w:name="_Toc184312117"/>
      <w:bookmarkEnd w:id="235"/>
      <w:bookmarkStart w:id="236" w:name="_Toc184312074"/>
      <w:bookmarkEnd w:id="236"/>
      <w:bookmarkStart w:id="237" w:name="_Toc184314433"/>
      <w:bookmarkEnd w:id="237"/>
      <w:bookmarkStart w:id="238" w:name="_Toc184314420"/>
      <w:bookmarkEnd w:id="238"/>
      <w:bookmarkStart w:id="239" w:name="_Toc184308098"/>
      <w:bookmarkEnd w:id="239"/>
      <w:bookmarkStart w:id="240" w:name="_Toc184313282"/>
      <w:bookmarkEnd w:id="240"/>
      <w:bookmarkStart w:id="241" w:name="_Toc184313302"/>
      <w:bookmarkEnd w:id="241"/>
      <w:bookmarkStart w:id="242" w:name="_Toc184308067"/>
      <w:bookmarkEnd w:id="242"/>
      <w:bookmarkStart w:id="243" w:name="_Toc184308065"/>
      <w:bookmarkEnd w:id="243"/>
      <w:bookmarkStart w:id="244" w:name="_Toc184314465"/>
      <w:bookmarkEnd w:id="244"/>
      <w:bookmarkStart w:id="245" w:name="_Toc184310297"/>
      <w:bookmarkEnd w:id="245"/>
      <w:bookmarkStart w:id="246" w:name="_Toc184308059"/>
      <w:bookmarkEnd w:id="246"/>
      <w:bookmarkStart w:id="247" w:name="_Toc184313287"/>
      <w:bookmarkEnd w:id="247"/>
      <w:bookmarkStart w:id="248" w:name="_Toc184308107"/>
      <w:bookmarkEnd w:id="248"/>
      <w:bookmarkStart w:id="249" w:name="_Toc184314411"/>
      <w:bookmarkEnd w:id="249"/>
      <w:bookmarkStart w:id="250" w:name="_Toc184313301"/>
      <w:bookmarkEnd w:id="250"/>
      <w:bookmarkStart w:id="251" w:name="_Toc184310296"/>
      <w:bookmarkEnd w:id="251"/>
      <w:bookmarkStart w:id="252" w:name="_Toc184312115"/>
      <w:bookmarkEnd w:id="252"/>
      <w:bookmarkStart w:id="253" w:name="_Toc184314422"/>
      <w:bookmarkEnd w:id="253"/>
      <w:bookmarkStart w:id="254" w:name="_Toc184312072"/>
      <w:bookmarkEnd w:id="254"/>
      <w:bookmarkStart w:id="255" w:name="_Toc184313239"/>
      <w:bookmarkEnd w:id="255"/>
      <w:bookmarkStart w:id="256" w:name="_Toc184314453"/>
      <w:bookmarkEnd w:id="256"/>
      <w:bookmarkStart w:id="257" w:name="_Toc184313250"/>
      <w:bookmarkEnd w:id="257"/>
      <w:bookmarkStart w:id="258" w:name="_Toc184313248"/>
      <w:bookmarkEnd w:id="258"/>
      <w:bookmarkStart w:id="259" w:name="_Toc184314426"/>
      <w:bookmarkEnd w:id="259"/>
      <w:bookmarkStart w:id="260" w:name="_Toc184312107"/>
      <w:bookmarkEnd w:id="260"/>
      <w:bookmarkStart w:id="261" w:name="_Toc184312128"/>
      <w:bookmarkEnd w:id="261"/>
      <w:bookmarkStart w:id="262" w:name="_Toc184313247"/>
      <w:bookmarkEnd w:id="262"/>
      <w:bookmarkStart w:id="263" w:name="_Toc184313298"/>
      <w:bookmarkEnd w:id="263"/>
      <w:bookmarkStart w:id="264" w:name="_Toc184314472"/>
      <w:bookmarkEnd w:id="264"/>
      <w:bookmarkStart w:id="265" w:name="_Toc184310344"/>
      <w:bookmarkEnd w:id="265"/>
      <w:bookmarkStart w:id="266" w:name="_Toc184308066"/>
      <w:bookmarkEnd w:id="266"/>
      <w:bookmarkStart w:id="267" w:name="_Toc184313296"/>
      <w:bookmarkEnd w:id="267"/>
      <w:bookmarkStart w:id="268" w:name="_Toc184314458"/>
      <w:bookmarkEnd w:id="268"/>
      <w:bookmarkStart w:id="269" w:name="_Toc184310289"/>
      <w:bookmarkEnd w:id="269"/>
      <w:bookmarkStart w:id="270" w:name="_Toc184310342"/>
      <w:bookmarkEnd w:id="270"/>
      <w:bookmarkStart w:id="271" w:name="_Toc184314425"/>
      <w:bookmarkEnd w:id="271"/>
      <w:bookmarkStart w:id="272" w:name="_Toc184310322"/>
      <w:bookmarkEnd w:id="272"/>
      <w:bookmarkStart w:id="273" w:name="_Toc184310286"/>
      <w:bookmarkEnd w:id="273"/>
      <w:bookmarkStart w:id="274" w:name="_Toc184310303"/>
      <w:bookmarkEnd w:id="274"/>
      <w:bookmarkStart w:id="275" w:name="_Toc184314470"/>
      <w:bookmarkEnd w:id="275"/>
      <w:bookmarkStart w:id="276" w:name="_Toc184314473"/>
      <w:bookmarkEnd w:id="276"/>
      <w:bookmarkStart w:id="277" w:name="_Toc184313285"/>
      <w:bookmarkEnd w:id="277"/>
      <w:bookmarkStart w:id="278" w:name="_Toc184308042"/>
      <w:bookmarkEnd w:id="278"/>
      <w:bookmarkStart w:id="279" w:name="_Toc184308047"/>
      <w:bookmarkEnd w:id="279"/>
      <w:bookmarkStart w:id="280" w:name="_Toc184312069"/>
      <w:bookmarkEnd w:id="280"/>
      <w:bookmarkStart w:id="281" w:name="_Toc184313266"/>
      <w:bookmarkEnd w:id="281"/>
      <w:bookmarkStart w:id="282" w:name="_Toc184314417"/>
      <w:bookmarkEnd w:id="282"/>
      <w:bookmarkStart w:id="283" w:name="_Toc184312104"/>
      <w:bookmarkEnd w:id="283"/>
      <w:bookmarkStart w:id="284" w:name="_Toc184310335"/>
      <w:bookmarkEnd w:id="284"/>
      <w:bookmarkStart w:id="285" w:name="_Toc184312096"/>
      <w:bookmarkEnd w:id="285"/>
      <w:bookmarkStart w:id="286" w:name="_Toc184314443"/>
      <w:bookmarkEnd w:id="286"/>
      <w:bookmarkStart w:id="287" w:name="_Toc184312082"/>
      <w:bookmarkEnd w:id="287"/>
      <w:bookmarkStart w:id="288" w:name="_Toc184310276"/>
      <w:bookmarkEnd w:id="288"/>
      <w:bookmarkStart w:id="289" w:name="_Toc184308089"/>
      <w:bookmarkEnd w:id="289"/>
      <w:bookmarkStart w:id="290" w:name="_Toc184313267"/>
      <w:bookmarkEnd w:id="290"/>
      <w:bookmarkStart w:id="291" w:name="_Toc184314456"/>
      <w:bookmarkEnd w:id="291"/>
      <w:bookmarkStart w:id="292" w:name="_Toc184314452"/>
      <w:bookmarkEnd w:id="292"/>
      <w:bookmarkStart w:id="293" w:name="_Toc184310309"/>
      <w:bookmarkEnd w:id="293"/>
      <w:bookmarkStart w:id="294" w:name="_Toc184314471"/>
      <w:bookmarkEnd w:id="294"/>
      <w:bookmarkStart w:id="295" w:name="_Toc184310299"/>
      <w:bookmarkEnd w:id="295"/>
      <w:bookmarkStart w:id="296" w:name="_Toc184314424"/>
      <w:bookmarkEnd w:id="296"/>
      <w:bookmarkStart w:id="297" w:name="_Toc184310338"/>
      <w:bookmarkEnd w:id="297"/>
      <w:bookmarkStart w:id="298" w:name="_Toc184308071"/>
      <w:bookmarkEnd w:id="298"/>
      <w:bookmarkStart w:id="299" w:name="_Toc184314416"/>
      <w:bookmarkEnd w:id="299"/>
      <w:bookmarkStart w:id="300" w:name="_Toc184312116"/>
      <w:bookmarkEnd w:id="300"/>
      <w:bookmarkStart w:id="301" w:name="_Toc184308072"/>
      <w:bookmarkEnd w:id="301"/>
      <w:bookmarkStart w:id="302" w:name="_Toc184308096"/>
      <w:bookmarkEnd w:id="302"/>
      <w:bookmarkStart w:id="303" w:name="_Toc184308064"/>
      <w:bookmarkEnd w:id="303"/>
      <w:bookmarkStart w:id="304" w:name="_Toc184313281"/>
      <w:bookmarkEnd w:id="304"/>
      <w:bookmarkStart w:id="305" w:name="_Toc184314446"/>
      <w:bookmarkEnd w:id="305"/>
      <w:bookmarkStart w:id="306" w:name="_Toc184313309"/>
      <w:bookmarkEnd w:id="306"/>
      <w:bookmarkStart w:id="307" w:name="_Toc184308056"/>
      <w:bookmarkEnd w:id="307"/>
      <w:bookmarkStart w:id="308" w:name="_Toc184308105"/>
      <w:bookmarkEnd w:id="308"/>
      <w:bookmarkStart w:id="309" w:name="_Toc184312086"/>
      <w:bookmarkEnd w:id="309"/>
      <w:bookmarkStart w:id="310" w:name="_Toc184310317"/>
      <w:bookmarkEnd w:id="310"/>
      <w:bookmarkStart w:id="311" w:name="_Toc184310314"/>
      <w:bookmarkEnd w:id="311"/>
      <w:bookmarkStart w:id="312" w:name="_Toc184310315"/>
      <w:bookmarkEnd w:id="312"/>
      <w:bookmarkStart w:id="313" w:name="_Toc184312134"/>
      <w:bookmarkEnd w:id="313"/>
      <w:bookmarkStart w:id="314" w:name="_Toc184312092"/>
      <w:bookmarkEnd w:id="314"/>
      <w:bookmarkStart w:id="315" w:name="_Toc184312131"/>
      <w:bookmarkEnd w:id="315"/>
      <w:bookmarkStart w:id="316" w:name="_Toc184312130"/>
      <w:bookmarkEnd w:id="316"/>
      <w:bookmarkStart w:id="317" w:name="_Toc184312083"/>
      <w:bookmarkEnd w:id="317"/>
      <w:bookmarkStart w:id="318" w:name="_Toc184313289"/>
      <w:bookmarkEnd w:id="318"/>
      <w:bookmarkStart w:id="319" w:name="_Toc184313278"/>
      <w:bookmarkEnd w:id="319"/>
      <w:bookmarkStart w:id="320" w:name="_Toc184314419"/>
      <w:bookmarkEnd w:id="320"/>
      <w:bookmarkStart w:id="321" w:name="_Toc184314440"/>
      <w:bookmarkEnd w:id="321"/>
      <w:bookmarkStart w:id="322" w:name="_Toc184310329"/>
      <w:bookmarkEnd w:id="322"/>
      <w:bookmarkStart w:id="323" w:name="_Toc184312124"/>
      <w:bookmarkEnd w:id="323"/>
      <w:bookmarkStart w:id="324" w:name="_Toc184313299"/>
      <w:bookmarkEnd w:id="324"/>
      <w:bookmarkStart w:id="325" w:name="_Toc184312100"/>
      <w:bookmarkEnd w:id="325"/>
      <w:bookmarkStart w:id="326" w:name="_Toc184313260"/>
      <w:bookmarkEnd w:id="326"/>
      <w:bookmarkStart w:id="327" w:name="_Toc184310311"/>
      <w:bookmarkEnd w:id="327"/>
      <w:bookmarkStart w:id="328" w:name="_Toc184312125"/>
      <w:bookmarkEnd w:id="328"/>
      <w:bookmarkStart w:id="329" w:name="_Toc184310340"/>
      <w:bookmarkEnd w:id="329"/>
      <w:bookmarkStart w:id="330" w:name="_Toc184312109"/>
      <w:bookmarkEnd w:id="330"/>
      <w:bookmarkStart w:id="331" w:name="_Toc184313242"/>
      <w:bookmarkEnd w:id="331"/>
      <w:bookmarkStart w:id="332" w:name="_Toc184314435"/>
      <w:bookmarkEnd w:id="332"/>
      <w:bookmarkStart w:id="333" w:name="_Toc184308050"/>
      <w:bookmarkEnd w:id="333"/>
      <w:bookmarkStart w:id="334" w:name="_Toc184308073"/>
      <w:bookmarkEnd w:id="334"/>
      <w:bookmarkStart w:id="335" w:name="_Toc184314437"/>
      <w:bookmarkEnd w:id="335"/>
      <w:bookmarkStart w:id="336" w:name="_Toc184308092"/>
      <w:bookmarkEnd w:id="336"/>
      <w:bookmarkStart w:id="337" w:name="_Toc184314477"/>
      <w:bookmarkEnd w:id="337"/>
      <w:bookmarkStart w:id="338" w:name="_Toc184312126"/>
      <w:bookmarkEnd w:id="338"/>
      <w:bookmarkStart w:id="339" w:name="_Toc184308075"/>
      <w:bookmarkEnd w:id="339"/>
      <w:bookmarkStart w:id="340" w:name="_Toc184310280"/>
      <w:bookmarkEnd w:id="340"/>
      <w:bookmarkStart w:id="341" w:name="_Toc184313256"/>
      <w:bookmarkEnd w:id="341"/>
      <w:bookmarkStart w:id="342" w:name="_Toc184308057"/>
      <w:bookmarkEnd w:id="342"/>
      <w:bookmarkStart w:id="343" w:name="_Toc184308087"/>
      <w:bookmarkEnd w:id="343"/>
      <w:bookmarkStart w:id="344" w:name="_Toc184312121"/>
      <w:bookmarkEnd w:id="344"/>
      <w:bookmarkStart w:id="345" w:name="_Toc184313258"/>
      <w:bookmarkEnd w:id="345"/>
      <w:bookmarkStart w:id="346" w:name="_Toc184314476"/>
      <w:bookmarkEnd w:id="346"/>
      <w:bookmarkStart w:id="347" w:name="_Toc184314475"/>
      <w:bookmarkEnd w:id="347"/>
      <w:bookmarkStart w:id="348" w:name="_Toc184310298"/>
      <w:bookmarkEnd w:id="348"/>
      <w:bookmarkStart w:id="349" w:name="_Toc184310318"/>
      <w:bookmarkEnd w:id="349"/>
      <w:bookmarkStart w:id="350" w:name="_Toc184308038"/>
      <w:bookmarkEnd w:id="350"/>
      <w:bookmarkStart w:id="351" w:name="_Toc184314449"/>
      <w:bookmarkEnd w:id="351"/>
      <w:bookmarkStart w:id="352" w:name="_Toc184314482"/>
      <w:bookmarkEnd w:id="352"/>
      <w:bookmarkStart w:id="353" w:name="_Toc184310302"/>
      <w:bookmarkEnd w:id="353"/>
      <w:bookmarkStart w:id="354" w:name="_Toc184314474"/>
      <w:bookmarkEnd w:id="354"/>
      <w:bookmarkStart w:id="355" w:name="_Toc184312075"/>
      <w:bookmarkEnd w:id="355"/>
      <w:bookmarkStart w:id="356" w:name="_Toc184313275"/>
      <w:bookmarkEnd w:id="356"/>
      <w:bookmarkStart w:id="357" w:name="_Toc184308102"/>
      <w:bookmarkEnd w:id="357"/>
      <w:bookmarkStart w:id="358" w:name="_Toc184308037"/>
      <w:bookmarkEnd w:id="358"/>
      <w:bookmarkStart w:id="359" w:name="_Toc184310307"/>
      <w:bookmarkEnd w:id="359"/>
      <w:bookmarkStart w:id="360" w:name="_Toc184308091"/>
      <w:bookmarkEnd w:id="360"/>
      <w:bookmarkStart w:id="361" w:name="_Toc184312087"/>
      <w:bookmarkEnd w:id="361"/>
      <w:bookmarkStart w:id="362" w:name="_Toc184314436"/>
      <w:bookmarkEnd w:id="362"/>
      <w:bookmarkStart w:id="363" w:name="_Toc184313249"/>
      <w:bookmarkEnd w:id="363"/>
      <w:bookmarkStart w:id="364" w:name="_Toc184314447"/>
      <w:bookmarkEnd w:id="364"/>
      <w:bookmarkStart w:id="365" w:name="_Toc184312091"/>
      <w:bookmarkEnd w:id="365"/>
      <w:bookmarkStart w:id="366" w:name="_Toc184312127"/>
      <w:bookmarkEnd w:id="366"/>
      <w:bookmarkStart w:id="367" w:name="_Toc184308055"/>
      <w:bookmarkEnd w:id="367"/>
      <w:bookmarkStart w:id="368" w:name="_Toc184313279"/>
      <w:bookmarkEnd w:id="368"/>
      <w:bookmarkStart w:id="369" w:name="_Toc184312103"/>
      <w:bookmarkEnd w:id="369"/>
      <w:bookmarkStart w:id="370" w:name="_Toc184308045"/>
      <w:bookmarkEnd w:id="370"/>
      <w:bookmarkStart w:id="371" w:name="_Toc184310277"/>
      <w:bookmarkEnd w:id="371"/>
      <w:bookmarkStart w:id="372" w:name="_Toc184313286"/>
      <w:bookmarkEnd w:id="372"/>
      <w:bookmarkStart w:id="373" w:name="_Toc184310325"/>
      <w:bookmarkEnd w:id="373"/>
      <w:bookmarkStart w:id="374" w:name="_Toc184308052"/>
      <w:bookmarkEnd w:id="374"/>
      <w:bookmarkStart w:id="375" w:name="_Toc184310287"/>
      <w:bookmarkEnd w:id="375"/>
      <w:bookmarkStart w:id="376" w:name="_Toc184312070"/>
      <w:bookmarkEnd w:id="376"/>
      <w:bookmarkStart w:id="377" w:name="_Toc184313243"/>
      <w:bookmarkEnd w:id="377"/>
      <w:bookmarkStart w:id="378" w:name="_Toc184310305"/>
      <w:bookmarkEnd w:id="378"/>
      <w:bookmarkStart w:id="379" w:name="_Toc184308036"/>
      <w:bookmarkEnd w:id="379"/>
      <w:bookmarkStart w:id="380" w:name="_Toc184312137"/>
      <w:bookmarkEnd w:id="380"/>
      <w:bookmarkStart w:id="381" w:name="_Toc184310294"/>
      <w:bookmarkEnd w:id="381"/>
      <w:bookmarkStart w:id="382" w:name="_Toc184314414"/>
      <w:bookmarkEnd w:id="382"/>
      <w:bookmarkStart w:id="383" w:name="_Toc184313262"/>
      <w:bookmarkEnd w:id="383"/>
      <w:bookmarkStart w:id="384" w:name="_Toc184314469"/>
      <w:bookmarkEnd w:id="384"/>
      <w:bookmarkStart w:id="385" w:name="_Toc184313254"/>
      <w:bookmarkEnd w:id="385"/>
      <w:bookmarkStart w:id="386" w:name="_Toc184310301"/>
      <w:bookmarkEnd w:id="386"/>
      <w:bookmarkStart w:id="387" w:name="_Toc184313263"/>
      <w:bookmarkEnd w:id="387"/>
      <w:bookmarkStart w:id="388" w:name="_Toc184313245"/>
      <w:bookmarkEnd w:id="388"/>
      <w:bookmarkStart w:id="389" w:name="_Toc184310316"/>
      <w:bookmarkEnd w:id="389"/>
      <w:bookmarkStart w:id="390" w:name="_Toc184313295"/>
      <w:bookmarkEnd w:id="390"/>
      <w:bookmarkStart w:id="391" w:name="_Toc184314467"/>
      <w:bookmarkEnd w:id="391"/>
      <w:bookmarkStart w:id="392" w:name="_Toc184313238"/>
      <w:bookmarkEnd w:id="392"/>
      <w:bookmarkStart w:id="393" w:name="_Toc184312068"/>
      <w:bookmarkEnd w:id="393"/>
      <w:bookmarkStart w:id="394" w:name="_Toc184308090"/>
      <w:bookmarkEnd w:id="394"/>
      <w:bookmarkStart w:id="395" w:name="_Toc184310304"/>
      <w:bookmarkEnd w:id="395"/>
      <w:bookmarkStart w:id="396" w:name="_Toc184313274"/>
      <w:bookmarkEnd w:id="396"/>
      <w:bookmarkStart w:id="397" w:name="_Toc184314441"/>
      <w:bookmarkEnd w:id="397"/>
      <w:bookmarkStart w:id="398" w:name="_Toc184312114"/>
      <w:bookmarkEnd w:id="398"/>
      <w:bookmarkStart w:id="399" w:name="_Toc184310272"/>
      <w:bookmarkEnd w:id="399"/>
      <w:bookmarkStart w:id="400" w:name="_Toc184314431"/>
      <w:bookmarkEnd w:id="400"/>
      <w:r>
        <w:rPr>
          <w:rFonts w:hint="eastAsia" w:ascii="宋体" w:hAnsi="宋体" w:cs="宋体"/>
          <w:b/>
          <w:color w:val="auto"/>
          <w:sz w:val="36"/>
          <w:szCs w:val="36"/>
          <w:highlight w:val="none"/>
        </w:rPr>
        <w:t>评标办法</w:t>
      </w:r>
      <w:bookmarkEnd w:id="35"/>
    </w:p>
    <w:p w14:paraId="52F86A5F">
      <w:pPr>
        <w:keepNext w:val="0"/>
        <w:keepLines w:val="0"/>
        <w:pageBreakBefore w:val="0"/>
        <w:widowControl w:val="0"/>
        <w:kinsoku/>
        <w:overflowPunct/>
        <w:topLinePunct w:val="0"/>
        <w:autoSpaceDE w:val="0"/>
        <w:autoSpaceDN w:val="0"/>
        <w:bidi w:val="0"/>
        <w:adjustRightInd/>
        <w:snapToGrid/>
        <w:spacing w:line="360" w:lineRule="auto"/>
        <w:ind w:left="0" w:leftChars="0" w:firstLine="422" w:firstLineChars="200"/>
        <w:jc w:val="left"/>
        <w:textAlignment w:val="auto"/>
        <w:rPr>
          <w:rFonts w:hint="eastAsia" w:ascii="宋体" w:hAnsi="宋体"/>
          <w:b/>
          <w:color w:val="auto"/>
          <w:kern w:val="0"/>
          <w:szCs w:val="21"/>
          <w:highlight w:val="none"/>
        </w:rPr>
      </w:pPr>
    </w:p>
    <w:p w14:paraId="00C06229">
      <w:pPr>
        <w:keepNext w:val="0"/>
        <w:keepLines w:val="0"/>
        <w:pageBreakBefore w:val="0"/>
        <w:widowControl w:val="0"/>
        <w:kinsoku/>
        <w:overflowPunct/>
        <w:topLinePunct w:val="0"/>
        <w:autoSpaceDE w:val="0"/>
        <w:autoSpaceDN w:val="0"/>
        <w:bidi w:val="0"/>
        <w:adjustRightInd/>
        <w:snapToGrid/>
        <w:spacing w:line="360" w:lineRule="auto"/>
        <w:ind w:left="0" w:leftChars="0" w:firstLine="422" w:firstLineChars="200"/>
        <w:jc w:val="left"/>
        <w:textAlignment w:val="auto"/>
        <w:rPr>
          <w:rFonts w:hint="eastAsia" w:ascii="宋体" w:hAnsi="宋体"/>
          <w:b/>
          <w:color w:val="auto"/>
          <w:kern w:val="0"/>
          <w:szCs w:val="21"/>
          <w:highlight w:val="none"/>
        </w:rPr>
      </w:pPr>
      <w:r>
        <w:rPr>
          <w:rFonts w:hint="eastAsia" w:ascii="宋体" w:hAnsi="宋体"/>
          <w:b/>
          <w:color w:val="auto"/>
          <w:kern w:val="0"/>
          <w:szCs w:val="21"/>
          <w:highlight w:val="none"/>
        </w:rPr>
        <w:t>一、评审方法</w:t>
      </w:r>
    </w:p>
    <w:p w14:paraId="79A198A4">
      <w:pPr>
        <w:keepNext w:val="0"/>
        <w:keepLines w:val="0"/>
        <w:pageBreakBefore w:val="0"/>
        <w:widowControl w:val="0"/>
        <w:kinsoku/>
        <w:overflowPunct/>
        <w:topLinePunct w:val="0"/>
        <w:autoSpaceDE w:val="0"/>
        <w:autoSpaceDN w:val="0"/>
        <w:bidi w:val="0"/>
        <w:adjustRightInd/>
        <w:snapToGrid/>
        <w:spacing w:line="360" w:lineRule="auto"/>
        <w:ind w:left="0" w:leftChars="0" w:firstLine="420" w:firstLineChars="200"/>
        <w:jc w:val="left"/>
        <w:textAlignment w:val="auto"/>
        <w:rPr>
          <w:rFonts w:hint="eastAsia" w:ascii="宋体" w:hAnsi="宋体" w:cs="宋体"/>
          <w:color w:val="auto"/>
          <w:highlight w:val="none"/>
        </w:rPr>
      </w:pPr>
      <w:r>
        <w:rPr>
          <w:rFonts w:hint="eastAsia" w:ascii="宋体" w:hAnsi="宋体" w:cs="宋体"/>
          <w:color w:val="auto"/>
          <w:highlight w:val="none"/>
        </w:rPr>
        <w:t>1、本项目采用综合评分法。评审得分满分100分，磋商小组按照评审得分由高到低顺序进行排序，推荐</w:t>
      </w:r>
      <w:r>
        <w:rPr>
          <w:rFonts w:hint="eastAsia" w:ascii="宋体" w:hAnsi="宋体" w:cs="宋体"/>
          <w:color w:val="auto"/>
          <w:highlight w:val="none"/>
          <w:lang w:val="en-US" w:eastAsia="zh-CN"/>
        </w:rPr>
        <w:t>3名</w:t>
      </w:r>
      <w:r>
        <w:rPr>
          <w:rFonts w:hint="eastAsia" w:ascii="宋体" w:hAnsi="宋体" w:cs="宋体"/>
          <w:color w:val="auto"/>
          <w:highlight w:val="none"/>
        </w:rPr>
        <w:t>成交候选供应商。若评审得分相同，则采取抽签方式确定排序。</w:t>
      </w:r>
    </w:p>
    <w:p w14:paraId="08656BE3">
      <w:pPr>
        <w:keepNext w:val="0"/>
        <w:keepLines w:val="0"/>
        <w:pageBreakBefore w:val="0"/>
        <w:widowControl w:val="0"/>
        <w:kinsoku/>
        <w:overflowPunct/>
        <w:topLinePunct w:val="0"/>
        <w:autoSpaceDE w:val="0"/>
        <w:autoSpaceDN w:val="0"/>
        <w:bidi w:val="0"/>
        <w:adjustRightInd/>
        <w:snapToGrid/>
        <w:spacing w:line="360" w:lineRule="auto"/>
        <w:ind w:left="0" w:leftChars="0" w:firstLine="420" w:firstLineChars="200"/>
        <w:jc w:val="left"/>
        <w:textAlignment w:val="auto"/>
        <w:rPr>
          <w:rFonts w:hint="eastAsia" w:ascii="宋体" w:hAnsi="宋体" w:cs="宋体"/>
          <w:color w:val="auto"/>
          <w:highlight w:val="none"/>
        </w:rPr>
      </w:pPr>
      <w:r>
        <w:rPr>
          <w:rFonts w:hint="eastAsia" w:ascii="宋体" w:hAnsi="宋体" w:cs="宋体"/>
          <w:color w:val="auto"/>
          <w:highlight w:val="none"/>
        </w:rPr>
        <w:t>2、本项目需要落实的政府采购政策：《关于促进残疾人就业政府采购政策的通知》（财库[2017]141号）、《政府采购促进中小企业发展管理办法》（财库〔2020〕46号）、《关于政府采购支持监狱企业发展有关问题的通知》（财库[2014]68号）。</w:t>
      </w:r>
    </w:p>
    <w:p w14:paraId="607D2E8D">
      <w:pPr>
        <w:keepNext w:val="0"/>
        <w:keepLines w:val="0"/>
        <w:pageBreakBefore w:val="0"/>
        <w:widowControl w:val="0"/>
        <w:kinsoku/>
        <w:overflowPunct/>
        <w:topLinePunct w:val="0"/>
        <w:bidi w:val="0"/>
        <w:adjustRightInd/>
        <w:snapToGrid/>
        <w:spacing w:line="360" w:lineRule="auto"/>
        <w:ind w:left="0" w:leftChars="0" w:firstLine="525" w:firstLineChars="250"/>
        <w:textAlignment w:val="auto"/>
        <w:rPr>
          <w:rFonts w:hint="eastAsia" w:ascii="宋体" w:hAnsi="宋体"/>
          <w:color w:val="auto"/>
          <w:highlight w:val="none"/>
        </w:rPr>
      </w:pPr>
      <w:r>
        <w:rPr>
          <w:rFonts w:hint="eastAsia" w:ascii="宋体" w:hAnsi="宋体"/>
          <w:color w:val="auto"/>
          <w:highlight w:val="none"/>
          <w:lang w:val="en-US" w:eastAsia="zh-CN"/>
        </w:rPr>
        <w:t>3</w:t>
      </w:r>
      <w:r>
        <w:rPr>
          <w:rFonts w:hint="eastAsia" w:ascii="宋体" w:hAnsi="宋体"/>
          <w:color w:val="auto"/>
          <w:highlight w:val="none"/>
        </w:rPr>
        <w:t>、执行财政部、司法部《关于政府采购支持监狱企业发展有关问题的通知》。监狱企业（监狱和戒毒企业）提供自己企业的产品（服务）参加磋商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14:paraId="50D4ADE8">
      <w:pPr>
        <w:keepNext w:val="0"/>
        <w:keepLines w:val="0"/>
        <w:pageBreakBefore w:val="0"/>
        <w:widowControl w:val="0"/>
        <w:kinsoku/>
        <w:overflowPunct/>
        <w:topLinePunct w:val="0"/>
        <w:bidi w:val="0"/>
        <w:adjustRightInd/>
        <w:snapToGrid/>
        <w:spacing w:line="360" w:lineRule="auto"/>
        <w:ind w:left="0" w:leftChars="0" w:firstLine="420" w:firstLineChars="200"/>
        <w:textAlignment w:val="auto"/>
        <w:rPr>
          <w:rFonts w:hint="eastAsia" w:ascii="宋体" w:hAnsi="宋体"/>
          <w:color w:val="auto"/>
          <w:szCs w:val="21"/>
          <w:highlight w:val="none"/>
        </w:rPr>
      </w:pPr>
      <w:r>
        <w:rPr>
          <w:rFonts w:hint="eastAsia" w:ascii="宋体" w:hAnsi="宋体"/>
          <w:color w:val="auto"/>
          <w:highlight w:val="none"/>
          <w:lang w:val="en-US" w:eastAsia="zh-CN"/>
        </w:rPr>
        <w:t>4</w:t>
      </w:r>
      <w:r>
        <w:rPr>
          <w:rFonts w:hint="eastAsia" w:ascii="宋体" w:hAnsi="宋体"/>
          <w:color w:val="auto"/>
          <w:highlight w:val="none"/>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w:t>
      </w:r>
      <w:r>
        <w:rPr>
          <w:rFonts w:hint="eastAsia" w:ascii="宋体" w:hAnsi="宋体"/>
          <w:color w:val="auto"/>
          <w:highlight w:val="none"/>
          <w:lang w:eastAsia="zh-CN"/>
        </w:rPr>
        <w:t>六</w:t>
      </w:r>
      <w:r>
        <w:rPr>
          <w:rFonts w:hint="eastAsia" w:ascii="宋体" w:hAnsi="宋体"/>
          <w:color w:val="auto"/>
          <w:highlight w:val="none"/>
          <w:lang w:val="en-US" w:eastAsia="zh-CN"/>
        </w:rPr>
        <w:t>部分</w:t>
      </w:r>
      <w:r>
        <w:rPr>
          <w:rFonts w:hint="eastAsia" w:ascii="宋体" w:hAnsi="宋体"/>
          <w:color w:val="auto"/>
          <w:highlight w:val="none"/>
        </w:rPr>
        <w:t>附件）</w:t>
      </w:r>
      <w:r>
        <w:rPr>
          <w:rFonts w:ascii="宋体" w:hAnsi="宋体"/>
          <w:color w:val="auto"/>
          <w:highlight w:val="none"/>
        </w:rPr>
        <w:t>,</w:t>
      </w:r>
      <w:r>
        <w:rPr>
          <w:rFonts w:hint="eastAsia" w:ascii="宋体" w:hAnsi="宋体"/>
          <w:color w:val="auto"/>
          <w:highlight w:val="none"/>
        </w:rPr>
        <w:t>并对声明的真实性负责，未能提供的不予认可</w:t>
      </w:r>
      <w:r>
        <w:rPr>
          <w:rFonts w:hint="eastAsia" w:ascii="宋体" w:hAnsi="宋体" w:cs="宋体"/>
          <w:color w:val="auto"/>
          <w:highlight w:val="none"/>
        </w:rPr>
        <w:t>。</w:t>
      </w:r>
    </w:p>
    <w:p w14:paraId="6CC0AB8F">
      <w:pPr>
        <w:keepNext w:val="0"/>
        <w:keepLines w:val="0"/>
        <w:pageBreakBefore w:val="0"/>
        <w:widowControl w:val="0"/>
        <w:kinsoku/>
        <w:overflowPunct/>
        <w:topLinePunct w:val="0"/>
        <w:bidi w:val="0"/>
        <w:adjustRightInd/>
        <w:snapToGrid/>
        <w:spacing w:line="360" w:lineRule="auto"/>
        <w:ind w:left="0" w:leftChars="0" w:firstLine="420" w:firstLineChars="200"/>
        <w:textAlignment w:val="auto"/>
        <w:rPr>
          <w:rFonts w:hint="eastAsia" w:asci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kern w:val="0"/>
          <w:szCs w:val="21"/>
          <w:highlight w:val="none"/>
        </w:rPr>
        <w:t>磋商小组成员</w:t>
      </w:r>
      <w:r>
        <w:rPr>
          <w:rFonts w:hint="eastAsia" w:ascii="宋体" w:hAnsi="宋体"/>
          <w:color w:val="auto"/>
          <w:szCs w:val="21"/>
          <w:highlight w:val="none"/>
        </w:rPr>
        <w:t>对需要共同认定的事项存在争议的，应当按照少数服从多数的原则作出结论。</w:t>
      </w:r>
    </w:p>
    <w:p w14:paraId="31408E87">
      <w:pPr>
        <w:keepNext w:val="0"/>
        <w:keepLines w:val="0"/>
        <w:pageBreakBefore w:val="0"/>
        <w:widowControl w:val="0"/>
        <w:kinsoku/>
        <w:overflowPunct/>
        <w:topLinePunct w:val="0"/>
        <w:autoSpaceDE w:val="0"/>
        <w:autoSpaceDN w:val="0"/>
        <w:bidi w:val="0"/>
        <w:adjustRightInd/>
        <w:snapToGrid/>
        <w:spacing w:line="360" w:lineRule="auto"/>
        <w:ind w:left="0" w:leftChars="0" w:firstLine="422" w:firstLineChars="200"/>
        <w:jc w:val="left"/>
        <w:textAlignment w:val="auto"/>
        <w:rPr>
          <w:rFonts w:hint="eastAsia" w:ascii="宋体" w:hAnsi="宋体"/>
          <w:b/>
          <w:color w:val="auto"/>
          <w:kern w:val="0"/>
          <w:szCs w:val="21"/>
          <w:highlight w:val="none"/>
        </w:rPr>
      </w:pPr>
      <w:bookmarkStart w:id="401" w:name="_Toc387409459"/>
      <w:bookmarkStart w:id="402" w:name="_Toc214700098"/>
      <w:bookmarkStart w:id="403" w:name="_Toc214700230"/>
      <w:bookmarkStart w:id="404" w:name="_Toc462213257"/>
      <w:bookmarkStart w:id="405" w:name="_Toc462179376"/>
      <w:bookmarkStart w:id="406" w:name="_Toc462213330"/>
      <w:bookmarkStart w:id="407" w:name="_Toc462213213"/>
      <w:bookmarkStart w:id="408" w:name="_Toc237939770"/>
      <w:r>
        <w:rPr>
          <w:rFonts w:hint="eastAsia" w:ascii="宋体" w:hAnsi="宋体"/>
          <w:b/>
          <w:color w:val="auto"/>
          <w:kern w:val="0"/>
          <w:szCs w:val="21"/>
          <w:highlight w:val="none"/>
        </w:rPr>
        <w:t>二、磋商小组</w:t>
      </w:r>
      <w:bookmarkEnd w:id="401"/>
      <w:bookmarkEnd w:id="402"/>
      <w:bookmarkEnd w:id="403"/>
      <w:bookmarkEnd w:id="404"/>
      <w:bookmarkEnd w:id="405"/>
      <w:bookmarkEnd w:id="406"/>
      <w:bookmarkEnd w:id="407"/>
      <w:bookmarkEnd w:id="408"/>
    </w:p>
    <w:p w14:paraId="5EDEDBC3">
      <w:pPr>
        <w:keepNext w:val="0"/>
        <w:keepLines w:val="0"/>
        <w:pageBreakBefore w:val="0"/>
        <w:widowControl w:val="0"/>
        <w:kinsoku/>
        <w:overflowPunct/>
        <w:topLinePunct w:val="0"/>
        <w:autoSpaceDE w:val="0"/>
        <w:autoSpaceDN w:val="0"/>
        <w:bidi w:val="0"/>
        <w:adjustRightInd/>
        <w:snapToGrid/>
        <w:spacing w:line="360" w:lineRule="auto"/>
        <w:ind w:left="0" w:leftChars="0" w:firstLine="420" w:firstLineChars="200"/>
        <w:jc w:val="left"/>
        <w:textAlignment w:val="auto"/>
        <w:rPr>
          <w:rFonts w:hint="eastAsia" w:ascii="宋体" w:hAnsi="宋体"/>
          <w:color w:val="auto"/>
          <w:kern w:val="0"/>
          <w:szCs w:val="21"/>
          <w:highlight w:val="none"/>
        </w:rPr>
      </w:pPr>
      <w:bookmarkStart w:id="409" w:name="_Toc214700231"/>
      <w:bookmarkStart w:id="410" w:name="_Toc214700099"/>
      <w:r>
        <w:rPr>
          <w:rFonts w:hint="eastAsia" w:ascii="宋体" w:hAnsi="宋体"/>
          <w:color w:val="auto"/>
          <w:kern w:val="0"/>
          <w:szCs w:val="21"/>
          <w:highlight w:val="none"/>
        </w:rPr>
        <w:t>1、采购人依法组建磋商小组，磋商小组</w:t>
      </w:r>
      <w:r>
        <w:rPr>
          <w:rFonts w:ascii="宋体" w:hAnsi="宋体"/>
          <w:color w:val="auto"/>
          <w:szCs w:val="21"/>
          <w:highlight w:val="none"/>
        </w:rPr>
        <w:t>由采购人代表和专家组成</w:t>
      </w:r>
      <w:r>
        <w:rPr>
          <w:rFonts w:hint="eastAsia" w:ascii="宋体" w:hAnsi="宋体"/>
          <w:color w:val="auto"/>
          <w:szCs w:val="21"/>
          <w:highlight w:val="none"/>
        </w:rPr>
        <w:t>，</w:t>
      </w:r>
      <w:r>
        <w:rPr>
          <w:rFonts w:hint="eastAsia" w:ascii="宋体" w:hAnsi="宋体"/>
          <w:color w:val="auto"/>
          <w:kern w:val="0"/>
          <w:szCs w:val="21"/>
          <w:highlight w:val="none"/>
        </w:rPr>
        <w:t>负责对磋商响应文件进行评审。</w:t>
      </w:r>
      <w:bookmarkEnd w:id="409"/>
      <w:bookmarkEnd w:id="410"/>
    </w:p>
    <w:p w14:paraId="2352FEA6">
      <w:pPr>
        <w:keepNext w:val="0"/>
        <w:keepLines w:val="0"/>
        <w:pageBreakBefore w:val="0"/>
        <w:widowControl w:val="0"/>
        <w:kinsoku/>
        <w:overflowPunct/>
        <w:topLinePunct w:val="0"/>
        <w:autoSpaceDE w:val="0"/>
        <w:autoSpaceDN w:val="0"/>
        <w:bidi w:val="0"/>
        <w:adjustRightInd/>
        <w:snapToGrid/>
        <w:spacing w:line="360" w:lineRule="auto"/>
        <w:ind w:left="0" w:leftChars="0" w:firstLine="420" w:firstLineChars="200"/>
        <w:jc w:val="left"/>
        <w:textAlignment w:val="auto"/>
        <w:rPr>
          <w:rFonts w:ascii="宋体" w:hAnsi="宋体"/>
          <w:color w:val="auto"/>
          <w:kern w:val="0"/>
          <w:szCs w:val="21"/>
          <w:highlight w:val="none"/>
        </w:rPr>
      </w:pPr>
      <w:r>
        <w:rPr>
          <w:rFonts w:hint="eastAsia" w:ascii="宋体" w:hAnsi="宋体"/>
          <w:color w:val="auto"/>
          <w:kern w:val="0"/>
          <w:szCs w:val="21"/>
          <w:highlight w:val="none"/>
        </w:rPr>
        <w:t>2、磋商小组成员应当按照客观、公正、审慎的原则，根据竞争性磋商文件规定的评审程序、评审方法和评审标准进行独立评审。未实质性响应竞争性磋商文件的磋商响应文件按无效文件处理，磋商小组应当告知提交磋商响应文件的供应商。</w:t>
      </w:r>
    </w:p>
    <w:p w14:paraId="744960AA">
      <w:pPr>
        <w:keepNext w:val="0"/>
        <w:keepLines w:val="0"/>
        <w:pageBreakBefore w:val="0"/>
        <w:widowControl w:val="0"/>
        <w:kinsoku/>
        <w:overflowPunct/>
        <w:topLinePunct w:val="0"/>
        <w:autoSpaceDE w:val="0"/>
        <w:autoSpaceDN w:val="0"/>
        <w:bidi w:val="0"/>
        <w:adjustRightInd/>
        <w:snapToGrid/>
        <w:spacing w:line="360" w:lineRule="auto"/>
        <w:ind w:left="0" w:leftChars="0" w:firstLine="420" w:firstLineChars="200"/>
        <w:jc w:val="left"/>
        <w:textAlignment w:val="auto"/>
        <w:rPr>
          <w:rFonts w:hint="eastAsia" w:ascii="宋体" w:hAnsi="宋体"/>
          <w:color w:val="auto"/>
          <w:kern w:val="0"/>
          <w:szCs w:val="21"/>
          <w:highlight w:val="none"/>
        </w:rPr>
      </w:pPr>
      <w:r>
        <w:rPr>
          <w:rFonts w:hint="eastAsia" w:ascii="宋体" w:hAnsi="宋体"/>
          <w:color w:val="auto"/>
          <w:kern w:val="0"/>
          <w:szCs w:val="21"/>
          <w:highlight w:val="none"/>
        </w:rPr>
        <w:t>3、磋商小组所有成员应当集中与单一供应商分别进行磋商，并给予所有参加磋商的供应商平等的磋商机会。</w:t>
      </w:r>
    </w:p>
    <w:p w14:paraId="28B1B1D4">
      <w:pPr>
        <w:keepNext w:val="0"/>
        <w:keepLines w:val="0"/>
        <w:pageBreakBefore w:val="0"/>
        <w:widowControl w:val="0"/>
        <w:kinsoku/>
        <w:overflowPunct/>
        <w:topLinePunct w:val="0"/>
        <w:autoSpaceDE w:val="0"/>
        <w:autoSpaceDN w:val="0"/>
        <w:bidi w:val="0"/>
        <w:adjustRightInd/>
        <w:snapToGrid/>
        <w:spacing w:line="360" w:lineRule="auto"/>
        <w:ind w:left="0" w:leftChars="0" w:firstLine="422" w:firstLineChars="200"/>
        <w:jc w:val="left"/>
        <w:textAlignment w:val="auto"/>
        <w:rPr>
          <w:rFonts w:ascii="宋体" w:hAnsi="宋体"/>
          <w:b/>
          <w:color w:val="auto"/>
          <w:kern w:val="0"/>
          <w:szCs w:val="21"/>
          <w:highlight w:val="none"/>
        </w:rPr>
      </w:pPr>
      <w:r>
        <w:rPr>
          <w:rFonts w:hint="eastAsia" w:ascii="宋体" w:hAnsi="宋体"/>
          <w:b/>
          <w:color w:val="auto"/>
          <w:kern w:val="0"/>
          <w:szCs w:val="21"/>
          <w:highlight w:val="none"/>
        </w:rPr>
        <w:t>三、评审程序</w:t>
      </w:r>
    </w:p>
    <w:p w14:paraId="28988428">
      <w:pPr>
        <w:keepNext w:val="0"/>
        <w:keepLines w:val="0"/>
        <w:pageBreakBefore w:val="0"/>
        <w:widowControl w:val="0"/>
        <w:kinsoku/>
        <w:overflowPunct/>
        <w:topLinePunct w:val="0"/>
        <w:bidi w:val="0"/>
        <w:adjustRightInd/>
        <w:snapToGrid/>
        <w:spacing w:line="360" w:lineRule="auto"/>
        <w:ind w:left="0" w:leftChars="0" w:firstLine="420" w:firstLineChars="200"/>
        <w:textAlignment w:val="auto"/>
        <w:rPr>
          <w:rFonts w:ascii="宋体" w:hAnsi="宋体"/>
          <w:b/>
          <w:color w:val="auto"/>
          <w:szCs w:val="21"/>
          <w:highlight w:val="none"/>
        </w:rPr>
      </w:pPr>
      <w:r>
        <w:rPr>
          <w:rFonts w:hint="eastAsia" w:ascii="宋体" w:hAnsi="宋体"/>
          <w:color w:val="auto"/>
          <w:szCs w:val="21"/>
          <w:highlight w:val="none"/>
        </w:rPr>
        <w:t>1、资格文件、商务和技术文件初步审查：包含资格性审查和符合性审查。资格性审查是指采购人或代理机构根据“附表</w:t>
      </w:r>
      <w:r>
        <w:rPr>
          <w:rFonts w:ascii="宋体" w:hAnsi="宋体"/>
          <w:color w:val="auto"/>
          <w:szCs w:val="21"/>
          <w:highlight w:val="none"/>
        </w:rPr>
        <w:t>1</w:t>
      </w:r>
      <w:r>
        <w:rPr>
          <w:rFonts w:hint="eastAsia" w:ascii="宋体" w:hAnsi="宋体"/>
          <w:color w:val="auto"/>
          <w:szCs w:val="21"/>
          <w:highlight w:val="none"/>
        </w:rPr>
        <w:t>资格性审查表”的要求对磋商响应文件逐一进行评审。符合性审查是指评审小组根据“附表</w:t>
      </w:r>
      <w:r>
        <w:rPr>
          <w:rFonts w:ascii="宋体" w:hAnsi="宋体"/>
          <w:color w:val="auto"/>
          <w:szCs w:val="21"/>
          <w:highlight w:val="none"/>
        </w:rPr>
        <w:t>2</w:t>
      </w:r>
      <w:r>
        <w:rPr>
          <w:rFonts w:hint="eastAsia" w:ascii="宋体" w:hAnsi="宋体"/>
          <w:color w:val="auto"/>
          <w:szCs w:val="21"/>
          <w:highlight w:val="none"/>
        </w:rPr>
        <w:t>符合性审查表”的要求对磋商响应文件逐一进行评审。</w:t>
      </w:r>
      <w:r>
        <w:rPr>
          <w:rFonts w:hint="eastAsia" w:ascii="宋体" w:hAnsi="宋体"/>
          <w:b/>
          <w:color w:val="auto"/>
          <w:szCs w:val="21"/>
          <w:highlight w:val="none"/>
        </w:rPr>
        <w:t>资格性审查和符合性审查中，有任意一项审查结论不合格的，作无效报价处理。</w:t>
      </w:r>
    </w:p>
    <w:p w14:paraId="0EAEA877">
      <w:pPr>
        <w:keepNext w:val="0"/>
        <w:keepLines w:val="0"/>
        <w:pageBreakBefore w:val="0"/>
        <w:widowControl w:val="0"/>
        <w:kinsoku/>
        <w:overflowPunct/>
        <w:topLinePunct w:val="0"/>
        <w:bidi w:val="0"/>
        <w:adjustRightInd/>
        <w:snapToGrid/>
        <w:spacing w:line="360" w:lineRule="auto"/>
        <w:ind w:left="0" w:leftChars="0" w:firstLine="420" w:firstLineChars="200"/>
        <w:jc w:val="left"/>
        <w:textAlignment w:val="auto"/>
        <w:rPr>
          <w:rFonts w:hint="eastAsia" w:ascii="宋体" w:hAnsi="宋体" w:eastAsia="宋体" w:cs="Times New Roman"/>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zh-CN"/>
        </w:rPr>
        <w:t>比较与评价：</w:t>
      </w:r>
      <w:r>
        <w:rPr>
          <w:rFonts w:hint="eastAsia" w:ascii="宋体" w:hAnsi="宋体"/>
          <w:color w:val="auto"/>
          <w:szCs w:val="21"/>
          <w:highlight w:val="none"/>
        </w:rPr>
        <w:t>评审小组根据“附表</w:t>
      </w:r>
      <w:r>
        <w:rPr>
          <w:rFonts w:ascii="宋体" w:hAnsi="宋体"/>
          <w:color w:val="auto"/>
          <w:szCs w:val="21"/>
          <w:highlight w:val="none"/>
        </w:rPr>
        <w:t>3</w:t>
      </w:r>
      <w:r>
        <w:rPr>
          <w:rFonts w:hint="eastAsia" w:ascii="宋体" w:hAnsi="宋体"/>
          <w:color w:val="auto"/>
          <w:szCs w:val="21"/>
          <w:highlight w:val="none"/>
        </w:rPr>
        <w:t>商务技术评分表”的要求，</w:t>
      </w:r>
      <w:r>
        <w:rPr>
          <w:rFonts w:hint="eastAsia" w:ascii="宋体" w:hAnsi="宋体"/>
          <w:color w:val="auto"/>
          <w:szCs w:val="21"/>
          <w:highlight w:val="none"/>
          <w:lang w:val="zh-CN"/>
        </w:rPr>
        <w:t>对照磋商响应文件的应答进行比较，判定其偏差性质和程度，</w:t>
      </w:r>
      <w:r>
        <w:rPr>
          <w:rFonts w:hint="eastAsia" w:ascii="宋体" w:hAnsi="宋体"/>
          <w:color w:val="auto"/>
          <w:szCs w:val="21"/>
          <w:highlight w:val="none"/>
        </w:rPr>
        <w:t>由评审小组成</w:t>
      </w:r>
      <w:r>
        <w:rPr>
          <w:rFonts w:hint="eastAsia" w:ascii="宋体" w:hAnsi="宋体" w:eastAsia="宋体" w:cs="Times New Roman"/>
          <w:color w:val="auto"/>
          <w:szCs w:val="21"/>
          <w:highlight w:val="none"/>
        </w:rPr>
        <w:t>员在分值范围内自行评分。供应商商务技术得分为各评审小组成员有效评分的算术平均值（小数点后保留二位数）。</w:t>
      </w:r>
    </w:p>
    <w:p w14:paraId="74871B99">
      <w:pPr>
        <w:keepNext w:val="0"/>
        <w:keepLines w:val="0"/>
        <w:pageBreakBefore w:val="0"/>
        <w:widowControl w:val="0"/>
        <w:kinsoku/>
        <w:overflowPunct/>
        <w:topLinePunct w:val="0"/>
        <w:bidi w:val="0"/>
        <w:adjustRightInd/>
        <w:snapToGrid/>
        <w:spacing w:line="360" w:lineRule="auto"/>
        <w:ind w:left="0" w:leftChars="0" w:firstLine="420" w:firstLineChars="200"/>
        <w:jc w:val="left"/>
        <w:textAlignment w:val="auto"/>
        <w:rPr>
          <w:rFonts w:hint="eastAsia" w:ascii="宋体" w:hAnsi="宋体"/>
          <w:b/>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val="en-US" w:eastAsia="zh-CN"/>
        </w:rPr>
        <w:t>磋商报价</w:t>
      </w:r>
      <w:r>
        <w:rPr>
          <w:rFonts w:hint="eastAsia" w:ascii="宋体" w:hAnsi="宋体" w:eastAsia="宋体" w:cs="Times New Roman"/>
          <w:color w:val="auto"/>
          <w:szCs w:val="21"/>
          <w:highlight w:val="none"/>
        </w:rPr>
        <w:t>响应文件初步审查：</w:t>
      </w:r>
      <w:r>
        <w:rPr>
          <w:rFonts w:hint="eastAsia" w:ascii="宋体" w:hAnsi="宋体" w:eastAsia="宋体" w:cs="Times New Roman"/>
          <w:color w:val="auto"/>
          <w:szCs w:val="21"/>
          <w:highlight w:val="none"/>
          <w:lang w:val="en-US" w:eastAsia="zh-CN"/>
        </w:rPr>
        <w:t>磋商</w:t>
      </w:r>
      <w:r>
        <w:rPr>
          <w:rFonts w:hint="eastAsia" w:ascii="宋体" w:hAnsi="宋体"/>
          <w:color w:val="auto"/>
          <w:szCs w:val="21"/>
          <w:highlight w:val="none"/>
          <w:lang w:val="en-US" w:eastAsia="zh-CN"/>
        </w:rPr>
        <w:t>报价</w:t>
      </w:r>
      <w:r>
        <w:rPr>
          <w:rFonts w:hint="eastAsia" w:ascii="宋体" w:hAnsi="宋体"/>
          <w:color w:val="auto"/>
          <w:szCs w:val="21"/>
          <w:highlight w:val="none"/>
        </w:rPr>
        <w:t>文件初步审查是指评审小组根据“附表</w:t>
      </w:r>
      <w:r>
        <w:rPr>
          <w:rFonts w:ascii="宋体" w:hAnsi="宋体"/>
          <w:color w:val="auto"/>
          <w:szCs w:val="21"/>
          <w:highlight w:val="none"/>
        </w:rPr>
        <w:t>4</w:t>
      </w:r>
      <w:r>
        <w:rPr>
          <w:rFonts w:hint="eastAsia" w:ascii="宋体" w:hAnsi="宋体"/>
          <w:color w:val="auto"/>
          <w:szCs w:val="21"/>
          <w:highlight w:val="none"/>
        </w:rPr>
        <w:t>报价初步审查表”的要求对磋商响应文件逐一进行评审。</w:t>
      </w:r>
      <w:r>
        <w:rPr>
          <w:rFonts w:hint="eastAsia" w:ascii="宋体" w:hAnsi="宋体"/>
          <w:b/>
          <w:color w:val="auto"/>
          <w:szCs w:val="21"/>
          <w:highlight w:val="none"/>
        </w:rPr>
        <w:t>初步审查中，审查结论不合格的，作无效报价处理。</w:t>
      </w:r>
    </w:p>
    <w:p w14:paraId="3FBC6E7D">
      <w:pPr>
        <w:keepNext w:val="0"/>
        <w:keepLines w:val="0"/>
        <w:pageBreakBefore w:val="0"/>
        <w:widowControl w:val="0"/>
        <w:kinsoku/>
        <w:overflowPunct/>
        <w:topLinePunct w:val="0"/>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color w:val="auto"/>
          <w:kern w:val="0"/>
          <w:szCs w:val="21"/>
          <w:highlight w:val="none"/>
        </w:rPr>
        <w:t>磋商小组所有成员与单一供应商分别进行磋商，</w:t>
      </w:r>
      <w:r>
        <w:rPr>
          <w:rFonts w:hint="eastAsia" w:ascii="宋体" w:hAnsi="宋体" w:cs="宋体"/>
          <w:color w:val="auto"/>
          <w:highlight w:val="none"/>
        </w:rPr>
        <w:t>参加磋商的供应商在规定时间内提交最后报价。最后报价也须在政采云中完成。</w:t>
      </w:r>
    </w:p>
    <w:p w14:paraId="5689A65C">
      <w:pPr>
        <w:keepNext w:val="0"/>
        <w:keepLines w:val="0"/>
        <w:pageBreakBefore w:val="0"/>
        <w:widowControl w:val="0"/>
        <w:kinsoku/>
        <w:overflowPunct/>
        <w:topLinePunct w:val="0"/>
        <w:bidi w:val="0"/>
        <w:adjustRightInd/>
        <w:snapToGrid/>
        <w:spacing w:line="360" w:lineRule="auto"/>
        <w:ind w:left="0" w:leftChars="0"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5、在评审过程中，发现的价格计算错误按下述原则修正：</w:t>
      </w:r>
    </w:p>
    <w:p w14:paraId="6ADB8091">
      <w:pPr>
        <w:keepNext w:val="0"/>
        <w:keepLines w:val="0"/>
        <w:pageBreakBefore w:val="0"/>
        <w:widowControl w:val="0"/>
        <w:kinsoku/>
        <w:wordWrap w:val="0"/>
        <w:overflowPunct/>
        <w:topLinePunct w:val="0"/>
        <w:bidi w:val="0"/>
        <w:adjustRightInd/>
        <w:snapToGrid/>
        <w:spacing w:line="360" w:lineRule="auto"/>
        <w:ind w:left="0" w:leftChars="0"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color w:val="auto"/>
          <w:szCs w:val="21"/>
          <w:highlight w:val="none"/>
          <w:lang w:val="en-US" w:eastAsia="zh-CN"/>
        </w:rPr>
        <w:t>磋商响应</w:t>
      </w:r>
      <w:r>
        <w:rPr>
          <w:rFonts w:hint="eastAsia" w:ascii="宋体" w:hAnsi="宋体"/>
          <w:color w:val="auto"/>
          <w:szCs w:val="21"/>
          <w:highlight w:val="none"/>
        </w:rPr>
        <w:t>文件中开标一览表内容与</w:t>
      </w:r>
      <w:r>
        <w:rPr>
          <w:rFonts w:hint="eastAsia" w:ascii="宋体" w:hAnsi="宋体"/>
          <w:color w:val="auto"/>
          <w:szCs w:val="21"/>
          <w:highlight w:val="none"/>
          <w:lang w:val="en-US" w:eastAsia="zh-CN"/>
        </w:rPr>
        <w:t>磋商响应</w:t>
      </w:r>
      <w:r>
        <w:rPr>
          <w:rFonts w:hint="eastAsia" w:ascii="宋体" w:hAnsi="宋体"/>
          <w:color w:val="auto"/>
          <w:szCs w:val="21"/>
          <w:highlight w:val="none"/>
        </w:rPr>
        <w:t>文件中分项报价表内容不一致的，以开标一览表为准；</w:t>
      </w:r>
    </w:p>
    <w:p w14:paraId="2048135B">
      <w:pPr>
        <w:keepNext w:val="0"/>
        <w:keepLines w:val="0"/>
        <w:pageBreakBefore w:val="0"/>
        <w:widowControl w:val="0"/>
        <w:kinsoku/>
        <w:wordWrap w:val="0"/>
        <w:overflowPunct/>
        <w:topLinePunct w:val="0"/>
        <w:bidi w:val="0"/>
        <w:adjustRightInd/>
        <w:snapToGrid/>
        <w:spacing w:line="360" w:lineRule="auto"/>
        <w:ind w:left="0" w:leftChars="0"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）大写金额和小写金额不一致的，以大写金额为准；</w:t>
      </w:r>
    </w:p>
    <w:p w14:paraId="54871BA0">
      <w:pPr>
        <w:keepNext w:val="0"/>
        <w:keepLines w:val="0"/>
        <w:pageBreakBefore w:val="0"/>
        <w:widowControl w:val="0"/>
        <w:kinsoku/>
        <w:wordWrap w:val="0"/>
        <w:overflowPunct/>
        <w:topLinePunct w:val="0"/>
        <w:bidi w:val="0"/>
        <w:adjustRightInd/>
        <w:snapToGrid/>
        <w:spacing w:line="360" w:lineRule="auto"/>
        <w:ind w:left="0" w:leftChars="0"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）单价金额小数点或者百分比有明显错位的，以开标一览表的总价为准，并修改单价；</w:t>
      </w:r>
    </w:p>
    <w:p w14:paraId="59E34F16">
      <w:pPr>
        <w:keepNext w:val="0"/>
        <w:keepLines w:val="0"/>
        <w:pageBreakBefore w:val="0"/>
        <w:widowControl w:val="0"/>
        <w:kinsoku/>
        <w:overflowPunct/>
        <w:topLinePunct w:val="0"/>
        <w:bidi w:val="0"/>
        <w:adjustRightInd/>
        <w:snapToGrid/>
        <w:spacing w:line="360" w:lineRule="auto"/>
        <w:ind w:left="0" w:leftChars="0"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）总价金额与按单价汇总金额不一致的，以单价金额计算结果为准。</w:t>
      </w:r>
    </w:p>
    <w:p w14:paraId="313CE7C8">
      <w:pPr>
        <w:keepNext w:val="0"/>
        <w:keepLines w:val="0"/>
        <w:pageBreakBefore w:val="0"/>
        <w:widowControl w:val="0"/>
        <w:kinsoku/>
        <w:overflowPunct/>
        <w:topLinePunct w:val="0"/>
        <w:bidi w:val="0"/>
        <w:adjustRightInd/>
        <w:snapToGrid/>
        <w:spacing w:line="360" w:lineRule="auto"/>
        <w:ind w:left="0" w:leftChars="0" w:firstLine="420" w:firstLineChars="200"/>
        <w:jc w:val="left"/>
        <w:textAlignment w:val="auto"/>
        <w:rPr>
          <w:rFonts w:ascii="宋体" w:hAnsi="宋体"/>
          <w:color w:val="auto"/>
          <w:highlight w:val="none"/>
        </w:rPr>
      </w:pPr>
      <w:r>
        <w:rPr>
          <w:rFonts w:hint="eastAsia" w:ascii="宋体" w:hAnsi="宋体"/>
          <w:color w:val="auto"/>
          <w:highlight w:val="none"/>
        </w:rPr>
        <w:t>同时出现两种以上不一致的，按照上述顺序修正。如供应商不接受按以上规则确定的评审价和成交价，则其报价将被拒绝。</w:t>
      </w:r>
    </w:p>
    <w:p w14:paraId="37E07DE1">
      <w:pPr>
        <w:keepNext w:val="0"/>
        <w:keepLines w:val="0"/>
        <w:pageBreakBefore w:val="0"/>
        <w:widowControl w:val="0"/>
        <w:kinsoku/>
        <w:overflowPunct/>
        <w:topLinePunct w:val="0"/>
        <w:bidi w:val="0"/>
        <w:adjustRightInd/>
        <w:snapToGrid/>
        <w:spacing w:line="360" w:lineRule="auto"/>
        <w:ind w:left="0" w:leftChars="0"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6、评审小组根据“附表</w:t>
      </w:r>
      <w:r>
        <w:rPr>
          <w:rFonts w:hint="eastAsia" w:ascii="宋体" w:hAnsi="宋体"/>
          <w:color w:val="auto"/>
          <w:szCs w:val="21"/>
          <w:highlight w:val="none"/>
          <w:lang w:val="en-US" w:eastAsia="zh-CN"/>
        </w:rPr>
        <w:t>3</w:t>
      </w:r>
      <w:r>
        <w:rPr>
          <w:rFonts w:hint="eastAsia" w:ascii="宋体" w:hAnsi="宋体"/>
          <w:color w:val="auto"/>
          <w:szCs w:val="21"/>
          <w:highlight w:val="none"/>
        </w:rPr>
        <w:t>价格评分表”的规定，计算供应商报价得分（小数点后保留二位数）。</w:t>
      </w:r>
    </w:p>
    <w:p w14:paraId="31AA8796">
      <w:pPr>
        <w:keepNext w:val="0"/>
        <w:keepLines w:val="0"/>
        <w:pageBreakBefore w:val="0"/>
        <w:widowControl w:val="0"/>
        <w:kinsoku/>
        <w:overflowPunct/>
        <w:topLinePunct w:val="0"/>
        <w:bidi w:val="0"/>
        <w:adjustRightInd/>
        <w:snapToGrid/>
        <w:spacing w:line="360" w:lineRule="auto"/>
        <w:ind w:left="0" w:leftChars="0" w:firstLine="420" w:firstLineChars="200"/>
        <w:jc w:val="left"/>
        <w:textAlignment w:val="auto"/>
        <w:rPr>
          <w:rFonts w:hint="eastAsia" w:ascii="宋体" w:hAnsi="宋体" w:eastAsia="宋体" w:cs="Times New Roman"/>
          <w:color w:val="auto"/>
          <w:highlight w:val="none"/>
        </w:rPr>
      </w:pPr>
      <w:r>
        <w:rPr>
          <w:rFonts w:hint="eastAsia" w:ascii="宋体" w:hAnsi="宋体" w:eastAsia="宋体" w:cs="Times New Roman"/>
          <w:color w:val="auto"/>
          <w:highlight w:val="none"/>
        </w:rPr>
        <w:t>7、综合评估：供应商的评审得分为商务和技术得分与报价得分之和。</w:t>
      </w:r>
    </w:p>
    <w:p w14:paraId="7C278F5B">
      <w:pPr>
        <w:keepNext w:val="0"/>
        <w:keepLines w:val="0"/>
        <w:pageBreakBefore w:val="0"/>
        <w:widowControl w:val="0"/>
        <w:kinsoku/>
        <w:overflowPunct/>
        <w:topLinePunct w:val="0"/>
        <w:bidi w:val="0"/>
        <w:adjustRightInd/>
        <w:snapToGrid/>
        <w:spacing w:line="360" w:lineRule="auto"/>
        <w:ind w:left="0" w:leftChars="0" w:firstLine="420" w:firstLineChars="200"/>
        <w:jc w:val="left"/>
        <w:textAlignment w:val="auto"/>
        <w:rPr>
          <w:rFonts w:hint="eastAsia" w:ascii="宋体" w:hAnsi="宋体" w:eastAsia="宋体" w:cs="Times New Roman"/>
          <w:color w:val="auto"/>
          <w:highlight w:val="none"/>
        </w:rPr>
      </w:pPr>
      <w:r>
        <w:rPr>
          <w:rFonts w:hint="eastAsia" w:ascii="宋体" w:hAnsi="宋体" w:eastAsia="宋体" w:cs="Times New Roman"/>
          <w:color w:val="auto"/>
          <w:highlight w:val="none"/>
        </w:rPr>
        <w:t>8、推荐成交候选供应商：磋商小组按照</w:t>
      </w:r>
      <w:r>
        <w:rPr>
          <w:rFonts w:hint="eastAsia" w:ascii="宋体" w:hAnsi="宋体" w:eastAsia="宋体" w:cs="Times New Roman"/>
          <w:color w:val="auto"/>
          <w:highlight w:val="none"/>
          <w:lang w:val="en-US" w:eastAsia="zh-CN"/>
        </w:rPr>
        <w:t>每标项</w:t>
      </w:r>
      <w:r>
        <w:rPr>
          <w:rFonts w:hint="eastAsia" w:ascii="宋体" w:hAnsi="宋体" w:eastAsia="宋体" w:cs="Times New Roman"/>
          <w:color w:val="auto"/>
          <w:highlight w:val="none"/>
        </w:rPr>
        <w:t>评审得分</w:t>
      </w:r>
      <w:r>
        <w:rPr>
          <w:rFonts w:hint="eastAsia" w:ascii="宋体" w:hAnsi="宋体" w:eastAsia="宋体" w:cs="Times New Roman"/>
          <w:color w:val="auto"/>
          <w:highlight w:val="none"/>
          <w:lang w:val="en-US" w:eastAsia="zh-CN"/>
        </w:rPr>
        <w:t>按</w:t>
      </w:r>
      <w:r>
        <w:rPr>
          <w:rFonts w:hint="eastAsia" w:ascii="宋体" w:hAnsi="宋体" w:eastAsia="宋体" w:cs="Times New Roman"/>
          <w:color w:val="auto"/>
          <w:highlight w:val="none"/>
        </w:rPr>
        <w:t>由高到低顺序进行排序，推荐</w:t>
      </w:r>
      <w:r>
        <w:rPr>
          <w:rFonts w:hint="eastAsia" w:ascii="宋体" w:hAnsi="宋体" w:eastAsia="宋体" w:cs="Times New Roman"/>
          <w:color w:val="auto"/>
          <w:highlight w:val="none"/>
          <w:lang w:val="en-US" w:eastAsia="zh-CN"/>
        </w:rPr>
        <w:t>3名</w:t>
      </w:r>
      <w:r>
        <w:rPr>
          <w:rFonts w:hint="eastAsia" w:ascii="宋体" w:hAnsi="宋体" w:eastAsia="宋体" w:cs="Times New Roman"/>
          <w:color w:val="auto"/>
          <w:highlight w:val="none"/>
        </w:rPr>
        <w:t>成交候选供应商。若评审得分相同，则采取抽签方式确定排序。</w:t>
      </w:r>
    </w:p>
    <w:p w14:paraId="63BF3432">
      <w:pPr>
        <w:keepNext w:val="0"/>
        <w:keepLines w:val="0"/>
        <w:pageBreakBefore w:val="0"/>
        <w:widowControl w:val="0"/>
        <w:kinsoku/>
        <w:overflowPunct/>
        <w:topLinePunct w:val="0"/>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9、确定成交供应商</w:t>
      </w:r>
    </w:p>
    <w:p w14:paraId="341D11C1">
      <w:pPr>
        <w:keepNext w:val="0"/>
        <w:keepLines w:val="0"/>
        <w:pageBreakBefore w:val="0"/>
        <w:widowControl w:val="0"/>
        <w:kinsoku/>
        <w:overflowPunct/>
        <w:topLinePunct w:val="0"/>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评审小组按</w:t>
      </w:r>
      <w:r>
        <w:rPr>
          <w:rFonts w:hint="eastAsia" w:ascii="宋体" w:hAnsi="宋体"/>
          <w:color w:val="auto"/>
          <w:szCs w:val="21"/>
          <w:highlight w:val="none"/>
          <w:lang w:val="en-US" w:eastAsia="zh-CN"/>
        </w:rPr>
        <w:t>每标项</w:t>
      </w:r>
      <w:r>
        <w:rPr>
          <w:rFonts w:hint="eastAsia" w:ascii="宋体" w:hAnsi="宋体"/>
          <w:color w:val="auto"/>
          <w:szCs w:val="21"/>
          <w:highlight w:val="none"/>
        </w:rPr>
        <w:t>评审得分由高到低的排序，向采购人推荐</w:t>
      </w:r>
      <w:r>
        <w:rPr>
          <w:rFonts w:hint="eastAsia" w:ascii="宋体" w:hAnsi="宋体" w:cs="宋体"/>
          <w:color w:val="auto"/>
          <w:highlight w:val="none"/>
        </w:rPr>
        <w:t>成交候选供应商</w:t>
      </w:r>
      <w:r>
        <w:rPr>
          <w:rFonts w:hint="eastAsia" w:ascii="宋体" w:hAnsi="宋体"/>
          <w:color w:val="auto"/>
          <w:szCs w:val="21"/>
          <w:highlight w:val="none"/>
        </w:rPr>
        <w:t>。代理机构应当自评审结束之日起</w:t>
      </w:r>
      <w:r>
        <w:rPr>
          <w:rFonts w:ascii="宋体" w:hAnsi="宋体"/>
          <w:color w:val="auto"/>
          <w:szCs w:val="21"/>
          <w:highlight w:val="none"/>
        </w:rPr>
        <w:t>2</w:t>
      </w:r>
      <w:r>
        <w:rPr>
          <w:rFonts w:hint="eastAsia" w:ascii="宋体" w:hAnsi="宋体"/>
          <w:color w:val="auto"/>
          <w:szCs w:val="21"/>
          <w:highlight w:val="none"/>
        </w:rPr>
        <w:t>个工作日内将评审报告送交采购人。采购人应当自收到评审报告之日起</w:t>
      </w:r>
      <w:r>
        <w:rPr>
          <w:rFonts w:ascii="宋体" w:hAnsi="宋体"/>
          <w:color w:val="auto"/>
          <w:szCs w:val="21"/>
          <w:highlight w:val="none"/>
        </w:rPr>
        <w:t>5</w:t>
      </w:r>
      <w:r>
        <w:rPr>
          <w:rFonts w:hint="eastAsia" w:ascii="宋体" w:hAnsi="宋体"/>
          <w:color w:val="auto"/>
          <w:szCs w:val="21"/>
          <w:highlight w:val="none"/>
        </w:rPr>
        <w:t>个工作日内在评审报告推荐的</w:t>
      </w:r>
      <w:r>
        <w:rPr>
          <w:rFonts w:hint="eastAsia" w:ascii="宋体" w:hAnsi="宋体" w:cs="宋体"/>
          <w:color w:val="auto"/>
          <w:highlight w:val="none"/>
        </w:rPr>
        <w:t>成交候选供应商</w:t>
      </w:r>
      <w:r>
        <w:rPr>
          <w:rFonts w:hint="eastAsia" w:ascii="宋体" w:hAnsi="宋体"/>
          <w:color w:val="auto"/>
          <w:szCs w:val="21"/>
          <w:highlight w:val="none"/>
        </w:rPr>
        <w:t>中按顺序</w:t>
      </w:r>
      <w:r>
        <w:rPr>
          <w:rFonts w:hint="eastAsia" w:ascii="宋体" w:hAnsi="宋体"/>
          <w:color w:val="auto"/>
          <w:szCs w:val="21"/>
          <w:highlight w:val="none"/>
          <w:lang w:val="en-US" w:eastAsia="zh-CN"/>
        </w:rPr>
        <w:t>每标项</w:t>
      </w:r>
      <w:r>
        <w:rPr>
          <w:rFonts w:hint="eastAsia" w:ascii="宋体" w:hAnsi="宋体"/>
          <w:color w:val="auto"/>
          <w:szCs w:val="21"/>
          <w:highlight w:val="none"/>
        </w:rPr>
        <w:t>确定1名成交供应商。成交供应商因不可抗力或者自身原因不能履行政府采购合同的，采购人可以按照评审报告推荐的下一成交候选供应商为成交供应商或重新采购。</w:t>
      </w:r>
    </w:p>
    <w:p w14:paraId="0BC1462B">
      <w:pPr>
        <w:keepNext w:val="0"/>
        <w:keepLines w:val="0"/>
        <w:pageBreakBefore w:val="0"/>
        <w:widowControl w:val="0"/>
        <w:numPr>
          <w:ilvl w:val="0"/>
          <w:numId w:val="11"/>
        </w:numPr>
        <w:shd w:val="clear" w:color="auto" w:fill="FFFFFF"/>
        <w:kinsoku/>
        <w:overflowPunct/>
        <w:topLinePunct w:val="0"/>
        <w:bidi w:val="0"/>
        <w:adjustRightInd/>
        <w:snapToGrid/>
        <w:spacing w:line="360" w:lineRule="auto"/>
        <w:ind w:firstLine="422" w:firstLineChars="200"/>
        <w:jc w:val="left"/>
        <w:textAlignment w:val="auto"/>
        <w:rPr>
          <w:rFonts w:hint="eastAsia" w:ascii="宋体" w:hAnsi="宋体"/>
          <w:b/>
          <w:color w:val="auto"/>
          <w:kern w:val="0"/>
          <w:szCs w:val="21"/>
          <w:highlight w:val="none"/>
        </w:rPr>
      </w:pPr>
      <w:r>
        <w:rPr>
          <w:rFonts w:hint="eastAsia" w:ascii="宋体" w:hAnsi="宋体"/>
          <w:b/>
          <w:color w:val="auto"/>
          <w:kern w:val="0"/>
          <w:szCs w:val="21"/>
          <w:highlight w:val="none"/>
        </w:rPr>
        <w:t>磋商的澄清</w:t>
      </w:r>
    </w:p>
    <w:p w14:paraId="397E25AD">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cs="宋体"/>
          <w:color w:val="auto"/>
          <w:highlight w:val="none"/>
        </w:rPr>
        <w:t>1、磋商小组在对磋商响应文件的有效性、完整性和响应程度进行审查时，可以要求供应商对磋商响应文件中含义不明确、同类问题表述不一致或者有明显文字和计算错误的内容等做出必要的澄清。供应商的澄清不得超出竞争性磋商响应文件的范围或者改变竞争性磋商响应文件的实质性内容。</w:t>
      </w:r>
    </w:p>
    <w:p w14:paraId="58EC3B5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highlight w:val="none"/>
        </w:rPr>
      </w:pPr>
      <w:r>
        <w:rPr>
          <w:rFonts w:hint="eastAsia" w:ascii="宋体" w:hAnsi="宋体" w:cs="宋体"/>
          <w:color w:val="auto"/>
          <w:highlight w:val="none"/>
        </w:rPr>
        <w:t>2、政采云具体操作如下：</w:t>
      </w:r>
    </w:p>
    <w:p w14:paraId="728D16B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highlight w:val="none"/>
        </w:rPr>
      </w:pPr>
      <w:r>
        <w:rPr>
          <w:rFonts w:hint="eastAsia" w:ascii="宋体" w:hAnsi="宋体" w:cs="宋体"/>
          <w:color w:val="auto"/>
          <w:highlight w:val="none"/>
        </w:rPr>
        <w:t>在评审过程中，如评审小组对磋商响应文件有疑问，由评审组长将问题汇总后发函，或由采购代理机构代替发起。供应商在截止时间前，予以回复。此回复将作为磋商响应文件内容的一部分，具有相应的法律效力。</w:t>
      </w:r>
    </w:p>
    <w:p w14:paraId="7E0E992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highlight w:val="none"/>
        </w:rPr>
      </w:pPr>
      <w:r>
        <w:rPr>
          <w:rFonts w:hint="eastAsia" w:ascii="宋体" w:hAnsi="宋体" w:cs="宋体"/>
          <w:color w:val="auto"/>
          <w:highlight w:val="none"/>
        </w:rPr>
        <w:t>路径：用户中心—项目采购—询标澄清</w:t>
      </w:r>
    </w:p>
    <w:p w14:paraId="018FF5A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highlight w:val="none"/>
        </w:rPr>
      </w:pPr>
      <w:r>
        <w:rPr>
          <w:rFonts w:hint="eastAsia" w:ascii="宋体" w:hAnsi="宋体" w:cs="宋体"/>
          <w:color w:val="auto"/>
          <w:highlight w:val="none"/>
        </w:rPr>
        <w:t>（1）政采云平台通过待办事项和短信提醒供应商在截止时间前完成澄清。</w:t>
      </w:r>
    </w:p>
    <w:p w14:paraId="0631E32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highlight w:val="none"/>
        </w:rPr>
      </w:pPr>
      <w:r>
        <w:rPr>
          <w:rFonts w:hint="eastAsia" w:ascii="宋体" w:hAnsi="宋体" w:cs="宋体"/>
          <w:color w:val="auto"/>
          <w:highlight w:val="none"/>
        </w:rPr>
        <w:t>（2）供应商在“询标澄清-待办理”标签页下选择状态为“待澄清”的项目，点击操作栏【澄清】。</w:t>
      </w:r>
    </w:p>
    <w:p w14:paraId="0E14FF2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highlight w:val="none"/>
        </w:rPr>
      </w:pPr>
      <w:r>
        <w:rPr>
          <w:rFonts w:hint="eastAsia" w:ascii="宋体" w:hAnsi="宋体" w:cs="宋体"/>
          <w:color w:val="auto"/>
          <w:highlight w:val="none"/>
        </w:rPr>
        <w:t>（3）查看函内容，在澄清截止时间前上传澄清文件并对澄清文件进行签章。（注：澄清文件必须以PDF格式上传，文件大小：50M。）</w:t>
      </w:r>
    </w:p>
    <w:p w14:paraId="600B54C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highlight w:val="none"/>
        </w:rPr>
      </w:pPr>
      <w:r>
        <w:rPr>
          <w:rFonts w:hint="eastAsia" w:ascii="宋体" w:hAnsi="宋体" w:cs="宋体"/>
          <w:color w:val="auto"/>
          <w:highlight w:val="none"/>
        </w:rPr>
        <w:t>（4）签章完成，文件名称处显示“已签章”，供应商可“撤回签章”修改澄清函和“查看文件”。</w:t>
      </w:r>
    </w:p>
    <w:p w14:paraId="1A1CDC0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highlight w:val="none"/>
        </w:rPr>
      </w:pPr>
      <w:r>
        <w:rPr>
          <w:rFonts w:hint="eastAsia" w:ascii="宋体" w:hAnsi="宋体" w:cs="宋体"/>
          <w:color w:val="auto"/>
          <w:highlight w:val="none"/>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4FAD880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highlight w:val="none"/>
        </w:rPr>
      </w:pPr>
      <w:r>
        <w:rPr>
          <w:rFonts w:hint="eastAsia" w:ascii="宋体" w:hAnsi="宋体" w:cs="宋体"/>
          <w:color w:val="auto"/>
          <w:highlight w:val="none"/>
        </w:rPr>
        <w:t>（6）完成状态：供应商澄清文件提交成功后，在“询标澄清-全部”标签页下显示状态为“已澄清”。</w:t>
      </w:r>
    </w:p>
    <w:p w14:paraId="5F6F3C7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highlight w:val="none"/>
        </w:rPr>
      </w:pPr>
      <w:r>
        <w:rPr>
          <w:rFonts w:hint="eastAsia" w:ascii="宋体" w:hAnsi="宋体" w:cs="宋体"/>
          <w:color w:val="auto"/>
          <w:highlight w:val="none"/>
        </w:rPr>
        <w:t>3、磋商现场，供应商安排</w:t>
      </w:r>
      <w:r>
        <w:rPr>
          <w:rFonts w:hint="eastAsia" w:ascii="宋体" w:hAnsi="宋体"/>
          <w:color w:val="auto"/>
          <w:szCs w:val="21"/>
          <w:highlight w:val="none"/>
        </w:rPr>
        <w:t>法定代表人或授权代表到场的，则由</w:t>
      </w:r>
      <w:r>
        <w:rPr>
          <w:rFonts w:hint="eastAsia" w:ascii="宋体" w:hAnsi="宋体" w:cs="宋体"/>
          <w:color w:val="auto"/>
          <w:highlight w:val="none"/>
        </w:rPr>
        <w:t>评审组长将问题汇总后向供应商发出书面“采购响应文件问题澄清通知”，供应商应对需要澄清的问题作书面回答，该书面澄清应当由</w:t>
      </w:r>
      <w:r>
        <w:rPr>
          <w:rFonts w:hint="eastAsia" w:ascii="宋体" w:hAnsi="宋体"/>
          <w:color w:val="auto"/>
          <w:szCs w:val="21"/>
          <w:highlight w:val="none"/>
        </w:rPr>
        <w:t>供应商的法定代表人或授权代表签字</w:t>
      </w:r>
      <w:r>
        <w:rPr>
          <w:rFonts w:hint="eastAsia" w:ascii="宋体" w:hAnsi="宋体" w:cs="宋体"/>
          <w:color w:val="auto"/>
          <w:highlight w:val="none"/>
        </w:rPr>
        <w:t>或者加盖供应商公章。书面澄清将作为磋商响应文件内容的一部分，具有相应的法律效力。</w:t>
      </w:r>
    </w:p>
    <w:p w14:paraId="33F7842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highlight w:val="none"/>
        </w:rPr>
      </w:pPr>
      <w:r>
        <w:rPr>
          <w:rFonts w:hint="eastAsia" w:ascii="宋体" w:hAnsi="宋体" w:cs="宋体"/>
          <w:color w:val="auto"/>
          <w:highlight w:val="none"/>
        </w:rPr>
        <w:t>4、供应商未在截止时间前完成澄清，将被视作自动放弃。</w:t>
      </w:r>
    </w:p>
    <w:p w14:paraId="50056449">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22" w:firstLineChars="200"/>
        <w:jc w:val="left"/>
        <w:textAlignment w:val="auto"/>
        <w:rPr>
          <w:rFonts w:hint="eastAsia" w:ascii="宋体" w:hAnsi="宋体"/>
          <w:b/>
          <w:color w:val="auto"/>
          <w:kern w:val="0"/>
          <w:szCs w:val="21"/>
          <w:highlight w:val="none"/>
        </w:rPr>
      </w:pPr>
      <w:r>
        <w:rPr>
          <w:rFonts w:hint="eastAsia" w:ascii="宋体" w:hAnsi="宋体"/>
          <w:b/>
          <w:color w:val="auto"/>
          <w:kern w:val="0"/>
          <w:szCs w:val="21"/>
          <w:highlight w:val="none"/>
        </w:rPr>
        <w:t>五、其他说明</w:t>
      </w:r>
    </w:p>
    <w:p w14:paraId="6285A317">
      <w:pPr>
        <w:keepNext w:val="0"/>
        <w:keepLines w:val="0"/>
        <w:pageBreakBefore w:val="0"/>
        <w:widowControl w:val="0"/>
        <w:kinsoku/>
        <w:wordWrap/>
        <w:overflowPunct/>
        <w:topLinePunct w:val="0"/>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1、采购人不向未成交供应商解释未成交原因，不退还磋商响应文件。</w:t>
      </w:r>
    </w:p>
    <w:p w14:paraId="2ACDC6CA">
      <w:pPr>
        <w:keepNext w:val="0"/>
        <w:keepLines w:val="0"/>
        <w:pageBreakBefore w:val="0"/>
        <w:widowControl w:val="0"/>
        <w:kinsoku/>
        <w:wordWrap/>
        <w:overflowPunct/>
        <w:topLinePunct w:val="0"/>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2、价格是评审的重要因素之一，但最低报价不是成交的唯一依据。</w:t>
      </w:r>
    </w:p>
    <w:p w14:paraId="196C8BA1">
      <w:pPr>
        <w:pStyle w:val="26"/>
        <w:kinsoku/>
        <w:wordWrap/>
        <w:overflowPunct/>
        <w:topLinePunct w:val="0"/>
        <w:bidi w:val="0"/>
        <w:spacing w:line="360" w:lineRule="auto"/>
        <w:ind w:left="954" w:leftChars="226" w:hanging="479" w:firstLineChars="0"/>
        <w:outlineLvl w:val="9"/>
        <w:rPr>
          <w:rFonts w:cs="宋体"/>
          <w:color w:val="auto"/>
          <w:sz w:val="21"/>
          <w:szCs w:val="21"/>
          <w:highlight w:val="none"/>
        </w:rPr>
      </w:pPr>
      <w:r>
        <w:rPr>
          <w:rFonts w:hint="eastAsia" w:cs="宋体"/>
          <w:b/>
          <w:color w:val="auto"/>
          <w:kern w:val="0"/>
          <w:sz w:val="21"/>
          <w:szCs w:val="21"/>
          <w:highlight w:val="none"/>
          <w:lang w:val="en-US" w:eastAsia="zh-CN"/>
        </w:rPr>
        <w:t>3、</w:t>
      </w:r>
      <w:r>
        <w:rPr>
          <w:rFonts w:hint="eastAsia" w:cs="宋体"/>
          <w:b/>
          <w:color w:val="auto"/>
          <w:kern w:val="0"/>
          <w:sz w:val="21"/>
          <w:szCs w:val="21"/>
          <w:highlight w:val="none"/>
        </w:rPr>
        <w:t>投标无效。</w:t>
      </w:r>
      <w:r>
        <w:rPr>
          <w:rFonts w:hint="eastAsia" w:cs="宋体"/>
          <w:color w:val="auto"/>
          <w:sz w:val="21"/>
          <w:szCs w:val="21"/>
          <w:highlight w:val="none"/>
        </w:rPr>
        <w:t>有下列情形之一的，投标无效：</w:t>
      </w:r>
    </w:p>
    <w:p w14:paraId="65DEBBCA">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不具备招标文件中规定的资格要求的（</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未提供有效的资格文件的，视为</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不具备招标文件中规定的资格要求）</w:t>
      </w:r>
      <w:r>
        <w:rPr>
          <w:rFonts w:hint="eastAsia" w:ascii="宋体" w:hAnsi="宋体" w:cs="宋体"/>
          <w:color w:val="auto"/>
          <w:kern w:val="0"/>
          <w:sz w:val="21"/>
          <w:szCs w:val="21"/>
          <w:highlight w:val="none"/>
          <w:lang w:eastAsia="zh-CN"/>
        </w:rPr>
        <w:t>；</w:t>
      </w:r>
    </w:p>
    <w:p w14:paraId="1F0E92D0">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.2投标文件未按照招标文件要求签署、盖章的</w:t>
      </w:r>
      <w:r>
        <w:rPr>
          <w:rFonts w:hint="eastAsia" w:ascii="宋体" w:hAnsi="宋体" w:cs="宋体"/>
          <w:color w:val="auto"/>
          <w:kern w:val="0"/>
          <w:sz w:val="21"/>
          <w:szCs w:val="21"/>
          <w:highlight w:val="none"/>
          <w:lang w:eastAsia="zh-CN"/>
        </w:rPr>
        <w:t>；</w:t>
      </w:r>
    </w:p>
    <w:p w14:paraId="3A7B33E5">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.3采购人拟采购的产品属于政府强制采购的节能产品品目清单范围的，</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相应的投标产品未获得国家确定的认证机构出具的、处于有效期之内的节能产品认证证书的</w:t>
      </w:r>
      <w:r>
        <w:rPr>
          <w:rFonts w:hint="eastAsia" w:ascii="宋体" w:hAnsi="宋体" w:cs="宋体"/>
          <w:color w:val="auto"/>
          <w:kern w:val="0"/>
          <w:sz w:val="21"/>
          <w:szCs w:val="21"/>
          <w:highlight w:val="none"/>
          <w:lang w:eastAsia="zh-CN"/>
        </w:rPr>
        <w:t>；</w:t>
      </w:r>
    </w:p>
    <w:p w14:paraId="13B6289B">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.4投标文件含有采购人不能接受的附加条件的</w:t>
      </w:r>
      <w:r>
        <w:rPr>
          <w:rFonts w:hint="eastAsia" w:ascii="宋体" w:hAnsi="宋体" w:cs="宋体"/>
          <w:color w:val="auto"/>
          <w:kern w:val="0"/>
          <w:sz w:val="21"/>
          <w:szCs w:val="21"/>
          <w:highlight w:val="none"/>
          <w:lang w:eastAsia="zh-CN"/>
        </w:rPr>
        <w:t>；</w:t>
      </w:r>
    </w:p>
    <w:p w14:paraId="2828D7BB">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.5投标文件中承诺的投标有效期少于招标文件中载明的投标有效期的</w:t>
      </w:r>
      <w:r>
        <w:rPr>
          <w:rFonts w:hint="eastAsia" w:ascii="宋体" w:hAnsi="宋体" w:cs="宋体"/>
          <w:color w:val="auto"/>
          <w:kern w:val="0"/>
          <w:sz w:val="21"/>
          <w:szCs w:val="21"/>
          <w:highlight w:val="none"/>
          <w:lang w:eastAsia="zh-CN"/>
        </w:rPr>
        <w:t>；</w:t>
      </w:r>
    </w:p>
    <w:p w14:paraId="236EB10F">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.6</w:t>
      </w:r>
      <w:r>
        <w:rPr>
          <w:rFonts w:hint="eastAsia" w:ascii="宋体" w:hAnsi="宋体" w:eastAsia="宋体" w:cs="宋体"/>
          <w:color w:val="auto"/>
          <w:kern w:val="0"/>
          <w:sz w:val="21"/>
          <w:szCs w:val="21"/>
          <w:highlight w:val="none"/>
        </w:rPr>
        <w:t>投标</w:t>
      </w:r>
      <w:r>
        <w:rPr>
          <w:rFonts w:hint="eastAsia" w:ascii="宋体" w:hAnsi="宋体" w:cs="宋体"/>
          <w:color w:val="auto"/>
          <w:kern w:val="0"/>
          <w:sz w:val="21"/>
          <w:szCs w:val="21"/>
          <w:highlight w:val="none"/>
        </w:rPr>
        <w:t>文件出现不是唯一的、有选择性投标报价的</w:t>
      </w:r>
      <w:r>
        <w:rPr>
          <w:rFonts w:hint="eastAsia" w:ascii="宋体" w:hAnsi="宋体" w:cs="宋体"/>
          <w:color w:val="auto"/>
          <w:kern w:val="0"/>
          <w:sz w:val="21"/>
          <w:szCs w:val="21"/>
          <w:highlight w:val="none"/>
          <w:lang w:eastAsia="zh-CN"/>
        </w:rPr>
        <w:t>；</w:t>
      </w:r>
    </w:p>
    <w:p w14:paraId="19B56146">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.7投标报价超过招标文件中规定的预算金额或者最高限价的</w:t>
      </w:r>
      <w:r>
        <w:rPr>
          <w:rFonts w:hint="eastAsia" w:ascii="宋体" w:hAnsi="宋体" w:cs="宋体"/>
          <w:color w:val="auto"/>
          <w:kern w:val="0"/>
          <w:sz w:val="21"/>
          <w:szCs w:val="21"/>
          <w:highlight w:val="none"/>
          <w:lang w:eastAsia="zh-CN"/>
        </w:rPr>
        <w:t>；</w:t>
      </w:r>
    </w:p>
    <w:p w14:paraId="1576D160">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.8报价明显低于其他通过符合性审查</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的报价，有可能影响产品质量或者不能诚信履约的，未能按要求提供书面说明或者提交相关证明材料，不能证明其报价合理性的</w:t>
      </w:r>
      <w:r>
        <w:rPr>
          <w:rFonts w:hint="eastAsia" w:ascii="宋体" w:hAnsi="宋体" w:cs="宋体"/>
          <w:color w:val="auto"/>
          <w:kern w:val="0"/>
          <w:sz w:val="21"/>
          <w:szCs w:val="21"/>
          <w:highlight w:val="none"/>
          <w:lang w:eastAsia="zh-CN"/>
        </w:rPr>
        <w:t>；</w:t>
      </w:r>
    </w:p>
    <w:p w14:paraId="3E83C62D">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.9</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对根据修正原则修正后的报价不确认的</w:t>
      </w:r>
      <w:r>
        <w:rPr>
          <w:rFonts w:hint="eastAsia" w:ascii="宋体" w:hAnsi="宋体" w:cs="宋体"/>
          <w:color w:val="auto"/>
          <w:kern w:val="0"/>
          <w:sz w:val="21"/>
          <w:szCs w:val="21"/>
          <w:highlight w:val="none"/>
          <w:lang w:eastAsia="zh-CN"/>
        </w:rPr>
        <w:t>；</w:t>
      </w:r>
    </w:p>
    <w:p w14:paraId="23CD1A23">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.10</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提供虚假材料投标的</w:t>
      </w:r>
      <w:r>
        <w:rPr>
          <w:rFonts w:hint="eastAsia" w:ascii="宋体" w:hAnsi="宋体" w:cs="宋体"/>
          <w:color w:val="auto"/>
          <w:kern w:val="0"/>
          <w:sz w:val="21"/>
          <w:szCs w:val="21"/>
          <w:highlight w:val="none"/>
          <w:lang w:eastAsia="zh-CN"/>
        </w:rPr>
        <w:t>；</w:t>
      </w:r>
    </w:p>
    <w:p w14:paraId="7E77F3B1">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.11</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有恶意串通、妨碍其他</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的竞争行为、损害采购人或者其他</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的合法权益情形的</w:t>
      </w:r>
      <w:r>
        <w:rPr>
          <w:rFonts w:hint="eastAsia" w:ascii="宋体" w:hAnsi="宋体" w:cs="宋体"/>
          <w:color w:val="auto"/>
          <w:kern w:val="0"/>
          <w:sz w:val="21"/>
          <w:szCs w:val="21"/>
          <w:highlight w:val="none"/>
          <w:lang w:eastAsia="zh-CN"/>
        </w:rPr>
        <w:t>；</w:t>
      </w:r>
    </w:p>
    <w:p w14:paraId="4DB5A687">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.12</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仅提交备份投标文件，未在电子交易平台传输递交投标文件的，投标无效</w:t>
      </w:r>
      <w:r>
        <w:rPr>
          <w:rFonts w:hint="eastAsia" w:ascii="宋体" w:hAnsi="宋体" w:cs="宋体"/>
          <w:color w:val="auto"/>
          <w:kern w:val="0"/>
          <w:sz w:val="21"/>
          <w:szCs w:val="21"/>
          <w:highlight w:val="none"/>
          <w:lang w:eastAsia="zh-CN"/>
        </w:rPr>
        <w:t>；</w:t>
      </w:r>
    </w:p>
    <w:p w14:paraId="345BF3E2">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val="en-US"/>
        </w:rPr>
        <w:t>.13 投标</w:t>
      </w:r>
      <w:r>
        <w:rPr>
          <w:rFonts w:hint="eastAsia" w:ascii="宋体" w:hAnsi="宋体" w:eastAsia="宋体" w:cs="宋体"/>
          <w:color w:val="auto"/>
          <w:kern w:val="0"/>
          <w:sz w:val="21"/>
          <w:szCs w:val="21"/>
          <w:highlight w:val="none"/>
          <w:lang w:val="en-US"/>
        </w:rPr>
        <w:t>文件不满足招标文件的其它实质性要求的</w:t>
      </w:r>
      <w:r>
        <w:rPr>
          <w:rFonts w:hint="eastAsia" w:ascii="宋体" w:hAnsi="宋体" w:cs="宋体"/>
          <w:color w:val="auto"/>
          <w:kern w:val="0"/>
          <w:sz w:val="21"/>
          <w:szCs w:val="21"/>
          <w:highlight w:val="none"/>
          <w:lang w:val="en-US" w:eastAsia="zh-CN"/>
        </w:rPr>
        <w:t>；</w:t>
      </w:r>
    </w:p>
    <w:p w14:paraId="47EA5A5B">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.14法律、法规、规章（适用本市的）及省级以上规范性文件（适用本市的）规定的其他无效情形。</w:t>
      </w:r>
    </w:p>
    <w:p w14:paraId="3B23804F">
      <w:pPr>
        <w:pStyle w:val="26"/>
        <w:kinsoku/>
        <w:wordWrap/>
        <w:overflowPunct/>
        <w:topLinePunct w:val="0"/>
        <w:bidi w:val="0"/>
        <w:snapToGrid w:val="0"/>
        <w:spacing w:line="360" w:lineRule="auto"/>
        <w:ind w:firstLine="413" w:firstLineChars="196"/>
        <w:outlineLvl w:val="9"/>
        <w:rPr>
          <w:rFonts w:cs="宋体"/>
          <w:color w:val="auto"/>
          <w:sz w:val="21"/>
          <w:szCs w:val="21"/>
          <w:highlight w:val="none"/>
        </w:rPr>
      </w:pPr>
      <w:r>
        <w:rPr>
          <w:rFonts w:hint="eastAsia" w:cs="宋体"/>
          <w:b/>
          <w:color w:val="auto"/>
          <w:sz w:val="21"/>
          <w:szCs w:val="21"/>
          <w:highlight w:val="none"/>
          <w:lang w:val="en-US" w:eastAsia="zh-CN"/>
        </w:rPr>
        <w:t>4</w:t>
      </w:r>
      <w:r>
        <w:rPr>
          <w:rFonts w:hint="eastAsia" w:cs="宋体"/>
          <w:b/>
          <w:color w:val="auto"/>
          <w:sz w:val="21"/>
          <w:szCs w:val="21"/>
          <w:highlight w:val="none"/>
        </w:rPr>
        <w:t>.废标。</w:t>
      </w:r>
      <w:r>
        <w:rPr>
          <w:rFonts w:hint="eastAsia" w:cs="宋体"/>
          <w:color w:val="auto"/>
          <w:sz w:val="21"/>
          <w:szCs w:val="21"/>
          <w:highlight w:val="none"/>
        </w:rPr>
        <w:t>根据《中华人民共和国政府采购法》第三十六条之规定，在采购中，出现下列情形之一的，应予废标：</w:t>
      </w:r>
    </w:p>
    <w:p w14:paraId="1668E0E2">
      <w:pPr>
        <w:pStyle w:val="26"/>
        <w:kinsoku/>
        <w:wordWrap/>
        <w:overflowPunct/>
        <w:topLinePunct w:val="0"/>
        <w:bidi w:val="0"/>
        <w:snapToGrid w:val="0"/>
        <w:spacing w:line="360" w:lineRule="auto"/>
        <w:outlineLvl w:val="9"/>
        <w:rPr>
          <w:rFonts w:hint="eastAsia" w:eastAsia="宋体" w:cs="宋体"/>
          <w:color w:val="auto"/>
          <w:sz w:val="21"/>
          <w:szCs w:val="21"/>
          <w:highlight w:val="none"/>
          <w:lang w:eastAsia="zh-CN"/>
        </w:rPr>
      </w:pPr>
      <w:r>
        <w:rPr>
          <w:rFonts w:hint="eastAsia" w:cs="宋体"/>
          <w:color w:val="auto"/>
          <w:sz w:val="21"/>
          <w:szCs w:val="21"/>
          <w:highlight w:val="none"/>
          <w:lang w:val="en-US" w:eastAsia="zh-CN"/>
        </w:rPr>
        <w:t>4</w:t>
      </w:r>
      <w:r>
        <w:rPr>
          <w:rFonts w:hint="eastAsia" w:cs="宋体"/>
          <w:color w:val="auto"/>
          <w:sz w:val="21"/>
          <w:szCs w:val="21"/>
          <w:highlight w:val="none"/>
        </w:rPr>
        <w:t>.1符合专业条件的供应商或者对招标文件作实质响应的供应商不足3家的</w:t>
      </w:r>
      <w:r>
        <w:rPr>
          <w:rFonts w:hint="eastAsia" w:cs="宋体"/>
          <w:color w:val="auto"/>
          <w:sz w:val="21"/>
          <w:szCs w:val="21"/>
          <w:highlight w:val="none"/>
          <w:lang w:eastAsia="zh-CN"/>
        </w:rPr>
        <w:t>；</w:t>
      </w:r>
    </w:p>
    <w:p w14:paraId="34CF5B0E">
      <w:pPr>
        <w:pStyle w:val="26"/>
        <w:kinsoku/>
        <w:wordWrap/>
        <w:overflowPunct/>
        <w:topLinePunct w:val="0"/>
        <w:bidi w:val="0"/>
        <w:snapToGrid w:val="0"/>
        <w:spacing w:line="360" w:lineRule="auto"/>
        <w:outlineLvl w:val="9"/>
        <w:rPr>
          <w:rFonts w:hint="eastAsia" w:eastAsia="宋体" w:cs="宋体"/>
          <w:color w:val="auto"/>
          <w:sz w:val="21"/>
          <w:szCs w:val="21"/>
          <w:highlight w:val="none"/>
          <w:lang w:eastAsia="zh-CN"/>
        </w:rPr>
      </w:pPr>
      <w:r>
        <w:rPr>
          <w:rFonts w:hint="eastAsia" w:cs="宋体"/>
          <w:color w:val="auto"/>
          <w:sz w:val="21"/>
          <w:szCs w:val="21"/>
          <w:highlight w:val="none"/>
          <w:lang w:val="en-US" w:eastAsia="zh-CN"/>
        </w:rPr>
        <w:t>4</w:t>
      </w:r>
      <w:r>
        <w:rPr>
          <w:rFonts w:hint="eastAsia" w:cs="宋体"/>
          <w:color w:val="auto"/>
          <w:sz w:val="21"/>
          <w:szCs w:val="21"/>
          <w:highlight w:val="none"/>
        </w:rPr>
        <w:t>.2出现影响采购公正的违法、违规行为的</w:t>
      </w:r>
      <w:r>
        <w:rPr>
          <w:rFonts w:hint="eastAsia" w:cs="宋体"/>
          <w:color w:val="auto"/>
          <w:sz w:val="21"/>
          <w:szCs w:val="21"/>
          <w:highlight w:val="none"/>
          <w:lang w:eastAsia="zh-CN"/>
        </w:rPr>
        <w:t>；</w:t>
      </w:r>
    </w:p>
    <w:p w14:paraId="17B4A8A9">
      <w:pPr>
        <w:pStyle w:val="26"/>
        <w:kinsoku/>
        <w:wordWrap/>
        <w:overflowPunct/>
        <w:topLinePunct w:val="0"/>
        <w:bidi w:val="0"/>
        <w:snapToGrid w:val="0"/>
        <w:spacing w:line="360" w:lineRule="auto"/>
        <w:outlineLvl w:val="9"/>
        <w:rPr>
          <w:rFonts w:hint="eastAsia" w:eastAsia="宋体" w:cs="宋体"/>
          <w:color w:val="auto"/>
          <w:sz w:val="21"/>
          <w:szCs w:val="21"/>
          <w:highlight w:val="none"/>
          <w:lang w:eastAsia="zh-CN"/>
        </w:rPr>
      </w:pPr>
      <w:r>
        <w:rPr>
          <w:rFonts w:hint="eastAsia" w:cs="宋体"/>
          <w:color w:val="auto"/>
          <w:sz w:val="21"/>
          <w:szCs w:val="21"/>
          <w:highlight w:val="none"/>
          <w:lang w:val="en-US" w:eastAsia="zh-CN"/>
        </w:rPr>
        <w:t>4</w:t>
      </w:r>
      <w:r>
        <w:rPr>
          <w:rFonts w:hint="eastAsia" w:cs="宋体"/>
          <w:color w:val="auto"/>
          <w:sz w:val="21"/>
          <w:szCs w:val="21"/>
          <w:highlight w:val="none"/>
        </w:rPr>
        <w:t>.3</w:t>
      </w:r>
      <w:r>
        <w:rPr>
          <w:rFonts w:hint="eastAsia" w:cs="宋体"/>
          <w:color w:val="auto"/>
          <w:sz w:val="21"/>
          <w:szCs w:val="21"/>
          <w:highlight w:val="none"/>
          <w:lang w:eastAsia="zh-CN"/>
        </w:rPr>
        <w:t>供应商</w:t>
      </w:r>
      <w:r>
        <w:rPr>
          <w:rFonts w:hint="eastAsia" w:cs="宋体"/>
          <w:color w:val="auto"/>
          <w:sz w:val="21"/>
          <w:szCs w:val="21"/>
          <w:highlight w:val="none"/>
        </w:rPr>
        <w:t>的报价均超过了采购预算，采购人不能支付的</w:t>
      </w:r>
      <w:r>
        <w:rPr>
          <w:rFonts w:hint="eastAsia" w:cs="宋体"/>
          <w:color w:val="auto"/>
          <w:sz w:val="21"/>
          <w:szCs w:val="21"/>
          <w:highlight w:val="none"/>
          <w:lang w:eastAsia="zh-CN"/>
        </w:rPr>
        <w:t>；</w:t>
      </w:r>
    </w:p>
    <w:p w14:paraId="2D78C56E">
      <w:pPr>
        <w:pStyle w:val="26"/>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lang w:val="en-US" w:eastAsia="zh-CN"/>
        </w:rPr>
        <w:t>4</w:t>
      </w:r>
      <w:r>
        <w:rPr>
          <w:rFonts w:hint="eastAsia" w:cs="宋体"/>
          <w:color w:val="auto"/>
          <w:sz w:val="21"/>
          <w:szCs w:val="21"/>
          <w:highlight w:val="none"/>
        </w:rPr>
        <w:t>.4因重大变故，采购任务取消的。</w:t>
      </w:r>
    </w:p>
    <w:p w14:paraId="2DF28C81">
      <w:pPr>
        <w:pStyle w:val="26"/>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rPr>
        <w:t>废标后，</w:t>
      </w:r>
      <w:r>
        <w:rPr>
          <w:rFonts w:hint="eastAsia" w:cs="宋体"/>
          <w:color w:val="auto"/>
          <w:sz w:val="21"/>
          <w:szCs w:val="21"/>
          <w:highlight w:val="none"/>
          <w:lang w:eastAsia="zh-CN"/>
        </w:rPr>
        <w:t>采购代理机构</w:t>
      </w:r>
      <w:r>
        <w:rPr>
          <w:rFonts w:hint="eastAsia" w:cs="宋体"/>
          <w:color w:val="auto"/>
          <w:sz w:val="21"/>
          <w:szCs w:val="21"/>
          <w:highlight w:val="none"/>
        </w:rPr>
        <w:t>应当将废标理由通知所有</w:t>
      </w:r>
      <w:r>
        <w:rPr>
          <w:rFonts w:hint="eastAsia" w:cs="宋体"/>
          <w:color w:val="auto"/>
          <w:sz w:val="21"/>
          <w:szCs w:val="21"/>
          <w:highlight w:val="none"/>
          <w:lang w:eastAsia="zh-CN"/>
        </w:rPr>
        <w:t>供应商</w:t>
      </w:r>
      <w:r>
        <w:rPr>
          <w:rFonts w:hint="eastAsia" w:cs="宋体"/>
          <w:color w:val="auto"/>
          <w:sz w:val="21"/>
          <w:szCs w:val="21"/>
          <w:highlight w:val="none"/>
        </w:rPr>
        <w:t>。</w:t>
      </w:r>
    </w:p>
    <w:p w14:paraId="6E6C7895">
      <w:pPr>
        <w:keepNext w:val="0"/>
        <w:keepLines w:val="0"/>
        <w:pageBreakBefore w:val="0"/>
        <w:widowControl w:val="0"/>
        <w:kinsoku/>
        <w:wordWrap/>
        <w:overflowPunct/>
        <w:topLinePunct w:val="0"/>
        <w:bidi w:val="0"/>
        <w:adjustRightInd/>
        <w:snapToGrid/>
        <w:spacing w:line="440" w:lineRule="exact"/>
        <w:ind w:left="0" w:leftChars="0"/>
        <w:textAlignment w:val="auto"/>
        <w:rPr>
          <w:rFonts w:hint="eastAsia" w:ascii="宋体" w:hAnsi="宋体"/>
          <w:color w:val="auto"/>
          <w:szCs w:val="21"/>
          <w:highlight w:val="none"/>
        </w:rPr>
      </w:pPr>
      <w:r>
        <w:rPr>
          <w:rFonts w:hint="eastAsia" w:ascii="宋体" w:hAnsi="宋体"/>
          <w:color w:val="auto"/>
          <w:szCs w:val="21"/>
          <w:highlight w:val="none"/>
        </w:rPr>
        <w:t>附表1：</w:t>
      </w:r>
    </w:p>
    <w:p w14:paraId="51DE2E32">
      <w:pPr>
        <w:widowControl/>
        <w:snapToGrid w:val="0"/>
        <w:spacing w:line="440" w:lineRule="exact"/>
        <w:jc w:val="center"/>
        <w:rPr>
          <w:rFonts w:hint="eastAsia" w:ascii="宋体" w:hAnsi="宋体"/>
          <w:b/>
          <w:color w:val="auto"/>
          <w:szCs w:val="21"/>
          <w:highlight w:val="none"/>
        </w:rPr>
      </w:pPr>
      <w:r>
        <w:rPr>
          <w:rFonts w:hint="eastAsia" w:ascii="宋体" w:hAnsi="宋体"/>
          <w:b/>
          <w:color w:val="auto"/>
          <w:szCs w:val="21"/>
          <w:highlight w:val="none"/>
        </w:rPr>
        <w:t>资格审查表</w:t>
      </w:r>
    </w:p>
    <w:tbl>
      <w:tblPr>
        <w:tblStyle w:val="62"/>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215"/>
        <w:gridCol w:w="4725"/>
      </w:tblGrid>
      <w:tr w14:paraId="0161E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noWrap w:val="0"/>
            <w:vAlign w:val="center"/>
          </w:tcPr>
          <w:p w14:paraId="2048C47A">
            <w:pPr>
              <w:keepNext w:val="0"/>
              <w:keepLines w:val="0"/>
              <w:suppressLineNumbers w:val="0"/>
              <w:spacing w:before="0" w:beforeAutospacing="0" w:after="0" w:afterAutospacing="0" w:line="360" w:lineRule="exact"/>
              <w:ind w:left="0" w:right="0"/>
              <w:jc w:val="center"/>
              <w:rPr>
                <w:rFonts w:hint="default" w:ascii="宋体" w:hAnsi="宋体"/>
                <w:b/>
                <w:color w:val="auto"/>
                <w:szCs w:val="21"/>
                <w:highlight w:val="none"/>
              </w:rPr>
            </w:pPr>
            <w:r>
              <w:rPr>
                <w:rFonts w:hint="eastAsia" w:ascii="宋体" w:hAnsi="宋体"/>
                <w:b/>
                <w:color w:val="auto"/>
                <w:szCs w:val="21"/>
                <w:highlight w:val="none"/>
              </w:rPr>
              <w:t>序号</w:t>
            </w:r>
          </w:p>
        </w:tc>
        <w:tc>
          <w:tcPr>
            <w:tcW w:w="4215" w:type="dxa"/>
            <w:noWrap w:val="0"/>
            <w:vAlign w:val="center"/>
          </w:tcPr>
          <w:p w14:paraId="331514A9">
            <w:pPr>
              <w:keepNext w:val="0"/>
              <w:keepLines w:val="0"/>
              <w:suppressLineNumbers w:val="0"/>
              <w:spacing w:before="0" w:beforeAutospacing="0" w:after="0" w:afterAutospacing="0" w:line="360" w:lineRule="exact"/>
              <w:ind w:left="0" w:right="0"/>
              <w:jc w:val="center"/>
              <w:rPr>
                <w:rFonts w:hint="default" w:ascii="宋体" w:hAnsi="宋体"/>
                <w:b/>
                <w:color w:val="auto"/>
                <w:szCs w:val="21"/>
                <w:highlight w:val="none"/>
              </w:rPr>
            </w:pPr>
            <w:r>
              <w:rPr>
                <w:rFonts w:hint="eastAsia" w:ascii="宋体" w:hAnsi="宋体"/>
                <w:b/>
                <w:color w:val="auto"/>
                <w:szCs w:val="21"/>
                <w:highlight w:val="none"/>
              </w:rPr>
              <w:t>要求说明</w:t>
            </w:r>
          </w:p>
        </w:tc>
        <w:tc>
          <w:tcPr>
            <w:tcW w:w="4725" w:type="dxa"/>
            <w:noWrap w:val="0"/>
            <w:vAlign w:val="center"/>
          </w:tcPr>
          <w:p w14:paraId="4F20686F">
            <w:pPr>
              <w:keepNext w:val="0"/>
              <w:keepLines w:val="0"/>
              <w:suppressLineNumbers w:val="0"/>
              <w:spacing w:before="0" w:beforeAutospacing="0" w:after="0" w:afterAutospacing="0" w:line="360" w:lineRule="exact"/>
              <w:ind w:left="0" w:right="0"/>
              <w:jc w:val="center"/>
              <w:rPr>
                <w:rFonts w:hint="default" w:ascii="宋体" w:hAnsi="宋体"/>
                <w:b/>
                <w:color w:val="auto"/>
                <w:szCs w:val="21"/>
                <w:highlight w:val="none"/>
              </w:rPr>
            </w:pPr>
            <w:r>
              <w:rPr>
                <w:rFonts w:hint="eastAsia" w:ascii="宋体" w:hAnsi="宋体"/>
                <w:b/>
                <w:color w:val="auto"/>
                <w:szCs w:val="21"/>
                <w:highlight w:val="none"/>
              </w:rPr>
              <w:t>审查要求</w:t>
            </w:r>
          </w:p>
        </w:tc>
      </w:tr>
      <w:tr w14:paraId="0F1BD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57C5E3A8">
            <w:pPr>
              <w:keepNext w:val="0"/>
              <w:keepLines w:val="0"/>
              <w:suppressLineNumbers w:val="0"/>
              <w:spacing w:before="0" w:beforeAutospacing="0" w:after="0" w:afterAutospacing="0" w:line="360" w:lineRule="exact"/>
              <w:ind w:left="0" w:right="0"/>
              <w:jc w:val="center"/>
              <w:rPr>
                <w:rFonts w:hint="default" w:ascii="宋体" w:hAnsi="宋体"/>
                <w:color w:val="auto"/>
                <w:szCs w:val="21"/>
                <w:highlight w:val="none"/>
              </w:rPr>
            </w:pPr>
            <w:r>
              <w:rPr>
                <w:rFonts w:hint="default" w:ascii="宋体" w:hAnsi="宋体"/>
                <w:color w:val="auto"/>
                <w:szCs w:val="21"/>
                <w:highlight w:val="none"/>
              </w:rPr>
              <w:t>1</w:t>
            </w:r>
          </w:p>
        </w:tc>
        <w:tc>
          <w:tcPr>
            <w:tcW w:w="4215" w:type="dxa"/>
            <w:noWrap w:val="0"/>
            <w:vAlign w:val="center"/>
          </w:tcPr>
          <w:p w14:paraId="20BA3EE7">
            <w:pPr>
              <w:keepNext w:val="0"/>
              <w:keepLines w:val="0"/>
              <w:suppressLineNumbers w:val="0"/>
              <w:spacing w:before="0" w:beforeAutospacing="0" w:after="0" w:afterAutospacing="0" w:line="360" w:lineRule="exact"/>
              <w:ind w:left="0" w:right="0"/>
              <w:jc w:val="left"/>
              <w:rPr>
                <w:rFonts w:hint="default" w:ascii="宋体" w:hAnsi="宋体"/>
                <w:color w:val="auto"/>
                <w:szCs w:val="21"/>
                <w:highlight w:val="none"/>
              </w:rPr>
            </w:pPr>
            <w:r>
              <w:rPr>
                <w:rFonts w:hint="eastAsia" w:ascii="宋体" w:hAnsi="宋体"/>
                <w:color w:val="auto"/>
                <w:szCs w:val="21"/>
                <w:highlight w:val="none"/>
              </w:rPr>
              <w:t>满足《中华人民共和国政府采购法》第二十二条规定；未被“信用中国”（</w:t>
            </w:r>
            <w:r>
              <w:rPr>
                <w:rFonts w:hint="default" w:ascii="宋体" w:hAnsi="宋体"/>
                <w:color w:val="auto"/>
                <w:szCs w:val="21"/>
                <w:highlight w:val="none"/>
              </w:rPr>
              <w:t>www.creditchina.gov.cn)</w:t>
            </w:r>
            <w:r>
              <w:rPr>
                <w:rFonts w:hint="eastAsia" w:ascii="宋体" w:hAnsi="宋体"/>
                <w:color w:val="auto"/>
                <w:szCs w:val="21"/>
                <w:highlight w:val="none"/>
              </w:rPr>
              <w:t>、“中国政府采购网”（</w:t>
            </w:r>
            <w:r>
              <w:rPr>
                <w:rFonts w:hint="default" w:ascii="宋体" w:hAnsi="宋体"/>
                <w:color w:val="auto"/>
                <w:szCs w:val="21"/>
                <w:highlight w:val="none"/>
              </w:rPr>
              <w:t>www.ccgp.gov.cn</w:t>
            </w:r>
            <w:r>
              <w:rPr>
                <w:rFonts w:hint="eastAsia" w:ascii="宋体" w:hAnsi="宋体"/>
                <w:color w:val="auto"/>
                <w:szCs w:val="21"/>
                <w:highlight w:val="none"/>
              </w:rPr>
              <w:t>）列入失信被执行人、</w:t>
            </w:r>
            <w:r>
              <w:rPr>
                <w:rFonts w:hint="eastAsia" w:ascii="宋体" w:hAnsi="宋体"/>
                <w:color w:val="auto"/>
                <w:szCs w:val="21"/>
                <w:highlight w:val="none"/>
                <w:lang w:eastAsia="zh-CN"/>
              </w:rPr>
              <w:t>重大税收违法失信主体</w:t>
            </w:r>
            <w:r>
              <w:rPr>
                <w:rFonts w:hint="eastAsia" w:ascii="宋体" w:hAnsi="宋体"/>
                <w:color w:val="auto"/>
                <w:szCs w:val="21"/>
                <w:highlight w:val="none"/>
              </w:rPr>
              <w:t>、政府采购严重违法失信行为记录名单。</w:t>
            </w:r>
          </w:p>
        </w:tc>
        <w:tc>
          <w:tcPr>
            <w:tcW w:w="4725" w:type="dxa"/>
            <w:noWrap w:val="0"/>
            <w:vAlign w:val="center"/>
          </w:tcPr>
          <w:p w14:paraId="3C932F14">
            <w:pPr>
              <w:keepNext w:val="0"/>
              <w:keepLines w:val="0"/>
              <w:suppressLineNumbers w:val="0"/>
              <w:spacing w:before="0" w:beforeAutospacing="0" w:after="0" w:afterAutospacing="0" w:line="360" w:lineRule="exact"/>
              <w:ind w:left="0" w:right="0"/>
              <w:jc w:val="left"/>
              <w:rPr>
                <w:rFonts w:hint="eastAsia" w:ascii="宋体" w:hAnsi="宋体"/>
                <w:color w:val="auto"/>
                <w:szCs w:val="21"/>
                <w:highlight w:val="none"/>
              </w:rPr>
            </w:pPr>
            <w:r>
              <w:rPr>
                <w:rFonts w:hint="eastAsia" w:ascii="宋体" w:hAnsi="宋体"/>
                <w:color w:val="auto"/>
                <w:szCs w:val="21"/>
                <w:highlight w:val="none"/>
              </w:rPr>
              <w:t>1、关于资格的承诺函；</w:t>
            </w:r>
          </w:p>
          <w:p w14:paraId="71ABEB67">
            <w:pPr>
              <w:keepNext w:val="0"/>
              <w:keepLines w:val="0"/>
              <w:suppressLineNumbers w:val="0"/>
              <w:spacing w:before="0" w:beforeAutospacing="0" w:after="0" w:afterAutospacing="0" w:line="360" w:lineRule="exact"/>
              <w:ind w:left="0" w:right="0"/>
              <w:jc w:val="left"/>
              <w:rPr>
                <w:rFonts w:hint="default" w:ascii="宋体" w:hAnsi="宋体"/>
                <w:color w:val="auto"/>
                <w:szCs w:val="21"/>
                <w:highlight w:val="none"/>
              </w:rPr>
            </w:pPr>
            <w:r>
              <w:rPr>
                <w:rFonts w:hint="eastAsia" w:ascii="宋体" w:hAnsi="宋体"/>
                <w:color w:val="auto"/>
                <w:szCs w:val="21"/>
                <w:highlight w:val="none"/>
              </w:rPr>
              <w:t>2、营业执照副本（或事业法人登记证副本或其他登记证明材料）复印件加盖供应商公章（供应商如果有名称变更的，应提供由行政主管部门出具的变更证明文件复印件加盖供应商公章）；</w:t>
            </w:r>
          </w:p>
        </w:tc>
      </w:tr>
      <w:tr w14:paraId="684D4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7BFDDFE4">
            <w:pPr>
              <w:keepNext w:val="0"/>
              <w:keepLines w:val="0"/>
              <w:suppressLineNumbers w:val="0"/>
              <w:spacing w:before="0" w:beforeAutospacing="0" w:after="0" w:afterAutospacing="0" w:line="36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2</w:t>
            </w:r>
          </w:p>
        </w:tc>
        <w:tc>
          <w:tcPr>
            <w:tcW w:w="4215" w:type="dxa"/>
            <w:noWrap w:val="0"/>
            <w:vAlign w:val="center"/>
          </w:tcPr>
          <w:p w14:paraId="5484739B">
            <w:pPr>
              <w:keepNext w:val="0"/>
              <w:keepLines w:val="0"/>
              <w:suppressLineNumbers w:val="0"/>
              <w:spacing w:before="0" w:beforeAutospacing="0" w:after="0" w:afterAutospacing="0" w:line="360" w:lineRule="exact"/>
              <w:ind w:left="0" w:right="0"/>
              <w:jc w:val="left"/>
              <w:rPr>
                <w:rFonts w:hint="eastAsia" w:ascii="宋体" w:hAnsi="宋体"/>
                <w:color w:val="auto"/>
                <w:szCs w:val="21"/>
                <w:highlight w:val="none"/>
              </w:rPr>
            </w:pPr>
            <w:r>
              <w:rPr>
                <w:rFonts w:hint="eastAsia" w:ascii="宋体" w:hAnsi="宋体" w:cs="宋体"/>
                <w:color w:val="auto"/>
                <w:kern w:val="0"/>
                <w:szCs w:val="21"/>
                <w:highlight w:val="none"/>
              </w:rPr>
              <w:t>落实政策需满足的资格要求：本项目专门面向</w:t>
            </w:r>
            <w:r>
              <w:rPr>
                <w:rFonts w:hint="eastAsia" w:ascii="宋体" w:hAnsi="宋体" w:cs="宋体"/>
                <w:color w:val="auto"/>
                <w:kern w:val="0"/>
                <w:szCs w:val="21"/>
                <w:highlight w:val="none"/>
                <w:lang w:val="en-US" w:eastAsia="zh-CN"/>
              </w:rPr>
              <w:t>中小</w:t>
            </w:r>
            <w:r>
              <w:rPr>
                <w:rFonts w:hint="eastAsia" w:ascii="宋体" w:hAnsi="宋体" w:cs="宋体"/>
                <w:color w:val="auto"/>
                <w:kern w:val="0"/>
                <w:szCs w:val="21"/>
                <w:highlight w:val="none"/>
              </w:rPr>
              <w:t>企业。</w:t>
            </w:r>
          </w:p>
        </w:tc>
        <w:tc>
          <w:tcPr>
            <w:tcW w:w="4725" w:type="dxa"/>
            <w:noWrap w:val="0"/>
            <w:vAlign w:val="center"/>
          </w:tcPr>
          <w:p w14:paraId="573220E0">
            <w:pPr>
              <w:keepNext w:val="0"/>
              <w:keepLines w:val="0"/>
              <w:suppressLineNumbers w:val="0"/>
              <w:spacing w:before="0" w:beforeAutospacing="0" w:after="0" w:afterAutospacing="0" w:line="360" w:lineRule="exact"/>
              <w:ind w:left="0" w:right="0"/>
              <w:jc w:val="left"/>
              <w:rPr>
                <w:rFonts w:hint="eastAsia"/>
              </w:rPr>
            </w:pPr>
            <w:r>
              <w:rPr>
                <w:rFonts w:hint="eastAsia"/>
                <w:lang w:val="en-US" w:eastAsia="zh-CN"/>
              </w:rPr>
              <w:t>1</w:t>
            </w:r>
            <w:r>
              <w:rPr>
                <w:rFonts w:hint="eastAsia"/>
              </w:rPr>
              <w:t>、中小企业声明函；</w:t>
            </w:r>
          </w:p>
          <w:p w14:paraId="7B7124FA">
            <w:pPr>
              <w:keepNext w:val="0"/>
              <w:keepLines w:val="0"/>
              <w:suppressLineNumbers w:val="0"/>
              <w:spacing w:before="0" w:beforeAutospacing="0" w:after="0" w:afterAutospacing="0" w:line="360" w:lineRule="exact"/>
              <w:ind w:left="0" w:right="0"/>
              <w:jc w:val="left"/>
              <w:rPr>
                <w:rFonts w:hint="eastAsia"/>
              </w:rPr>
            </w:pPr>
            <w:r>
              <w:rPr>
                <w:rFonts w:hint="eastAsia"/>
                <w:lang w:val="en-US" w:eastAsia="zh-CN"/>
              </w:rPr>
              <w:t>2</w:t>
            </w:r>
            <w:r>
              <w:rPr>
                <w:rFonts w:hint="eastAsia"/>
              </w:rPr>
              <w:t>、残疾人福利性单位声明函（如有需提供）；</w:t>
            </w:r>
          </w:p>
          <w:p w14:paraId="26E012ED">
            <w:pPr>
              <w:keepNext w:val="0"/>
              <w:keepLines w:val="0"/>
              <w:suppressLineNumbers w:val="0"/>
              <w:spacing w:before="0" w:beforeAutospacing="0" w:after="0" w:afterAutospacing="0" w:line="360" w:lineRule="exact"/>
              <w:ind w:left="0" w:right="0"/>
              <w:jc w:val="left"/>
              <w:rPr>
                <w:rFonts w:hint="eastAsia"/>
              </w:rPr>
            </w:pPr>
            <w:r>
              <w:rPr>
                <w:rFonts w:hint="eastAsia"/>
                <w:lang w:val="en-US" w:eastAsia="zh-CN"/>
              </w:rPr>
              <w:t>3、</w:t>
            </w:r>
            <w:r>
              <w:rPr>
                <w:rFonts w:hint="eastAsia"/>
              </w:rPr>
              <w:t>省级以上监狱管理局、戒毒管理局（含新疆生产建设兵团）出具的属于监狱企业的证明文件（如有请提供）</w:t>
            </w:r>
            <w:r>
              <w:rPr>
                <w:rFonts w:hint="eastAsia"/>
                <w:lang w:eastAsia="zh-CN"/>
              </w:rPr>
              <w:t>。</w:t>
            </w:r>
          </w:p>
        </w:tc>
      </w:tr>
      <w:tr w14:paraId="4AC11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01D388E9">
            <w:pPr>
              <w:keepNext w:val="0"/>
              <w:keepLines w:val="0"/>
              <w:suppressLineNumbers w:val="0"/>
              <w:spacing w:before="0" w:beforeAutospacing="0" w:after="0" w:afterAutospacing="0" w:line="360" w:lineRule="exact"/>
              <w:ind w:left="0" w:right="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w:t>
            </w:r>
          </w:p>
        </w:tc>
        <w:tc>
          <w:tcPr>
            <w:tcW w:w="4215" w:type="dxa"/>
            <w:noWrap w:val="0"/>
            <w:vAlign w:val="center"/>
          </w:tcPr>
          <w:p w14:paraId="56F4994A">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Cs w:val="21"/>
                <w:highlight w:val="none"/>
                <w:lang w:val="en-US" w:eastAsia="zh-CN"/>
              </w:rPr>
            </w:pPr>
            <w:r>
              <w:rPr>
                <w:rFonts w:hint="default" w:ascii="宋体" w:hAnsi="宋体" w:eastAsia="宋体" w:cs="Times New Roman"/>
                <w:color w:val="auto"/>
                <w:highlight w:val="none"/>
              </w:rPr>
              <w:t>本项目的特定资格要求：</w:t>
            </w:r>
          </w:p>
        </w:tc>
        <w:tc>
          <w:tcPr>
            <w:tcW w:w="4725" w:type="dxa"/>
            <w:noWrap w:val="0"/>
            <w:vAlign w:val="center"/>
          </w:tcPr>
          <w:p w14:paraId="0092DFC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Times New Roman"/>
                <w:color w:val="auto"/>
                <w:szCs w:val="21"/>
                <w:highlight w:val="none"/>
                <w:lang w:val="en-US" w:eastAsia="zh-CN"/>
              </w:rPr>
            </w:pPr>
            <w:r>
              <w:rPr>
                <w:rFonts w:hint="eastAsia" w:ascii="Times New Roman" w:hAnsi="Times New Roman" w:eastAsia="宋体" w:cs="Times New Roman"/>
              </w:rPr>
              <w:t>供应商须具备</w:t>
            </w:r>
            <w:r>
              <w:rPr>
                <w:rFonts w:hint="eastAsia" w:cs="Times New Roman"/>
                <w:lang w:eastAsia="zh-CN"/>
              </w:rPr>
              <w:t>建筑装修装饰工程专业承包二级及以上资质</w:t>
            </w:r>
            <w:r>
              <w:rPr>
                <w:rFonts w:hint="eastAsia" w:ascii="Times New Roman" w:hAnsi="Times New Roman" w:eastAsia="宋体" w:cs="Times New Roman"/>
              </w:rPr>
              <w:t xml:space="preserve">（对应资质应在“浙江省建筑市场监管公共服务系统”上资质动态核查结果处于“合格”状态）并具备有效的建筑施工企业安全生产许可证； </w:t>
            </w:r>
          </w:p>
        </w:tc>
      </w:tr>
      <w:tr w14:paraId="55DD6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20" w:type="dxa"/>
            <w:noWrap w:val="0"/>
            <w:vAlign w:val="center"/>
          </w:tcPr>
          <w:p w14:paraId="0CB53B4E">
            <w:pPr>
              <w:keepNext w:val="0"/>
              <w:keepLines w:val="0"/>
              <w:suppressLineNumbers w:val="0"/>
              <w:spacing w:before="0" w:beforeAutospacing="0" w:after="0" w:afterAutospacing="0" w:line="360" w:lineRule="exact"/>
              <w:ind w:left="0" w:right="0"/>
              <w:jc w:val="center"/>
              <w:rPr>
                <w:rFonts w:hint="default" w:ascii="宋体" w:hAnsi="宋体" w:eastAsia="宋体" w:cs="Tahoma"/>
                <w:color w:val="auto"/>
                <w:szCs w:val="21"/>
                <w:highlight w:val="none"/>
                <w:lang w:val="en-US" w:eastAsia="zh-CN"/>
              </w:rPr>
            </w:pPr>
            <w:r>
              <w:rPr>
                <w:rFonts w:hint="eastAsia" w:ascii="宋体" w:hAnsi="宋体" w:eastAsia="宋体" w:cs="Tahoma"/>
                <w:color w:val="auto"/>
                <w:szCs w:val="21"/>
                <w:highlight w:val="none"/>
                <w:lang w:val="en-US" w:eastAsia="zh-CN"/>
              </w:rPr>
              <w:t>4</w:t>
            </w:r>
          </w:p>
        </w:tc>
        <w:tc>
          <w:tcPr>
            <w:tcW w:w="4215" w:type="dxa"/>
            <w:noWrap w:val="0"/>
            <w:vAlign w:val="center"/>
          </w:tcPr>
          <w:p w14:paraId="1B23605E">
            <w:pPr>
              <w:keepNext w:val="0"/>
              <w:keepLines w:val="0"/>
              <w:suppressLineNumbers w:val="0"/>
              <w:spacing w:before="0" w:beforeAutospacing="0" w:after="0" w:afterAutospacing="0" w:line="360" w:lineRule="exact"/>
              <w:ind w:left="0" w:right="0"/>
              <w:jc w:val="left"/>
              <w:rPr>
                <w:rFonts w:hint="eastAsia" w:ascii="宋体" w:hAnsi="宋体" w:cs="Tahoma"/>
                <w:color w:val="auto"/>
                <w:szCs w:val="21"/>
                <w:highlight w:val="none"/>
              </w:rPr>
            </w:pPr>
            <w:r>
              <w:rPr>
                <w:rFonts w:hint="eastAsia" w:ascii="宋体" w:hAnsi="宋体" w:cs="宋体"/>
                <w:color w:val="auto"/>
                <w:kern w:val="0"/>
                <w:szCs w:val="21"/>
                <w:highlight w:val="none"/>
                <w:lang w:val="en-US" w:eastAsia="zh-CN"/>
              </w:rPr>
              <w:t>本项目不接受联合体投标。</w:t>
            </w:r>
          </w:p>
        </w:tc>
        <w:tc>
          <w:tcPr>
            <w:tcW w:w="4725" w:type="dxa"/>
            <w:noWrap w:val="0"/>
            <w:vAlign w:val="center"/>
          </w:tcPr>
          <w:p w14:paraId="2D487025">
            <w:pPr>
              <w:keepNext w:val="0"/>
              <w:keepLines w:val="0"/>
              <w:suppressLineNumbers w:val="0"/>
              <w:spacing w:before="0" w:beforeAutospacing="0" w:after="0" w:afterAutospacing="0" w:line="360" w:lineRule="exact"/>
              <w:ind w:left="0" w:right="0"/>
              <w:jc w:val="left"/>
              <w:rPr>
                <w:rFonts w:hint="eastAsia" w:ascii="宋体" w:hAnsi="宋体" w:eastAsia="宋体" w:cs="Tahoma"/>
                <w:color w:val="auto"/>
                <w:szCs w:val="21"/>
                <w:highlight w:val="none"/>
                <w:lang w:val="en-US" w:eastAsia="zh-CN"/>
              </w:rPr>
            </w:pPr>
            <w:r>
              <w:rPr>
                <w:rFonts w:hint="eastAsia" w:ascii="宋体" w:hAnsi="宋体" w:cs="Tahoma"/>
                <w:color w:val="auto"/>
                <w:szCs w:val="21"/>
                <w:highlight w:val="none"/>
                <w:lang w:val="en-US" w:eastAsia="zh-CN"/>
              </w:rPr>
              <w:t>非联合体响应。</w:t>
            </w:r>
          </w:p>
        </w:tc>
      </w:tr>
      <w:tr w14:paraId="7F2B5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0" w:type="dxa"/>
            <w:gridSpan w:val="3"/>
            <w:noWrap w:val="0"/>
            <w:vAlign w:val="center"/>
          </w:tcPr>
          <w:p w14:paraId="69DFB4B5">
            <w:pPr>
              <w:keepNext w:val="0"/>
              <w:keepLines w:val="0"/>
              <w:suppressLineNumbers w:val="0"/>
              <w:spacing w:before="0" w:beforeAutospacing="0" w:after="0" w:afterAutospacing="0" w:line="360" w:lineRule="exact"/>
              <w:ind w:left="0" w:right="0"/>
              <w:jc w:val="center"/>
              <w:rPr>
                <w:rFonts w:hint="eastAsia" w:ascii="宋体" w:hAnsi="宋体" w:cs="Tahoma"/>
                <w:color w:val="auto"/>
                <w:szCs w:val="21"/>
                <w:highlight w:val="none"/>
                <w:lang w:val="en-US" w:eastAsia="zh-CN"/>
              </w:rPr>
            </w:pPr>
            <w:r>
              <w:rPr>
                <w:rFonts w:hint="eastAsia" w:ascii="宋体" w:hAnsi="宋体"/>
                <w:b/>
                <w:color w:val="auto"/>
                <w:szCs w:val="21"/>
                <w:highlight w:val="none"/>
              </w:rPr>
              <w:t>资格性审查结论</w:t>
            </w:r>
          </w:p>
        </w:tc>
      </w:tr>
    </w:tbl>
    <w:p w14:paraId="0DA7C59B">
      <w:pPr>
        <w:spacing w:line="440" w:lineRule="exact"/>
        <w:rPr>
          <w:rFonts w:ascii="宋体" w:hAnsi="宋体"/>
          <w:b/>
          <w:color w:val="auto"/>
          <w:highlight w:val="none"/>
        </w:rPr>
      </w:pPr>
      <w:r>
        <w:rPr>
          <w:rFonts w:hint="eastAsia" w:ascii="宋体" w:hAnsi="宋体"/>
          <w:b/>
          <w:color w:val="auto"/>
          <w:highlight w:val="none"/>
        </w:rPr>
        <w:t>注：</w:t>
      </w:r>
      <w:r>
        <w:rPr>
          <w:rFonts w:ascii="宋体" w:hAnsi="宋体"/>
          <w:b/>
          <w:color w:val="auto"/>
          <w:highlight w:val="none"/>
        </w:rPr>
        <w:t>1</w:t>
      </w:r>
      <w:r>
        <w:rPr>
          <w:rFonts w:hint="eastAsia" w:ascii="宋体" w:hAnsi="宋体"/>
          <w:b/>
          <w:color w:val="auto"/>
          <w:highlight w:val="none"/>
        </w:rPr>
        <w:t>、上述资格证明文件未按竞争性磋商文件要求附入</w:t>
      </w:r>
      <w:r>
        <w:rPr>
          <w:rFonts w:hint="eastAsia" w:ascii="宋体" w:hAnsi="宋体"/>
          <w:b/>
          <w:color w:val="auto"/>
          <w:szCs w:val="21"/>
          <w:highlight w:val="none"/>
        </w:rPr>
        <w:t>磋商响应文件</w:t>
      </w:r>
      <w:r>
        <w:rPr>
          <w:rFonts w:hint="eastAsia" w:ascii="宋体" w:hAnsi="宋体"/>
          <w:b/>
          <w:color w:val="auto"/>
          <w:highlight w:val="none"/>
        </w:rPr>
        <w:t>中的，资格性审查不合格。</w:t>
      </w:r>
    </w:p>
    <w:p w14:paraId="5A363AC5">
      <w:pPr>
        <w:spacing w:line="440" w:lineRule="exact"/>
        <w:ind w:firstLine="422" w:firstLineChars="200"/>
        <w:rPr>
          <w:rFonts w:hint="eastAsia" w:ascii="宋体" w:hAnsi="宋体"/>
          <w:b/>
          <w:color w:val="auto"/>
          <w:highlight w:val="none"/>
        </w:rPr>
      </w:pPr>
      <w:r>
        <w:rPr>
          <w:rFonts w:ascii="宋体" w:hAnsi="宋体"/>
          <w:b/>
          <w:color w:val="auto"/>
          <w:highlight w:val="none"/>
        </w:rPr>
        <w:t>2</w:t>
      </w:r>
      <w:r>
        <w:rPr>
          <w:rFonts w:hint="eastAsia" w:ascii="宋体" w:hAnsi="宋体"/>
          <w:b/>
          <w:color w:val="auto"/>
          <w:highlight w:val="none"/>
        </w:rPr>
        <w:t>、上述审查项目中，任意一项不符合的，资格性审查不合格。</w:t>
      </w:r>
    </w:p>
    <w:p w14:paraId="64337534">
      <w:pPr>
        <w:spacing w:line="440" w:lineRule="exact"/>
        <w:ind w:firstLine="422" w:firstLineChars="200"/>
        <w:rPr>
          <w:rFonts w:hint="eastAsia" w:ascii="宋体" w:hAnsi="宋体"/>
          <w:b/>
          <w:color w:val="auto"/>
          <w:highlight w:val="none"/>
        </w:rPr>
      </w:pPr>
      <w:r>
        <w:rPr>
          <w:rFonts w:hint="eastAsia" w:ascii="宋体" w:hAnsi="宋体"/>
          <w:b/>
          <w:color w:val="auto"/>
          <w:highlight w:val="none"/>
        </w:rPr>
        <w:t>3、采购人、代理机构将于开标当天通过“信用中国”网站查询供应商失信被执行人、重大税收违法案件当事人信用记录，通过中国政府采购网查询供应商政府采购严重违法失信行为信用记录。若供应商被列入失信被执行人、</w:t>
      </w:r>
      <w:r>
        <w:rPr>
          <w:rFonts w:hint="eastAsia" w:ascii="宋体" w:hAnsi="宋体"/>
          <w:b/>
          <w:color w:val="auto"/>
          <w:highlight w:val="none"/>
          <w:lang w:eastAsia="zh-CN"/>
        </w:rPr>
        <w:t>重大税收违法</w:t>
      </w:r>
      <w:r>
        <w:rPr>
          <w:rFonts w:hint="eastAsia" w:ascii="宋体" w:hAnsi="宋体"/>
          <w:b/>
          <w:color w:val="auto"/>
          <w:highlight w:val="none"/>
          <w:lang w:val="en-US" w:eastAsia="zh-CN"/>
        </w:rPr>
        <w:t>失信主体</w:t>
      </w:r>
      <w:r>
        <w:rPr>
          <w:rFonts w:hint="eastAsia" w:ascii="宋体" w:hAnsi="宋体"/>
          <w:b/>
          <w:color w:val="auto"/>
          <w:highlight w:val="none"/>
        </w:rPr>
        <w:t>、政府采购严重违法失信行为记录名单，其资格审查为不合格，其投标将被认定为无效投标。</w:t>
      </w:r>
    </w:p>
    <w:p w14:paraId="7F9C61BD">
      <w:pPr>
        <w:spacing w:line="440" w:lineRule="exact"/>
        <w:ind w:firstLine="422" w:firstLineChars="200"/>
        <w:rPr>
          <w:rFonts w:hint="eastAsia" w:ascii="宋体" w:hAnsi="宋体"/>
          <w:b/>
          <w:color w:val="auto"/>
          <w:highlight w:val="none"/>
        </w:rPr>
      </w:pPr>
      <w:r>
        <w:rPr>
          <w:rFonts w:hint="eastAsia" w:ascii="宋体" w:hAnsi="宋体"/>
          <w:b/>
          <w:color w:val="auto"/>
          <w:highlight w:val="none"/>
        </w:rPr>
        <w:t>若在磋商当天因不可抗力事件导致无法查询且一时无法恢复查询的，可在</w:t>
      </w:r>
      <w:r>
        <w:rPr>
          <w:rFonts w:hint="eastAsia" w:ascii="宋体" w:hAnsi="宋体"/>
          <w:b/>
          <w:color w:val="auto"/>
          <w:highlight w:val="none"/>
          <w:lang w:val="en-US" w:eastAsia="zh-CN"/>
        </w:rPr>
        <w:t>成交</w:t>
      </w:r>
      <w:r>
        <w:rPr>
          <w:rFonts w:hint="eastAsia" w:ascii="宋体" w:hAnsi="宋体"/>
          <w:b/>
          <w:color w:val="auto"/>
          <w:highlight w:val="none"/>
        </w:rPr>
        <w:t>公示期间对</w:t>
      </w:r>
      <w:r>
        <w:rPr>
          <w:rFonts w:hint="eastAsia" w:ascii="宋体" w:hAnsi="宋体"/>
          <w:b/>
          <w:color w:val="auto"/>
          <w:highlight w:val="none"/>
          <w:lang w:val="en-US" w:eastAsia="zh-CN"/>
        </w:rPr>
        <w:t>成交</w:t>
      </w:r>
      <w:r>
        <w:rPr>
          <w:rFonts w:hint="eastAsia" w:ascii="宋体" w:hAnsi="宋体"/>
          <w:b/>
          <w:color w:val="auto"/>
          <w:highlight w:val="none"/>
        </w:rPr>
        <w:t>候选人进行事后查询。</w:t>
      </w:r>
      <w:r>
        <w:rPr>
          <w:rFonts w:hint="eastAsia" w:ascii="宋体" w:hAnsi="宋体"/>
          <w:b/>
          <w:color w:val="auto"/>
          <w:highlight w:val="none"/>
          <w:lang w:val="en-US" w:eastAsia="zh-CN"/>
        </w:rPr>
        <w:t>成交</w:t>
      </w:r>
      <w:r>
        <w:rPr>
          <w:rFonts w:hint="eastAsia" w:ascii="宋体" w:hAnsi="宋体"/>
          <w:b/>
          <w:color w:val="auto"/>
          <w:highlight w:val="none"/>
        </w:rPr>
        <w:t>候选人被列入失信被执行人、</w:t>
      </w:r>
      <w:r>
        <w:rPr>
          <w:rFonts w:hint="eastAsia" w:ascii="宋体" w:hAnsi="宋体"/>
          <w:b/>
          <w:color w:val="auto"/>
          <w:highlight w:val="none"/>
          <w:lang w:eastAsia="zh-CN"/>
        </w:rPr>
        <w:t>重大税收违法</w:t>
      </w:r>
      <w:r>
        <w:rPr>
          <w:rFonts w:hint="eastAsia" w:ascii="宋体" w:hAnsi="宋体"/>
          <w:b/>
          <w:color w:val="auto"/>
          <w:highlight w:val="none"/>
          <w:lang w:val="en-US" w:eastAsia="zh-CN"/>
        </w:rPr>
        <w:t>失信主体</w:t>
      </w:r>
      <w:r>
        <w:rPr>
          <w:rFonts w:hint="eastAsia" w:ascii="宋体" w:hAnsi="宋体"/>
          <w:b/>
          <w:color w:val="auto"/>
          <w:highlight w:val="none"/>
        </w:rPr>
        <w:t>、政府采购严重违法失信行为记录名单的，采购人将依法取消其</w:t>
      </w:r>
      <w:r>
        <w:rPr>
          <w:rFonts w:hint="eastAsia" w:ascii="宋体" w:hAnsi="宋体"/>
          <w:b/>
          <w:color w:val="auto"/>
          <w:highlight w:val="none"/>
          <w:lang w:val="en-US" w:eastAsia="zh-CN"/>
        </w:rPr>
        <w:t>成交</w:t>
      </w:r>
      <w:r>
        <w:rPr>
          <w:rFonts w:hint="eastAsia" w:ascii="宋体" w:hAnsi="宋体"/>
          <w:b/>
          <w:color w:val="auto"/>
          <w:highlight w:val="none"/>
        </w:rPr>
        <w:t>资格。</w:t>
      </w:r>
    </w:p>
    <w:p w14:paraId="26A7CF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附表</w:t>
      </w:r>
      <w:r>
        <w:rPr>
          <w:rFonts w:ascii="宋体" w:hAnsi="宋体"/>
          <w:color w:val="auto"/>
          <w:szCs w:val="21"/>
          <w:highlight w:val="none"/>
        </w:rPr>
        <w:t>2</w:t>
      </w:r>
      <w:r>
        <w:rPr>
          <w:rFonts w:hint="eastAsia" w:ascii="宋体" w:hAnsi="宋体"/>
          <w:color w:val="auto"/>
          <w:szCs w:val="21"/>
          <w:highlight w:val="none"/>
        </w:rPr>
        <w:t>：</w:t>
      </w:r>
    </w:p>
    <w:p w14:paraId="75BC34E8">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ascii="宋体" w:hAnsi="宋体"/>
          <w:b/>
          <w:color w:val="auto"/>
          <w:szCs w:val="21"/>
          <w:highlight w:val="none"/>
        </w:rPr>
      </w:pPr>
      <w:r>
        <w:rPr>
          <w:rFonts w:hint="eastAsia" w:ascii="宋体" w:hAnsi="宋体"/>
          <w:b/>
          <w:color w:val="auto"/>
          <w:szCs w:val="21"/>
          <w:highlight w:val="none"/>
        </w:rPr>
        <w:t>符合性审查表</w:t>
      </w:r>
    </w:p>
    <w:tbl>
      <w:tblPr>
        <w:tblStyle w:val="62"/>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113"/>
        <w:gridCol w:w="4515"/>
      </w:tblGrid>
      <w:tr w14:paraId="46709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720" w:type="dxa"/>
            <w:noWrap w:val="0"/>
            <w:vAlign w:val="center"/>
          </w:tcPr>
          <w:p w14:paraId="1EB96A8E">
            <w:pPr>
              <w:keepNext w:val="0"/>
              <w:keepLines w:val="0"/>
              <w:suppressLineNumbers w:val="0"/>
              <w:spacing w:before="0" w:beforeAutospacing="0" w:after="0" w:afterAutospacing="0" w:line="360" w:lineRule="exact"/>
              <w:ind w:left="0" w:right="0"/>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4113" w:type="dxa"/>
            <w:noWrap w:val="0"/>
            <w:vAlign w:val="center"/>
          </w:tcPr>
          <w:p w14:paraId="32CCB161">
            <w:pPr>
              <w:keepNext w:val="0"/>
              <w:keepLines w:val="0"/>
              <w:suppressLineNumbers w:val="0"/>
              <w:spacing w:before="0" w:beforeAutospacing="0" w:after="0" w:afterAutospacing="0" w:line="360" w:lineRule="exact"/>
              <w:ind w:left="0" w:right="0"/>
              <w:jc w:val="center"/>
              <w:rPr>
                <w:rFonts w:hint="eastAsia" w:ascii="宋体" w:hAnsi="宋体"/>
                <w:b/>
                <w:color w:val="auto"/>
                <w:szCs w:val="21"/>
                <w:highlight w:val="none"/>
              </w:rPr>
            </w:pPr>
            <w:r>
              <w:rPr>
                <w:rFonts w:hint="eastAsia" w:ascii="宋体" w:hAnsi="宋体"/>
                <w:b/>
                <w:color w:val="auto"/>
                <w:szCs w:val="21"/>
                <w:highlight w:val="none"/>
              </w:rPr>
              <w:t>审查项目</w:t>
            </w:r>
          </w:p>
        </w:tc>
        <w:tc>
          <w:tcPr>
            <w:tcW w:w="4515" w:type="dxa"/>
            <w:noWrap w:val="0"/>
            <w:vAlign w:val="center"/>
          </w:tcPr>
          <w:p w14:paraId="1679EBC7">
            <w:pPr>
              <w:keepNext w:val="0"/>
              <w:keepLines w:val="0"/>
              <w:suppressLineNumbers w:val="0"/>
              <w:spacing w:before="0" w:beforeAutospacing="0" w:after="0" w:afterAutospacing="0" w:line="360" w:lineRule="exact"/>
              <w:ind w:left="0" w:right="0"/>
              <w:jc w:val="center"/>
              <w:rPr>
                <w:rFonts w:hint="eastAsia" w:ascii="宋体" w:hAnsi="宋体"/>
                <w:b/>
                <w:color w:val="auto"/>
                <w:szCs w:val="21"/>
                <w:highlight w:val="none"/>
              </w:rPr>
            </w:pPr>
            <w:r>
              <w:rPr>
                <w:rFonts w:hint="eastAsia" w:ascii="宋体" w:hAnsi="宋体"/>
                <w:b/>
                <w:color w:val="auto"/>
                <w:szCs w:val="21"/>
                <w:highlight w:val="none"/>
              </w:rPr>
              <w:t>要求</w:t>
            </w:r>
          </w:p>
        </w:tc>
      </w:tr>
      <w:tr w14:paraId="6FC7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noWrap w:val="0"/>
            <w:vAlign w:val="center"/>
          </w:tcPr>
          <w:p w14:paraId="7409E5D7">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r>
              <w:rPr>
                <w:rFonts w:hint="default" w:ascii="宋体" w:hAnsi="宋体"/>
                <w:color w:val="auto"/>
                <w:szCs w:val="21"/>
                <w:highlight w:val="none"/>
              </w:rPr>
              <w:t>1</w:t>
            </w:r>
          </w:p>
        </w:tc>
        <w:tc>
          <w:tcPr>
            <w:tcW w:w="4113" w:type="dxa"/>
            <w:noWrap w:val="0"/>
            <w:vAlign w:val="center"/>
          </w:tcPr>
          <w:p w14:paraId="44218A80">
            <w:pPr>
              <w:keepNext w:val="0"/>
              <w:keepLines w:val="0"/>
              <w:suppressLineNumbers w:val="0"/>
              <w:spacing w:before="0" w:beforeAutospacing="0" w:after="0" w:afterAutospacing="0" w:line="360" w:lineRule="exact"/>
              <w:ind w:left="0" w:right="0"/>
              <w:rPr>
                <w:rFonts w:hint="default" w:ascii="宋体" w:hAnsi="宋体"/>
                <w:color w:val="auto"/>
                <w:szCs w:val="21"/>
                <w:highlight w:val="none"/>
              </w:rPr>
            </w:pPr>
            <w:r>
              <w:rPr>
                <w:rFonts w:hint="eastAsia" w:ascii="宋体" w:hAnsi="宋体"/>
                <w:color w:val="auto"/>
                <w:szCs w:val="21"/>
                <w:highlight w:val="none"/>
              </w:rPr>
              <w:t>磋商有效期：符合第</w:t>
            </w:r>
            <w:r>
              <w:rPr>
                <w:rFonts w:hint="eastAsia" w:ascii="宋体" w:hAnsi="宋体"/>
                <w:color w:val="auto"/>
                <w:szCs w:val="21"/>
                <w:highlight w:val="none"/>
                <w:lang w:eastAsia="zh-CN"/>
              </w:rPr>
              <w:t>二</w:t>
            </w:r>
            <w:r>
              <w:rPr>
                <w:rFonts w:hint="eastAsia" w:ascii="宋体" w:hAnsi="宋体"/>
                <w:color w:val="auto"/>
                <w:szCs w:val="21"/>
                <w:highlight w:val="none"/>
                <w:lang w:val="en-US" w:eastAsia="zh-CN"/>
              </w:rPr>
              <w:t>部分</w:t>
            </w:r>
            <w:r>
              <w:rPr>
                <w:rFonts w:hint="eastAsia" w:ascii="宋体" w:hAnsi="宋体"/>
                <w:color w:val="auto"/>
                <w:szCs w:val="21"/>
                <w:highlight w:val="none"/>
              </w:rPr>
              <w:t>第六条的要求。</w:t>
            </w:r>
          </w:p>
        </w:tc>
        <w:tc>
          <w:tcPr>
            <w:tcW w:w="4515" w:type="dxa"/>
            <w:noWrap w:val="0"/>
            <w:vAlign w:val="center"/>
          </w:tcPr>
          <w:p w14:paraId="438168F8">
            <w:pPr>
              <w:keepNext w:val="0"/>
              <w:keepLines w:val="0"/>
              <w:suppressLineNumbers w:val="0"/>
              <w:spacing w:before="0" w:beforeAutospacing="0" w:after="0" w:afterAutospacing="0" w:line="360" w:lineRule="exact"/>
              <w:ind w:left="0" w:right="0"/>
              <w:rPr>
                <w:rFonts w:hint="default" w:ascii="宋体" w:hAnsi="宋体"/>
                <w:color w:val="auto"/>
                <w:szCs w:val="21"/>
                <w:highlight w:val="none"/>
              </w:rPr>
            </w:pPr>
            <w:r>
              <w:rPr>
                <w:rFonts w:hint="eastAsia" w:ascii="宋体" w:hAnsi="宋体"/>
                <w:color w:val="auto"/>
                <w:szCs w:val="21"/>
                <w:highlight w:val="none"/>
              </w:rPr>
              <w:t>提供“磋商函”</w:t>
            </w:r>
            <w:r>
              <w:rPr>
                <w:rFonts w:hint="eastAsia" w:ascii="宋体" w:hAnsi="宋体" w:cs="宋体"/>
                <w:color w:val="auto"/>
                <w:szCs w:val="21"/>
                <w:highlight w:val="none"/>
              </w:rPr>
              <w:t>。</w:t>
            </w:r>
          </w:p>
        </w:tc>
      </w:tr>
      <w:tr w14:paraId="5D01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279AFAE5">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r>
              <w:rPr>
                <w:rFonts w:hint="default" w:ascii="宋体" w:hAnsi="宋体"/>
                <w:color w:val="auto"/>
                <w:szCs w:val="21"/>
                <w:highlight w:val="none"/>
              </w:rPr>
              <w:t>2</w:t>
            </w:r>
          </w:p>
        </w:tc>
        <w:tc>
          <w:tcPr>
            <w:tcW w:w="4113" w:type="dxa"/>
            <w:noWrap w:val="0"/>
            <w:vAlign w:val="center"/>
          </w:tcPr>
          <w:p w14:paraId="310B18D6">
            <w:pPr>
              <w:keepNext w:val="0"/>
              <w:keepLines w:val="0"/>
              <w:suppressLineNumbers w:val="0"/>
              <w:spacing w:before="0" w:beforeAutospacing="0" w:after="0" w:afterAutospacing="0" w:line="360" w:lineRule="exact"/>
              <w:ind w:left="0" w:right="0"/>
              <w:rPr>
                <w:rFonts w:hint="default" w:ascii="宋体" w:hAnsi="宋体"/>
                <w:color w:val="auto"/>
                <w:szCs w:val="21"/>
                <w:highlight w:val="none"/>
              </w:rPr>
            </w:pPr>
            <w:r>
              <w:rPr>
                <w:rFonts w:hint="eastAsia" w:ascii="宋体" w:hAnsi="宋体"/>
                <w:color w:val="auto"/>
                <w:szCs w:val="21"/>
                <w:highlight w:val="none"/>
              </w:rPr>
              <w:t>法定代表人身份证明、法定代表人授权书。</w:t>
            </w:r>
          </w:p>
        </w:tc>
        <w:tc>
          <w:tcPr>
            <w:tcW w:w="4515" w:type="dxa"/>
            <w:noWrap w:val="0"/>
            <w:vAlign w:val="center"/>
          </w:tcPr>
          <w:p w14:paraId="64687891">
            <w:pPr>
              <w:keepNext w:val="0"/>
              <w:keepLines w:val="0"/>
              <w:suppressLineNumbers w:val="0"/>
              <w:spacing w:before="0" w:beforeAutospacing="0" w:after="0" w:afterAutospacing="0" w:line="360" w:lineRule="exact"/>
              <w:ind w:left="0" w:right="0"/>
              <w:rPr>
                <w:rFonts w:hint="default"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磋商响应文件由法定代表人签字的，提供“法定代表人身份证明”</w:t>
            </w:r>
            <w:r>
              <w:rPr>
                <w:rFonts w:hint="eastAsia" w:ascii="宋体" w:hAnsi="宋体" w:cs="宋体"/>
                <w:color w:val="auto"/>
                <w:szCs w:val="21"/>
                <w:highlight w:val="none"/>
              </w:rPr>
              <w:t>。</w:t>
            </w:r>
          </w:p>
          <w:p w14:paraId="279EAAFC">
            <w:pPr>
              <w:keepNext w:val="0"/>
              <w:keepLines w:val="0"/>
              <w:suppressLineNumbers w:val="0"/>
              <w:spacing w:before="0" w:beforeAutospacing="0" w:after="0" w:afterAutospacing="0" w:line="360" w:lineRule="exact"/>
              <w:ind w:left="0" w:right="0"/>
              <w:rPr>
                <w:rFonts w:hint="default"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磋商响应文件由授权代表签字的，提供“法定代表人身份证明”和“法定代表人授权书”。</w:t>
            </w:r>
          </w:p>
        </w:tc>
      </w:tr>
      <w:tr w14:paraId="32C78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20" w:type="dxa"/>
            <w:noWrap w:val="0"/>
            <w:vAlign w:val="center"/>
          </w:tcPr>
          <w:p w14:paraId="7B73931D">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r>
              <w:rPr>
                <w:rFonts w:hint="default" w:ascii="宋体" w:hAnsi="宋体"/>
                <w:color w:val="auto"/>
                <w:szCs w:val="21"/>
                <w:highlight w:val="none"/>
              </w:rPr>
              <w:t>3</w:t>
            </w:r>
          </w:p>
        </w:tc>
        <w:tc>
          <w:tcPr>
            <w:tcW w:w="4113" w:type="dxa"/>
            <w:noWrap w:val="0"/>
            <w:vAlign w:val="center"/>
          </w:tcPr>
          <w:p w14:paraId="33E87D1F">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磋商响应文件的签署盖章</w:t>
            </w:r>
          </w:p>
        </w:tc>
        <w:tc>
          <w:tcPr>
            <w:tcW w:w="4515" w:type="dxa"/>
            <w:noWrap w:val="0"/>
            <w:vAlign w:val="center"/>
          </w:tcPr>
          <w:p w14:paraId="5F27845E">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符合第</w:t>
            </w:r>
            <w:r>
              <w:rPr>
                <w:rFonts w:hint="eastAsia" w:ascii="宋体" w:hAnsi="宋体"/>
                <w:color w:val="auto"/>
                <w:szCs w:val="21"/>
                <w:highlight w:val="none"/>
                <w:lang w:val="en-US" w:eastAsia="zh-CN"/>
              </w:rPr>
              <w:t>三部分</w:t>
            </w:r>
            <w:r>
              <w:rPr>
                <w:rFonts w:hint="eastAsia" w:ascii="宋体" w:hAnsi="宋体"/>
                <w:color w:val="auto"/>
                <w:szCs w:val="21"/>
                <w:highlight w:val="none"/>
              </w:rPr>
              <w:t>“磋商须知”第九、1条的要求</w:t>
            </w:r>
          </w:p>
        </w:tc>
      </w:tr>
      <w:tr w14:paraId="464E5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20" w:type="dxa"/>
            <w:vMerge w:val="restart"/>
            <w:noWrap w:val="0"/>
            <w:vAlign w:val="center"/>
          </w:tcPr>
          <w:p w14:paraId="2EECA07E">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r>
              <w:rPr>
                <w:rFonts w:hint="default" w:ascii="宋体" w:hAnsi="宋体"/>
                <w:color w:val="auto"/>
                <w:szCs w:val="21"/>
                <w:highlight w:val="none"/>
              </w:rPr>
              <w:t>4</w:t>
            </w:r>
          </w:p>
        </w:tc>
        <w:tc>
          <w:tcPr>
            <w:tcW w:w="4113" w:type="dxa"/>
            <w:vMerge w:val="restart"/>
            <w:noWrap w:val="0"/>
            <w:vAlign w:val="center"/>
          </w:tcPr>
          <w:p w14:paraId="39131BC8">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其他</w:t>
            </w:r>
          </w:p>
        </w:tc>
        <w:tc>
          <w:tcPr>
            <w:tcW w:w="4515" w:type="dxa"/>
            <w:noWrap w:val="0"/>
            <w:vAlign w:val="center"/>
          </w:tcPr>
          <w:p w14:paraId="3B6F7866">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对同个</w:t>
            </w:r>
            <w:r>
              <w:rPr>
                <w:rFonts w:hint="eastAsia" w:ascii="宋体" w:hAnsi="宋体"/>
                <w:color w:val="auto"/>
                <w:szCs w:val="21"/>
                <w:highlight w:val="none"/>
                <w:lang w:val="en-US" w:eastAsia="zh-CN"/>
              </w:rPr>
              <w:t>标项</w:t>
            </w:r>
            <w:r>
              <w:rPr>
                <w:rFonts w:hint="eastAsia" w:ascii="宋体" w:hAnsi="宋体"/>
                <w:color w:val="auto"/>
                <w:szCs w:val="21"/>
                <w:highlight w:val="none"/>
              </w:rPr>
              <w:t>不允许提供两个磋商方案</w:t>
            </w:r>
          </w:p>
        </w:tc>
      </w:tr>
      <w:tr w14:paraId="5CB67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noWrap w:val="0"/>
            <w:vAlign w:val="center"/>
          </w:tcPr>
          <w:p w14:paraId="53A7522E">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p>
        </w:tc>
        <w:tc>
          <w:tcPr>
            <w:tcW w:w="4113" w:type="dxa"/>
            <w:vMerge w:val="continue"/>
            <w:noWrap w:val="0"/>
            <w:vAlign w:val="center"/>
          </w:tcPr>
          <w:p w14:paraId="6B497C5D">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4515" w:type="dxa"/>
            <w:noWrap w:val="0"/>
            <w:vAlign w:val="center"/>
          </w:tcPr>
          <w:p w14:paraId="4D53359C">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不允许出现与磋商文件有重大偏离的磋商响应文件</w:t>
            </w:r>
          </w:p>
        </w:tc>
      </w:tr>
      <w:tr w14:paraId="6EC7C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noWrap w:val="0"/>
            <w:vAlign w:val="center"/>
          </w:tcPr>
          <w:p w14:paraId="70CCEAB3">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p>
        </w:tc>
        <w:tc>
          <w:tcPr>
            <w:tcW w:w="4113" w:type="dxa"/>
            <w:vMerge w:val="continue"/>
            <w:noWrap w:val="0"/>
            <w:vAlign w:val="center"/>
          </w:tcPr>
          <w:p w14:paraId="51DBD0C8">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4515" w:type="dxa"/>
            <w:noWrap w:val="0"/>
            <w:vAlign w:val="center"/>
          </w:tcPr>
          <w:p w14:paraId="327CA3F6">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default" w:ascii="宋体" w:hAnsi="宋体"/>
                <w:color w:val="auto"/>
                <w:szCs w:val="21"/>
                <w:highlight w:val="none"/>
              </w:rPr>
              <w:t>供应商</w:t>
            </w:r>
            <w:r>
              <w:rPr>
                <w:rFonts w:hint="eastAsia" w:ascii="宋体" w:hAnsi="宋体"/>
                <w:color w:val="auto"/>
                <w:szCs w:val="21"/>
                <w:highlight w:val="none"/>
              </w:rPr>
              <w:t>不得</w:t>
            </w:r>
            <w:r>
              <w:rPr>
                <w:rFonts w:hint="default" w:ascii="宋体" w:hAnsi="宋体"/>
                <w:color w:val="auto"/>
                <w:szCs w:val="21"/>
                <w:highlight w:val="none"/>
              </w:rPr>
              <w:t>在</w:t>
            </w:r>
            <w:r>
              <w:rPr>
                <w:rFonts w:hint="eastAsia" w:ascii="宋体" w:hAnsi="宋体"/>
                <w:color w:val="auto"/>
                <w:szCs w:val="21"/>
                <w:highlight w:val="none"/>
              </w:rPr>
              <w:t>磋商</w:t>
            </w:r>
            <w:r>
              <w:rPr>
                <w:rFonts w:hint="default" w:ascii="宋体" w:hAnsi="宋体"/>
                <w:color w:val="auto"/>
                <w:szCs w:val="21"/>
                <w:highlight w:val="none"/>
              </w:rPr>
              <w:t>活动中提供任何虚假材料或从事其他违法活动的</w:t>
            </w:r>
          </w:p>
        </w:tc>
      </w:tr>
      <w:tr w14:paraId="3E292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noWrap w:val="0"/>
            <w:vAlign w:val="center"/>
          </w:tcPr>
          <w:p w14:paraId="545381CF">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p>
        </w:tc>
        <w:tc>
          <w:tcPr>
            <w:tcW w:w="4113" w:type="dxa"/>
            <w:vMerge w:val="continue"/>
            <w:noWrap w:val="0"/>
            <w:vAlign w:val="center"/>
          </w:tcPr>
          <w:p w14:paraId="50441A7F">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4515" w:type="dxa"/>
            <w:noWrap w:val="0"/>
            <w:vAlign w:val="center"/>
          </w:tcPr>
          <w:p w14:paraId="139AAEED">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符合法律、法规和磋商文件中规定的其他实质性要求（实质性要求磋商文件中“</w:t>
            </w:r>
            <w:r>
              <w:rPr>
                <w:rFonts w:hint="eastAsia" w:ascii="宋体" w:hAnsi="宋体"/>
                <w:color w:val="auto"/>
                <w:szCs w:val="21"/>
                <w:highlight w:val="none"/>
                <w:lang w:eastAsia="zh-CN"/>
              </w:rPr>
              <w:t>★</w:t>
            </w:r>
            <w:r>
              <w:rPr>
                <w:rFonts w:hint="eastAsia" w:ascii="宋体" w:hAnsi="宋体"/>
                <w:color w:val="auto"/>
                <w:szCs w:val="21"/>
                <w:highlight w:val="none"/>
              </w:rPr>
              <w:t>”标记）</w:t>
            </w:r>
          </w:p>
        </w:tc>
      </w:tr>
      <w:tr w14:paraId="7A868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restart"/>
            <w:noWrap w:val="0"/>
            <w:vAlign w:val="center"/>
          </w:tcPr>
          <w:p w14:paraId="4E1CC811">
            <w:pPr>
              <w:keepNext w:val="0"/>
              <w:keepLines w:val="0"/>
              <w:suppressLineNumbers w:val="0"/>
              <w:spacing w:before="0" w:beforeAutospacing="0" w:after="0" w:afterAutospacing="0" w:line="36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p>
        </w:tc>
        <w:tc>
          <w:tcPr>
            <w:tcW w:w="4113" w:type="dxa"/>
            <w:vMerge w:val="restart"/>
            <w:noWrap w:val="0"/>
            <w:vAlign w:val="center"/>
          </w:tcPr>
          <w:p w14:paraId="5FE0B8F6">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参与同一个采购包（标段）的供应商存在下列情形之一且无法合理解释的，其投标（响应）文件无效：</w:t>
            </w:r>
          </w:p>
        </w:tc>
        <w:tc>
          <w:tcPr>
            <w:tcW w:w="4515" w:type="dxa"/>
            <w:noWrap w:val="0"/>
            <w:vAlign w:val="center"/>
          </w:tcPr>
          <w:p w14:paraId="31D91AAA">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1.不同供应商的电子投标（响应）文件上传计算机的网卡MAC地址或硬盘序列号等硬件信息相同的；</w:t>
            </w:r>
          </w:p>
        </w:tc>
      </w:tr>
      <w:tr w14:paraId="42123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noWrap w:val="0"/>
            <w:vAlign w:val="center"/>
          </w:tcPr>
          <w:p w14:paraId="5509BA43">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p>
        </w:tc>
        <w:tc>
          <w:tcPr>
            <w:tcW w:w="4113" w:type="dxa"/>
            <w:vMerge w:val="continue"/>
            <w:noWrap w:val="0"/>
            <w:vAlign w:val="center"/>
          </w:tcPr>
          <w:p w14:paraId="120BD717">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4515" w:type="dxa"/>
            <w:noWrap w:val="0"/>
            <w:vAlign w:val="center"/>
          </w:tcPr>
          <w:p w14:paraId="496C2519">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2.上传的电子投标（响应）文件若出现使用本项目其他投标（响应）供应商的数字证书加密的，或者加盖本项目其他投标（响应）供应商的电子印章的；</w:t>
            </w:r>
          </w:p>
        </w:tc>
      </w:tr>
      <w:tr w14:paraId="755F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noWrap w:val="0"/>
            <w:vAlign w:val="center"/>
          </w:tcPr>
          <w:p w14:paraId="0F0DAE73">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p>
        </w:tc>
        <w:tc>
          <w:tcPr>
            <w:tcW w:w="4113" w:type="dxa"/>
            <w:vMerge w:val="continue"/>
            <w:noWrap w:val="0"/>
            <w:vAlign w:val="center"/>
          </w:tcPr>
          <w:p w14:paraId="67876BA6">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4515" w:type="dxa"/>
            <w:noWrap w:val="0"/>
            <w:vAlign w:val="center"/>
          </w:tcPr>
          <w:p w14:paraId="1BDBA321">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3.不同供应商的投标（响应）文件的内容存在3处（含）以上错误一致的；</w:t>
            </w:r>
          </w:p>
        </w:tc>
      </w:tr>
      <w:tr w14:paraId="4B221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noWrap w:val="0"/>
            <w:vAlign w:val="center"/>
          </w:tcPr>
          <w:p w14:paraId="03651F70">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p>
        </w:tc>
        <w:tc>
          <w:tcPr>
            <w:tcW w:w="4113" w:type="dxa"/>
            <w:vMerge w:val="continue"/>
            <w:noWrap w:val="0"/>
            <w:vAlign w:val="center"/>
          </w:tcPr>
          <w:p w14:paraId="79F5E635">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4515" w:type="dxa"/>
            <w:noWrap w:val="0"/>
            <w:vAlign w:val="center"/>
          </w:tcPr>
          <w:p w14:paraId="29895C06">
            <w:pPr>
              <w:keepNext w:val="0"/>
              <w:keepLines w:val="0"/>
              <w:suppressLineNumbers w:val="0"/>
              <w:spacing w:before="0" w:beforeAutospacing="0" w:after="0" w:afterAutospacing="0" w:line="360" w:lineRule="exact"/>
              <w:ind w:left="0" w:right="0"/>
              <w:rPr>
                <w:rFonts w:hint="eastAsia" w:ascii="宋体" w:hAnsi="宋体"/>
                <w:b/>
                <w:bCs/>
                <w:color w:val="auto"/>
                <w:szCs w:val="21"/>
                <w:highlight w:val="none"/>
              </w:rPr>
            </w:pPr>
            <w:r>
              <w:rPr>
                <w:rFonts w:hint="eastAsia" w:ascii="宋体" w:hAnsi="宋体"/>
                <w:color w:val="auto"/>
                <w:szCs w:val="21"/>
                <w:highlight w:val="none"/>
              </w:rPr>
              <w:t>4.不同供应商联系人为同一人或不同联系人的联系电话一致的。</w:t>
            </w:r>
          </w:p>
        </w:tc>
      </w:tr>
      <w:tr w14:paraId="6E4A4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noWrap w:val="0"/>
            <w:vAlign w:val="center"/>
          </w:tcPr>
          <w:p w14:paraId="540CFF07">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p>
        </w:tc>
        <w:tc>
          <w:tcPr>
            <w:tcW w:w="4113" w:type="dxa"/>
            <w:vMerge w:val="continue"/>
            <w:noWrap w:val="0"/>
            <w:vAlign w:val="center"/>
          </w:tcPr>
          <w:p w14:paraId="48F660E8">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4515" w:type="dxa"/>
            <w:noWrap w:val="0"/>
            <w:vAlign w:val="center"/>
          </w:tcPr>
          <w:p w14:paraId="57200BC2">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5.不同供应商在相同Internet主机分配地址（相同IP地址）获取招标文件或网上投标的。</w:t>
            </w:r>
          </w:p>
        </w:tc>
      </w:tr>
      <w:tr w14:paraId="7CDA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noWrap w:val="0"/>
            <w:vAlign w:val="center"/>
          </w:tcPr>
          <w:p w14:paraId="3E7E44B1">
            <w:pPr>
              <w:keepNext w:val="0"/>
              <w:keepLines w:val="0"/>
              <w:suppressLineNumbers w:val="0"/>
              <w:spacing w:before="0" w:beforeAutospacing="0" w:after="0" w:afterAutospacing="0" w:line="360" w:lineRule="exact"/>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6</w:t>
            </w:r>
          </w:p>
        </w:tc>
        <w:tc>
          <w:tcPr>
            <w:tcW w:w="4113" w:type="dxa"/>
            <w:noWrap w:val="0"/>
            <w:vAlign w:val="center"/>
          </w:tcPr>
          <w:p w14:paraId="1D80D298">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eastAsia="宋体" w:cs="Times New Roman"/>
                <w:color w:val="auto"/>
                <w:szCs w:val="21"/>
                <w:highlight w:val="none"/>
                <w:lang w:val="en-US" w:eastAsia="zh-CN"/>
              </w:rPr>
              <w:t>供应商围标串标,其投标（响应）文件无效，</w:t>
            </w:r>
            <w:r>
              <w:rPr>
                <w:rFonts w:hint="eastAsia" w:ascii="宋体" w:hAnsi="宋体" w:eastAsia="宋体" w:cs="Times New Roman"/>
                <w:color w:val="auto"/>
                <w:szCs w:val="21"/>
                <w:highlight w:val="none"/>
              </w:rPr>
              <w:t>是指供应商成立多家公司围标串标，投标文件相互混装、异常一致，投标报价呈规律性差异，投标保证金从同一账户转出等恶意串通行为</w:t>
            </w:r>
          </w:p>
        </w:tc>
        <w:tc>
          <w:tcPr>
            <w:tcW w:w="4515" w:type="dxa"/>
            <w:noWrap w:val="0"/>
            <w:vAlign w:val="center"/>
          </w:tcPr>
          <w:p w14:paraId="34595737">
            <w:pPr>
              <w:pStyle w:val="26"/>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是指供应商成立多家公司围标串标，投标文件相互混装、异常一致，投标报价呈规律性差异，投标保证金从同一账户转出等恶意串通行为</w:t>
            </w:r>
          </w:p>
          <w:p w14:paraId="23D1511E">
            <w:pPr>
              <w:pStyle w:val="26"/>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1.供应商的投标文件相互混装；</w:t>
            </w:r>
          </w:p>
          <w:p w14:paraId="1F3DF264">
            <w:pPr>
              <w:pStyle w:val="26"/>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2.供应商的投标文件异常一致；</w:t>
            </w:r>
          </w:p>
          <w:p w14:paraId="70F3CFD0">
            <w:pPr>
              <w:pStyle w:val="26"/>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3.供应商的投标保证金从同一账户转出；</w:t>
            </w:r>
          </w:p>
          <w:p w14:paraId="1E243488">
            <w:pPr>
              <w:pStyle w:val="26"/>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4.供应商的投标文件由同一单位或个人编制；</w:t>
            </w:r>
          </w:p>
          <w:p w14:paraId="08ACC184">
            <w:pPr>
              <w:pStyle w:val="26"/>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5.供应商委托同一单位或个人办理投标事宜；</w:t>
            </w:r>
          </w:p>
          <w:p w14:paraId="4B2FF87F">
            <w:pPr>
              <w:pStyle w:val="26"/>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6.供应商的项目管理成员或者联系人员为同一人；</w:t>
            </w:r>
          </w:p>
          <w:p w14:paraId="65CFD917">
            <w:pPr>
              <w:pStyle w:val="26"/>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7.供应商的MAC地址或硬盘序列号等硬件信息相同；</w:t>
            </w:r>
          </w:p>
          <w:p w14:paraId="4C6F6779">
            <w:pPr>
              <w:pStyle w:val="26"/>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8.对大量技术参数响应负偏离、不提供证明材料或者不积极响应采购文件要求，以促成合格供应商符合法定数量；</w:t>
            </w:r>
          </w:p>
          <w:p w14:paraId="20A67E3D">
            <w:pPr>
              <w:pStyle w:val="26"/>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9.事先约定由某一特定供应商中标、成交；</w:t>
            </w:r>
          </w:p>
          <w:p w14:paraId="6DF977A0">
            <w:pPr>
              <w:pStyle w:val="26"/>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10.成立多家公司围标串标；</w:t>
            </w:r>
          </w:p>
          <w:p w14:paraId="7DF8AF4E">
            <w:pPr>
              <w:pStyle w:val="26"/>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color w:val="auto"/>
                <w:szCs w:val="21"/>
                <w:highlight w:val="none"/>
              </w:rPr>
            </w:pPr>
            <w:r>
              <w:rPr>
                <w:rFonts w:hint="eastAsia" w:ascii="宋体" w:hAnsi="宋体" w:eastAsia="宋体" w:cs="Times New Roman"/>
                <w:color w:val="auto"/>
                <w:kern w:val="2"/>
                <w:sz w:val="21"/>
                <w:szCs w:val="21"/>
                <w:highlight w:val="none"/>
                <w:lang w:val="en-US" w:eastAsia="zh-CN" w:bidi="ar-SA"/>
              </w:rPr>
              <w:t>11.其他围标串标行为。</w:t>
            </w:r>
          </w:p>
        </w:tc>
      </w:tr>
      <w:tr w14:paraId="1DB06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833" w:type="dxa"/>
            <w:gridSpan w:val="2"/>
            <w:noWrap w:val="0"/>
            <w:vAlign w:val="center"/>
          </w:tcPr>
          <w:p w14:paraId="1C847020">
            <w:pPr>
              <w:keepNext w:val="0"/>
              <w:keepLines w:val="0"/>
              <w:suppressLineNumbers w:val="0"/>
              <w:spacing w:before="0" w:beforeAutospacing="0" w:after="0" w:afterAutospacing="0" w:line="360" w:lineRule="exact"/>
              <w:ind w:left="0" w:right="0"/>
              <w:jc w:val="center"/>
              <w:rPr>
                <w:rFonts w:hint="eastAsia" w:ascii="宋体" w:hAnsi="宋体"/>
                <w:color w:val="auto"/>
                <w:highlight w:val="none"/>
              </w:rPr>
            </w:pPr>
            <w:r>
              <w:rPr>
                <w:rFonts w:hint="eastAsia" w:ascii="宋体" w:hAnsi="宋体"/>
                <w:b/>
                <w:color w:val="auto"/>
                <w:szCs w:val="21"/>
                <w:highlight w:val="none"/>
              </w:rPr>
              <w:t>符合性审查结论</w:t>
            </w:r>
          </w:p>
        </w:tc>
        <w:tc>
          <w:tcPr>
            <w:tcW w:w="4515" w:type="dxa"/>
            <w:noWrap w:val="0"/>
            <w:vAlign w:val="center"/>
          </w:tcPr>
          <w:p w14:paraId="10931568">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r>
    </w:tbl>
    <w:p w14:paraId="331BBDA3">
      <w:pPr>
        <w:spacing w:line="440" w:lineRule="exact"/>
        <w:rPr>
          <w:rFonts w:hint="eastAsia" w:ascii="宋体" w:hAnsi="宋体"/>
          <w:b/>
          <w:color w:val="auto"/>
          <w:highlight w:val="none"/>
        </w:rPr>
      </w:pPr>
      <w:r>
        <w:rPr>
          <w:rFonts w:hint="eastAsia" w:ascii="宋体" w:hAnsi="宋体"/>
          <w:b/>
          <w:color w:val="auto"/>
          <w:highlight w:val="none"/>
        </w:rPr>
        <w:t>注：1、上述资料未按磋商文件要求附入磋商响应文件中的，</w:t>
      </w:r>
      <w:r>
        <w:rPr>
          <w:rFonts w:hint="eastAsia" w:ascii="宋体" w:hAnsi="宋体"/>
          <w:b/>
          <w:color w:val="auto"/>
          <w:szCs w:val="21"/>
          <w:highlight w:val="none"/>
        </w:rPr>
        <w:t>符合性审查</w:t>
      </w:r>
      <w:r>
        <w:rPr>
          <w:rFonts w:hint="eastAsia" w:ascii="宋体" w:hAnsi="宋体"/>
          <w:b/>
          <w:color w:val="auto"/>
          <w:highlight w:val="none"/>
        </w:rPr>
        <w:t>不合格。</w:t>
      </w:r>
    </w:p>
    <w:p w14:paraId="781445D2">
      <w:pPr>
        <w:spacing w:line="440" w:lineRule="exact"/>
        <w:ind w:firstLine="422" w:firstLineChars="200"/>
        <w:rPr>
          <w:rFonts w:ascii="宋体" w:hAnsi="宋体"/>
          <w:b/>
          <w:color w:val="auto"/>
          <w:highlight w:val="none"/>
        </w:rPr>
      </w:pPr>
      <w:r>
        <w:rPr>
          <w:rFonts w:hint="eastAsia" w:ascii="宋体" w:hAnsi="宋体"/>
          <w:b/>
          <w:color w:val="auto"/>
          <w:highlight w:val="none"/>
        </w:rPr>
        <w:t>2、上述审查项目中，任意一项不符合的，</w:t>
      </w:r>
      <w:r>
        <w:rPr>
          <w:rFonts w:hint="eastAsia" w:ascii="宋体" w:hAnsi="宋体"/>
          <w:b/>
          <w:color w:val="auto"/>
          <w:szCs w:val="21"/>
          <w:highlight w:val="none"/>
        </w:rPr>
        <w:t>符合性审查</w:t>
      </w:r>
      <w:r>
        <w:rPr>
          <w:rFonts w:hint="eastAsia" w:ascii="宋体" w:hAnsi="宋体"/>
          <w:b/>
          <w:color w:val="auto"/>
          <w:highlight w:val="none"/>
        </w:rPr>
        <w:t>不合格。</w:t>
      </w:r>
    </w:p>
    <w:p w14:paraId="62932067">
      <w:pPr>
        <w:spacing w:line="440" w:lineRule="exact"/>
        <w:ind w:firstLine="422" w:firstLineChars="200"/>
        <w:rPr>
          <w:rFonts w:hint="eastAsia" w:ascii="宋体" w:hAnsi="宋体"/>
          <w:b/>
          <w:color w:val="auto"/>
          <w:highlight w:val="none"/>
        </w:rPr>
      </w:pPr>
      <w:r>
        <w:rPr>
          <w:rFonts w:hint="eastAsia" w:ascii="宋体" w:hAnsi="宋体"/>
          <w:b/>
          <w:color w:val="auto"/>
          <w:highlight w:val="none"/>
        </w:rPr>
        <w:t>3、上述审查项目中，第3项</w:t>
      </w:r>
      <w:r>
        <w:rPr>
          <w:rFonts w:hint="eastAsia" w:ascii="宋体" w:hAnsi="宋体"/>
          <w:b/>
          <w:color w:val="auto"/>
          <w:highlight w:val="none"/>
          <w:lang w:eastAsia="zh-CN"/>
        </w:rPr>
        <w:t>、</w:t>
      </w:r>
      <w:r>
        <w:rPr>
          <w:rFonts w:hint="eastAsia" w:ascii="宋体" w:hAnsi="宋体"/>
          <w:b/>
          <w:color w:val="auto"/>
          <w:highlight w:val="none"/>
        </w:rPr>
        <w:t>第5项</w:t>
      </w:r>
      <w:r>
        <w:rPr>
          <w:rFonts w:hint="eastAsia" w:ascii="宋体" w:hAnsi="宋体"/>
          <w:b/>
          <w:color w:val="auto"/>
          <w:highlight w:val="none"/>
          <w:lang w:eastAsia="zh-CN"/>
        </w:rPr>
        <w:t>及第</w:t>
      </w:r>
      <w:r>
        <w:rPr>
          <w:rFonts w:hint="eastAsia" w:ascii="宋体" w:hAnsi="宋体"/>
          <w:b/>
          <w:color w:val="auto"/>
          <w:highlight w:val="none"/>
          <w:lang w:val="en-US" w:eastAsia="zh-CN"/>
        </w:rPr>
        <w:t>6项</w:t>
      </w:r>
      <w:r>
        <w:rPr>
          <w:rFonts w:hint="eastAsia" w:ascii="宋体" w:hAnsi="宋体"/>
          <w:b/>
          <w:color w:val="auto"/>
          <w:highlight w:val="none"/>
        </w:rPr>
        <w:t>，无需在政采云中设置关联点。</w:t>
      </w:r>
    </w:p>
    <w:p w14:paraId="782A8D07">
      <w:pPr>
        <w:keepNext w:val="0"/>
        <w:keepLines w:val="0"/>
        <w:pageBreakBefore w:val="0"/>
        <w:widowControl w:val="0"/>
        <w:kinsoku/>
        <w:wordWrap/>
        <w:overflowPunct/>
        <w:topLinePunct w:val="0"/>
        <w:bidi w:val="0"/>
        <w:adjustRightInd/>
        <w:snapToGrid/>
        <w:spacing w:line="440" w:lineRule="exact"/>
        <w:ind w:left="0" w:leftChars="0"/>
        <w:textAlignment w:val="auto"/>
        <w:rPr>
          <w:rFonts w:hint="eastAsia" w:ascii="宋体" w:hAnsi="宋体"/>
          <w:color w:val="auto"/>
          <w:szCs w:val="21"/>
          <w:highlight w:val="none"/>
        </w:rPr>
      </w:pPr>
    </w:p>
    <w:p w14:paraId="42E74872">
      <w:pPr>
        <w:keepNext w:val="0"/>
        <w:keepLines w:val="0"/>
        <w:pageBreakBefore w:val="0"/>
        <w:widowControl w:val="0"/>
        <w:kinsoku/>
        <w:wordWrap/>
        <w:overflowPunct/>
        <w:topLinePunct w:val="0"/>
        <w:bidi w:val="0"/>
        <w:adjustRightInd/>
        <w:snapToGrid/>
        <w:spacing w:line="440" w:lineRule="exact"/>
        <w:ind w:left="0" w:leftChars="0"/>
        <w:textAlignment w:val="auto"/>
        <w:rPr>
          <w:rFonts w:hint="eastAsia" w:ascii="宋体" w:hAnsi="宋体"/>
          <w:color w:val="auto"/>
          <w:szCs w:val="21"/>
          <w:highlight w:val="none"/>
        </w:rPr>
      </w:pPr>
      <w:r>
        <w:rPr>
          <w:rFonts w:hint="eastAsia" w:ascii="宋体" w:hAnsi="宋体"/>
          <w:color w:val="auto"/>
          <w:szCs w:val="21"/>
          <w:highlight w:val="none"/>
        </w:rPr>
        <w:t>附表</w:t>
      </w:r>
      <w:r>
        <w:rPr>
          <w:rFonts w:hint="eastAsia" w:ascii="宋体" w:hAnsi="宋体"/>
          <w:color w:val="auto"/>
          <w:szCs w:val="21"/>
          <w:highlight w:val="none"/>
          <w:lang w:val="en-US" w:eastAsia="zh-CN"/>
        </w:rPr>
        <w:t>3</w:t>
      </w:r>
      <w:r>
        <w:rPr>
          <w:rFonts w:hint="eastAsia" w:ascii="宋体" w:hAnsi="宋体"/>
          <w:color w:val="auto"/>
          <w:szCs w:val="21"/>
          <w:highlight w:val="none"/>
        </w:rPr>
        <w:t>：</w:t>
      </w:r>
    </w:p>
    <w:p w14:paraId="70EEBE0B">
      <w:pPr>
        <w:widowControl/>
        <w:kinsoku/>
        <w:wordWrap/>
        <w:overflowPunct/>
        <w:topLinePunct w:val="0"/>
        <w:bidi w:val="0"/>
        <w:adjustRightInd/>
        <w:spacing w:line="360" w:lineRule="exact"/>
        <w:jc w:val="center"/>
        <w:outlineLvl w:val="9"/>
        <w:rPr>
          <w:rFonts w:hint="default" w:ascii="宋体" w:hAnsi="宋体" w:eastAsia="宋体" w:cs="宋体"/>
          <w:b/>
          <w:bCs/>
          <w:color w:val="auto"/>
          <w:kern w:val="0"/>
          <w:sz w:val="32"/>
          <w:szCs w:val="40"/>
          <w:highlight w:val="none"/>
          <w:lang w:val="en-US" w:eastAsia="zh-CN"/>
        </w:rPr>
      </w:pPr>
      <w:r>
        <w:rPr>
          <w:rFonts w:hint="eastAsia" w:ascii="宋体" w:hAnsi="宋体" w:eastAsia="宋体" w:cs="宋体"/>
          <w:b/>
          <w:bCs/>
          <w:color w:val="auto"/>
          <w:kern w:val="0"/>
          <w:sz w:val="32"/>
          <w:szCs w:val="40"/>
          <w:highlight w:val="none"/>
        </w:rPr>
        <w:t>评分标准表</w:t>
      </w:r>
    </w:p>
    <w:tbl>
      <w:tblPr>
        <w:tblStyle w:val="62"/>
        <w:tblW w:w="981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215"/>
        <w:gridCol w:w="7848"/>
      </w:tblGrid>
      <w:tr w14:paraId="25F936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noWrap w:val="0"/>
            <w:vAlign w:val="center"/>
          </w:tcPr>
          <w:p w14:paraId="022AFDC3">
            <w:pPr>
              <w:keepNext w:val="0"/>
              <w:keepLines w:val="0"/>
              <w:suppressLineNumbers w:val="0"/>
              <w:spacing w:before="0" w:beforeAutospacing="0" w:after="0" w:afterAutospacing="0" w:line="340" w:lineRule="exact"/>
              <w:ind w:left="0" w:right="0"/>
              <w:rPr>
                <w:rFonts w:hint="default"/>
                <w:color w:val="000000"/>
                <w:szCs w:val="21"/>
                <w:highlight w:val="none"/>
              </w:rPr>
            </w:pPr>
          </w:p>
        </w:tc>
        <w:tc>
          <w:tcPr>
            <w:tcW w:w="1215" w:type="dxa"/>
            <w:noWrap w:val="0"/>
            <w:vAlign w:val="center"/>
          </w:tcPr>
          <w:p w14:paraId="6B1503E4">
            <w:pPr>
              <w:keepNext w:val="0"/>
              <w:keepLines w:val="0"/>
              <w:suppressLineNumbers w:val="0"/>
              <w:spacing w:before="0" w:beforeAutospacing="0" w:after="0" w:afterAutospacing="0" w:line="340" w:lineRule="exact"/>
              <w:ind w:left="0" w:right="0"/>
              <w:jc w:val="center"/>
              <w:rPr>
                <w:rFonts w:hint="default"/>
                <w:color w:val="000000"/>
                <w:szCs w:val="21"/>
                <w:highlight w:val="none"/>
              </w:rPr>
            </w:pPr>
            <w:r>
              <w:rPr>
                <w:rFonts w:hint="eastAsia"/>
                <w:color w:val="000000"/>
                <w:highlight w:val="none"/>
              </w:rPr>
              <w:t>项目</w:t>
            </w:r>
          </w:p>
        </w:tc>
        <w:tc>
          <w:tcPr>
            <w:tcW w:w="7848" w:type="dxa"/>
            <w:noWrap w:val="0"/>
            <w:vAlign w:val="center"/>
          </w:tcPr>
          <w:p w14:paraId="773A48A6">
            <w:pPr>
              <w:keepNext w:val="0"/>
              <w:keepLines w:val="0"/>
              <w:suppressLineNumbers w:val="0"/>
              <w:tabs>
                <w:tab w:val="left" w:pos="4915"/>
              </w:tabs>
              <w:spacing w:before="0" w:beforeAutospacing="0" w:after="0" w:afterAutospacing="0" w:line="340" w:lineRule="exact"/>
              <w:ind w:left="0" w:right="0"/>
              <w:jc w:val="center"/>
              <w:rPr>
                <w:rFonts w:hint="default"/>
                <w:color w:val="000000"/>
                <w:szCs w:val="21"/>
                <w:highlight w:val="none"/>
              </w:rPr>
            </w:pPr>
            <w:r>
              <w:rPr>
                <w:rFonts w:hint="eastAsia"/>
                <w:color w:val="000000"/>
                <w:highlight w:val="none"/>
              </w:rPr>
              <w:t>评分细则</w:t>
            </w:r>
          </w:p>
        </w:tc>
      </w:tr>
      <w:tr w14:paraId="34196C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restart"/>
            <w:noWrap w:val="0"/>
            <w:vAlign w:val="center"/>
          </w:tcPr>
          <w:p w14:paraId="2CD19CD0">
            <w:pPr>
              <w:keepNext w:val="0"/>
              <w:keepLines w:val="0"/>
              <w:suppressLineNumbers w:val="0"/>
              <w:spacing w:before="0" w:beforeAutospacing="0" w:after="0" w:afterAutospacing="0" w:line="340" w:lineRule="exact"/>
              <w:ind w:left="0" w:right="0"/>
              <w:rPr>
                <w:rFonts w:hint="default"/>
                <w:color w:val="000000"/>
                <w:szCs w:val="21"/>
                <w:highlight w:val="none"/>
              </w:rPr>
            </w:pPr>
            <w:r>
              <w:rPr>
                <w:rFonts w:hint="default"/>
                <w:color w:val="000000"/>
                <w:szCs w:val="21"/>
                <w:highlight w:val="none"/>
              </w:rPr>
              <w:t>技术资信</w:t>
            </w:r>
            <w:r>
              <w:rPr>
                <w:rFonts w:hint="eastAsia"/>
                <w:color w:val="000000"/>
                <w:szCs w:val="21"/>
                <w:highlight w:val="none"/>
              </w:rPr>
              <w:t>部分</w:t>
            </w:r>
            <w:r>
              <w:rPr>
                <w:rFonts w:hint="eastAsia"/>
                <w:color w:val="000000"/>
                <w:szCs w:val="21"/>
                <w:highlight w:val="none"/>
                <w:lang w:val="en-US" w:eastAsia="zh-CN"/>
              </w:rPr>
              <w:t>70</w:t>
            </w:r>
            <w:r>
              <w:rPr>
                <w:rFonts w:hint="default"/>
                <w:color w:val="000000"/>
                <w:szCs w:val="21"/>
                <w:highlight w:val="none"/>
              </w:rPr>
              <w:t>分</w:t>
            </w:r>
          </w:p>
        </w:tc>
        <w:tc>
          <w:tcPr>
            <w:tcW w:w="1215" w:type="dxa"/>
            <w:noWrap w:val="0"/>
            <w:vAlign w:val="center"/>
          </w:tcPr>
          <w:p w14:paraId="2E11ADBC">
            <w:pPr>
              <w:keepNext w:val="0"/>
              <w:keepLines w:val="0"/>
              <w:suppressLineNumbers w:val="0"/>
              <w:spacing w:before="0" w:beforeAutospacing="0" w:after="0" w:afterAutospacing="0" w:line="340" w:lineRule="exact"/>
              <w:ind w:left="0" w:right="0"/>
              <w:jc w:val="center"/>
              <w:rPr>
                <w:rFonts w:hint="eastAsia"/>
                <w:color w:val="000000"/>
                <w:highlight w:val="none"/>
              </w:rPr>
            </w:pPr>
            <w:r>
              <w:rPr>
                <w:rFonts w:hint="eastAsia" w:ascii="宋体" w:hAnsi="宋体" w:eastAsia="宋体" w:cs="宋体"/>
                <w:szCs w:val="21"/>
              </w:rPr>
              <w:t>对本项目采购需求了解情况及现状调查（5分）</w:t>
            </w:r>
          </w:p>
        </w:tc>
        <w:tc>
          <w:tcPr>
            <w:tcW w:w="7848" w:type="dxa"/>
            <w:noWrap w:val="0"/>
            <w:vAlign w:val="center"/>
          </w:tcPr>
          <w:p w14:paraId="590A70B1">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color w:val="auto"/>
                <w:szCs w:val="21"/>
              </w:rPr>
            </w:pPr>
            <w:r>
              <w:rPr>
                <w:rFonts w:hint="eastAsia" w:ascii="宋体" w:hAnsi="宋体" w:cs="宋体"/>
                <w:color w:val="auto"/>
                <w:szCs w:val="21"/>
                <w:lang w:val="en-US" w:eastAsia="zh-CN"/>
              </w:rPr>
              <w:t>根据</w:t>
            </w:r>
            <w:r>
              <w:rPr>
                <w:rFonts w:hint="eastAsia" w:ascii="宋体" w:hAnsi="宋体" w:eastAsia="宋体" w:cs="宋体"/>
                <w:color w:val="auto"/>
                <w:szCs w:val="21"/>
              </w:rPr>
              <w:t>采购人需求、工程施工、现场情况等内容了解程度进行综合评议：</w:t>
            </w:r>
          </w:p>
          <w:p w14:paraId="541454DA">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color w:val="auto"/>
                <w:szCs w:val="21"/>
              </w:rPr>
            </w:pPr>
            <w:r>
              <w:rPr>
                <w:rFonts w:hint="eastAsia" w:ascii="宋体" w:hAnsi="宋体" w:eastAsia="宋体" w:cs="宋体"/>
                <w:color w:val="auto"/>
                <w:szCs w:val="21"/>
              </w:rPr>
              <w:t>①对采购人需求、工程施工内容理解充分，现场情况了解全面的，得5分；</w:t>
            </w:r>
          </w:p>
          <w:p w14:paraId="4F05054A">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color w:val="auto"/>
                <w:szCs w:val="21"/>
              </w:rPr>
            </w:pPr>
            <w:r>
              <w:rPr>
                <w:rFonts w:hint="eastAsia" w:ascii="宋体" w:hAnsi="宋体" w:eastAsia="宋体" w:cs="宋体"/>
                <w:color w:val="auto"/>
                <w:szCs w:val="21"/>
              </w:rPr>
              <w:t>②对采购人需求、工程施工内容理解较为充分，现场情况了解较为全面的，得4分；</w:t>
            </w:r>
          </w:p>
          <w:p w14:paraId="0DCE8824">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color w:val="auto"/>
                <w:szCs w:val="21"/>
              </w:rPr>
            </w:pPr>
            <w:r>
              <w:rPr>
                <w:rFonts w:hint="eastAsia" w:ascii="宋体" w:hAnsi="宋体" w:eastAsia="宋体" w:cs="宋体"/>
                <w:color w:val="auto"/>
                <w:szCs w:val="21"/>
              </w:rPr>
              <w:t>③对采购人需求、工程施工内容理解较一般，现场情况部分了解但未全面的，得3分；</w:t>
            </w:r>
          </w:p>
          <w:p w14:paraId="09476E31">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color w:val="auto"/>
                <w:szCs w:val="21"/>
              </w:rPr>
            </w:pPr>
            <w:r>
              <w:rPr>
                <w:rFonts w:hint="eastAsia" w:ascii="宋体" w:hAnsi="宋体" w:eastAsia="宋体" w:cs="宋体"/>
                <w:color w:val="auto"/>
                <w:szCs w:val="21"/>
              </w:rPr>
              <w:t>④对采购人需求、工程施工内容理解未充分，现场情况未全面了解的，得2分；</w:t>
            </w:r>
          </w:p>
          <w:p w14:paraId="18E88AE9">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color w:val="auto"/>
                <w:szCs w:val="21"/>
              </w:rPr>
            </w:pPr>
            <w:r>
              <w:rPr>
                <w:rFonts w:hint="eastAsia" w:ascii="宋体" w:hAnsi="宋体" w:eastAsia="宋体" w:cs="宋体"/>
                <w:color w:val="auto"/>
                <w:szCs w:val="21"/>
              </w:rPr>
              <w:t>⑤对采购人需求、工程施工内容未理解，现场情况未了解的得1分；</w:t>
            </w:r>
          </w:p>
          <w:p w14:paraId="1EAB937A">
            <w:pPr>
              <w:keepNext w:val="0"/>
              <w:keepLines w:val="0"/>
              <w:suppressLineNumbers w:val="0"/>
              <w:tabs>
                <w:tab w:val="left" w:pos="4915"/>
              </w:tabs>
              <w:spacing w:before="0" w:beforeAutospacing="0" w:after="0" w:afterAutospacing="0" w:line="340" w:lineRule="exact"/>
              <w:ind w:left="0" w:right="0"/>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color w:val="auto"/>
                <w:szCs w:val="21"/>
              </w:rPr>
              <w:t>未提供相关内容不得分。</w:t>
            </w:r>
          </w:p>
        </w:tc>
      </w:tr>
      <w:tr w14:paraId="4CD54A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7BAE7AD6">
            <w:pPr>
              <w:keepNext w:val="0"/>
              <w:keepLines w:val="0"/>
              <w:suppressLineNumbers w:val="0"/>
              <w:spacing w:before="0" w:beforeAutospacing="0" w:after="0" w:afterAutospacing="0" w:line="340" w:lineRule="exact"/>
              <w:ind w:left="0" w:right="0"/>
              <w:rPr>
                <w:rFonts w:hint="default"/>
                <w:color w:val="000000"/>
                <w:szCs w:val="21"/>
                <w:highlight w:val="none"/>
              </w:rPr>
            </w:pPr>
          </w:p>
        </w:tc>
        <w:tc>
          <w:tcPr>
            <w:tcW w:w="1215" w:type="dxa"/>
            <w:noWrap w:val="0"/>
            <w:vAlign w:val="center"/>
          </w:tcPr>
          <w:p w14:paraId="7391DF1B">
            <w:pPr>
              <w:keepNext w:val="0"/>
              <w:keepLines w:val="0"/>
              <w:suppressLineNumbers w:val="0"/>
              <w:spacing w:before="0" w:beforeAutospacing="0" w:after="0" w:afterAutospacing="0" w:line="300" w:lineRule="exact"/>
              <w:ind w:left="0" w:right="0"/>
              <w:jc w:val="center"/>
              <w:rPr>
                <w:rFonts w:hint="eastAsia"/>
                <w:color w:val="000000"/>
                <w:highlight w:val="none"/>
              </w:rPr>
            </w:pPr>
            <w:r>
              <w:rPr>
                <w:rFonts w:hint="eastAsia" w:ascii="Times New Roman" w:hAnsi="Times New Roman" w:eastAsia="宋体" w:cs="宋体"/>
                <w:color w:val="000000"/>
                <w:kern w:val="2"/>
                <w:sz w:val="21"/>
                <w:szCs w:val="21"/>
                <w:highlight w:val="none"/>
                <w:lang w:val="en-US" w:eastAsia="zh-CN" w:bidi="ar-SA"/>
              </w:rPr>
              <w:t>各项工作的操作规程与标准</w:t>
            </w:r>
            <w:r>
              <w:rPr>
                <w:rFonts w:hint="eastAsia" w:cs="宋体"/>
                <w:color w:val="000000"/>
                <w:kern w:val="2"/>
                <w:sz w:val="21"/>
                <w:szCs w:val="21"/>
                <w:highlight w:val="none"/>
                <w:lang w:val="en-US" w:eastAsia="zh-CN" w:bidi="ar-SA"/>
              </w:rPr>
              <w:t>（5分）</w:t>
            </w:r>
          </w:p>
        </w:tc>
        <w:tc>
          <w:tcPr>
            <w:tcW w:w="7848" w:type="dxa"/>
            <w:noWrap w:val="0"/>
            <w:vAlign w:val="center"/>
          </w:tcPr>
          <w:p w14:paraId="4CB75B47">
            <w:pPr>
              <w:keepNext w:val="0"/>
              <w:keepLines w:val="0"/>
              <w:suppressLineNumbers w:val="0"/>
              <w:tabs>
                <w:tab w:val="left" w:pos="4915"/>
              </w:tabs>
              <w:spacing w:before="0" w:beforeAutospacing="0" w:after="0" w:afterAutospacing="0" w:line="340" w:lineRule="exact"/>
              <w:ind w:left="0" w:right="0"/>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根据供应商对各项工作要求作出具体承诺及所采用的操作规程、标准等进行综合评议（5分）。</w:t>
            </w:r>
          </w:p>
          <w:p w14:paraId="34C4B987">
            <w:pPr>
              <w:keepNext w:val="0"/>
              <w:keepLines w:val="0"/>
              <w:suppressLineNumbers w:val="0"/>
              <w:tabs>
                <w:tab w:val="left" w:pos="4915"/>
              </w:tabs>
              <w:spacing w:before="0" w:beforeAutospacing="0" w:after="0" w:afterAutospacing="0" w:line="340" w:lineRule="exact"/>
              <w:ind w:left="0" w:right="0"/>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①质量的控制和检验手段科学、可靠可行的得5分；</w:t>
            </w:r>
          </w:p>
          <w:p w14:paraId="589D7461">
            <w:pPr>
              <w:keepNext w:val="0"/>
              <w:keepLines w:val="0"/>
              <w:suppressLineNumbers w:val="0"/>
              <w:tabs>
                <w:tab w:val="left" w:pos="4915"/>
              </w:tabs>
              <w:spacing w:before="0" w:beforeAutospacing="0" w:after="0" w:afterAutospacing="0" w:line="340" w:lineRule="exact"/>
              <w:ind w:left="0" w:right="0"/>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②质量的控制和检验手段基本科学、可靠的得4分；</w:t>
            </w:r>
          </w:p>
          <w:p w14:paraId="46AB15C6">
            <w:pPr>
              <w:keepNext w:val="0"/>
              <w:keepLines w:val="0"/>
              <w:suppressLineNumbers w:val="0"/>
              <w:tabs>
                <w:tab w:val="left" w:pos="4915"/>
              </w:tabs>
              <w:spacing w:before="0" w:beforeAutospacing="0" w:after="0" w:afterAutospacing="0" w:line="340" w:lineRule="exact"/>
              <w:ind w:left="0" w:right="0"/>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③质量的控制和检验手段基本科学、可靠、手段过于笼统的得3分</w:t>
            </w:r>
          </w:p>
          <w:p w14:paraId="24B075A7">
            <w:pPr>
              <w:keepNext w:val="0"/>
              <w:keepLines w:val="0"/>
              <w:suppressLineNumbers w:val="0"/>
              <w:tabs>
                <w:tab w:val="left" w:pos="4915"/>
              </w:tabs>
              <w:spacing w:before="0" w:beforeAutospacing="0" w:after="0" w:afterAutospacing="0" w:line="340" w:lineRule="exact"/>
              <w:ind w:left="0" w:right="0"/>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④质量的控制和检验手段基本科学、可靠、手段有所欠缺，部分科学可行的得2分；</w:t>
            </w:r>
          </w:p>
          <w:p w14:paraId="77F84C1A">
            <w:pPr>
              <w:keepNext w:val="0"/>
              <w:keepLines w:val="0"/>
              <w:suppressLineNumbers w:val="0"/>
              <w:tabs>
                <w:tab w:val="left" w:pos="4915"/>
              </w:tabs>
              <w:spacing w:before="0" w:beforeAutospacing="0" w:after="0" w:afterAutospacing="0" w:line="340" w:lineRule="exact"/>
              <w:ind w:left="0" w:right="0"/>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⑤</w:t>
            </w:r>
            <w:r>
              <w:rPr>
                <w:rFonts w:hint="eastAsia" w:ascii="宋体" w:hAnsi="宋体" w:eastAsia="宋体" w:cs="宋体"/>
                <w:b w:val="0"/>
                <w:bCs w:val="0"/>
                <w:strike w:val="0"/>
                <w:dstrike w:val="0"/>
                <w:color w:val="auto"/>
                <w:sz w:val="21"/>
                <w:szCs w:val="21"/>
                <w:highlight w:val="none"/>
                <w:lang w:val="en-US" w:eastAsia="zh-CN"/>
              </w:rPr>
              <w:t>质量的控制和检验手段有所欠缺，部分科学可行的得1分；</w:t>
            </w:r>
          </w:p>
          <w:p w14:paraId="6D78A82F">
            <w:pPr>
              <w:keepNext w:val="0"/>
              <w:keepLines w:val="0"/>
              <w:suppressLineNumbers w:val="0"/>
              <w:tabs>
                <w:tab w:val="left" w:pos="4915"/>
              </w:tabs>
              <w:spacing w:before="0" w:beforeAutospacing="0" w:after="0" w:afterAutospacing="0" w:line="340" w:lineRule="exact"/>
              <w:ind w:left="0" w:right="0"/>
              <w:rPr>
                <w:rFonts w:hint="eastAsia" w:ascii="宋体" w:hAnsi="宋体" w:eastAsia="宋体" w:cs="宋体"/>
                <w:b w:val="0"/>
                <w:bCs w:val="0"/>
                <w:strike w:val="0"/>
                <w:dstrike w:val="0"/>
                <w:color w:val="auto"/>
                <w:sz w:val="21"/>
                <w:szCs w:val="21"/>
                <w:highlight w:val="none"/>
                <w:lang w:val="en-US" w:eastAsia="zh-CN"/>
              </w:rPr>
            </w:pPr>
            <w:r>
              <w:rPr>
                <w:rFonts w:hint="eastAsia" w:cs="宋体"/>
                <w:color w:val="000000"/>
                <w:szCs w:val="21"/>
                <w:highlight w:val="none"/>
                <w:lang w:val="en-US" w:eastAsia="zh-CN"/>
              </w:rPr>
              <w:t>未提供</w:t>
            </w:r>
            <w:r>
              <w:rPr>
                <w:rFonts w:hint="eastAsia" w:ascii="宋体" w:hAnsi="宋体" w:eastAsia="宋体" w:cs="宋体"/>
                <w:b w:val="0"/>
                <w:bCs w:val="0"/>
                <w:strike w:val="0"/>
                <w:dstrike w:val="0"/>
                <w:color w:val="auto"/>
                <w:sz w:val="21"/>
                <w:szCs w:val="21"/>
                <w:highlight w:val="none"/>
                <w:lang w:val="en-US" w:eastAsia="zh-CN"/>
              </w:rPr>
              <w:t>不得分。</w:t>
            </w:r>
          </w:p>
        </w:tc>
      </w:tr>
      <w:tr w14:paraId="1E2EAA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6802B49A">
            <w:pPr>
              <w:keepNext w:val="0"/>
              <w:keepLines w:val="0"/>
              <w:suppressLineNumbers w:val="0"/>
              <w:spacing w:before="0" w:beforeAutospacing="0" w:after="0" w:afterAutospacing="0" w:line="340" w:lineRule="exact"/>
              <w:ind w:left="0" w:right="0"/>
              <w:rPr>
                <w:rFonts w:hint="default"/>
                <w:color w:val="000000"/>
                <w:szCs w:val="21"/>
                <w:highlight w:val="none"/>
              </w:rPr>
            </w:pPr>
          </w:p>
        </w:tc>
        <w:tc>
          <w:tcPr>
            <w:tcW w:w="1215" w:type="dxa"/>
            <w:vMerge w:val="restart"/>
            <w:noWrap w:val="0"/>
            <w:vAlign w:val="center"/>
          </w:tcPr>
          <w:p w14:paraId="10D3BACA">
            <w:pPr>
              <w:keepNext w:val="0"/>
              <w:keepLines w:val="0"/>
              <w:suppressLineNumbers w:val="0"/>
              <w:spacing w:before="0" w:beforeAutospacing="0" w:after="0" w:afterAutospacing="0" w:line="340" w:lineRule="exact"/>
              <w:ind w:left="0" w:right="0"/>
              <w:jc w:val="center"/>
              <w:rPr>
                <w:rFonts w:hint="eastAsia"/>
                <w:color w:val="000000"/>
                <w:szCs w:val="21"/>
                <w:highlight w:val="none"/>
              </w:rPr>
            </w:pPr>
            <w:r>
              <w:rPr>
                <w:rFonts w:hint="eastAsia"/>
                <w:color w:val="000000"/>
                <w:szCs w:val="21"/>
                <w:highlight w:val="none"/>
              </w:rPr>
              <w:t>施工组织方案</w:t>
            </w:r>
          </w:p>
          <w:p w14:paraId="6DFBF579">
            <w:pPr>
              <w:keepNext w:val="0"/>
              <w:keepLines w:val="0"/>
              <w:suppressLineNumbers w:val="0"/>
              <w:spacing w:before="0" w:beforeAutospacing="0" w:after="0" w:afterAutospacing="0" w:line="340" w:lineRule="exact"/>
              <w:ind w:left="0" w:right="0"/>
              <w:jc w:val="center"/>
              <w:rPr>
                <w:rFonts w:hint="default"/>
                <w:color w:val="000000"/>
                <w:szCs w:val="21"/>
                <w:highlight w:val="none"/>
              </w:rPr>
            </w:pPr>
            <w:r>
              <w:rPr>
                <w:rFonts w:hint="default"/>
                <w:color w:val="000000"/>
                <w:szCs w:val="21"/>
                <w:highlight w:val="none"/>
              </w:rPr>
              <w:t>（</w:t>
            </w:r>
            <w:r>
              <w:rPr>
                <w:rFonts w:hint="eastAsia"/>
                <w:color w:val="000000"/>
                <w:szCs w:val="21"/>
                <w:highlight w:val="none"/>
                <w:lang w:val="en-US" w:eastAsia="zh-CN"/>
              </w:rPr>
              <w:t>35</w:t>
            </w:r>
            <w:r>
              <w:rPr>
                <w:rFonts w:hint="default"/>
                <w:color w:val="000000"/>
                <w:szCs w:val="21"/>
                <w:highlight w:val="none"/>
              </w:rPr>
              <w:t>分）</w:t>
            </w:r>
          </w:p>
        </w:tc>
        <w:tc>
          <w:tcPr>
            <w:tcW w:w="7848" w:type="dxa"/>
            <w:noWrap w:val="0"/>
            <w:vAlign w:val="center"/>
          </w:tcPr>
          <w:p w14:paraId="6EEE8ED5">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rPr>
            </w:pPr>
            <w:r>
              <w:rPr>
                <w:rFonts w:hint="eastAsia"/>
                <w:color w:val="auto"/>
                <w:sz w:val="21"/>
                <w:szCs w:val="21"/>
                <w:highlight w:val="none"/>
                <w:lang w:val="en-US" w:eastAsia="zh-CN"/>
              </w:rPr>
              <w:t>施工方案（包括</w:t>
            </w:r>
            <w:r>
              <w:rPr>
                <w:rFonts w:hint="eastAsia" w:cs="宋体"/>
                <w:color w:val="000000"/>
                <w:szCs w:val="21"/>
                <w:highlight w:val="none"/>
                <w:lang w:val="en-US" w:eastAsia="zh-CN"/>
              </w:rPr>
              <w:t>各工程关键节点</w:t>
            </w:r>
            <w:r>
              <w:rPr>
                <w:rFonts w:hint="eastAsia"/>
                <w:color w:val="auto"/>
                <w:sz w:val="21"/>
                <w:szCs w:val="21"/>
                <w:highlight w:val="none"/>
                <w:lang w:val="en-US" w:eastAsia="zh-CN"/>
              </w:rPr>
              <w:t>）</w:t>
            </w:r>
            <w:r>
              <w:rPr>
                <w:rFonts w:hint="eastAsia" w:cs="宋体"/>
                <w:color w:val="000000"/>
                <w:szCs w:val="21"/>
                <w:highlight w:val="none"/>
              </w:rPr>
              <w:t>（</w:t>
            </w:r>
            <w:r>
              <w:rPr>
                <w:rFonts w:hint="eastAsia" w:cs="宋体"/>
                <w:color w:val="000000"/>
                <w:szCs w:val="21"/>
                <w:highlight w:val="none"/>
                <w:lang w:val="en-US" w:eastAsia="zh-CN"/>
              </w:rPr>
              <w:t>5</w:t>
            </w:r>
            <w:r>
              <w:rPr>
                <w:rFonts w:hint="eastAsia" w:cs="宋体"/>
                <w:color w:val="000000"/>
                <w:szCs w:val="21"/>
                <w:highlight w:val="none"/>
              </w:rPr>
              <w:t>分）：</w:t>
            </w:r>
          </w:p>
          <w:p w14:paraId="3B2906DE">
            <w:pPr>
              <w:keepNext w:val="0"/>
              <w:keepLines w:val="0"/>
              <w:suppressLineNumbers w:val="0"/>
              <w:tabs>
                <w:tab w:val="left" w:pos="4915"/>
              </w:tabs>
              <w:spacing w:before="0" w:beforeAutospacing="0" w:after="0" w:afterAutospacing="0" w:line="340" w:lineRule="exact"/>
              <w:ind w:left="0" w:right="0"/>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①方案内容详实，逻辑清晰，符合项目实际情况，切实可行的得5分；</w:t>
            </w:r>
          </w:p>
          <w:p w14:paraId="48711087">
            <w:pPr>
              <w:keepNext w:val="0"/>
              <w:keepLines w:val="0"/>
              <w:suppressLineNumbers w:val="0"/>
              <w:tabs>
                <w:tab w:val="left" w:pos="4915"/>
              </w:tabs>
              <w:spacing w:before="0" w:beforeAutospacing="0" w:after="0" w:afterAutospacing="0" w:line="340" w:lineRule="exact"/>
              <w:ind w:left="0" w:right="0"/>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②方案内容详细，工作思路清楚，基本符合项目实际情况，合理可行的得4分；</w:t>
            </w:r>
          </w:p>
          <w:p w14:paraId="5BD69D48">
            <w:pPr>
              <w:keepNext w:val="0"/>
              <w:keepLines w:val="0"/>
              <w:suppressLineNumbers w:val="0"/>
              <w:tabs>
                <w:tab w:val="left" w:pos="4915"/>
              </w:tabs>
              <w:spacing w:before="0" w:beforeAutospacing="0" w:after="0" w:afterAutospacing="0" w:line="340" w:lineRule="exact"/>
              <w:ind w:left="0" w:right="0"/>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③方案内容比较简单，虽然存在一些不足但无明显重大缺陷的得3分；</w:t>
            </w:r>
          </w:p>
          <w:p w14:paraId="05DC1714">
            <w:pPr>
              <w:keepNext w:val="0"/>
              <w:keepLines w:val="0"/>
              <w:suppressLineNumbers w:val="0"/>
              <w:tabs>
                <w:tab w:val="left" w:pos="4915"/>
              </w:tabs>
              <w:spacing w:before="0" w:beforeAutospacing="0" w:after="0" w:afterAutospacing="0" w:line="340" w:lineRule="exact"/>
              <w:ind w:left="0" w:right="0"/>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④方案内容简单、笼统，存在较多的不足，可行性差的得</w:t>
            </w:r>
            <w:r>
              <w:rPr>
                <w:rFonts w:hint="eastAsia" w:ascii="宋体" w:hAnsi="宋体" w:eastAsia="宋体" w:cs="宋体"/>
                <w:strike w:val="0"/>
                <w:dstrike w:val="0"/>
                <w:color w:val="auto"/>
                <w:sz w:val="21"/>
                <w:szCs w:val="21"/>
                <w:highlight w:val="none"/>
                <w:lang w:val="en-US" w:eastAsia="zh-CN"/>
              </w:rPr>
              <w:t>2分；</w:t>
            </w:r>
          </w:p>
          <w:p w14:paraId="4AE84F55">
            <w:pPr>
              <w:keepNext w:val="0"/>
              <w:keepLines w:val="0"/>
              <w:suppressLineNumbers w:val="0"/>
              <w:tabs>
                <w:tab w:val="left" w:pos="4915"/>
              </w:tabs>
              <w:spacing w:before="0" w:beforeAutospacing="0" w:after="0" w:afterAutospacing="0" w:line="340" w:lineRule="exact"/>
              <w:ind w:left="0" w:right="0"/>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⑤提交的方案与实际情况存在一定偏差的得1分；</w:t>
            </w:r>
          </w:p>
          <w:p w14:paraId="6E3EE324">
            <w:pPr>
              <w:keepNext w:val="0"/>
              <w:keepLines w:val="0"/>
              <w:suppressLineNumbers w:val="0"/>
              <w:tabs>
                <w:tab w:val="left" w:pos="4915"/>
              </w:tabs>
              <w:spacing w:before="0" w:beforeAutospacing="0" w:after="0" w:afterAutospacing="0" w:line="340" w:lineRule="exact"/>
              <w:ind w:left="0" w:right="0"/>
              <w:rPr>
                <w:rFonts w:hint="eastAsia" w:eastAsia="宋体" w:cs="宋体"/>
                <w:color w:val="000000"/>
                <w:kern w:val="2"/>
                <w:sz w:val="21"/>
                <w:szCs w:val="21"/>
                <w:highlight w:val="none"/>
                <w:lang w:val="en-US" w:eastAsia="zh-CN" w:bidi="ar-SA"/>
              </w:rPr>
            </w:pPr>
            <w:r>
              <w:rPr>
                <w:rFonts w:hint="eastAsia" w:cs="宋体"/>
                <w:color w:val="000000"/>
                <w:szCs w:val="21"/>
                <w:highlight w:val="none"/>
                <w:lang w:val="en-US" w:eastAsia="zh-CN"/>
              </w:rPr>
              <w:t>未提供相关内容不得分。</w:t>
            </w:r>
          </w:p>
        </w:tc>
      </w:tr>
      <w:tr w14:paraId="0E2435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65" w:hRule="atLeast"/>
        </w:trPr>
        <w:tc>
          <w:tcPr>
            <w:tcW w:w="748" w:type="dxa"/>
            <w:vMerge w:val="continue"/>
            <w:noWrap w:val="0"/>
            <w:vAlign w:val="center"/>
          </w:tcPr>
          <w:p w14:paraId="2FEBD1D5">
            <w:pPr>
              <w:keepNext w:val="0"/>
              <w:keepLines w:val="0"/>
              <w:suppressLineNumbers w:val="0"/>
              <w:spacing w:before="0" w:beforeAutospacing="0" w:after="0" w:afterAutospacing="0" w:line="340" w:lineRule="exact"/>
              <w:ind w:left="0" w:right="0"/>
              <w:rPr>
                <w:rFonts w:hint="default"/>
                <w:color w:val="000000"/>
                <w:szCs w:val="21"/>
                <w:highlight w:val="none"/>
              </w:rPr>
            </w:pPr>
          </w:p>
        </w:tc>
        <w:tc>
          <w:tcPr>
            <w:tcW w:w="1215" w:type="dxa"/>
            <w:vMerge w:val="continue"/>
            <w:noWrap w:val="0"/>
            <w:vAlign w:val="center"/>
          </w:tcPr>
          <w:p w14:paraId="69B76A7F">
            <w:pPr>
              <w:keepNext w:val="0"/>
              <w:keepLines w:val="0"/>
              <w:suppressLineNumbers w:val="0"/>
              <w:spacing w:before="0" w:beforeAutospacing="0" w:after="0" w:afterAutospacing="0" w:line="340" w:lineRule="exact"/>
              <w:ind w:left="0" w:right="0"/>
              <w:jc w:val="center"/>
              <w:rPr>
                <w:rFonts w:hint="default"/>
                <w:color w:val="000000"/>
                <w:szCs w:val="21"/>
                <w:highlight w:val="none"/>
              </w:rPr>
            </w:pPr>
          </w:p>
        </w:tc>
        <w:tc>
          <w:tcPr>
            <w:tcW w:w="7848" w:type="dxa"/>
            <w:noWrap w:val="0"/>
            <w:vAlign w:val="center"/>
          </w:tcPr>
          <w:p w14:paraId="14C4956D">
            <w:pPr>
              <w:keepNext w:val="0"/>
              <w:keepLines w:val="0"/>
              <w:suppressLineNumbers w:val="0"/>
              <w:tabs>
                <w:tab w:val="left" w:pos="4915"/>
              </w:tabs>
              <w:spacing w:before="0" w:beforeAutospacing="0" w:after="0" w:afterAutospacing="0" w:line="340" w:lineRule="exact"/>
              <w:ind w:left="0" w:right="0"/>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项目现场平面布置方案（5分）：</w:t>
            </w:r>
          </w:p>
          <w:p w14:paraId="3D2B89F9">
            <w:pPr>
              <w:keepNext w:val="0"/>
              <w:keepLines w:val="0"/>
              <w:suppressLineNumbers w:val="0"/>
              <w:tabs>
                <w:tab w:val="left" w:pos="4915"/>
              </w:tabs>
              <w:spacing w:before="0" w:beforeAutospacing="0" w:after="0" w:afterAutospacing="0" w:line="340" w:lineRule="exact"/>
              <w:ind w:left="0" w:right="0"/>
              <w:rPr>
                <w:rFonts w:hint="eastAsia" w:ascii="Times New Roman" w:hAnsi="Times New Roman" w:eastAsia="宋体" w:cs="宋体"/>
                <w:color w:val="000000"/>
                <w:szCs w:val="21"/>
                <w:highlight w:val="none"/>
              </w:rPr>
            </w:pPr>
            <w:r>
              <w:rPr>
                <w:rFonts w:hint="eastAsia" w:ascii="宋体" w:hAnsi="宋体" w:eastAsia="宋体" w:cs="宋体"/>
                <w:b w:val="0"/>
                <w:bCs w:val="0"/>
                <w:strike w:val="0"/>
                <w:dstrike w:val="0"/>
                <w:color w:val="auto"/>
                <w:sz w:val="21"/>
                <w:szCs w:val="21"/>
                <w:highlight w:val="none"/>
                <w:lang w:val="en-US" w:eastAsia="zh-CN"/>
              </w:rPr>
              <w:t>①</w:t>
            </w:r>
            <w:r>
              <w:rPr>
                <w:rFonts w:hint="eastAsia" w:ascii="Times New Roman" w:hAnsi="Times New Roman" w:eastAsia="宋体" w:cs="宋体"/>
                <w:color w:val="000000"/>
                <w:szCs w:val="21"/>
                <w:highlight w:val="none"/>
              </w:rPr>
              <w:t>平面布置方案详实完整，施工现场临时设施布置齐全，施工设备、原材料堆放有序，安全警示醒目的得</w:t>
            </w:r>
            <w:r>
              <w:rPr>
                <w:rFonts w:hint="eastAsia" w:ascii="Times New Roman" w:hAnsi="Times New Roman" w:eastAsia="宋体" w:cs="宋体"/>
                <w:color w:val="000000"/>
                <w:szCs w:val="21"/>
                <w:highlight w:val="none"/>
                <w:lang w:val="en-US" w:eastAsia="zh-CN"/>
              </w:rPr>
              <w:t>5</w:t>
            </w:r>
            <w:r>
              <w:rPr>
                <w:rFonts w:hint="eastAsia" w:ascii="Times New Roman" w:hAnsi="Times New Roman" w:eastAsia="宋体" w:cs="宋体"/>
                <w:color w:val="000000"/>
                <w:szCs w:val="21"/>
                <w:highlight w:val="none"/>
              </w:rPr>
              <w:t>分；</w:t>
            </w:r>
          </w:p>
          <w:p w14:paraId="6DBEBDF1">
            <w:pPr>
              <w:keepNext w:val="0"/>
              <w:keepLines w:val="0"/>
              <w:suppressLineNumbers w:val="0"/>
              <w:tabs>
                <w:tab w:val="left" w:pos="4915"/>
              </w:tabs>
              <w:spacing w:before="0" w:beforeAutospacing="0" w:after="0" w:afterAutospacing="0" w:line="340" w:lineRule="exact"/>
              <w:ind w:left="0" w:right="0"/>
              <w:rPr>
                <w:rFonts w:hint="eastAsia" w:ascii="Times New Roman" w:hAnsi="Times New Roman" w:eastAsia="宋体" w:cs="宋体"/>
                <w:color w:val="000000"/>
                <w:szCs w:val="21"/>
                <w:highlight w:val="none"/>
              </w:rPr>
            </w:pPr>
            <w:r>
              <w:rPr>
                <w:rFonts w:hint="eastAsia" w:ascii="宋体" w:hAnsi="宋体" w:eastAsia="宋体" w:cs="宋体"/>
                <w:b w:val="0"/>
                <w:bCs w:val="0"/>
                <w:strike w:val="0"/>
                <w:dstrike w:val="0"/>
                <w:color w:val="auto"/>
                <w:sz w:val="21"/>
                <w:szCs w:val="21"/>
                <w:highlight w:val="none"/>
                <w:lang w:val="en-US" w:eastAsia="zh-CN"/>
              </w:rPr>
              <w:t>②</w:t>
            </w:r>
            <w:r>
              <w:rPr>
                <w:rFonts w:hint="eastAsia" w:ascii="Times New Roman" w:hAnsi="Times New Roman" w:eastAsia="宋体" w:cs="宋体"/>
                <w:color w:val="000000"/>
                <w:szCs w:val="21"/>
                <w:highlight w:val="none"/>
              </w:rPr>
              <w:t>平面布置方案较详细，施工现场临时设施布置基本齐全，施工设备、原材料堆放较有序，安全警示较醒目的得</w:t>
            </w:r>
            <w:r>
              <w:rPr>
                <w:rFonts w:hint="eastAsia" w:cs="宋体"/>
                <w:color w:val="000000"/>
                <w:szCs w:val="21"/>
                <w:highlight w:val="none"/>
                <w:lang w:val="en-US" w:eastAsia="zh-CN"/>
              </w:rPr>
              <w:t>4</w:t>
            </w:r>
            <w:r>
              <w:rPr>
                <w:rFonts w:hint="eastAsia" w:ascii="Times New Roman" w:hAnsi="Times New Roman" w:eastAsia="宋体" w:cs="宋体"/>
                <w:color w:val="000000"/>
                <w:szCs w:val="21"/>
                <w:highlight w:val="none"/>
              </w:rPr>
              <w:t>分；</w:t>
            </w:r>
          </w:p>
          <w:p w14:paraId="744938AE">
            <w:pPr>
              <w:pStyle w:val="970"/>
              <w:keepNext w:val="0"/>
              <w:keepLines w:val="0"/>
              <w:suppressLineNumbers w:val="0"/>
              <w:spacing w:before="0" w:beforeAutospacing="0" w:after="0" w:afterAutospacing="0"/>
              <w:ind w:left="0" w:leftChars="0" w:right="0" w:firstLine="0" w:firstLineChars="0"/>
              <w:rPr>
                <w:rFonts w:hint="eastAsia" w:ascii="宋体" w:hAnsi="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ascii="Times New Roman" w:hAnsi="Times New Roman" w:eastAsia="宋体" w:cs="宋体"/>
                <w:color w:val="000000"/>
                <w:szCs w:val="21"/>
                <w:highlight w:val="none"/>
              </w:rPr>
              <w:t>平面布置方案</w:t>
            </w:r>
            <w:r>
              <w:rPr>
                <w:rFonts w:hint="eastAsia" w:ascii="宋体" w:hAnsi="宋体" w:eastAsia="宋体" w:cs="宋体"/>
                <w:b w:val="0"/>
                <w:bCs w:val="0"/>
                <w:strike w:val="0"/>
                <w:dstrike w:val="0"/>
                <w:color w:val="auto"/>
                <w:sz w:val="21"/>
                <w:szCs w:val="21"/>
                <w:highlight w:val="none"/>
                <w:lang w:val="en-US" w:eastAsia="zh-CN"/>
              </w:rPr>
              <w:t>比较简单</w:t>
            </w:r>
            <w:r>
              <w:rPr>
                <w:rFonts w:hint="eastAsia" w:ascii="宋体" w:hAnsi="宋体" w:cs="宋体"/>
                <w:b w:val="0"/>
                <w:bCs w:val="0"/>
                <w:strike w:val="0"/>
                <w:dstrike w:val="0"/>
                <w:color w:val="auto"/>
                <w:sz w:val="21"/>
                <w:szCs w:val="21"/>
                <w:highlight w:val="none"/>
                <w:lang w:val="en-US" w:eastAsia="zh-CN"/>
              </w:rPr>
              <w:t>，</w:t>
            </w:r>
            <w:r>
              <w:rPr>
                <w:rFonts w:hint="eastAsia" w:ascii="Times New Roman" w:hAnsi="Times New Roman" w:eastAsia="宋体" w:cs="宋体"/>
                <w:color w:val="000000"/>
                <w:szCs w:val="21"/>
                <w:highlight w:val="none"/>
              </w:rPr>
              <w:t>施工现场临时设施布置</w:t>
            </w:r>
            <w:r>
              <w:rPr>
                <w:rFonts w:hint="eastAsia" w:cs="宋体"/>
                <w:color w:val="000000"/>
                <w:szCs w:val="21"/>
                <w:highlight w:val="none"/>
                <w:lang w:eastAsia="zh-CN"/>
              </w:rPr>
              <w:t>较</w:t>
            </w:r>
            <w:r>
              <w:rPr>
                <w:rFonts w:hint="eastAsia" w:ascii="Times New Roman" w:hAnsi="Times New Roman" w:eastAsia="宋体" w:cs="宋体"/>
                <w:color w:val="000000"/>
                <w:szCs w:val="21"/>
                <w:highlight w:val="none"/>
              </w:rPr>
              <w:t>妥当</w:t>
            </w:r>
            <w:r>
              <w:rPr>
                <w:rFonts w:hint="eastAsia" w:cs="宋体"/>
                <w:color w:val="000000"/>
                <w:szCs w:val="21"/>
                <w:highlight w:val="none"/>
                <w:lang w:eastAsia="zh-CN"/>
              </w:rPr>
              <w:t>，</w:t>
            </w:r>
            <w:r>
              <w:rPr>
                <w:rFonts w:hint="eastAsia" w:ascii="Times New Roman" w:hAnsi="Times New Roman" w:eastAsia="宋体" w:cs="宋体"/>
                <w:color w:val="000000"/>
                <w:szCs w:val="21"/>
                <w:highlight w:val="none"/>
              </w:rPr>
              <w:t>施工设备、原材料堆放</w:t>
            </w:r>
            <w:r>
              <w:rPr>
                <w:rFonts w:hint="eastAsia" w:cs="宋体"/>
                <w:color w:val="000000"/>
                <w:szCs w:val="21"/>
                <w:highlight w:val="none"/>
                <w:lang w:eastAsia="zh-CN"/>
              </w:rPr>
              <w:t>及</w:t>
            </w:r>
            <w:r>
              <w:rPr>
                <w:rFonts w:hint="eastAsia" w:ascii="Times New Roman" w:hAnsi="Times New Roman" w:eastAsia="宋体" w:cs="宋体"/>
                <w:color w:val="000000"/>
                <w:szCs w:val="21"/>
                <w:highlight w:val="none"/>
              </w:rPr>
              <w:t>安全警示</w:t>
            </w:r>
            <w:r>
              <w:rPr>
                <w:rFonts w:hint="eastAsia" w:cs="宋体"/>
                <w:color w:val="000000"/>
                <w:szCs w:val="21"/>
                <w:highlight w:val="none"/>
                <w:lang w:eastAsia="zh-CN"/>
              </w:rPr>
              <w:t>等</w:t>
            </w:r>
            <w:r>
              <w:rPr>
                <w:rFonts w:hint="eastAsia" w:ascii="宋体" w:hAnsi="宋体" w:eastAsia="宋体" w:cs="宋体"/>
                <w:b w:val="0"/>
                <w:bCs w:val="0"/>
                <w:strike w:val="0"/>
                <w:dstrike w:val="0"/>
                <w:color w:val="auto"/>
                <w:sz w:val="21"/>
                <w:szCs w:val="21"/>
                <w:highlight w:val="none"/>
                <w:lang w:val="en-US" w:eastAsia="zh-CN"/>
              </w:rPr>
              <w:t>虽然存在一些不足但无明显重大缺陷的得3分</w:t>
            </w:r>
            <w:r>
              <w:rPr>
                <w:rFonts w:hint="eastAsia" w:ascii="宋体" w:hAnsi="宋体" w:cs="宋体"/>
                <w:b w:val="0"/>
                <w:bCs w:val="0"/>
                <w:strike w:val="0"/>
                <w:dstrike w:val="0"/>
                <w:color w:val="auto"/>
                <w:sz w:val="21"/>
                <w:szCs w:val="21"/>
                <w:highlight w:val="none"/>
                <w:lang w:val="en-US" w:eastAsia="zh-CN"/>
              </w:rPr>
              <w:t>；</w:t>
            </w:r>
          </w:p>
          <w:p w14:paraId="4C435254">
            <w:pPr>
              <w:pStyle w:val="970"/>
              <w:keepNext w:val="0"/>
              <w:keepLines w:val="0"/>
              <w:suppressLineNumbers w:val="0"/>
              <w:spacing w:before="0" w:beforeAutospacing="0" w:after="0" w:afterAutospacing="0"/>
              <w:ind w:left="0" w:leftChars="0" w:right="0" w:firstLine="0" w:firstLineChars="0"/>
              <w:rPr>
                <w:rFonts w:hint="eastAsia" w:ascii="宋体" w:hAnsi="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④</w:t>
            </w:r>
            <w:r>
              <w:rPr>
                <w:rFonts w:hint="eastAsia" w:ascii="Times New Roman" w:hAnsi="Times New Roman" w:eastAsia="宋体" w:cs="宋体"/>
                <w:color w:val="000000"/>
                <w:szCs w:val="21"/>
                <w:highlight w:val="none"/>
              </w:rPr>
              <w:t>平面布置方案</w:t>
            </w:r>
            <w:r>
              <w:rPr>
                <w:rFonts w:hint="eastAsia" w:ascii="宋体" w:hAnsi="宋体" w:eastAsia="宋体" w:cs="宋体"/>
                <w:b w:val="0"/>
                <w:bCs w:val="0"/>
                <w:strike w:val="0"/>
                <w:dstrike w:val="0"/>
                <w:color w:val="auto"/>
                <w:sz w:val="21"/>
                <w:szCs w:val="21"/>
                <w:highlight w:val="none"/>
                <w:lang w:val="en-US" w:eastAsia="zh-CN"/>
              </w:rPr>
              <w:t>方案内容简单、笼统，</w:t>
            </w:r>
            <w:r>
              <w:rPr>
                <w:rFonts w:hint="eastAsia" w:ascii="Times New Roman" w:hAnsi="Times New Roman" w:eastAsia="宋体" w:cs="宋体"/>
                <w:color w:val="000000"/>
                <w:szCs w:val="21"/>
                <w:highlight w:val="none"/>
              </w:rPr>
              <w:t>施工设备、原材料堆放</w:t>
            </w:r>
            <w:r>
              <w:rPr>
                <w:rFonts w:hint="eastAsia" w:cs="宋体"/>
                <w:color w:val="000000"/>
                <w:szCs w:val="21"/>
                <w:highlight w:val="none"/>
                <w:lang w:eastAsia="zh-CN"/>
              </w:rPr>
              <w:t>及</w:t>
            </w:r>
            <w:r>
              <w:rPr>
                <w:rFonts w:hint="eastAsia" w:ascii="Times New Roman" w:hAnsi="Times New Roman" w:eastAsia="宋体" w:cs="宋体"/>
                <w:color w:val="000000"/>
                <w:szCs w:val="21"/>
                <w:highlight w:val="none"/>
              </w:rPr>
              <w:t>安全警示</w:t>
            </w:r>
            <w:r>
              <w:rPr>
                <w:rFonts w:hint="eastAsia" w:cs="宋体"/>
                <w:color w:val="000000"/>
                <w:szCs w:val="21"/>
                <w:highlight w:val="none"/>
                <w:lang w:eastAsia="zh-CN"/>
              </w:rPr>
              <w:t>等</w:t>
            </w:r>
            <w:r>
              <w:rPr>
                <w:rFonts w:hint="eastAsia" w:ascii="宋体" w:hAnsi="宋体" w:eastAsia="宋体" w:cs="宋体"/>
                <w:b w:val="0"/>
                <w:bCs w:val="0"/>
                <w:strike w:val="0"/>
                <w:dstrike w:val="0"/>
                <w:color w:val="auto"/>
                <w:sz w:val="21"/>
                <w:szCs w:val="21"/>
                <w:highlight w:val="none"/>
                <w:lang w:val="en-US" w:eastAsia="zh-CN"/>
              </w:rPr>
              <w:t>存在较多的不足</w:t>
            </w:r>
            <w:r>
              <w:rPr>
                <w:rFonts w:hint="eastAsia" w:ascii="宋体" w:hAnsi="宋体" w:cs="宋体"/>
                <w:b w:val="0"/>
                <w:bCs w:val="0"/>
                <w:strike w:val="0"/>
                <w:dstrike w:val="0"/>
                <w:color w:val="auto"/>
                <w:sz w:val="21"/>
                <w:szCs w:val="21"/>
                <w:highlight w:val="none"/>
                <w:lang w:val="en-US" w:eastAsia="zh-CN"/>
              </w:rPr>
              <w:t>，</w:t>
            </w:r>
            <w:r>
              <w:rPr>
                <w:rFonts w:hint="eastAsia" w:ascii="宋体" w:hAnsi="宋体" w:eastAsia="宋体" w:cs="宋体"/>
                <w:b w:val="0"/>
                <w:bCs w:val="0"/>
                <w:strike w:val="0"/>
                <w:dstrike w:val="0"/>
                <w:color w:val="auto"/>
                <w:sz w:val="21"/>
                <w:szCs w:val="21"/>
                <w:highlight w:val="none"/>
                <w:lang w:val="en-US" w:eastAsia="zh-CN"/>
              </w:rPr>
              <w:t>可行性差的得</w:t>
            </w:r>
            <w:r>
              <w:rPr>
                <w:rFonts w:hint="eastAsia" w:ascii="宋体" w:hAnsi="宋体" w:eastAsia="宋体" w:cs="宋体"/>
                <w:strike w:val="0"/>
                <w:dstrike w:val="0"/>
                <w:color w:val="auto"/>
                <w:sz w:val="21"/>
                <w:szCs w:val="21"/>
                <w:highlight w:val="none"/>
                <w:lang w:val="en-US" w:eastAsia="zh-CN"/>
              </w:rPr>
              <w:t>2分</w:t>
            </w:r>
          </w:p>
          <w:p w14:paraId="4D9D53A2">
            <w:pPr>
              <w:keepNext w:val="0"/>
              <w:keepLines w:val="0"/>
              <w:suppressLineNumbers w:val="0"/>
              <w:tabs>
                <w:tab w:val="left" w:pos="4915"/>
              </w:tabs>
              <w:spacing w:before="0" w:beforeAutospacing="0" w:after="0" w:afterAutospacing="0" w:line="340" w:lineRule="exact"/>
              <w:ind w:left="0" w:right="0"/>
              <w:rPr>
                <w:rFonts w:hint="eastAsia" w:ascii="Times New Roman" w:hAnsi="Times New Roman" w:eastAsia="宋体" w:cs="宋体"/>
                <w:color w:val="000000"/>
                <w:szCs w:val="21"/>
                <w:highlight w:val="none"/>
              </w:rPr>
            </w:pPr>
            <w:r>
              <w:rPr>
                <w:rFonts w:hint="eastAsia" w:ascii="宋体" w:hAnsi="宋体" w:eastAsia="宋体" w:cs="宋体"/>
                <w:strike w:val="0"/>
                <w:dstrike w:val="0"/>
                <w:color w:val="auto"/>
                <w:sz w:val="21"/>
                <w:szCs w:val="21"/>
                <w:highlight w:val="none"/>
                <w:lang w:val="en-US" w:eastAsia="zh-CN"/>
              </w:rPr>
              <w:t>⑤</w:t>
            </w:r>
            <w:r>
              <w:rPr>
                <w:rFonts w:hint="eastAsia" w:ascii="Times New Roman" w:hAnsi="Times New Roman" w:eastAsia="宋体" w:cs="宋体"/>
                <w:color w:val="000000"/>
                <w:szCs w:val="21"/>
                <w:highlight w:val="none"/>
              </w:rPr>
              <w:t>平面布置方案内容</w:t>
            </w:r>
            <w:r>
              <w:rPr>
                <w:rFonts w:hint="eastAsia" w:ascii="Times New Roman" w:hAnsi="Times New Roman" w:eastAsia="宋体" w:cs="宋体"/>
                <w:color w:val="000000"/>
                <w:szCs w:val="21"/>
                <w:highlight w:val="none"/>
                <w:lang w:val="en-US" w:eastAsia="zh-CN"/>
              </w:rPr>
              <w:t>有明显欠缺</w:t>
            </w:r>
            <w:r>
              <w:rPr>
                <w:rFonts w:hint="eastAsia" w:ascii="Times New Roman" w:hAnsi="Times New Roman" w:eastAsia="宋体" w:cs="宋体"/>
                <w:color w:val="000000"/>
                <w:szCs w:val="21"/>
                <w:highlight w:val="none"/>
              </w:rPr>
              <w:t>，施工现场临时设施布置不妥当，施工设备、原材料堆放混乱，安全警示不醒目的得</w:t>
            </w:r>
            <w:r>
              <w:rPr>
                <w:rFonts w:hint="eastAsia" w:cs="宋体"/>
                <w:color w:val="000000"/>
                <w:szCs w:val="21"/>
                <w:highlight w:val="none"/>
                <w:lang w:val="en-US" w:eastAsia="zh-CN"/>
              </w:rPr>
              <w:t>1</w:t>
            </w:r>
            <w:r>
              <w:rPr>
                <w:rFonts w:hint="eastAsia" w:ascii="Times New Roman" w:hAnsi="Times New Roman" w:eastAsia="宋体" w:cs="宋体"/>
                <w:color w:val="000000"/>
                <w:szCs w:val="21"/>
                <w:highlight w:val="none"/>
              </w:rPr>
              <w:t>分；</w:t>
            </w:r>
          </w:p>
          <w:p w14:paraId="7AD7891F">
            <w:pPr>
              <w:pStyle w:val="970"/>
              <w:keepNext w:val="0"/>
              <w:keepLines w:val="0"/>
              <w:suppressLineNumbers w:val="0"/>
              <w:spacing w:before="0" w:beforeAutospacing="0" w:after="0" w:afterAutospacing="0"/>
              <w:ind w:left="0" w:leftChars="0" w:right="0" w:firstLine="0" w:firstLineChars="0"/>
              <w:rPr>
                <w:rFonts w:hint="default" w:ascii="Times New Roman" w:hAnsi="Times New Roman" w:eastAsia="宋体" w:cs="宋体"/>
                <w:color w:val="000000"/>
                <w:kern w:val="2"/>
                <w:sz w:val="21"/>
                <w:szCs w:val="21"/>
                <w:highlight w:val="none"/>
                <w:lang w:val="en-US" w:eastAsia="zh-CN" w:bidi="ar-SA"/>
              </w:rPr>
            </w:pPr>
            <w:r>
              <w:rPr>
                <w:rFonts w:hint="eastAsia" w:cs="宋体"/>
                <w:color w:val="000000"/>
                <w:szCs w:val="21"/>
                <w:highlight w:val="none"/>
                <w:lang w:val="en-US" w:eastAsia="zh-CN"/>
              </w:rPr>
              <w:t>未提供相关内容不得分。</w:t>
            </w:r>
          </w:p>
        </w:tc>
      </w:tr>
      <w:tr w14:paraId="7E7459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73C8B69E">
            <w:pPr>
              <w:keepNext w:val="0"/>
              <w:keepLines w:val="0"/>
              <w:widowControl/>
              <w:suppressLineNumbers w:val="0"/>
              <w:spacing w:before="0" w:beforeAutospacing="0" w:after="0" w:afterAutospacing="0" w:line="340" w:lineRule="exact"/>
              <w:ind w:left="0" w:right="0"/>
              <w:jc w:val="left"/>
              <w:rPr>
                <w:rFonts w:hint="default"/>
                <w:color w:val="000000"/>
                <w:szCs w:val="21"/>
                <w:highlight w:val="none"/>
              </w:rPr>
            </w:pPr>
          </w:p>
        </w:tc>
        <w:tc>
          <w:tcPr>
            <w:tcW w:w="1215" w:type="dxa"/>
            <w:vMerge w:val="continue"/>
            <w:noWrap w:val="0"/>
            <w:vAlign w:val="center"/>
          </w:tcPr>
          <w:p w14:paraId="0755E569">
            <w:pPr>
              <w:keepNext w:val="0"/>
              <w:keepLines w:val="0"/>
              <w:widowControl/>
              <w:suppressLineNumbers w:val="0"/>
              <w:spacing w:before="0" w:beforeAutospacing="0" w:after="0" w:afterAutospacing="0" w:line="340" w:lineRule="exact"/>
              <w:ind w:left="0" w:right="0"/>
              <w:jc w:val="left"/>
              <w:rPr>
                <w:rFonts w:hint="default"/>
                <w:color w:val="000000"/>
                <w:szCs w:val="21"/>
                <w:highlight w:val="none"/>
              </w:rPr>
            </w:pPr>
          </w:p>
        </w:tc>
        <w:tc>
          <w:tcPr>
            <w:tcW w:w="7848" w:type="dxa"/>
            <w:noWrap w:val="0"/>
            <w:vAlign w:val="center"/>
          </w:tcPr>
          <w:p w14:paraId="0D56CE8A">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rPr>
            </w:pPr>
            <w:r>
              <w:rPr>
                <w:rFonts w:hint="eastAsia" w:cs="宋体"/>
                <w:color w:val="000000"/>
                <w:szCs w:val="21"/>
                <w:highlight w:val="none"/>
              </w:rPr>
              <w:t>工程质量保证措施（</w:t>
            </w:r>
            <w:r>
              <w:rPr>
                <w:rFonts w:hint="eastAsia" w:cs="宋体"/>
                <w:color w:val="000000"/>
                <w:szCs w:val="21"/>
                <w:highlight w:val="none"/>
                <w:lang w:val="en-US" w:eastAsia="zh-CN"/>
              </w:rPr>
              <w:t>5</w:t>
            </w:r>
            <w:r>
              <w:rPr>
                <w:rFonts w:hint="eastAsia" w:cs="宋体"/>
                <w:color w:val="000000"/>
                <w:szCs w:val="21"/>
                <w:highlight w:val="none"/>
              </w:rPr>
              <w:t>分）：</w:t>
            </w:r>
          </w:p>
          <w:p w14:paraId="658A28A8">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lang w:eastAsia="zh-CN"/>
              </w:rPr>
            </w:pPr>
            <w:r>
              <w:rPr>
                <w:rFonts w:hint="eastAsia" w:cs="宋体"/>
                <w:color w:val="000000"/>
                <w:szCs w:val="21"/>
                <w:highlight w:val="none"/>
                <w:lang w:val="en-US" w:eastAsia="zh-CN"/>
              </w:rPr>
              <w:t>①各项</w:t>
            </w:r>
            <w:r>
              <w:rPr>
                <w:rFonts w:hint="eastAsia" w:cs="宋体"/>
                <w:color w:val="000000"/>
                <w:szCs w:val="21"/>
                <w:highlight w:val="none"/>
              </w:rPr>
              <w:t>保障措施有力</w:t>
            </w:r>
            <w:r>
              <w:rPr>
                <w:rFonts w:hint="eastAsia" w:cs="宋体"/>
                <w:color w:val="000000"/>
                <w:szCs w:val="21"/>
                <w:highlight w:val="none"/>
                <w:lang w:eastAsia="zh-CN"/>
              </w:rPr>
              <w:t>、</w:t>
            </w:r>
            <w:r>
              <w:rPr>
                <w:rFonts w:hint="eastAsia" w:cs="宋体"/>
                <w:color w:val="000000"/>
                <w:szCs w:val="21"/>
                <w:highlight w:val="none"/>
                <w:lang w:val="en-US" w:eastAsia="zh-CN"/>
              </w:rPr>
              <w:t>符合建筑行业规范</w:t>
            </w:r>
            <w:r>
              <w:rPr>
                <w:rFonts w:hint="eastAsia" w:cs="宋体"/>
                <w:color w:val="000000"/>
                <w:szCs w:val="21"/>
                <w:highlight w:val="none"/>
              </w:rPr>
              <w:t>、</w:t>
            </w:r>
            <w:r>
              <w:rPr>
                <w:rFonts w:hint="eastAsia" w:cs="宋体"/>
                <w:color w:val="000000"/>
                <w:szCs w:val="21"/>
                <w:highlight w:val="none"/>
                <w:lang w:val="en-US" w:eastAsia="zh-CN"/>
              </w:rPr>
              <w:t>能保证项目顺利实施</w:t>
            </w:r>
            <w:r>
              <w:rPr>
                <w:rFonts w:hint="eastAsia" w:cs="宋体"/>
                <w:color w:val="000000"/>
                <w:szCs w:val="21"/>
                <w:highlight w:val="none"/>
              </w:rPr>
              <w:t>的得</w:t>
            </w:r>
            <w:r>
              <w:rPr>
                <w:rFonts w:hint="eastAsia" w:cs="宋体"/>
                <w:color w:val="000000"/>
                <w:szCs w:val="21"/>
                <w:highlight w:val="none"/>
                <w:lang w:val="en-US" w:eastAsia="zh-CN"/>
              </w:rPr>
              <w:t>5</w:t>
            </w:r>
            <w:r>
              <w:rPr>
                <w:rFonts w:hint="eastAsia" w:cs="宋体"/>
                <w:color w:val="000000"/>
                <w:szCs w:val="21"/>
                <w:highlight w:val="none"/>
              </w:rPr>
              <w:t>分</w:t>
            </w:r>
            <w:r>
              <w:rPr>
                <w:rFonts w:hint="eastAsia" w:cs="宋体"/>
                <w:color w:val="000000"/>
                <w:szCs w:val="21"/>
                <w:highlight w:val="none"/>
                <w:lang w:eastAsia="zh-CN"/>
              </w:rPr>
              <w:t>；</w:t>
            </w:r>
          </w:p>
          <w:p w14:paraId="6725ED04">
            <w:pPr>
              <w:pStyle w:val="970"/>
              <w:keepNext w:val="0"/>
              <w:keepLines w:val="0"/>
              <w:suppressLineNumbers w:val="0"/>
              <w:spacing w:before="0" w:beforeAutospacing="0" w:after="0" w:afterAutospacing="0"/>
              <w:ind w:left="0" w:leftChars="0" w:right="0" w:firstLine="0" w:firstLineChars="0"/>
              <w:rPr>
                <w:rFonts w:hint="eastAsia"/>
                <w:lang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cs="宋体"/>
                <w:color w:val="000000"/>
                <w:szCs w:val="21"/>
                <w:highlight w:val="none"/>
              </w:rPr>
              <w:t>保障措施</w:t>
            </w:r>
            <w:r>
              <w:rPr>
                <w:rFonts w:hint="eastAsia" w:cs="宋体"/>
                <w:color w:val="000000"/>
                <w:szCs w:val="21"/>
                <w:highlight w:val="none"/>
                <w:lang w:val="en-US" w:eastAsia="zh-CN"/>
              </w:rPr>
              <w:t>基本</w:t>
            </w:r>
            <w:r>
              <w:rPr>
                <w:rFonts w:hint="eastAsia" w:cs="宋体"/>
                <w:color w:val="000000"/>
                <w:szCs w:val="21"/>
                <w:highlight w:val="none"/>
              </w:rPr>
              <w:t>需求</w:t>
            </w:r>
            <w:r>
              <w:rPr>
                <w:rFonts w:hint="eastAsia" w:cs="宋体"/>
                <w:color w:val="000000"/>
                <w:szCs w:val="21"/>
                <w:highlight w:val="none"/>
                <w:lang w:eastAsia="zh-CN"/>
              </w:rPr>
              <w:t>可行、</w:t>
            </w:r>
            <w:r>
              <w:rPr>
                <w:rFonts w:hint="eastAsia" w:cs="宋体"/>
                <w:color w:val="000000"/>
                <w:szCs w:val="21"/>
                <w:highlight w:val="none"/>
                <w:lang w:val="en-US" w:eastAsia="zh-CN"/>
              </w:rPr>
              <w:t>保证项目顺利实施的</w:t>
            </w:r>
            <w:r>
              <w:rPr>
                <w:rFonts w:hint="eastAsia" w:cs="宋体"/>
                <w:color w:val="000000"/>
                <w:szCs w:val="21"/>
                <w:highlight w:val="none"/>
              </w:rPr>
              <w:t>得</w:t>
            </w:r>
            <w:r>
              <w:rPr>
                <w:rFonts w:hint="eastAsia" w:cs="宋体"/>
                <w:color w:val="000000"/>
                <w:szCs w:val="21"/>
                <w:highlight w:val="none"/>
                <w:lang w:val="en-US" w:eastAsia="zh-CN"/>
              </w:rPr>
              <w:t>4分；</w:t>
            </w:r>
          </w:p>
          <w:p w14:paraId="2EC8C884">
            <w:pPr>
              <w:keepNext w:val="0"/>
              <w:keepLines w:val="0"/>
              <w:suppressLineNumbers w:val="0"/>
              <w:tabs>
                <w:tab w:val="left" w:pos="4915"/>
              </w:tabs>
              <w:spacing w:before="0" w:beforeAutospacing="0" w:after="0" w:afterAutospacing="0" w:line="340" w:lineRule="exact"/>
              <w:ind w:left="0" w:right="0"/>
              <w:rPr>
                <w:rFonts w:hint="eastAsia" w:ascii="宋体" w:hAnsi="宋体" w:cs="宋体"/>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cs="宋体"/>
                <w:color w:val="000000"/>
                <w:szCs w:val="21"/>
                <w:highlight w:val="none"/>
              </w:rPr>
              <w:t>保障措施</w:t>
            </w:r>
            <w:r>
              <w:rPr>
                <w:rFonts w:hint="eastAsia" w:ascii="宋体" w:hAnsi="宋体" w:eastAsia="宋体" w:cs="宋体"/>
                <w:b w:val="0"/>
                <w:bCs w:val="0"/>
                <w:strike w:val="0"/>
                <w:dstrike w:val="0"/>
                <w:color w:val="auto"/>
                <w:sz w:val="21"/>
                <w:szCs w:val="21"/>
                <w:highlight w:val="none"/>
                <w:lang w:val="en-US" w:eastAsia="zh-CN"/>
              </w:rPr>
              <w:t>内容简单、笼统，</w:t>
            </w:r>
            <w:r>
              <w:rPr>
                <w:rFonts w:hint="eastAsia" w:cs="宋体"/>
                <w:color w:val="000000"/>
                <w:szCs w:val="21"/>
                <w:highlight w:val="none"/>
                <w:lang w:val="en-US" w:eastAsia="zh-CN"/>
              </w:rPr>
              <w:t>保证项目基本能完成实施</w:t>
            </w:r>
            <w:r>
              <w:rPr>
                <w:rFonts w:hint="eastAsia" w:ascii="宋体" w:hAnsi="宋体" w:eastAsia="宋体" w:cs="宋体"/>
                <w:b w:val="0"/>
                <w:bCs w:val="0"/>
                <w:strike w:val="0"/>
                <w:dstrike w:val="0"/>
                <w:color w:val="auto"/>
                <w:sz w:val="21"/>
                <w:szCs w:val="21"/>
                <w:highlight w:val="none"/>
                <w:lang w:val="en-US" w:eastAsia="zh-CN"/>
              </w:rPr>
              <w:t>的得</w:t>
            </w:r>
            <w:r>
              <w:rPr>
                <w:rFonts w:hint="eastAsia" w:ascii="宋体" w:hAnsi="宋体" w:cs="宋体"/>
                <w:strike w:val="0"/>
                <w:dstrike w:val="0"/>
                <w:color w:val="auto"/>
                <w:sz w:val="21"/>
                <w:szCs w:val="21"/>
                <w:highlight w:val="none"/>
                <w:lang w:val="en-US" w:eastAsia="zh-CN"/>
              </w:rPr>
              <w:t>3</w:t>
            </w:r>
            <w:r>
              <w:rPr>
                <w:rFonts w:hint="eastAsia" w:ascii="宋体" w:hAnsi="宋体" w:eastAsia="宋体" w:cs="宋体"/>
                <w:strike w:val="0"/>
                <w:dstrike w:val="0"/>
                <w:color w:val="auto"/>
                <w:sz w:val="21"/>
                <w:szCs w:val="21"/>
                <w:highlight w:val="none"/>
                <w:lang w:val="en-US" w:eastAsia="zh-CN"/>
              </w:rPr>
              <w:t>分</w:t>
            </w:r>
            <w:r>
              <w:rPr>
                <w:rFonts w:hint="eastAsia" w:ascii="宋体" w:hAnsi="宋体" w:cs="宋体"/>
                <w:strike w:val="0"/>
                <w:dstrike w:val="0"/>
                <w:color w:val="auto"/>
                <w:sz w:val="21"/>
                <w:szCs w:val="21"/>
                <w:highlight w:val="none"/>
                <w:lang w:val="en-US" w:eastAsia="zh-CN"/>
              </w:rPr>
              <w:t>；</w:t>
            </w:r>
          </w:p>
          <w:p w14:paraId="48BBAA36">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④</w:t>
            </w:r>
            <w:r>
              <w:rPr>
                <w:rFonts w:hint="eastAsia" w:cs="宋体"/>
                <w:color w:val="000000"/>
                <w:szCs w:val="21"/>
                <w:highlight w:val="none"/>
              </w:rPr>
              <w:t>保障措施上有</w:t>
            </w:r>
            <w:r>
              <w:rPr>
                <w:rFonts w:hint="eastAsia" w:cs="宋体"/>
                <w:color w:val="000000"/>
                <w:szCs w:val="21"/>
                <w:highlight w:val="none"/>
                <w:lang w:val="en-US" w:eastAsia="zh-CN"/>
              </w:rPr>
              <w:t>部分非主体内容的欠缺</w:t>
            </w:r>
            <w:r>
              <w:rPr>
                <w:rFonts w:hint="eastAsia" w:cs="宋体"/>
                <w:color w:val="000000"/>
                <w:szCs w:val="21"/>
                <w:highlight w:val="none"/>
              </w:rPr>
              <w:t>，</w:t>
            </w:r>
            <w:r>
              <w:rPr>
                <w:rFonts w:hint="eastAsia" w:cs="宋体"/>
                <w:color w:val="000000"/>
                <w:szCs w:val="21"/>
                <w:highlight w:val="none"/>
                <w:lang w:val="en-US" w:eastAsia="zh-CN"/>
              </w:rPr>
              <w:t>尚不影响履约</w:t>
            </w:r>
            <w:r>
              <w:rPr>
                <w:rFonts w:hint="eastAsia" w:cs="宋体"/>
                <w:color w:val="000000"/>
                <w:szCs w:val="21"/>
                <w:highlight w:val="none"/>
              </w:rPr>
              <w:t>的得</w:t>
            </w:r>
            <w:r>
              <w:rPr>
                <w:rFonts w:hint="eastAsia" w:cs="宋体"/>
                <w:color w:val="000000"/>
                <w:szCs w:val="21"/>
                <w:highlight w:val="none"/>
                <w:lang w:val="en-US" w:eastAsia="zh-CN"/>
              </w:rPr>
              <w:t>2</w:t>
            </w:r>
            <w:r>
              <w:rPr>
                <w:rFonts w:hint="eastAsia" w:cs="宋体"/>
                <w:color w:val="000000"/>
                <w:szCs w:val="21"/>
                <w:highlight w:val="none"/>
              </w:rPr>
              <w:t>分</w:t>
            </w:r>
            <w:r>
              <w:rPr>
                <w:rFonts w:hint="eastAsia" w:cs="宋体"/>
                <w:color w:val="000000"/>
                <w:szCs w:val="21"/>
                <w:highlight w:val="none"/>
                <w:lang w:eastAsia="zh-CN"/>
              </w:rPr>
              <w:t>；</w:t>
            </w:r>
          </w:p>
          <w:p w14:paraId="122EACA6">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rPr>
            </w:pPr>
            <w:r>
              <w:rPr>
                <w:rFonts w:hint="eastAsia" w:ascii="宋体" w:hAnsi="宋体" w:eastAsia="宋体" w:cs="宋体"/>
                <w:strike w:val="0"/>
                <w:dstrike w:val="0"/>
                <w:color w:val="auto"/>
                <w:sz w:val="21"/>
                <w:szCs w:val="21"/>
                <w:highlight w:val="none"/>
                <w:lang w:val="en-US" w:eastAsia="zh-CN"/>
              </w:rPr>
              <w:t>⑤</w:t>
            </w:r>
            <w:r>
              <w:rPr>
                <w:rFonts w:hint="eastAsia" w:cs="宋体"/>
                <w:color w:val="000000"/>
                <w:szCs w:val="21"/>
                <w:highlight w:val="none"/>
              </w:rPr>
              <w:t>措施</w:t>
            </w:r>
            <w:r>
              <w:rPr>
                <w:rFonts w:hint="eastAsia" w:cs="宋体"/>
                <w:color w:val="000000"/>
                <w:szCs w:val="21"/>
                <w:highlight w:val="none"/>
                <w:lang w:val="en-US" w:eastAsia="zh-CN"/>
              </w:rPr>
              <w:t>上有主体内容的缺漏</w:t>
            </w:r>
            <w:r>
              <w:rPr>
                <w:rFonts w:hint="eastAsia" w:cs="宋体"/>
                <w:color w:val="000000"/>
                <w:szCs w:val="21"/>
                <w:highlight w:val="none"/>
              </w:rPr>
              <w:t>或缺少具体</w:t>
            </w:r>
            <w:r>
              <w:rPr>
                <w:rFonts w:hint="eastAsia" w:cs="宋体"/>
                <w:color w:val="000000"/>
                <w:szCs w:val="21"/>
                <w:highlight w:val="none"/>
                <w:lang w:val="en-US" w:eastAsia="zh-CN"/>
              </w:rPr>
              <w:t>有效的保证措施</w:t>
            </w:r>
            <w:r>
              <w:rPr>
                <w:rFonts w:hint="eastAsia" w:cs="宋体"/>
                <w:color w:val="000000"/>
                <w:szCs w:val="21"/>
                <w:highlight w:val="none"/>
              </w:rPr>
              <w:t>，</w:t>
            </w:r>
            <w:r>
              <w:rPr>
                <w:rFonts w:hint="eastAsia" w:cs="宋体"/>
                <w:color w:val="000000"/>
                <w:szCs w:val="21"/>
                <w:highlight w:val="none"/>
                <w:lang w:val="en-US" w:eastAsia="zh-CN"/>
              </w:rPr>
              <w:t>难以</w:t>
            </w:r>
            <w:r>
              <w:rPr>
                <w:rFonts w:hint="eastAsia" w:cs="宋体"/>
                <w:color w:val="000000"/>
                <w:szCs w:val="21"/>
                <w:highlight w:val="none"/>
              </w:rPr>
              <w:t>保证项目</w:t>
            </w:r>
            <w:r>
              <w:rPr>
                <w:rFonts w:hint="eastAsia" w:cs="宋体"/>
                <w:color w:val="000000"/>
                <w:szCs w:val="21"/>
                <w:highlight w:val="none"/>
                <w:lang w:val="en-US" w:eastAsia="zh-CN"/>
              </w:rPr>
              <w:t>顺利实施</w:t>
            </w:r>
            <w:r>
              <w:rPr>
                <w:rFonts w:hint="eastAsia" w:cs="宋体"/>
                <w:color w:val="000000"/>
                <w:szCs w:val="21"/>
                <w:highlight w:val="none"/>
              </w:rPr>
              <w:t>的得</w:t>
            </w:r>
            <w:r>
              <w:rPr>
                <w:rFonts w:hint="eastAsia" w:cs="宋体"/>
                <w:color w:val="000000"/>
                <w:szCs w:val="21"/>
                <w:highlight w:val="none"/>
                <w:lang w:val="en-US" w:eastAsia="zh-CN"/>
              </w:rPr>
              <w:t>1</w:t>
            </w:r>
            <w:r>
              <w:rPr>
                <w:rFonts w:hint="eastAsia" w:cs="宋体"/>
                <w:color w:val="000000"/>
                <w:szCs w:val="21"/>
                <w:highlight w:val="none"/>
              </w:rPr>
              <w:t>分。</w:t>
            </w:r>
          </w:p>
          <w:p w14:paraId="694E47FE">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rPr>
            </w:pPr>
            <w:r>
              <w:rPr>
                <w:rFonts w:hint="eastAsia" w:cs="宋体"/>
                <w:color w:val="000000"/>
                <w:szCs w:val="21"/>
                <w:highlight w:val="none"/>
                <w:lang w:val="en-US" w:eastAsia="zh-CN"/>
              </w:rPr>
              <w:t>未提供相关内容不得分。</w:t>
            </w:r>
          </w:p>
        </w:tc>
      </w:tr>
      <w:tr w14:paraId="39A95A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23C33F17">
            <w:pPr>
              <w:keepNext w:val="0"/>
              <w:keepLines w:val="0"/>
              <w:widowControl/>
              <w:suppressLineNumbers w:val="0"/>
              <w:spacing w:before="0" w:beforeAutospacing="0" w:after="0" w:afterAutospacing="0" w:line="340" w:lineRule="exact"/>
              <w:ind w:left="0" w:right="0"/>
              <w:jc w:val="left"/>
              <w:rPr>
                <w:rFonts w:hint="default"/>
                <w:color w:val="000000"/>
                <w:szCs w:val="21"/>
                <w:highlight w:val="none"/>
              </w:rPr>
            </w:pPr>
          </w:p>
        </w:tc>
        <w:tc>
          <w:tcPr>
            <w:tcW w:w="1215" w:type="dxa"/>
            <w:vMerge w:val="continue"/>
            <w:noWrap w:val="0"/>
            <w:vAlign w:val="center"/>
          </w:tcPr>
          <w:p w14:paraId="670312F9">
            <w:pPr>
              <w:keepNext w:val="0"/>
              <w:keepLines w:val="0"/>
              <w:widowControl/>
              <w:suppressLineNumbers w:val="0"/>
              <w:spacing w:before="0" w:beforeAutospacing="0" w:after="0" w:afterAutospacing="0" w:line="340" w:lineRule="exact"/>
              <w:ind w:left="0" w:right="0"/>
              <w:jc w:val="left"/>
              <w:rPr>
                <w:rFonts w:hint="default"/>
                <w:color w:val="000000"/>
                <w:szCs w:val="21"/>
                <w:highlight w:val="none"/>
              </w:rPr>
            </w:pPr>
          </w:p>
        </w:tc>
        <w:tc>
          <w:tcPr>
            <w:tcW w:w="7848" w:type="dxa"/>
            <w:noWrap w:val="0"/>
            <w:vAlign w:val="center"/>
          </w:tcPr>
          <w:p w14:paraId="3764CF05">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rPr>
            </w:pPr>
            <w:r>
              <w:rPr>
                <w:rFonts w:hint="eastAsia" w:cs="宋体"/>
                <w:color w:val="000000"/>
                <w:szCs w:val="21"/>
                <w:highlight w:val="none"/>
              </w:rPr>
              <w:t>施工进度管理与控制（</w:t>
            </w:r>
            <w:r>
              <w:rPr>
                <w:rFonts w:hint="eastAsia" w:cs="宋体"/>
                <w:color w:val="000000"/>
                <w:szCs w:val="21"/>
                <w:highlight w:val="none"/>
                <w:lang w:val="en-US" w:eastAsia="zh-CN"/>
              </w:rPr>
              <w:t>5</w:t>
            </w:r>
            <w:r>
              <w:rPr>
                <w:rFonts w:hint="eastAsia" w:cs="宋体"/>
                <w:color w:val="000000"/>
                <w:szCs w:val="21"/>
                <w:highlight w:val="none"/>
              </w:rPr>
              <w:t>分）：</w:t>
            </w:r>
          </w:p>
          <w:p w14:paraId="5F7D2E51">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lang w:val="en-US" w:eastAsia="zh-CN"/>
              </w:rPr>
            </w:pPr>
            <w:r>
              <w:rPr>
                <w:rFonts w:hint="eastAsia" w:cs="宋体"/>
                <w:color w:val="000000"/>
                <w:szCs w:val="21"/>
                <w:highlight w:val="none"/>
                <w:lang w:val="en-US" w:eastAsia="zh-CN"/>
              </w:rPr>
              <w:t>①施工进度计划安排得当、各时间节点明确、项目工期有有效保障的得5分；</w:t>
            </w:r>
          </w:p>
          <w:p w14:paraId="0C30C493">
            <w:pPr>
              <w:pStyle w:val="970"/>
              <w:keepNext w:val="0"/>
              <w:keepLines w:val="0"/>
              <w:suppressLineNumbers w:val="0"/>
              <w:spacing w:before="0" w:beforeAutospacing="0" w:after="0" w:afterAutospacing="0"/>
              <w:ind w:left="0" w:leftChars="0" w:right="0" w:firstLine="0" w:firstLineChars="0"/>
              <w:rPr>
                <w:rFonts w:hint="eastAsia"/>
                <w:lang w:val="en-US"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cs="宋体"/>
                <w:color w:val="000000"/>
                <w:szCs w:val="21"/>
                <w:highlight w:val="none"/>
                <w:lang w:val="en-US" w:eastAsia="zh-CN"/>
              </w:rPr>
              <w:t>施工进度计划安排较为得当、各时间节点及项目工期能有基本保障的得4分</w:t>
            </w:r>
          </w:p>
          <w:p w14:paraId="65AAEC44">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cs="宋体"/>
                <w:color w:val="000000"/>
                <w:szCs w:val="21"/>
                <w:highlight w:val="none"/>
                <w:lang w:val="en-US" w:eastAsia="zh-CN"/>
              </w:rPr>
              <w:t>进度安排尚能满足工期需求、部分时间节点不够明确或存在前松后紧的得3分；</w:t>
            </w:r>
          </w:p>
          <w:p w14:paraId="66614E7A">
            <w:pPr>
              <w:pStyle w:val="970"/>
              <w:keepNext w:val="0"/>
              <w:keepLines w:val="0"/>
              <w:suppressLineNumbers w:val="0"/>
              <w:spacing w:before="0" w:beforeAutospacing="0" w:after="0" w:afterAutospacing="0"/>
              <w:ind w:left="0" w:leftChars="0" w:right="0" w:firstLine="0" w:firstLineChars="0"/>
              <w:rPr>
                <w:rFonts w:hint="eastAsia"/>
                <w:lang w:val="en-US" w:eastAsia="zh-CN"/>
              </w:rPr>
            </w:pPr>
            <w:r>
              <w:rPr>
                <w:rFonts w:hint="eastAsia" w:ascii="宋体" w:hAnsi="宋体" w:eastAsia="宋体" w:cs="宋体"/>
                <w:b w:val="0"/>
                <w:bCs w:val="0"/>
                <w:strike w:val="0"/>
                <w:dstrike w:val="0"/>
                <w:color w:val="auto"/>
                <w:sz w:val="21"/>
                <w:szCs w:val="21"/>
                <w:highlight w:val="none"/>
                <w:lang w:val="en-US" w:eastAsia="zh-CN"/>
              </w:rPr>
              <w:t>④</w:t>
            </w:r>
            <w:r>
              <w:rPr>
                <w:rFonts w:hint="eastAsia" w:cs="宋体"/>
                <w:color w:val="000000"/>
                <w:szCs w:val="21"/>
                <w:highlight w:val="none"/>
                <w:lang w:val="en-US" w:eastAsia="zh-CN"/>
              </w:rPr>
              <w:t>进度安排基本合理、时间节点及工期内容的欠缺的得2分；</w:t>
            </w:r>
          </w:p>
          <w:p w14:paraId="06A044E5">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⑤</w:t>
            </w:r>
            <w:r>
              <w:rPr>
                <w:rFonts w:hint="eastAsia" w:cs="宋体"/>
                <w:color w:val="000000"/>
                <w:szCs w:val="21"/>
                <w:highlight w:val="none"/>
                <w:lang w:val="en-US" w:eastAsia="zh-CN"/>
              </w:rPr>
              <w:t>进度安排存在明显不合理之处、或时间节点混乱、难以保障项目工期的得1分。</w:t>
            </w:r>
          </w:p>
          <w:p w14:paraId="385712FC">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rPr>
            </w:pPr>
            <w:r>
              <w:rPr>
                <w:rFonts w:hint="eastAsia" w:cs="宋体"/>
                <w:color w:val="000000"/>
                <w:szCs w:val="21"/>
                <w:highlight w:val="none"/>
                <w:lang w:val="en-US" w:eastAsia="zh-CN"/>
              </w:rPr>
              <w:t>未提供相关内容不得分。</w:t>
            </w:r>
          </w:p>
        </w:tc>
      </w:tr>
      <w:tr w14:paraId="6C31CA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29402AD8">
            <w:pPr>
              <w:keepNext w:val="0"/>
              <w:keepLines w:val="0"/>
              <w:widowControl/>
              <w:suppressLineNumbers w:val="0"/>
              <w:spacing w:before="0" w:beforeAutospacing="0" w:after="0" w:afterAutospacing="0" w:line="340" w:lineRule="exact"/>
              <w:ind w:left="0" w:right="0"/>
              <w:jc w:val="left"/>
              <w:rPr>
                <w:rFonts w:hint="default"/>
                <w:color w:val="000000"/>
                <w:szCs w:val="21"/>
                <w:highlight w:val="none"/>
              </w:rPr>
            </w:pPr>
          </w:p>
        </w:tc>
        <w:tc>
          <w:tcPr>
            <w:tcW w:w="1215" w:type="dxa"/>
            <w:vMerge w:val="continue"/>
            <w:noWrap w:val="0"/>
            <w:vAlign w:val="center"/>
          </w:tcPr>
          <w:p w14:paraId="553C6E1A">
            <w:pPr>
              <w:keepNext w:val="0"/>
              <w:keepLines w:val="0"/>
              <w:widowControl/>
              <w:suppressLineNumbers w:val="0"/>
              <w:spacing w:before="0" w:beforeAutospacing="0" w:after="0" w:afterAutospacing="0" w:line="340" w:lineRule="exact"/>
              <w:ind w:left="0" w:right="0"/>
              <w:jc w:val="left"/>
              <w:rPr>
                <w:rFonts w:hint="default"/>
                <w:color w:val="000000"/>
                <w:szCs w:val="21"/>
                <w:highlight w:val="none"/>
              </w:rPr>
            </w:pPr>
          </w:p>
        </w:tc>
        <w:tc>
          <w:tcPr>
            <w:tcW w:w="7848" w:type="dxa"/>
            <w:noWrap w:val="0"/>
            <w:vAlign w:val="center"/>
          </w:tcPr>
          <w:p w14:paraId="3540B32D">
            <w:pPr>
              <w:keepNext w:val="0"/>
              <w:keepLines w:val="0"/>
              <w:suppressLineNumbers w:val="0"/>
              <w:tabs>
                <w:tab w:val="left" w:pos="4915"/>
              </w:tabs>
              <w:spacing w:before="0" w:beforeAutospacing="0" w:after="0" w:afterAutospacing="0" w:line="340" w:lineRule="exact"/>
              <w:ind w:left="0" w:right="0"/>
              <w:rPr>
                <w:rFonts w:hint="eastAsia"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安全生产、文明施工措施（5分）：</w:t>
            </w:r>
          </w:p>
          <w:p w14:paraId="2B35E605">
            <w:pPr>
              <w:keepNext w:val="0"/>
              <w:keepLines w:val="0"/>
              <w:suppressLineNumbers w:val="0"/>
              <w:tabs>
                <w:tab w:val="left" w:pos="4915"/>
              </w:tabs>
              <w:spacing w:before="0" w:beforeAutospacing="0" w:after="0" w:afterAutospacing="0" w:line="340" w:lineRule="exact"/>
              <w:ind w:left="0" w:right="0"/>
              <w:rPr>
                <w:rFonts w:hint="eastAsia"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①施工作业防护、噪音、震动、扬尘各项保障措施具体有效、能保证项目顺利实施的得5分；</w:t>
            </w:r>
          </w:p>
          <w:p w14:paraId="37DED035">
            <w:pPr>
              <w:pStyle w:val="970"/>
              <w:keepNext w:val="0"/>
              <w:keepLines w:val="0"/>
              <w:suppressLineNumbers w:val="0"/>
              <w:spacing w:before="0" w:beforeAutospacing="0" w:after="0" w:afterAutospacing="0"/>
              <w:ind w:left="0" w:leftChars="0" w:right="0" w:firstLine="0" w:firstLineChars="0"/>
              <w:rPr>
                <w:rFonts w:hint="eastAsia"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②施工作业防护、噪音、震动、扬尘各项保障措施基本有效，能保证项目顺利实施的得4分</w:t>
            </w:r>
          </w:p>
          <w:p w14:paraId="351D2395">
            <w:pPr>
              <w:keepNext w:val="0"/>
              <w:keepLines w:val="0"/>
              <w:suppressLineNumbers w:val="0"/>
              <w:tabs>
                <w:tab w:val="left" w:pos="4915"/>
              </w:tabs>
              <w:spacing w:before="0" w:beforeAutospacing="0" w:after="0" w:afterAutospacing="0" w:line="340" w:lineRule="exact"/>
              <w:ind w:left="0" w:right="0"/>
              <w:rPr>
                <w:rFonts w:hint="eastAsia"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③施工作业防护、噪音、震动、扬尘保障措施上存在细节部分欠缺，尚不影响履约的得3分；</w:t>
            </w:r>
          </w:p>
          <w:p w14:paraId="6377E18C">
            <w:pPr>
              <w:pStyle w:val="970"/>
              <w:keepNext w:val="0"/>
              <w:keepLines w:val="0"/>
              <w:suppressLineNumbers w:val="0"/>
              <w:spacing w:before="0" w:beforeAutospacing="0" w:after="0" w:afterAutospacing="0"/>
              <w:ind w:left="0" w:leftChars="0" w:right="0" w:firstLine="0" w:firstLineChars="0"/>
              <w:rPr>
                <w:rFonts w:hint="eastAsia"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④施工作业防护、噪音、震动、扬尘保障措施有明显缺漏项，或过于笼统但能保证项目顺利实施的得2分</w:t>
            </w:r>
          </w:p>
          <w:p w14:paraId="333DB2A3">
            <w:pPr>
              <w:keepNext w:val="0"/>
              <w:keepLines w:val="0"/>
              <w:suppressLineNumbers w:val="0"/>
              <w:tabs>
                <w:tab w:val="left" w:pos="4915"/>
              </w:tabs>
              <w:spacing w:before="0" w:beforeAutospacing="0" w:after="0" w:afterAutospacing="0" w:line="340" w:lineRule="exact"/>
              <w:ind w:left="0" w:right="0"/>
              <w:rPr>
                <w:rFonts w:hint="eastAsia"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⑤施工作业防护、噪音、震动、扬尘保障措施措施不完整或缺少有效保障手段，难以保证项目实施的得1分。</w:t>
            </w:r>
          </w:p>
          <w:p w14:paraId="5C0D48CF">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rPr>
            </w:pPr>
            <w:r>
              <w:rPr>
                <w:rFonts w:hint="eastAsia" w:ascii="Times New Roman" w:hAnsi="Times New Roman" w:eastAsia="宋体" w:cs="宋体"/>
                <w:color w:val="000000"/>
                <w:kern w:val="2"/>
                <w:sz w:val="21"/>
                <w:szCs w:val="21"/>
                <w:highlight w:val="none"/>
                <w:lang w:val="en-US" w:eastAsia="zh-CN" w:bidi="ar-SA"/>
              </w:rPr>
              <w:t>未提供相关内容不得分。</w:t>
            </w:r>
          </w:p>
        </w:tc>
      </w:tr>
      <w:tr w14:paraId="221A16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128E7B6A">
            <w:pPr>
              <w:keepNext w:val="0"/>
              <w:keepLines w:val="0"/>
              <w:widowControl/>
              <w:suppressLineNumbers w:val="0"/>
              <w:spacing w:before="0" w:beforeAutospacing="0" w:after="0" w:afterAutospacing="0" w:line="340" w:lineRule="exact"/>
              <w:ind w:left="0" w:right="0"/>
              <w:jc w:val="left"/>
              <w:rPr>
                <w:rFonts w:hint="default"/>
                <w:color w:val="000000"/>
                <w:szCs w:val="21"/>
                <w:highlight w:val="none"/>
              </w:rPr>
            </w:pPr>
          </w:p>
        </w:tc>
        <w:tc>
          <w:tcPr>
            <w:tcW w:w="1215" w:type="dxa"/>
            <w:vMerge w:val="continue"/>
            <w:noWrap w:val="0"/>
            <w:vAlign w:val="center"/>
          </w:tcPr>
          <w:p w14:paraId="3E7712D3">
            <w:pPr>
              <w:keepNext w:val="0"/>
              <w:keepLines w:val="0"/>
              <w:widowControl/>
              <w:suppressLineNumbers w:val="0"/>
              <w:spacing w:before="0" w:beforeAutospacing="0" w:after="0" w:afterAutospacing="0" w:line="340" w:lineRule="exact"/>
              <w:ind w:left="0" w:right="0"/>
              <w:jc w:val="left"/>
              <w:rPr>
                <w:rFonts w:hint="default"/>
                <w:color w:val="000000"/>
                <w:szCs w:val="21"/>
                <w:highlight w:val="none"/>
              </w:rPr>
            </w:pPr>
          </w:p>
        </w:tc>
        <w:tc>
          <w:tcPr>
            <w:tcW w:w="7848" w:type="dxa"/>
            <w:noWrap w:val="0"/>
            <w:vAlign w:val="center"/>
          </w:tcPr>
          <w:p w14:paraId="1354B3BF">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rPr>
            </w:pPr>
            <w:r>
              <w:rPr>
                <w:rFonts w:hint="eastAsia" w:cs="宋体"/>
                <w:color w:val="000000"/>
                <w:szCs w:val="21"/>
                <w:highlight w:val="none"/>
              </w:rPr>
              <w:t>环保管理体系和措施（</w:t>
            </w:r>
            <w:r>
              <w:rPr>
                <w:rFonts w:hint="eastAsia" w:cs="宋体"/>
                <w:color w:val="000000"/>
                <w:szCs w:val="21"/>
                <w:highlight w:val="none"/>
                <w:lang w:val="en-US" w:eastAsia="zh-CN"/>
              </w:rPr>
              <w:t>5</w:t>
            </w:r>
            <w:r>
              <w:rPr>
                <w:rFonts w:hint="eastAsia" w:cs="宋体"/>
                <w:color w:val="000000"/>
                <w:szCs w:val="21"/>
                <w:highlight w:val="none"/>
              </w:rPr>
              <w:t>分）：</w:t>
            </w:r>
          </w:p>
          <w:p w14:paraId="4CB22512">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lang w:eastAsia="zh-CN"/>
              </w:rPr>
            </w:pPr>
            <w:r>
              <w:rPr>
                <w:rFonts w:hint="eastAsia" w:cs="宋体"/>
                <w:color w:val="000000"/>
                <w:szCs w:val="21"/>
                <w:highlight w:val="none"/>
                <w:lang w:val="en-US" w:eastAsia="zh-CN"/>
              </w:rPr>
              <w:t>①环保管理体系健全有效</w:t>
            </w:r>
            <w:r>
              <w:rPr>
                <w:rFonts w:hint="eastAsia" w:cs="宋体"/>
                <w:color w:val="000000"/>
                <w:szCs w:val="21"/>
                <w:highlight w:val="none"/>
              </w:rPr>
              <w:t>、</w:t>
            </w:r>
            <w:r>
              <w:rPr>
                <w:rFonts w:hint="eastAsia" w:cs="宋体"/>
                <w:color w:val="000000"/>
                <w:szCs w:val="21"/>
                <w:highlight w:val="none"/>
                <w:lang w:val="en-US" w:eastAsia="zh-CN"/>
              </w:rPr>
              <w:t>环保</w:t>
            </w:r>
            <w:r>
              <w:rPr>
                <w:rFonts w:hint="eastAsia" w:cs="宋体"/>
                <w:color w:val="000000"/>
                <w:szCs w:val="21"/>
                <w:highlight w:val="none"/>
              </w:rPr>
              <w:t>措施</w:t>
            </w:r>
            <w:r>
              <w:rPr>
                <w:rFonts w:hint="eastAsia" w:cs="宋体"/>
                <w:color w:val="000000"/>
                <w:szCs w:val="21"/>
                <w:highlight w:val="none"/>
                <w:lang w:val="en-US" w:eastAsia="zh-CN"/>
              </w:rPr>
              <w:t>具体细致、能保证项目顺利实施</w:t>
            </w:r>
            <w:r>
              <w:rPr>
                <w:rFonts w:hint="eastAsia" w:cs="宋体"/>
                <w:color w:val="000000"/>
                <w:szCs w:val="21"/>
                <w:highlight w:val="none"/>
              </w:rPr>
              <w:t>的得</w:t>
            </w:r>
            <w:r>
              <w:rPr>
                <w:rFonts w:hint="eastAsia" w:cs="宋体"/>
                <w:color w:val="000000"/>
                <w:szCs w:val="21"/>
                <w:highlight w:val="none"/>
                <w:lang w:val="en-US" w:eastAsia="zh-CN"/>
              </w:rPr>
              <w:t>5</w:t>
            </w:r>
            <w:r>
              <w:rPr>
                <w:rFonts w:hint="eastAsia" w:cs="宋体"/>
                <w:color w:val="000000"/>
                <w:szCs w:val="21"/>
                <w:highlight w:val="none"/>
              </w:rPr>
              <w:t>分</w:t>
            </w:r>
            <w:r>
              <w:rPr>
                <w:rFonts w:hint="eastAsia" w:cs="宋体"/>
                <w:color w:val="000000"/>
                <w:szCs w:val="21"/>
                <w:highlight w:val="none"/>
                <w:lang w:eastAsia="zh-CN"/>
              </w:rPr>
              <w:t>；</w:t>
            </w:r>
          </w:p>
          <w:p w14:paraId="68BD68A4">
            <w:pPr>
              <w:keepNext w:val="0"/>
              <w:keepLines w:val="0"/>
              <w:suppressLineNumbers w:val="0"/>
              <w:tabs>
                <w:tab w:val="left" w:pos="4915"/>
              </w:tabs>
              <w:spacing w:before="0" w:beforeAutospacing="0" w:after="0" w:afterAutospacing="0" w:line="340" w:lineRule="exact"/>
              <w:ind w:left="0" w:right="0"/>
              <w:rPr>
                <w:rFonts w:hint="eastAsia" w:eastAsia="宋体"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cs="宋体"/>
                <w:color w:val="000000"/>
                <w:szCs w:val="21"/>
                <w:highlight w:val="none"/>
              </w:rPr>
              <w:t>环保管理体系和措施</w:t>
            </w:r>
            <w:r>
              <w:rPr>
                <w:rFonts w:hint="eastAsia" w:cs="宋体"/>
                <w:color w:val="000000"/>
                <w:szCs w:val="21"/>
                <w:highlight w:val="none"/>
                <w:lang w:eastAsia="zh-CN"/>
              </w:rPr>
              <w:t>基本有效，</w:t>
            </w:r>
            <w:r>
              <w:rPr>
                <w:rFonts w:hint="eastAsia" w:cs="宋体"/>
                <w:color w:val="000000"/>
                <w:szCs w:val="21"/>
                <w:highlight w:val="none"/>
                <w:lang w:val="en-US" w:eastAsia="zh-CN"/>
              </w:rPr>
              <w:t>能保证项目顺利实施</w:t>
            </w:r>
            <w:r>
              <w:rPr>
                <w:rFonts w:hint="eastAsia" w:cs="宋体"/>
                <w:color w:val="000000"/>
                <w:szCs w:val="21"/>
                <w:highlight w:val="none"/>
              </w:rPr>
              <w:t>的得</w:t>
            </w:r>
            <w:r>
              <w:rPr>
                <w:rFonts w:hint="eastAsia" w:cs="宋体"/>
                <w:color w:val="000000"/>
                <w:szCs w:val="21"/>
                <w:highlight w:val="none"/>
                <w:lang w:val="en-US" w:eastAsia="zh-CN"/>
              </w:rPr>
              <w:t>4</w:t>
            </w:r>
            <w:r>
              <w:rPr>
                <w:rFonts w:hint="eastAsia" w:cs="宋体"/>
                <w:color w:val="000000"/>
                <w:szCs w:val="21"/>
                <w:highlight w:val="none"/>
              </w:rPr>
              <w:t>分</w:t>
            </w:r>
            <w:r>
              <w:rPr>
                <w:rFonts w:hint="eastAsia" w:cs="宋体"/>
                <w:color w:val="000000"/>
                <w:szCs w:val="21"/>
                <w:highlight w:val="none"/>
                <w:lang w:eastAsia="zh-CN"/>
              </w:rPr>
              <w:t>；</w:t>
            </w:r>
          </w:p>
          <w:p w14:paraId="782949A0">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cs="宋体"/>
                <w:color w:val="000000"/>
                <w:szCs w:val="21"/>
                <w:highlight w:val="none"/>
                <w:lang w:val="en-US" w:eastAsia="zh-CN"/>
              </w:rPr>
              <w:t>体系及</w:t>
            </w:r>
            <w:r>
              <w:rPr>
                <w:rFonts w:hint="eastAsia" w:cs="宋体"/>
                <w:color w:val="000000"/>
                <w:szCs w:val="21"/>
                <w:highlight w:val="none"/>
              </w:rPr>
              <w:t>保障措施上有部分欠缺，</w:t>
            </w:r>
            <w:r>
              <w:rPr>
                <w:rFonts w:hint="eastAsia" w:cs="宋体"/>
                <w:color w:val="000000"/>
                <w:szCs w:val="21"/>
                <w:highlight w:val="none"/>
                <w:lang w:val="en-US" w:eastAsia="zh-CN"/>
              </w:rPr>
              <w:t>但尚不影响履约</w:t>
            </w:r>
            <w:r>
              <w:rPr>
                <w:rFonts w:hint="eastAsia" w:cs="宋体"/>
                <w:color w:val="000000"/>
                <w:szCs w:val="21"/>
                <w:highlight w:val="none"/>
              </w:rPr>
              <w:t>的得</w:t>
            </w:r>
            <w:r>
              <w:rPr>
                <w:rFonts w:hint="eastAsia" w:cs="宋体"/>
                <w:color w:val="000000"/>
                <w:szCs w:val="21"/>
                <w:highlight w:val="none"/>
                <w:lang w:val="en-US" w:eastAsia="zh-CN"/>
              </w:rPr>
              <w:t>3</w:t>
            </w:r>
            <w:r>
              <w:rPr>
                <w:rFonts w:hint="eastAsia" w:cs="宋体"/>
                <w:color w:val="000000"/>
                <w:szCs w:val="21"/>
                <w:highlight w:val="none"/>
              </w:rPr>
              <w:t>分</w:t>
            </w:r>
            <w:r>
              <w:rPr>
                <w:rFonts w:hint="eastAsia" w:cs="宋体"/>
                <w:color w:val="000000"/>
                <w:szCs w:val="21"/>
                <w:highlight w:val="none"/>
                <w:lang w:eastAsia="zh-CN"/>
              </w:rPr>
              <w:t>；</w:t>
            </w:r>
          </w:p>
          <w:p w14:paraId="0BCFC5ED">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rPr>
            </w:pPr>
            <w:r>
              <w:rPr>
                <w:rFonts w:hint="eastAsia" w:ascii="宋体" w:hAnsi="宋体" w:eastAsia="宋体" w:cs="宋体"/>
                <w:b w:val="0"/>
                <w:bCs w:val="0"/>
                <w:strike w:val="0"/>
                <w:dstrike w:val="0"/>
                <w:color w:val="auto"/>
                <w:sz w:val="21"/>
                <w:szCs w:val="21"/>
                <w:highlight w:val="none"/>
                <w:lang w:val="en-US" w:eastAsia="zh-CN"/>
              </w:rPr>
              <w:t>④</w:t>
            </w:r>
            <w:r>
              <w:rPr>
                <w:rFonts w:hint="eastAsia" w:cs="宋体"/>
                <w:color w:val="000000"/>
                <w:szCs w:val="21"/>
                <w:highlight w:val="none"/>
                <w:lang w:val="en-US" w:eastAsia="zh-CN"/>
              </w:rPr>
              <w:t>体系及</w:t>
            </w:r>
            <w:r>
              <w:rPr>
                <w:rFonts w:hint="eastAsia" w:cs="宋体"/>
                <w:color w:val="000000"/>
                <w:szCs w:val="21"/>
                <w:highlight w:val="none"/>
              </w:rPr>
              <w:t>措施</w:t>
            </w:r>
            <w:r>
              <w:rPr>
                <w:rFonts w:hint="eastAsia" w:cs="宋体"/>
                <w:color w:val="000000"/>
                <w:szCs w:val="21"/>
                <w:highlight w:val="none"/>
                <w:lang w:val="en-US" w:eastAsia="zh-CN"/>
              </w:rPr>
              <w:t>有明显缺漏项</w:t>
            </w:r>
            <w:r>
              <w:rPr>
                <w:rFonts w:hint="eastAsia" w:cs="宋体"/>
                <w:color w:val="000000"/>
                <w:szCs w:val="21"/>
                <w:highlight w:val="none"/>
              </w:rPr>
              <w:t>，</w:t>
            </w:r>
            <w:r>
              <w:rPr>
                <w:rFonts w:hint="eastAsia" w:cs="宋体"/>
                <w:color w:val="000000"/>
                <w:szCs w:val="21"/>
                <w:highlight w:val="none"/>
                <w:lang w:val="en-US" w:eastAsia="zh-CN"/>
              </w:rPr>
              <w:t>或过于笼统</w:t>
            </w:r>
            <w:r>
              <w:rPr>
                <w:rFonts w:hint="eastAsia" w:cs="宋体"/>
                <w:color w:val="000000"/>
                <w:szCs w:val="21"/>
                <w:highlight w:val="none"/>
                <w:lang w:eastAsia="zh-CN"/>
              </w:rPr>
              <w:t>但能</w:t>
            </w:r>
            <w:r>
              <w:rPr>
                <w:rFonts w:hint="eastAsia" w:cs="宋体"/>
                <w:color w:val="000000"/>
                <w:szCs w:val="21"/>
                <w:highlight w:val="none"/>
              </w:rPr>
              <w:t>保证项目</w:t>
            </w:r>
            <w:r>
              <w:rPr>
                <w:rFonts w:hint="eastAsia" w:cs="宋体"/>
                <w:color w:val="000000"/>
                <w:szCs w:val="21"/>
                <w:highlight w:val="none"/>
                <w:lang w:val="en-US" w:eastAsia="zh-CN"/>
              </w:rPr>
              <w:t>顺利实施</w:t>
            </w:r>
            <w:r>
              <w:rPr>
                <w:rFonts w:hint="eastAsia" w:cs="宋体"/>
                <w:color w:val="000000"/>
                <w:szCs w:val="21"/>
                <w:highlight w:val="none"/>
              </w:rPr>
              <w:t>的得</w:t>
            </w:r>
            <w:r>
              <w:rPr>
                <w:rFonts w:hint="eastAsia" w:cs="宋体"/>
                <w:color w:val="000000"/>
                <w:szCs w:val="21"/>
                <w:highlight w:val="none"/>
                <w:lang w:val="en-US" w:eastAsia="zh-CN"/>
              </w:rPr>
              <w:t>2</w:t>
            </w:r>
            <w:r>
              <w:rPr>
                <w:rFonts w:hint="eastAsia" w:cs="宋体"/>
                <w:color w:val="000000"/>
                <w:szCs w:val="21"/>
                <w:highlight w:val="none"/>
              </w:rPr>
              <w:t>分。</w:t>
            </w:r>
          </w:p>
          <w:p w14:paraId="7F731E99">
            <w:pPr>
              <w:pStyle w:val="970"/>
              <w:keepNext w:val="0"/>
              <w:keepLines w:val="0"/>
              <w:suppressLineNumbers w:val="0"/>
              <w:spacing w:before="0" w:beforeAutospacing="0" w:after="0" w:afterAutospacing="0"/>
              <w:ind w:left="0" w:leftChars="0" w:right="0" w:firstLine="0" w:firstLineChars="0"/>
              <w:rPr>
                <w:rFonts w:hint="eastAsia"/>
              </w:rPr>
            </w:pPr>
            <w:r>
              <w:rPr>
                <w:rFonts w:hint="eastAsia" w:ascii="宋体" w:hAnsi="宋体" w:eastAsia="宋体" w:cs="宋体"/>
                <w:strike w:val="0"/>
                <w:dstrike w:val="0"/>
                <w:color w:val="auto"/>
                <w:sz w:val="21"/>
                <w:szCs w:val="21"/>
                <w:highlight w:val="none"/>
                <w:lang w:val="en-US" w:eastAsia="zh-CN"/>
              </w:rPr>
              <w:t>⑤</w:t>
            </w:r>
            <w:r>
              <w:rPr>
                <w:rFonts w:hint="eastAsia" w:cs="宋体"/>
                <w:color w:val="000000"/>
                <w:szCs w:val="21"/>
                <w:highlight w:val="none"/>
              </w:rPr>
              <w:t>环保管理体系和措施</w:t>
            </w:r>
            <w:r>
              <w:rPr>
                <w:rFonts w:hint="eastAsia" w:ascii="宋体" w:hAnsi="宋体" w:eastAsia="宋体" w:cs="宋体"/>
                <w:strike w:val="0"/>
                <w:dstrike w:val="0"/>
                <w:color w:val="auto"/>
                <w:sz w:val="21"/>
                <w:szCs w:val="21"/>
                <w:highlight w:val="none"/>
                <w:lang w:val="en-US" w:eastAsia="zh-CN"/>
              </w:rPr>
              <w:t>存在一定偏差</w:t>
            </w:r>
            <w:r>
              <w:rPr>
                <w:rFonts w:hint="eastAsia" w:ascii="宋体" w:hAnsi="宋体" w:cs="宋体"/>
                <w:strike w:val="0"/>
                <w:dstrike w:val="0"/>
                <w:color w:val="auto"/>
                <w:sz w:val="21"/>
                <w:szCs w:val="21"/>
                <w:highlight w:val="none"/>
                <w:lang w:val="en-US" w:eastAsia="zh-CN"/>
              </w:rPr>
              <w:t>，</w:t>
            </w:r>
            <w:r>
              <w:rPr>
                <w:rFonts w:hint="eastAsia" w:cs="宋体"/>
                <w:color w:val="000000"/>
                <w:szCs w:val="21"/>
                <w:highlight w:val="none"/>
                <w:lang w:val="en-US" w:eastAsia="zh-CN"/>
              </w:rPr>
              <w:t>难以</w:t>
            </w:r>
            <w:r>
              <w:rPr>
                <w:rFonts w:hint="eastAsia" w:cs="宋体"/>
                <w:color w:val="000000"/>
                <w:szCs w:val="21"/>
                <w:highlight w:val="none"/>
              </w:rPr>
              <w:t>保证项目</w:t>
            </w:r>
            <w:r>
              <w:rPr>
                <w:rFonts w:hint="eastAsia" w:cs="宋体"/>
                <w:color w:val="000000"/>
                <w:szCs w:val="21"/>
                <w:highlight w:val="none"/>
                <w:lang w:val="en-US" w:eastAsia="zh-CN"/>
              </w:rPr>
              <w:t>顺利实施</w:t>
            </w:r>
            <w:r>
              <w:rPr>
                <w:rFonts w:hint="eastAsia" w:ascii="宋体" w:hAnsi="宋体" w:eastAsia="宋体" w:cs="宋体"/>
                <w:strike w:val="0"/>
                <w:dstrike w:val="0"/>
                <w:color w:val="auto"/>
                <w:sz w:val="21"/>
                <w:szCs w:val="21"/>
                <w:highlight w:val="none"/>
                <w:lang w:val="en-US" w:eastAsia="zh-CN"/>
              </w:rPr>
              <w:t>的得1分；</w:t>
            </w:r>
          </w:p>
          <w:p w14:paraId="692EA8C2">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rPr>
            </w:pPr>
            <w:r>
              <w:rPr>
                <w:rFonts w:hint="eastAsia" w:cs="宋体"/>
                <w:color w:val="000000"/>
                <w:szCs w:val="21"/>
                <w:highlight w:val="none"/>
                <w:lang w:val="en-US" w:eastAsia="zh-CN"/>
              </w:rPr>
              <w:t>未提供相关内容不得分。</w:t>
            </w:r>
          </w:p>
        </w:tc>
      </w:tr>
      <w:tr w14:paraId="61DB39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32EA3A4A">
            <w:pPr>
              <w:keepNext w:val="0"/>
              <w:keepLines w:val="0"/>
              <w:widowControl/>
              <w:suppressLineNumbers w:val="0"/>
              <w:spacing w:before="0" w:beforeAutospacing="0" w:after="0" w:afterAutospacing="0" w:line="340" w:lineRule="exact"/>
              <w:ind w:left="0" w:right="0"/>
              <w:jc w:val="left"/>
              <w:rPr>
                <w:rFonts w:hint="default"/>
                <w:color w:val="000000"/>
                <w:szCs w:val="21"/>
                <w:highlight w:val="none"/>
              </w:rPr>
            </w:pPr>
          </w:p>
        </w:tc>
        <w:tc>
          <w:tcPr>
            <w:tcW w:w="1215" w:type="dxa"/>
            <w:vMerge w:val="continue"/>
            <w:noWrap w:val="0"/>
            <w:vAlign w:val="center"/>
          </w:tcPr>
          <w:p w14:paraId="32015F1C">
            <w:pPr>
              <w:keepNext w:val="0"/>
              <w:keepLines w:val="0"/>
              <w:widowControl/>
              <w:suppressLineNumbers w:val="0"/>
              <w:spacing w:before="0" w:beforeAutospacing="0" w:after="0" w:afterAutospacing="0" w:line="340" w:lineRule="exact"/>
              <w:ind w:left="0" w:right="0"/>
              <w:jc w:val="left"/>
              <w:rPr>
                <w:rFonts w:hint="default"/>
                <w:color w:val="000000"/>
                <w:szCs w:val="21"/>
                <w:highlight w:val="none"/>
              </w:rPr>
            </w:pPr>
          </w:p>
        </w:tc>
        <w:tc>
          <w:tcPr>
            <w:tcW w:w="7848" w:type="dxa"/>
            <w:noWrap w:val="0"/>
            <w:vAlign w:val="center"/>
          </w:tcPr>
          <w:p w14:paraId="4DF56E04">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rPr>
            </w:pPr>
            <w:r>
              <w:rPr>
                <w:rFonts w:hint="eastAsia" w:cs="宋体"/>
                <w:color w:val="000000"/>
                <w:szCs w:val="21"/>
                <w:highlight w:val="none"/>
              </w:rPr>
              <w:t>施工机械设备的选用和布置（</w:t>
            </w:r>
            <w:r>
              <w:rPr>
                <w:rFonts w:hint="eastAsia" w:cs="宋体"/>
                <w:color w:val="000000"/>
                <w:szCs w:val="21"/>
                <w:highlight w:val="none"/>
                <w:lang w:val="en-US" w:eastAsia="zh-CN"/>
              </w:rPr>
              <w:t>5</w:t>
            </w:r>
            <w:r>
              <w:rPr>
                <w:rFonts w:hint="eastAsia" w:cs="宋体"/>
                <w:color w:val="000000"/>
                <w:szCs w:val="21"/>
                <w:highlight w:val="none"/>
              </w:rPr>
              <w:t>分）：</w:t>
            </w:r>
          </w:p>
          <w:p w14:paraId="4D5C1FB3">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lang w:eastAsia="zh-CN"/>
              </w:rPr>
            </w:pPr>
            <w:r>
              <w:rPr>
                <w:rFonts w:hint="eastAsia" w:cs="宋体"/>
                <w:color w:val="000000"/>
                <w:szCs w:val="21"/>
                <w:highlight w:val="none"/>
                <w:lang w:val="en-US" w:eastAsia="zh-CN"/>
              </w:rPr>
              <w:t>①</w:t>
            </w:r>
            <w:r>
              <w:rPr>
                <w:rFonts w:hint="eastAsia" w:cs="宋体"/>
                <w:color w:val="000000"/>
                <w:szCs w:val="21"/>
                <w:highlight w:val="none"/>
              </w:rPr>
              <w:t>施工机械设备</w:t>
            </w:r>
            <w:r>
              <w:rPr>
                <w:rFonts w:hint="eastAsia" w:cs="宋体"/>
                <w:color w:val="000000"/>
                <w:szCs w:val="21"/>
                <w:highlight w:val="none"/>
                <w:lang w:val="en-US" w:eastAsia="zh-CN"/>
              </w:rPr>
              <w:t>种类齐全、规格型号较新、能保证项目顺利实施</w:t>
            </w:r>
            <w:r>
              <w:rPr>
                <w:rFonts w:hint="eastAsia" w:cs="宋体"/>
                <w:color w:val="000000"/>
                <w:szCs w:val="21"/>
                <w:highlight w:val="none"/>
              </w:rPr>
              <w:t>的得</w:t>
            </w:r>
            <w:r>
              <w:rPr>
                <w:rFonts w:hint="eastAsia" w:cs="宋体"/>
                <w:color w:val="000000"/>
                <w:szCs w:val="21"/>
                <w:highlight w:val="none"/>
                <w:lang w:val="en-US" w:eastAsia="zh-CN"/>
              </w:rPr>
              <w:t>5</w:t>
            </w:r>
            <w:r>
              <w:rPr>
                <w:rFonts w:hint="eastAsia" w:cs="宋体"/>
                <w:color w:val="000000"/>
                <w:szCs w:val="21"/>
                <w:highlight w:val="none"/>
              </w:rPr>
              <w:t>分</w:t>
            </w:r>
            <w:r>
              <w:rPr>
                <w:rFonts w:hint="eastAsia" w:cs="宋体"/>
                <w:color w:val="000000"/>
                <w:szCs w:val="21"/>
                <w:highlight w:val="none"/>
                <w:lang w:eastAsia="zh-CN"/>
              </w:rPr>
              <w:t>；</w:t>
            </w:r>
          </w:p>
          <w:p w14:paraId="1CAD5D98">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cs="宋体"/>
                <w:color w:val="000000"/>
                <w:szCs w:val="21"/>
                <w:highlight w:val="none"/>
              </w:rPr>
              <w:t>施工机械设备</w:t>
            </w:r>
            <w:r>
              <w:rPr>
                <w:rFonts w:hint="eastAsia" w:cs="宋体"/>
                <w:color w:val="000000"/>
                <w:szCs w:val="21"/>
                <w:highlight w:val="none"/>
                <w:lang w:val="en-US" w:eastAsia="zh-CN"/>
              </w:rPr>
              <w:t>种类齐全、但部分非主体设备略为陈旧</w:t>
            </w:r>
            <w:r>
              <w:rPr>
                <w:rFonts w:hint="eastAsia" w:cs="宋体"/>
                <w:color w:val="000000"/>
                <w:szCs w:val="21"/>
                <w:highlight w:val="none"/>
              </w:rPr>
              <w:t>的得</w:t>
            </w:r>
            <w:r>
              <w:rPr>
                <w:rFonts w:hint="eastAsia" w:cs="宋体"/>
                <w:color w:val="000000"/>
                <w:szCs w:val="21"/>
                <w:highlight w:val="none"/>
                <w:lang w:val="en-US" w:eastAsia="zh-CN"/>
              </w:rPr>
              <w:t>4</w:t>
            </w:r>
            <w:r>
              <w:rPr>
                <w:rFonts w:hint="eastAsia" w:cs="宋体"/>
                <w:color w:val="000000"/>
                <w:szCs w:val="21"/>
                <w:highlight w:val="none"/>
              </w:rPr>
              <w:t>分</w:t>
            </w:r>
            <w:r>
              <w:rPr>
                <w:rFonts w:hint="eastAsia" w:cs="宋体"/>
                <w:color w:val="000000"/>
                <w:szCs w:val="21"/>
                <w:highlight w:val="none"/>
                <w:lang w:eastAsia="zh-CN"/>
              </w:rPr>
              <w:t>；</w:t>
            </w:r>
          </w:p>
          <w:p w14:paraId="7F7BEAEE">
            <w:pPr>
              <w:pStyle w:val="970"/>
              <w:keepNext w:val="0"/>
              <w:keepLines w:val="0"/>
              <w:suppressLineNumbers w:val="0"/>
              <w:spacing w:before="0" w:beforeAutospacing="0" w:after="0" w:afterAutospacing="0"/>
              <w:ind w:left="0" w:leftChars="0" w:right="0" w:firstLine="0" w:firstLineChars="0"/>
              <w:rPr>
                <w:rFonts w:hint="eastAsia"/>
                <w:lang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cs="宋体"/>
                <w:color w:val="000000"/>
                <w:szCs w:val="21"/>
                <w:highlight w:val="none"/>
              </w:rPr>
              <w:t>施工机械设备</w:t>
            </w:r>
            <w:r>
              <w:rPr>
                <w:rFonts w:hint="eastAsia" w:cs="宋体"/>
                <w:color w:val="000000"/>
                <w:szCs w:val="21"/>
                <w:highlight w:val="none"/>
                <w:lang w:val="en-US" w:eastAsia="zh-CN"/>
              </w:rPr>
              <w:t>种类较齐全、设备略为陈旧，但能保证项目顺利实施</w:t>
            </w:r>
            <w:r>
              <w:rPr>
                <w:rFonts w:hint="eastAsia" w:cs="宋体"/>
                <w:color w:val="000000"/>
                <w:szCs w:val="21"/>
                <w:highlight w:val="none"/>
              </w:rPr>
              <w:t>的得</w:t>
            </w:r>
            <w:r>
              <w:rPr>
                <w:rFonts w:hint="eastAsia" w:cs="宋体"/>
                <w:color w:val="000000"/>
                <w:szCs w:val="21"/>
                <w:highlight w:val="none"/>
                <w:lang w:val="en-US" w:eastAsia="zh-CN"/>
              </w:rPr>
              <w:t>3</w:t>
            </w:r>
            <w:r>
              <w:rPr>
                <w:rFonts w:hint="eastAsia" w:cs="宋体"/>
                <w:color w:val="000000"/>
                <w:szCs w:val="21"/>
                <w:highlight w:val="none"/>
              </w:rPr>
              <w:t>分</w:t>
            </w:r>
          </w:p>
          <w:p w14:paraId="1BA9753F">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rPr>
            </w:pPr>
            <w:r>
              <w:rPr>
                <w:rFonts w:hint="eastAsia" w:ascii="宋体" w:hAnsi="宋体" w:eastAsia="宋体" w:cs="宋体"/>
                <w:b w:val="0"/>
                <w:bCs w:val="0"/>
                <w:strike w:val="0"/>
                <w:dstrike w:val="0"/>
                <w:color w:val="auto"/>
                <w:sz w:val="21"/>
                <w:szCs w:val="21"/>
                <w:highlight w:val="none"/>
                <w:lang w:val="en-US" w:eastAsia="zh-CN"/>
              </w:rPr>
              <w:t>④</w:t>
            </w:r>
            <w:r>
              <w:rPr>
                <w:rFonts w:hint="eastAsia" w:cs="宋体"/>
                <w:color w:val="000000"/>
                <w:szCs w:val="21"/>
                <w:highlight w:val="none"/>
              </w:rPr>
              <w:t>施工机械设备</w:t>
            </w:r>
            <w:r>
              <w:rPr>
                <w:rFonts w:hint="eastAsia" w:cs="宋体"/>
                <w:color w:val="000000"/>
                <w:szCs w:val="21"/>
                <w:highlight w:val="none"/>
                <w:lang w:val="en-US" w:eastAsia="zh-CN"/>
              </w:rPr>
              <w:t>不全，但能保证项目顺利实施</w:t>
            </w:r>
            <w:r>
              <w:rPr>
                <w:rFonts w:hint="eastAsia" w:cs="宋体"/>
                <w:color w:val="000000"/>
                <w:szCs w:val="21"/>
                <w:highlight w:val="none"/>
              </w:rPr>
              <w:t>的的得</w:t>
            </w:r>
            <w:r>
              <w:rPr>
                <w:rFonts w:hint="eastAsia" w:cs="宋体"/>
                <w:color w:val="000000"/>
                <w:szCs w:val="21"/>
                <w:highlight w:val="none"/>
                <w:lang w:val="en-US" w:eastAsia="zh-CN"/>
              </w:rPr>
              <w:t>2</w:t>
            </w:r>
            <w:r>
              <w:rPr>
                <w:rFonts w:hint="eastAsia" w:cs="宋体"/>
                <w:color w:val="000000"/>
                <w:szCs w:val="21"/>
                <w:highlight w:val="none"/>
              </w:rPr>
              <w:t>分</w:t>
            </w:r>
          </w:p>
          <w:p w14:paraId="2B97FCB7">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rPr>
            </w:pPr>
            <w:r>
              <w:rPr>
                <w:rFonts w:hint="eastAsia" w:ascii="宋体" w:hAnsi="宋体" w:eastAsia="宋体" w:cs="宋体"/>
                <w:strike w:val="0"/>
                <w:dstrike w:val="0"/>
                <w:color w:val="auto"/>
                <w:sz w:val="21"/>
                <w:szCs w:val="21"/>
                <w:highlight w:val="none"/>
                <w:lang w:val="en-US" w:eastAsia="zh-CN"/>
              </w:rPr>
              <w:t>⑤</w:t>
            </w:r>
            <w:r>
              <w:rPr>
                <w:rFonts w:hint="eastAsia" w:cs="宋体"/>
                <w:color w:val="000000"/>
                <w:szCs w:val="21"/>
                <w:highlight w:val="none"/>
              </w:rPr>
              <w:t>施工机械设备</w:t>
            </w:r>
            <w:r>
              <w:rPr>
                <w:rFonts w:hint="eastAsia" w:cs="宋体"/>
                <w:color w:val="000000"/>
                <w:szCs w:val="21"/>
                <w:highlight w:val="none"/>
                <w:lang w:val="en-US" w:eastAsia="zh-CN"/>
              </w:rPr>
              <w:t>不全、或陈旧落后难以保证项目顺利实施</w:t>
            </w:r>
            <w:r>
              <w:rPr>
                <w:rFonts w:hint="eastAsia" w:cs="宋体"/>
                <w:color w:val="000000"/>
                <w:szCs w:val="21"/>
                <w:highlight w:val="none"/>
              </w:rPr>
              <w:t>的得</w:t>
            </w:r>
            <w:r>
              <w:rPr>
                <w:rFonts w:hint="eastAsia" w:cs="宋体"/>
                <w:color w:val="000000"/>
                <w:szCs w:val="21"/>
                <w:highlight w:val="none"/>
                <w:lang w:val="en-US" w:eastAsia="zh-CN"/>
              </w:rPr>
              <w:t>1</w:t>
            </w:r>
            <w:r>
              <w:rPr>
                <w:rFonts w:hint="eastAsia" w:cs="宋体"/>
                <w:color w:val="000000"/>
                <w:szCs w:val="21"/>
                <w:highlight w:val="none"/>
              </w:rPr>
              <w:t>分。</w:t>
            </w:r>
          </w:p>
          <w:p w14:paraId="0A0BF21F">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rPr>
            </w:pPr>
            <w:r>
              <w:rPr>
                <w:rFonts w:hint="eastAsia" w:cs="宋体"/>
                <w:color w:val="000000"/>
                <w:szCs w:val="21"/>
                <w:highlight w:val="none"/>
              </w:rPr>
              <w:t>提供施工机械设备清单。</w:t>
            </w:r>
            <w:r>
              <w:rPr>
                <w:rFonts w:hint="eastAsia" w:cs="宋体"/>
                <w:color w:val="000000"/>
                <w:szCs w:val="21"/>
                <w:highlight w:val="none"/>
                <w:lang w:val="en-US" w:eastAsia="zh-CN"/>
              </w:rPr>
              <w:t>未提供清单的不得分。</w:t>
            </w:r>
          </w:p>
        </w:tc>
      </w:tr>
      <w:tr w14:paraId="54287A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748" w:type="dxa"/>
            <w:vMerge w:val="continue"/>
            <w:noWrap w:val="0"/>
            <w:vAlign w:val="center"/>
          </w:tcPr>
          <w:p w14:paraId="5285A548">
            <w:pPr>
              <w:keepNext w:val="0"/>
              <w:keepLines w:val="0"/>
              <w:widowControl/>
              <w:suppressLineNumbers w:val="0"/>
              <w:spacing w:before="0" w:beforeAutospacing="0" w:after="0" w:afterAutospacing="0" w:line="340" w:lineRule="exact"/>
              <w:ind w:left="0" w:right="0"/>
              <w:jc w:val="left"/>
              <w:rPr>
                <w:rFonts w:hint="default"/>
                <w:color w:val="000000"/>
                <w:szCs w:val="21"/>
                <w:highlight w:val="none"/>
              </w:rPr>
            </w:pPr>
          </w:p>
        </w:tc>
        <w:tc>
          <w:tcPr>
            <w:tcW w:w="1215" w:type="dxa"/>
            <w:noWrap w:val="0"/>
            <w:vAlign w:val="center"/>
          </w:tcPr>
          <w:p w14:paraId="0F9A47B2">
            <w:pPr>
              <w:keepNext w:val="0"/>
              <w:keepLines w:val="0"/>
              <w:suppressLineNumbers w:val="0"/>
              <w:spacing w:before="0" w:beforeAutospacing="0" w:after="0" w:afterAutospacing="0" w:line="340" w:lineRule="exact"/>
              <w:ind w:left="0" w:right="0"/>
              <w:jc w:val="center"/>
              <w:rPr>
                <w:rFonts w:hint="eastAsia"/>
                <w:color w:val="000000"/>
                <w:szCs w:val="21"/>
                <w:highlight w:val="none"/>
              </w:rPr>
            </w:pPr>
            <w:r>
              <w:rPr>
                <w:rFonts w:hint="eastAsia"/>
                <w:color w:val="000000"/>
                <w:szCs w:val="21"/>
                <w:highlight w:val="none"/>
              </w:rPr>
              <w:t>项目团队（</w:t>
            </w:r>
            <w:r>
              <w:rPr>
                <w:rFonts w:hint="eastAsia"/>
                <w:color w:val="000000"/>
                <w:szCs w:val="21"/>
                <w:highlight w:val="none"/>
                <w:lang w:val="en-US" w:eastAsia="zh-CN"/>
              </w:rPr>
              <w:t>4</w:t>
            </w:r>
            <w:r>
              <w:rPr>
                <w:rFonts w:hint="eastAsia"/>
                <w:color w:val="000000"/>
                <w:szCs w:val="21"/>
                <w:highlight w:val="none"/>
              </w:rPr>
              <w:t>分）</w:t>
            </w:r>
          </w:p>
        </w:tc>
        <w:tc>
          <w:tcPr>
            <w:tcW w:w="7848" w:type="dxa"/>
            <w:noWrap w:val="0"/>
            <w:vAlign w:val="center"/>
          </w:tcPr>
          <w:p w14:paraId="4D84F4D0">
            <w:pPr>
              <w:keepNext w:val="0"/>
              <w:keepLines w:val="0"/>
              <w:suppressLineNumbers w:val="0"/>
              <w:tabs>
                <w:tab w:val="left" w:pos="4915"/>
              </w:tabs>
              <w:spacing w:before="0" w:beforeAutospacing="0" w:after="0" w:afterAutospacing="0" w:line="340" w:lineRule="exact"/>
              <w:ind w:left="0" w:right="0"/>
              <w:rPr>
                <w:rFonts w:hint="default" w:eastAsia="宋体" w:cs="宋体"/>
                <w:color w:val="000000"/>
                <w:szCs w:val="21"/>
                <w:highlight w:val="none"/>
                <w:lang w:val="en-US" w:eastAsia="zh-CN"/>
              </w:rPr>
            </w:pPr>
            <w:r>
              <w:rPr>
                <w:rFonts w:hint="eastAsia" w:cs="宋体"/>
                <w:color w:val="000000"/>
                <w:szCs w:val="21"/>
                <w:highlight w:val="none"/>
              </w:rPr>
              <w:t>其他施工人员配备</w:t>
            </w:r>
            <w:r>
              <w:rPr>
                <w:rFonts w:hint="eastAsia" w:cs="宋体"/>
                <w:color w:val="000000"/>
                <w:szCs w:val="21"/>
                <w:highlight w:val="none"/>
                <w:lang w:val="en-US" w:eastAsia="zh-CN"/>
              </w:rPr>
              <w:t>情况</w:t>
            </w:r>
            <w:r>
              <w:rPr>
                <w:rFonts w:hint="eastAsia" w:cs="宋体"/>
                <w:color w:val="000000"/>
                <w:szCs w:val="21"/>
                <w:highlight w:val="none"/>
              </w:rPr>
              <w:t>：</w:t>
            </w:r>
            <w:r>
              <w:rPr>
                <w:rFonts w:hint="eastAsia" w:cs="宋体"/>
                <w:color w:val="000000"/>
                <w:szCs w:val="21"/>
                <w:highlight w:val="none"/>
                <w:lang w:eastAsia="zh-CN"/>
              </w:rPr>
              <w:t>（</w:t>
            </w:r>
            <w:r>
              <w:rPr>
                <w:rFonts w:hint="eastAsia" w:cs="宋体"/>
                <w:color w:val="000000"/>
                <w:szCs w:val="21"/>
                <w:highlight w:val="none"/>
                <w:lang w:val="en-US" w:eastAsia="zh-CN"/>
              </w:rPr>
              <w:t>4</w:t>
            </w:r>
            <w:r>
              <w:rPr>
                <w:rFonts w:hint="eastAsia" w:cs="宋体"/>
                <w:color w:val="000000"/>
                <w:szCs w:val="21"/>
                <w:highlight w:val="none"/>
                <w:lang w:eastAsia="zh-CN"/>
              </w:rPr>
              <w:t>）</w:t>
            </w:r>
          </w:p>
          <w:p w14:paraId="3AE9F9CD">
            <w:pPr>
              <w:keepNext w:val="0"/>
              <w:keepLines w:val="0"/>
              <w:suppressLineNumbers w:val="0"/>
              <w:tabs>
                <w:tab w:val="left" w:pos="4915"/>
              </w:tabs>
              <w:spacing w:before="0" w:beforeAutospacing="0" w:after="0" w:afterAutospacing="0" w:line="340" w:lineRule="exact"/>
              <w:ind w:left="0" w:right="0"/>
              <w:rPr>
                <w:rFonts w:hint="eastAsia" w:ascii="宋体" w:hAnsi="宋体" w:eastAsia="宋体" w:cs="Arial"/>
                <w:b w:val="0"/>
                <w:bCs/>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lang w:eastAsia="zh-CN"/>
              </w:rPr>
              <w:t>技术负责人</w:t>
            </w:r>
            <w:r>
              <w:rPr>
                <w:rFonts w:hint="eastAsia" w:ascii="宋体" w:hAnsi="宋体" w:eastAsia="宋体"/>
                <w:b w:val="0"/>
                <w:bCs/>
                <w:i w:val="0"/>
                <w:iCs w:val="0"/>
                <w:color w:val="auto"/>
                <w:kern w:val="58"/>
                <w:sz w:val="21"/>
                <w:szCs w:val="21"/>
                <w:highlight w:val="none"/>
                <w:u w:val="none"/>
                <w:lang w:val="en-US" w:eastAsia="zh-CN"/>
              </w:rPr>
              <w:t>具</w:t>
            </w:r>
            <w:r>
              <w:rPr>
                <w:rFonts w:hint="eastAsia" w:ascii="宋体" w:hAnsi="宋体" w:eastAsia="宋体" w:cs="宋体"/>
                <w:i w:val="0"/>
                <w:iCs w:val="0"/>
                <w:color w:val="auto"/>
                <w:sz w:val="21"/>
                <w:szCs w:val="21"/>
                <w:highlight w:val="none"/>
                <w:lang w:val="en-US" w:eastAsia="zh-CN"/>
              </w:rPr>
              <w:t>有建筑工程专业</w:t>
            </w:r>
            <w:r>
              <w:rPr>
                <w:rFonts w:hint="eastAsia" w:ascii="宋体" w:hAnsi="宋体" w:eastAsia="宋体" w:cs="宋体"/>
                <w:i w:val="0"/>
                <w:iCs w:val="0"/>
                <w:color w:val="auto"/>
                <w:sz w:val="21"/>
                <w:szCs w:val="21"/>
                <w:highlight w:val="none"/>
                <w:lang w:eastAsia="zh-CN"/>
              </w:rPr>
              <w:t>工程</w:t>
            </w:r>
            <w:r>
              <w:rPr>
                <w:rFonts w:hint="eastAsia" w:ascii="宋体" w:hAnsi="宋体" w:eastAsia="宋体" w:cs="Arial"/>
                <w:b w:val="0"/>
                <w:bCs/>
                <w:i w:val="0"/>
                <w:iCs w:val="0"/>
                <w:color w:val="auto"/>
                <w:sz w:val="21"/>
                <w:szCs w:val="21"/>
                <w:highlight w:val="none"/>
                <w:u w:val="none"/>
              </w:rPr>
              <w:t>师及以上职称</w:t>
            </w:r>
            <w:r>
              <w:rPr>
                <w:rFonts w:hint="eastAsia" w:ascii="宋体" w:hAnsi="宋体" w:eastAsia="宋体" w:cs="Arial"/>
                <w:b w:val="0"/>
                <w:bCs/>
                <w:i w:val="0"/>
                <w:iCs w:val="0"/>
                <w:color w:val="auto"/>
                <w:sz w:val="21"/>
                <w:szCs w:val="21"/>
                <w:highlight w:val="none"/>
                <w:u w:val="none"/>
                <w:lang w:eastAsia="zh-CN"/>
              </w:rPr>
              <w:t>得</w:t>
            </w:r>
            <w:r>
              <w:rPr>
                <w:rFonts w:hint="eastAsia" w:ascii="宋体" w:hAnsi="宋体" w:eastAsia="宋体" w:cs="Arial"/>
                <w:b w:val="0"/>
                <w:bCs/>
                <w:i w:val="0"/>
                <w:iCs w:val="0"/>
                <w:color w:val="auto"/>
                <w:sz w:val="21"/>
                <w:szCs w:val="21"/>
                <w:highlight w:val="none"/>
                <w:u w:val="none"/>
                <w:lang w:val="en-US" w:eastAsia="zh-CN"/>
              </w:rPr>
              <w:t>1分；</w:t>
            </w:r>
          </w:p>
          <w:p w14:paraId="643FD636">
            <w:pPr>
              <w:keepNext w:val="0"/>
              <w:keepLines w:val="0"/>
              <w:suppressLineNumbers w:val="0"/>
              <w:tabs>
                <w:tab w:val="left" w:pos="4915"/>
              </w:tabs>
              <w:spacing w:before="0" w:beforeAutospacing="0" w:after="0" w:afterAutospacing="0" w:line="340" w:lineRule="exact"/>
              <w:ind w:left="0" w:right="0"/>
              <w:rPr>
                <w:rFonts w:hint="eastAsia" w:ascii="宋体" w:hAnsi="宋体" w:eastAsia="宋体" w:cs="Arial"/>
                <w:i w:val="0"/>
                <w:iCs w:val="0"/>
                <w:color w:val="auto"/>
                <w:sz w:val="21"/>
                <w:szCs w:val="21"/>
                <w:highlight w:val="none"/>
                <w:u w:val="none"/>
                <w:lang w:eastAsia="zh-CN"/>
              </w:rPr>
            </w:pPr>
            <w:r>
              <w:rPr>
                <w:rFonts w:hint="eastAsia" w:ascii="宋体" w:hAnsi="宋体" w:cs="宋体"/>
                <w:i w:val="0"/>
                <w:iCs w:val="0"/>
                <w:color w:val="auto"/>
                <w:kern w:val="2"/>
                <w:sz w:val="21"/>
                <w:szCs w:val="21"/>
                <w:highlight w:val="none"/>
                <w:lang w:val="en-US" w:eastAsia="zh-CN" w:bidi="ar-SA"/>
              </w:rPr>
              <w:t>安全员</w:t>
            </w:r>
            <w:r>
              <w:rPr>
                <w:rFonts w:hint="eastAsia" w:ascii="宋体" w:hAnsi="宋体" w:eastAsia="宋体" w:cs="Arial"/>
                <w:i w:val="0"/>
                <w:iCs w:val="0"/>
                <w:color w:val="auto"/>
                <w:sz w:val="21"/>
                <w:szCs w:val="21"/>
                <w:highlight w:val="none"/>
                <w:u w:val="none"/>
              </w:rPr>
              <w:t>具</w:t>
            </w:r>
            <w:r>
              <w:rPr>
                <w:rFonts w:hint="eastAsia" w:ascii="宋体" w:hAnsi="宋体" w:eastAsia="宋体" w:cs="Arial"/>
                <w:i w:val="0"/>
                <w:iCs w:val="0"/>
                <w:color w:val="auto"/>
                <w:sz w:val="21"/>
                <w:szCs w:val="21"/>
                <w:highlight w:val="none"/>
                <w:u w:val="none"/>
                <w:lang w:val="en-US" w:eastAsia="zh-CN"/>
              </w:rPr>
              <w:t>有有效的</w:t>
            </w:r>
            <w:r>
              <w:rPr>
                <w:rFonts w:hint="eastAsia" w:ascii="宋体" w:hAnsi="宋体" w:eastAsia="宋体" w:cs="Arial"/>
                <w:i w:val="0"/>
                <w:iCs w:val="0"/>
                <w:color w:val="auto"/>
                <w:sz w:val="21"/>
                <w:szCs w:val="21"/>
                <w:highlight w:val="none"/>
                <w:u w:val="none"/>
              </w:rPr>
              <w:t>安全生产考核合格证（C证）</w:t>
            </w:r>
            <w:r>
              <w:rPr>
                <w:rFonts w:hint="eastAsia" w:ascii="宋体" w:hAnsi="宋体" w:eastAsia="宋体" w:cs="Arial"/>
                <w:i w:val="0"/>
                <w:iCs w:val="0"/>
                <w:color w:val="auto"/>
                <w:sz w:val="21"/>
                <w:szCs w:val="21"/>
                <w:highlight w:val="none"/>
                <w:u w:val="none"/>
                <w:lang w:eastAsia="zh-CN"/>
              </w:rPr>
              <w:t>得</w:t>
            </w:r>
            <w:r>
              <w:rPr>
                <w:rFonts w:hint="eastAsia" w:ascii="宋体" w:hAnsi="宋体" w:eastAsia="宋体" w:cs="Arial"/>
                <w:i w:val="0"/>
                <w:iCs w:val="0"/>
                <w:color w:val="auto"/>
                <w:sz w:val="21"/>
                <w:szCs w:val="21"/>
                <w:highlight w:val="none"/>
                <w:u w:val="none"/>
                <w:lang w:val="en-US" w:eastAsia="zh-CN"/>
              </w:rPr>
              <w:t>1分</w:t>
            </w:r>
            <w:r>
              <w:rPr>
                <w:rFonts w:hint="eastAsia" w:ascii="宋体" w:hAnsi="宋体" w:eastAsia="宋体" w:cs="Arial"/>
                <w:i w:val="0"/>
                <w:iCs w:val="0"/>
                <w:color w:val="auto"/>
                <w:sz w:val="21"/>
                <w:szCs w:val="21"/>
                <w:highlight w:val="none"/>
                <w:u w:val="none"/>
                <w:lang w:eastAsia="zh-CN"/>
              </w:rPr>
              <w:t>；</w:t>
            </w:r>
          </w:p>
          <w:p w14:paraId="03559C5D">
            <w:pPr>
              <w:keepNext w:val="0"/>
              <w:keepLines w:val="0"/>
              <w:suppressLineNumbers w:val="0"/>
              <w:tabs>
                <w:tab w:val="left" w:pos="4915"/>
              </w:tabs>
              <w:spacing w:before="0" w:beforeAutospacing="0" w:after="0" w:afterAutospacing="0" w:line="340" w:lineRule="exact"/>
              <w:ind w:left="0" w:right="0"/>
              <w:rPr>
                <w:rFonts w:hint="eastAsia" w:ascii="宋体" w:hAnsi="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eastAsia="zh-CN"/>
              </w:rPr>
              <w:t>施工员</w:t>
            </w:r>
            <w:r>
              <w:rPr>
                <w:rFonts w:hint="eastAsia" w:ascii="宋体" w:hAnsi="宋体"/>
                <w:i w:val="0"/>
                <w:iCs w:val="0"/>
                <w:color w:val="auto"/>
                <w:sz w:val="21"/>
                <w:szCs w:val="21"/>
                <w:highlight w:val="none"/>
                <w:lang w:val="en-US" w:eastAsia="zh-CN"/>
              </w:rPr>
              <w:t>具有相应的岗位证书或培训合格证得1分；</w:t>
            </w:r>
          </w:p>
          <w:p w14:paraId="3DBF8BB4">
            <w:pPr>
              <w:keepNext w:val="0"/>
              <w:keepLines w:val="0"/>
              <w:suppressLineNumbers w:val="0"/>
              <w:tabs>
                <w:tab w:val="left" w:pos="4915"/>
              </w:tabs>
              <w:spacing w:before="0" w:beforeAutospacing="0" w:after="0" w:afterAutospacing="0" w:line="340" w:lineRule="exact"/>
              <w:ind w:left="0" w:right="0"/>
              <w:rPr>
                <w:rFonts w:hint="eastAsia" w:ascii="宋体" w:hAnsi="宋体"/>
                <w:i w:val="0"/>
                <w:iCs w:val="0"/>
                <w:color w:val="auto"/>
                <w:sz w:val="21"/>
                <w:szCs w:val="21"/>
                <w:highlight w:val="none"/>
                <w:lang w:val="en-US" w:eastAsia="zh-CN"/>
              </w:rPr>
            </w:pPr>
            <w:r>
              <w:rPr>
                <w:rFonts w:hint="eastAsia" w:ascii="宋体" w:hAnsi="宋体" w:eastAsia="宋体" w:cs="宋体"/>
                <w:i w:val="0"/>
                <w:iCs w:val="0"/>
                <w:color w:val="auto"/>
                <w:kern w:val="2"/>
                <w:sz w:val="21"/>
                <w:szCs w:val="21"/>
                <w:highlight w:val="none"/>
                <w:lang w:val="en-US" w:eastAsia="zh-CN" w:bidi="ar-SA"/>
              </w:rPr>
              <w:t>质量员</w:t>
            </w:r>
            <w:r>
              <w:rPr>
                <w:rFonts w:hint="eastAsia" w:ascii="宋体" w:hAnsi="宋体"/>
                <w:i w:val="0"/>
                <w:iCs w:val="0"/>
                <w:color w:val="auto"/>
                <w:sz w:val="21"/>
                <w:szCs w:val="21"/>
                <w:highlight w:val="none"/>
                <w:lang w:val="en-US" w:eastAsia="zh-CN"/>
              </w:rPr>
              <w:t>具有相应的岗位证书或培训合格证得1分。</w:t>
            </w:r>
          </w:p>
          <w:p w14:paraId="0425553A">
            <w:pPr>
              <w:keepNext w:val="0"/>
              <w:keepLines w:val="0"/>
              <w:suppressLineNumbers w:val="0"/>
              <w:tabs>
                <w:tab w:val="left" w:pos="4915"/>
              </w:tabs>
              <w:spacing w:before="0" w:beforeAutospacing="0" w:after="0" w:afterAutospacing="0" w:line="340" w:lineRule="exact"/>
              <w:ind w:left="0" w:right="0"/>
              <w:rPr>
                <w:rFonts w:hint="default" w:eastAsia="宋体" w:cs="宋体"/>
                <w:color w:val="000000"/>
                <w:szCs w:val="21"/>
                <w:highlight w:val="none"/>
                <w:lang w:val="en-US" w:eastAsia="zh-CN"/>
              </w:rPr>
            </w:pPr>
            <w:r>
              <w:rPr>
                <w:rFonts w:hint="eastAsia" w:cs="宋体"/>
                <w:color w:val="000000"/>
                <w:szCs w:val="21"/>
                <w:highlight w:val="none"/>
                <w:lang w:val="en-US" w:eastAsia="zh-CN"/>
              </w:rPr>
              <w:t>未提供不得分。</w:t>
            </w:r>
          </w:p>
        </w:tc>
      </w:tr>
      <w:tr w14:paraId="7F17A1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0" w:hRule="atLeast"/>
        </w:trPr>
        <w:tc>
          <w:tcPr>
            <w:tcW w:w="748" w:type="dxa"/>
            <w:vMerge w:val="continue"/>
            <w:noWrap w:val="0"/>
            <w:vAlign w:val="center"/>
          </w:tcPr>
          <w:p w14:paraId="1BE8BD22">
            <w:pPr>
              <w:keepNext w:val="0"/>
              <w:keepLines w:val="0"/>
              <w:widowControl/>
              <w:suppressLineNumbers w:val="0"/>
              <w:spacing w:before="0" w:beforeAutospacing="0" w:after="0" w:afterAutospacing="0" w:line="340" w:lineRule="exact"/>
              <w:ind w:left="0" w:right="0"/>
              <w:jc w:val="left"/>
              <w:rPr>
                <w:rFonts w:hint="default"/>
                <w:color w:val="000000"/>
                <w:szCs w:val="21"/>
                <w:highlight w:val="none"/>
              </w:rPr>
            </w:pPr>
          </w:p>
        </w:tc>
        <w:tc>
          <w:tcPr>
            <w:tcW w:w="1215" w:type="dxa"/>
            <w:noWrap w:val="0"/>
            <w:vAlign w:val="center"/>
          </w:tcPr>
          <w:p w14:paraId="61574B50">
            <w:pPr>
              <w:keepNext w:val="0"/>
              <w:keepLines w:val="0"/>
              <w:suppressLineNumbers w:val="0"/>
              <w:spacing w:before="0" w:beforeAutospacing="0" w:after="0" w:afterAutospacing="0" w:line="320" w:lineRule="exact"/>
              <w:ind w:left="0" w:right="0"/>
              <w:rPr>
                <w:rFonts w:hint="default" w:ascii="Calibri" w:hAnsi="Calibri" w:cs="Calibri"/>
                <w:color w:val="000000"/>
                <w:szCs w:val="21"/>
                <w:highlight w:val="none"/>
              </w:rPr>
            </w:pPr>
            <w:r>
              <w:rPr>
                <w:rFonts w:hint="eastAsia" w:ascii="Calibri" w:hAnsi="Calibri" w:cs="Calibri"/>
                <w:color w:val="000000"/>
                <w:szCs w:val="21"/>
                <w:highlight w:val="none"/>
              </w:rPr>
              <w:t>售后服务方案（</w:t>
            </w:r>
            <w:r>
              <w:rPr>
                <w:rFonts w:hint="eastAsia" w:ascii="Calibri" w:hAnsi="Calibri" w:cs="Calibri"/>
                <w:color w:val="000000"/>
                <w:szCs w:val="21"/>
                <w:highlight w:val="none"/>
                <w:lang w:val="en-US" w:eastAsia="zh-CN"/>
              </w:rPr>
              <w:t>5</w:t>
            </w:r>
            <w:r>
              <w:rPr>
                <w:rFonts w:hint="eastAsia" w:ascii="Calibri" w:hAnsi="Calibri" w:cs="Calibri"/>
                <w:color w:val="000000"/>
                <w:szCs w:val="21"/>
                <w:highlight w:val="none"/>
              </w:rPr>
              <w:t>分）</w:t>
            </w:r>
          </w:p>
        </w:tc>
        <w:tc>
          <w:tcPr>
            <w:tcW w:w="7848" w:type="dxa"/>
            <w:noWrap w:val="0"/>
            <w:vAlign w:val="center"/>
          </w:tcPr>
          <w:p w14:paraId="6E0599A6">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szCs w:val="21"/>
              </w:rPr>
            </w:pPr>
            <w:r>
              <w:rPr>
                <w:rFonts w:hint="eastAsia" w:ascii="宋体" w:hAnsi="宋体" w:eastAsia="宋体" w:cs="宋体"/>
                <w:szCs w:val="21"/>
              </w:rPr>
              <w:t>根据供应商提供的保修期内接到采购人通知后到达时间、处理及时的承诺响应（包括但不限于一般事故、紧急抢修事故、涉及结构安全的质量问题等），服务措施等承诺函资料进行评议：</w:t>
            </w:r>
          </w:p>
          <w:p w14:paraId="61173FEB">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szCs w:val="21"/>
              </w:rPr>
            </w:pPr>
            <w:r>
              <w:rPr>
                <w:rFonts w:hint="eastAsia" w:ascii="宋体" w:hAnsi="宋体" w:eastAsia="宋体" w:cs="宋体"/>
                <w:szCs w:val="21"/>
              </w:rPr>
              <w:t>①响应时间迅速、处理方案完全满足采购需求的</w:t>
            </w:r>
            <w:r>
              <w:rPr>
                <w:rFonts w:hint="eastAsia" w:ascii="宋体" w:hAnsi="宋体" w:cs="宋体"/>
                <w:szCs w:val="21"/>
                <w:lang w:val="en-US" w:eastAsia="zh-CN"/>
              </w:rPr>
              <w:t>5</w:t>
            </w:r>
            <w:r>
              <w:rPr>
                <w:rFonts w:hint="eastAsia" w:ascii="宋体" w:hAnsi="宋体" w:eastAsia="宋体" w:cs="宋体"/>
                <w:szCs w:val="21"/>
              </w:rPr>
              <w:t>分；</w:t>
            </w:r>
          </w:p>
          <w:p w14:paraId="3D8A0FCE">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szCs w:val="21"/>
              </w:rPr>
            </w:pPr>
            <w:r>
              <w:rPr>
                <w:rFonts w:hint="eastAsia" w:ascii="宋体" w:hAnsi="宋体" w:eastAsia="宋体" w:cs="宋体"/>
                <w:szCs w:val="21"/>
              </w:rPr>
              <w:t>②响应时间及时、处理方案基本满足采购需求的得</w:t>
            </w:r>
            <w:r>
              <w:rPr>
                <w:rFonts w:hint="eastAsia" w:ascii="宋体" w:hAnsi="宋体" w:cs="宋体"/>
                <w:szCs w:val="21"/>
                <w:lang w:val="en-US" w:eastAsia="zh-CN"/>
              </w:rPr>
              <w:t>4</w:t>
            </w:r>
            <w:r>
              <w:rPr>
                <w:rFonts w:hint="eastAsia" w:ascii="宋体" w:hAnsi="宋体" w:eastAsia="宋体" w:cs="宋体"/>
                <w:szCs w:val="21"/>
              </w:rPr>
              <w:t>分；</w:t>
            </w:r>
          </w:p>
          <w:p w14:paraId="6551186E">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eastAsia="宋体" w:cs="宋体"/>
                <w:szCs w:val="21"/>
              </w:rPr>
            </w:pPr>
            <w:r>
              <w:rPr>
                <w:rFonts w:hint="eastAsia" w:ascii="宋体" w:hAnsi="宋体" w:eastAsia="宋体" w:cs="宋体"/>
                <w:szCs w:val="21"/>
              </w:rPr>
              <w:t>③响应时间</w:t>
            </w:r>
            <w:r>
              <w:rPr>
                <w:rFonts w:hint="eastAsia" w:ascii="宋体" w:hAnsi="宋体" w:cs="宋体"/>
                <w:szCs w:val="21"/>
                <w:lang w:val="en-US" w:eastAsia="zh-CN"/>
              </w:rPr>
              <w:t>较慢</w:t>
            </w:r>
            <w:r>
              <w:rPr>
                <w:rFonts w:hint="eastAsia" w:ascii="宋体" w:hAnsi="宋体" w:eastAsia="宋体" w:cs="宋体"/>
                <w:szCs w:val="21"/>
              </w:rPr>
              <w:t>、处理方案</w:t>
            </w:r>
            <w:r>
              <w:rPr>
                <w:rFonts w:hint="eastAsia" w:ascii="宋体" w:hAnsi="宋体" w:cs="宋体"/>
                <w:szCs w:val="21"/>
                <w:lang w:val="en-US" w:eastAsia="zh-CN"/>
              </w:rPr>
              <w:t>较</w:t>
            </w:r>
            <w:r>
              <w:rPr>
                <w:rFonts w:hint="eastAsia" w:ascii="宋体" w:hAnsi="宋体" w:eastAsia="宋体" w:cs="宋体"/>
                <w:szCs w:val="21"/>
              </w:rPr>
              <w:t>满足采购需求的得</w:t>
            </w:r>
            <w:r>
              <w:rPr>
                <w:rFonts w:hint="eastAsia" w:ascii="宋体" w:hAnsi="宋体" w:cs="宋体"/>
                <w:szCs w:val="21"/>
                <w:lang w:val="en-US" w:eastAsia="zh-CN"/>
              </w:rPr>
              <w:t>3</w:t>
            </w:r>
            <w:r>
              <w:rPr>
                <w:rFonts w:hint="eastAsia" w:ascii="宋体" w:hAnsi="宋体" w:eastAsia="宋体" w:cs="宋体"/>
                <w:szCs w:val="21"/>
              </w:rPr>
              <w:t>分；</w:t>
            </w:r>
          </w:p>
          <w:p w14:paraId="1D2A4BA1">
            <w:pPr>
              <w:keepNext w:val="0"/>
              <w:keepLines w:val="0"/>
              <w:suppressLineNumbers w:val="0"/>
              <w:autoSpaceDE w:val="0"/>
              <w:autoSpaceDN w:val="0"/>
              <w:spacing w:before="0" w:beforeAutospacing="0" w:after="0" w:afterAutospacing="0" w:line="380" w:lineRule="atLeast"/>
              <w:ind w:left="0" w:right="0"/>
              <w:jc w:val="left"/>
              <w:rPr>
                <w:rFonts w:hint="eastAsia"/>
              </w:rPr>
            </w:pPr>
            <w:r>
              <w:rPr>
                <w:rFonts w:hint="eastAsia" w:ascii="宋体" w:hAnsi="宋体" w:eastAsia="宋体" w:cs="宋体"/>
                <w:szCs w:val="21"/>
              </w:rPr>
              <w:t>④响应时间</w:t>
            </w:r>
            <w:r>
              <w:rPr>
                <w:rFonts w:hint="eastAsia" w:ascii="宋体" w:hAnsi="宋体" w:cs="宋体"/>
                <w:szCs w:val="21"/>
                <w:lang w:val="en-US" w:eastAsia="zh-CN"/>
              </w:rPr>
              <w:t>较慢</w:t>
            </w:r>
            <w:r>
              <w:rPr>
                <w:rFonts w:hint="eastAsia" w:ascii="宋体" w:hAnsi="宋体" w:eastAsia="宋体" w:cs="宋体"/>
                <w:szCs w:val="21"/>
              </w:rPr>
              <w:t>、处理方案</w:t>
            </w:r>
            <w:r>
              <w:rPr>
                <w:rFonts w:hint="eastAsia" w:ascii="宋体" w:hAnsi="宋体" w:cs="宋体"/>
                <w:szCs w:val="21"/>
                <w:lang w:val="en-US" w:eastAsia="zh-CN"/>
              </w:rPr>
              <w:t>较</w:t>
            </w:r>
            <w:r>
              <w:rPr>
                <w:rFonts w:hint="eastAsia" w:ascii="宋体" w:hAnsi="宋体" w:eastAsia="宋体" w:cs="宋体"/>
                <w:szCs w:val="21"/>
                <w:lang w:val="en-US" w:eastAsia="zh-CN"/>
              </w:rPr>
              <w:t>一般</w:t>
            </w:r>
            <w:r>
              <w:rPr>
                <w:rFonts w:hint="eastAsia" w:ascii="宋体" w:hAnsi="宋体" w:eastAsia="宋体" w:cs="宋体"/>
                <w:szCs w:val="21"/>
              </w:rPr>
              <w:t>的得</w:t>
            </w:r>
            <w:r>
              <w:rPr>
                <w:rFonts w:hint="eastAsia" w:ascii="宋体" w:hAnsi="宋体" w:cs="宋体"/>
                <w:szCs w:val="21"/>
                <w:lang w:val="en-US" w:eastAsia="zh-CN"/>
              </w:rPr>
              <w:t>3</w:t>
            </w:r>
            <w:r>
              <w:rPr>
                <w:rFonts w:hint="eastAsia" w:ascii="宋体" w:hAnsi="宋体" w:eastAsia="宋体" w:cs="宋体"/>
                <w:szCs w:val="21"/>
              </w:rPr>
              <w:t>分；</w:t>
            </w:r>
          </w:p>
          <w:p w14:paraId="7D2B8A43">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eastAsia="宋体" w:cs="宋体"/>
                <w:szCs w:val="21"/>
              </w:rPr>
            </w:pPr>
            <w:r>
              <w:rPr>
                <w:rFonts w:hint="eastAsia" w:cs="宋体"/>
                <w:color w:val="000000"/>
                <w:szCs w:val="21"/>
              </w:rPr>
              <w:t>⑤</w:t>
            </w:r>
            <w:r>
              <w:rPr>
                <w:rFonts w:hint="eastAsia" w:ascii="宋体" w:hAnsi="宋体" w:eastAsia="宋体" w:cs="宋体"/>
                <w:szCs w:val="21"/>
              </w:rPr>
              <w:t>响应时间不及时、处理方案难以满足采购需求的得</w:t>
            </w:r>
            <w:r>
              <w:rPr>
                <w:rFonts w:hint="eastAsia" w:ascii="宋体" w:hAnsi="宋体" w:cs="宋体"/>
                <w:szCs w:val="21"/>
                <w:lang w:val="en-US" w:eastAsia="zh-CN"/>
              </w:rPr>
              <w:t>1</w:t>
            </w:r>
            <w:r>
              <w:rPr>
                <w:rFonts w:hint="eastAsia" w:ascii="宋体" w:hAnsi="宋体" w:eastAsia="宋体" w:cs="宋体"/>
                <w:szCs w:val="21"/>
              </w:rPr>
              <w:t>分；</w:t>
            </w:r>
          </w:p>
          <w:p w14:paraId="7ACF5498">
            <w:pPr>
              <w:keepNext w:val="0"/>
              <w:keepLines w:val="0"/>
              <w:suppressLineNumbers w:val="0"/>
              <w:tabs>
                <w:tab w:val="left" w:pos="4915"/>
              </w:tabs>
              <w:spacing w:before="0" w:beforeAutospacing="0" w:after="0" w:afterAutospacing="0" w:line="340" w:lineRule="exact"/>
              <w:ind w:left="0" w:right="0"/>
              <w:rPr>
                <w:rFonts w:hint="default" w:eastAsia="宋体" w:cs="宋体"/>
                <w:color w:val="000000"/>
                <w:szCs w:val="21"/>
                <w:highlight w:val="none"/>
                <w:lang w:val="en-US" w:eastAsia="zh-CN"/>
              </w:rPr>
            </w:pPr>
            <w:r>
              <w:rPr>
                <w:rFonts w:hint="eastAsia" w:ascii="宋体" w:hAnsi="宋体" w:eastAsia="宋体" w:cs="宋体"/>
                <w:szCs w:val="21"/>
              </w:rPr>
              <w:t>未提供内容本项不得分。</w:t>
            </w:r>
          </w:p>
        </w:tc>
      </w:tr>
      <w:tr w14:paraId="0699B1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376047F9">
            <w:pPr>
              <w:keepNext w:val="0"/>
              <w:keepLines w:val="0"/>
              <w:widowControl/>
              <w:suppressLineNumbers w:val="0"/>
              <w:spacing w:before="0" w:beforeAutospacing="0" w:after="0" w:afterAutospacing="0" w:line="340" w:lineRule="exact"/>
              <w:ind w:left="0" w:right="0"/>
              <w:jc w:val="left"/>
              <w:rPr>
                <w:rFonts w:hint="default"/>
                <w:color w:val="000000"/>
                <w:szCs w:val="21"/>
                <w:highlight w:val="none"/>
              </w:rPr>
            </w:pPr>
          </w:p>
        </w:tc>
        <w:tc>
          <w:tcPr>
            <w:tcW w:w="1215" w:type="dxa"/>
            <w:noWrap w:val="0"/>
            <w:vAlign w:val="center"/>
          </w:tcPr>
          <w:p w14:paraId="40FCA880">
            <w:pPr>
              <w:keepNext w:val="0"/>
              <w:keepLines w:val="0"/>
              <w:suppressLineNumbers w:val="0"/>
              <w:spacing w:before="0" w:beforeAutospacing="0" w:after="0" w:afterAutospacing="0" w:line="320" w:lineRule="exact"/>
              <w:ind w:left="0" w:right="0"/>
              <w:rPr>
                <w:rFonts w:hint="eastAsia" w:ascii="Calibri" w:hAnsi="Calibri" w:eastAsia="宋体" w:cs="Calibri"/>
                <w:color w:val="000000"/>
                <w:szCs w:val="21"/>
                <w:highlight w:val="none"/>
                <w:lang w:val="en-US" w:eastAsia="zh-CN"/>
              </w:rPr>
            </w:pPr>
            <w:r>
              <w:rPr>
                <w:rFonts w:hint="eastAsia" w:ascii="Calibri" w:hAnsi="Calibri" w:eastAsia="宋体" w:cs="Calibri"/>
                <w:color w:val="000000"/>
                <w:szCs w:val="21"/>
                <w:highlight w:val="none"/>
                <w:lang w:val="en-US" w:eastAsia="zh-CN"/>
              </w:rPr>
              <w:t xml:space="preserve">突发事件 应急预案 </w:t>
            </w:r>
          </w:p>
          <w:p w14:paraId="300FCA1A">
            <w:pPr>
              <w:keepNext w:val="0"/>
              <w:keepLines w:val="0"/>
              <w:suppressLineNumbers w:val="0"/>
              <w:spacing w:before="0" w:beforeAutospacing="0" w:after="0" w:afterAutospacing="0" w:line="320" w:lineRule="exact"/>
              <w:ind w:left="0" w:right="0"/>
              <w:rPr>
                <w:rFonts w:hint="eastAsia" w:ascii="Calibri" w:hAnsi="Calibri" w:eastAsia="宋体" w:cs="Calibri"/>
                <w:color w:val="000000"/>
                <w:szCs w:val="21"/>
                <w:highlight w:val="none"/>
              </w:rPr>
            </w:pPr>
            <w:r>
              <w:rPr>
                <w:rFonts w:hint="eastAsia" w:ascii="Calibri" w:hAnsi="Calibri" w:eastAsia="宋体" w:cs="Calibri"/>
                <w:color w:val="000000"/>
                <w:szCs w:val="21"/>
                <w:highlight w:val="none"/>
                <w:lang w:val="en-US" w:eastAsia="zh-CN"/>
              </w:rPr>
              <w:t>（</w:t>
            </w:r>
            <w:r>
              <w:rPr>
                <w:rFonts w:hint="eastAsia" w:ascii="Calibri" w:hAnsi="Calibri" w:cs="Calibri"/>
                <w:color w:val="000000"/>
                <w:szCs w:val="21"/>
                <w:highlight w:val="none"/>
                <w:lang w:val="en-US" w:eastAsia="zh-CN"/>
              </w:rPr>
              <w:t>5</w:t>
            </w:r>
            <w:r>
              <w:rPr>
                <w:rFonts w:hint="default" w:ascii="Calibri" w:hAnsi="Calibri" w:eastAsia="宋体" w:cs="Calibri"/>
                <w:color w:val="000000"/>
                <w:szCs w:val="21"/>
                <w:highlight w:val="none"/>
                <w:lang w:val="en-US" w:eastAsia="zh-CN"/>
              </w:rPr>
              <w:t xml:space="preserve"> </w:t>
            </w:r>
            <w:r>
              <w:rPr>
                <w:rFonts w:hint="eastAsia" w:ascii="Calibri" w:hAnsi="Calibri" w:eastAsia="宋体" w:cs="Calibri"/>
                <w:color w:val="000000"/>
                <w:szCs w:val="21"/>
                <w:highlight w:val="none"/>
                <w:lang w:val="en-US" w:eastAsia="zh-CN"/>
              </w:rPr>
              <w:t>分）</w:t>
            </w:r>
          </w:p>
        </w:tc>
        <w:tc>
          <w:tcPr>
            <w:tcW w:w="7848" w:type="dxa"/>
            <w:noWrap w:val="0"/>
            <w:vAlign w:val="center"/>
          </w:tcPr>
          <w:p w14:paraId="5D9E0C30">
            <w:pPr>
              <w:keepNext w:val="0"/>
              <w:keepLines w:val="0"/>
              <w:suppressLineNumbers w:val="0"/>
              <w:spacing w:before="0" w:beforeAutospacing="0" w:after="0" w:afterAutospacing="0" w:line="320" w:lineRule="exact"/>
              <w:ind w:left="0" w:right="0"/>
              <w:rPr>
                <w:rFonts w:hint="eastAsia" w:ascii="Calibri" w:hAnsi="Calibri" w:eastAsia="宋体" w:cs="Calibri"/>
                <w:color w:val="000000"/>
                <w:szCs w:val="21"/>
                <w:highlight w:val="none"/>
              </w:rPr>
            </w:pPr>
            <w:r>
              <w:rPr>
                <w:rFonts w:hint="eastAsia" w:ascii="Calibri" w:hAnsi="Calibri" w:eastAsia="宋体" w:cs="Calibri"/>
                <w:color w:val="000000"/>
                <w:szCs w:val="21"/>
                <w:highlight w:val="none"/>
                <w:lang w:val="en-US" w:eastAsia="zh-CN"/>
              </w:rPr>
              <w:t>对本项目实施期间的突发事件应急预案进行评议（</w:t>
            </w:r>
            <w:r>
              <w:rPr>
                <w:rFonts w:hint="eastAsia" w:ascii="Calibri" w:hAnsi="Calibri" w:cs="Calibri"/>
                <w:color w:val="000000"/>
                <w:szCs w:val="21"/>
                <w:highlight w:val="none"/>
                <w:lang w:val="en-US" w:eastAsia="zh-CN"/>
              </w:rPr>
              <w:t>5</w:t>
            </w:r>
            <w:r>
              <w:rPr>
                <w:rFonts w:hint="eastAsia" w:ascii="Calibri" w:hAnsi="Calibri" w:eastAsia="宋体" w:cs="Calibri"/>
                <w:color w:val="000000"/>
                <w:szCs w:val="21"/>
                <w:highlight w:val="none"/>
                <w:lang w:val="en-US" w:eastAsia="zh-CN"/>
              </w:rPr>
              <w:t xml:space="preserve">分） </w:t>
            </w:r>
          </w:p>
          <w:p w14:paraId="5ABA1734">
            <w:pPr>
              <w:keepNext w:val="0"/>
              <w:keepLines w:val="0"/>
              <w:suppressLineNumbers w:val="0"/>
              <w:spacing w:before="0" w:beforeAutospacing="0" w:after="0" w:afterAutospacing="0" w:line="320" w:lineRule="exact"/>
              <w:ind w:left="0" w:right="0"/>
              <w:rPr>
                <w:rFonts w:hint="eastAsia" w:ascii="Calibri" w:hAnsi="Calibri" w:eastAsia="宋体" w:cs="Calibri"/>
                <w:color w:val="000000"/>
                <w:szCs w:val="21"/>
                <w:highlight w:val="none"/>
                <w:lang w:val="en-US" w:eastAsia="zh-CN"/>
              </w:rPr>
            </w:pPr>
            <w:r>
              <w:rPr>
                <w:rFonts w:hint="eastAsia" w:cs="宋体"/>
                <w:color w:val="000000"/>
                <w:szCs w:val="21"/>
                <w:highlight w:val="none"/>
                <w:lang w:val="en-US" w:eastAsia="zh-CN"/>
              </w:rPr>
              <w:t>①</w:t>
            </w:r>
            <w:r>
              <w:rPr>
                <w:rFonts w:hint="eastAsia" w:ascii="Calibri" w:hAnsi="Calibri" w:eastAsia="宋体" w:cs="Calibri"/>
                <w:color w:val="000000"/>
                <w:szCs w:val="21"/>
                <w:highlight w:val="none"/>
                <w:lang w:val="en-US" w:eastAsia="zh-CN"/>
              </w:rPr>
              <w:t>应急预案条款完整、措施得力、能有效降低突发事件的不利影响的得</w:t>
            </w:r>
            <w:r>
              <w:rPr>
                <w:rFonts w:hint="eastAsia" w:ascii="Calibri" w:hAnsi="Calibri" w:cs="Calibri"/>
                <w:color w:val="000000"/>
                <w:szCs w:val="21"/>
                <w:highlight w:val="none"/>
                <w:lang w:val="en-US" w:eastAsia="zh-CN"/>
              </w:rPr>
              <w:t>5</w:t>
            </w:r>
            <w:r>
              <w:rPr>
                <w:rFonts w:hint="default" w:ascii="Calibri" w:hAnsi="Calibri" w:eastAsia="宋体" w:cs="Calibri"/>
                <w:color w:val="000000"/>
                <w:szCs w:val="21"/>
                <w:highlight w:val="none"/>
                <w:lang w:val="en-US" w:eastAsia="zh-CN"/>
              </w:rPr>
              <w:t xml:space="preserve"> </w:t>
            </w:r>
            <w:r>
              <w:rPr>
                <w:rFonts w:hint="eastAsia" w:ascii="Calibri" w:hAnsi="Calibri" w:eastAsia="宋体" w:cs="Calibri"/>
                <w:color w:val="000000"/>
                <w:szCs w:val="21"/>
                <w:highlight w:val="none"/>
                <w:lang w:val="en-US" w:eastAsia="zh-CN"/>
              </w:rPr>
              <w:t>分；</w:t>
            </w:r>
          </w:p>
          <w:p w14:paraId="558838C5">
            <w:pPr>
              <w:pStyle w:val="970"/>
              <w:keepNext w:val="0"/>
              <w:keepLines w:val="0"/>
              <w:suppressLineNumbers w:val="0"/>
              <w:spacing w:before="0" w:beforeAutospacing="0" w:after="0" w:afterAutospacing="0"/>
              <w:ind w:left="0" w:leftChars="0" w:right="0" w:firstLine="0" w:firstLineChars="0"/>
              <w:rPr>
                <w:rFonts w:hint="eastAsia"/>
                <w:lang w:val="en-US"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ascii="Calibri" w:hAnsi="Calibri" w:eastAsia="宋体" w:cs="Calibri"/>
                <w:color w:val="000000"/>
                <w:szCs w:val="21"/>
                <w:highlight w:val="none"/>
                <w:lang w:val="en-US" w:eastAsia="zh-CN"/>
              </w:rPr>
              <w:t>应急预案条款内容完整</w:t>
            </w:r>
            <w:r>
              <w:rPr>
                <w:rFonts w:hint="eastAsia" w:ascii="Calibri" w:hAnsi="Calibri" w:cs="Calibri"/>
                <w:color w:val="000000"/>
                <w:szCs w:val="21"/>
                <w:highlight w:val="none"/>
                <w:lang w:val="en-US" w:eastAsia="zh-CN"/>
              </w:rPr>
              <w:t>，</w:t>
            </w:r>
            <w:r>
              <w:rPr>
                <w:rFonts w:hint="eastAsia" w:ascii="Calibri" w:hAnsi="Calibri" w:eastAsia="宋体" w:cs="Calibri"/>
                <w:color w:val="000000"/>
                <w:szCs w:val="21"/>
                <w:highlight w:val="none"/>
                <w:lang w:val="en-US" w:eastAsia="zh-CN"/>
              </w:rPr>
              <w:t>措施</w:t>
            </w:r>
            <w:r>
              <w:rPr>
                <w:rFonts w:hint="eastAsia" w:ascii="Calibri" w:hAnsi="Calibri" w:cs="Calibri"/>
                <w:color w:val="000000"/>
                <w:szCs w:val="21"/>
                <w:highlight w:val="none"/>
                <w:lang w:val="en-US" w:eastAsia="zh-CN"/>
              </w:rPr>
              <w:t>基本得力，</w:t>
            </w:r>
            <w:r>
              <w:rPr>
                <w:rFonts w:hint="eastAsia" w:ascii="Calibri" w:hAnsi="Calibri" w:eastAsia="宋体" w:cs="Calibri"/>
                <w:color w:val="000000"/>
                <w:szCs w:val="21"/>
                <w:highlight w:val="none"/>
                <w:lang w:val="en-US" w:eastAsia="zh-CN"/>
              </w:rPr>
              <w:t>能降低突发事件的不利影响的得</w:t>
            </w:r>
            <w:r>
              <w:rPr>
                <w:rFonts w:hint="eastAsia" w:ascii="Calibri" w:hAnsi="Calibri" w:cs="Calibri"/>
                <w:color w:val="000000"/>
                <w:szCs w:val="21"/>
                <w:highlight w:val="none"/>
                <w:lang w:val="en-US" w:eastAsia="zh-CN"/>
              </w:rPr>
              <w:t>4</w:t>
            </w:r>
            <w:r>
              <w:rPr>
                <w:rFonts w:hint="default" w:ascii="Calibri" w:hAnsi="Calibri" w:eastAsia="宋体" w:cs="Calibri"/>
                <w:color w:val="000000"/>
                <w:szCs w:val="21"/>
                <w:highlight w:val="none"/>
                <w:lang w:val="en-US" w:eastAsia="zh-CN"/>
              </w:rPr>
              <w:t xml:space="preserve"> </w:t>
            </w:r>
            <w:r>
              <w:rPr>
                <w:rFonts w:hint="eastAsia" w:ascii="Calibri" w:hAnsi="Calibri" w:eastAsia="宋体" w:cs="Calibri"/>
                <w:color w:val="000000"/>
                <w:szCs w:val="21"/>
                <w:highlight w:val="none"/>
                <w:lang w:val="en-US" w:eastAsia="zh-CN"/>
              </w:rPr>
              <w:t>分</w:t>
            </w:r>
          </w:p>
          <w:p w14:paraId="434CCF85">
            <w:pPr>
              <w:keepNext w:val="0"/>
              <w:keepLines w:val="0"/>
              <w:suppressLineNumbers w:val="0"/>
              <w:spacing w:before="0" w:beforeAutospacing="0" w:after="0" w:afterAutospacing="0" w:line="320" w:lineRule="exact"/>
              <w:ind w:left="0" w:right="0"/>
              <w:rPr>
                <w:rFonts w:hint="eastAsia" w:ascii="Calibri" w:hAnsi="Calibri" w:eastAsia="宋体" w:cs="Calibri"/>
                <w:color w:val="000000"/>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ascii="Calibri" w:hAnsi="Calibri" w:eastAsia="宋体" w:cs="Calibri"/>
                <w:color w:val="000000"/>
                <w:szCs w:val="21"/>
                <w:highlight w:val="none"/>
                <w:lang w:val="en-US" w:eastAsia="zh-CN"/>
              </w:rPr>
              <w:t>条款内容完整、但具体措施与工程实际情况略有偏差、预计尚不影响履约得</w:t>
            </w:r>
            <w:r>
              <w:rPr>
                <w:rFonts w:hint="eastAsia" w:ascii="Calibri" w:hAnsi="Calibri" w:cs="Calibri"/>
                <w:color w:val="000000"/>
                <w:szCs w:val="21"/>
                <w:highlight w:val="none"/>
                <w:lang w:val="en-US" w:eastAsia="zh-CN"/>
              </w:rPr>
              <w:t>3</w:t>
            </w:r>
            <w:r>
              <w:rPr>
                <w:rFonts w:hint="eastAsia" w:ascii="Calibri" w:hAnsi="Calibri" w:eastAsia="宋体" w:cs="Calibri"/>
                <w:color w:val="000000"/>
                <w:szCs w:val="21"/>
                <w:highlight w:val="none"/>
                <w:lang w:val="en-US" w:eastAsia="zh-CN"/>
              </w:rPr>
              <w:t>分；</w:t>
            </w:r>
          </w:p>
          <w:p w14:paraId="0E6E9F5F">
            <w:pPr>
              <w:pStyle w:val="970"/>
              <w:keepNext w:val="0"/>
              <w:keepLines w:val="0"/>
              <w:suppressLineNumbers w:val="0"/>
              <w:spacing w:before="0" w:beforeAutospacing="0" w:after="0" w:afterAutospacing="0"/>
              <w:ind w:left="0" w:leftChars="0" w:right="0" w:firstLine="0" w:firstLineChars="0"/>
              <w:rPr>
                <w:rFonts w:hint="eastAsia"/>
                <w:lang w:val="en-US" w:eastAsia="zh-CN"/>
              </w:rPr>
            </w:pPr>
            <w:r>
              <w:rPr>
                <w:rFonts w:hint="eastAsia" w:ascii="宋体" w:hAnsi="宋体" w:eastAsia="宋体" w:cs="宋体"/>
                <w:b w:val="0"/>
                <w:bCs w:val="0"/>
                <w:strike w:val="0"/>
                <w:dstrike w:val="0"/>
                <w:color w:val="auto"/>
                <w:sz w:val="21"/>
                <w:szCs w:val="21"/>
                <w:highlight w:val="none"/>
                <w:lang w:val="en-US" w:eastAsia="zh-CN"/>
              </w:rPr>
              <w:t>④</w:t>
            </w:r>
            <w:r>
              <w:rPr>
                <w:rFonts w:hint="eastAsia" w:ascii="Calibri" w:hAnsi="Calibri" w:eastAsia="宋体" w:cs="Calibri"/>
                <w:color w:val="000000"/>
                <w:szCs w:val="21"/>
                <w:highlight w:val="none"/>
                <w:lang w:val="en-US" w:eastAsia="zh-CN"/>
              </w:rPr>
              <w:t>条款内容具体措施</w:t>
            </w:r>
            <w:r>
              <w:rPr>
                <w:rFonts w:hint="eastAsia" w:cs="宋体"/>
                <w:color w:val="000000"/>
                <w:szCs w:val="21"/>
                <w:highlight w:val="none"/>
                <w:lang w:val="en-US" w:eastAsia="zh-CN"/>
              </w:rPr>
              <w:t>有明显缺漏项</w:t>
            </w:r>
            <w:r>
              <w:rPr>
                <w:rFonts w:hint="eastAsia" w:cs="宋体"/>
                <w:color w:val="000000"/>
                <w:szCs w:val="21"/>
                <w:highlight w:val="none"/>
              </w:rPr>
              <w:t>，</w:t>
            </w:r>
            <w:r>
              <w:rPr>
                <w:rFonts w:hint="eastAsia" w:cs="宋体"/>
                <w:color w:val="000000"/>
                <w:szCs w:val="21"/>
                <w:highlight w:val="none"/>
                <w:lang w:val="en-US" w:eastAsia="zh-CN"/>
              </w:rPr>
              <w:t>或过于笼统</w:t>
            </w:r>
            <w:r>
              <w:rPr>
                <w:rFonts w:hint="eastAsia" w:cs="宋体"/>
                <w:color w:val="000000"/>
                <w:szCs w:val="21"/>
                <w:highlight w:val="none"/>
                <w:lang w:eastAsia="zh-CN"/>
              </w:rPr>
              <w:t>但能</w:t>
            </w:r>
            <w:r>
              <w:rPr>
                <w:rFonts w:hint="eastAsia" w:cs="宋体"/>
                <w:color w:val="000000"/>
                <w:szCs w:val="21"/>
                <w:highlight w:val="none"/>
              </w:rPr>
              <w:t>保证项目</w:t>
            </w:r>
            <w:r>
              <w:rPr>
                <w:rFonts w:hint="eastAsia" w:cs="宋体"/>
                <w:color w:val="000000"/>
                <w:szCs w:val="21"/>
                <w:highlight w:val="none"/>
                <w:lang w:val="en-US" w:eastAsia="zh-CN"/>
              </w:rPr>
              <w:t>顺利实施</w:t>
            </w:r>
            <w:r>
              <w:rPr>
                <w:rFonts w:hint="eastAsia" w:cs="宋体"/>
                <w:color w:val="000000"/>
                <w:szCs w:val="21"/>
                <w:highlight w:val="none"/>
              </w:rPr>
              <w:t>的得</w:t>
            </w:r>
            <w:r>
              <w:rPr>
                <w:rFonts w:hint="eastAsia" w:cs="宋体"/>
                <w:color w:val="000000"/>
                <w:szCs w:val="21"/>
                <w:highlight w:val="none"/>
                <w:lang w:val="en-US" w:eastAsia="zh-CN"/>
              </w:rPr>
              <w:t>2</w:t>
            </w:r>
            <w:r>
              <w:rPr>
                <w:rFonts w:hint="eastAsia" w:cs="宋体"/>
                <w:color w:val="000000"/>
                <w:szCs w:val="21"/>
                <w:highlight w:val="none"/>
              </w:rPr>
              <w:t>分</w:t>
            </w:r>
          </w:p>
          <w:p w14:paraId="231A0550">
            <w:pPr>
              <w:keepNext w:val="0"/>
              <w:keepLines w:val="0"/>
              <w:suppressLineNumbers w:val="0"/>
              <w:spacing w:before="0" w:beforeAutospacing="0" w:after="0" w:afterAutospacing="0" w:line="320" w:lineRule="exact"/>
              <w:ind w:left="0" w:right="0"/>
              <w:rPr>
                <w:rFonts w:hint="eastAsia" w:ascii="Calibri" w:hAnsi="Calibri" w:eastAsia="宋体" w:cs="Calibri"/>
                <w:color w:val="000000"/>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⑤</w:t>
            </w:r>
            <w:r>
              <w:rPr>
                <w:rFonts w:hint="eastAsia" w:ascii="Calibri" w:hAnsi="Calibri" w:eastAsia="宋体" w:cs="Calibri"/>
                <w:color w:val="000000"/>
                <w:szCs w:val="21"/>
                <w:highlight w:val="none"/>
                <w:lang w:val="en-US" w:eastAsia="zh-CN"/>
              </w:rPr>
              <w:t>条款内容不完整、或措施没有实际效果、无法保障项目实施的得</w:t>
            </w:r>
            <w:r>
              <w:rPr>
                <w:rFonts w:hint="eastAsia" w:ascii="Calibri" w:hAnsi="Calibri" w:cs="Calibri"/>
                <w:color w:val="000000"/>
                <w:szCs w:val="21"/>
                <w:highlight w:val="none"/>
                <w:lang w:val="en-US" w:eastAsia="zh-CN"/>
              </w:rPr>
              <w:t>1</w:t>
            </w:r>
            <w:r>
              <w:rPr>
                <w:rFonts w:hint="eastAsia" w:ascii="Calibri" w:hAnsi="Calibri" w:eastAsia="宋体" w:cs="Calibri"/>
                <w:color w:val="000000"/>
                <w:szCs w:val="21"/>
                <w:highlight w:val="none"/>
                <w:lang w:val="en-US" w:eastAsia="zh-CN"/>
              </w:rPr>
              <w:t>分。</w:t>
            </w:r>
          </w:p>
          <w:p w14:paraId="132E923D">
            <w:pPr>
              <w:keepNext w:val="0"/>
              <w:keepLines w:val="0"/>
              <w:suppressLineNumbers w:val="0"/>
              <w:spacing w:before="0" w:beforeAutospacing="0" w:after="0" w:afterAutospacing="0" w:line="320" w:lineRule="exact"/>
              <w:ind w:left="0" w:right="0"/>
              <w:rPr>
                <w:rFonts w:hint="eastAsia" w:ascii="Calibri" w:hAnsi="Calibri" w:eastAsia="宋体" w:cs="Calibri"/>
                <w:color w:val="000000"/>
                <w:szCs w:val="21"/>
                <w:highlight w:val="none"/>
              </w:rPr>
            </w:pPr>
            <w:r>
              <w:rPr>
                <w:rFonts w:hint="eastAsia" w:ascii="Calibri" w:hAnsi="Calibri" w:eastAsia="宋体" w:cs="Calibri"/>
                <w:color w:val="000000"/>
                <w:szCs w:val="21"/>
                <w:highlight w:val="none"/>
                <w:lang w:val="en-US" w:eastAsia="zh-CN"/>
              </w:rPr>
              <w:t>未提供相关内容的不得分。</w:t>
            </w:r>
          </w:p>
        </w:tc>
      </w:tr>
      <w:tr w14:paraId="3597D8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2DA8B912">
            <w:pPr>
              <w:keepNext w:val="0"/>
              <w:keepLines w:val="0"/>
              <w:widowControl/>
              <w:suppressLineNumbers w:val="0"/>
              <w:spacing w:before="0" w:beforeAutospacing="0" w:after="0" w:afterAutospacing="0" w:line="340" w:lineRule="exact"/>
              <w:ind w:left="0" w:right="0"/>
              <w:jc w:val="left"/>
              <w:rPr>
                <w:rFonts w:hint="default"/>
                <w:color w:val="000000"/>
                <w:szCs w:val="21"/>
                <w:highlight w:val="none"/>
              </w:rPr>
            </w:pPr>
          </w:p>
        </w:tc>
        <w:tc>
          <w:tcPr>
            <w:tcW w:w="1215" w:type="dxa"/>
            <w:noWrap w:val="0"/>
            <w:vAlign w:val="center"/>
          </w:tcPr>
          <w:p w14:paraId="5AE65145">
            <w:pPr>
              <w:keepNext w:val="0"/>
              <w:keepLines w:val="0"/>
              <w:suppressLineNumbers w:val="0"/>
              <w:spacing w:before="0" w:beforeAutospacing="0" w:after="0" w:afterAutospacing="0" w:line="320" w:lineRule="exact"/>
              <w:ind w:left="0" w:right="0"/>
              <w:rPr>
                <w:rFonts w:hint="eastAsia" w:ascii="Calibri" w:hAnsi="Calibri" w:eastAsia="宋体" w:cs="Calibri"/>
                <w:color w:val="000000"/>
                <w:szCs w:val="21"/>
                <w:highlight w:val="none"/>
                <w:lang w:val="en-US" w:eastAsia="zh-CN"/>
              </w:rPr>
            </w:pPr>
            <w:r>
              <w:rPr>
                <w:rFonts w:hint="eastAsia"/>
                <w:color w:val="auto"/>
                <w:sz w:val="21"/>
                <w:szCs w:val="21"/>
                <w:highlight w:val="none"/>
                <w:lang w:val="en-US" w:eastAsia="zh-CN"/>
              </w:rPr>
              <w:t>竣工资料整理方案（4分）</w:t>
            </w:r>
          </w:p>
        </w:tc>
        <w:tc>
          <w:tcPr>
            <w:tcW w:w="7848" w:type="dxa"/>
            <w:noWrap w:val="0"/>
            <w:vAlign w:val="center"/>
          </w:tcPr>
          <w:p w14:paraId="3FB7A3E0">
            <w:pPr>
              <w:keepNext w:val="0"/>
              <w:keepLines w:val="0"/>
              <w:suppressLineNumbers w:val="0"/>
              <w:spacing w:before="0" w:beforeAutospacing="0" w:after="0" w:afterAutospacing="0" w:line="320" w:lineRule="exact"/>
              <w:ind w:left="0" w:right="0"/>
              <w:rPr>
                <w:rFonts w:hint="eastAsia" w:ascii="宋体" w:hAnsi="宋体" w:eastAsia="宋体"/>
                <w:color w:val="auto"/>
                <w:szCs w:val="21"/>
                <w:highlight w:val="none"/>
                <w:lang w:eastAsia="zh-CN"/>
              </w:rPr>
            </w:pPr>
            <w:r>
              <w:rPr>
                <w:rFonts w:hint="eastAsia" w:ascii="宋体" w:hAnsi="宋体" w:cs="宋体"/>
                <w:color w:val="auto"/>
                <w:szCs w:val="21"/>
                <w:highlight w:val="none"/>
              </w:rPr>
              <w:t>根据</w:t>
            </w:r>
            <w:r>
              <w:rPr>
                <w:rFonts w:hint="eastAsia" w:ascii="宋体" w:hAnsi="宋体"/>
                <w:color w:val="auto"/>
                <w:szCs w:val="21"/>
                <w:highlight w:val="none"/>
              </w:rPr>
              <w:t>投标人针对本项目拟定的竣工资料整理方案</w:t>
            </w:r>
            <w:r>
              <w:rPr>
                <w:rFonts w:hint="eastAsia" w:ascii="宋体" w:hAnsi="宋体"/>
                <w:color w:val="auto"/>
                <w:szCs w:val="21"/>
                <w:highlight w:val="none"/>
                <w:lang w:val="en-US" w:eastAsia="zh-CN"/>
              </w:rPr>
              <w:t>完善性、合理性等情况</w:t>
            </w:r>
            <w:r>
              <w:rPr>
                <w:rFonts w:hint="eastAsia" w:ascii="宋体" w:hAnsi="宋体" w:cs="仿宋"/>
                <w:color w:val="auto"/>
                <w:kern w:val="0"/>
                <w:szCs w:val="21"/>
                <w:highlight w:val="none"/>
              </w:rPr>
              <w:t>，</w:t>
            </w:r>
            <w:r>
              <w:rPr>
                <w:rFonts w:hint="eastAsia" w:ascii="宋体" w:hAnsi="宋体"/>
                <w:color w:val="auto"/>
                <w:szCs w:val="21"/>
                <w:highlight w:val="none"/>
              </w:rPr>
              <w:t>进行综合评议</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4分</w:t>
            </w:r>
            <w:r>
              <w:rPr>
                <w:rFonts w:hint="eastAsia" w:ascii="宋体" w:hAnsi="宋体"/>
                <w:color w:val="auto"/>
                <w:szCs w:val="21"/>
                <w:highlight w:val="none"/>
                <w:lang w:eastAsia="zh-CN"/>
              </w:rPr>
              <w:t>）：</w:t>
            </w:r>
          </w:p>
          <w:p w14:paraId="36668F47">
            <w:pPr>
              <w:keepNext w:val="0"/>
              <w:keepLines w:val="0"/>
              <w:suppressLineNumbers w:val="0"/>
              <w:spacing w:before="0" w:beforeAutospacing="0" w:after="0" w:afterAutospacing="0" w:line="320" w:lineRule="exact"/>
              <w:ind w:left="0" w:right="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①竣工资料整理方案详实、内容完整，便于留档和结算，可执行力度高，得4分；</w:t>
            </w:r>
          </w:p>
          <w:p w14:paraId="6B36F489">
            <w:pPr>
              <w:keepNext w:val="0"/>
              <w:keepLines w:val="0"/>
              <w:suppressLineNumbers w:val="0"/>
              <w:spacing w:before="0" w:beforeAutospacing="0" w:after="0" w:afterAutospacing="0" w:line="320" w:lineRule="exact"/>
              <w:ind w:left="0" w:right="0"/>
              <w:rPr>
                <w:rFonts w:hint="default" w:ascii="宋体" w:hAnsi="宋体" w:eastAsia="宋体" w:cs="宋体"/>
                <w:szCs w:val="21"/>
                <w:lang w:val="en-US" w:eastAsia="zh-CN"/>
              </w:rPr>
            </w:pPr>
            <w:r>
              <w:rPr>
                <w:rFonts w:hint="eastAsia" w:ascii="宋体" w:hAnsi="宋体"/>
                <w:color w:val="auto"/>
                <w:szCs w:val="21"/>
                <w:highlight w:val="none"/>
                <w:lang w:val="en-US" w:eastAsia="zh-CN"/>
              </w:rPr>
              <w:t>②竣工资料整理方案内容能满足要求，留档和结算</w:t>
            </w:r>
            <w:r>
              <w:rPr>
                <w:rFonts w:hint="eastAsia" w:ascii="宋体" w:hAnsi="宋体" w:eastAsia="宋体" w:cs="宋体"/>
                <w:szCs w:val="21"/>
              </w:rPr>
              <w:t>基本满足</w:t>
            </w:r>
            <w:r>
              <w:rPr>
                <w:rFonts w:hint="eastAsia" w:ascii="宋体" w:hAnsi="宋体" w:cs="宋体"/>
                <w:szCs w:val="21"/>
                <w:lang w:eastAsia="zh-CN"/>
              </w:rPr>
              <w:t>的得</w:t>
            </w:r>
            <w:r>
              <w:rPr>
                <w:rFonts w:hint="eastAsia" w:ascii="宋体" w:hAnsi="宋体" w:cs="宋体"/>
                <w:szCs w:val="21"/>
                <w:lang w:val="en-US" w:eastAsia="zh-CN"/>
              </w:rPr>
              <w:t>3分；</w:t>
            </w:r>
          </w:p>
          <w:p w14:paraId="19EDCC2C">
            <w:pPr>
              <w:keepNext w:val="0"/>
              <w:keepLines w:val="0"/>
              <w:suppressLineNumbers w:val="0"/>
              <w:spacing w:before="0" w:beforeAutospacing="0" w:after="0" w:afterAutospacing="0" w:line="320" w:lineRule="exact"/>
              <w:ind w:left="0" w:right="0"/>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ascii="宋体" w:hAnsi="宋体"/>
                <w:color w:val="auto"/>
                <w:szCs w:val="21"/>
                <w:highlight w:val="none"/>
                <w:lang w:val="en-US" w:eastAsia="zh-CN"/>
              </w:rPr>
              <w:t>竣工资料整理方案较简单、内容</w:t>
            </w:r>
            <w:r>
              <w:rPr>
                <w:rFonts w:hint="eastAsia" w:cs="宋体"/>
                <w:color w:val="000000"/>
                <w:szCs w:val="21"/>
                <w:highlight w:val="none"/>
                <w:lang w:val="en-US" w:eastAsia="zh-CN"/>
              </w:rPr>
              <w:t>笼统</w:t>
            </w:r>
            <w:r>
              <w:rPr>
                <w:rFonts w:hint="eastAsia" w:ascii="宋体" w:hAnsi="宋体"/>
                <w:color w:val="auto"/>
                <w:szCs w:val="21"/>
                <w:highlight w:val="none"/>
                <w:lang w:val="en-US" w:eastAsia="zh-CN"/>
              </w:rPr>
              <w:t>，会在留档和结算过程中造成返工得2分；</w:t>
            </w:r>
          </w:p>
          <w:p w14:paraId="57E1311F">
            <w:pPr>
              <w:keepNext w:val="0"/>
              <w:keepLines w:val="0"/>
              <w:suppressLineNumbers w:val="0"/>
              <w:spacing w:before="0" w:beforeAutospacing="0" w:after="0" w:afterAutospacing="0" w:line="320" w:lineRule="exact"/>
              <w:ind w:left="0" w:right="0"/>
              <w:rPr>
                <w:rFonts w:hint="eastAsia" w:ascii="Calibri" w:hAnsi="Calibri" w:eastAsia="宋体" w:cs="Calibri"/>
                <w:color w:val="000000"/>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④</w:t>
            </w:r>
            <w:r>
              <w:rPr>
                <w:rFonts w:hint="eastAsia" w:ascii="宋体" w:hAnsi="宋体"/>
                <w:color w:val="auto"/>
                <w:szCs w:val="21"/>
                <w:highlight w:val="none"/>
                <w:lang w:val="en-US" w:eastAsia="zh-CN"/>
              </w:rPr>
              <w:t>竣工资料整理方案</w:t>
            </w:r>
            <w:r>
              <w:rPr>
                <w:rFonts w:hint="eastAsia" w:ascii="Calibri" w:hAnsi="Calibri" w:eastAsia="宋体" w:cs="Calibri"/>
                <w:color w:val="000000"/>
                <w:szCs w:val="21"/>
                <w:highlight w:val="none"/>
                <w:lang w:val="en-US" w:eastAsia="zh-CN"/>
              </w:rPr>
              <w:t>内容不完整、无法保障</w:t>
            </w:r>
            <w:r>
              <w:rPr>
                <w:rFonts w:hint="eastAsia" w:ascii="宋体" w:hAnsi="宋体"/>
                <w:color w:val="auto"/>
                <w:szCs w:val="21"/>
                <w:highlight w:val="none"/>
                <w:lang w:val="en-US" w:eastAsia="zh-CN"/>
              </w:rPr>
              <w:t>留档和结算的</w:t>
            </w:r>
            <w:r>
              <w:rPr>
                <w:rFonts w:hint="eastAsia" w:ascii="Calibri" w:hAnsi="Calibri" w:eastAsia="宋体" w:cs="Calibri"/>
                <w:color w:val="000000"/>
                <w:szCs w:val="21"/>
                <w:highlight w:val="none"/>
                <w:lang w:val="en-US" w:eastAsia="zh-CN"/>
              </w:rPr>
              <w:t>得</w:t>
            </w:r>
            <w:r>
              <w:rPr>
                <w:rFonts w:hint="eastAsia" w:ascii="Calibri" w:hAnsi="Calibri" w:cs="Calibri"/>
                <w:color w:val="000000"/>
                <w:szCs w:val="21"/>
                <w:highlight w:val="none"/>
                <w:lang w:val="en-US" w:eastAsia="zh-CN"/>
              </w:rPr>
              <w:t>1</w:t>
            </w:r>
            <w:r>
              <w:rPr>
                <w:rFonts w:hint="eastAsia" w:ascii="Calibri" w:hAnsi="Calibri" w:eastAsia="宋体" w:cs="Calibri"/>
                <w:color w:val="000000"/>
                <w:szCs w:val="21"/>
                <w:highlight w:val="none"/>
                <w:lang w:val="en-US" w:eastAsia="zh-CN"/>
              </w:rPr>
              <w:t>分。</w:t>
            </w:r>
          </w:p>
          <w:p w14:paraId="4BBD27DB">
            <w:pPr>
              <w:keepNext w:val="0"/>
              <w:keepLines w:val="0"/>
              <w:suppressLineNumbers w:val="0"/>
              <w:spacing w:before="0" w:beforeAutospacing="0" w:after="0" w:afterAutospacing="0" w:line="320" w:lineRule="exact"/>
              <w:ind w:left="0" w:right="0"/>
              <w:rPr>
                <w:rFonts w:hint="eastAsia" w:ascii="Calibri" w:hAnsi="Calibri" w:eastAsia="宋体" w:cs="Calibri"/>
                <w:color w:val="000000"/>
                <w:szCs w:val="21"/>
                <w:highlight w:val="none"/>
                <w:lang w:val="en-US" w:eastAsia="zh-CN"/>
              </w:rPr>
            </w:pPr>
            <w:r>
              <w:rPr>
                <w:rFonts w:hint="eastAsia" w:ascii="宋体" w:hAnsi="宋体"/>
                <w:color w:val="auto"/>
                <w:szCs w:val="21"/>
                <w:highlight w:val="none"/>
                <w:lang w:val="en-US" w:eastAsia="zh-CN"/>
              </w:rPr>
              <w:t>注：无相关内容的不得分。注：无相关内容的不得分。</w:t>
            </w:r>
          </w:p>
        </w:tc>
      </w:tr>
      <w:tr w14:paraId="025ABC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0420F62E">
            <w:pPr>
              <w:keepNext w:val="0"/>
              <w:keepLines w:val="0"/>
              <w:widowControl/>
              <w:suppressLineNumbers w:val="0"/>
              <w:spacing w:before="0" w:beforeAutospacing="0" w:after="0" w:afterAutospacing="0" w:line="340" w:lineRule="exact"/>
              <w:ind w:left="0" w:right="0"/>
              <w:jc w:val="left"/>
              <w:rPr>
                <w:rFonts w:hint="default"/>
                <w:color w:val="000000"/>
                <w:szCs w:val="21"/>
                <w:highlight w:val="none"/>
              </w:rPr>
            </w:pPr>
          </w:p>
        </w:tc>
        <w:tc>
          <w:tcPr>
            <w:tcW w:w="1215" w:type="dxa"/>
            <w:noWrap w:val="0"/>
            <w:vAlign w:val="center"/>
          </w:tcPr>
          <w:p w14:paraId="26A968DE">
            <w:pPr>
              <w:keepNext w:val="0"/>
              <w:keepLines w:val="0"/>
              <w:suppressLineNumbers w:val="0"/>
              <w:spacing w:before="0" w:beforeAutospacing="0" w:after="0" w:afterAutospacing="0" w:line="400" w:lineRule="exact"/>
              <w:ind w:left="0" w:right="0"/>
              <w:jc w:val="center"/>
              <w:rPr>
                <w:rFonts w:hint="eastAsia"/>
                <w:color w:val="auto"/>
                <w:sz w:val="21"/>
                <w:szCs w:val="21"/>
                <w:highlight w:val="none"/>
                <w:lang w:val="en-US" w:eastAsia="zh-CN"/>
              </w:rPr>
            </w:pPr>
            <w:r>
              <w:rPr>
                <w:rFonts w:hint="eastAsia" w:ascii="宋体" w:hAnsi="宋体"/>
                <w:color w:val="000000"/>
                <w:szCs w:val="21"/>
                <w:lang w:val="en-US" w:eastAsia="zh-CN"/>
              </w:rPr>
              <w:t>专业人员和劳动力的配置（5分）</w:t>
            </w:r>
          </w:p>
        </w:tc>
        <w:tc>
          <w:tcPr>
            <w:tcW w:w="7848" w:type="dxa"/>
            <w:noWrap w:val="0"/>
            <w:vAlign w:val="center"/>
          </w:tcPr>
          <w:p w14:paraId="065E9B5E">
            <w:pPr>
              <w:keepNext w:val="0"/>
              <w:keepLines w:val="0"/>
              <w:suppressLineNumbers w:val="0"/>
              <w:autoSpaceDE w:val="0"/>
              <w:autoSpaceDN w:val="0"/>
              <w:spacing w:before="0" w:beforeAutospacing="0" w:after="0" w:afterAutospacing="0" w:line="380" w:lineRule="atLeast"/>
              <w:ind w:left="0" w:right="0"/>
              <w:jc w:val="left"/>
              <w:rPr>
                <w:rFonts w:hint="eastAsia" w:ascii="Times New Roman" w:hAnsi="宋体" w:eastAsia="宋体" w:cs="宋体"/>
                <w:color w:val="auto"/>
                <w:sz w:val="21"/>
                <w:highlight w:val="none"/>
                <w:lang w:val="en-US" w:eastAsia="zh-CN"/>
              </w:rPr>
            </w:pPr>
            <w:r>
              <w:rPr>
                <w:rFonts w:hint="eastAsia" w:ascii="Times New Roman" w:hAnsi="宋体" w:eastAsia="宋体" w:cs="宋体"/>
                <w:color w:val="auto"/>
                <w:sz w:val="21"/>
                <w:highlight w:val="none"/>
              </w:rPr>
              <w:t>对</w:t>
            </w:r>
            <w:r>
              <w:rPr>
                <w:rFonts w:hint="eastAsia" w:ascii="Times New Roman" w:hAnsi="宋体" w:eastAsia="宋体" w:cs="宋体"/>
                <w:color w:val="auto"/>
                <w:sz w:val="21"/>
                <w:highlight w:val="none"/>
                <w:lang w:val="en-US" w:eastAsia="zh-CN"/>
              </w:rPr>
              <w:t>供应商关于</w:t>
            </w:r>
            <w:r>
              <w:rPr>
                <w:rFonts w:hint="eastAsia" w:ascii="Times New Roman" w:hAnsi="宋体" w:eastAsia="宋体" w:cs="宋体"/>
                <w:color w:val="auto"/>
                <w:sz w:val="21"/>
                <w:highlight w:val="none"/>
              </w:rPr>
              <w:t>各专业工种的配置和劳动力的投入满足工程需要程度</w:t>
            </w:r>
            <w:r>
              <w:rPr>
                <w:rFonts w:hint="eastAsia" w:ascii="Times New Roman" w:hAnsi="宋体" w:eastAsia="宋体" w:cs="宋体"/>
                <w:color w:val="auto"/>
                <w:sz w:val="21"/>
                <w:highlight w:val="none"/>
                <w:lang w:val="en-US" w:eastAsia="zh-CN"/>
              </w:rPr>
              <w:t>的</w:t>
            </w:r>
            <w:r>
              <w:rPr>
                <w:rFonts w:hint="eastAsia" w:ascii="Times New Roman" w:hAnsi="宋体" w:eastAsia="宋体" w:cs="宋体"/>
                <w:color w:val="auto"/>
                <w:sz w:val="21"/>
                <w:highlight w:val="none"/>
              </w:rPr>
              <w:t>配置情况科学、合理性</w:t>
            </w:r>
            <w:r>
              <w:rPr>
                <w:rFonts w:hint="eastAsia" w:ascii="Times New Roman" w:hAnsi="宋体" w:eastAsia="宋体" w:cs="宋体"/>
                <w:color w:val="auto"/>
                <w:sz w:val="21"/>
                <w:highlight w:val="none"/>
                <w:lang w:val="en-US" w:eastAsia="zh-CN"/>
              </w:rPr>
              <w:t>进行综合评议：</w:t>
            </w:r>
          </w:p>
          <w:p w14:paraId="2D37063B">
            <w:pPr>
              <w:keepNext w:val="0"/>
              <w:keepLines w:val="0"/>
              <w:suppressLineNumbers w:val="0"/>
              <w:autoSpaceDE w:val="0"/>
              <w:autoSpaceDN w:val="0"/>
              <w:spacing w:before="0" w:beforeAutospacing="0" w:after="0" w:afterAutospacing="0" w:line="380" w:lineRule="atLeast"/>
              <w:ind w:left="0" w:right="0"/>
              <w:jc w:val="left"/>
              <w:rPr>
                <w:rFonts w:hint="default" w:ascii="Times New Roman" w:hAnsi="宋体" w:eastAsia="宋体" w:cs="宋体"/>
                <w:color w:val="auto"/>
                <w:sz w:val="21"/>
                <w:highlight w:val="none"/>
                <w:lang w:val="en-US" w:eastAsia="zh-CN"/>
              </w:rPr>
            </w:pPr>
            <w:r>
              <w:rPr>
                <w:rFonts w:hint="eastAsia" w:cs="宋体"/>
                <w:color w:val="000000"/>
                <w:szCs w:val="21"/>
                <w:highlight w:val="none"/>
                <w:lang w:val="en-US" w:eastAsia="zh-CN"/>
              </w:rPr>
              <w:t>①</w:t>
            </w: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充足</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劳动力的投入满足工程需要</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lang w:val="en-US" w:eastAsia="zh-CN"/>
              </w:rPr>
              <w:t>方案</w:t>
            </w:r>
            <w:r>
              <w:rPr>
                <w:rFonts w:hint="eastAsia" w:ascii="Times New Roman" w:hAnsi="宋体" w:eastAsia="宋体" w:cs="宋体"/>
                <w:color w:val="auto"/>
                <w:sz w:val="21"/>
                <w:highlight w:val="none"/>
              </w:rPr>
              <w:t>科学</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合理</w:t>
            </w:r>
            <w:r>
              <w:rPr>
                <w:rFonts w:hint="eastAsia" w:ascii="Times New Roman" w:hAnsi="宋体" w:eastAsia="宋体" w:cs="宋体"/>
                <w:color w:val="auto"/>
                <w:sz w:val="21"/>
                <w:highlight w:val="none"/>
                <w:lang w:val="en-US" w:eastAsia="zh-CN"/>
              </w:rPr>
              <w:t>的，得5分；</w:t>
            </w:r>
          </w:p>
          <w:p w14:paraId="78D05254">
            <w:pPr>
              <w:keepNext w:val="0"/>
              <w:keepLines w:val="0"/>
              <w:suppressLineNumbers w:val="0"/>
              <w:autoSpaceDE w:val="0"/>
              <w:autoSpaceDN w:val="0"/>
              <w:spacing w:before="0" w:beforeAutospacing="0" w:after="0" w:afterAutospacing="0" w:line="380" w:lineRule="atLeast"/>
              <w:ind w:left="0" w:right="0"/>
              <w:jc w:val="left"/>
              <w:rPr>
                <w:rFonts w:hint="eastAsia" w:ascii="Times New Roman" w:hAnsi="宋体" w:eastAsia="宋体" w:cs="宋体"/>
                <w:color w:val="auto"/>
                <w:sz w:val="21"/>
                <w:highlight w:val="none"/>
              </w:rPr>
            </w:pPr>
            <w:r>
              <w:rPr>
                <w:rFonts w:hint="eastAsia" w:ascii="宋体" w:hAnsi="宋体" w:eastAsia="宋体" w:cs="宋体"/>
                <w:b w:val="0"/>
                <w:bCs w:val="0"/>
                <w:strike w:val="0"/>
                <w:dstrike w:val="0"/>
                <w:color w:val="auto"/>
                <w:sz w:val="21"/>
                <w:szCs w:val="21"/>
                <w:highlight w:val="none"/>
                <w:lang w:val="en-US" w:eastAsia="zh-CN"/>
              </w:rPr>
              <w:t>②</w:t>
            </w: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较充足、</w:t>
            </w:r>
            <w:r>
              <w:rPr>
                <w:rFonts w:hint="eastAsia" w:ascii="Times New Roman" w:hAnsi="宋体" w:eastAsia="宋体" w:cs="宋体"/>
                <w:color w:val="auto"/>
                <w:sz w:val="21"/>
                <w:highlight w:val="none"/>
              </w:rPr>
              <w:t>劳动力的投入满足工程需要</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lang w:val="en-US" w:eastAsia="zh-CN"/>
              </w:rPr>
              <w:t>方案较</w:t>
            </w:r>
            <w:r>
              <w:rPr>
                <w:rFonts w:hint="eastAsia" w:ascii="Times New Roman" w:hAnsi="宋体" w:eastAsia="宋体" w:cs="宋体"/>
                <w:color w:val="auto"/>
                <w:sz w:val="21"/>
                <w:highlight w:val="none"/>
              </w:rPr>
              <w:t>科学</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合理</w:t>
            </w:r>
            <w:r>
              <w:rPr>
                <w:rFonts w:hint="eastAsia" w:ascii="Times New Roman" w:hAnsi="宋体" w:eastAsia="宋体" w:cs="宋体"/>
                <w:color w:val="auto"/>
                <w:sz w:val="21"/>
                <w:highlight w:val="none"/>
                <w:lang w:val="en-US" w:eastAsia="zh-CN"/>
              </w:rPr>
              <w:t>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4</w:t>
            </w:r>
            <w:r>
              <w:rPr>
                <w:rFonts w:hint="eastAsia" w:ascii="Times New Roman" w:hAnsi="宋体" w:eastAsia="宋体" w:cs="宋体"/>
                <w:color w:val="auto"/>
                <w:sz w:val="21"/>
                <w:highlight w:val="none"/>
              </w:rPr>
              <w:t>分；</w:t>
            </w:r>
          </w:p>
          <w:p w14:paraId="081B2A71">
            <w:pPr>
              <w:keepNext w:val="0"/>
              <w:keepLines w:val="0"/>
              <w:suppressLineNumbers w:val="0"/>
              <w:autoSpaceDE w:val="0"/>
              <w:autoSpaceDN w:val="0"/>
              <w:spacing w:before="0" w:beforeAutospacing="0" w:after="0" w:afterAutospacing="0" w:line="380" w:lineRule="atLeast"/>
              <w:ind w:left="0" w:right="0"/>
              <w:jc w:val="left"/>
              <w:rPr>
                <w:rFonts w:hint="eastAsia" w:ascii="Times New Roman" w:hAnsi="宋体" w:eastAsia="宋体" w:cs="宋体"/>
                <w:color w:val="auto"/>
                <w:sz w:val="21"/>
                <w:highlight w:val="none"/>
              </w:rPr>
            </w:pPr>
            <w:r>
              <w:rPr>
                <w:rFonts w:hint="eastAsia" w:ascii="宋体" w:hAnsi="宋体" w:eastAsia="宋体" w:cs="宋体"/>
                <w:b w:val="0"/>
                <w:bCs w:val="0"/>
                <w:strike w:val="0"/>
                <w:dstrike w:val="0"/>
                <w:color w:val="auto"/>
                <w:sz w:val="21"/>
                <w:szCs w:val="21"/>
                <w:highlight w:val="none"/>
                <w:lang w:val="en-US" w:eastAsia="zh-CN"/>
              </w:rPr>
              <w:t>③</w:t>
            </w: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和</w:t>
            </w:r>
            <w:r>
              <w:rPr>
                <w:rFonts w:hint="eastAsia" w:ascii="Times New Roman" w:hAnsi="宋体" w:eastAsia="宋体" w:cs="宋体"/>
                <w:color w:val="auto"/>
                <w:sz w:val="21"/>
                <w:highlight w:val="none"/>
              </w:rPr>
              <w:t>劳动力的投入</w:t>
            </w:r>
            <w:r>
              <w:rPr>
                <w:rFonts w:hint="eastAsia" w:ascii="Times New Roman" w:hAnsi="宋体" w:eastAsia="宋体" w:cs="宋体"/>
                <w:color w:val="auto"/>
                <w:sz w:val="21"/>
                <w:highlight w:val="none"/>
                <w:lang w:val="en-US" w:eastAsia="zh-CN"/>
              </w:rPr>
              <w:t>可基本满足施工需要，方案</w:t>
            </w:r>
            <w:r>
              <w:rPr>
                <w:rFonts w:hint="eastAsia" w:ascii="Times New Roman" w:hAnsi="宋体" w:eastAsia="宋体" w:cs="宋体"/>
                <w:color w:val="auto"/>
                <w:sz w:val="21"/>
                <w:highlight w:val="none"/>
              </w:rPr>
              <w:t>科学</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合理</w:t>
            </w:r>
            <w:r>
              <w:rPr>
                <w:rFonts w:hint="eastAsia" w:ascii="Times New Roman" w:hAnsi="宋体" w:eastAsia="宋体" w:cs="宋体"/>
                <w:color w:val="auto"/>
                <w:sz w:val="21"/>
                <w:highlight w:val="none"/>
                <w:lang w:val="en-US" w:eastAsia="zh-CN"/>
              </w:rPr>
              <w:t>性一般的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3</w:t>
            </w:r>
            <w:r>
              <w:rPr>
                <w:rFonts w:hint="eastAsia" w:ascii="Times New Roman" w:hAnsi="宋体" w:eastAsia="宋体" w:cs="宋体"/>
                <w:color w:val="auto"/>
                <w:sz w:val="21"/>
                <w:highlight w:val="none"/>
              </w:rPr>
              <w:t>分；</w:t>
            </w:r>
          </w:p>
          <w:p w14:paraId="6A381127">
            <w:pPr>
              <w:keepNext w:val="0"/>
              <w:keepLines w:val="0"/>
              <w:suppressLineNumbers w:val="0"/>
              <w:autoSpaceDE w:val="0"/>
              <w:autoSpaceDN w:val="0"/>
              <w:spacing w:before="0" w:beforeAutospacing="0" w:after="0" w:afterAutospacing="0" w:line="380" w:lineRule="atLeast"/>
              <w:ind w:left="0" w:right="0"/>
              <w:jc w:val="left"/>
              <w:rPr>
                <w:rFonts w:hint="eastAsia" w:ascii="Times New Roman" w:hAnsi="宋体" w:eastAsia="宋体" w:cs="宋体"/>
                <w:color w:val="auto"/>
                <w:sz w:val="21"/>
                <w:highlight w:val="none"/>
              </w:rPr>
            </w:pPr>
            <w:r>
              <w:rPr>
                <w:rFonts w:hint="eastAsia" w:ascii="宋体" w:hAnsi="宋体" w:eastAsia="宋体" w:cs="宋体"/>
                <w:b w:val="0"/>
                <w:bCs w:val="0"/>
                <w:strike w:val="0"/>
                <w:dstrike w:val="0"/>
                <w:color w:val="auto"/>
                <w:sz w:val="21"/>
                <w:szCs w:val="21"/>
                <w:highlight w:val="none"/>
                <w:lang w:val="en-US" w:eastAsia="zh-CN"/>
              </w:rPr>
              <w:t>④</w:t>
            </w: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和</w:t>
            </w:r>
            <w:r>
              <w:rPr>
                <w:rFonts w:hint="eastAsia" w:ascii="Times New Roman" w:hAnsi="宋体" w:eastAsia="宋体" w:cs="宋体"/>
                <w:color w:val="auto"/>
                <w:sz w:val="21"/>
                <w:highlight w:val="none"/>
              </w:rPr>
              <w:t>劳动力的投入</w:t>
            </w:r>
            <w:r>
              <w:rPr>
                <w:rFonts w:hint="eastAsia" w:ascii="Times New Roman" w:hAnsi="宋体" w:eastAsia="宋体" w:cs="宋体"/>
                <w:color w:val="auto"/>
                <w:sz w:val="21"/>
                <w:highlight w:val="none"/>
                <w:lang w:val="en-US" w:eastAsia="zh-CN"/>
              </w:rPr>
              <w:t>存在缺陷或瑕疵的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2</w:t>
            </w:r>
            <w:r>
              <w:rPr>
                <w:rFonts w:hint="eastAsia" w:ascii="Times New Roman" w:hAnsi="宋体" w:eastAsia="宋体" w:cs="宋体"/>
                <w:color w:val="auto"/>
                <w:sz w:val="21"/>
                <w:highlight w:val="none"/>
              </w:rPr>
              <w:t>分；</w:t>
            </w:r>
          </w:p>
          <w:p w14:paraId="12173A1A">
            <w:pPr>
              <w:keepNext w:val="0"/>
              <w:keepLines w:val="0"/>
              <w:suppressLineNumbers w:val="0"/>
              <w:autoSpaceDE w:val="0"/>
              <w:autoSpaceDN w:val="0"/>
              <w:spacing w:before="0" w:beforeAutospacing="0" w:after="0" w:afterAutospacing="0" w:line="380" w:lineRule="atLeast"/>
              <w:ind w:left="0" w:right="0"/>
              <w:jc w:val="left"/>
              <w:rPr>
                <w:rFonts w:hint="eastAsia" w:ascii="Times New Roman" w:hAnsi="宋体" w:eastAsia="宋体" w:cs="宋体"/>
                <w:color w:val="auto"/>
                <w:sz w:val="21"/>
                <w:highlight w:val="none"/>
              </w:rPr>
            </w:pPr>
            <w:r>
              <w:rPr>
                <w:rFonts w:hint="eastAsia" w:ascii="宋体" w:hAnsi="宋体" w:eastAsia="宋体" w:cs="宋体"/>
                <w:strike w:val="0"/>
                <w:dstrike w:val="0"/>
                <w:color w:val="auto"/>
                <w:sz w:val="21"/>
                <w:szCs w:val="21"/>
                <w:highlight w:val="none"/>
                <w:lang w:val="en-US" w:eastAsia="zh-CN"/>
              </w:rPr>
              <w:t>⑤</w:t>
            </w: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和</w:t>
            </w:r>
            <w:r>
              <w:rPr>
                <w:rFonts w:hint="eastAsia" w:ascii="Times New Roman" w:hAnsi="宋体" w:eastAsia="宋体" w:cs="宋体"/>
                <w:color w:val="auto"/>
                <w:sz w:val="21"/>
                <w:highlight w:val="none"/>
              </w:rPr>
              <w:t>劳动力的投入</w:t>
            </w:r>
            <w:r>
              <w:rPr>
                <w:rFonts w:hint="eastAsia" w:ascii="Times New Roman" w:hAnsi="宋体" w:eastAsia="宋体" w:cs="宋体"/>
                <w:color w:val="auto"/>
                <w:sz w:val="21"/>
                <w:highlight w:val="none"/>
                <w:lang w:val="en-US" w:eastAsia="zh-CN"/>
              </w:rPr>
              <w:t>可能无法满足施工需要的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1</w:t>
            </w:r>
            <w:r>
              <w:rPr>
                <w:rFonts w:hint="eastAsia" w:ascii="Times New Roman" w:hAnsi="宋体" w:eastAsia="宋体" w:cs="宋体"/>
                <w:color w:val="auto"/>
                <w:sz w:val="21"/>
                <w:highlight w:val="none"/>
              </w:rPr>
              <w:t>分；</w:t>
            </w:r>
          </w:p>
          <w:p w14:paraId="71BADF3C">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color w:val="auto"/>
                <w:szCs w:val="21"/>
                <w:highlight w:val="none"/>
              </w:rPr>
            </w:pPr>
            <w:r>
              <w:rPr>
                <w:rFonts w:hint="eastAsia" w:ascii="Times New Roman" w:hAnsi="宋体" w:eastAsia="宋体" w:cs="宋体"/>
                <w:color w:val="auto"/>
                <w:sz w:val="21"/>
                <w:highlight w:val="none"/>
              </w:rPr>
              <w:t>未提供内容本项不得分。</w:t>
            </w:r>
          </w:p>
        </w:tc>
      </w:tr>
      <w:tr w14:paraId="3F5985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4DCDA937">
            <w:pPr>
              <w:keepNext w:val="0"/>
              <w:keepLines w:val="0"/>
              <w:widowControl/>
              <w:suppressLineNumbers w:val="0"/>
              <w:spacing w:before="0" w:beforeAutospacing="0" w:after="0" w:afterAutospacing="0" w:line="340" w:lineRule="exact"/>
              <w:ind w:left="0" w:right="0"/>
              <w:jc w:val="left"/>
              <w:rPr>
                <w:rFonts w:hint="default"/>
                <w:color w:val="000000"/>
                <w:szCs w:val="21"/>
                <w:highlight w:val="none"/>
              </w:rPr>
            </w:pPr>
          </w:p>
        </w:tc>
        <w:tc>
          <w:tcPr>
            <w:tcW w:w="1215" w:type="dxa"/>
            <w:noWrap w:val="0"/>
            <w:vAlign w:val="center"/>
          </w:tcPr>
          <w:p w14:paraId="57330939">
            <w:pPr>
              <w:keepNext w:val="0"/>
              <w:keepLines w:val="0"/>
              <w:suppressLineNumbers w:val="0"/>
              <w:spacing w:before="0" w:beforeAutospacing="0" w:after="0" w:afterAutospacing="0" w:line="320" w:lineRule="exact"/>
              <w:ind w:left="0" w:right="0"/>
              <w:rPr>
                <w:rFonts w:hint="eastAsia"/>
                <w:color w:val="auto"/>
                <w:sz w:val="21"/>
                <w:szCs w:val="21"/>
                <w:highlight w:val="none"/>
                <w:lang w:val="en-US" w:eastAsia="zh-CN"/>
              </w:rPr>
            </w:pPr>
            <w:r>
              <w:rPr>
                <w:rFonts w:hint="eastAsia" w:ascii="宋体" w:hAnsi="宋体" w:cs="宋体"/>
                <w:bCs/>
                <w:sz w:val="22"/>
                <w:szCs w:val="22"/>
                <w:lang w:val="en-US" w:eastAsia="zh-CN"/>
              </w:rPr>
              <w:t>合理化建议（2分）</w:t>
            </w:r>
          </w:p>
        </w:tc>
        <w:tc>
          <w:tcPr>
            <w:tcW w:w="7848" w:type="dxa"/>
            <w:noWrap w:val="0"/>
            <w:vAlign w:val="center"/>
          </w:tcPr>
          <w:p w14:paraId="1123CED7">
            <w:pPr>
              <w:keepNext w:val="0"/>
              <w:keepLines w:val="0"/>
              <w:suppressLineNumbers w:val="0"/>
              <w:spacing w:before="0" w:beforeAutospacing="0" w:after="0" w:afterAutospacing="0"/>
              <w:ind w:left="0" w:right="0"/>
              <w:rPr>
                <w:rFonts w:hint="default" w:ascii="宋体" w:hAnsi="宋体" w:cs="宋体"/>
                <w:bCs/>
                <w:sz w:val="22"/>
                <w:szCs w:val="22"/>
                <w:lang w:val="en-US" w:eastAsia="zh-CN"/>
              </w:rPr>
            </w:pPr>
            <w:r>
              <w:rPr>
                <w:rFonts w:hint="eastAsia" w:ascii="宋体" w:hAnsi="宋体" w:cs="宋体"/>
                <w:bCs/>
                <w:sz w:val="22"/>
                <w:szCs w:val="22"/>
              </w:rPr>
              <w:t>根据供应商提出的针对本项目的合理化建议与承诺进行评议</w:t>
            </w:r>
            <w:r>
              <w:rPr>
                <w:rFonts w:hint="eastAsia" w:ascii="宋体" w:hAnsi="宋体" w:cs="宋体"/>
                <w:bCs/>
                <w:sz w:val="22"/>
                <w:szCs w:val="22"/>
                <w:lang w:val="en-US" w:eastAsia="zh-CN"/>
              </w:rPr>
              <w:t>(2分)</w:t>
            </w:r>
          </w:p>
          <w:p w14:paraId="49189BF8">
            <w:pPr>
              <w:keepNext w:val="0"/>
              <w:keepLines w:val="0"/>
              <w:suppressLineNumbers w:val="0"/>
              <w:spacing w:before="0" w:beforeAutospacing="0" w:after="0" w:afterAutospacing="0" w:line="320" w:lineRule="exact"/>
              <w:ind w:left="0" w:right="0"/>
              <w:rPr>
                <w:rFonts w:hint="eastAsia" w:ascii="宋体" w:hAnsi="宋体" w:cs="宋体"/>
                <w:color w:val="auto"/>
                <w:szCs w:val="21"/>
                <w:highlight w:val="none"/>
              </w:rPr>
            </w:pPr>
            <w:r>
              <w:rPr>
                <w:rFonts w:hint="eastAsia" w:ascii="宋体" w:hAnsi="宋体" w:cs="宋体"/>
                <w:bCs/>
                <w:sz w:val="22"/>
                <w:szCs w:val="22"/>
              </w:rPr>
              <w:t>提出的建议与承诺具有实际意义并得到采纳，每项得1分，最高得</w:t>
            </w:r>
            <w:r>
              <w:rPr>
                <w:rFonts w:hint="eastAsia" w:ascii="宋体" w:hAnsi="宋体" w:cs="宋体"/>
                <w:bCs/>
                <w:sz w:val="22"/>
                <w:szCs w:val="22"/>
                <w:lang w:val="en-US" w:eastAsia="zh-CN"/>
              </w:rPr>
              <w:t>2</w:t>
            </w:r>
            <w:r>
              <w:rPr>
                <w:rFonts w:hint="eastAsia" w:ascii="宋体" w:hAnsi="宋体" w:cs="宋体"/>
                <w:bCs/>
                <w:sz w:val="22"/>
                <w:szCs w:val="22"/>
              </w:rPr>
              <w:t>分。与本项目履约无关的建议与承诺不予认可。</w:t>
            </w:r>
          </w:p>
        </w:tc>
      </w:tr>
      <w:tr w14:paraId="671DD3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noWrap w:val="0"/>
            <w:vAlign w:val="center"/>
          </w:tcPr>
          <w:p w14:paraId="36A4D9CF">
            <w:pPr>
              <w:keepNext w:val="0"/>
              <w:keepLines w:val="0"/>
              <w:widowControl/>
              <w:suppressLineNumbers w:val="0"/>
              <w:spacing w:before="0" w:beforeAutospacing="0" w:after="0" w:afterAutospacing="0" w:line="340" w:lineRule="exact"/>
              <w:ind w:left="0" w:right="0"/>
              <w:jc w:val="left"/>
              <w:rPr>
                <w:rFonts w:hint="default"/>
                <w:color w:val="000000"/>
                <w:szCs w:val="21"/>
                <w:highlight w:val="none"/>
              </w:rPr>
            </w:pPr>
            <w:r>
              <w:rPr>
                <w:rFonts w:hint="default"/>
                <w:color w:val="000000"/>
                <w:szCs w:val="21"/>
                <w:highlight w:val="none"/>
              </w:rPr>
              <w:t>价格</w:t>
            </w:r>
            <w:r>
              <w:rPr>
                <w:rFonts w:hint="eastAsia"/>
                <w:color w:val="000000"/>
                <w:szCs w:val="21"/>
                <w:highlight w:val="none"/>
              </w:rPr>
              <w:t>部分</w:t>
            </w:r>
            <w:r>
              <w:rPr>
                <w:rFonts w:hint="eastAsia"/>
                <w:color w:val="000000"/>
                <w:szCs w:val="21"/>
                <w:highlight w:val="none"/>
                <w:lang w:val="en-US" w:eastAsia="zh-CN"/>
              </w:rPr>
              <w:t>30</w:t>
            </w:r>
            <w:r>
              <w:rPr>
                <w:rFonts w:hint="default"/>
                <w:color w:val="000000"/>
                <w:szCs w:val="21"/>
                <w:highlight w:val="none"/>
              </w:rPr>
              <w:t>分</w:t>
            </w:r>
          </w:p>
        </w:tc>
        <w:tc>
          <w:tcPr>
            <w:tcW w:w="1215" w:type="dxa"/>
            <w:noWrap w:val="0"/>
            <w:vAlign w:val="center"/>
          </w:tcPr>
          <w:p w14:paraId="5B856109">
            <w:pPr>
              <w:keepNext w:val="0"/>
              <w:keepLines w:val="0"/>
              <w:suppressLineNumbers w:val="0"/>
              <w:spacing w:before="0" w:beforeAutospacing="0" w:after="0" w:afterAutospacing="0" w:line="340" w:lineRule="exact"/>
              <w:ind w:left="0" w:right="0"/>
              <w:jc w:val="center"/>
              <w:rPr>
                <w:rFonts w:hint="default"/>
                <w:color w:val="000000"/>
                <w:szCs w:val="21"/>
                <w:highlight w:val="none"/>
              </w:rPr>
            </w:pPr>
            <w:r>
              <w:rPr>
                <w:rFonts w:hint="default"/>
                <w:color w:val="000000"/>
                <w:szCs w:val="21"/>
                <w:highlight w:val="none"/>
              </w:rPr>
              <w:t>投标报价（</w:t>
            </w:r>
            <w:r>
              <w:rPr>
                <w:rFonts w:hint="eastAsia"/>
                <w:color w:val="000000"/>
                <w:szCs w:val="21"/>
                <w:highlight w:val="none"/>
                <w:lang w:val="en-US" w:eastAsia="zh-CN"/>
              </w:rPr>
              <w:t>30</w:t>
            </w:r>
            <w:r>
              <w:rPr>
                <w:rFonts w:hint="default"/>
                <w:color w:val="000000"/>
                <w:szCs w:val="21"/>
                <w:highlight w:val="none"/>
              </w:rPr>
              <w:t>分）</w:t>
            </w:r>
          </w:p>
        </w:tc>
        <w:tc>
          <w:tcPr>
            <w:tcW w:w="7848" w:type="dxa"/>
            <w:noWrap w:val="0"/>
            <w:vAlign w:val="center"/>
          </w:tcPr>
          <w:p w14:paraId="7CD1D7BD">
            <w:pPr>
              <w:keepNext w:val="0"/>
              <w:keepLines w:val="0"/>
              <w:suppressLineNumbers w:val="0"/>
              <w:spacing w:before="0" w:beforeAutospacing="0" w:after="0" w:afterAutospacing="0" w:line="300" w:lineRule="exact"/>
              <w:ind w:left="0" w:right="0"/>
              <w:rPr>
                <w:rFonts w:hint="eastAsia" w:ascii="Calibri" w:hAnsi="Calibri" w:cs="Calibri"/>
                <w:color w:val="000000"/>
                <w:szCs w:val="21"/>
                <w:highlight w:val="none"/>
              </w:rPr>
            </w:pPr>
            <w:r>
              <w:rPr>
                <w:rFonts w:hint="default" w:ascii="Calibri" w:hAnsi="Calibri" w:cs="Calibri"/>
                <w:color w:val="000000"/>
                <w:szCs w:val="21"/>
                <w:highlight w:val="none"/>
              </w:rPr>
              <w:t>满足</w:t>
            </w:r>
            <w:r>
              <w:rPr>
                <w:rFonts w:hint="eastAsia" w:ascii="Calibri" w:hAnsi="Calibri" w:cs="Calibri"/>
                <w:color w:val="000000"/>
                <w:szCs w:val="21"/>
                <w:highlight w:val="none"/>
              </w:rPr>
              <w:t>采购文件</w:t>
            </w:r>
            <w:r>
              <w:rPr>
                <w:rFonts w:hint="default" w:ascii="Calibri" w:hAnsi="Calibri" w:cs="Calibri"/>
                <w:color w:val="000000"/>
                <w:szCs w:val="21"/>
                <w:highlight w:val="none"/>
              </w:rPr>
              <w:t>要求且最低的参与评审价格为评标基准价，其价格分为满分</w:t>
            </w:r>
            <w:r>
              <w:rPr>
                <w:rFonts w:hint="eastAsia" w:ascii="Calibri" w:hAnsi="Calibri" w:cs="Calibri"/>
                <w:color w:val="000000"/>
                <w:szCs w:val="21"/>
                <w:highlight w:val="none"/>
                <w:lang w:val="en-US" w:eastAsia="zh-CN"/>
              </w:rPr>
              <w:t>30</w:t>
            </w:r>
            <w:r>
              <w:rPr>
                <w:rFonts w:hint="default" w:ascii="Calibri" w:hAnsi="Calibri" w:cs="Calibri"/>
                <w:color w:val="000000"/>
                <w:szCs w:val="21"/>
                <w:highlight w:val="none"/>
              </w:rPr>
              <w:t>分</w:t>
            </w:r>
            <w:r>
              <w:rPr>
                <w:rFonts w:hint="eastAsia" w:ascii="Calibri" w:hAnsi="Calibri" w:cs="Calibri"/>
                <w:color w:val="000000"/>
                <w:szCs w:val="21"/>
                <w:highlight w:val="none"/>
              </w:rPr>
              <w:t>。</w:t>
            </w:r>
          </w:p>
          <w:p w14:paraId="6F3F1C8F">
            <w:pPr>
              <w:keepNext w:val="0"/>
              <w:keepLines w:val="0"/>
              <w:suppressLineNumbers w:val="0"/>
              <w:spacing w:before="0" w:beforeAutospacing="0" w:after="0" w:afterAutospacing="0" w:line="300" w:lineRule="exact"/>
              <w:ind w:left="0" w:right="0"/>
              <w:rPr>
                <w:rFonts w:hint="default" w:ascii="Calibri" w:hAnsi="Calibri" w:cs="Calibri"/>
                <w:color w:val="000000"/>
                <w:szCs w:val="21"/>
                <w:highlight w:val="none"/>
              </w:rPr>
            </w:pPr>
            <w:r>
              <w:rPr>
                <w:rFonts w:hint="default" w:ascii="Calibri" w:hAnsi="Calibri" w:cs="Calibri"/>
                <w:color w:val="000000"/>
                <w:szCs w:val="21"/>
                <w:highlight w:val="none"/>
              </w:rPr>
              <w:t>其余供应商的价格分以下列公式计算：</w:t>
            </w:r>
          </w:p>
          <w:p w14:paraId="12483EA6">
            <w:pPr>
              <w:keepNext w:val="0"/>
              <w:keepLines w:val="0"/>
              <w:suppressLineNumbers w:val="0"/>
              <w:spacing w:before="0" w:beforeAutospacing="0" w:after="0" w:afterAutospacing="0" w:line="300" w:lineRule="exact"/>
              <w:ind w:left="0" w:right="0"/>
              <w:rPr>
                <w:rFonts w:hint="default" w:ascii="Calibri" w:hAnsi="Calibri" w:cs="Calibri"/>
                <w:color w:val="000000"/>
                <w:szCs w:val="21"/>
                <w:highlight w:val="none"/>
                <w:lang w:val="en-US"/>
              </w:rPr>
            </w:pPr>
            <w:r>
              <w:rPr>
                <w:rFonts w:hint="default" w:ascii="Calibri" w:hAnsi="Calibri" w:cs="Calibri"/>
                <w:color w:val="000000"/>
                <w:szCs w:val="21"/>
                <w:highlight w:val="none"/>
              </w:rPr>
              <w:t>价格分得分＝</w:t>
            </w:r>
            <w:r>
              <w:rPr>
                <w:rFonts w:hint="eastAsia" w:ascii="Calibri" w:hAnsi="Calibri" w:cs="Calibri"/>
                <w:color w:val="000000"/>
                <w:szCs w:val="21"/>
                <w:highlight w:val="none"/>
              </w:rPr>
              <w:t>[</w:t>
            </w:r>
            <w:r>
              <w:rPr>
                <w:rFonts w:hint="default" w:ascii="Calibri" w:hAnsi="Calibri" w:cs="Calibri"/>
                <w:color w:val="000000"/>
                <w:szCs w:val="21"/>
                <w:highlight w:val="none"/>
              </w:rPr>
              <w:t>评标基准价/</w:t>
            </w:r>
            <w:r>
              <w:rPr>
                <w:rFonts w:hint="eastAsia" w:ascii="Calibri" w:hAnsi="Calibri" w:cs="Calibri"/>
                <w:color w:val="000000"/>
                <w:szCs w:val="21"/>
                <w:highlight w:val="none"/>
                <w:lang w:eastAsia="zh-CN"/>
              </w:rPr>
              <w:t>参与评审的价格</w:t>
            </w:r>
            <w:r>
              <w:rPr>
                <w:rFonts w:hint="eastAsia" w:ascii="Calibri" w:hAnsi="Calibri" w:cs="Calibri"/>
                <w:color w:val="000000"/>
                <w:szCs w:val="21"/>
                <w:highlight w:val="none"/>
              </w:rPr>
              <w:t xml:space="preserve">] </w:t>
            </w:r>
            <w:r>
              <w:rPr>
                <w:rFonts w:hint="default" w:ascii="Calibri" w:hAnsi="Calibri" w:cs="Calibri"/>
                <w:color w:val="000000"/>
                <w:szCs w:val="21"/>
                <w:highlight w:val="none"/>
              </w:rPr>
              <w:t>×</w:t>
            </w:r>
            <w:r>
              <w:rPr>
                <w:rFonts w:hint="eastAsia" w:ascii="Calibri" w:hAnsi="Calibri" w:cs="Calibri"/>
                <w:color w:val="000000"/>
                <w:szCs w:val="21"/>
                <w:highlight w:val="none"/>
                <w:lang w:val="en-US" w:eastAsia="zh-CN"/>
              </w:rPr>
              <w:t>30</w:t>
            </w:r>
          </w:p>
          <w:p w14:paraId="7986A506">
            <w:pPr>
              <w:keepNext w:val="0"/>
              <w:keepLines w:val="0"/>
              <w:suppressLineNumbers w:val="0"/>
              <w:spacing w:before="0" w:beforeAutospacing="0" w:after="0" w:afterAutospacing="0" w:line="300" w:lineRule="exact"/>
              <w:ind w:left="0" w:right="0"/>
              <w:rPr>
                <w:rFonts w:hint="default"/>
                <w:color w:val="000000"/>
                <w:szCs w:val="21"/>
                <w:highlight w:val="none"/>
              </w:rPr>
            </w:pPr>
            <w:r>
              <w:rPr>
                <w:rFonts w:hint="eastAsia" w:ascii="Calibri" w:hAnsi="Calibri" w:cs="Calibri"/>
                <w:color w:val="000000"/>
                <w:szCs w:val="21"/>
                <w:highlight w:val="none"/>
                <w:lang w:val="zh-CN" w:eastAsia="zh-CN"/>
              </w:rPr>
              <w:t>以最终报价为评审依据。</w:t>
            </w:r>
          </w:p>
        </w:tc>
      </w:tr>
    </w:tbl>
    <w:p w14:paraId="7BA6B455">
      <w:pPr>
        <w:widowControl/>
        <w:kinsoku/>
        <w:wordWrap/>
        <w:overflowPunct/>
        <w:topLinePunct w:val="0"/>
        <w:bidi w:val="0"/>
        <w:adjustRightInd/>
        <w:spacing w:line="320" w:lineRule="exact"/>
        <w:jc w:val="left"/>
        <w:outlineLvl w:val="9"/>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rPr>
        <w:t>备注：</w:t>
      </w:r>
      <w:r>
        <w:rPr>
          <w:rFonts w:hint="eastAsia" w:ascii="宋体" w:hAnsi="宋体" w:cs="宋体"/>
          <w:b w:val="0"/>
          <w:bCs/>
          <w:color w:val="auto"/>
          <w:sz w:val="21"/>
          <w:szCs w:val="21"/>
          <w:highlight w:val="none"/>
          <w:lang w:val="en-US" w:eastAsia="zh-CN"/>
        </w:rPr>
        <w:t>1、</w:t>
      </w:r>
      <w:r>
        <w:rPr>
          <w:rFonts w:hint="eastAsia" w:ascii="宋体" w:hAnsi="宋体" w:cs="宋体"/>
          <w:b w:val="0"/>
          <w:bCs/>
          <w:color w:val="auto"/>
          <w:sz w:val="21"/>
          <w:szCs w:val="21"/>
          <w:highlight w:val="none"/>
          <w:lang w:eastAsia="zh-CN"/>
        </w:rPr>
        <w:t>供应商</w:t>
      </w:r>
      <w:r>
        <w:rPr>
          <w:rFonts w:hint="eastAsia" w:ascii="宋体" w:hAnsi="宋体" w:cs="宋体"/>
          <w:b w:val="0"/>
          <w:bCs/>
          <w:color w:val="auto"/>
          <w:sz w:val="21"/>
          <w:szCs w:val="21"/>
          <w:highlight w:val="none"/>
        </w:rPr>
        <w:t>编制投标文件（商务技术文件部分）时，建议按此目录（序号和内容）提供评标标准相应的商务技术资料</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、小数点后保留</w:t>
      </w:r>
      <w:r>
        <w:rPr>
          <w:rFonts w:hint="eastAsia" w:ascii="宋体" w:hAnsi="宋体" w:cs="宋体"/>
          <w:b w:val="0"/>
          <w:bCs/>
          <w:color w:val="auto"/>
          <w:sz w:val="21"/>
          <w:szCs w:val="21"/>
          <w:highlight w:val="none"/>
          <w:lang w:eastAsia="zh-CN"/>
        </w:rPr>
        <w:t>二</w:t>
      </w:r>
      <w:r>
        <w:rPr>
          <w:rFonts w:hint="eastAsia" w:ascii="宋体" w:hAnsi="宋体" w:eastAsia="宋体" w:cs="宋体"/>
          <w:b w:val="0"/>
          <w:bCs/>
          <w:color w:val="auto"/>
          <w:sz w:val="21"/>
          <w:szCs w:val="21"/>
          <w:highlight w:val="none"/>
        </w:rPr>
        <w:t>位数。</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、各评标委员会成员自行按以上参考分值评分。</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、重大事件由评标委员会集体讨论，应当按照少数服从多数的原则作出结论。</w:t>
      </w:r>
    </w:p>
    <w:p w14:paraId="4749D95C">
      <w:pPr>
        <w:pStyle w:val="26"/>
        <w:kinsoku/>
        <w:wordWrap/>
        <w:overflowPunct/>
        <w:topLinePunct w:val="0"/>
        <w:bidi w:val="0"/>
        <w:snapToGrid w:val="0"/>
        <w:spacing w:line="360" w:lineRule="auto"/>
        <w:ind w:firstLine="0" w:firstLineChars="0"/>
        <w:outlineLvl w:val="9"/>
        <w:rPr>
          <w:rFonts w:cs="宋体"/>
          <w:color w:val="auto"/>
          <w:highlight w:val="none"/>
        </w:rPr>
      </w:pPr>
    </w:p>
    <w:bookmarkEnd w:id="17"/>
    <w:p w14:paraId="1BDAF47F">
      <w:pPr>
        <w:kinsoku/>
        <w:wordWrap/>
        <w:overflowPunct/>
        <w:topLinePunct w:val="0"/>
        <w:bidi w:val="0"/>
        <w:spacing w:line="360" w:lineRule="auto"/>
        <w:ind w:left="720" w:leftChars="343" w:firstLine="1084" w:firstLineChars="300"/>
        <w:outlineLvl w:val="0"/>
        <w:rPr>
          <w:rFonts w:hint="eastAsia" w:ascii="宋体" w:hAnsi="宋体" w:cs="宋体"/>
          <w:b/>
          <w:color w:val="auto"/>
          <w:sz w:val="36"/>
          <w:szCs w:val="36"/>
          <w:highlight w:val="none"/>
        </w:rPr>
      </w:pPr>
      <w:bookmarkStart w:id="411" w:name="_Toc8264"/>
      <w:bookmarkStart w:id="412" w:name="第五部分"/>
      <w:bookmarkStart w:id="413" w:name="_Toc86217003"/>
    </w:p>
    <w:p w14:paraId="17FB9B3E">
      <w:pPr>
        <w:kinsoku/>
        <w:wordWrap/>
        <w:overflowPunct/>
        <w:topLinePunct w:val="0"/>
        <w:bidi w:val="0"/>
        <w:spacing w:line="360" w:lineRule="auto"/>
        <w:ind w:left="720" w:leftChars="343" w:firstLine="1084" w:firstLineChars="300"/>
        <w:outlineLvl w:val="0"/>
        <w:rPr>
          <w:rFonts w:hint="eastAsia" w:ascii="宋体" w:hAnsi="宋体" w:cs="宋体"/>
          <w:b/>
          <w:color w:val="auto"/>
          <w:sz w:val="36"/>
          <w:szCs w:val="36"/>
          <w:highlight w:val="none"/>
        </w:rPr>
      </w:pPr>
    </w:p>
    <w:p w14:paraId="1DC4D7B1">
      <w:pPr>
        <w:kinsoku/>
        <w:wordWrap/>
        <w:overflowPunct/>
        <w:topLinePunct w:val="0"/>
        <w:bidi w:val="0"/>
        <w:spacing w:line="360" w:lineRule="auto"/>
        <w:ind w:left="720" w:leftChars="343" w:firstLine="1084" w:firstLineChars="300"/>
        <w:outlineLvl w:val="0"/>
        <w:rPr>
          <w:rFonts w:hint="eastAsia" w:ascii="宋体" w:hAnsi="宋体" w:cs="宋体"/>
          <w:b/>
          <w:color w:val="auto"/>
          <w:sz w:val="36"/>
          <w:szCs w:val="36"/>
          <w:highlight w:val="none"/>
        </w:rPr>
      </w:pPr>
    </w:p>
    <w:bookmarkEnd w:id="411"/>
    <w:p w14:paraId="64A9E68B">
      <w:pPr>
        <w:spacing w:line="360" w:lineRule="auto"/>
        <w:ind w:firstLine="708"/>
        <w:jc w:val="center"/>
        <w:outlineLvl w:val="0"/>
        <w:rPr>
          <w:rFonts w:hint="eastAsia" w:ascii="宋体" w:hAnsi="宋体" w:cs="宋体"/>
          <w:b/>
          <w:sz w:val="36"/>
          <w:szCs w:val="36"/>
        </w:rPr>
      </w:pPr>
      <w:bookmarkStart w:id="414" w:name="_Toc26894"/>
      <w:bookmarkStart w:id="415" w:name="_Toc22993"/>
    </w:p>
    <w:p w14:paraId="709F1B5D">
      <w:pPr>
        <w:spacing w:line="360" w:lineRule="auto"/>
        <w:ind w:firstLine="708"/>
        <w:jc w:val="center"/>
        <w:outlineLvl w:val="0"/>
        <w:rPr>
          <w:rFonts w:hint="eastAsia" w:ascii="宋体" w:hAnsi="宋体" w:cs="宋体"/>
          <w:b/>
          <w:sz w:val="36"/>
          <w:szCs w:val="36"/>
        </w:rPr>
      </w:pPr>
    </w:p>
    <w:p w14:paraId="598AB8CC">
      <w:pPr>
        <w:spacing w:line="360" w:lineRule="auto"/>
        <w:ind w:firstLine="708"/>
        <w:jc w:val="center"/>
        <w:outlineLvl w:val="0"/>
        <w:rPr>
          <w:rFonts w:hint="eastAsia" w:ascii="宋体" w:hAnsi="宋体" w:cs="宋体"/>
          <w:b/>
          <w:sz w:val="36"/>
          <w:szCs w:val="36"/>
        </w:rPr>
      </w:pPr>
    </w:p>
    <w:p w14:paraId="15BE05E8">
      <w:pPr>
        <w:spacing w:line="360" w:lineRule="auto"/>
        <w:ind w:firstLine="708"/>
        <w:jc w:val="center"/>
        <w:outlineLvl w:val="0"/>
        <w:rPr>
          <w:rFonts w:hint="eastAsia" w:ascii="宋体" w:hAnsi="宋体" w:cs="宋体"/>
          <w:b/>
          <w:sz w:val="36"/>
          <w:szCs w:val="36"/>
        </w:rPr>
      </w:pPr>
    </w:p>
    <w:p w14:paraId="4DC25622">
      <w:pPr>
        <w:spacing w:line="360" w:lineRule="auto"/>
        <w:ind w:firstLine="708"/>
        <w:jc w:val="center"/>
        <w:outlineLvl w:val="0"/>
        <w:rPr>
          <w:rFonts w:ascii="宋体" w:hAnsi="宋体" w:cs="宋体"/>
          <w:b/>
          <w:sz w:val="36"/>
          <w:szCs w:val="36"/>
        </w:rPr>
      </w:pPr>
      <w:r>
        <w:rPr>
          <w:rFonts w:hint="eastAsia" w:ascii="宋体" w:hAnsi="宋体" w:cs="宋体"/>
          <w:b/>
          <w:sz w:val="36"/>
          <w:szCs w:val="36"/>
        </w:rPr>
        <w:t>第五部分 拟签订的合同文本</w:t>
      </w:r>
      <w:bookmarkEnd w:id="414"/>
    </w:p>
    <w:p w14:paraId="0E6C59B7">
      <w:pPr>
        <w:snapToGrid w:val="0"/>
        <w:spacing w:line="360" w:lineRule="auto"/>
        <w:ind w:firstLine="480" w:firstLineChars="200"/>
        <w:jc w:val="left"/>
        <w:rPr>
          <w:rFonts w:hint="eastAsia" w:ascii="宋体" w:hAnsi="宋体"/>
          <w:snapToGrid w:val="0"/>
          <w:kern w:val="0"/>
          <w:sz w:val="24"/>
          <w:szCs w:val="20"/>
        </w:rPr>
      </w:pPr>
    </w:p>
    <w:p w14:paraId="22E68809">
      <w:pPr>
        <w:snapToGrid w:val="0"/>
        <w:spacing w:line="360" w:lineRule="auto"/>
        <w:ind w:firstLine="480" w:firstLineChars="200"/>
        <w:jc w:val="left"/>
        <w:rPr>
          <w:rFonts w:hint="eastAsia" w:ascii="宋体" w:hAnsi="宋体"/>
          <w:snapToGrid w:val="0"/>
          <w:kern w:val="0"/>
          <w:sz w:val="24"/>
          <w:szCs w:val="20"/>
        </w:rPr>
      </w:pPr>
    </w:p>
    <w:p w14:paraId="07401737">
      <w:pPr>
        <w:snapToGrid w:val="0"/>
        <w:spacing w:line="360" w:lineRule="auto"/>
        <w:ind w:firstLine="480" w:firstLineChars="200"/>
        <w:jc w:val="left"/>
        <w:rPr>
          <w:rFonts w:hint="eastAsia" w:ascii="宋体" w:hAnsi="宋体"/>
          <w:snapToGrid w:val="0"/>
          <w:kern w:val="0"/>
          <w:sz w:val="24"/>
          <w:szCs w:val="20"/>
        </w:rPr>
      </w:pPr>
    </w:p>
    <w:p w14:paraId="2F51257A">
      <w:pPr>
        <w:snapToGrid w:val="0"/>
        <w:spacing w:line="360" w:lineRule="auto"/>
        <w:ind w:firstLine="480" w:firstLineChars="200"/>
        <w:jc w:val="left"/>
        <w:rPr>
          <w:rFonts w:ascii="宋体" w:hAnsi="宋体"/>
          <w:snapToGrid w:val="0"/>
          <w:kern w:val="0"/>
          <w:sz w:val="24"/>
          <w:szCs w:val="20"/>
        </w:rPr>
      </w:pPr>
      <w:r>
        <w:rPr>
          <w:rFonts w:hint="eastAsia" w:ascii="宋体" w:hAnsi="宋体"/>
          <w:snapToGrid w:val="0"/>
          <w:kern w:val="0"/>
          <w:sz w:val="24"/>
          <w:szCs w:val="20"/>
        </w:rPr>
        <w:t>参考住房城乡建设部、原国家工商行政管理总局制定的《建设工程施工合同（示范文本）》（GF-2017-0201）。</w:t>
      </w:r>
    </w:p>
    <w:p w14:paraId="0328D71E">
      <w:pPr>
        <w:pStyle w:val="4"/>
        <w:keepNext w:val="0"/>
        <w:keepLines w:val="0"/>
        <w:spacing w:before="0" w:after="0" w:line="360" w:lineRule="auto"/>
        <w:ind w:left="0" w:firstLine="472"/>
        <w:jc w:val="center"/>
        <w:rPr>
          <w:rFonts w:ascii="宋体" w:hAnsi="宋体" w:cs="宋体"/>
          <w:b w:val="0"/>
          <w:color w:val="000000"/>
        </w:rPr>
      </w:pPr>
      <w:r>
        <w:rPr>
          <w:rFonts w:hint="eastAsia" w:ascii="宋体" w:hAnsi="宋体" w:cs="宋体"/>
          <w:snapToGrid w:val="0"/>
          <w:kern w:val="44"/>
          <w:sz w:val="24"/>
          <w:szCs w:val="20"/>
        </w:rPr>
        <w:br w:type="page"/>
      </w:r>
      <w:r>
        <w:rPr>
          <w:rFonts w:hint="eastAsia" w:ascii="宋体" w:hAnsi="宋体" w:cs="宋体"/>
          <w:color w:val="000000"/>
        </w:rPr>
        <w:t>第一部分 合同协议书</w:t>
      </w:r>
    </w:p>
    <w:p w14:paraId="6B59AAAD">
      <w:pPr>
        <w:spacing w:line="360" w:lineRule="auto"/>
        <w:rPr>
          <w:rFonts w:ascii="宋体" w:hAnsi="宋体" w:cs="宋体"/>
          <w:color w:val="000000"/>
          <w:sz w:val="24"/>
          <w:u w:val="single"/>
        </w:rPr>
      </w:pPr>
      <w:r>
        <w:rPr>
          <w:rFonts w:hint="eastAsia" w:ascii="宋体" w:hAnsi="宋体" w:cs="宋体"/>
          <w:color w:val="000000"/>
          <w:sz w:val="24"/>
        </w:rPr>
        <w:t>发包人（全称）：</w:t>
      </w:r>
      <w:r>
        <w:rPr>
          <w:rFonts w:hint="eastAsia" w:ascii="宋体" w:hAnsi="宋体" w:cs="宋体"/>
          <w:kern w:val="28"/>
          <w:sz w:val="24"/>
          <w:u w:val="single"/>
          <w:lang w:bidi="ar"/>
        </w:rPr>
        <w:t xml:space="preserve">                     </w:t>
      </w:r>
    </w:p>
    <w:p w14:paraId="269258A8">
      <w:pPr>
        <w:spacing w:line="360" w:lineRule="auto"/>
        <w:rPr>
          <w:rFonts w:ascii="宋体" w:hAnsi="宋体" w:cs="宋体"/>
          <w:color w:val="000000"/>
          <w:sz w:val="24"/>
          <w:u w:val="single"/>
        </w:rPr>
      </w:pPr>
      <w:r>
        <w:rPr>
          <w:rFonts w:hint="eastAsia" w:ascii="宋体" w:hAnsi="宋体" w:cs="宋体"/>
          <w:color w:val="000000"/>
          <w:sz w:val="24"/>
        </w:rPr>
        <w:t>承包人（全称）：</w:t>
      </w:r>
      <w:r>
        <w:rPr>
          <w:rFonts w:hint="eastAsia" w:ascii="宋体" w:hAnsi="宋体" w:cs="宋体"/>
          <w:color w:val="000000"/>
          <w:sz w:val="24"/>
          <w:u w:val="single"/>
        </w:rPr>
        <w:t xml:space="preserve">           </w:t>
      </w:r>
    </w:p>
    <w:p w14:paraId="70E5CEC2">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根据《中华人民共和国民法典》、《中华人民共和国建筑法》及有关法律规定，遵循平等、自愿、公平和诚实信用的原则，双方就</w:t>
      </w:r>
      <w:r>
        <w:rPr>
          <w:rFonts w:hint="eastAsia" w:ascii="宋体" w:hAnsi="宋体" w:cs="宋体"/>
          <w:color w:val="000000"/>
          <w:sz w:val="24"/>
          <w:u w:val="single"/>
          <w:lang w:eastAsia="zh-CN"/>
        </w:rPr>
        <w:t>宁海县桃源街道回浦小学教学楼中庭窗户等维修工程</w:t>
      </w:r>
      <w:r>
        <w:rPr>
          <w:rFonts w:hint="eastAsia" w:ascii="宋体" w:hAnsi="宋体" w:cs="宋体"/>
          <w:color w:val="000000"/>
          <w:sz w:val="24"/>
        </w:rPr>
        <w:t>施工及有关事项协商一致，共同达成如下协议：</w:t>
      </w:r>
    </w:p>
    <w:p w14:paraId="4160068B">
      <w:pPr>
        <w:pStyle w:val="6"/>
        <w:keepNext w:val="0"/>
        <w:keepLines w:val="0"/>
        <w:spacing w:before="0" w:after="0" w:line="360" w:lineRule="auto"/>
        <w:ind w:left="0" w:firstLine="482" w:firstLineChars="200"/>
        <w:rPr>
          <w:rFonts w:ascii="宋体" w:hAnsi="宋体" w:eastAsia="宋体" w:cs="宋体"/>
          <w:bCs w:val="0"/>
          <w:color w:val="000000"/>
          <w:sz w:val="24"/>
          <w:szCs w:val="24"/>
        </w:rPr>
      </w:pPr>
      <w:bookmarkStart w:id="416" w:name="_Toc386638593"/>
      <w:r>
        <w:rPr>
          <w:rFonts w:hint="eastAsia" w:ascii="宋体" w:hAnsi="宋体" w:eastAsia="宋体" w:cs="宋体"/>
          <w:bCs w:val="0"/>
          <w:color w:val="000000"/>
          <w:sz w:val="24"/>
          <w:szCs w:val="24"/>
        </w:rPr>
        <w:t>一、工程概况</w:t>
      </w:r>
      <w:bookmarkEnd w:id="416"/>
    </w:p>
    <w:p w14:paraId="20B78937">
      <w:pPr>
        <w:spacing w:line="360" w:lineRule="auto"/>
        <w:ind w:firstLine="480" w:firstLineChars="200"/>
        <w:rPr>
          <w:rFonts w:ascii="宋体" w:hAnsi="宋体" w:cs="宋体"/>
          <w:bCs/>
          <w:color w:val="000000"/>
          <w:sz w:val="24"/>
        </w:rPr>
      </w:pPr>
      <w:r>
        <w:rPr>
          <w:rFonts w:hint="eastAsia" w:ascii="宋体" w:hAnsi="宋体" w:cs="宋体"/>
          <w:bCs/>
          <w:color w:val="000000"/>
          <w:sz w:val="24"/>
        </w:rPr>
        <w:t>1.工程名称</w:t>
      </w:r>
      <w:r>
        <w:rPr>
          <w:rFonts w:hint="eastAsia" w:ascii="宋体" w:hAnsi="宋体" w:cs="宋体"/>
          <w:color w:val="000000"/>
          <w:sz w:val="24"/>
        </w:rPr>
        <w:t>：</w:t>
      </w:r>
      <w:r>
        <w:rPr>
          <w:rFonts w:hint="eastAsia" w:ascii="宋体" w:hAnsi="宋体" w:cs="宋体"/>
          <w:color w:val="000000"/>
          <w:sz w:val="24"/>
          <w:u w:val="single"/>
          <w:lang w:eastAsia="zh-CN"/>
        </w:rPr>
        <w:t>宁海县桃源街道回浦小学教学楼中庭窗户等维修工程</w:t>
      </w:r>
      <w:r>
        <w:rPr>
          <w:rFonts w:hint="eastAsia" w:ascii="宋体" w:hAnsi="宋体" w:eastAsia="宋体" w:cs="宋体"/>
          <w:color w:val="000000"/>
          <w:sz w:val="24"/>
          <w:u w:val="single"/>
          <w:lang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bCs/>
          <w:sz w:val="24"/>
          <w:u w:val="single"/>
        </w:rPr>
        <w:t xml:space="preserve"> </w:t>
      </w:r>
    </w:p>
    <w:p w14:paraId="53FFFA6B">
      <w:pPr>
        <w:spacing w:line="360" w:lineRule="auto"/>
        <w:ind w:firstLine="480" w:firstLineChars="200"/>
        <w:rPr>
          <w:rFonts w:ascii="宋体" w:hAnsi="宋体" w:cs="宋体"/>
          <w:bCs/>
          <w:color w:val="000000"/>
          <w:sz w:val="24"/>
        </w:rPr>
      </w:pPr>
      <w:r>
        <w:rPr>
          <w:rFonts w:hint="eastAsia" w:ascii="宋体" w:hAnsi="宋体" w:cs="宋体"/>
          <w:bCs/>
          <w:color w:val="000000"/>
          <w:sz w:val="24"/>
        </w:rPr>
        <w:t>2.工程地点：</w:t>
      </w:r>
      <w:r>
        <w:rPr>
          <w:rFonts w:hint="eastAsia" w:ascii="宋体" w:hAnsi="宋体" w:cs="宋体"/>
          <w:color w:val="000000"/>
          <w:sz w:val="24"/>
          <w:u w:val="single"/>
          <w:lang w:eastAsia="zh-CN"/>
        </w:rPr>
        <w:t>宁海县桃源街道回浦小学</w:t>
      </w:r>
      <w:r>
        <w:rPr>
          <w:rFonts w:hint="eastAsia" w:ascii="宋体" w:hAnsi="宋体" w:cs="宋体"/>
          <w:bCs/>
          <w:color w:val="000000"/>
          <w:sz w:val="24"/>
          <w:u w:val="single"/>
        </w:rPr>
        <w:t xml:space="preserve">                                    </w:t>
      </w:r>
    </w:p>
    <w:p w14:paraId="7D854D93">
      <w:pPr>
        <w:spacing w:line="360" w:lineRule="auto"/>
        <w:ind w:firstLine="480" w:firstLineChars="200"/>
        <w:rPr>
          <w:rFonts w:ascii="宋体" w:hAnsi="宋体" w:cs="宋体"/>
          <w:bCs/>
          <w:color w:val="000000"/>
          <w:sz w:val="24"/>
          <w:u w:val="single"/>
        </w:rPr>
      </w:pPr>
      <w:r>
        <w:rPr>
          <w:rFonts w:hint="eastAsia" w:ascii="宋体" w:hAnsi="宋体" w:cs="宋体"/>
          <w:bCs/>
          <w:color w:val="000000"/>
          <w:sz w:val="24"/>
        </w:rPr>
        <w:t>3.工程立项批准文号：</w:t>
      </w:r>
      <w:r>
        <w:rPr>
          <w:rFonts w:hint="eastAsia" w:ascii="宋体" w:hAnsi="宋体" w:cs="宋体"/>
          <w:bCs/>
          <w:color w:val="000000"/>
          <w:sz w:val="24"/>
          <w:u w:val="single"/>
        </w:rPr>
        <w:t xml:space="preserve">      </w:t>
      </w:r>
      <w:r>
        <w:rPr>
          <w:rFonts w:hint="eastAsia" w:ascii="宋体" w:hAnsi="宋体" w:cs="宋体"/>
          <w:bCs/>
          <w:color w:val="000000"/>
          <w:sz w:val="24"/>
          <w:u w:val="single"/>
          <w:lang w:val="en-US" w:eastAsia="zh-CN"/>
        </w:rPr>
        <w:t>/</w:t>
      </w:r>
      <w:r>
        <w:rPr>
          <w:rFonts w:hint="eastAsia" w:ascii="宋体" w:hAnsi="宋体" w:cs="宋体"/>
          <w:bCs/>
          <w:color w:val="000000"/>
          <w:sz w:val="24"/>
          <w:u w:val="single"/>
        </w:rPr>
        <w:t xml:space="preserve">                                    </w:t>
      </w:r>
    </w:p>
    <w:p w14:paraId="24FDC541">
      <w:pPr>
        <w:spacing w:line="360" w:lineRule="auto"/>
        <w:ind w:firstLine="480" w:firstLineChars="200"/>
        <w:rPr>
          <w:rFonts w:hint="eastAsia" w:ascii="宋体" w:hAnsi="宋体" w:cs="宋体"/>
          <w:color w:val="000000"/>
          <w:sz w:val="24"/>
          <w:u w:val="single"/>
        </w:rPr>
      </w:pPr>
      <w:r>
        <w:rPr>
          <w:rFonts w:hint="eastAsia" w:ascii="宋体" w:hAnsi="宋体" w:cs="宋体"/>
          <w:bCs/>
          <w:color w:val="000000"/>
          <w:sz w:val="24"/>
        </w:rPr>
        <w:t>4.资金来源：</w:t>
      </w:r>
      <w:r>
        <w:rPr>
          <w:rFonts w:hint="eastAsia" w:ascii="宋体" w:hAnsi="宋体" w:cs="宋体"/>
          <w:color w:val="000000"/>
          <w:sz w:val="24"/>
          <w:u w:val="single"/>
        </w:rPr>
        <w:t xml:space="preserve">财政预算                                           </w:t>
      </w:r>
    </w:p>
    <w:p w14:paraId="65E55403">
      <w:pPr>
        <w:spacing w:line="360" w:lineRule="auto"/>
        <w:ind w:firstLine="480" w:firstLineChars="200"/>
        <w:rPr>
          <w:rFonts w:hint="eastAsia" w:ascii="宋体" w:hAnsi="宋体" w:cs="宋体"/>
          <w:bCs/>
          <w:color w:val="000000"/>
          <w:sz w:val="24"/>
          <w:lang w:val="en-US" w:eastAsia="zh-CN"/>
        </w:rPr>
      </w:pPr>
      <w:r>
        <w:rPr>
          <w:rFonts w:hint="eastAsia" w:ascii="宋体" w:hAnsi="宋体" w:cs="宋体"/>
          <w:bCs/>
          <w:color w:val="000000"/>
          <w:sz w:val="24"/>
        </w:rPr>
        <w:t>5.工程内容：</w:t>
      </w:r>
      <w:r>
        <w:rPr>
          <w:rFonts w:hint="eastAsia" w:ascii="宋体" w:hAnsi="宋体" w:cs="宋体"/>
          <w:bCs/>
          <w:color w:val="000000"/>
          <w:sz w:val="24"/>
          <w:u w:val="single"/>
          <w:lang w:val="en-US" w:eastAsia="zh-CN"/>
        </w:rPr>
        <w:t>本工程主要建设内容为校内1#、2#、3#教学楼二至四层开放式中庭原有不锈钢栏杆拆除后安装隔音窗，窗户采用三玻两腔中空玻璃（6+12A+6+12A+6），护窗不锈钢栏杆安装，部分防火门更换。</w:t>
      </w:r>
    </w:p>
    <w:p w14:paraId="206FA75D">
      <w:pPr>
        <w:spacing w:line="360" w:lineRule="auto"/>
        <w:ind w:firstLine="480" w:firstLineChars="200"/>
        <w:rPr>
          <w:rFonts w:hint="eastAsia" w:ascii="宋体" w:hAnsi="宋体" w:eastAsia="宋体" w:cs="宋体"/>
          <w:bCs/>
          <w:color w:val="000000"/>
          <w:sz w:val="24"/>
          <w:u w:val="single"/>
        </w:rPr>
      </w:pPr>
      <w:r>
        <w:rPr>
          <w:rFonts w:hint="eastAsia" w:ascii="宋体" w:hAnsi="宋体" w:cs="宋体"/>
          <w:bCs/>
          <w:color w:val="000000"/>
          <w:sz w:val="24"/>
        </w:rPr>
        <w:t>6.工程承包范围：</w:t>
      </w:r>
      <w:r>
        <w:rPr>
          <w:rFonts w:hint="eastAsia" w:ascii="宋体" w:hAnsi="宋体" w:cs="宋体"/>
          <w:color w:val="000000"/>
          <w:sz w:val="24"/>
          <w:u w:val="single"/>
          <w:lang w:eastAsia="zh-CN"/>
        </w:rPr>
        <w:t>宁海县桃源街道回浦小学教学楼中庭窗户等维修工程</w:t>
      </w:r>
    </w:p>
    <w:p w14:paraId="2FD68F5E">
      <w:pPr>
        <w:pStyle w:val="6"/>
        <w:keepNext w:val="0"/>
        <w:keepLines w:val="0"/>
        <w:spacing w:before="0" w:after="0" w:line="360" w:lineRule="auto"/>
        <w:ind w:left="0" w:firstLine="482" w:firstLineChars="200"/>
        <w:rPr>
          <w:rFonts w:ascii="宋体" w:hAnsi="宋体" w:eastAsia="宋体" w:cs="宋体"/>
          <w:color w:val="000000"/>
          <w:sz w:val="24"/>
          <w:szCs w:val="24"/>
        </w:rPr>
      </w:pPr>
      <w:bookmarkStart w:id="417" w:name="_Toc386638594"/>
      <w:r>
        <w:rPr>
          <w:rFonts w:hint="eastAsia" w:ascii="宋体" w:hAnsi="宋体" w:eastAsia="宋体" w:cs="宋体"/>
          <w:color w:val="000000"/>
          <w:sz w:val="24"/>
          <w:szCs w:val="24"/>
        </w:rPr>
        <w:t>二、合同工期</w:t>
      </w:r>
      <w:bookmarkEnd w:id="417"/>
    </w:p>
    <w:p w14:paraId="6E88337D">
      <w:pPr>
        <w:spacing w:line="360" w:lineRule="auto"/>
        <w:ind w:firstLine="480" w:firstLineChars="200"/>
        <w:rPr>
          <w:rFonts w:ascii="宋体" w:hAnsi="宋体" w:cs="宋体"/>
          <w:color w:val="000000"/>
          <w:sz w:val="24"/>
        </w:rPr>
      </w:pPr>
      <w:r>
        <w:rPr>
          <w:rFonts w:hint="eastAsia" w:ascii="宋体" w:hAnsi="宋体" w:cs="宋体"/>
          <w:color w:val="000000"/>
          <w:sz w:val="24"/>
        </w:rPr>
        <w:t>计划开工日期：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日（具体开工时间以发包人签署的开工报告为准）。</w:t>
      </w:r>
    </w:p>
    <w:p w14:paraId="61C86D14">
      <w:pPr>
        <w:spacing w:line="360" w:lineRule="auto"/>
        <w:ind w:firstLine="480" w:firstLineChars="200"/>
        <w:rPr>
          <w:rFonts w:ascii="宋体" w:hAnsi="宋体" w:cs="宋体"/>
          <w:color w:val="000000"/>
          <w:sz w:val="24"/>
        </w:rPr>
      </w:pPr>
      <w:r>
        <w:rPr>
          <w:rFonts w:hint="eastAsia" w:ascii="宋体" w:hAnsi="宋体" w:cs="宋体"/>
          <w:color w:val="000000"/>
          <w:sz w:val="24"/>
        </w:rPr>
        <w:t>计划竣工日期：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14B806F5">
      <w:pPr>
        <w:spacing w:line="360" w:lineRule="auto"/>
        <w:ind w:firstLine="480" w:firstLineChars="200"/>
        <w:rPr>
          <w:rFonts w:ascii="宋体" w:hAnsi="宋体" w:cs="宋体"/>
          <w:color w:val="000000"/>
          <w:sz w:val="24"/>
        </w:rPr>
      </w:pPr>
      <w:r>
        <w:rPr>
          <w:rFonts w:hint="eastAsia" w:ascii="宋体" w:hAnsi="宋体" w:cs="宋体"/>
          <w:color w:val="000000"/>
          <w:sz w:val="24"/>
        </w:rPr>
        <w:t>工期总日历天数：</w:t>
      </w:r>
      <w:r>
        <w:rPr>
          <w:rFonts w:hint="eastAsia" w:ascii="宋体" w:hAnsi="宋体" w:cs="宋体"/>
          <w:color w:val="000000"/>
          <w:sz w:val="24"/>
          <w:u w:val="single"/>
          <w:lang w:val="en-US" w:eastAsia="zh-CN"/>
        </w:rPr>
        <w:t>30</w:t>
      </w:r>
      <w:r>
        <w:rPr>
          <w:rFonts w:hint="eastAsia" w:ascii="宋体" w:hAnsi="宋体" w:cs="宋体"/>
          <w:color w:val="000000"/>
          <w:sz w:val="24"/>
          <w:u w:val="single"/>
        </w:rPr>
        <w:t>日历天</w:t>
      </w:r>
      <w:r>
        <w:rPr>
          <w:rFonts w:hint="eastAsia" w:ascii="宋体" w:hAnsi="宋体" w:cs="宋体"/>
          <w:color w:val="000000"/>
          <w:sz w:val="24"/>
        </w:rPr>
        <w:t>。工期总日历天数与根据前述计划开竣工日期计算的工期天数不一致的，以工期总日历天数为准。</w:t>
      </w:r>
    </w:p>
    <w:p w14:paraId="5CFAED51">
      <w:pPr>
        <w:pStyle w:val="6"/>
        <w:keepNext w:val="0"/>
        <w:keepLines w:val="0"/>
        <w:spacing w:before="0" w:after="0" w:line="360" w:lineRule="auto"/>
        <w:ind w:left="0" w:firstLine="482" w:firstLineChars="200"/>
        <w:rPr>
          <w:rFonts w:ascii="宋体" w:hAnsi="宋体" w:eastAsia="宋体" w:cs="宋体"/>
          <w:color w:val="000000"/>
          <w:sz w:val="24"/>
          <w:szCs w:val="24"/>
        </w:rPr>
      </w:pPr>
      <w:bookmarkStart w:id="418" w:name="_Toc386638595"/>
      <w:r>
        <w:rPr>
          <w:rFonts w:hint="eastAsia" w:ascii="宋体" w:hAnsi="宋体" w:eastAsia="宋体" w:cs="宋体"/>
          <w:color w:val="000000"/>
          <w:sz w:val="24"/>
          <w:szCs w:val="24"/>
        </w:rPr>
        <w:t>三、质量标准</w:t>
      </w:r>
      <w:bookmarkEnd w:id="418"/>
    </w:p>
    <w:p w14:paraId="47C8820E">
      <w:pPr>
        <w:spacing w:line="360" w:lineRule="auto"/>
        <w:ind w:firstLine="480" w:firstLineChars="200"/>
        <w:rPr>
          <w:rFonts w:ascii="宋体" w:hAnsi="宋体" w:cs="宋体"/>
          <w:color w:val="000000"/>
          <w:sz w:val="24"/>
        </w:rPr>
      </w:pPr>
      <w:r>
        <w:rPr>
          <w:rFonts w:hint="eastAsia" w:ascii="宋体" w:hAnsi="宋体" w:cs="宋体"/>
          <w:color w:val="000000"/>
          <w:sz w:val="24"/>
        </w:rPr>
        <w:t>工程质量</w:t>
      </w:r>
      <w:r>
        <w:rPr>
          <w:rFonts w:hint="eastAsia" w:ascii="宋体" w:hAnsi="宋体" w:cs="宋体"/>
          <w:color w:val="000000"/>
          <w:sz w:val="24"/>
          <w:u w:val="single"/>
        </w:rPr>
        <w:t>符合</w:t>
      </w:r>
      <w:r>
        <w:rPr>
          <w:rFonts w:hint="eastAsia" w:ascii="宋体" w:hAnsi="宋体" w:cs="宋体"/>
          <w:bCs/>
          <w:color w:val="000000"/>
          <w:sz w:val="24"/>
          <w:u w:val="single"/>
        </w:rPr>
        <w:t>现行国家有关工程施工质量验收规范和标准要求，验收合格</w:t>
      </w:r>
      <w:r>
        <w:rPr>
          <w:rFonts w:hint="eastAsia" w:ascii="宋体" w:hAnsi="宋体" w:cs="宋体"/>
          <w:color w:val="000000"/>
          <w:sz w:val="24"/>
        </w:rPr>
        <w:t>。</w:t>
      </w:r>
    </w:p>
    <w:p w14:paraId="69F76F75">
      <w:pPr>
        <w:pStyle w:val="6"/>
        <w:keepNext w:val="0"/>
        <w:keepLines w:val="0"/>
        <w:spacing w:before="0" w:after="0" w:line="360" w:lineRule="auto"/>
        <w:ind w:left="0" w:firstLine="482" w:firstLineChars="200"/>
        <w:rPr>
          <w:rFonts w:ascii="宋体" w:hAnsi="宋体" w:eastAsia="宋体" w:cs="宋体"/>
          <w:bCs w:val="0"/>
          <w:color w:val="000000"/>
          <w:sz w:val="24"/>
          <w:szCs w:val="24"/>
        </w:rPr>
      </w:pPr>
      <w:bookmarkStart w:id="419" w:name="_Toc386638596"/>
      <w:r>
        <w:rPr>
          <w:rFonts w:hint="eastAsia" w:ascii="宋体" w:hAnsi="宋体" w:eastAsia="宋体" w:cs="宋体"/>
          <w:color w:val="000000"/>
          <w:sz w:val="24"/>
          <w:szCs w:val="24"/>
        </w:rPr>
        <w:t>四、签约合同价与合同价格形式</w:t>
      </w:r>
      <w:bookmarkEnd w:id="419"/>
    </w:p>
    <w:p w14:paraId="18FC9C55">
      <w:pPr>
        <w:spacing w:line="360" w:lineRule="auto"/>
        <w:ind w:firstLine="480" w:firstLineChars="200"/>
        <w:rPr>
          <w:rFonts w:ascii="宋体" w:hAnsi="宋体" w:cs="宋体"/>
          <w:color w:val="000000"/>
          <w:sz w:val="24"/>
        </w:rPr>
      </w:pPr>
      <w:r>
        <w:rPr>
          <w:rFonts w:hint="eastAsia" w:ascii="宋体" w:hAnsi="宋体" w:cs="宋体"/>
          <w:color w:val="000000"/>
          <w:sz w:val="24"/>
        </w:rPr>
        <w:t>1.签约合同价为：</w:t>
      </w:r>
    </w:p>
    <w:p w14:paraId="1C6E129E">
      <w:pPr>
        <w:spacing w:line="360" w:lineRule="auto"/>
        <w:ind w:firstLine="480" w:firstLineChars="200"/>
        <w:rPr>
          <w:rFonts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528370DB">
      <w:pPr>
        <w:spacing w:line="360" w:lineRule="auto"/>
        <w:ind w:firstLine="480" w:firstLineChars="200"/>
        <w:rPr>
          <w:rFonts w:ascii="宋体" w:hAnsi="宋体" w:cs="宋体"/>
          <w:color w:val="000000"/>
          <w:sz w:val="24"/>
        </w:rPr>
      </w:pPr>
      <w:r>
        <w:rPr>
          <w:rFonts w:hint="eastAsia" w:ascii="宋体" w:hAnsi="宋体" w:cs="宋体"/>
          <w:color w:val="000000"/>
          <w:sz w:val="24"/>
        </w:rPr>
        <w:t>其中：</w:t>
      </w:r>
    </w:p>
    <w:p w14:paraId="0216F21D">
      <w:pPr>
        <w:spacing w:line="360" w:lineRule="auto"/>
        <w:ind w:firstLine="480" w:firstLineChars="200"/>
        <w:rPr>
          <w:rFonts w:ascii="宋体" w:hAnsi="宋体" w:cs="宋体"/>
          <w:color w:val="000000"/>
          <w:sz w:val="24"/>
        </w:rPr>
      </w:pPr>
      <w:r>
        <w:rPr>
          <w:rFonts w:hint="eastAsia" w:ascii="宋体" w:hAnsi="宋体" w:cs="宋体"/>
          <w:color w:val="000000"/>
          <w:sz w:val="24"/>
        </w:rPr>
        <w:t>（1）安全文明施工费：</w:t>
      </w:r>
    </w:p>
    <w:p w14:paraId="41C1291D">
      <w:pPr>
        <w:spacing w:line="360" w:lineRule="auto"/>
        <w:ind w:firstLine="480" w:firstLineChars="200"/>
        <w:rPr>
          <w:rFonts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06065C41">
      <w:pPr>
        <w:spacing w:line="360" w:lineRule="auto"/>
        <w:ind w:firstLine="480" w:firstLineChars="200"/>
        <w:rPr>
          <w:rFonts w:ascii="宋体" w:hAnsi="宋体" w:cs="宋体"/>
          <w:color w:val="000000"/>
          <w:sz w:val="24"/>
        </w:rPr>
      </w:pPr>
      <w:r>
        <w:rPr>
          <w:rFonts w:hint="eastAsia" w:ascii="宋体" w:hAnsi="宋体" w:cs="宋体"/>
          <w:color w:val="000000"/>
          <w:sz w:val="24"/>
        </w:rPr>
        <w:t>（2）材料和工程设备暂估价金额：</w:t>
      </w:r>
    </w:p>
    <w:p w14:paraId="606FC7FE">
      <w:pPr>
        <w:spacing w:line="360" w:lineRule="auto"/>
        <w:ind w:firstLine="480" w:firstLineChars="200"/>
        <w:rPr>
          <w:rFonts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      </w:t>
      </w:r>
      <w:r>
        <w:rPr>
          <w:rFonts w:hint="eastAsia" w:ascii="宋体" w:hAnsi="宋体" w:cs="宋体"/>
          <w:color w:val="000000"/>
          <w:sz w:val="24"/>
        </w:rPr>
        <w:t xml:space="preserve"> (¥</w:t>
      </w:r>
      <w:r>
        <w:rPr>
          <w:rFonts w:hint="eastAsia" w:ascii="宋体" w:hAnsi="宋体" w:cs="宋体"/>
          <w:color w:val="000000"/>
          <w:sz w:val="24"/>
          <w:u w:val="single"/>
        </w:rPr>
        <w:t xml:space="preserve">      /    </w:t>
      </w:r>
      <w:r>
        <w:rPr>
          <w:rFonts w:hint="eastAsia" w:ascii="宋体" w:hAnsi="宋体" w:cs="宋体"/>
          <w:color w:val="000000"/>
          <w:sz w:val="24"/>
        </w:rPr>
        <w:t>元)；</w:t>
      </w:r>
    </w:p>
    <w:p w14:paraId="4161A0CD">
      <w:pPr>
        <w:spacing w:line="360" w:lineRule="auto"/>
        <w:ind w:firstLine="480" w:firstLineChars="200"/>
        <w:rPr>
          <w:rFonts w:ascii="宋体" w:hAnsi="宋体" w:cs="宋体"/>
          <w:color w:val="000000"/>
          <w:sz w:val="24"/>
        </w:rPr>
      </w:pPr>
      <w:r>
        <w:rPr>
          <w:rFonts w:hint="eastAsia" w:ascii="宋体" w:hAnsi="宋体" w:cs="宋体"/>
          <w:color w:val="000000"/>
          <w:sz w:val="24"/>
        </w:rPr>
        <w:t>（3）专业工程暂估价金额：</w:t>
      </w:r>
    </w:p>
    <w:p w14:paraId="0369DC47">
      <w:pPr>
        <w:spacing w:line="360" w:lineRule="auto"/>
        <w:ind w:firstLine="480" w:firstLineChars="200"/>
        <w:rPr>
          <w:rFonts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       </w:t>
      </w:r>
      <w:r>
        <w:rPr>
          <w:rFonts w:hint="eastAsia" w:ascii="宋体" w:hAnsi="宋体" w:cs="宋体"/>
          <w:color w:val="000000"/>
          <w:sz w:val="24"/>
        </w:rPr>
        <w:t xml:space="preserve"> (¥</w:t>
      </w:r>
      <w:r>
        <w:rPr>
          <w:rFonts w:hint="eastAsia" w:ascii="宋体" w:hAnsi="宋体" w:cs="宋体"/>
          <w:color w:val="000000"/>
          <w:sz w:val="24"/>
          <w:u w:val="single"/>
        </w:rPr>
        <w:t xml:space="preserve">      /    </w:t>
      </w:r>
      <w:r>
        <w:rPr>
          <w:rFonts w:hint="eastAsia" w:ascii="宋体" w:hAnsi="宋体" w:cs="宋体"/>
          <w:color w:val="000000"/>
          <w:sz w:val="24"/>
        </w:rPr>
        <w:t>元)；</w:t>
      </w:r>
    </w:p>
    <w:p w14:paraId="46E167E2">
      <w:pPr>
        <w:spacing w:line="360" w:lineRule="auto"/>
        <w:ind w:firstLine="480" w:firstLineChars="200"/>
        <w:rPr>
          <w:rFonts w:ascii="宋体" w:hAnsi="宋体" w:cs="宋体"/>
          <w:color w:val="000000"/>
          <w:sz w:val="24"/>
        </w:rPr>
      </w:pPr>
      <w:r>
        <w:rPr>
          <w:rFonts w:hint="eastAsia" w:ascii="宋体" w:hAnsi="宋体" w:cs="宋体"/>
          <w:color w:val="000000"/>
          <w:sz w:val="24"/>
        </w:rPr>
        <w:t>（4）暂列金额：</w:t>
      </w:r>
    </w:p>
    <w:p w14:paraId="35BE532B">
      <w:pPr>
        <w:spacing w:line="360" w:lineRule="auto"/>
        <w:ind w:firstLine="480" w:firstLineChars="200"/>
        <w:rPr>
          <w:rFonts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3F546D7C">
      <w:pPr>
        <w:spacing w:line="360" w:lineRule="auto"/>
        <w:ind w:firstLine="480" w:firstLineChars="200"/>
        <w:rPr>
          <w:rFonts w:ascii="宋体" w:hAnsi="宋体" w:cs="宋体"/>
          <w:color w:val="000000"/>
          <w:sz w:val="24"/>
        </w:rPr>
      </w:pPr>
      <w:r>
        <w:rPr>
          <w:rFonts w:hint="eastAsia" w:ascii="宋体" w:hAnsi="宋体" w:cs="宋体"/>
          <w:color w:val="000000"/>
          <w:sz w:val="24"/>
        </w:rPr>
        <w:t>2.合同价格形式：</w:t>
      </w:r>
      <w:r>
        <w:rPr>
          <w:rFonts w:hint="eastAsia" w:ascii="宋体" w:hAnsi="宋体" w:cs="宋体"/>
          <w:color w:val="000000"/>
          <w:sz w:val="24"/>
          <w:u w:val="single"/>
        </w:rPr>
        <w:t>  单价合同           </w:t>
      </w:r>
      <w:r>
        <w:rPr>
          <w:rFonts w:hint="eastAsia" w:ascii="宋体" w:hAnsi="宋体" w:cs="宋体"/>
          <w:color w:val="000000"/>
          <w:sz w:val="24"/>
        </w:rPr>
        <w:t>。</w:t>
      </w:r>
    </w:p>
    <w:p w14:paraId="69EF3592">
      <w:pPr>
        <w:pStyle w:val="6"/>
        <w:keepNext w:val="0"/>
        <w:keepLines w:val="0"/>
        <w:spacing w:before="0" w:after="0" w:line="360" w:lineRule="auto"/>
        <w:ind w:left="0" w:firstLine="482" w:firstLineChars="200"/>
        <w:rPr>
          <w:rFonts w:ascii="宋体" w:hAnsi="宋体" w:eastAsia="宋体" w:cs="宋体"/>
          <w:color w:val="000000"/>
          <w:sz w:val="24"/>
          <w:szCs w:val="24"/>
        </w:rPr>
      </w:pPr>
      <w:bookmarkStart w:id="420" w:name="_Toc386638597"/>
      <w:r>
        <w:rPr>
          <w:rFonts w:hint="eastAsia" w:ascii="宋体" w:hAnsi="宋体" w:eastAsia="宋体" w:cs="宋体"/>
          <w:color w:val="000000"/>
          <w:sz w:val="24"/>
          <w:szCs w:val="24"/>
        </w:rPr>
        <w:t>五、项目经理</w:t>
      </w:r>
      <w:bookmarkEnd w:id="420"/>
    </w:p>
    <w:p w14:paraId="30A866BF">
      <w:pPr>
        <w:spacing w:line="360" w:lineRule="auto"/>
        <w:ind w:firstLine="480" w:firstLineChars="200"/>
        <w:rPr>
          <w:rFonts w:ascii="宋体" w:hAnsi="宋体" w:cs="宋体"/>
          <w:color w:val="000000"/>
          <w:sz w:val="24"/>
        </w:rPr>
      </w:pPr>
      <w:r>
        <w:rPr>
          <w:rFonts w:hint="eastAsia" w:ascii="宋体" w:hAnsi="宋体" w:cs="宋体"/>
          <w:color w:val="000000"/>
          <w:sz w:val="24"/>
        </w:rPr>
        <w:t>承包人项目经理：</w:t>
      </w:r>
      <w:r>
        <w:rPr>
          <w:rFonts w:hint="eastAsia" w:ascii="宋体" w:hAnsi="宋体" w:cs="宋体"/>
          <w:color w:val="000000"/>
          <w:sz w:val="24"/>
          <w:u w:val="single"/>
        </w:rPr>
        <w:t>                     </w:t>
      </w:r>
      <w:r>
        <w:rPr>
          <w:rFonts w:hint="eastAsia" w:ascii="宋体" w:hAnsi="宋体" w:cs="宋体"/>
          <w:color w:val="000000"/>
          <w:sz w:val="24"/>
        </w:rPr>
        <w:t>。</w:t>
      </w:r>
    </w:p>
    <w:p w14:paraId="7319989F">
      <w:pPr>
        <w:pStyle w:val="6"/>
        <w:keepNext w:val="0"/>
        <w:keepLines w:val="0"/>
        <w:spacing w:before="0" w:after="0" w:line="360" w:lineRule="auto"/>
        <w:ind w:left="0" w:firstLine="482" w:firstLineChars="200"/>
        <w:rPr>
          <w:rFonts w:ascii="宋体" w:hAnsi="宋体" w:eastAsia="宋体" w:cs="宋体"/>
          <w:color w:val="000000"/>
          <w:sz w:val="24"/>
          <w:szCs w:val="24"/>
        </w:rPr>
      </w:pPr>
      <w:bookmarkStart w:id="421" w:name="_Toc386638598"/>
      <w:r>
        <w:rPr>
          <w:rFonts w:hint="eastAsia" w:ascii="宋体" w:hAnsi="宋体" w:eastAsia="宋体" w:cs="宋体"/>
          <w:color w:val="000000"/>
          <w:sz w:val="24"/>
          <w:szCs w:val="24"/>
        </w:rPr>
        <w:t>六、合同文件构成</w:t>
      </w:r>
      <w:bookmarkEnd w:id="421"/>
    </w:p>
    <w:p w14:paraId="7EA384FD">
      <w:pPr>
        <w:spacing w:line="360" w:lineRule="auto"/>
        <w:ind w:firstLine="480" w:firstLineChars="200"/>
        <w:rPr>
          <w:rFonts w:ascii="宋体" w:hAnsi="宋体" w:cs="宋体"/>
          <w:bCs/>
          <w:color w:val="000000"/>
          <w:sz w:val="24"/>
        </w:rPr>
      </w:pPr>
      <w:r>
        <w:rPr>
          <w:rFonts w:hint="eastAsia" w:ascii="宋体" w:hAnsi="宋体" w:cs="宋体"/>
          <w:bCs/>
          <w:color w:val="000000"/>
          <w:sz w:val="24"/>
        </w:rPr>
        <w:t>本协议书与下列文件一起构成合同文件：</w:t>
      </w:r>
    </w:p>
    <w:p w14:paraId="66D1FD66">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（1）中标通知书（如果有）；</w:t>
      </w:r>
    </w:p>
    <w:p w14:paraId="32182F5D">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（2）投标函及其附录（如果有）；</w:t>
      </w:r>
    </w:p>
    <w:p w14:paraId="6BF3F94A">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（3）专用合同条款及其附件；</w:t>
      </w:r>
    </w:p>
    <w:p w14:paraId="4D284183">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（4）通用合同条款；</w:t>
      </w:r>
    </w:p>
    <w:p w14:paraId="2461F6B5">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（5）技术标准和要求；</w:t>
      </w:r>
    </w:p>
    <w:p w14:paraId="26387E0F">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（6）图纸；</w:t>
      </w:r>
    </w:p>
    <w:p w14:paraId="060C04B2">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（7）预算书；</w:t>
      </w:r>
    </w:p>
    <w:p w14:paraId="190B4C66">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（8）其他合同文件。</w:t>
      </w:r>
    </w:p>
    <w:p w14:paraId="482C0046">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在合同订立及履行过程中形成的与合同有关的文件均构成合同文件组成部分。</w:t>
      </w:r>
    </w:p>
    <w:p w14:paraId="7A3708C7">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上述各项合同文件包括合同当事人就该项合同文件所作出的补充和修改，属于同一类内容的文件，应以最新签署的为准。专用合同条款及其附件须经合同当事人签字或盖章。</w:t>
      </w:r>
    </w:p>
    <w:p w14:paraId="7CD9B27E">
      <w:pPr>
        <w:pStyle w:val="6"/>
        <w:keepNext w:val="0"/>
        <w:keepLines w:val="0"/>
        <w:spacing w:before="0" w:after="0" w:line="360" w:lineRule="auto"/>
        <w:ind w:left="0" w:firstLine="482" w:firstLineChars="200"/>
        <w:rPr>
          <w:rFonts w:ascii="宋体" w:hAnsi="宋体" w:eastAsia="宋体" w:cs="宋体"/>
          <w:color w:val="000000"/>
          <w:sz w:val="24"/>
          <w:szCs w:val="24"/>
        </w:rPr>
      </w:pPr>
      <w:bookmarkStart w:id="422" w:name="_Toc386638599"/>
      <w:r>
        <w:rPr>
          <w:rFonts w:hint="eastAsia" w:ascii="宋体" w:hAnsi="宋体" w:eastAsia="宋体" w:cs="宋体"/>
          <w:color w:val="000000"/>
          <w:sz w:val="24"/>
          <w:szCs w:val="24"/>
        </w:rPr>
        <w:t>七、承诺</w:t>
      </w:r>
      <w:bookmarkEnd w:id="422"/>
    </w:p>
    <w:p w14:paraId="4DA1B637">
      <w:pPr>
        <w:spacing w:line="360" w:lineRule="auto"/>
        <w:ind w:firstLine="480" w:firstLineChars="200"/>
        <w:rPr>
          <w:rFonts w:ascii="宋体" w:hAnsi="宋体" w:cs="宋体"/>
          <w:bCs/>
          <w:color w:val="000000"/>
          <w:sz w:val="24"/>
        </w:rPr>
      </w:pPr>
      <w:r>
        <w:rPr>
          <w:rFonts w:hint="eastAsia" w:ascii="宋体" w:hAnsi="宋体" w:cs="宋体"/>
          <w:bCs/>
          <w:color w:val="000000"/>
          <w:sz w:val="24"/>
        </w:rPr>
        <w:t>1.发包人承诺按照法律规定履行项目审批手续、筹集工程建设资金并按照合同约定的期限和方式支付合同价款。</w:t>
      </w:r>
    </w:p>
    <w:p w14:paraId="4FE8329E">
      <w:pPr>
        <w:spacing w:line="360" w:lineRule="auto"/>
        <w:ind w:firstLine="480" w:firstLineChars="200"/>
        <w:rPr>
          <w:rFonts w:ascii="宋体" w:hAnsi="宋体" w:cs="宋体"/>
          <w:bCs/>
          <w:color w:val="000000"/>
          <w:sz w:val="24"/>
        </w:rPr>
      </w:pPr>
      <w:r>
        <w:rPr>
          <w:rFonts w:hint="eastAsia" w:ascii="宋体" w:hAnsi="宋体" w:cs="宋体"/>
          <w:bCs/>
          <w:color w:val="000000"/>
          <w:sz w:val="24"/>
        </w:rPr>
        <w:t>2.承包人承诺按照法律规定及合同约定组织完成工程施工，确保工程质量和安全，不进行转包及违法分包，并在缺陷责任期及保修期内承担相应的工程维修责任。</w:t>
      </w:r>
    </w:p>
    <w:p w14:paraId="67DBE557">
      <w:pPr>
        <w:spacing w:line="360" w:lineRule="auto"/>
        <w:ind w:firstLine="480" w:firstLineChars="200"/>
        <w:rPr>
          <w:rFonts w:ascii="宋体" w:hAnsi="宋体" w:cs="宋体"/>
          <w:bCs/>
          <w:color w:val="000000"/>
          <w:sz w:val="24"/>
        </w:rPr>
      </w:pPr>
      <w:r>
        <w:rPr>
          <w:rFonts w:hint="eastAsia" w:ascii="宋体" w:hAnsi="宋体" w:cs="宋体"/>
          <w:bCs/>
          <w:color w:val="000000"/>
          <w:sz w:val="24"/>
        </w:rPr>
        <w:t>3.发包人和承包人通过招投标形式签订合同的，双方理解并承诺不再就同一工程另行签订与合同实质性内容相背离的协议。</w:t>
      </w:r>
    </w:p>
    <w:p w14:paraId="4240F535">
      <w:pPr>
        <w:pStyle w:val="6"/>
        <w:keepNext w:val="0"/>
        <w:keepLines w:val="0"/>
        <w:spacing w:before="0" w:after="0" w:line="360" w:lineRule="auto"/>
        <w:ind w:left="0" w:firstLine="482" w:firstLineChars="200"/>
        <w:rPr>
          <w:rFonts w:ascii="宋体" w:hAnsi="宋体" w:eastAsia="宋体" w:cs="宋体"/>
          <w:color w:val="000000"/>
          <w:sz w:val="24"/>
          <w:szCs w:val="24"/>
        </w:rPr>
      </w:pPr>
      <w:r>
        <w:rPr>
          <w:rFonts w:hint="eastAsia" w:ascii="宋体" w:hAnsi="宋体" w:eastAsia="宋体" w:cs="宋体"/>
          <w:color w:val="000000"/>
          <w:sz w:val="24"/>
          <w:szCs w:val="24"/>
        </w:rPr>
        <w:t>八、词语含义</w:t>
      </w:r>
    </w:p>
    <w:p w14:paraId="6D4FA166">
      <w:pPr>
        <w:spacing w:line="360" w:lineRule="auto"/>
        <w:ind w:firstLine="480" w:firstLineChars="200"/>
        <w:rPr>
          <w:rFonts w:ascii="宋体" w:hAnsi="宋体" w:cs="宋体"/>
          <w:bCs/>
          <w:color w:val="000000"/>
          <w:sz w:val="24"/>
        </w:rPr>
      </w:pPr>
      <w:r>
        <w:rPr>
          <w:rFonts w:hint="eastAsia" w:ascii="宋体" w:hAnsi="宋体" w:cs="宋体"/>
          <w:bCs/>
          <w:color w:val="000000"/>
          <w:sz w:val="24"/>
        </w:rPr>
        <w:t>本协议书中词语含义与第二部分通用合同条款中赋予的含义相同。</w:t>
      </w:r>
    </w:p>
    <w:p w14:paraId="641B8C2C">
      <w:pPr>
        <w:pStyle w:val="6"/>
        <w:keepNext w:val="0"/>
        <w:keepLines w:val="0"/>
        <w:spacing w:before="0" w:after="0" w:line="360" w:lineRule="auto"/>
        <w:ind w:left="0" w:firstLine="482" w:firstLineChars="200"/>
        <w:rPr>
          <w:rFonts w:ascii="宋体" w:hAnsi="宋体" w:eastAsia="宋体" w:cs="宋体"/>
          <w:color w:val="000000"/>
          <w:sz w:val="24"/>
          <w:szCs w:val="24"/>
        </w:rPr>
      </w:pPr>
      <w:bookmarkStart w:id="423" w:name="_Toc386638600"/>
      <w:r>
        <w:rPr>
          <w:rFonts w:hint="eastAsia" w:ascii="宋体" w:hAnsi="宋体" w:eastAsia="宋体" w:cs="宋体"/>
          <w:color w:val="000000"/>
          <w:sz w:val="24"/>
          <w:szCs w:val="24"/>
        </w:rPr>
        <w:t>九、签订时间</w:t>
      </w:r>
      <w:bookmarkEnd w:id="423"/>
    </w:p>
    <w:p w14:paraId="4D74CBB5">
      <w:pPr>
        <w:spacing w:line="360" w:lineRule="auto"/>
        <w:ind w:firstLine="480" w:firstLineChars="200"/>
        <w:rPr>
          <w:rFonts w:ascii="宋体" w:hAnsi="宋体" w:cs="宋体"/>
          <w:bCs/>
          <w:color w:val="000000"/>
          <w:sz w:val="24"/>
        </w:rPr>
      </w:pPr>
      <w:r>
        <w:rPr>
          <w:rFonts w:hint="eastAsia" w:ascii="宋体" w:hAnsi="宋体" w:cs="宋体"/>
          <w:bCs/>
          <w:color w:val="000000"/>
          <w:sz w:val="24"/>
        </w:rPr>
        <w:t>本合同于</w:t>
      </w:r>
      <w:r>
        <w:rPr>
          <w:rFonts w:hint="eastAsia" w:ascii="宋体" w:hAnsi="宋体" w:cs="宋体"/>
          <w:bCs/>
          <w:color w:val="000000"/>
          <w:sz w:val="24"/>
          <w:u w:val="single"/>
        </w:rPr>
        <w:t xml:space="preserve">         </w:t>
      </w:r>
      <w:r>
        <w:rPr>
          <w:rFonts w:hint="eastAsia" w:ascii="宋体" w:hAnsi="宋体" w:cs="宋体"/>
          <w:bCs/>
          <w:color w:val="000000"/>
          <w:sz w:val="24"/>
        </w:rPr>
        <w:t>年</w:t>
      </w:r>
      <w:r>
        <w:rPr>
          <w:rFonts w:hint="eastAsia" w:ascii="宋体" w:hAnsi="宋体" w:cs="宋体"/>
          <w:bCs/>
          <w:color w:val="000000"/>
          <w:sz w:val="24"/>
          <w:u w:val="single"/>
        </w:rPr>
        <w:t xml:space="preserve">     </w:t>
      </w:r>
      <w:r>
        <w:rPr>
          <w:rFonts w:hint="eastAsia" w:ascii="宋体" w:hAnsi="宋体" w:cs="宋体"/>
          <w:bCs/>
          <w:color w:val="000000"/>
          <w:sz w:val="24"/>
        </w:rPr>
        <w:t>月</w:t>
      </w:r>
      <w:r>
        <w:rPr>
          <w:rFonts w:hint="eastAsia" w:ascii="宋体" w:hAnsi="宋体" w:cs="宋体"/>
          <w:bCs/>
          <w:color w:val="000000"/>
          <w:sz w:val="24"/>
          <w:u w:val="single"/>
        </w:rPr>
        <w:t xml:space="preserve">     </w:t>
      </w:r>
      <w:r>
        <w:rPr>
          <w:rFonts w:hint="eastAsia" w:ascii="宋体" w:hAnsi="宋体" w:cs="宋体"/>
          <w:bCs/>
          <w:color w:val="000000"/>
          <w:sz w:val="24"/>
        </w:rPr>
        <w:t>日签订。</w:t>
      </w:r>
    </w:p>
    <w:p w14:paraId="5E62A053">
      <w:pPr>
        <w:pStyle w:val="6"/>
        <w:keepNext w:val="0"/>
        <w:keepLines w:val="0"/>
        <w:spacing w:before="0" w:after="0" w:line="360" w:lineRule="auto"/>
        <w:ind w:left="0" w:firstLine="482" w:firstLineChars="200"/>
        <w:rPr>
          <w:rFonts w:ascii="宋体" w:hAnsi="宋体" w:eastAsia="宋体" w:cs="宋体"/>
          <w:color w:val="000000"/>
          <w:sz w:val="24"/>
          <w:szCs w:val="24"/>
        </w:rPr>
      </w:pPr>
      <w:bookmarkStart w:id="424" w:name="_Toc386638601"/>
      <w:r>
        <w:rPr>
          <w:rFonts w:hint="eastAsia" w:ascii="宋体" w:hAnsi="宋体" w:eastAsia="宋体" w:cs="宋体"/>
          <w:color w:val="000000"/>
          <w:sz w:val="24"/>
          <w:szCs w:val="24"/>
        </w:rPr>
        <w:t>十、签订地点</w:t>
      </w:r>
      <w:bookmarkEnd w:id="424"/>
    </w:p>
    <w:p w14:paraId="12EBBACD">
      <w:pPr>
        <w:spacing w:line="360" w:lineRule="auto"/>
        <w:ind w:firstLine="480" w:firstLineChars="200"/>
        <w:rPr>
          <w:rFonts w:ascii="宋体" w:hAnsi="宋体" w:cs="宋体"/>
          <w:bCs/>
          <w:color w:val="000000"/>
          <w:sz w:val="24"/>
        </w:rPr>
      </w:pPr>
      <w:r>
        <w:rPr>
          <w:rFonts w:hint="eastAsia" w:ascii="宋体" w:hAnsi="宋体" w:cs="宋体"/>
          <w:bCs/>
          <w:color w:val="000000"/>
          <w:sz w:val="24"/>
        </w:rPr>
        <w:t>本合同在</w:t>
      </w:r>
      <w:r>
        <w:rPr>
          <w:rFonts w:hint="eastAsia" w:ascii="宋体" w:hAnsi="宋体" w:cs="宋体"/>
          <w:bCs/>
          <w:color w:val="000000"/>
          <w:sz w:val="24"/>
          <w:u w:val="single"/>
        </w:rPr>
        <w:t xml:space="preserve">                        </w:t>
      </w:r>
      <w:r>
        <w:rPr>
          <w:rFonts w:hint="eastAsia" w:ascii="宋体" w:hAnsi="宋体" w:cs="宋体"/>
          <w:bCs/>
          <w:color w:val="000000"/>
          <w:sz w:val="24"/>
        </w:rPr>
        <w:t>签订。</w:t>
      </w:r>
    </w:p>
    <w:p w14:paraId="55937AF4">
      <w:pPr>
        <w:pStyle w:val="6"/>
        <w:keepNext w:val="0"/>
        <w:keepLines w:val="0"/>
        <w:spacing w:before="0" w:after="0" w:line="360" w:lineRule="auto"/>
        <w:ind w:left="0" w:firstLine="482" w:firstLineChars="200"/>
        <w:rPr>
          <w:rFonts w:ascii="宋体" w:hAnsi="宋体" w:eastAsia="宋体" w:cs="宋体"/>
          <w:color w:val="000000"/>
          <w:sz w:val="24"/>
          <w:szCs w:val="24"/>
        </w:rPr>
      </w:pPr>
      <w:bookmarkStart w:id="425" w:name="_Toc386638602"/>
      <w:r>
        <w:rPr>
          <w:rFonts w:hint="eastAsia" w:ascii="宋体" w:hAnsi="宋体" w:eastAsia="宋体" w:cs="宋体"/>
          <w:color w:val="000000"/>
          <w:sz w:val="24"/>
          <w:szCs w:val="24"/>
        </w:rPr>
        <w:t>十一、补充协议</w:t>
      </w:r>
      <w:bookmarkEnd w:id="425"/>
    </w:p>
    <w:p w14:paraId="5280594C">
      <w:pPr>
        <w:spacing w:line="360" w:lineRule="auto"/>
        <w:ind w:firstLine="480" w:firstLineChars="200"/>
        <w:rPr>
          <w:rFonts w:ascii="宋体" w:hAnsi="宋体" w:cs="宋体"/>
          <w:b/>
          <w:bCs/>
          <w:color w:val="000000"/>
          <w:sz w:val="24"/>
        </w:rPr>
      </w:pPr>
      <w:r>
        <w:rPr>
          <w:rFonts w:hint="eastAsia" w:ascii="宋体" w:hAnsi="宋体" w:cs="宋体"/>
          <w:bCs/>
          <w:color w:val="000000"/>
          <w:sz w:val="24"/>
        </w:rPr>
        <w:t>合同未尽事宜，合同当事人另行签订补充协议，补充协议是合同的组成部分。</w:t>
      </w:r>
    </w:p>
    <w:p w14:paraId="5A2D301C">
      <w:pPr>
        <w:pStyle w:val="6"/>
        <w:keepNext w:val="0"/>
        <w:keepLines w:val="0"/>
        <w:spacing w:before="0" w:after="0" w:line="360" w:lineRule="auto"/>
        <w:ind w:left="0" w:firstLine="482" w:firstLineChars="200"/>
        <w:rPr>
          <w:rFonts w:ascii="宋体" w:hAnsi="宋体" w:eastAsia="宋体" w:cs="宋体"/>
          <w:color w:val="000000"/>
          <w:sz w:val="24"/>
          <w:szCs w:val="24"/>
        </w:rPr>
      </w:pPr>
      <w:bookmarkStart w:id="426" w:name="_Toc386638603"/>
      <w:r>
        <w:rPr>
          <w:rFonts w:hint="eastAsia" w:ascii="宋体" w:hAnsi="宋体" w:eastAsia="宋体" w:cs="宋体"/>
          <w:color w:val="000000"/>
          <w:sz w:val="24"/>
          <w:szCs w:val="24"/>
        </w:rPr>
        <w:t>十二、合同生效</w:t>
      </w:r>
      <w:bookmarkEnd w:id="426"/>
    </w:p>
    <w:p w14:paraId="50A52A69">
      <w:pPr>
        <w:spacing w:line="360" w:lineRule="auto"/>
        <w:ind w:firstLine="480" w:firstLineChars="200"/>
        <w:rPr>
          <w:rFonts w:ascii="宋体" w:hAnsi="宋体" w:cs="宋体"/>
          <w:bCs/>
          <w:color w:val="000000"/>
          <w:sz w:val="24"/>
        </w:rPr>
      </w:pPr>
      <w:r>
        <w:rPr>
          <w:rFonts w:hint="eastAsia" w:ascii="宋体" w:hAnsi="宋体" w:cs="宋体"/>
          <w:bCs/>
          <w:color w:val="000000"/>
          <w:sz w:val="24"/>
        </w:rPr>
        <w:t>本合同自</w:t>
      </w:r>
      <w:r>
        <w:rPr>
          <w:rFonts w:hint="eastAsia" w:ascii="宋体" w:hAnsi="宋体" w:cs="宋体"/>
          <w:bCs/>
          <w:color w:val="000000"/>
          <w:sz w:val="24"/>
          <w:u w:val="single"/>
        </w:rPr>
        <w:t>双方加盖单位印章并经法定代表人或其委托代理人签字，并按约定提供履约担保后</w:t>
      </w:r>
      <w:r>
        <w:rPr>
          <w:rFonts w:hint="eastAsia" w:ascii="宋体" w:hAnsi="宋体" w:cs="宋体"/>
          <w:bCs/>
          <w:color w:val="000000"/>
          <w:sz w:val="24"/>
        </w:rPr>
        <w:t>生效。</w:t>
      </w:r>
    </w:p>
    <w:p w14:paraId="5F9C4377">
      <w:pPr>
        <w:pStyle w:val="6"/>
        <w:keepNext w:val="0"/>
        <w:keepLines w:val="0"/>
        <w:spacing w:before="0" w:after="0" w:line="360" w:lineRule="auto"/>
        <w:ind w:left="0" w:firstLine="482" w:firstLineChars="200"/>
        <w:rPr>
          <w:rFonts w:ascii="宋体" w:hAnsi="宋体" w:eastAsia="宋体" w:cs="宋体"/>
          <w:bCs w:val="0"/>
          <w:color w:val="000000"/>
          <w:sz w:val="24"/>
          <w:szCs w:val="24"/>
        </w:rPr>
      </w:pPr>
      <w:bookmarkStart w:id="427" w:name="_Toc386638604"/>
      <w:r>
        <w:rPr>
          <w:rFonts w:hint="eastAsia" w:ascii="宋体" w:hAnsi="宋体" w:eastAsia="宋体" w:cs="宋体"/>
          <w:color w:val="000000"/>
          <w:sz w:val="24"/>
          <w:szCs w:val="24"/>
        </w:rPr>
        <w:t>十三、合同份数</w:t>
      </w:r>
      <w:bookmarkEnd w:id="427"/>
    </w:p>
    <w:p w14:paraId="0B56A92D">
      <w:pPr>
        <w:spacing w:line="360" w:lineRule="auto"/>
        <w:ind w:firstLine="480" w:firstLineChars="200"/>
        <w:rPr>
          <w:rFonts w:ascii="宋体" w:hAnsi="宋体" w:cs="宋体"/>
          <w:bCs/>
          <w:color w:val="000000"/>
          <w:sz w:val="24"/>
        </w:rPr>
      </w:pPr>
      <w:r>
        <w:rPr>
          <w:rFonts w:hint="eastAsia" w:ascii="宋体" w:hAnsi="宋体" w:cs="宋体"/>
          <w:bCs/>
          <w:color w:val="000000"/>
          <w:sz w:val="24"/>
        </w:rPr>
        <w:t>本合同一式</w:t>
      </w:r>
      <w:r>
        <w:rPr>
          <w:rFonts w:hint="eastAsia" w:ascii="宋体" w:hAnsi="宋体" w:cs="宋体"/>
          <w:bCs/>
          <w:color w:val="000000"/>
          <w:sz w:val="24"/>
          <w:u w:val="single"/>
        </w:rPr>
        <w:t xml:space="preserve"> 肆 </w:t>
      </w:r>
      <w:r>
        <w:rPr>
          <w:rFonts w:hint="eastAsia" w:ascii="宋体" w:hAnsi="宋体" w:cs="宋体"/>
          <w:bCs/>
          <w:color w:val="000000"/>
          <w:sz w:val="24"/>
        </w:rPr>
        <w:t>份，均具有同等法律效力，发包人执</w:t>
      </w:r>
      <w:r>
        <w:rPr>
          <w:rFonts w:hint="eastAsia" w:ascii="宋体" w:hAnsi="宋体" w:cs="宋体"/>
          <w:bCs/>
          <w:color w:val="000000"/>
          <w:sz w:val="24"/>
          <w:u w:val="single"/>
        </w:rPr>
        <w:t xml:space="preserve"> 贰 </w:t>
      </w:r>
      <w:r>
        <w:rPr>
          <w:rFonts w:hint="eastAsia" w:ascii="宋体" w:hAnsi="宋体" w:cs="宋体"/>
          <w:bCs/>
          <w:color w:val="000000"/>
          <w:sz w:val="24"/>
        </w:rPr>
        <w:t>份，承包人执</w:t>
      </w:r>
      <w:r>
        <w:rPr>
          <w:rFonts w:hint="eastAsia" w:ascii="宋体" w:hAnsi="宋体" w:cs="宋体"/>
          <w:bCs/>
          <w:color w:val="000000"/>
          <w:sz w:val="24"/>
          <w:u w:val="single"/>
        </w:rPr>
        <w:t xml:space="preserve"> 贰 </w:t>
      </w:r>
      <w:r>
        <w:rPr>
          <w:rFonts w:hint="eastAsia" w:ascii="宋体" w:hAnsi="宋体" w:cs="宋体"/>
          <w:bCs/>
          <w:color w:val="000000"/>
          <w:sz w:val="24"/>
        </w:rPr>
        <w:t>份。</w:t>
      </w:r>
    </w:p>
    <w:p w14:paraId="23CD8814">
      <w:pPr>
        <w:pStyle w:val="970"/>
      </w:pPr>
    </w:p>
    <w:p w14:paraId="731B0451">
      <w:pPr>
        <w:pStyle w:val="970"/>
      </w:pPr>
    </w:p>
    <w:p w14:paraId="52CC6406">
      <w:pPr>
        <w:spacing w:line="360" w:lineRule="auto"/>
        <w:ind w:firstLine="480" w:firstLineChars="200"/>
        <w:rPr>
          <w:rFonts w:ascii="宋体" w:hAnsi="宋体" w:cs="宋体"/>
          <w:color w:val="000000"/>
          <w:sz w:val="24"/>
        </w:rPr>
      </w:pPr>
      <w:r>
        <w:rPr>
          <w:rFonts w:hint="eastAsia" w:ascii="宋体" w:hAnsi="宋体" w:cs="宋体"/>
          <w:color w:val="000000"/>
          <w:sz w:val="24"/>
        </w:rPr>
        <w:t>发包人：   (公章)                   承包人：   (公章)</w:t>
      </w:r>
    </w:p>
    <w:p w14:paraId="24D53397">
      <w:pPr>
        <w:spacing w:line="360" w:lineRule="auto"/>
        <w:ind w:firstLine="480" w:firstLineChars="200"/>
        <w:rPr>
          <w:rFonts w:ascii="宋体" w:hAnsi="宋体" w:cs="宋体"/>
          <w:color w:val="000000"/>
          <w:sz w:val="24"/>
        </w:rPr>
      </w:pPr>
    </w:p>
    <w:p w14:paraId="2AA0C304">
      <w:pPr>
        <w:spacing w:line="360" w:lineRule="auto"/>
        <w:ind w:firstLine="480" w:firstLineChars="200"/>
        <w:rPr>
          <w:rFonts w:ascii="宋体" w:hAnsi="宋体" w:cs="宋体"/>
          <w:color w:val="000000"/>
          <w:sz w:val="24"/>
        </w:rPr>
      </w:pPr>
      <w:r>
        <w:rPr>
          <w:rFonts w:hint="eastAsia" w:ascii="宋体" w:hAnsi="宋体" w:cs="宋体"/>
          <w:color w:val="000000"/>
          <w:sz w:val="24"/>
        </w:rPr>
        <w:t>法定代表人或其委托代理人：          法定代表人或其委托代理人：</w:t>
      </w:r>
    </w:p>
    <w:p w14:paraId="262A6B3E">
      <w:pPr>
        <w:spacing w:line="360" w:lineRule="auto"/>
        <w:ind w:firstLine="480" w:firstLineChars="200"/>
        <w:rPr>
          <w:rFonts w:ascii="宋体" w:hAnsi="宋体" w:cs="宋体"/>
          <w:color w:val="000000"/>
          <w:sz w:val="24"/>
        </w:rPr>
      </w:pPr>
      <w:r>
        <w:rPr>
          <w:rFonts w:hint="eastAsia" w:ascii="宋体" w:hAnsi="宋体" w:cs="宋体"/>
          <w:color w:val="000000"/>
          <w:sz w:val="24"/>
        </w:rPr>
        <w:t>（签字）                            （签字）</w:t>
      </w:r>
    </w:p>
    <w:p w14:paraId="4A96EDAA">
      <w:pPr>
        <w:pStyle w:val="970"/>
      </w:pPr>
    </w:p>
    <w:p w14:paraId="2D5C0C7E">
      <w:pPr>
        <w:tabs>
          <w:tab w:val="left" w:pos="4410"/>
        </w:tabs>
        <w:spacing w:line="360" w:lineRule="auto"/>
        <w:ind w:firstLine="480" w:firstLineChars="200"/>
        <w:rPr>
          <w:rFonts w:ascii="宋体" w:hAnsi="宋体" w:cs="宋体"/>
          <w:color w:val="000000"/>
          <w:sz w:val="24"/>
        </w:rPr>
      </w:pPr>
      <w:r>
        <w:rPr>
          <w:rFonts w:hint="eastAsia" w:ascii="宋体" w:hAnsi="宋体" w:cs="宋体"/>
          <w:color w:val="000000"/>
          <w:sz w:val="24"/>
        </w:rPr>
        <w:t>组织机构代码：</w:t>
      </w:r>
      <w:r>
        <w:rPr>
          <w:rFonts w:hint="eastAsia" w:ascii="宋体" w:hAnsi="宋体" w:cs="宋体"/>
          <w:color w:val="000000"/>
          <w:sz w:val="24"/>
          <w:u w:val="single"/>
        </w:rPr>
        <w:t xml:space="preserve">        </w:t>
      </w:r>
      <w:r>
        <w:rPr>
          <w:rFonts w:hint="eastAsia" w:ascii="宋体" w:hAnsi="宋体" w:cs="宋体"/>
          <w:color w:val="000000"/>
          <w:sz w:val="24"/>
        </w:rPr>
        <w:t xml:space="preserve">        组织机构代码：</w:t>
      </w:r>
      <w:r>
        <w:rPr>
          <w:rFonts w:hint="eastAsia" w:ascii="宋体" w:hAnsi="宋体" w:cs="宋体"/>
          <w:color w:val="000000"/>
          <w:sz w:val="24"/>
          <w:u w:val="single"/>
        </w:rPr>
        <w:t xml:space="preserve">            </w:t>
      </w:r>
    </w:p>
    <w:p w14:paraId="3B8EA7F2">
      <w:pPr>
        <w:spacing w:line="360" w:lineRule="auto"/>
        <w:ind w:firstLine="480" w:firstLineChars="200"/>
        <w:rPr>
          <w:rFonts w:ascii="宋体" w:hAnsi="宋体" w:cs="宋体"/>
          <w:color w:val="000000"/>
          <w:sz w:val="24"/>
        </w:rPr>
      </w:pPr>
      <w:r>
        <w:rPr>
          <w:rFonts w:hint="eastAsia" w:ascii="宋体" w:hAnsi="宋体" w:cs="宋体"/>
          <w:color w:val="000000"/>
          <w:sz w:val="24"/>
        </w:rPr>
        <w:t>地  址：</w:t>
      </w:r>
      <w:r>
        <w:rPr>
          <w:rFonts w:hint="eastAsia" w:ascii="宋体" w:hAnsi="宋体" w:cs="宋体"/>
          <w:color w:val="000000"/>
          <w:sz w:val="24"/>
          <w:u w:val="single"/>
        </w:rPr>
        <w:t xml:space="preserve">      </w:t>
      </w:r>
      <w:r>
        <w:rPr>
          <w:rFonts w:hint="eastAsia" w:ascii="宋体" w:hAnsi="宋体" w:cs="宋体"/>
          <w:color w:val="000000"/>
          <w:sz w:val="24"/>
        </w:rPr>
        <w:t xml:space="preserve">        地  址：</w:t>
      </w:r>
      <w:r>
        <w:rPr>
          <w:rFonts w:hint="eastAsia" w:ascii="宋体" w:hAnsi="宋体" w:cs="宋体"/>
          <w:color w:val="000000"/>
          <w:sz w:val="24"/>
          <w:u w:val="single"/>
        </w:rPr>
        <w:t xml:space="preserve">        </w:t>
      </w:r>
    </w:p>
    <w:p w14:paraId="4338A851">
      <w:pPr>
        <w:spacing w:line="360" w:lineRule="auto"/>
        <w:ind w:firstLine="480" w:firstLineChars="200"/>
        <w:rPr>
          <w:rFonts w:ascii="宋体" w:hAnsi="宋体" w:cs="宋体"/>
          <w:color w:val="000000"/>
          <w:sz w:val="24"/>
        </w:rPr>
      </w:pPr>
      <w:r>
        <w:rPr>
          <w:rFonts w:hint="eastAsia" w:ascii="宋体" w:hAnsi="宋体" w:cs="宋体"/>
          <w:color w:val="000000"/>
          <w:sz w:val="24"/>
        </w:rPr>
        <w:t>邮政编码：</w:t>
      </w:r>
      <w:r>
        <w:rPr>
          <w:rFonts w:hint="eastAsia" w:ascii="宋体" w:hAnsi="宋体" w:cs="宋体"/>
          <w:color w:val="000000"/>
          <w:sz w:val="24"/>
          <w:u w:val="single"/>
        </w:rPr>
        <w:t xml:space="preserve">      </w:t>
      </w:r>
      <w:r>
        <w:rPr>
          <w:rFonts w:hint="eastAsia" w:ascii="宋体" w:hAnsi="宋体" w:cs="宋体"/>
          <w:color w:val="000000"/>
          <w:sz w:val="24"/>
        </w:rPr>
        <w:t xml:space="preserve">        邮政编码：</w:t>
      </w:r>
      <w:r>
        <w:rPr>
          <w:rFonts w:hint="eastAsia" w:ascii="宋体" w:hAnsi="宋体" w:cs="宋体"/>
          <w:color w:val="000000"/>
          <w:sz w:val="24"/>
          <w:u w:val="single"/>
        </w:rPr>
        <w:t xml:space="preserve">    </w:t>
      </w:r>
    </w:p>
    <w:p w14:paraId="4088EB93">
      <w:pPr>
        <w:spacing w:line="360" w:lineRule="auto"/>
        <w:ind w:firstLine="480" w:firstLineChars="200"/>
        <w:rPr>
          <w:rFonts w:ascii="宋体" w:hAnsi="宋体" w:cs="宋体"/>
          <w:color w:val="000000"/>
          <w:sz w:val="24"/>
        </w:rPr>
      </w:pPr>
      <w:r>
        <w:rPr>
          <w:rFonts w:hint="eastAsia" w:ascii="宋体" w:hAnsi="宋体" w:cs="宋体"/>
          <w:color w:val="000000"/>
          <w:sz w:val="24"/>
        </w:rPr>
        <w:t>法定代表人：</w:t>
      </w:r>
      <w:r>
        <w:rPr>
          <w:rFonts w:hint="eastAsia" w:ascii="宋体" w:hAnsi="宋体" w:cs="宋体"/>
          <w:color w:val="000000"/>
          <w:sz w:val="24"/>
          <w:u w:val="single"/>
        </w:rPr>
        <w:t xml:space="preserve">            </w:t>
      </w:r>
      <w:r>
        <w:rPr>
          <w:rFonts w:hint="eastAsia" w:ascii="宋体" w:hAnsi="宋体" w:cs="宋体"/>
          <w:color w:val="000000"/>
          <w:sz w:val="24"/>
        </w:rPr>
        <w:t xml:space="preserve">        法定代表人：</w:t>
      </w:r>
      <w:r>
        <w:rPr>
          <w:rFonts w:hint="eastAsia" w:ascii="宋体" w:hAnsi="宋体" w:cs="宋体"/>
          <w:color w:val="000000"/>
          <w:sz w:val="24"/>
          <w:u w:val="single"/>
        </w:rPr>
        <w:t xml:space="preserve">              </w:t>
      </w:r>
    </w:p>
    <w:p w14:paraId="480D34ED">
      <w:pPr>
        <w:spacing w:line="360" w:lineRule="auto"/>
        <w:ind w:firstLine="480" w:firstLineChars="200"/>
        <w:rPr>
          <w:rFonts w:ascii="宋体" w:hAnsi="宋体" w:cs="宋体"/>
          <w:color w:val="000000"/>
          <w:sz w:val="24"/>
        </w:rPr>
      </w:pPr>
      <w:r>
        <w:rPr>
          <w:rFonts w:hint="eastAsia" w:ascii="宋体" w:hAnsi="宋体" w:cs="宋体"/>
          <w:color w:val="000000"/>
          <w:sz w:val="24"/>
        </w:rPr>
        <w:t>委托代理人：</w:t>
      </w:r>
      <w:r>
        <w:rPr>
          <w:rFonts w:hint="eastAsia" w:ascii="宋体" w:hAnsi="宋体" w:cs="宋体"/>
          <w:color w:val="000000"/>
          <w:sz w:val="24"/>
          <w:u w:val="single"/>
        </w:rPr>
        <w:t xml:space="preserve">            </w:t>
      </w:r>
      <w:r>
        <w:rPr>
          <w:rFonts w:hint="eastAsia" w:ascii="宋体" w:hAnsi="宋体" w:cs="宋体"/>
          <w:color w:val="000000"/>
          <w:sz w:val="24"/>
        </w:rPr>
        <w:t xml:space="preserve">        委托代理人：</w:t>
      </w:r>
      <w:r>
        <w:rPr>
          <w:rFonts w:hint="eastAsia" w:ascii="宋体" w:hAnsi="宋体" w:cs="宋体"/>
          <w:color w:val="000000"/>
          <w:sz w:val="24"/>
          <w:u w:val="single"/>
        </w:rPr>
        <w:t xml:space="preserve">              </w:t>
      </w:r>
    </w:p>
    <w:p w14:paraId="1E809343">
      <w:pPr>
        <w:spacing w:line="360" w:lineRule="auto"/>
        <w:ind w:firstLine="480" w:firstLineChars="200"/>
        <w:rPr>
          <w:rFonts w:ascii="宋体" w:hAnsi="宋体" w:cs="宋体"/>
          <w:color w:val="000000"/>
          <w:sz w:val="24"/>
        </w:rPr>
      </w:pPr>
      <w:r>
        <w:rPr>
          <w:rFonts w:hint="eastAsia" w:ascii="宋体" w:hAnsi="宋体" w:cs="宋体"/>
          <w:color w:val="000000"/>
          <w:sz w:val="24"/>
        </w:rPr>
        <w:t>电  话：</w:t>
      </w:r>
      <w:r>
        <w:rPr>
          <w:rFonts w:hint="eastAsia" w:ascii="宋体" w:hAnsi="宋体" w:cs="宋体"/>
          <w:color w:val="000000"/>
          <w:sz w:val="24"/>
          <w:u w:val="single"/>
        </w:rPr>
        <w:t xml:space="preserve">    </w:t>
      </w:r>
      <w:r>
        <w:rPr>
          <w:rFonts w:hint="eastAsia" w:ascii="宋体" w:hAnsi="宋体" w:cs="宋体"/>
          <w:color w:val="000000"/>
          <w:sz w:val="24"/>
        </w:rPr>
        <w:t xml:space="preserve">        电  话：</w:t>
      </w:r>
      <w:r>
        <w:rPr>
          <w:rFonts w:hint="eastAsia" w:ascii="宋体" w:hAnsi="宋体" w:cs="宋体"/>
          <w:color w:val="000000"/>
          <w:sz w:val="24"/>
          <w:u w:val="single"/>
        </w:rPr>
        <w:t xml:space="preserve">      </w:t>
      </w:r>
    </w:p>
    <w:p w14:paraId="2F86279C">
      <w:pPr>
        <w:spacing w:line="360" w:lineRule="auto"/>
        <w:ind w:firstLine="480" w:firstLineChars="200"/>
        <w:rPr>
          <w:rFonts w:ascii="宋体" w:hAnsi="宋体" w:cs="宋体"/>
          <w:color w:val="000000"/>
          <w:sz w:val="24"/>
        </w:rPr>
      </w:pPr>
      <w:r>
        <w:rPr>
          <w:rFonts w:hint="eastAsia" w:ascii="宋体" w:hAnsi="宋体" w:cs="宋体"/>
          <w:color w:val="000000"/>
          <w:sz w:val="24"/>
        </w:rPr>
        <w:t>传  真：</w:t>
      </w:r>
      <w:r>
        <w:rPr>
          <w:rFonts w:hint="eastAsia" w:ascii="宋体" w:hAnsi="宋体" w:cs="宋体"/>
          <w:color w:val="000000"/>
          <w:sz w:val="24"/>
          <w:u w:val="single"/>
        </w:rPr>
        <w:t xml:space="preserve">    </w:t>
      </w:r>
      <w:r>
        <w:rPr>
          <w:rFonts w:hint="eastAsia" w:ascii="宋体" w:hAnsi="宋体" w:cs="宋体"/>
          <w:color w:val="000000"/>
          <w:sz w:val="24"/>
        </w:rPr>
        <w:t xml:space="preserve">        传  真：</w:t>
      </w:r>
      <w:r>
        <w:rPr>
          <w:rFonts w:hint="eastAsia" w:ascii="宋体" w:hAnsi="宋体" w:cs="宋体"/>
          <w:color w:val="000000"/>
          <w:sz w:val="24"/>
          <w:u w:val="single"/>
        </w:rPr>
        <w:t xml:space="preserve">      </w:t>
      </w:r>
    </w:p>
    <w:p w14:paraId="29606C95">
      <w:pPr>
        <w:spacing w:line="360" w:lineRule="auto"/>
        <w:ind w:firstLine="480" w:firstLineChars="200"/>
        <w:rPr>
          <w:rFonts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w:t>
      </w:r>
      <w:r>
        <w:rPr>
          <w:rFonts w:hint="eastAsia" w:ascii="宋体" w:hAnsi="宋体" w:cs="宋体"/>
          <w:color w:val="000000"/>
          <w:sz w:val="24"/>
        </w:rPr>
        <w:t xml:space="preserve">        电子信箱：</w:t>
      </w:r>
      <w:r>
        <w:rPr>
          <w:rFonts w:hint="eastAsia" w:ascii="宋体" w:hAnsi="宋体" w:cs="宋体"/>
          <w:color w:val="000000"/>
          <w:sz w:val="24"/>
          <w:u w:val="single"/>
        </w:rPr>
        <w:t xml:space="preserve">    </w:t>
      </w:r>
    </w:p>
    <w:p w14:paraId="5A962954">
      <w:pPr>
        <w:spacing w:line="360" w:lineRule="auto"/>
        <w:ind w:firstLine="480" w:firstLineChars="200"/>
        <w:rPr>
          <w:rFonts w:ascii="宋体" w:hAnsi="宋体" w:cs="宋体"/>
          <w:color w:val="000000"/>
          <w:sz w:val="24"/>
        </w:rPr>
      </w:pPr>
      <w:r>
        <w:rPr>
          <w:rFonts w:hint="eastAsia" w:ascii="宋体" w:hAnsi="宋体" w:cs="宋体"/>
          <w:color w:val="000000"/>
          <w:sz w:val="24"/>
        </w:rPr>
        <w:t>开户银行：</w:t>
      </w:r>
      <w:r>
        <w:rPr>
          <w:rFonts w:hint="eastAsia" w:ascii="宋体" w:hAnsi="宋体" w:cs="宋体"/>
          <w:color w:val="000000"/>
          <w:sz w:val="24"/>
          <w:u w:val="single"/>
        </w:rPr>
        <w:t xml:space="preserve">    </w:t>
      </w:r>
      <w:r>
        <w:rPr>
          <w:rFonts w:hint="eastAsia" w:ascii="宋体" w:hAnsi="宋体" w:cs="宋体"/>
          <w:color w:val="000000"/>
          <w:sz w:val="24"/>
        </w:rPr>
        <w:t xml:space="preserve">        开户银行：</w:t>
      </w:r>
      <w:r>
        <w:rPr>
          <w:rFonts w:hint="eastAsia" w:ascii="宋体" w:hAnsi="宋体" w:cs="宋体"/>
          <w:color w:val="000000"/>
          <w:sz w:val="24"/>
          <w:u w:val="single"/>
        </w:rPr>
        <w:t xml:space="preserve">    </w:t>
      </w:r>
    </w:p>
    <w:p w14:paraId="5ABF4882">
      <w:pPr>
        <w:spacing w:line="360" w:lineRule="auto"/>
        <w:ind w:firstLine="480" w:firstLineChars="200"/>
        <w:rPr>
          <w:rFonts w:ascii="宋体" w:hAnsi="宋体" w:cs="宋体"/>
          <w:color w:val="000000"/>
          <w:sz w:val="24"/>
        </w:rPr>
      </w:pPr>
      <w:r>
        <w:rPr>
          <w:rFonts w:hint="eastAsia" w:ascii="宋体" w:hAnsi="宋体" w:cs="宋体"/>
          <w:color w:val="000000"/>
          <w:sz w:val="24"/>
        </w:rPr>
        <w:t>账  号：</w:t>
      </w:r>
      <w:r>
        <w:rPr>
          <w:rFonts w:hint="eastAsia" w:ascii="宋体" w:hAnsi="宋体" w:cs="宋体"/>
          <w:color w:val="000000"/>
          <w:sz w:val="24"/>
          <w:u w:val="single"/>
        </w:rPr>
        <w:t xml:space="preserve">        </w:t>
      </w:r>
      <w:r>
        <w:rPr>
          <w:rFonts w:hint="eastAsia" w:ascii="宋体" w:hAnsi="宋体" w:cs="宋体"/>
          <w:color w:val="000000"/>
          <w:sz w:val="24"/>
        </w:rPr>
        <w:t xml:space="preserve">        账  号：</w:t>
      </w:r>
      <w:r>
        <w:rPr>
          <w:rFonts w:hint="eastAsia" w:ascii="宋体" w:hAnsi="宋体" w:cs="宋体"/>
          <w:color w:val="000000"/>
          <w:sz w:val="24"/>
          <w:u w:val="single"/>
        </w:rPr>
        <w:t xml:space="preserve">      </w:t>
      </w:r>
    </w:p>
    <w:p w14:paraId="05E3DA42">
      <w:pPr>
        <w:pStyle w:val="4"/>
        <w:keepNext w:val="0"/>
        <w:keepLines w:val="0"/>
        <w:tabs>
          <w:tab w:val="clear" w:pos="900"/>
        </w:tabs>
        <w:spacing w:before="0" w:after="0" w:line="360" w:lineRule="auto"/>
        <w:ind w:left="0" w:firstLine="472"/>
        <w:jc w:val="center"/>
        <w:rPr>
          <w:rFonts w:ascii="宋体" w:hAnsi="宋体" w:cs="宋体"/>
          <w:color w:val="000000"/>
          <w:sz w:val="24"/>
          <w:szCs w:val="24"/>
        </w:rPr>
      </w:pPr>
      <w:r>
        <w:rPr>
          <w:rFonts w:hint="eastAsia" w:ascii="宋体" w:hAnsi="宋体" w:cs="宋体"/>
          <w:color w:val="000000"/>
          <w:sz w:val="24"/>
          <w:szCs w:val="24"/>
        </w:rPr>
        <w:br w:type="page"/>
      </w:r>
      <w:bookmarkStart w:id="428" w:name="_Toc386638605"/>
      <w:r>
        <w:rPr>
          <w:rFonts w:hint="eastAsia" w:ascii="宋体" w:hAnsi="宋体" w:cs="宋体"/>
          <w:color w:val="000000"/>
        </w:rPr>
        <w:t>第二部分 通用合同条款</w:t>
      </w:r>
      <w:bookmarkEnd w:id="428"/>
      <w:bookmarkStart w:id="429" w:name="_Toc337558727"/>
    </w:p>
    <w:p w14:paraId="3FADF0F7">
      <w:pPr>
        <w:spacing w:line="360" w:lineRule="auto"/>
        <w:ind w:firstLine="480" w:firstLineChars="200"/>
        <w:rPr>
          <w:rFonts w:ascii="宋体" w:hAnsi="宋体" w:cs="宋体"/>
          <w:color w:val="000000"/>
          <w:sz w:val="24"/>
        </w:rPr>
      </w:pPr>
      <w:r>
        <w:rPr>
          <w:rFonts w:hint="eastAsia" w:ascii="宋体" w:hAnsi="宋体" w:cs="宋体"/>
          <w:color w:val="000000"/>
          <w:sz w:val="24"/>
        </w:rPr>
        <w:t>通用合同条款直接引用中国建筑工业出版社出版的《建设工程施工合同（示范文本）（GF-2017-0201）第二部分“通用合同条款”内容。</w:t>
      </w:r>
    </w:p>
    <w:bookmarkEnd w:id="429"/>
    <w:p w14:paraId="724DB4B9">
      <w:pPr>
        <w:spacing w:line="360" w:lineRule="auto"/>
        <w:ind w:firstLine="480" w:firstLineChars="200"/>
        <w:outlineLvl w:val="1"/>
        <w:rPr>
          <w:rFonts w:ascii="宋体" w:hAnsi="宋体" w:cs="宋体"/>
          <w:color w:val="000000"/>
          <w:sz w:val="24"/>
        </w:rPr>
      </w:pPr>
      <w:bookmarkStart w:id="430" w:name="_Toc411083384"/>
      <w:bookmarkStart w:id="431" w:name="_Toc297120463"/>
      <w:bookmarkStart w:id="432" w:name="_Toc296944502"/>
      <w:bookmarkStart w:id="433" w:name="_Toc296891203"/>
      <w:bookmarkStart w:id="434" w:name="_Toc296346664"/>
      <w:bookmarkStart w:id="435" w:name="_Toc296347162"/>
      <w:bookmarkStart w:id="436" w:name="_Toc292559367"/>
      <w:bookmarkStart w:id="437" w:name="_Toc296503163"/>
      <w:bookmarkStart w:id="438" w:name="_Toc292559872"/>
      <w:bookmarkStart w:id="439" w:name="_Toc297048349"/>
      <w:bookmarkStart w:id="440" w:name="_Toc296890991"/>
    </w:p>
    <w:p w14:paraId="318108FF">
      <w:pPr>
        <w:pStyle w:val="4"/>
        <w:keepNext w:val="0"/>
        <w:keepLines w:val="0"/>
        <w:numPr>
          <w:ilvl w:val="2"/>
          <w:numId w:val="0"/>
        </w:numPr>
        <w:tabs>
          <w:tab w:val="clear" w:pos="900"/>
        </w:tabs>
        <w:spacing w:before="0" w:after="0" w:line="360" w:lineRule="auto"/>
        <w:jc w:val="center"/>
        <w:rPr>
          <w:rFonts w:ascii="宋体" w:hAnsi="宋体" w:cs="宋体"/>
          <w:color w:val="000000"/>
        </w:rPr>
      </w:pPr>
      <w:r>
        <w:rPr>
          <w:rFonts w:hint="eastAsia" w:ascii="宋体" w:hAnsi="宋体" w:cs="宋体"/>
          <w:color w:val="000000"/>
        </w:rPr>
        <w:t>第三部分 专用条款</w:t>
      </w:r>
      <w:bookmarkEnd w:id="430"/>
    </w:p>
    <w:p w14:paraId="77A8E2EE">
      <w:pPr>
        <w:pStyle w:val="6"/>
        <w:spacing w:before="0" w:after="0" w:line="360" w:lineRule="auto"/>
        <w:jc w:val="left"/>
        <w:rPr>
          <w:rFonts w:ascii="宋体" w:hAnsi="宋体" w:eastAsia="宋体" w:cs="宋体"/>
          <w:b w:val="0"/>
          <w:color w:val="000000"/>
          <w:sz w:val="24"/>
          <w:szCs w:val="24"/>
        </w:rPr>
      </w:pPr>
      <w:bookmarkStart w:id="441" w:name="_Toc386638607"/>
      <w:bookmarkStart w:id="442" w:name="_Toc351203633"/>
      <w:r>
        <w:rPr>
          <w:rFonts w:hint="eastAsia" w:ascii="宋体" w:hAnsi="宋体" w:eastAsia="宋体" w:cs="宋体"/>
          <w:b w:val="0"/>
          <w:color w:val="000000"/>
          <w:sz w:val="24"/>
          <w:szCs w:val="24"/>
        </w:rPr>
        <w:t>1</w:t>
      </w:r>
      <w:bookmarkStart w:id="443" w:name="_Toc292559361"/>
      <w:bookmarkStart w:id="444" w:name="_Toc296890984"/>
      <w:bookmarkStart w:id="445" w:name="_Toc296891196"/>
      <w:bookmarkStart w:id="446" w:name="_Toc296346657"/>
      <w:bookmarkStart w:id="447" w:name="_Toc297120456"/>
      <w:bookmarkStart w:id="448" w:name="_Toc296347155"/>
      <w:bookmarkStart w:id="449" w:name="_Toc296944495"/>
      <w:bookmarkStart w:id="450" w:name="_Toc296503156"/>
      <w:bookmarkStart w:id="451" w:name="_Toc297048342"/>
      <w:bookmarkStart w:id="452" w:name="_Toc292559866"/>
      <w:r>
        <w:rPr>
          <w:rFonts w:hint="eastAsia" w:ascii="宋体" w:hAnsi="宋体" w:eastAsia="宋体" w:cs="宋体"/>
          <w:b w:val="0"/>
          <w:color w:val="000000"/>
          <w:sz w:val="24"/>
          <w:szCs w:val="24"/>
        </w:rPr>
        <w:t>. 一般约定</w:t>
      </w:r>
      <w:bookmarkEnd w:id="441"/>
      <w:bookmarkEnd w:id="442"/>
    </w:p>
    <w:bookmarkEnd w:id="443"/>
    <w:bookmarkEnd w:id="444"/>
    <w:bookmarkEnd w:id="445"/>
    <w:bookmarkEnd w:id="446"/>
    <w:bookmarkEnd w:id="447"/>
    <w:bookmarkEnd w:id="448"/>
    <w:bookmarkEnd w:id="449"/>
    <w:bookmarkEnd w:id="450"/>
    <w:bookmarkEnd w:id="451"/>
    <w:bookmarkEnd w:id="452"/>
    <w:p w14:paraId="54B48394">
      <w:pPr>
        <w:spacing w:line="360" w:lineRule="auto"/>
        <w:ind w:firstLine="480" w:firstLineChars="200"/>
        <w:rPr>
          <w:rFonts w:ascii="宋体" w:hAnsi="宋体" w:cs="宋体"/>
          <w:color w:val="000000"/>
          <w:sz w:val="24"/>
        </w:rPr>
      </w:pPr>
      <w:r>
        <w:rPr>
          <w:rFonts w:hint="eastAsia" w:ascii="宋体" w:hAnsi="宋体" w:cs="宋体"/>
          <w:color w:val="000000"/>
          <w:sz w:val="24"/>
        </w:rPr>
        <w:t>1.1 词语定义</w:t>
      </w:r>
    </w:p>
    <w:p w14:paraId="749BC146">
      <w:pPr>
        <w:spacing w:line="360" w:lineRule="auto"/>
        <w:ind w:firstLine="480" w:firstLineChars="200"/>
        <w:rPr>
          <w:rFonts w:ascii="宋体" w:hAnsi="宋体" w:cs="宋体"/>
          <w:color w:val="000000"/>
          <w:sz w:val="24"/>
        </w:rPr>
      </w:pPr>
      <w:r>
        <w:rPr>
          <w:rFonts w:hint="eastAsia" w:ascii="宋体" w:hAnsi="宋体" w:cs="宋体"/>
          <w:color w:val="000000"/>
          <w:sz w:val="24"/>
        </w:rPr>
        <w:t>1.1.1 合同</w:t>
      </w:r>
    </w:p>
    <w:p w14:paraId="7A1E2372">
      <w:pPr>
        <w:spacing w:line="360" w:lineRule="auto"/>
        <w:ind w:firstLine="480" w:firstLineChars="200"/>
        <w:rPr>
          <w:rFonts w:ascii="宋体" w:hAnsi="宋体" w:cs="宋体"/>
          <w:color w:val="000000"/>
          <w:sz w:val="24"/>
        </w:rPr>
      </w:pPr>
      <w:r>
        <w:rPr>
          <w:rFonts w:hint="eastAsia" w:ascii="宋体" w:hAnsi="宋体" w:cs="宋体"/>
          <w:color w:val="000000"/>
          <w:sz w:val="24"/>
        </w:rPr>
        <w:t>1.1.1.10 其他合同文件包括：</w:t>
      </w:r>
      <w:r>
        <w:rPr>
          <w:rFonts w:hint="eastAsia" w:ascii="宋体" w:hAnsi="宋体" w:cs="宋体"/>
          <w:color w:val="000000"/>
          <w:sz w:val="24"/>
          <w:u w:val="single"/>
        </w:rPr>
        <w:t xml:space="preserve">双方与合同有关的工程设计变更联系单、洽商、签证等书面协议或文件 </w:t>
      </w:r>
      <w:r>
        <w:rPr>
          <w:rFonts w:hint="eastAsia" w:ascii="宋体" w:hAnsi="宋体" w:cs="宋体"/>
          <w:color w:val="000000"/>
          <w:sz w:val="24"/>
        </w:rPr>
        <w:t>。</w:t>
      </w:r>
    </w:p>
    <w:p w14:paraId="7F6BECC4">
      <w:pPr>
        <w:spacing w:line="360" w:lineRule="auto"/>
        <w:ind w:firstLine="480" w:firstLineChars="200"/>
        <w:rPr>
          <w:rFonts w:ascii="宋体" w:hAnsi="宋体" w:cs="宋体"/>
          <w:color w:val="000000"/>
          <w:sz w:val="24"/>
        </w:rPr>
      </w:pPr>
      <w:r>
        <w:rPr>
          <w:rFonts w:hint="eastAsia" w:ascii="宋体" w:hAnsi="宋体" w:cs="宋体"/>
          <w:color w:val="000000"/>
          <w:sz w:val="24"/>
        </w:rPr>
        <w:t>1.1.2 合同当事人及其他相关方</w:t>
      </w:r>
    </w:p>
    <w:p w14:paraId="0912B38C">
      <w:pPr>
        <w:spacing w:line="360" w:lineRule="auto"/>
        <w:ind w:firstLine="480" w:firstLineChars="200"/>
        <w:rPr>
          <w:rFonts w:ascii="宋体" w:hAnsi="宋体" w:cs="宋体"/>
          <w:color w:val="000000"/>
          <w:sz w:val="24"/>
        </w:rPr>
      </w:pPr>
      <w:r>
        <w:rPr>
          <w:rFonts w:hint="eastAsia" w:ascii="宋体" w:hAnsi="宋体" w:cs="宋体"/>
          <w:color w:val="000000"/>
          <w:sz w:val="24"/>
        </w:rPr>
        <w:t>1.1.2.4 监理人：</w:t>
      </w:r>
    </w:p>
    <w:p w14:paraId="523C200E">
      <w:pPr>
        <w:spacing w:line="360" w:lineRule="auto"/>
        <w:ind w:firstLine="480" w:firstLineChars="200"/>
        <w:rPr>
          <w:rFonts w:ascii="宋体" w:hAnsi="宋体" w:cs="宋体"/>
          <w:color w:val="000000"/>
          <w:sz w:val="24"/>
        </w:rPr>
      </w:pPr>
      <w:r>
        <w:rPr>
          <w:rFonts w:hint="eastAsia" w:ascii="宋体" w:hAnsi="宋体" w:cs="宋体"/>
          <w:color w:val="000000"/>
          <w:sz w:val="24"/>
        </w:rPr>
        <w:t>名    称：</w:t>
      </w:r>
      <w:r>
        <w:rPr>
          <w:rFonts w:hint="eastAsia" w:ascii="宋体" w:hAnsi="宋体" w:cs="宋体"/>
          <w:color w:val="000000"/>
          <w:sz w:val="24"/>
          <w:u w:val="single"/>
        </w:rPr>
        <w:t xml:space="preserve">                </w:t>
      </w:r>
      <w:r>
        <w:rPr>
          <w:rFonts w:hint="eastAsia" w:ascii="宋体" w:hAnsi="宋体" w:cs="宋体"/>
          <w:color w:val="000000"/>
          <w:sz w:val="24"/>
        </w:rPr>
        <w:t>；</w:t>
      </w:r>
    </w:p>
    <w:p w14:paraId="656438D5">
      <w:pPr>
        <w:spacing w:line="360" w:lineRule="auto"/>
        <w:ind w:firstLine="480" w:firstLineChars="200"/>
        <w:rPr>
          <w:rFonts w:ascii="宋体" w:hAnsi="宋体" w:cs="宋体"/>
          <w:color w:val="000000"/>
          <w:sz w:val="24"/>
        </w:rPr>
      </w:pPr>
      <w:r>
        <w:rPr>
          <w:rFonts w:hint="eastAsia" w:ascii="宋体" w:hAnsi="宋体" w:cs="宋体"/>
          <w:color w:val="000000"/>
          <w:sz w:val="24"/>
        </w:rPr>
        <w:t>资质类别和等级：</w:t>
      </w:r>
      <w:r>
        <w:rPr>
          <w:rFonts w:hint="eastAsia" w:ascii="宋体" w:hAnsi="宋体" w:cs="宋体"/>
          <w:color w:val="000000"/>
          <w:sz w:val="24"/>
          <w:u w:val="single"/>
        </w:rPr>
        <w:t>              </w:t>
      </w:r>
      <w:r>
        <w:rPr>
          <w:rFonts w:hint="eastAsia" w:ascii="宋体" w:hAnsi="宋体" w:cs="宋体"/>
          <w:color w:val="000000"/>
          <w:sz w:val="24"/>
        </w:rPr>
        <w:t>；</w:t>
      </w:r>
    </w:p>
    <w:p w14:paraId="5E86452A">
      <w:pPr>
        <w:spacing w:line="360" w:lineRule="auto"/>
        <w:ind w:firstLine="480" w:firstLineChars="200"/>
        <w:rPr>
          <w:rFonts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w:t>
      </w:r>
      <w:r>
        <w:rPr>
          <w:rFonts w:hint="eastAsia" w:ascii="宋体" w:hAnsi="宋体" w:cs="宋体"/>
          <w:color w:val="000000"/>
          <w:sz w:val="24"/>
        </w:rPr>
        <w:t>；</w:t>
      </w:r>
    </w:p>
    <w:p w14:paraId="6743A064">
      <w:pPr>
        <w:spacing w:line="360" w:lineRule="auto"/>
        <w:ind w:firstLine="480" w:firstLineChars="200"/>
        <w:rPr>
          <w:rFonts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w:t>
      </w:r>
      <w:r>
        <w:rPr>
          <w:rFonts w:hint="eastAsia" w:ascii="宋体" w:hAnsi="宋体" w:cs="宋体"/>
          <w:color w:val="000000"/>
          <w:sz w:val="24"/>
        </w:rPr>
        <w:t>；</w:t>
      </w:r>
    </w:p>
    <w:p w14:paraId="2580659E">
      <w:pPr>
        <w:spacing w:line="360" w:lineRule="auto"/>
        <w:ind w:firstLine="480" w:firstLineChars="200"/>
        <w:rPr>
          <w:rFonts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21086EA0">
      <w:pPr>
        <w:spacing w:line="360" w:lineRule="auto"/>
        <w:ind w:firstLine="480" w:firstLineChars="200"/>
        <w:rPr>
          <w:rFonts w:ascii="宋体" w:hAnsi="宋体" w:cs="宋体"/>
          <w:color w:val="000000"/>
          <w:sz w:val="24"/>
        </w:rPr>
      </w:pPr>
      <w:r>
        <w:rPr>
          <w:rFonts w:hint="eastAsia" w:ascii="宋体" w:hAnsi="宋体" w:cs="宋体"/>
          <w:color w:val="000000"/>
          <w:sz w:val="24"/>
        </w:rPr>
        <w:t>1.1.2.5 设计人：</w:t>
      </w:r>
    </w:p>
    <w:p w14:paraId="5431D923">
      <w:pPr>
        <w:spacing w:line="360" w:lineRule="auto"/>
        <w:ind w:firstLine="480" w:firstLineChars="200"/>
        <w:rPr>
          <w:rFonts w:ascii="宋体" w:hAnsi="宋体" w:cs="宋体"/>
          <w:color w:val="000000"/>
          <w:sz w:val="24"/>
        </w:rPr>
      </w:pPr>
      <w:r>
        <w:rPr>
          <w:rFonts w:hint="eastAsia" w:ascii="宋体" w:hAnsi="宋体" w:cs="宋体"/>
          <w:color w:val="000000"/>
          <w:sz w:val="24"/>
        </w:rPr>
        <w:t>名    称：</w:t>
      </w:r>
      <w:r>
        <w:rPr>
          <w:rFonts w:hint="eastAsia" w:ascii="宋体" w:hAnsi="宋体" w:cs="宋体"/>
          <w:color w:val="000000"/>
          <w:sz w:val="24"/>
          <w:u w:val="single"/>
        </w:rPr>
        <w:t xml:space="preserve">                </w:t>
      </w:r>
      <w:r>
        <w:rPr>
          <w:rFonts w:hint="eastAsia" w:ascii="宋体" w:hAnsi="宋体" w:cs="宋体"/>
          <w:color w:val="000000"/>
          <w:sz w:val="24"/>
        </w:rPr>
        <w:t>；</w:t>
      </w:r>
    </w:p>
    <w:p w14:paraId="2D880F12">
      <w:pPr>
        <w:spacing w:line="360" w:lineRule="auto"/>
        <w:ind w:firstLine="480" w:firstLineChars="200"/>
        <w:rPr>
          <w:rFonts w:ascii="宋体" w:hAnsi="宋体" w:cs="宋体"/>
          <w:color w:val="000000"/>
          <w:sz w:val="24"/>
        </w:rPr>
      </w:pPr>
      <w:r>
        <w:rPr>
          <w:rFonts w:hint="eastAsia" w:ascii="宋体" w:hAnsi="宋体" w:cs="宋体"/>
          <w:color w:val="000000"/>
          <w:sz w:val="24"/>
        </w:rPr>
        <w:t>资质类别和等级：</w:t>
      </w:r>
      <w:r>
        <w:rPr>
          <w:rFonts w:hint="eastAsia" w:ascii="宋体" w:hAnsi="宋体" w:cs="宋体"/>
          <w:color w:val="000000"/>
          <w:sz w:val="24"/>
          <w:u w:val="single"/>
        </w:rPr>
        <w:t>                </w:t>
      </w:r>
      <w:r>
        <w:rPr>
          <w:rFonts w:hint="eastAsia" w:ascii="宋体" w:hAnsi="宋体" w:cs="宋体"/>
          <w:color w:val="000000"/>
          <w:sz w:val="24"/>
        </w:rPr>
        <w:t>；</w:t>
      </w:r>
    </w:p>
    <w:p w14:paraId="5DAB40EB">
      <w:pPr>
        <w:spacing w:line="360" w:lineRule="auto"/>
        <w:ind w:firstLine="480" w:firstLineChars="200"/>
        <w:rPr>
          <w:rFonts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w:t>
      </w:r>
      <w:r>
        <w:rPr>
          <w:rFonts w:hint="eastAsia" w:ascii="宋体" w:hAnsi="宋体" w:cs="宋体"/>
          <w:color w:val="000000"/>
          <w:sz w:val="24"/>
        </w:rPr>
        <w:t>；</w:t>
      </w:r>
    </w:p>
    <w:p w14:paraId="5F84ED44">
      <w:pPr>
        <w:spacing w:line="360" w:lineRule="auto"/>
        <w:ind w:firstLine="480" w:firstLineChars="200"/>
        <w:rPr>
          <w:rFonts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                </w:t>
      </w:r>
      <w:r>
        <w:rPr>
          <w:rFonts w:hint="eastAsia" w:ascii="宋体" w:hAnsi="宋体" w:cs="宋体"/>
          <w:color w:val="000000"/>
          <w:sz w:val="24"/>
        </w:rPr>
        <w:t>；</w:t>
      </w:r>
    </w:p>
    <w:p w14:paraId="219B8AF1">
      <w:pPr>
        <w:spacing w:line="360" w:lineRule="auto"/>
        <w:ind w:firstLine="480" w:firstLineChars="200"/>
        <w:rPr>
          <w:rFonts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3AA495AD">
      <w:pPr>
        <w:spacing w:line="360" w:lineRule="auto"/>
        <w:ind w:firstLine="480" w:firstLineChars="200"/>
        <w:rPr>
          <w:rFonts w:ascii="宋体" w:hAnsi="宋体" w:cs="宋体"/>
          <w:color w:val="000000"/>
          <w:sz w:val="24"/>
        </w:rPr>
      </w:pPr>
      <w:r>
        <w:rPr>
          <w:rFonts w:hint="eastAsia" w:ascii="宋体" w:hAnsi="宋体" w:cs="宋体"/>
          <w:color w:val="000000"/>
          <w:sz w:val="24"/>
        </w:rPr>
        <w:t>1.1.3 工程和设备</w:t>
      </w:r>
    </w:p>
    <w:p w14:paraId="3781E4C4">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1.1.3.7 作为施工现场组成部分的其他场所包括：</w:t>
      </w:r>
      <w:r>
        <w:rPr>
          <w:rFonts w:hint="eastAsia" w:ascii="宋体" w:hAnsi="宋体" w:cs="宋体"/>
          <w:color w:val="000000"/>
          <w:sz w:val="24"/>
          <w:u w:val="single"/>
        </w:rPr>
        <w:t xml:space="preserve">       /   </w:t>
      </w:r>
      <w:r>
        <w:rPr>
          <w:rFonts w:hint="eastAsia" w:ascii="宋体" w:hAnsi="宋体" w:cs="宋体"/>
          <w:color w:val="000000"/>
          <w:sz w:val="24"/>
        </w:rPr>
        <w:t>。</w:t>
      </w:r>
    </w:p>
    <w:p w14:paraId="245AE0D8">
      <w:pPr>
        <w:spacing w:line="360" w:lineRule="auto"/>
        <w:ind w:firstLine="480" w:firstLineChars="200"/>
        <w:rPr>
          <w:rFonts w:ascii="宋体" w:hAnsi="宋体" w:cs="宋体"/>
          <w:color w:val="000000"/>
          <w:sz w:val="24"/>
        </w:rPr>
      </w:pPr>
      <w:r>
        <w:rPr>
          <w:rFonts w:hint="eastAsia" w:ascii="宋体" w:hAnsi="宋体" w:cs="宋体"/>
          <w:color w:val="000000"/>
          <w:sz w:val="24"/>
        </w:rPr>
        <w:t>1.1.3.9 永久占地包括：</w:t>
      </w:r>
      <w:r>
        <w:rPr>
          <w:rFonts w:hint="eastAsia" w:ascii="宋体" w:hAnsi="宋体" w:cs="宋体"/>
          <w:color w:val="000000"/>
          <w:sz w:val="24"/>
          <w:u w:val="single"/>
        </w:rPr>
        <w:t xml:space="preserve">            /            </w:t>
      </w:r>
      <w:r>
        <w:rPr>
          <w:rFonts w:hint="eastAsia" w:ascii="宋体" w:hAnsi="宋体" w:cs="宋体"/>
          <w:color w:val="000000"/>
          <w:sz w:val="24"/>
        </w:rPr>
        <w:t>。</w:t>
      </w:r>
    </w:p>
    <w:p w14:paraId="365C2B42">
      <w:pPr>
        <w:spacing w:line="360" w:lineRule="auto"/>
        <w:ind w:firstLine="480" w:firstLineChars="200"/>
        <w:rPr>
          <w:rFonts w:ascii="宋体" w:hAnsi="宋体" w:cs="宋体"/>
          <w:color w:val="000000"/>
          <w:sz w:val="24"/>
        </w:rPr>
      </w:pPr>
      <w:r>
        <w:rPr>
          <w:rFonts w:hint="eastAsia" w:ascii="宋体" w:hAnsi="宋体" w:cs="宋体"/>
          <w:color w:val="000000"/>
          <w:sz w:val="24"/>
        </w:rPr>
        <w:t>1.1.3.10 临时占地包括：</w:t>
      </w:r>
      <w:r>
        <w:rPr>
          <w:rFonts w:hint="eastAsia" w:ascii="宋体" w:hAnsi="宋体" w:cs="宋体"/>
          <w:color w:val="000000"/>
          <w:sz w:val="24"/>
          <w:u w:val="single"/>
        </w:rPr>
        <w:t xml:space="preserve">           /            </w:t>
      </w:r>
      <w:r>
        <w:rPr>
          <w:rFonts w:hint="eastAsia" w:ascii="宋体" w:hAnsi="宋体" w:cs="宋体"/>
          <w:color w:val="000000"/>
          <w:sz w:val="24"/>
        </w:rPr>
        <w:t>。</w:t>
      </w:r>
    </w:p>
    <w:p w14:paraId="1354E553">
      <w:pPr>
        <w:spacing w:line="360" w:lineRule="auto"/>
        <w:ind w:firstLine="480" w:firstLineChars="200"/>
        <w:rPr>
          <w:rFonts w:ascii="宋体" w:hAnsi="宋体" w:cs="宋体"/>
          <w:color w:val="000000"/>
          <w:sz w:val="24"/>
        </w:rPr>
      </w:pPr>
      <w:r>
        <w:rPr>
          <w:rFonts w:hint="eastAsia" w:ascii="宋体" w:hAnsi="宋体" w:cs="宋体"/>
          <w:color w:val="000000"/>
          <w:sz w:val="24"/>
        </w:rPr>
        <w:t>1.3 法律</w:t>
      </w:r>
    </w:p>
    <w:p w14:paraId="4C7F68D0">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适用于合同的其他规范性文件：</w:t>
      </w:r>
      <w:r>
        <w:rPr>
          <w:rFonts w:hint="eastAsia" w:ascii="宋体" w:hAnsi="宋体" w:cs="宋体"/>
          <w:color w:val="000000"/>
          <w:sz w:val="24"/>
          <w:u w:val="single"/>
        </w:rPr>
        <w:t>浙江省、宁波市、宁海县有关工程建设的法规、规章及规范性文件</w:t>
      </w:r>
      <w:r>
        <w:rPr>
          <w:rFonts w:hint="eastAsia" w:ascii="宋体" w:hAnsi="宋体" w:cs="宋体"/>
          <w:color w:val="000000"/>
          <w:sz w:val="24"/>
        </w:rPr>
        <w:t>。</w:t>
      </w:r>
    </w:p>
    <w:p w14:paraId="248B92A9">
      <w:pPr>
        <w:spacing w:line="360" w:lineRule="auto"/>
        <w:ind w:firstLine="480" w:firstLineChars="200"/>
        <w:rPr>
          <w:rFonts w:ascii="宋体" w:hAnsi="宋体" w:cs="宋体"/>
          <w:color w:val="000000"/>
          <w:sz w:val="24"/>
        </w:rPr>
      </w:pPr>
      <w:r>
        <w:rPr>
          <w:rFonts w:hint="eastAsia" w:ascii="宋体" w:hAnsi="宋体" w:cs="宋体"/>
          <w:color w:val="000000"/>
          <w:sz w:val="24"/>
        </w:rPr>
        <w:t>1.4 标准和规范</w:t>
      </w:r>
    </w:p>
    <w:p w14:paraId="2C2C5D07">
      <w:pPr>
        <w:spacing w:line="360" w:lineRule="auto"/>
        <w:ind w:firstLine="480" w:firstLineChars="200"/>
        <w:rPr>
          <w:rFonts w:ascii="宋体" w:hAnsi="宋体" w:cs="宋体"/>
          <w:color w:val="000000"/>
          <w:sz w:val="24"/>
        </w:rPr>
      </w:pPr>
      <w:r>
        <w:rPr>
          <w:rFonts w:hint="eastAsia" w:ascii="宋体" w:hAnsi="宋体" w:cs="宋体"/>
          <w:color w:val="000000"/>
          <w:sz w:val="24"/>
        </w:rPr>
        <w:t>1.4.1适用于工程的标准规范包括：</w:t>
      </w:r>
      <w:r>
        <w:rPr>
          <w:rFonts w:hint="eastAsia" w:ascii="宋体" w:hAnsi="宋体" w:cs="宋体"/>
          <w:color w:val="000000"/>
          <w:sz w:val="24"/>
          <w:u w:val="single"/>
        </w:rPr>
        <w:t>国家、浙江省、宁波市有关工程建设相关的施工及验收规范和标准</w:t>
      </w:r>
      <w:r>
        <w:rPr>
          <w:rFonts w:hint="eastAsia" w:ascii="宋体" w:hAnsi="宋体" w:cs="宋体"/>
          <w:color w:val="000000"/>
          <w:sz w:val="24"/>
        </w:rPr>
        <w:t>。</w:t>
      </w:r>
    </w:p>
    <w:p w14:paraId="1F403E2E">
      <w:pPr>
        <w:spacing w:line="360" w:lineRule="auto"/>
        <w:ind w:firstLine="480" w:firstLineChars="200"/>
        <w:rPr>
          <w:rFonts w:ascii="宋体" w:hAnsi="宋体" w:cs="宋体"/>
          <w:color w:val="000000"/>
          <w:sz w:val="24"/>
        </w:rPr>
      </w:pPr>
      <w:r>
        <w:rPr>
          <w:rFonts w:hint="eastAsia" w:ascii="宋体" w:hAnsi="宋体" w:cs="宋体"/>
          <w:color w:val="000000"/>
          <w:sz w:val="24"/>
        </w:rPr>
        <w:t>1.4.2 发包人提供国外标准、规范的名称：</w:t>
      </w:r>
    </w:p>
    <w:p w14:paraId="4187B44F">
      <w:pPr>
        <w:spacing w:line="360" w:lineRule="auto"/>
        <w:ind w:firstLine="480" w:firstLineChars="200"/>
        <w:rPr>
          <w:rFonts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p w14:paraId="3306708E">
      <w:pPr>
        <w:spacing w:line="360" w:lineRule="auto"/>
        <w:ind w:firstLine="480" w:firstLineChars="200"/>
        <w:rPr>
          <w:rFonts w:ascii="宋体" w:hAnsi="宋体" w:cs="宋体"/>
          <w:color w:val="000000"/>
          <w:sz w:val="24"/>
        </w:rPr>
      </w:pPr>
      <w:r>
        <w:rPr>
          <w:rFonts w:hint="eastAsia" w:ascii="宋体" w:hAnsi="宋体" w:cs="宋体"/>
          <w:color w:val="000000"/>
          <w:sz w:val="24"/>
        </w:rPr>
        <w:t>发包人提供国外标准、规范的份数：</w:t>
      </w:r>
      <w:r>
        <w:rPr>
          <w:rFonts w:hint="eastAsia" w:ascii="宋体" w:hAnsi="宋体" w:cs="宋体"/>
          <w:color w:val="000000"/>
          <w:sz w:val="24"/>
          <w:u w:val="single"/>
        </w:rPr>
        <w:t xml:space="preserve">           /           </w:t>
      </w:r>
      <w:r>
        <w:rPr>
          <w:rFonts w:hint="eastAsia" w:ascii="宋体" w:hAnsi="宋体" w:cs="宋体"/>
          <w:color w:val="000000"/>
          <w:sz w:val="24"/>
        </w:rPr>
        <w:t>；</w:t>
      </w:r>
    </w:p>
    <w:p w14:paraId="5AF8E5D1">
      <w:pPr>
        <w:spacing w:line="360" w:lineRule="auto"/>
        <w:ind w:firstLine="480" w:firstLineChars="200"/>
        <w:rPr>
          <w:rFonts w:ascii="宋体" w:hAnsi="宋体" w:cs="宋体"/>
          <w:color w:val="000000"/>
          <w:sz w:val="24"/>
        </w:rPr>
      </w:pPr>
      <w:r>
        <w:rPr>
          <w:rFonts w:hint="eastAsia" w:ascii="宋体" w:hAnsi="宋体" w:cs="宋体"/>
          <w:color w:val="000000"/>
          <w:sz w:val="24"/>
        </w:rPr>
        <w:t>发包人提供国外标准、规范的名称：</w:t>
      </w:r>
      <w:r>
        <w:rPr>
          <w:rFonts w:hint="eastAsia" w:ascii="宋体" w:hAnsi="宋体" w:cs="宋体"/>
          <w:color w:val="000000"/>
          <w:sz w:val="24"/>
          <w:u w:val="single"/>
        </w:rPr>
        <w:t xml:space="preserve">           /           </w:t>
      </w:r>
      <w:r>
        <w:rPr>
          <w:rFonts w:hint="eastAsia" w:ascii="宋体" w:hAnsi="宋体" w:cs="宋体"/>
          <w:color w:val="000000"/>
          <w:sz w:val="24"/>
        </w:rPr>
        <w:t>。</w:t>
      </w:r>
    </w:p>
    <w:p w14:paraId="0809C416">
      <w:pPr>
        <w:spacing w:line="360" w:lineRule="auto"/>
        <w:ind w:firstLine="480" w:firstLineChars="200"/>
        <w:rPr>
          <w:rFonts w:ascii="宋体" w:hAnsi="宋体" w:cs="宋体"/>
          <w:color w:val="000000"/>
          <w:sz w:val="24"/>
        </w:rPr>
      </w:pPr>
      <w:r>
        <w:rPr>
          <w:rFonts w:hint="eastAsia" w:ascii="宋体" w:hAnsi="宋体" w:cs="宋体"/>
          <w:color w:val="000000"/>
          <w:sz w:val="24"/>
        </w:rPr>
        <w:t>1.4.3 发包人对工程的技术标准和功能要求的特殊要求：</w:t>
      </w:r>
    </w:p>
    <w:p w14:paraId="2830DD60">
      <w:pPr>
        <w:spacing w:line="360" w:lineRule="auto"/>
        <w:ind w:firstLine="480" w:firstLineChars="200"/>
        <w:rPr>
          <w:rFonts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p w14:paraId="702C0916">
      <w:pPr>
        <w:spacing w:line="360" w:lineRule="auto"/>
        <w:ind w:firstLine="480" w:firstLineChars="200"/>
        <w:rPr>
          <w:rFonts w:ascii="宋体" w:hAnsi="宋体" w:cs="宋体"/>
          <w:color w:val="000000"/>
          <w:sz w:val="24"/>
        </w:rPr>
      </w:pPr>
      <w:r>
        <w:rPr>
          <w:rFonts w:hint="eastAsia" w:ascii="宋体" w:hAnsi="宋体" w:cs="宋体"/>
          <w:color w:val="000000"/>
          <w:sz w:val="24"/>
        </w:rPr>
        <w:t>1.5 合同文件的优先顺序</w:t>
      </w:r>
    </w:p>
    <w:p w14:paraId="3F0E1E0B">
      <w:pPr>
        <w:spacing w:line="360" w:lineRule="auto"/>
        <w:ind w:firstLine="480" w:firstLineChars="200"/>
        <w:rPr>
          <w:rFonts w:ascii="宋体" w:hAnsi="宋体" w:cs="宋体"/>
          <w:color w:val="000000"/>
          <w:sz w:val="24"/>
        </w:rPr>
      </w:pPr>
      <w:r>
        <w:rPr>
          <w:rFonts w:hint="eastAsia" w:ascii="宋体" w:hAnsi="宋体" w:cs="宋体"/>
          <w:color w:val="000000"/>
          <w:sz w:val="24"/>
        </w:rPr>
        <w:t>合同文件组成及优先顺序为：</w:t>
      </w:r>
      <w:r>
        <w:rPr>
          <w:rFonts w:hint="eastAsia" w:ascii="宋体" w:hAnsi="宋体" w:cs="宋体"/>
          <w:color w:val="000000"/>
          <w:sz w:val="24"/>
          <w:u w:val="single"/>
        </w:rPr>
        <w:t>（1）合同协议书；（2）中标通知书；（3）投标函及其附录；（4）专用合同条款及其附件；（5）通用合同条款；（6）技术标准和要求；（7）图纸；（8）预算书；（9）其他合同文件。</w:t>
      </w:r>
    </w:p>
    <w:p w14:paraId="2C97651C">
      <w:pPr>
        <w:spacing w:line="360" w:lineRule="auto"/>
        <w:ind w:firstLine="480" w:firstLineChars="200"/>
        <w:rPr>
          <w:rFonts w:ascii="宋体" w:hAnsi="宋体" w:cs="宋体"/>
          <w:color w:val="000000"/>
          <w:sz w:val="24"/>
        </w:rPr>
      </w:pPr>
      <w:r>
        <w:rPr>
          <w:rFonts w:hint="eastAsia" w:ascii="宋体" w:hAnsi="宋体" w:cs="宋体"/>
          <w:color w:val="000000"/>
          <w:sz w:val="24"/>
        </w:rPr>
        <w:t>1.6 图纸和承包人文件</w:t>
      </w:r>
      <w:r>
        <w:rPr>
          <w:rFonts w:hint="eastAsia" w:ascii="宋体" w:hAnsi="宋体" w:cs="宋体"/>
          <w:color w:val="000000"/>
          <w:sz w:val="24"/>
        </w:rPr>
        <w:tab/>
      </w:r>
    </w:p>
    <w:p w14:paraId="39EBFCE1">
      <w:pPr>
        <w:spacing w:line="360" w:lineRule="auto"/>
        <w:ind w:firstLine="480" w:firstLineChars="200"/>
        <w:rPr>
          <w:rFonts w:ascii="宋体" w:hAnsi="宋体" w:cs="宋体"/>
          <w:color w:val="000000"/>
          <w:sz w:val="24"/>
        </w:rPr>
      </w:pPr>
      <w:r>
        <w:rPr>
          <w:rFonts w:hint="eastAsia" w:ascii="宋体" w:hAnsi="宋体" w:cs="宋体"/>
          <w:color w:val="000000"/>
          <w:sz w:val="24"/>
        </w:rPr>
        <w:t>1.6.1 图纸的提供</w:t>
      </w:r>
    </w:p>
    <w:p w14:paraId="2DE48B55">
      <w:pPr>
        <w:spacing w:line="360" w:lineRule="auto"/>
        <w:ind w:firstLine="480" w:firstLineChars="200"/>
        <w:rPr>
          <w:rFonts w:ascii="宋体" w:hAnsi="宋体" w:cs="宋体"/>
          <w:color w:val="000000"/>
          <w:sz w:val="24"/>
        </w:rPr>
      </w:pPr>
      <w:r>
        <w:rPr>
          <w:rFonts w:hint="eastAsia" w:ascii="宋体" w:hAnsi="宋体" w:cs="宋体"/>
          <w:color w:val="000000"/>
          <w:sz w:val="24"/>
        </w:rPr>
        <w:t>发包人向承包人提供图纸的期限：</w:t>
      </w:r>
      <w:r>
        <w:rPr>
          <w:rFonts w:hint="eastAsia" w:ascii="宋体" w:hAnsi="宋体" w:cs="宋体"/>
          <w:color w:val="000000"/>
          <w:sz w:val="24"/>
          <w:u w:val="single"/>
        </w:rPr>
        <w:t>向承包人发出中标通知书后3天内</w:t>
      </w:r>
      <w:r>
        <w:rPr>
          <w:rFonts w:hint="eastAsia" w:ascii="宋体" w:hAnsi="宋体" w:cs="宋体"/>
          <w:color w:val="000000"/>
          <w:sz w:val="24"/>
        </w:rPr>
        <w:t>；</w:t>
      </w:r>
    </w:p>
    <w:p w14:paraId="3891B5C4">
      <w:pPr>
        <w:spacing w:line="360" w:lineRule="auto"/>
        <w:ind w:firstLine="480" w:firstLineChars="200"/>
        <w:rPr>
          <w:rFonts w:ascii="宋体" w:hAnsi="宋体" w:cs="宋体"/>
          <w:color w:val="000000"/>
          <w:sz w:val="24"/>
        </w:rPr>
      </w:pPr>
      <w:r>
        <w:rPr>
          <w:rFonts w:hint="eastAsia" w:ascii="宋体" w:hAnsi="宋体" w:cs="宋体"/>
          <w:color w:val="000000"/>
          <w:sz w:val="24"/>
        </w:rPr>
        <w:t>发包人向承包人提供图纸的数量：</w:t>
      </w:r>
      <w:r>
        <w:rPr>
          <w:rFonts w:hint="eastAsia" w:ascii="宋体" w:hAnsi="宋体" w:cs="宋体"/>
          <w:color w:val="000000"/>
          <w:sz w:val="24"/>
          <w:u w:val="single"/>
        </w:rPr>
        <w:t xml:space="preserve">2套 </w:t>
      </w:r>
      <w:r>
        <w:rPr>
          <w:rFonts w:hint="eastAsia" w:ascii="宋体" w:hAnsi="宋体" w:cs="宋体"/>
          <w:color w:val="000000"/>
          <w:sz w:val="24"/>
        </w:rPr>
        <w:t>；</w:t>
      </w:r>
    </w:p>
    <w:p w14:paraId="4E25D85D">
      <w:pPr>
        <w:spacing w:line="360" w:lineRule="auto"/>
        <w:ind w:firstLine="480" w:firstLineChars="200"/>
        <w:rPr>
          <w:rFonts w:ascii="宋体" w:hAnsi="宋体" w:cs="宋体"/>
          <w:color w:val="000000"/>
          <w:sz w:val="24"/>
        </w:rPr>
      </w:pPr>
      <w:r>
        <w:rPr>
          <w:rFonts w:hint="eastAsia" w:ascii="宋体" w:hAnsi="宋体" w:cs="宋体"/>
          <w:color w:val="000000"/>
          <w:sz w:val="24"/>
        </w:rPr>
        <w:t>发包人向承包人提供图纸的内容：</w:t>
      </w:r>
      <w:r>
        <w:rPr>
          <w:rFonts w:hint="eastAsia" w:ascii="宋体" w:hAnsi="宋体" w:cs="宋体"/>
          <w:color w:val="000000"/>
          <w:sz w:val="24"/>
          <w:u w:val="single"/>
        </w:rPr>
        <w:t>工程承包范围内的各专业工程</w:t>
      </w:r>
      <w:r>
        <w:rPr>
          <w:rFonts w:hint="eastAsia" w:ascii="宋体" w:hAnsi="宋体" w:cs="宋体"/>
          <w:color w:val="000000"/>
          <w:sz w:val="24"/>
        </w:rPr>
        <w:t>。</w:t>
      </w:r>
    </w:p>
    <w:p w14:paraId="608D76C3">
      <w:pPr>
        <w:spacing w:line="360" w:lineRule="auto"/>
        <w:ind w:firstLine="480" w:firstLineChars="200"/>
        <w:rPr>
          <w:rFonts w:ascii="宋体" w:hAnsi="宋体" w:cs="宋体"/>
          <w:color w:val="000000"/>
          <w:sz w:val="24"/>
        </w:rPr>
      </w:pPr>
      <w:r>
        <w:rPr>
          <w:rFonts w:hint="eastAsia" w:ascii="宋体" w:hAnsi="宋体" w:cs="宋体"/>
          <w:color w:val="000000"/>
          <w:sz w:val="24"/>
        </w:rPr>
        <w:t>1.6.4 承包人文件</w:t>
      </w:r>
    </w:p>
    <w:p w14:paraId="40EC9497">
      <w:pPr>
        <w:spacing w:line="360" w:lineRule="auto"/>
        <w:ind w:firstLine="480" w:firstLineChars="200"/>
        <w:rPr>
          <w:rFonts w:ascii="宋体" w:hAnsi="宋体" w:cs="宋体"/>
          <w:color w:val="000000"/>
          <w:sz w:val="24"/>
        </w:rPr>
      </w:pPr>
      <w:r>
        <w:rPr>
          <w:rFonts w:hint="eastAsia" w:ascii="宋体" w:hAnsi="宋体" w:cs="宋体"/>
          <w:color w:val="000000"/>
          <w:sz w:val="24"/>
        </w:rPr>
        <w:t>需要由承包人提供的文件，包括：</w:t>
      </w:r>
      <w:r>
        <w:rPr>
          <w:rFonts w:hint="eastAsia" w:ascii="宋体" w:hAnsi="宋体" w:cs="宋体"/>
          <w:color w:val="000000"/>
          <w:sz w:val="24"/>
          <w:u w:val="single"/>
        </w:rPr>
        <w:t>施工组织设计、工程进度计划、专项施工方案、加工图、大样图、协调配合图等</w:t>
      </w:r>
      <w:r>
        <w:rPr>
          <w:rFonts w:hint="eastAsia" w:ascii="宋体" w:hAnsi="宋体" w:cs="宋体"/>
          <w:color w:val="000000"/>
          <w:sz w:val="24"/>
        </w:rPr>
        <w:t>；</w:t>
      </w:r>
    </w:p>
    <w:p w14:paraId="5665D4C3">
      <w:pPr>
        <w:spacing w:line="360" w:lineRule="auto"/>
        <w:ind w:firstLine="480" w:firstLineChars="200"/>
        <w:rPr>
          <w:rFonts w:ascii="宋体" w:hAnsi="宋体" w:cs="宋体"/>
          <w:color w:val="000000"/>
          <w:sz w:val="24"/>
        </w:rPr>
      </w:pPr>
      <w:r>
        <w:rPr>
          <w:rFonts w:hint="eastAsia" w:ascii="宋体" w:hAnsi="宋体" w:cs="宋体"/>
          <w:color w:val="000000"/>
          <w:sz w:val="24"/>
        </w:rPr>
        <w:t>承包人提供的文件的期限为：</w:t>
      </w:r>
      <w:r>
        <w:rPr>
          <w:rFonts w:hint="eastAsia" w:ascii="宋体" w:hAnsi="宋体" w:cs="宋体"/>
          <w:color w:val="000000"/>
          <w:sz w:val="24"/>
          <w:u w:val="single"/>
        </w:rPr>
        <w:t>施工组织设计、工程进度计划在工程开工前15天，其他文件在相应专项工程或部位施工前5天</w:t>
      </w:r>
      <w:r>
        <w:rPr>
          <w:rFonts w:hint="eastAsia" w:ascii="宋体" w:hAnsi="宋体" w:cs="宋体"/>
          <w:color w:val="000000"/>
          <w:sz w:val="24"/>
        </w:rPr>
        <w:t>；</w:t>
      </w:r>
    </w:p>
    <w:p w14:paraId="51DA0CFE">
      <w:pPr>
        <w:spacing w:line="360" w:lineRule="auto"/>
        <w:ind w:firstLine="480" w:firstLineChars="200"/>
        <w:rPr>
          <w:rFonts w:ascii="宋体" w:hAnsi="宋体" w:cs="宋体"/>
          <w:color w:val="000000"/>
          <w:sz w:val="24"/>
        </w:rPr>
      </w:pPr>
      <w:r>
        <w:rPr>
          <w:rFonts w:hint="eastAsia" w:ascii="宋体" w:hAnsi="宋体" w:cs="宋体"/>
          <w:color w:val="000000"/>
          <w:sz w:val="24"/>
        </w:rPr>
        <w:t>承包人提供的文件的数量为：</w:t>
      </w:r>
      <w:r>
        <w:rPr>
          <w:rFonts w:hint="eastAsia" w:ascii="宋体" w:hAnsi="宋体" w:cs="宋体"/>
          <w:color w:val="000000"/>
          <w:sz w:val="24"/>
          <w:u w:val="single"/>
        </w:rPr>
        <w:t xml:space="preserve"> 一式五套、电子版一套       </w:t>
      </w:r>
      <w:r>
        <w:rPr>
          <w:rFonts w:hint="eastAsia" w:ascii="宋体" w:hAnsi="宋体" w:cs="宋体"/>
          <w:color w:val="000000"/>
          <w:sz w:val="24"/>
        </w:rPr>
        <w:t>；</w:t>
      </w:r>
    </w:p>
    <w:p w14:paraId="3335EECC">
      <w:pPr>
        <w:spacing w:line="360" w:lineRule="auto"/>
        <w:ind w:firstLine="480" w:firstLineChars="200"/>
        <w:rPr>
          <w:rFonts w:ascii="宋体" w:hAnsi="宋体" w:cs="宋体"/>
          <w:color w:val="000000"/>
          <w:sz w:val="24"/>
        </w:rPr>
      </w:pPr>
      <w:r>
        <w:rPr>
          <w:rFonts w:hint="eastAsia" w:ascii="宋体" w:hAnsi="宋体" w:cs="宋体"/>
          <w:color w:val="000000"/>
          <w:sz w:val="24"/>
        </w:rPr>
        <w:t>承包人提供的文件的形式为：</w:t>
      </w:r>
      <w:r>
        <w:rPr>
          <w:rFonts w:hint="eastAsia" w:ascii="宋体" w:hAnsi="宋体" w:cs="宋体"/>
          <w:color w:val="000000"/>
          <w:sz w:val="24"/>
          <w:u w:val="single"/>
        </w:rPr>
        <w:t xml:space="preserve"> 纸质版本及电子版本       </w:t>
      </w:r>
      <w:r>
        <w:rPr>
          <w:rFonts w:hint="eastAsia" w:ascii="宋体" w:hAnsi="宋体" w:cs="宋体"/>
          <w:color w:val="000000"/>
          <w:sz w:val="24"/>
        </w:rPr>
        <w:t>；</w:t>
      </w:r>
    </w:p>
    <w:p w14:paraId="180D21E9">
      <w:pPr>
        <w:spacing w:line="360" w:lineRule="auto"/>
        <w:ind w:firstLine="480" w:firstLineChars="200"/>
        <w:rPr>
          <w:rFonts w:ascii="宋体" w:hAnsi="宋体" w:cs="宋体"/>
          <w:color w:val="000000"/>
          <w:sz w:val="24"/>
        </w:rPr>
      </w:pPr>
      <w:r>
        <w:rPr>
          <w:rFonts w:hint="eastAsia" w:ascii="宋体" w:hAnsi="宋体" w:cs="宋体"/>
          <w:color w:val="000000"/>
          <w:sz w:val="24"/>
        </w:rPr>
        <w:t>发包人审批承包人文件的期限：</w:t>
      </w:r>
      <w:r>
        <w:rPr>
          <w:rFonts w:hint="eastAsia" w:ascii="宋体" w:hAnsi="宋体" w:cs="宋体"/>
          <w:color w:val="000000"/>
          <w:sz w:val="24"/>
          <w:u w:val="single"/>
        </w:rPr>
        <w:t xml:space="preserve">                </w:t>
      </w:r>
      <w:r>
        <w:rPr>
          <w:rFonts w:hint="eastAsia" w:ascii="宋体" w:hAnsi="宋体" w:cs="宋体"/>
          <w:color w:val="000000"/>
          <w:sz w:val="24"/>
        </w:rPr>
        <w:t>。</w:t>
      </w:r>
    </w:p>
    <w:p w14:paraId="4895BB13">
      <w:pPr>
        <w:spacing w:line="360" w:lineRule="auto"/>
        <w:ind w:firstLine="480" w:firstLineChars="200"/>
        <w:rPr>
          <w:rFonts w:ascii="宋体" w:hAnsi="宋体" w:cs="宋体"/>
          <w:color w:val="000000"/>
          <w:sz w:val="24"/>
        </w:rPr>
      </w:pPr>
      <w:r>
        <w:rPr>
          <w:rFonts w:hint="eastAsia" w:ascii="宋体" w:hAnsi="宋体" w:cs="宋体"/>
          <w:color w:val="000000"/>
          <w:sz w:val="24"/>
        </w:rPr>
        <w:t>1.6.5 现场图纸准备</w:t>
      </w:r>
    </w:p>
    <w:p w14:paraId="71BD90B7">
      <w:pPr>
        <w:spacing w:line="360" w:lineRule="auto"/>
        <w:ind w:firstLine="480" w:firstLineChars="200"/>
        <w:rPr>
          <w:rFonts w:ascii="宋体" w:hAnsi="宋体" w:cs="宋体"/>
          <w:color w:val="000000"/>
          <w:sz w:val="24"/>
        </w:rPr>
      </w:pPr>
      <w:r>
        <w:rPr>
          <w:rFonts w:hint="eastAsia" w:ascii="宋体" w:hAnsi="宋体" w:cs="宋体"/>
          <w:color w:val="000000"/>
          <w:sz w:val="24"/>
        </w:rPr>
        <w:t>关于现场图纸准备的约定：</w:t>
      </w:r>
      <w:r>
        <w:rPr>
          <w:rFonts w:hint="eastAsia" w:ascii="宋体" w:hAnsi="宋体" w:cs="宋体"/>
          <w:color w:val="000000"/>
          <w:sz w:val="24"/>
          <w:u w:val="single"/>
        </w:rPr>
        <w:t>承包人在施工现场保存至少一套完整的图纸和承包人文件</w:t>
      </w:r>
      <w:r>
        <w:rPr>
          <w:rFonts w:hint="eastAsia" w:ascii="宋体" w:hAnsi="宋体" w:cs="宋体"/>
          <w:color w:val="000000"/>
          <w:sz w:val="24"/>
        </w:rPr>
        <w:t>。</w:t>
      </w:r>
    </w:p>
    <w:p w14:paraId="10A5F078">
      <w:pPr>
        <w:spacing w:line="360" w:lineRule="auto"/>
        <w:ind w:firstLine="480" w:firstLineChars="200"/>
        <w:rPr>
          <w:rFonts w:ascii="宋体" w:hAnsi="宋体" w:cs="宋体"/>
          <w:color w:val="000000"/>
          <w:sz w:val="24"/>
        </w:rPr>
      </w:pPr>
      <w:r>
        <w:rPr>
          <w:rFonts w:hint="eastAsia" w:ascii="宋体" w:hAnsi="宋体" w:cs="宋体"/>
          <w:color w:val="000000"/>
          <w:sz w:val="24"/>
        </w:rPr>
        <w:t>1.7 联络</w:t>
      </w:r>
    </w:p>
    <w:p w14:paraId="7D230985">
      <w:pPr>
        <w:spacing w:line="360" w:lineRule="auto"/>
        <w:ind w:firstLine="480" w:firstLineChars="200"/>
        <w:rPr>
          <w:rFonts w:ascii="宋体" w:hAnsi="宋体" w:cs="宋体"/>
          <w:color w:val="000000"/>
          <w:sz w:val="24"/>
        </w:rPr>
      </w:pPr>
      <w:r>
        <w:rPr>
          <w:rFonts w:hint="eastAsia" w:ascii="宋体" w:hAnsi="宋体" w:cs="宋体"/>
          <w:color w:val="000000"/>
          <w:sz w:val="24"/>
        </w:rPr>
        <w:t>1.7.1 发包人和承包人应当在</w:t>
      </w:r>
      <w:r>
        <w:rPr>
          <w:rFonts w:hint="eastAsia" w:ascii="宋体" w:hAnsi="宋体" w:cs="宋体"/>
          <w:color w:val="000000"/>
          <w:sz w:val="24"/>
          <w:u w:val="single"/>
        </w:rPr>
        <w:t xml:space="preserve"> 通用条款规定的时间 </w:t>
      </w:r>
      <w:r>
        <w:rPr>
          <w:rFonts w:hint="eastAsia" w:ascii="宋体" w:hAnsi="宋体" w:cs="宋体"/>
          <w:color w:val="000000"/>
          <w:sz w:val="24"/>
        </w:rPr>
        <w:t>内将与合同有关的通知、批准、证明、证书、指示、指令、要求、请求、同意、意见、确定和决定等书面函件送达对方当事人。</w:t>
      </w:r>
    </w:p>
    <w:p w14:paraId="33A18960">
      <w:pPr>
        <w:spacing w:line="360" w:lineRule="auto"/>
        <w:ind w:firstLine="480" w:firstLineChars="200"/>
        <w:rPr>
          <w:rFonts w:ascii="宋体" w:hAnsi="宋体" w:cs="宋体"/>
          <w:color w:val="000000"/>
          <w:sz w:val="24"/>
        </w:rPr>
      </w:pPr>
      <w:r>
        <w:rPr>
          <w:rFonts w:hint="eastAsia" w:ascii="宋体" w:hAnsi="宋体" w:cs="宋体"/>
          <w:color w:val="000000"/>
          <w:sz w:val="24"/>
        </w:rPr>
        <w:t>1.7.2 发包人接收文件的地点：</w:t>
      </w:r>
      <w:r>
        <w:rPr>
          <w:rFonts w:hint="eastAsia" w:ascii="宋体" w:hAnsi="宋体" w:cs="宋体"/>
          <w:color w:val="000000"/>
          <w:sz w:val="24"/>
          <w:u w:val="single"/>
        </w:rPr>
        <w:t xml:space="preserve"> 发包人驻办公所在地 </w:t>
      </w:r>
      <w:r>
        <w:rPr>
          <w:rFonts w:hint="eastAsia" w:ascii="宋体" w:hAnsi="宋体" w:cs="宋体"/>
          <w:color w:val="000000"/>
          <w:sz w:val="24"/>
        </w:rPr>
        <w:t>；</w:t>
      </w:r>
    </w:p>
    <w:p w14:paraId="5C4741F7">
      <w:pPr>
        <w:spacing w:line="360" w:lineRule="auto"/>
        <w:ind w:firstLine="480" w:firstLineChars="200"/>
        <w:rPr>
          <w:rFonts w:ascii="宋体" w:hAnsi="宋体" w:cs="宋体"/>
          <w:color w:val="000000"/>
          <w:sz w:val="24"/>
        </w:rPr>
      </w:pPr>
      <w:r>
        <w:rPr>
          <w:rFonts w:hint="eastAsia" w:ascii="宋体" w:hAnsi="宋体" w:cs="宋体"/>
          <w:color w:val="000000"/>
          <w:sz w:val="24"/>
        </w:rPr>
        <w:t>发包人指定的接收人为：</w:t>
      </w:r>
      <w:r>
        <w:rPr>
          <w:rFonts w:hint="eastAsia" w:ascii="宋体" w:hAnsi="宋体" w:cs="宋体"/>
          <w:color w:val="000000"/>
          <w:sz w:val="24"/>
          <w:u w:val="single"/>
        </w:rPr>
        <w:t xml:space="preserve">            </w:t>
      </w:r>
      <w:r>
        <w:rPr>
          <w:rFonts w:hint="eastAsia" w:ascii="宋体" w:hAnsi="宋体" w:cs="宋体"/>
          <w:color w:val="000000"/>
          <w:sz w:val="24"/>
        </w:rPr>
        <w:t>。</w:t>
      </w:r>
    </w:p>
    <w:p w14:paraId="3EA0A5AE">
      <w:pPr>
        <w:spacing w:line="360" w:lineRule="auto"/>
        <w:ind w:firstLine="480" w:firstLineChars="200"/>
        <w:rPr>
          <w:rFonts w:ascii="宋体" w:hAnsi="宋体" w:cs="宋体"/>
          <w:color w:val="000000"/>
          <w:sz w:val="24"/>
        </w:rPr>
      </w:pPr>
      <w:r>
        <w:rPr>
          <w:rFonts w:hint="eastAsia" w:ascii="宋体" w:hAnsi="宋体" w:cs="宋体"/>
          <w:color w:val="000000"/>
          <w:sz w:val="24"/>
        </w:rPr>
        <w:t>承包人接收文件的地点：</w:t>
      </w:r>
      <w:r>
        <w:rPr>
          <w:rFonts w:hint="eastAsia" w:ascii="宋体" w:hAnsi="宋体" w:cs="宋体"/>
          <w:color w:val="000000"/>
          <w:sz w:val="24"/>
          <w:u w:val="single"/>
        </w:rPr>
        <w:t xml:space="preserve"> 承包人驻办公所在地   </w:t>
      </w:r>
      <w:r>
        <w:rPr>
          <w:rFonts w:hint="eastAsia" w:ascii="宋体" w:hAnsi="宋体" w:cs="宋体"/>
          <w:color w:val="000000"/>
          <w:sz w:val="24"/>
        </w:rPr>
        <w:t>；</w:t>
      </w:r>
    </w:p>
    <w:p w14:paraId="6B16B65C">
      <w:pPr>
        <w:spacing w:line="360" w:lineRule="auto"/>
        <w:ind w:firstLine="480" w:firstLineChars="200"/>
        <w:rPr>
          <w:rFonts w:ascii="宋体" w:hAnsi="宋体" w:cs="宋体"/>
          <w:color w:val="000000"/>
          <w:sz w:val="24"/>
        </w:rPr>
      </w:pPr>
      <w:r>
        <w:rPr>
          <w:rFonts w:hint="eastAsia" w:ascii="宋体" w:hAnsi="宋体" w:cs="宋体"/>
          <w:color w:val="000000"/>
          <w:sz w:val="24"/>
        </w:rPr>
        <w:t>承包人指定的接收人为：</w:t>
      </w:r>
      <w:r>
        <w:rPr>
          <w:rFonts w:hint="eastAsia" w:ascii="宋体" w:hAnsi="宋体" w:cs="宋体"/>
          <w:color w:val="000000"/>
          <w:sz w:val="24"/>
          <w:u w:val="single"/>
        </w:rPr>
        <w:t>        </w:t>
      </w:r>
      <w:r>
        <w:rPr>
          <w:rFonts w:hint="eastAsia" w:ascii="宋体" w:hAnsi="宋体" w:cs="宋体"/>
          <w:color w:val="000000"/>
          <w:sz w:val="24"/>
        </w:rPr>
        <w:t>。</w:t>
      </w:r>
    </w:p>
    <w:p w14:paraId="7F46B463">
      <w:pPr>
        <w:spacing w:line="360" w:lineRule="auto"/>
        <w:ind w:firstLine="480" w:firstLineChars="200"/>
        <w:rPr>
          <w:rFonts w:ascii="宋体" w:hAnsi="宋体" w:cs="宋体"/>
          <w:color w:val="000000"/>
          <w:sz w:val="24"/>
        </w:rPr>
      </w:pPr>
      <w:r>
        <w:rPr>
          <w:rFonts w:hint="eastAsia" w:ascii="宋体" w:hAnsi="宋体" w:cs="宋体"/>
          <w:color w:val="000000"/>
          <w:sz w:val="24"/>
        </w:rPr>
        <w:t>监理人接收文件的地点：</w:t>
      </w:r>
      <w:r>
        <w:rPr>
          <w:rFonts w:hint="eastAsia" w:ascii="宋体" w:hAnsi="宋体" w:cs="宋体"/>
          <w:color w:val="000000"/>
          <w:sz w:val="24"/>
          <w:u w:val="single"/>
        </w:rPr>
        <w:t xml:space="preserve"> 监理人驻办公所在地     </w:t>
      </w:r>
      <w:r>
        <w:rPr>
          <w:rFonts w:hint="eastAsia" w:ascii="宋体" w:hAnsi="宋体" w:cs="宋体"/>
          <w:color w:val="000000"/>
          <w:sz w:val="24"/>
        </w:rPr>
        <w:t>；</w:t>
      </w:r>
    </w:p>
    <w:p w14:paraId="37D745EB">
      <w:pPr>
        <w:spacing w:line="360" w:lineRule="auto"/>
        <w:ind w:firstLine="480" w:firstLineChars="200"/>
        <w:rPr>
          <w:rFonts w:ascii="宋体" w:hAnsi="宋体" w:cs="宋体"/>
          <w:color w:val="000000"/>
          <w:sz w:val="24"/>
        </w:rPr>
      </w:pPr>
      <w:r>
        <w:rPr>
          <w:rFonts w:hint="eastAsia" w:ascii="宋体" w:hAnsi="宋体" w:cs="宋体"/>
          <w:color w:val="000000"/>
          <w:sz w:val="24"/>
        </w:rPr>
        <w:t>监理人指定的接收人为：</w:t>
      </w:r>
      <w:r>
        <w:rPr>
          <w:rFonts w:hint="eastAsia" w:ascii="宋体" w:hAnsi="宋体" w:cs="宋体"/>
          <w:color w:val="000000"/>
          <w:sz w:val="24"/>
          <w:u w:val="single"/>
        </w:rPr>
        <w:t>        </w:t>
      </w:r>
      <w:r>
        <w:rPr>
          <w:rFonts w:hint="eastAsia" w:ascii="宋体" w:hAnsi="宋体" w:cs="宋体"/>
          <w:color w:val="000000"/>
          <w:sz w:val="24"/>
        </w:rPr>
        <w:t>。</w:t>
      </w:r>
    </w:p>
    <w:p w14:paraId="549149C1">
      <w:pPr>
        <w:spacing w:line="360" w:lineRule="auto"/>
        <w:ind w:firstLine="480" w:firstLineChars="200"/>
        <w:rPr>
          <w:rFonts w:ascii="宋体" w:hAnsi="宋体" w:cs="宋体"/>
          <w:color w:val="000000"/>
          <w:sz w:val="24"/>
        </w:rPr>
      </w:pPr>
      <w:r>
        <w:rPr>
          <w:rFonts w:hint="eastAsia" w:ascii="宋体" w:hAnsi="宋体" w:cs="宋体"/>
          <w:color w:val="000000"/>
          <w:sz w:val="24"/>
        </w:rPr>
        <w:t>1.10 交通运输</w:t>
      </w:r>
    </w:p>
    <w:p w14:paraId="07900F11">
      <w:pPr>
        <w:spacing w:line="360" w:lineRule="auto"/>
        <w:ind w:firstLine="480" w:firstLineChars="200"/>
        <w:rPr>
          <w:rFonts w:ascii="宋体" w:hAnsi="宋体" w:cs="宋体"/>
          <w:color w:val="000000"/>
          <w:sz w:val="24"/>
        </w:rPr>
      </w:pPr>
      <w:r>
        <w:rPr>
          <w:rFonts w:hint="eastAsia" w:ascii="宋体" w:hAnsi="宋体" w:cs="宋体"/>
          <w:color w:val="000000"/>
          <w:sz w:val="24"/>
        </w:rPr>
        <w:t>1</w:t>
      </w:r>
      <w:bookmarkStart w:id="453" w:name="_Toc303539100"/>
      <w:bookmarkStart w:id="454" w:name="_Toc300934943"/>
      <w:bookmarkStart w:id="455" w:name="_Toc304295521"/>
      <w:bookmarkStart w:id="456" w:name="_Toc312677986"/>
      <w:bookmarkStart w:id="457" w:name="_Toc318581155"/>
      <w:r>
        <w:rPr>
          <w:rFonts w:hint="eastAsia" w:ascii="宋体" w:hAnsi="宋体" w:cs="宋体"/>
          <w:color w:val="000000"/>
          <w:sz w:val="24"/>
        </w:rPr>
        <w:t>.10.1 出入现场的权利</w:t>
      </w:r>
    </w:p>
    <w:p w14:paraId="66BEF9A6">
      <w:pPr>
        <w:spacing w:line="360" w:lineRule="auto"/>
        <w:ind w:firstLine="480" w:firstLineChars="200"/>
        <w:rPr>
          <w:rFonts w:ascii="宋体" w:hAnsi="宋体" w:cs="宋体"/>
          <w:color w:val="000000"/>
          <w:sz w:val="24"/>
        </w:rPr>
      </w:pPr>
      <w:r>
        <w:rPr>
          <w:rFonts w:hint="eastAsia" w:ascii="宋体" w:hAnsi="宋体" w:cs="宋体"/>
          <w:color w:val="000000"/>
          <w:sz w:val="24"/>
        </w:rPr>
        <w:t>关于出入现场的权利的约定：</w:t>
      </w:r>
      <w:r>
        <w:rPr>
          <w:rFonts w:hint="eastAsia" w:ascii="宋体" w:hAnsi="宋体" w:cs="宋体"/>
          <w:color w:val="000000"/>
          <w:sz w:val="24"/>
          <w:u w:val="single"/>
        </w:rPr>
        <w:t>   /   </w:t>
      </w:r>
      <w:r>
        <w:rPr>
          <w:rFonts w:hint="eastAsia" w:ascii="宋体" w:hAnsi="宋体" w:cs="宋体"/>
          <w:color w:val="000000"/>
          <w:sz w:val="24"/>
        </w:rPr>
        <w:t>。</w:t>
      </w:r>
    </w:p>
    <w:bookmarkEnd w:id="453"/>
    <w:bookmarkEnd w:id="454"/>
    <w:bookmarkEnd w:id="455"/>
    <w:bookmarkEnd w:id="456"/>
    <w:bookmarkEnd w:id="457"/>
    <w:p w14:paraId="4322408E">
      <w:pPr>
        <w:spacing w:line="360" w:lineRule="auto"/>
        <w:ind w:firstLine="480" w:firstLineChars="200"/>
        <w:rPr>
          <w:rFonts w:ascii="宋体" w:hAnsi="宋体" w:cs="宋体"/>
          <w:color w:val="000000"/>
          <w:sz w:val="24"/>
        </w:rPr>
      </w:pPr>
      <w:r>
        <w:rPr>
          <w:rFonts w:hint="eastAsia" w:ascii="宋体" w:hAnsi="宋体" w:cs="宋体"/>
          <w:color w:val="000000"/>
          <w:sz w:val="24"/>
        </w:rPr>
        <w:t>1</w:t>
      </w:r>
      <w:bookmarkStart w:id="458" w:name="_Toc303539101"/>
      <w:bookmarkStart w:id="459" w:name="_Toc318581156"/>
      <w:bookmarkStart w:id="460" w:name="_Toc304295522"/>
      <w:bookmarkStart w:id="461" w:name="_Toc300934944"/>
      <w:bookmarkStart w:id="462" w:name="_Toc312677987"/>
      <w:r>
        <w:rPr>
          <w:rFonts w:hint="eastAsia" w:ascii="宋体" w:hAnsi="宋体" w:cs="宋体"/>
          <w:color w:val="000000"/>
          <w:sz w:val="24"/>
        </w:rPr>
        <w:t>.10.3 场内交通</w:t>
      </w:r>
    </w:p>
    <w:p w14:paraId="187EC6ED">
      <w:pPr>
        <w:spacing w:line="360" w:lineRule="auto"/>
        <w:ind w:firstLine="480" w:firstLineChars="200"/>
        <w:rPr>
          <w:rFonts w:ascii="宋体" w:hAnsi="宋体" w:cs="宋体"/>
          <w:color w:val="000000"/>
          <w:sz w:val="24"/>
        </w:rPr>
      </w:pPr>
      <w:r>
        <w:rPr>
          <w:rFonts w:hint="eastAsia" w:ascii="宋体" w:hAnsi="宋体" w:cs="宋体"/>
          <w:color w:val="000000"/>
          <w:sz w:val="24"/>
        </w:rPr>
        <w:t>关于场外交通和场内交通的边界的约定：</w:t>
      </w:r>
      <w:r>
        <w:rPr>
          <w:rFonts w:hint="eastAsia" w:ascii="宋体" w:hAnsi="宋体" w:cs="宋体"/>
          <w:color w:val="000000"/>
          <w:sz w:val="24"/>
          <w:u w:val="single"/>
        </w:rPr>
        <w:t xml:space="preserve"> 按本工程规划红线范围及桩号界定</w:t>
      </w:r>
      <w:r>
        <w:rPr>
          <w:rFonts w:hint="eastAsia" w:ascii="宋体" w:hAnsi="宋体" w:cs="宋体"/>
          <w:color w:val="000000"/>
          <w:sz w:val="24"/>
        </w:rPr>
        <w:t>。</w:t>
      </w:r>
    </w:p>
    <w:p w14:paraId="1448382F">
      <w:pPr>
        <w:spacing w:line="360" w:lineRule="auto"/>
        <w:ind w:firstLine="480" w:firstLineChars="200"/>
        <w:rPr>
          <w:rFonts w:ascii="宋体" w:hAnsi="宋体" w:cs="宋体"/>
          <w:color w:val="000000"/>
          <w:sz w:val="24"/>
        </w:rPr>
      </w:pPr>
      <w:r>
        <w:rPr>
          <w:rFonts w:hint="eastAsia" w:ascii="宋体" w:hAnsi="宋体" w:cs="宋体"/>
          <w:color w:val="000000"/>
          <w:sz w:val="24"/>
        </w:rPr>
        <w:t>关于发包人向承包人免费提供满足工程施工需要的场内道路和交通设施的约定：</w:t>
      </w:r>
      <w:r>
        <w:rPr>
          <w:rFonts w:hint="eastAsia" w:ascii="宋体" w:hAnsi="宋体" w:cs="宋体"/>
          <w:color w:val="000000"/>
          <w:sz w:val="24"/>
          <w:u w:val="single"/>
        </w:rPr>
        <w:t>承包人负责修建、维修、养护和管理施工所需的场内临时道路和交通设施，费用由承包人自行负责</w:t>
      </w:r>
      <w:r>
        <w:rPr>
          <w:rFonts w:hint="eastAsia" w:ascii="宋体" w:hAnsi="宋体" w:cs="宋体"/>
          <w:color w:val="000000"/>
          <w:sz w:val="24"/>
        </w:rPr>
        <w:t>。</w:t>
      </w:r>
      <w:bookmarkEnd w:id="458"/>
      <w:bookmarkEnd w:id="459"/>
      <w:bookmarkEnd w:id="460"/>
      <w:bookmarkEnd w:id="461"/>
      <w:bookmarkEnd w:id="462"/>
      <w:bookmarkStart w:id="463" w:name="_Toc318581157"/>
    </w:p>
    <w:p w14:paraId="683A1852">
      <w:pPr>
        <w:spacing w:line="360" w:lineRule="auto"/>
        <w:ind w:firstLine="480" w:firstLineChars="200"/>
        <w:rPr>
          <w:rFonts w:ascii="宋体" w:hAnsi="宋体" w:cs="宋体"/>
          <w:color w:val="000000"/>
          <w:sz w:val="24"/>
        </w:rPr>
      </w:pPr>
      <w:r>
        <w:rPr>
          <w:rFonts w:hint="eastAsia" w:ascii="宋体" w:hAnsi="宋体" w:cs="宋体"/>
          <w:color w:val="000000"/>
          <w:sz w:val="24"/>
        </w:rPr>
        <w:t>1.10.4 超大件和超重件的运输</w:t>
      </w:r>
    </w:p>
    <w:p w14:paraId="11B88B0E">
      <w:pPr>
        <w:spacing w:line="360" w:lineRule="auto"/>
        <w:ind w:firstLine="480" w:firstLineChars="200"/>
        <w:rPr>
          <w:rFonts w:ascii="宋体" w:hAnsi="宋体" w:cs="宋体"/>
          <w:color w:val="000000"/>
          <w:sz w:val="24"/>
        </w:rPr>
      </w:pPr>
      <w:r>
        <w:rPr>
          <w:rFonts w:hint="eastAsia" w:ascii="宋体" w:hAnsi="宋体" w:cs="宋体"/>
          <w:color w:val="000000"/>
          <w:sz w:val="24"/>
        </w:rPr>
        <w:t>运输超大件或超重件所需的道路和桥梁临时加固改造费用和其他有关费用由</w:t>
      </w:r>
      <w:r>
        <w:rPr>
          <w:rFonts w:hint="eastAsia" w:ascii="宋体" w:hAnsi="宋体" w:cs="宋体"/>
          <w:color w:val="000000"/>
          <w:sz w:val="24"/>
          <w:u w:val="single"/>
        </w:rPr>
        <w:t>承包人</w:t>
      </w:r>
      <w:r>
        <w:rPr>
          <w:rFonts w:hint="eastAsia" w:ascii="宋体" w:hAnsi="宋体" w:cs="宋体"/>
          <w:color w:val="000000"/>
          <w:sz w:val="24"/>
        </w:rPr>
        <w:t>承担。</w:t>
      </w:r>
    </w:p>
    <w:bookmarkEnd w:id="463"/>
    <w:p w14:paraId="241DA46D">
      <w:pPr>
        <w:spacing w:line="360" w:lineRule="auto"/>
        <w:ind w:firstLine="480" w:firstLineChars="200"/>
        <w:rPr>
          <w:rFonts w:ascii="宋体" w:hAnsi="宋体" w:cs="宋体"/>
          <w:color w:val="000000"/>
          <w:sz w:val="24"/>
        </w:rPr>
      </w:pPr>
      <w:r>
        <w:rPr>
          <w:rFonts w:hint="eastAsia" w:ascii="宋体" w:hAnsi="宋体" w:cs="宋体"/>
          <w:color w:val="000000"/>
          <w:sz w:val="24"/>
        </w:rPr>
        <w:t>1.11 知识产权</w:t>
      </w:r>
    </w:p>
    <w:p w14:paraId="14C3C38A">
      <w:pPr>
        <w:spacing w:line="360" w:lineRule="auto"/>
        <w:ind w:firstLine="480" w:firstLineChars="200"/>
        <w:rPr>
          <w:rFonts w:ascii="宋体" w:hAnsi="宋体" w:cs="宋体"/>
          <w:color w:val="000000"/>
          <w:sz w:val="24"/>
        </w:rPr>
      </w:pPr>
      <w:r>
        <w:rPr>
          <w:rFonts w:hint="eastAsia" w:ascii="宋体" w:hAnsi="宋体" w:cs="宋体"/>
          <w:color w:val="000000"/>
          <w:sz w:val="24"/>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sz w:val="24"/>
          <w:u w:val="single"/>
        </w:rPr>
        <w:t xml:space="preserve"> /                     </w:t>
      </w:r>
      <w:r>
        <w:rPr>
          <w:rFonts w:hint="eastAsia" w:ascii="宋体" w:hAnsi="宋体" w:cs="宋体"/>
          <w:color w:val="000000"/>
          <w:sz w:val="24"/>
        </w:rPr>
        <w:t>。</w:t>
      </w:r>
    </w:p>
    <w:p w14:paraId="5D9C2297">
      <w:pPr>
        <w:spacing w:line="360" w:lineRule="auto"/>
        <w:ind w:firstLine="480" w:firstLineChars="200"/>
        <w:rPr>
          <w:rFonts w:ascii="宋体" w:hAnsi="宋体" w:cs="宋体"/>
          <w:color w:val="000000"/>
          <w:sz w:val="24"/>
        </w:rPr>
      </w:pPr>
      <w:r>
        <w:rPr>
          <w:rFonts w:hint="eastAsia" w:ascii="宋体" w:hAnsi="宋体" w:cs="宋体"/>
          <w:color w:val="000000"/>
          <w:sz w:val="24"/>
        </w:rPr>
        <w:t>关于发包人提供的上述文件的使用限制的要求：</w:t>
      </w:r>
      <w:r>
        <w:rPr>
          <w:rFonts w:hint="eastAsia" w:ascii="宋体" w:hAnsi="宋体" w:cs="宋体"/>
          <w:color w:val="000000"/>
          <w:sz w:val="24"/>
          <w:u w:val="single"/>
        </w:rPr>
        <w:t xml:space="preserve">          /          </w:t>
      </w:r>
      <w:r>
        <w:rPr>
          <w:rFonts w:hint="eastAsia" w:ascii="宋体" w:hAnsi="宋体" w:cs="宋体"/>
          <w:color w:val="000000"/>
          <w:sz w:val="24"/>
        </w:rPr>
        <w:t>。</w:t>
      </w:r>
    </w:p>
    <w:p w14:paraId="5554E1EF">
      <w:pPr>
        <w:spacing w:line="360" w:lineRule="auto"/>
        <w:ind w:firstLine="480" w:firstLineChars="200"/>
        <w:rPr>
          <w:rFonts w:ascii="宋体" w:hAnsi="宋体" w:cs="宋体"/>
          <w:color w:val="000000"/>
          <w:sz w:val="24"/>
        </w:rPr>
      </w:pPr>
      <w:r>
        <w:rPr>
          <w:rFonts w:hint="eastAsia" w:ascii="宋体" w:hAnsi="宋体" w:cs="宋体"/>
          <w:color w:val="000000"/>
          <w:sz w:val="24"/>
        </w:rPr>
        <w:t>1.11.2 关于承包人为实施工程所编制文件的著作权的归属：</w:t>
      </w:r>
      <w:r>
        <w:rPr>
          <w:rFonts w:hint="eastAsia" w:ascii="宋体" w:hAnsi="宋体" w:cs="宋体"/>
          <w:color w:val="000000"/>
          <w:sz w:val="24"/>
          <w:u w:val="single"/>
        </w:rPr>
        <w:t xml:space="preserve">      /        </w:t>
      </w:r>
      <w:r>
        <w:rPr>
          <w:rFonts w:hint="eastAsia" w:ascii="宋体" w:hAnsi="宋体" w:cs="宋体"/>
          <w:color w:val="000000"/>
          <w:sz w:val="24"/>
        </w:rPr>
        <w:t>。</w:t>
      </w:r>
    </w:p>
    <w:p w14:paraId="4F7EDD04">
      <w:pPr>
        <w:spacing w:line="360" w:lineRule="auto"/>
        <w:ind w:firstLine="480" w:firstLineChars="200"/>
        <w:rPr>
          <w:rFonts w:ascii="宋体" w:hAnsi="宋体" w:cs="宋体"/>
          <w:color w:val="000000"/>
          <w:sz w:val="24"/>
        </w:rPr>
      </w:pPr>
      <w:r>
        <w:rPr>
          <w:rFonts w:hint="eastAsia" w:ascii="宋体" w:hAnsi="宋体" w:cs="宋体"/>
          <w:color w:val="000000"/>
          <w:sz w:val="24"/>
        </w:rPr>
        <w:t>关于承包人提供的上述文件的使用限制的要求：</w:t>
      </w:r>
      <w:r>
        <w:rPr>
          <w:rFonts w:hint="eastAsia" w:ascii="宋体" w:hAnsi="宋体" w:cs="宋体"/>
          <w:color w:val="000000"/>
          <w:sz w:val="24"/>
          <w:u w:val="single"/>
        </w:rPr>
        <w:t xml:space="preserve">     /   </w:t>
      </w:r>
      <w:r>
        <w:rPr>
          <w:rFonts w:hint="eastAsia" w:ascii="宋体" w:hAnsi="宋体" w:cs="宋体"/>
          <w:color w:val="000000"/>
          <w:sz w:val="24"/>
        </w:rPr>
        <w:t>。</w:t>
      </w:r>
    </w:p>
    <w:p w14:paraId="655BACFB">
      <w:pPr>
        <w:spacing w:line="360" w:lineRule="auto"/>
        <w:ind w:firstLine="480" w:firstLineChars="200"/>
        <w:rPr>
          <w:rFonts w:ascii="宋体" w:hAnsi="宋体" w:cs="宋体"/>
          <w:color w:val="000000"/>
          <w:sz w:val="24"/>
        </w:rPr>
      </w:pPr>
      <w:r>
        <w:rPr>
          <w:rFonts w:hint="eastAsia" w:ascii="宋体" w:hAnsi="宋体" w:cs="宋体"/>
          <w:color w:val="000000"/>
          <w:sz w:val="24"/>
        </w:rPr>
        <w:t>1.11.4 承包人在施工过程中所采用的专利、专有技术、技术秘密的使用费的承担方式：</w:t>
      </w:r>
      <w:r>
        <w:rPr>
          <w:rFonts w:hint="eastAsia" w:ascii="宋体" w:hAnsi="宋体" w:cs="宋体"/>
          <w:color w:val="000000"/>
          <w:sz w:val="24"/>
          <w:u w:val="single"/>
        </w:rPr>
        <w:t xml:space="preserve">           /                 </w:t>
      </w:r>
      <w:r>
        <w:rPr>
          <w:rFonts w:hint="eastAsia" w:ascii="宋体" w:hAnsi="宋体" w:cs="宋体"/>
          <w:color w:val="000000"/>
          <w:sz w:val="24"/>
        </w:rPr>
        <w:t>。</w:t>
      </w:r>
    </w:p>
    <w:p w14:paraId="17706EEA">
      <w:pPr>
        <w:spacing w:line="360" w:lineRule="auto"/>
        <w:ind w:firstLine="480" w:firstLineChars="200"/>
        <w:rPr>
          <w:rFonts w:ascii="宋体" w:hAnsi="宋体" w:cs="宋体"/>
          <w:color w:val="000000"/>
          <w:sz w:val="24"/>
        </w:rPr>
      </w:pPr>
      <w:bookmarkStart w:id="464" w:name="_Toc351203634"/>
      <w:bookmarkStart w:id="465" w:name="_Toc386638608"/>
      <w:r>
        <w:rPr>
          <w:rFonts w:hint="eastAsia" w:ascii="宋体" w:hAnsi="宋体" w:cs="宋体"/>
          <w:color w:val="000000"/>
          <w:sz w:val="24"/>
        </w:rPr>
        <w:t>1.13 工程量清单错误的修正</w:t>
      </w:r>
    </w:p>
    <w:p w14:paraId="2F55CC86">
      <w:pPr>
        <w:spacing w:line="360" w:lineRule="auto"/>
        <w:ind w:firstLine="480" w:firstLineChars="200"/>
        <w:rPr>
          <w:rFonts w:ascii="宋体" w:hAnsi="宋体" w:cs="宋体"/>
          <w:color w:val="000000"/>
          <w:sz w:val="24"/>
        </w:rPr>
      </w:pPr>
      <w:r>
        <w:rPr>
          <w:rFonts w:hint="eastAsia" w:ascii="宋体" w:hAnsi="宋体" w:cs="宋体"/>
          <w:color w:val="000000"/>
          <w:sz w:val="24"/>
        </w:rPr>
        <w:t>允出现工程量清单错误时，是否调整合同价格：</w:t>
      </w:r>
      <w:r>
        <w:rPr>
          <w:rFonts w:hint="eastAsia" w:ascii="宋体" w:hAnsi="宋体" w:cs="宋体"/>
          <w:color w:val="000000"/>
          <w:sz w:val="24"/>
          <w:u w:val="single"/>
        </w:rPr>
        <w:t xml:space="preserve">   是   </w:t>
      </w:r>
      <w:r>
        <w:rPr>
          <w:rFonts w:hint="eastAsia" w:ascii="宋体" w:hAnsi="宋体" w:cs="宋体"/>
          <w:color w:val="000000"/>
          <w:sz w:val="24"/>
        </w:rPr>
        <w:t>。</w:t>
      </w:r>
    </w:p>
    <w:p w14:paraId="5FB0B7B2">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允许调整合同价格的工程量偏差范围：</w:t>
      </w:r>
      <w:r>
        <w:rPr>
          <w:rFonts w:hint="eastAsia" w:ascii="宋体" w:hAnsi="宋体" w:cs="宋体"/>
          <w:color w:val="000000"/>
          <w:sz w:val="24"/>
          <w:u w:val="single"/>
        </w:rPr>
        <w:t>(1)工程量清单项目缺项、项目多列或重复列项；(2)工程量清单项目数量有误；(3)未按照国家现行计量规范中强制性规定计量的。</w:t>
      </w:r>
    </w:p>
    <w:p w14:paraId="3CE3BA86">
      <w:pPr>
        <w:pStyle w:val="6"/>
        <w:spacing w:before="0" w:after="0" w:line="360" w:lineRule="auto"/>
        <w:rPr>
          <w:rFonts w:ascii="宋体" w:hAnsi="宋体" w:eastAsia="宋体" w:cs="宋体"/>
          <w:b w:val="0"/>
          <w:color w:val="000000"/>
          <w:sz w:val="24"/>
          <w:szCs w:val="24"/>
        </w:rPr>
      </w:pPr>
      <w:r>
        <w:rPr>
          <w:rFonts w:hint="eastAsia" w:ascii="宋体" w:hAnsi="宋体" w:eastAsia="宋体" w:cs="宋体"/>
          <w:b w:val="0"/>
          <w:color w:val="000000"/>
          <w:sz w:val="24"/>
          <w:szCs w:val="24"/>
        </w:rPr>
        <w:t>2</w:t>
      </w:r>
      <w:bookmarkStart w:id="466" w:name="_Toc296503157"/>
      <w:bookmarkStart w:id="467" w:name="_Toc296346658"/>
      <w:bookmarkStart w:id="468" w:name="_Toc297048343"/>
      <w:bookmarkStart w:id="469" w:name="_Toc292559867"/>
      <w:bookmarkStart w:id="470" w:name="_Toc296944496"/>
      <w:bookmarkStart w:id="471" w:name="_Toc297120457"/>
      <w:bookmarkStart w:id="472" w:name="_Toc296890985"/>
      <w:bookmarkStart w:id="473" w:name="_Toc292559362"/>
      <w:bookmarkStart w:id="474" w:name="_Toc296891197"/>
      <w:bookmarkStart w:id="475" w:name="_Toc296347156"/>
      <w:r>
        <w:rPr>
          <w:rFonts w:hint="eastAsia" w:ascii="宋体" w:hAnsi="宋体" w:eastAsia="宋体" w:cs="宋体"/>
          <w:b w:val="0"/>
          <w:color w:val="000000"/>
          <w:sz w:val="24"/>
          <w:szCs w:val="24"/>
        </w:rPr>
        <w:t>. 发包人</w:t>
      </w:r>
      <w:bookmarkEnd w:id="464"/>
      <w:bookmarkEnd w:id="465"/>
    </w:p>
    <w:bookmarkEnd w:id="466"/>
    <w:bookmarkEnd w:id="467"/>
    <w:bookmarkEnd w:id="468"/>
    <w:bookmarkEnd w:id="469"/>
    <w:bookmarkEnd w:id="470"/>
    <w:bookmarkEnd w:id="471"/>
    <w:bookmarkEnd w:id="472"/>
    <w:bookmarkEnd w:id="473"/>
    <w:bookmarkEnd w:id="474"/>
    <w:bookmarkEnd w:id="475"/>
    <w:p w14:paraId="07FE59D9">
      <w:pPr>
        <w:spacing w:line="360" w:lineRule="auto"/>
        <w:ind w:firstLine="480" w:firstLineChars="200"/>
        <w:rPr>
          <w:rFonts w:ascii="宋体" w:hAnsi="宋体" w:cs="宋体"/>
          <w:color w:val="000000"/>
          <w:sz w:val="24"/>
        </w:rPr>
      </w:pPr>
      <w:r>
        <w:rPr>
          <w:rFonts w:hint="eastAsia" w:ascii="宋体" w:hAnsi="宋体" w:cs="宋体"/>
          <w:color w:val="000000"/>
          <w:sz w:val="24"/>
        </w:rPr>
        <w:t>2.2 发包人代表</w:t>
      </w:r>
    </w:p>
    <w:p w14:paraId="432E3318">
      <w:pPr>
        <w:spacing w:line="360" w:lineRule="auto"/>
        <w:ind w:firstLine="480" w:firstLineChars="200"/>
        <w:rPr>
          <w:rFonts w:ascii="宋体" w:hAnsi="宋体" w:cs="宋体"/>
          <w:color w:val="000000"/>
          <w:sz w:val="24"/>
        </w:rPr>
      </w:pPr>
      <w:r>
        <w:rPr>
          <w:rFonts w:hint="eastAsia" w:ascii="宋体" w:hAnsi="宋体" w:cs="宋体"/>
          <w:color w:val="000000"/>
          <w:sz w:val="24"/>
        </w:rPr>
        <w:t>发包人派驻施工现场代表：</w:t>
      </w:r>
    </w:p>
    <w:p w14:paraId="35D25242">
      <w:pPr>
        <w:spacing w:line="360" w:lineRule="auto"/>
        <w:ind w:firstLine="480" w:firstLineChars="200"/>
        <w:rPr>
          <w:rFonts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 </w:t>
      </w:r>
      <w:r>
        <w:rPr>
          <w:rFonts w:hint="eastAsia" w:ascii="宋体" w:hAnsi="宋体" w:cs="宋体"/>
          <w:color w:val="000000"/>
          <w:sz w:val="24"/>
        </w:rPr>
        <w:t>；</w:t>
      </w:r>
    </w:p>
    <w:p w14:paraId="00B2E01D">
      <w:pPr>
        <w:spacing w:line="360" w:lineRule="auto"/>
        <w:ind w:firstLine="480" w:firstLineChars="200"/>
        <w:rPr>
          <w:rFonts w:ascii="宋体" w:hAnsi="宋体" w:cs="宋体"/>
          <w:color w:val="000000"/>
          <w:sz w:val="24"/>
        </w:rPr>
      </w:pPr>
      <w:r>
        <w:rPr>
          <w:rFonts w:hint="eastAsia" w:ascii="宋体" w:hAnsi="宋体" w:cs="宋体"/>
          <w:color w:val="000000"/>
          <w:sz w:val="24"/>
        </w:rPr>
        <w:t>身份证号：</w:t>
      </w:r>
      <w:r>
        <w:rPr>
          <w:rFonts w:hint="eastAsia" w:ascii="宋体" w:hAnsi="宋体" w:cs="宋体"/>
          <w:color w:val="000000"/>
          <w:sz w:val="24"/>
          <w:u w:val="single"/>
        </w:rPr>
        <w:t>       </w:t>
      </w:r>
      <w:r>
        <w:rPr>
          <w:rFonts w:hint="eastAsia" w:ascii="宋体" w:hAnsi="宋体" w:cs="宋体"/>
          <w:color w:val="000000"/>
          <w:sz w:val="24"/>
        </w:rPr>
        <w:t>；</w:t>
      </w:r>
    </w:p>
    <w:p w14:paraId="192058E7">
      <w:pPr>
        <w:spacing w:line="360" w:lineRule="auto"/>
        <w:ind w:firstLine="480" w:firstLineChars="200"/>
        <w:rPr>
          <w:rFonts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  </w:t>
      </w:r>
      <w:r>
        <w:rPr>
          <w:rFonts w:hint="eastAsia" w:ascii="宋体" w:hAnsi="宋体" w:cs="宋体"/>
          <w:color w:val="000000"/>
          <w:sz w:val="24"/>
        </w:rPr>
        <w:t>；</w:t>
      </w:r>
    </w:p>
    <w:p w14:paraId="5DA2BAB1">
      <w:pPr>
        <w:spacing w:line="360" w:lineRule="auto"/>
        <w:ind w:firstLine="480" w:firstLineChars="200"/>
        <w:rPr>
          <w:rFonts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 </w:t>
      </w:r>
      <w:r>
        <w:rPr>
          <w:rFonts w:hint="eastAsia" w:ascii="宋体" w:hAnsi="宋体" w:cs="宋体"/>
          <w:color w:val="000000"/>
          <w:sz w:val="24"/>
        </w:rPr>
        <w:t>；</w:t>
      </w:r>
    </w:p>
    <w:p w14:paraId="372BDDDA">
      <w:pPr>
        <w:spacing w:line="360" w:lineRule="auto"/>
        <w:ind w:firstLine="480" w:firstLineChars="200"/>
        <w:rPr>
          <w:rFonts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  </w:t>
      </w:r>
      <w:r>
        <w:rPr>
          <w:rFonts w:hint="eastAsia" w:ascii="宋体" w:hAnsi="宋体" w:cs="宋体"/>
          <w:color w:val="000000"/>
          <w:sz w:val="24"/>
        </w:rPr>
        <w:t>；</w:t>
      </w:r>
    </w:p>
    <w:p w14:paraId="5F2DD5FB">
      <w:pPr>
        <w:spacing w:line="360" w:lineRule="auto"/>
        <w:ind w:firstLine="480" w:firstLineChars="200"/>
        <w:rPr>
          <w:rFonts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5FAEADAC">
      <w:pPr>
        <w:spacing w:line="360" w:lineRule="auto"/>
        <w:ind w:firstLine="480" w:firstLineChars="200"/>
        <w:rPr>
          <w:rFonts w:ascii="宋体" w:hAnsi="宋体" w:cs="宋体"/>
          <w:b/>
          <w:color w:val="000000"/>
          <w:sz w:val="24"/>
        </w:rPr>
      </w:pPr>
      <w:r>
        <w:rPr>
          <w:rFonts w:hint="eastAsia" w:ascii="宋体" w:hAnsi="宋体" w:cs="宋体"/>
          <w:color w:val="000000"/>
          <w:sz w:val="24"/>
        </w:rPr>
        <w:t>发包人对发包人代表的授权范围如下：</w:t>
      </w:r>
      <w:r>
        <w:rPr>
          <w:rFonts w:hint="eastAsia" w:ascii="宋体" w:hAnsi="宋体" w:cs="宋体"/>
          <w:color w:val="000000"/>
          <w:sz w:val="24"/>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cs="宋体"/>
          <w:color w:val="000000"/>
          <w:sz w:val="24"/>
        </w:rPr>
        <w:t>。</w:t>
      </w:r>
    </w:p>
    <w:p w14:paraId="6008960F">
      <w:pPr>
        <w:spacing w:line="360" w:lineRule="auto"/>
        <w:ind w:firstLine="480" w:firstLineChars="200"/>
        <w:rPr>
          <w:rFonts w:ascii="宋体" w:hAnsi="宋体" w:cs="宋体"/>
          <w:color w:val="000000"/>
          <w:sz w:val="24"/>
        </w:rPr>
      </w:pPr>
      <w:r>
        <w:rPr>
          <w:rFonts w:hint="eastAsia" w:ascii="宋体" w:hAnsi="宋体" w:cs="宋体"/>
          <w:color w:val="000000"/>
          <w:sz w:val="24"/>
        </w:rPr>
        <w:t>2.4 施工现场、施工条件和基础资料的提供</w:t>
      </w:r>
    </w:p>
    <w:p w14:paraId="2708C0F4">
      <w:pPr>
        <w:spacing w:line="360" w:lineRule="auto"/>
        <w:ind w:firstLine="480" w:firstLineChars="200"/>
        <w:rPr>
          <w:rFonts w:ascii="宋体" w:hAnsi="宋体" w:cs="宋体"/>
          <w:color w:val="000000"/>
          <w:sz w:val="24"/>
        </w:rPr>
      </w:pPr>
      <w:r>
        <w:rPr>
          <w:rFonts w:hint="eastAsia" w:ascii="宋体" w:hAnsi="宋体" w:cs="宋体"/>
          <w:color w:val="000000"/>
          <w:sz w:val="24"/>
        </w:rPr>
        <w:t>2.4.1 提供施工现场</w:t>
      </w:r>
    </w:p>
    <w:p w14:paraId="5D185C02">
      <w:pPr>
        <w:spacing w:line="360" w:lineRule="auto"/>
        <w:ind w:firstLine="480" w:firstLineChars="200"/>
        <w:rPr>
          <w:rFonts w:ascii="宋体" w:hAnsi="宋体" w:cs="宋体"/>
          <w:color w:val="000000"/>
          <w:sz w:val="24"/>
        </w:rPr>
      </w:pPr>
      <w:r>
        <w:rPr>
          <w:rFonts w:hint="eastAsia" w:ascii="宋体" w:hAnsi="宋体" w:cs="宋体"/>
          <w:color w:val="000000"/>
          <w:sz w:val="24"/>
        </w:rPr>
        <w:t>关于发包人移交施工现场的期限要求：</w:t>
      </w:r>
      <w:r>
        <w:rPr>
          <w:rFonts w:hint="eastAsia" w:ascii="宋体" w:hAnsi="宋体" w:cs="宋体"/>
          <w:color w:val="000000"/>
          <w:sz w:val="24"/>
          <w:u w:val="single"/>
        </w:rPr>
        <w:t xml:space="preserve">           /           </w:t>
      </w:r>
      <w:r>
        <w:rPr>
          <w:rFonts w:hint="eastAsia" w:ascii="宋体" w:hAnsi="宋体" w:cs="宋体"/>
          <w:color w:val="000000"/>
          <w:sz w:val="24"/>
        </w:rPr>
        <w:t>。</w:t>
      </w:r>
    </w:p>
    <w:p w14:paraId="525E4A3E">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2.4.2 提供施工条件关于发包人应负责提供施工所需要的条件，包括：</w:t>
      </w:r>
      <w:r>
        <w:rPr>
          <w:rFonts w:hint="eastAsia" w:ascii="宋体" w:hAnsi="宋体" w:cs="宋体"/>
          <w:color w:val="000000"/>
          <w:sz w:val="24"/>
          <w:u w:val="single"/>
        </w:rPr>
        <w:t>施工所需水、电接至施工现场；施工场地与公共道路的通道开通；工程地质和地下管线资料；发包人办理的施工所需证件等。</w:t>
      </w:r>
    </w:p>
    <w:p w14:paraId="5D1D8C3B">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2.5 资金来源证明及支付担保：</w:t>
      </w:r>
    </w:p>
    <w:p w14:paraId="243DE7F6">
      <w:pPr>
        <w:spacing w:line="360" w:lineRule="auto"/>
        <w:ind w:firstLine="480" w:firstLineChars="200"/>
        <w:rPr>
          <w:rFonts w:ascii="宋体" w:hAnsi="宋体" w:cs="宋体"/>
          <w:color w:val="000000"/>
          <w:sz w:val="24"/>
        </w:rPr>
      </w:pPr>
      <w:r>
        <w:rPr>
          <w:rFonts w:hint="eastAsia" w:ascii="宋体" w:hAnsi="宋体" w:cs="宋体"/>
          <w:color w:val="000000"/>
          <w:sz w:val="24"/>
        </w:rPr>
        <w:t>发包人提供资金来源证明的期限要求：</w:t>
      </w:r>
      <w:r>
        <w:rPr>
          <w:rFonts w:hint="eastAsia" w:ascii="宋体" w:hAnsi="宋体" w:cs="宋体"/>
          <w:color w:val="000000"/>
          <w:sz w:val="24"/>
          <w:u w:val="single"/>
        </w:rPr>
        <w:t xml:space="preserve">              /               </w:t>
      </w:r>
      <w:r>
        <w:rPr>
          <w:rFonts w:hint="eastAsia" w:ascii="宋体" w:hAnsi="宋体" w:cs="宋体"/>
          <w:color w:val="000000"/>
          <w:sz w:val="24"/>
        </w:rPr>
        <w:t>。</w:t>
      </w:r>
    </w:p>
    <w:p w14:paraId="7CC2EF9D">
      <w:pPr>
        <w:spacing w:line="360" w:lineRule="auto"/>
        <w:ind w:firstLine="480" w:firstLineChars="200"/>
        <w:rPr>
          <w:rFonts w:ascii="宋体" w:hAnsi="宋体" w:cs="宋体"/>
          <w:color w:val="000000"/>
          <w:sz w:val="24"/>
        </w:rPr>
      </w:pPr>
      <w:r>
        <w:rPr>
          <w:rFonts w:hint="eastAsia" w:ascii="宋体" w:hAnsi="宋体" w:cs="宋体"/>
          <w:color w:val="000000"/>
          <w:sz w:val="24"/>
        </w:rPr>
        <w:t>发包人是否提供支付担保：</w:t>
      </w:r>
      <w:r>
        <w:rPr>
          <w:rFonts w:hint="eastAsia" w:ascii="宋体" w:hAnsi="宋体" w:cs="宋体"/>
          <w:color w:val="000000"/>
          <w:sz w:val="24"/>
          <w:u w:val="single"/>
        </w:rPr>
        <w:t xml:space="preserve">不需提供 </w:t>
      </w:r>
      <w:r>
        <w:rPr>
          <w:rFonts w:hint="eastAsia" w:ascii="宋体" w:hAnsi="宋体" w:cs="宋体"/>
          <w:color w:val="000000"/>
          <w:sz w:val="24"/>
        </w:rPr>
        <w:t>。</w:t>
      </w:r>
    </w:p>
    <w:p w14:paraId="10FF2F0A">
      <w:pPr>
        <w:spacing w:line="360" w:lineRule="auto"/>
        <w:ind w:firstLine="480" w:firstLineChars="200"/>
        <w:rPr>
          <w:rFonts w:ascii="宋体" w:hAnsi="宋体" w:cs="宋体"/>
          <w:color w:val="000000"/>
          <w:sz w:val="24"/>
        </w:rPr>
      </w:pPr>
      <w:r>
        <w:rPr>
          <w:rFonts w:hint="eastAsia" w:ascii="宋体" w:hAnsi="宋体" w:cs="宋体"/>
          <w:color w:val="000000"/>
          <w:sz w:val="24"/>
        </w:rPr>
        <w:t>发包人提供支付担保的形式：</w:t>
      </w:r>
      <w:r>
        <w:rPr>
          <w:rFonts w:hint="eastAsia" w:ascii="宋体" w:hAnsi="宋体" w:cs="宋体"/>
          <w:color w:val="000000"/>
          <w:sz w:val="24"/>
          <w:u w:val="single"/>
        </w:rPr>
        <w:t xml:space="preserve">          /                           </w:t>
      </w:r>
      <w:r>
        <w:rPr>
          <w:rFonts w:hint="eastAsia" w:ascii="宋体" w:hAnsi="宋体" w:cs="宋体"/>
          <w:color w:val="000000"/>
          <w:sz w:val="24"/>
        </w:rPr>
        <w:t>。</w:t>
      </w:r>
    </w:p>
    <w:p w14:paraId="5C11973F">
      <w:pPr>
        <w:pStyle w:val="6"/>
        <w:spacing w:before="0" w:after="0" w:line="360" w:lineRule="auto"/>
        <w:rPr>
          <w:rFonts w:ascii="宋体" w:hAnsi="宋体" w:eastAsia="宋体" w:cs="宋体"/>
          <w:b w:val="0"/>
          <w:color w:val="000000"/>
          <w:sz w:val="24"/>
          <w:szCs w:val="24"/>
        </w:rPr>
      </w:pPr>
      <w:bookmarkStart w:id="476" w:name="_Toc386638609"/>
      <w:bookmarkStart w:id="477" w:name="_Toc351203635"/>
      <w:r>
        <w:rPr>
          <w:rFonts w:hint="eastAsia" w:ascii="宋体" w:hAnsi="宋体" w:eastAsia="宋体" w:cs="宋体"/>
          <w:b w:val="0"/>
          <w:color w:val="000000"/>
          <w:sz w:val="24"/>
          <w:szCs w:val="24"/>
        </w:rPr>
        <w:t>3</w:t>
      </w:r>
      <w:bookmarkStart w:id="478" w:name="_Toc292559868"/>
      <w:bookmarkStart w:id="479" w:name="_Toc296890986"/>
      <w:bookmarkStart w:id="480" w:name="_Toc297048344"/>
      <w:bookmarkStart w:id="481" w:name="_Toc296944497"/>
      <w:bookmarkStart w:id="482" w:name="_Toc292559363"/>
      <w:bookmarkStart w:id="483" w:name="_Toc296347157"/>
      <w:bookmarkStart w:id="484" w:name="_Toc296503158"/>
      <w:bookmarkStart w:id="485" w:name="_Toc297120458"/>
      <w:bookmarkStart w:id="486" w:name="_Toc296891198"/>
      <w:bookmarkStart w:id="487" w:name="_Toc296346659"/>
      <w:r>
        <w:rPr>
          <w:rFonts w:hint="eastAsia" w:ascii="宋体" w:hAnsi="宋体" w:eastAsia="宋体" w:cs="宋体"/>
          <w:b w:val="0"/>
          <w:color w:val="000000"/>
          <w:sz w:val="24"/>
          <w:szCs w:val="24"/>
        </w:rPr>
        <w:t>. 承包人</w:t>
      </w:r>
      <w:bookmarkEnd w:id="476"/>
      <w:bookmarkEnd w:id="477"/>
    </w:p>
    <w:bookmarkEnd w:id="478"/>
    <w:bookmarkEnd w:id="479"/>
    <w:bookmarkEnd w:id="480"/>
    <w:bookmarkEnd w:id="481"/>
    <w:bookmarkEnd w:id="482"/>
    <w:bookmarkEnd w:id="483"/>
    <w:bookmarkEnd w:id="484"/>
    <w:bookmarkEnd w:id="485"/>
    <w:bookmarkEnd w:id="486"/>
    <w:bookmarkEnd w:id="487"/>
    <w:p w14:paraId="34944E70">
      <w:pPr>
        <w:spacing w:line="360" w:lineRule="auto"/>
        <w:ind w:firstLine="480" w:firstLineChars="200"/>
        <w:rPr>
          <w:rFonts w:ascii="宋体" w:hAnsi="宋体" w:cs="宋体"/>
          <w:color w:val="000000"/>
          <w:sz w:val="24"/>
        </w:rPr>
      </w:pPr>
      <w:r>
        <w:rPr>
          <w:rFonts w:hint="eastAsia" w:ascii="宋体" w:hAnsi="宋体" w:cs="宋体"/>
          <w:color w:val="000000"/>
          <w:sz w:val="24"/>
        </w:rPr>
        <w:t>3.1 承包人的一般义务</w:t>
      </w:r>
    </w:p>
    <w:p w14:paraId="2CD922B9">
      <w:pPr>
        <w:spacing w:line="360" w:lineRule="auto"/>
        <w:ind w:firstLine="480" w:firstLineChars="200"/>
        <w:rPr>
          <w:rFonts w:ascii="宋体" w:hAnsi="宋体" w:cs="宋体"/>
          <w:color w:val="000000"/>
          <w:sz w:val="24"/>
        </w:rPr>
      </w:pPr>
      <w:r>
        <w:rPr>
          <w:rFonts w:hint="eastAsia" w:ascii="宋体" w:hAnsi="宋体" w:cs="宋体"/>
          <w:color w:val="000000"/>
          <w:sz w:val="24"/>
        </w:rPr>
        <w:t>（5）承包人提交的竣工资料的内容：</w:t>
      </w:r>
      <w:r>
        <w:rPr>
          <w:rFonts w:hint="eastAsia" w:ascii="宋体" w:hAnsi="宋体" w:cs="宋体"/>
          <w:color w:val="000000"/>
          <w:sz w:val="24"/>
          <w:u w:val="single"/>
        </w:rPr>
        <w:t xml:space="preserve"> 按宁海县城建档案归档要求提交竣工资料 </w:t>
      </w:r>
      <w:r>
        <w:rPr>
          <w:rFonts w:hint="eastAsia" w:ascii="宋体" w:hAnsi="宋体" w:cs="宋体"/>
          <w:color w:val="000000"/>
          <w:sz w:val="24"/>
        </w:rPr>
        <w:t>。</w:t>
      </w:r>
    </w:p>
    <w:p w14:paraId="48FEE19B">
      <w:pPr>
        <w:spacing w:line="360" w:lineRule="auto"/>
        <w:ind w:firstLine="480" w:firstLineChars="200"/>
        <w:rPr>
          <w:rFonts w:ascii="宋体" w:hAnsi="宋体" w:cs="宋体"/>
          <w:color w:val="000000"/>
          <w:sz w:val="24"/>
        </w:rPr>
      </w:pPr>
      <w:r>
        <w:rPr>
          <w:rFonts w:hint="eastAsia" w:ascii="宋体" w:hAnsi="宋体" w:cs="宋体"/>
          <w:color w:val="000000"/>
          <w:sz w:val="24"/>
        </w:rPr>
        <w:t>承包人需要提交的竣工资料套数：</w:t>
      </w:r>
      <w:r>
        <w:rPr>
          <w:rFonts w:hint="eastAsia" w:ascii="宋体" w:hAnsi="宋体" w:cs="宋体"/>
          <w:color w:val="000000"/>
          <w:sz w:val="24"/>
          <w:u w:val="single"/>
        </w:rPr>
        <w:t xml:space="preserve"> 肆套 </w:t>
      </w:r>
      <w:r>
        <w:rPr>
          <w:rFonts w:hint="eastAsia" w:ascii="宋体" w:hAnsi="宋体" w:cs="宋体"/>
          <w:color w:val="000000"/>
          <w:sz w:val="24"/>
        </w:rPr>
        <w:t>。</w:t>
      </w:r>
    </w:p>
    <w:p w14:paraId="4DAB5F73">
      <w:pPr>
        <w:spacing w:line="360" w:lineRule="auto"/>
        <w:ind w:firstLine="480" w:firstLineChars="200"/>
        <w:rPr>
          <w:rFonts w:ascii="宋体" w:hAnsi="宋体" w:cs="宋体"/>
          <w:color w:val="000000"/>
          <w:sz w:val="24"/>
        </w:rPr>
      </w:pPr>
      <w:r>
        <w:rPr>
          <w:rFonts w:hint="eastAsia" w:ascii="宋体" w:hAnsi="宋体" w:cs="宋体"/>
          <w:color w:val="000000"/>
          <w:sz w:val="24"/>
        </w:rPr>
        <w:t>承包人提交的竣工资料的费用承担：</w:t>
      </w:r>
      <w:r>
        <w:rPr>
          <w:rFonts w:hint="eastAsia" w:ascii="宋体" w:hAnsi="宋体" w:cs="宋体"/>
          <w:color w:val="000000"/>
          <w:sz w:val="24"/>
          <w:u w:val="single"/>
        </w:rPr>
        <w:t xml:space="preserve"> 由承包人自行承担 </w:t>
      </w:r>
      <w:r>
        <w:rPr>
          <w:rFonts w:hint="eastAsia" w:ascii="宋体" w:hAnsi="宋体" w:cs="宋体"/>
          <w:color w:val="000000"/>
          <w:sz w:val="24"/>
        </w:rPr>
        <w:t>。</w:t>
      </w:r>
    </w:p>
    <w:p w14:paraId="12E6802A">
      <w:pPr>
        <w:spacing w:line="360" w:lineRule="auto"/>
        <w:ind w:firstLine="480" w:firstLineChars="200"/>
        <w:rPr>
          <w:rFonts w:ascii="宋体" w:hAnsi="宋体" w:cs="宋体"/>
          <w:color w:val="000000"/>
          <w:sz w:val="24"/>
        </w:rPr>
      </w:pPr>
      <w:r>
        <w:rPr>
          <w:rFonts w:hint="eastAsia" w:ascii="宋体" w:hAnsi="宋体" w:cs="宋体"/>
          <w:color w:val="000000"/>
          <w:sz w:val="24"/>
        </w:rPr>
        <w:t>承包人提交的竣工资料移交时间：</w:t>
      </w:r>
      <w:r>
        <w:rPr>
          <w:rFonts w:hint="eastAsia" w:ascii="宋体" w:hAnsi="宋体" w:cs="宋体"/>
          <w:color w:val="000000"/>
          <w:sz w:val="24"/>
          <w:u w:val="single"/>
        </w:rPr>
        <w:t xml:space="preserve"> 在具备竣工验收合格条件后2个月内 </w:t>
      </w:r>
      <w:r>
        <w:rPr>
          <w:rFonts w:hint="eastAsia" w:ascii="宋体" w:hAnsi="宋体" w:cs="宋体"/>
          <w:color w:val="000000"/>
          <w:sz w:val="24"/>
        </w:rPr>
        <w:t>。</w:t>
      </w:r>
    </w:p>
    <w:p w14:paraId="66824795">
      <w:pPr>
        <w:spacing w:line="360" w:lineRule="auto"/>
        <w:ind w:firstLine="480" w:firstLineChars="200"/>
        <w:rPr>
          <w:rFonts w:ascii="宋体" w:hAnsi="宋体" w:cs="宋体"/>
          <w:color w:val="000000"/>
          <w:sz w:val="24"/>
        </w:rPr>
      </w:pPr>
      <w:r>
        <w:rPr>
          <w:rFonts w:hint="eastAsia" w:ascii="宋体" w:hAnsi="宋体" w:cs="宋体"/>
          <w:color w:val="000000"/>
          <w:sz w:val="24"/>
        </w:rPr>
        <w:t>承包人提交的竣工资料形式要求：</w:t>
      </w:r>
      <w:r>
        <w:rPr>
          <w:rFonts w:hint="eastAsia" w:ascii="宋体" w:hAnsi="宋体" w:cs="宋体"/>
          <w:color w:val="000000"/>
          <w:sz w:val="24"/>
          <w:u w:val="single"/>
        </w:rPr>
        <w:t xml:space="preserve"> 纸质和电子资料 </w:t>
      </w:r>
      <w:r>
        <w:rPr>
          <w:rFonts w:hint="eastAsia" w:ascii="宋体" w:hAnsi="宋体" w:cs="宋体"/>
          <w:color w:val="000000"/>
          <w:sz w:val="24"/>
        </w:rPr>
        <w:t>。</w:t>
      </w:r>
    </w:p>
    <w:p w14:paraId="3D206106">
      <w:pPr>
        <w:spacing w:line="360" w:lineRule="auto"/>
        <w:ind w:firstLine="480" w:firstLineChars="200"/>
        <w:rPr>
          <w:rFonts w:ascii="宋体" w:hAnsi="宋体" w:cs="宋体"/>
          <w:color w:val="000000"/>
          <w:sz w:val="24"/>
        </w:rPr>
      </w:pPr>
      <w:r>
        <w:rPr>
          <w:rFonts w:hint="eastAsia" w:ascii="宋体" w:hAnsi="宋体" w:cs="宋体"/>
          <w:color w:val="000000"/>
          <w:sz w:val="24"/>
        </w:rPr>
        <w:t>（6）承包人应履行的其他义务：</w:t>
      </w:r>
    </w:p>
    <w:p w14:paraId="678D65BB">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承包人不得擅自更换和撤离项目负责人及项目部关键岗位人员，发生下列情形之一需更换或撤离的，应至少提前7天以书面形式通知发包人，并征得发包人同意。后任继续行使合同文件约定的前任的职权，履行前任的义务。</w:t>
      </w:r>
    </w:p>
    <w:p w14:paraId="2A50AC3E">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(1)因患病等身体原因无法坚持施工现场管理工作的；</w:t>
      </w:r>
    </w:p>
    <w:p w14:paraId="10DF5D35">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(2)退休或离开本单位的；</w:t>
      </w:r>
    </w:p>
    <w:p w14:paraId="71B34BB8">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(3)工程因故停止(或暂停3个月以上)建设或领取中标通知书后未开工达3个月以上的；</w:t>
      </w:r>
    </w:p>
    <w:p w14:paraId="6A51CD73">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(4)被建设主管部门责令停止(暂停)上岗资格、建议吊销或吊销相关证书，或被有关部门依法追究刑事责任的。</w:t>
      </w:r>
    </w:p>
    <w:p w14:paraId="160E3E87">
      <w:pPr>
        <w:spacing w:line="360" w:lineRule="auto"/>
        <w:ind w:firstLine="480" w:firstLineChars="200"/>
        <w:rPr>
          <w:rFonts w:ascii="宋体" w:hAnsi="宋体" w:cs="宋体"/>
          <w:color w:val="000000"/>
          <w:sz w:val="24"/>
        </w:rPr>
      </w:pPr>
      <w:r>
        <w:rPr>
          <w:rFonts w:hint="eastAsia" w:ascii="宋体" w:hAnsi="宋体" w:cs="宋体"/>
          <w:color w:val="000000"/>
          <w:sz w:val="24"/>
        </w:rPr>
        <w:t>3.2 项目负责人</w:t>
      </w:r>
    </w:p>
    <w:p w14:paraId="167E9D3F">
      <w:pPr>
        <w:spacing w:line="360" w:lineRule="auto"/>
        <w:ind w:firstLine="480" w:firstLineChars="200"/>
        <w:rPr>
          <w:rFonts w:ascii="宋体" w:hAnsi="宋体" w:cs="宋体"/>
          <w:color w:val="000000"/>
          <w:sz w:val="24"/>
        </w:rPr>
      </w:pPr>
      <w:r>
        <w:rPr>
          <w:rFonts w:hint="eastAsia" w:ascii="宋体" w:hAnsi="宋体" w:cs="宋体"/>
          <w:color w:val="000000"/>
          <w:sz w:val="24"/>
        </w:rPr>
        <w:t>3.2.1 项目负责人：</w:t>
      </w:r>
    </w:p>
    <w:p w14:paraId="31C0C49B">
      <w:pPr>
        <w:spacing w:line="360" w:lineRule="auto"/>
        <w:ind w:firstLine="480" w:firstLineChars="200"/>
        <w:rPr>
          <w:rFonts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 </w:t>
      </w:r>
      <w:r>
        <w:rPr>
          <w:rFonts w:hint="eastAsia" w:ascii="宋体" w:hAnsi="宋体" w:cs="宋体"/>
          <w:color w:val="000000"/>
          <w:sz w:val="24"/>
        </w:rPr>
        <w:t>；</w:t>
      </w:r>
    </w:p>
    <w:p w14:paraId="3A00C50E">
      <w:pPr>
        <w:spacing w:line="360" w:lineRule="auto"/>
        <w:ind w:firstLine="480" w:firstLineChars="200"/>
        <w:rPr>
          <w:rFonts w:ascii="宋体" w:hAnsi="宋体" w:cs="宋体"/>
          <w:color w:val="000000"/>
          <w:sz w:val="24"/>
        </w:rPr>
      </w:pPr>
      <w:r>
        <w:rPr>
          <w:rFonts w:hint="eastAsia" w:ascii="宋体" w:hAnsi="宋体" w:cs="宋体"/>
          <w:color w:val="000000"/>
          <w:sz w:val="24"/>
        </w:rPr>
        <w:t>身份证号：</w:t>
      </w:r>
      <w:r>
        <w:rPr>
          <w:rFonts w:hint="eastAsia" w:ascii="宋体" w:hAnsi="宋体" w:cs="宋体"/>
          <w:color w:val="000000"/>
          <w:sz w:val="24"/>
          <w:u w:val="single"/>
        </w:rPr>
        <w:t>         </w:t>
      </w:r>
      <w:r>
        <w:rPr>
          <w:rFonts w:hint="eastAsia" w:ascii="宋体" w:hAnsi="宋体" w:cs="宋体"/>
          <w:color w:val="000000"/>
          <w:sz w:val="24"/>
        </w:rPr>
        <w:t>；</w:t>
      </w:r>
    </w:p>
    <w:p w14:paraId="0553A0DC">
      <w:pPr>
        <w:spacing w:line="360" w:lineRule="auto"/>
        <w:ind w:firstLine="480" w:firstLineChars="200"/>
        <w:rPr>
          <w:rFonts w:ascii="宋体" w:hAnsi="宋体" w:cs="宋体"/>
          <w:color w:val="000000"/>
          <w:sz w:val="24"/>
        </w:rPr>
      </w:pPr>
      <w:r>
        <w:rPr>
          <w:rFonts w:hint="eastAsia" w:ascii="宋体" w:hAnsi="宋体" w:cs="宋体"/>
          <w:color w:val="000000"/>
          <w:sz w:val="24"/>
        </w:rPr>
        <w:t>建造师执业资格等级：</w:t>
      </w:r>
      <w:r>
        <w:rPr>
          <w:rFonts w:hint="eastAsia" w:ascii="宋体" w:hAnsi="宋体" w:cs="宋体"/>
          <w:color w:val="000000"/>
          <w:sz w:val="24"/>
          <w:u w:val="single"/>
        </w:rPr>
        <w:t>   </w:t>
      </w:r>
      <w:r>
        <w:rPr>
          <w:rFonts w:hint="eastAsia" w:ascii="宋体" w:hAnsi="宋体" w:cs="宋体"/>
          <w:color w:val="000000"/>
          <w:sz w:val="24"/>
        </w:rPr>
        <w:t>；</w:t>
      </w:r>
    </w:p>
    <w:p w14:paraId="699D84B7">
      <w:pPr>
        <w:spacing w:line="360" w:lineRule="auto"/>
        <w:ind w:firstLine="480" w:firstLineChars="200"/>
        <w:rPr>
          <w:rFonts w:ascii="宋体" w:hAnsi="宋体" w:cs="宋体"/>
          <w:color w:val="000000"/>
          <w:sz w:val="24"/>
        </w:rPr>
      </w:pPr>
      <w:r>
        <w:rPr>
          <w:rFonts w:hint="eastAsia" w:ascii="宋体" w:hAnsi="宋体" w:cs="宋体"/>
          <w:color w:val="000000"/>
          <w:sz w:val="24"/>
        </w:rPr>
        <w:t>建造师注册证书号：</w:t>
      </w:r>
      <w:r>
        <w:rPr>
          <w:rFonts w:hint="eastAsia" w:ascii="宋体" w:hAnsi="宋体" w:cs="宋体"/>
          <w:color w:val="000000"/>
          <w:sz w:val="24"/>
          <w:u w:val="single"/>
        </w:rPr>
        <w:t> </w:t>
      </w:r>
      <w:r>
        <w:rPr>
          <w:rFonts w:hint="eastAsia" w:ascii="宋体" w:hAnsi="宋体" w:cs="宋体"/>
          <w:color w:val="000000"/>
          <w:sz w:val="24"/>
        </w:rPr>
        <w:t>；</w:t>
      </w:r>
    </w:p>
    <w:p w14:paraId="30C6A2D3">
      <w:pPr>
        <w:spacing w:line="360" w:lineRule="auto"/>
        <w:ind w:firstLine="480" w:firstLineChars="200"/>
        <w:rPr>
          <w:rFonts w:ascii="宋体" w:hAnsi="宋体" w:cs="宋体"/>
          <w:color w:val="000000"/>
          <w:sz w:val="24"/>
        </w:rPr>
      </w:pPr>
      <w:r>
        <w:rPr>
          <w:rFonts w:hint="eastAsia" w:ascii="宋体" w:hAnsi="宋体" w:cs="宋体"/>
          <w:color w:val="000000"/>
          <w:sz w:val="24"/>
        </w:rPr>
        <w:t>建造师执业印章号：</w:t>
      </w:r>
      <w:r>
        <w:rPr>
          <w:rFonts w:hint="eastAsia" w:ascii="宋体" w:hAnsi="宋体" w:cs="宋体"/>
          <w:color w:val="000000"/>
          <w:sz w:val="24"/>
          <w:u w:val="single"/>
        </w:rPr>
        <w:t> </w:t>
      </w:r>
      <w:r>
        <w:rPr>
          <w:rFonts w:hint="eastAsia" w:ascii="宋体" w:hAnsi="宋体" w:cs="宋体"/>
          <w:color w:val="000000"/>
          <w:sz w:val="24"/>
        </w:rPr>
        <w:t>；</w:t>
      </w:r>
    </w:p>
    <w:p w14:paraId="265F7DC2">
      <w:pPr>
        <w:spacing w:line="360" w:lineRule="auto"/>
        <w:ind w:firstLine="480" w:firstLineChars="200"/>
        <w:rPr>
          <w:rFonts w:ascii="宋体" w:hAnsi="宋体" w:cs="宋体"/>
          <w:color w:val="000000"/>
          <w:sz w:val="24"/>
        </w:rPr>
      </w:pPr>
      <w:r>
        <w:rPr>
          <w:rFonts w:hint="eastAsia" w:ascii="宋体" w:hAnsi="宋体" w:cs="宋体"/>
          <w:color w:val="000000"/>
          <w:sz w:val="24"/>
        </w:rPr>
        <w:t>安全生产考核合格证书号：</w:t>
      </w:r>
      <w:r>
        <w:rPr>
          <w:rFonts w:hint="eastAsia" w:ascii="宋体" w:hAnsi="宋体" w:cs="宋体"/>
          <w:color w:val="000000"/>
          <w:sz w:val="24"/>
          <w:u w:val="single"/>
        </w:rPr>
        <w:t> </w:t>
      </w:r>
      <w:r>
        <w:rPr>
          <w:rFonts w:hint="eastAsia" w:ascii="宋体" w:hAnsi="宋体" w:cs="宋体"/>
          <w:color w:val="000000"/>
          <w:sz w:val="24"/>
        </w:rPr>
        <w:t>；</w:t>
      </w:r>
    </w:p>
    <w:p w14:paraId="0CC1E05A">
      <w:pPr>
        <w:spacing w:line="360" w:lineRule="auto"/>
        <w:ind w:firstLine="480" w:firstLineChars="200"/>
        <w:rPr>
          <w:rFonts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w:t>
      </w:r>
      <w:r>
        <w:rPr>
          <w:rFonts w:hint="eastAsia" w:ascii="宋体" w:hAnsi="宋体" w:cs="宋体"/>
          <w:color w:val="000000"/>
          <w:sz w:val="24"/>
        </w:rPr>
        <w:t>；</w:t>
      </w:r>
    </w:p>
    <w:p w14:paraId="14070729">
      <w:pPr>
        <w:spacing w:line="360" w:lineRule="auto"/>
        <w:ind w:firstLine="480" w:firstLineChars="200"/>
        <w:rPr>
          <w:rFonts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w:t>
      </w:r>
      <w:r>
        <w:rPr>
          <w:rFonts w:hint="eastAsia" w:ascii="宋体" w:hAnsi="宋体" w:cs="宋体"/>
          <w:color w:val="000000"/>
          <w:sz w:val="24"/>
        </w:rPr>
        <w:t>；</w:t>
      </w:r>
    </w:p>
    <w:p w14:paraId="49656405">
      <w:pPr>
        <w:spacing w:line="360" w:lineRule="auto"/>
        <w:ind w:firstLine="480" w:firstLineChars="200"/>
        <w:rPr>
          <w:rFonts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4EA14646">
      <w:pPr>
        <w:spacing w:line="360" w:lineRule="auto"/>
        <w:ind w:firstLine="480" w:firstLineChars="200"/>
        <w:rPr>
          <w:rFonts w:ascii="宋体" w:hAnsi="宋体" w:cs="宋体"/>
          <w:color w:val="000000"/>
          <w:sz w:val="24"/>
        </w:rPr>
      </w:pPr>
      <w:r>
        <w:rPr>
          <w:rFonts w:hint="eastAsia" w:ascii="宋体" w:hAnsi="宋体" w:cs="宋体"/>
          <w:color w:val="000000"/>
          <w:sz w:val="24"/>
        </w:rPr>
        <w:t>承包人对项目负责人的授权范围如下：</w:t>
      </w:r>
      <w:r>
        <w:rPr>
          <w:rFonts w:hint="eastAsia" w:ascii="宋体" w:hAnsi="宋体" w:cs="宋体"/>
          <w:color w:val="000000"/>
          <w:sz w:val="24"/>
          <w:u w:val="single"/>
        </w:rPr>
        <w:t>在承包人授权范围内履行承包人的职权，对工程建设的质量、安全、工期以及工程造价控制负责，所有上报给发包人的文件均需项目负责人签字</w:t>
      </w:r>
      <w:r>
        <w:rPr>
          <w:rFonts w:hint="eastAsia" w:ascii="宋体" w:hAnsi="宋体" w:cs="宋体"/>
          <w:color w:val="000000"/>
          <w:sz w:val="24"/>
        </w:rPr>
        <w:t>。</w:t>
      </w:r>
    </w:p>
    <w:p w14:paraId="2DC6CA67">
      <w:pPr>
        <w:spacing w:line="360" w:lineRule="auto"/>
        <w:ind w:firstLine="480" w:firstLineChars="200"/>
        <w:rPr>
          <w:rFonts w:ascii="宋体" w:hAnsi="宋体" w:cs="宋体"/>
          <w:color w:val="000000"/>
          <w:sz w:val="24"/>
        </w:rPr>
      </w:pPr>
      <w:r>
        <w:rPr>
          <w:rFonts w:hint="eastAsia" w:ascii="宋体" w:hAnsi="宋体" w:cs="宋体"/>
          <w:color w:val="000000"/>
          <w:sz w:val="24"/>
        </w:rPr>
        <w:t>关于项目经理每月在施工现场的时间要求：</w:t>
      </w:r>
      <w:r>
        <w:rPr>
          <w:rFonts w:hint="eastAsia" w:ascii="宋体" w:hAnsi="宋体" w:cs="宋体"/>
          <w:color w:val="000000"/>
          <w:sz w:val="24"/>
          <w:u w:val="single"/>
        </w:rPr>
        <w:t>月到位率不少于每月20日历天，</w:t>
      </w:r>
      <w:r>
        <w:rPr>
          <w:rFonts w:hint="eastAsia" w:ascii="宋体" w:hAnsi="宋体" w:cs="宋体"/>
          <w:b/>
          <w:color w:val="000000"/>
          <w:sz w:val="24"/>
          <w:u w:val="single"/>
        </w:rPr>
        <w:t>（除特殊情况外）</w:t>
      </w:r>
      <w:r>
        <w:rPr>
          <w:rFonts w:hint="eastAsia" w:ascii="宋体" w:hAnsi="宋体" w:cs="宋体"/>
          <w:color w:val="000000"/>
          <w:sz w:val="24"/>
          <w:u w:val="single"/>
        </w:rPr>
        <w:t>且重要工程例会及验收环节等必须由项目经理参加，否则处违约金1000元/人/天</w:t>
      </w:r>
      <w:r>
        <w:rPr>
          <w:rFonts w:hint="eastAsia" w:ascii="宋体" w:hAnsi="宋体" w:cs="宋体"/>
          <w:color w:val="000000"/>
          <w:sz w:val="24"/>
        </w:rPr>
        <w:t>。</w:t>
      </w:r>
    </w:p>
    <w:p w14:paraId="4097B5B1">
      <w:pPr>
        <w:spacing w:line="360" w:lineRule="auto"/>
        <w:ind w:firstLine="480" w:firstLineChars="200"/>
        <w:rPr>
          <w:rFonts w:ascii="宋体" w:hAnsi="宋体" w:cs="宋体"/>
          <w:color w:val="000000"/>
          <w:sz w:val="24"/>
        </w:rPr>
      </w:pPr>
      <w:r>
        <w:rPr>
          <w:rFonts w:hint="eastAsia" w:ascii="宋体" w:hAnsi="宋体" w:cs="宋体"/>
          <w:color w:val="000000"/>
          <w:sz w:val="24"/>
        </w:rPr>
        <w:t>承包人未提交劳动合同，以及没有为项目经理缴纳社会保险证明的违约责任：</w:t>
      </w:r>
      <w:r>
        <w:rPr>
          <w:rFonts w:hint="eastAsia" w:ascii="宋体" w:hAnsi="宋体" w:cs="宋体"/>
          <w:color w:val="000000"/>
          <w:sz w:val="24"/>
          <w:u w:val="single"/>
        </w:rPr>
        <w:t>发包人有权解除合同，由此造成的费用增加和工期延误损失均由承包人承担</w:t>
      </w:r>
      <w:r>
        <w:rPr>
          <w:rFonts w:hint="eastAsia" w:ascii="宋体" w:hAnsi="宋体" w:cs="宋体"/>
          <w:color w:val="000000"/>
          <w:sz w:val="24"/>
        </w:rPr>
        <w:t>。</w:t>
      </w:r>
    </w:p>
    <w:p w14:paraId="2D307D28">
      <w:pPr>
        <w:spacing w:line="360" w:lineRule="auto"/>
        <w:ind w:firstLine="480" w:firstLineChars="200"/>
        <w:rPr>
          <w:rFonts w:ascii="宋体" w:hAnsi="宋体" w:cs="宋体"/>
          <w:sz w:val="24"/>
          <w:u w:val="single"/>
        </w:rPr>
      </w:pPr>
      <w:r>
        <w:rPr>
          <w:rFonts w:hint="eastAsia" w:ascii="宋体" w:hAnsi="宋体" w:cs="宋体"/>
          <w:color w:val="000000"/>
          <w:sz w:val="24"/>
        </w:rPr>
        <w:t>3.2.3 承包人擅自更换项目经理的违约责任：</w:t>
      </w:r>
      <w:r>
        <w:rPr>
          <w:rFonts w:hint="eastAsia" w:ascii="宋体" w:hAnsi="宋体" w:cs="宋体"/>
          <w:color w:val="000000"/>
          <w:sz w:val="24"/>
          <w:u w:val="single"/>
        </w:rPr>
        <w:t>处违约金10000元/次，违约金从监理和发包人发现违约情况的当月工程款中扣除。</w:t>
      </w:r>
    </w:p>
    <w:p w14:paraId="792D02CB">
      <w:pPr>
        <w:spacing w:line="360" w:lineRule="auto"/>
        <w:ind w:firstLine="480" w:firstLineChars="200"/>
        <w:rPr>
          <w:rFonts w:ascii="宋体" w:hAnsi="宋体" w:cs="宋体"/>
          <w:color w:val="000000"/>
          <w:sz w:val="24"/>
        </w:rPr>
      </w:pPr>
      <w:r>
        <w:rPr>
          <w:rFonts w:hint="eastAsia" w:ascii="宋体" w:hAnsi="宋体" w:cs="宋体"/>
          <w:color w:val="000000"/>
          <w:sz w:val="24"/>
        </w:rPr>
        <w:t>3.2.4 承包人无正当理由拒绝更换项目经理的违约责任：</w:t>
      </w:r>
      <w:r>
        <w:rPr>
          <w:rFonts w:hint="eastAsia" w:ascii="宋体" w:hAnsi="宋体" w:cs="宋体"/>
          <w:color w:val="000000"/>
          <w:sz w:val="24"/>
          <w:u w:val="single"/>
        </w:rPr>
        <w:t>发包人认为项目经理无法履行职责的，应提供相关证明材料，并签发《整改通知书》，承包人在收到《整改通知书》后仍无改善的，发包人有权要求承包人更换项目经理。情节严重的，发包人有权解除合同，由此造成的一切损失由承包人承担。</w:t>
      </w:r>
    </w:p>
    <w:p w14:paraId="2E034385">
      <w:pPr>
        <w:spacing w:line="360" w:lineRule="auto"/>
        <w:ind w:firstLine="480" w:firstLineChars="200"/>
        <w:rPr>
          <w:rFonts w:ascii="宋体" w:hAnsi="宋体" w:cs="宋体"/>
          <w:color w:val="000000"/>
          <w:sz w:val="24"/>
        </w:rPr>
      </w:pPr>
      <w:r>
        <w:rPr>
          <w:rFonts w:hint="eastAsia" w:ascii="宋体" w:hAnsi="宋体" w:cs="宋体"/>
          <w:color w:val="000000"/>
          <w:sz w:val="24"/>
        </w:rPr>
        <w:t>3.3 承包人人员</w:t>
      </w:r>
    </w:p>
    <w:p w14:paraId="14B7BD96">
      <w:pPr>
        <w:spacing w:line="360" w:lineRule="auto"/>
        <w:ind w:firstLine="480" w:firstLineChars="200"/>
        <w:rPr>
          <w:rFonts w:ascii="宋体" w:hAnsi="宋体" w:cs="宋体"/>
          <w:color w:val="000000"/>
          <w:sz w:val="24"/>
        </w:rPr>
      </w:pPr>
      <w:r>
        <w:rPr>
          <w:rFonts w:hint="eastAsia" w:ascii="宋体" w:hAnsi="宋体" w:cs="宋体"/>
          <w:color w:val="000000"/>
          <w:sz w:val="24"/>
        </w:rPr>
        <w:t>3.3.1 承包人提交项目管理机构及施工现场管理人员安排报告的期限：</w:t>
      </w:r>
      <w:r>
        <w:rPr>
          <w:rFonts w:hint="eastAsia" w:ascii="宋体" w:hAnsi="宋体" w:cs="宋体"/>
          <w:color w:val="000000"/>
          <w:sz w:val="24"/>
          <w:u w:val="single"/>
        </w:rPr>
        <w:t>承包人应在合同备案前将项目管理机构及施工现场管理人员报招标代理机构审查，并报发包人备案。</w:t>
      </w:r>
    </w:p>
    <w:p w14:paraId="567BBC1A">
      <w:pPr>
        <w:spacing w:line="360" w:lineRule="auto"/>
        <w:ind w:firstLine="480" w:firstLineChars="200"/>
        <w:rPr>
          <w:rFonts w:ascii="宋体" w:hAnsi="宋体" w:cs="宋体"/>
          <w:color w:val="000000"/>
          <w:sz w:val="24"/>
        </w:rPr>
      </w:pPr>
      <w:r>
        <w:rPr>
          <w:rFonts w:hint="eastAsia" w:ascii="宋体" w:hAnsi="宋体" w:cs="宋体"/>
          <w:color w:val="000000"/>
          <w:sz w:val="24"/>
        </w:rPr>
        <w:t>3.3.3 承包人无正当理由拒绝撤换项目部关键岗位人员的违约责任：</w:t>
      </w:r>
      <w:r>
        <w:rPr>
          <w:rFonts w:hint="eastAsia" w:ascii="宋体" w:hAnsi="宋体" w:cs="宋体"/>
          <w:color w:val="000000"/>
          <w:sz w:val="24"/>
          <w:u w:val="single"/>
        </w:rPr>
        <w:t>发包人认为项目部关键岗位人员（指技术负责人、安全员、施工员、质量员、材料员）无法履行职责的，应提供相关证明材料，并签发《整改通知书》</w:t>
      </w:r>
      <w:r>
        <w:rPr>
          <w:rFonts w:hint="eastAsia" w:ascii="宋体" w:hAnsi="宋体" w:cs="宋体"/>
          <w:color w:val="000000"/>
          <w:sz w:val="24"/>
        </w:rPr>
        <w:t>。</w:t>
      </w:r>
    </w:p>
    <w:p w14:paraId="1EE04D94">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3.3.4 承包人项目部关键岗位人员离开施工现场的批准要求：</w:t>
      </w:r>
      <w:r>
        <w:rPr>
          <w:rFonts w:hint="eastAsia" w:ascii="宋体" w:hAnsi="宋体" w:cs="宋体"/>
          <w:color w:val="000000"/>
          <w:sz w:val="24"/>
          <w:u w:val="single"/>
        </w:rPr>
        <w:t>书面形式，并由发包人及总监工程师签字确认。</w:t>
      </w:r>
    </w:p>
    <w:p w14:paraId="753F4EC6">
      <w:pPr>
        <w:spacing w:line="360" w:lineRule="auto"/>
        <w:ind w:firstLine="480" w:firstLineChars="200"/>
        <w:rPr>
          <w:rFonts w:ascii="宋体" w:hAnsi="宋体" w:cs="宋体"/>
          <w:color w:val="000000"/>
          <w:sz w:val="24"/>
        </w:rPr>
      </w:pPr>
      <w:r>
        <w:rPr>
          <w:rFonts w:hint="eastAsia" w:ascii="宋体" w:hAnsi="宋体" w:cs="宋体"/>
          <w:color w:val="000000"/>
          <w:sz w:val="24"/>
        </w:rPr>
        <w:t>3.3.5 承包人擅自更换项目部关键岗位人员的违约责任：</w:t>
      </w:r>
      <w:r>
        <w:rPr>
          <w:rFonts w:hint="eastAsia" w:ascii="宋体" w:hAnsi="宋体" w:cs="宋体"/>
          <w:color w:val="000000"/>
          <w:sz w:val="24"/>
          <w:u w:val="single"/>
        </w:rPr>
        <w:t xml:space="preserve">   /   。</w:t>
      </w:r>
    </w:p>
    <w:p w14:paraId="57003210">
      <w:pPr>
        <w:spacing w:line="360" w:lineRule="auto"/>
        <w:ind w:firstLine="480" w:firstLineChars="200"/>
        <w:rPr>
          <w:rFonts w:ascii="宋体" w:hAnsi="宋体" w:cs="宋体"/>
          <w:color w:val="000000"/>
          <w:sz w:val="24"/>
        </w:rPr>
      </w:pPr>
      <w:r>
        <w:rPr>
          <w:rFonts w:hint="eastAsia" w:ascii="宋体" w:hAnsi="宋体" w:cs="宋体"/>
          <w:color w:val="000000"/>
          <w:sz w:val="24"/>
        </w:rPr>
        <w:t>3</w:t>
      </w:r>
      <w:bookmarkStart w:id="488" w:name="_Toc296891199"/>
      <w:bookmarkStart w:id="489" w:name="_Toc312677988"/>
      <w:bookmarkStart w:id="490" w:name="_Toc303539102"/>
      <w:bookmarkStart w:id="491" w:name="_Toc297048345"/>
      <w:bookmarkStart w:id="492" w:name="_Toc297120459"/>
      <w:bookmarkStart w:id="493" w:name="_Toc296346660"/>
      <w:bookmarkStart w:id="494" w:name="_Toc296890987"/>
      <w:bookmarkStart w:id="495" w:name="_Toc296944498"/>
      <w:bookmarkStart w:id="496" w:name="_Toc300934945"/>
      <w:bookmarkStart w:id="497" w:name="_Toc304295523"/>
      <w:bookmarkStart w:id="498" w:name="_Toc292559869"/>
      <w:bookmarkStart w:id="499" w:name="_Toc296503159"/>
      <w:bookmarkStart w:id="500" w:name="_Toc292559364"/>
      <w:bookmarkStart w:id="501" w:name="_Toc297216151"/>
      <w:bookmarkStart w:id="502" w:name="_Toc297123492"/>
      <w:bookmarkStart w:id="503" w:name="_Toc296347158"/>
      <w:r>
        <w:rPr>
          <w:rFonts w:hint="eastAsia" w:ascii="宋体" w:hAnsi="宋体" w:cs="宋体"/>
          <w:color w:val="000000"/>
          <w:sz w:val="24"/>
        </w:rPr>
        <w:t>.5 分包</w:t>
      </w:r>
    </w:p>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14:paraId="47FD0402">
      <w:pPr>
        <w:spacing w:line="360" w:lineRule="auto"/>
        <w:ind w:firstLine="480" w:firstLineChars="200"/>
        <w:rPr>
          <w:rFonts w:ascii="宋体" w:hAnsi="宋体" w:cs="宋体"/>
          <w:color w:val="000000"/>
          <w:sz w:val="24"/>
        </w:rPr>
      </w:pPr>
      <w:r>
        <w:rPr>
          <w:rFonts w:hint="eastAsia" w:ascii="宋体" w:hAnsi="宋体" w:cs="宋体"/>
          <w:color w:val="000000"/>
          <w:sz w:val="24"/>
        </w:rPr>
        <w:t>3</w:t>
      </w:r>
      <w:bookmarkStart w:id="504" w:name="_Toc318581158"/>
      <w:bookmarkStart w:id="505" w:name="_Toc296944499"/>
      <w:bookmarkStart w:id="506" w:name="_Toc300934946"/>
      <w:bookmarkStart w:id="507" w:name="_Toc296891200"/>
      <w:bookmarkStart w:id="508" w:name="_Toc297048346"/>
      <w:bookmarkStart w:id="509" w:name="_Toc297216152"/>
      <w:bookmarkStart w:id="510" w:name="_Toc292559870"/>
      <w:bookmarkStart w:id="511" w:name="_Toc296503160"/>
      <w:bookmarkStart w:id="512" w:name="_Toc292559365"/>
      <w:bookmarkStart w:id="513" w:name="_Toc312677989"/>
      <w:bookmarkStart w:id="514" w:name="_Toc297123493"/>
      <w:bookmarkStart w:id="515" w:name="_Toc303539103"/>
      <w:bookmarkStart w:id="516" w:name="_Toc304295524"/>
      <w:bookmarkStart w:id="517" w:name="_Toc296890988"/>
      <w:bookmarkStart w:id="518" w:name="_Toc296346661"/>
      <w:bookmarkStart w:id="519" w:name="_Toc296347159"/>
      <w:bookmarkStart w:id="520" w:name="_Toc297120460"/>
      <w:r>
        <w:rPr>
          <w:rFonts w:hint="eastAsia" w:ascii="宋体" w:hAnsi="宋体" w:cs="宋体"/>
          <w:color w:val="000000"/>
          <w:sz w:val="24"/>
        </w:rPr>
        <w:t>.5.1 分包的一般约定</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r>
        <w:rPr>
          <w:rFonts w:hint="eastAsia" w:ascii="宋体" w:hAnsi="宋体" w:cs="宋体"/>
          <w:color w:val="000000"/>
          <w:sz w:val="24"/>
        </w:rPr>
        <w:t>：</w:t>
      </w:r>
    </w:p>
    <w:p w14:paraId="4D67384A">
      <w:pPr>
        <w:spacing w:line="360" w:lineRule="auto"/>
        <w:ind w:firstLine="480" w:firstLineChars="200"/>
        <w:rPr>
          <w:rFonts w:ascii="宋体" w:hAnsi="宋体" w:cs="宋体"/>
          <w:color w:val="000000"/>
          <w:sz w:val="24"/>
        </w:rPr>
      </w:pPr>
      <w:r>
        <w:rPr>
          <w:rFonts w:hint="eastAsia" w:ascii="宋体" w:hAnsi="宋体" w:cs="宋体"/>
          <w:color w:val="000000"/>
          <w:sz w:val="24"/>
        </w:rPr>
        <w:t>禁止分包的工程包括：</w:t>
      </w:r>
      <w:r>
        <w:rPr>
          <w:rFonts w:hint="eastAsia" w:ascii="宋体" w:hAnsi="宋体" w:cs="宋体"/>
          <w:color w:val="000000"/>
          <w:sz w:val="24"/>
          <w:u w:val="single"/>
        </w:rPr>
        <w:t xml:space="preserve">          /                    </w:t>
      </w:r>
      <w:r>
        <w:rPr>
          <w:rFonts w:hint="eastAsia" w:ascii="宋体" w:hAnsi="宋体" w:cs="宋体"/>
          <w:color w:val="000000"/>
          <w:sz w:val="24"/>
        </w:rPr>
        <w:t>。</w:t>
      </w:r>
    </w:p>
    <w:p w14:paraId="3F2ED7E4">
      <w:pPr>
        <w:spacing w:line="360" w:lineRule="auto"/>
        <w:ind w:firstLine="480" w:firstLineChars="200"/>
        <w:rPr>
          <w:rFonts w:ascii="宋体" w:hAnsi="宋体" w:cs="宋体"/>
          <w:color w:val="000000"/>
          <w:sz w:val="24"/>
        </w:rPr>
      </w:pPr>
      <w:r>
        <w:rPr>
          <w:rFonts w:hint="eastAsia" w:ascii="宋体" w:hAnsi="宋体" w:cs="宋体"/>
          <w:color w:val="000000"/>
          <w:sz w:val="24"/>
        </w:rPr>
        <w:t>主体结构、关键性工作的范围：</w:t>
      </w:r>
      <w:r>
        <w:rPr>
          <w:rFonts w:hint="eastAsia" w:ascii="宋体" w:hAnsi="宋体" w:cs="宋体"/>
          <w:color w:val="000000"/>
          <w:sz w:val="24"/>
          <w:u w:val="single"/>
        </w:rPr>
        <w:t xml:space="preserve">         /             </w:t>
      </w:r>
      <w:r>
        <w:rPr>
          <w:rFonts w:hint="eastAsia" w:ascii="宋体" w:hAnsi="宋体" w:cs="宋体"/>
          <w:color w:val="000000"/>
          <w:sz w:val="24"/>
        </w:rPr>
        <w:t>。</w:t>
      </w:r>
    </w:p>
    <w:p w14:paraId="1FB4E40F">
      <w:pPr>
        <w:spacing w:line="360" w:lineRule="auto"/>
        <w:ind w:firstLine="480" w:firstLineChars="200"/>
        <w:rPr>
          <w:rFonts w:ascii="宋体" w:hAnsi="宋体" w:cs="宋体"/>
          <w:color w:val="000000"/>
          <w:sz w:val="24"/>
        </w:rPr>
      </w:pPr>
      <w:r>
        <w:rPr>
          <w:rFonts w:hint="eastAsia" w:ascii="宋体" w:hAnsi="宋体" w:cs="宋体"/>
          <w:color w:val="000000"/>
          <w:sz w:val="24"/>
        </w:rPr>
        <w:t>3</w:t>
      </w:r>
      <w:bookmarkStart w:id="521" w:name="_Toc312677990"/>
      <w:bookmarkStart w:id="522" w:name="_Toc318581159"/>
      <w:r>
        <w:rPr>
          <w:rFonts w:hint="eastAsia" w:ascii="宋体" w:hAnsi="宋体" w:cs="宋体"/>
          <w:color w:val="000000"/>
          <w:sz w:val="24"/>
        </w:rPr>
        <w:t>.5.2 分包的确定</w:t>
      </w:r>
    </w:p>
    <w:p w14:paraId="45148A84">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允许分包的专业工程包括：</w:t>
      </w:r>
      <w:r>
        <w:rPr>
          <w:rFonts w:hint="eastAsia" w:ascii="宋体" w:hAnsi="宋体" w:cs="宋体"/>
          <w:color w:val="000000"/>
          <w:sz w:val="24"/>
          <w:u w:val="single"/>
        </w:rPr>
        <w:t xml:space="preserve">    /       </w:t>
      </w:r>
      <w:r>
        <w:rPr>
          <w:rFonts w:hint="eastAsia" w:ascii="宋体" w:hAnsi="宋体" w:cs="宋体"/>
          <w:color w:val="000000"/>
          <w:sz w:val="24"/>
        </w:rPr>
        <w:t>。</w:t>
      </w:r>
    </w:p>
    <w:p w14:paraId="36498836">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其他关于分包的约定：</w:t>
      </w:r>
      <w:r>
        <w:rPr>
          <w:rFonts w:hint="eastAsia" w:ascii="宋体" w:hAnsi="宋体" w:cs="宋体"/>
          <w:color w:val="000000"/>
          <w:sz w:val="24"/>
          <w:u w:val="single"/>
        </w:rPr>
        <w:t xml:space="preserve">        /       </w:t>
      </w:r>
      <w:r>
        <w:rPr>
          <w:rFonts w:hint="eastAsia" w:ascii="宋体" w:hAnsi="宋体" w:cs="宋体"/>
          <w:color w:val="000000"/>
          <w:sz w:val="24"/>
        </w:rPr>
        <w:t>。</w:t>
      </w:r>
    </w:p>
    <w:bookmarkEnd w:id="521"/>
    <w:bookmarkEnd w:id="522"/>
    <w:p w14:paraId="29C65B97">
      <w:pPr>
        <w:spacing w:line="360" w:lineRule="auto"/>
        <w:ind w:firstLine="480" w:firstLineChars="200"/>
        <w:rPr>
          <w:rFonts w:ascii="宋体" w:hAnsi="宋体" w:cs="宋体"/>
          <w:color w:val="000000"/>
          <w:sz w:val="24"/>
        </w:rPr>
      </w:pPr>
      <w:r>
        <w:rPr>
          <w:rFonts w:hint="eastAsia" w:ascii="宋体" w:hAnsi="宋体" w:cs="宋体"/>
          <w:color w:val="000000"/>
          <w:sz w:val="24"/>
        </w:rPr>
        <w:t>3.6 工程照管与成品、半成品保护</w:t>
      </w:r>
    </w:p>
    <w:p w14:paraId="1802988D">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承包人负责照管工程及工程相关的材料、工程设备的起始时间：</w:t>
      </w:r>
      <w:r>
        <w:rPr>
          <w:rFonts w:hint="eastAsia" w:ascii="宋体" w:hAnsi="宋体" w:cs="宋体"/>
          <w:color w:val="000000"/>
          <w:sz w:val="24"/>
          <w:u w:val="single"/>
        </w:rPr>
        <w:t>工程开工令发布之日</w:t>
      </w:r>
      <w:r>
        <w:rPr>
          <w:rFonts w:hint="eastAsia" w:ascii="宋体" w:hAnsi="宋体" w:cs="宋体"/>
          <w:color w:val="000000"/>
          <w:sz w:val="24"/>
        </w:rPr>
        <w:t>。</w:t>
      </w:r>
    </w:p>
    <w:p w14:paraId="4EDEE3A8">
      <w:pPr>
        <w:spacing w:line="360" w:lineRule="auto"/>
        <w:ind w:firstLine="480" w:firstLineChars="200"/>
        <w:rPr>
          <w:rFonts w:ascii="宋体" w:hAnsi="宋体" w:cs="宋体"/>
          <w:color w:val="000000"/>
          <w:sz w:val="24"/>
        </w:rPr>
      </w:pPr>
      <w:bookmarkStart w:id="523" w:name="_Toc386638610"/>
      <w:bookmarkStart w:id="524" w:name="_Toc351203636"/>
      <w:r>
        <w:rPr>
          <w:rFonts w:hint="eastAsia" w:ascii="宋体" w:hAnsi="宋体" w:cs="宋体"/>
          <w:color w:val="000000"/>
          <w:sz w:val="24"/>
        </w:rPr>
        <w:t>3.7 履约担保</w:t>
      </w:r>
    </w:p>
    <w:p w14:paraId="150BE192">
      <w:pPr>
        <w:spacing w:line="360" w:lineRule="auto"/>
        <w:ind w:firstLine="480" w:firstLineChars="200"/>
        <w:rPr>
          <w:rFonts w:ascii="宋体" w:hAnsi="宋体" w:cs="宋体"/>
          <w:sz w:val="24"/>
        </w:rPr>
      </w:pPr>
      <w:r>
        <w:rPr>
          <w:rFonts w:hint="eastAsia" w:ascii="宋体" w:hAnsi="宋体" w:cs="宋体"/>
          <w:sz w:val="24"/>
        </w:rPr>
        <w:t>承包人是否提供履约担保：</w:t>
      </w:r>
      <w:r>
        <w:rPr>
          <w:rFonts w:hint="eastAsia" w:ascii="宋体" w:hAnsi="宋体" w:cs="宋体"/>
          <w:sz w:val="24"/>
          <w:u w:val="single"/>
        </w:rPr>
        <w:t xml:space="preserve">      是      </w:t>
      </w:r>
      <w:r>
        <w:rPr>
          <w:rFonts w:hint="eastAsia" w:ascii="宋体" w:hAnsi="宋体" w:cs="宋体"/>
          <w:sz w:val="24"/>
        </w:rPr>
        <w:t>。</w:t>
      </w:r>
    </w:p>
    <w:p w14:paraId="1E4BE5D9">
      <w:pPr>
        <w:spacing w:line="360" w:lineRule="auto"/>
        <w:ind w:firstLine="480" w:firstLineChars="200"/>
        <w:rPr>
          <w:rFonts w:ascii="宋体" w:hAnsi="宋体" w:cs="宋体"/>
          <w:sz w:val="24"/>
          <w:szCs w:val="24"/>
          <w:u w:val="single"/>
        </w:rPr>
      </w:pPr>
      <w:r>
        <w:rPr>
          <w:rFonts w:hint="eastAsia" w:ascii="宋体" w:hAnsi="宋体" w:cs="宋体"/>
          <w:sz w:val="24"/>
        </w:rPr>
        <w:t>承包人提供履约担保的形式、金额及期限的约定：</w:t>
      </w:r>
      <w:bookmarkStart w:id="525" w:name="_Hlk89720919"/>
      <w:r>
        <w:rPr>
          <w:rFonts w:hint="eastAsia" w:ascii="宋体" w:hAnsi="宋体" w:cs="宋体"/>
          <w:sz w:val="24"/>
          <w:szCs w:val="24"/>
          <w:u w:val="single"/>
        </w:rPr>
        <w:t>履约保证金金额：合同金额的1%；履约保证金形式：</w:t>
      </w:r>
      <w:r>
        <w:rPr>
          <w:rFonts w:hint="eastAsia" w:ascii="宋体" w:hAnsi="宋体" w:eastAsia="宋体" w:cs="宋体"/>
          <w:color w:val="000000"/>
          <w:kern w:val="0"/>
          <w:sz w:val="24"/>
          <w:szCs w:val="24"/>
          <w:highlight w:val="none"/>
          <w:u w:val="single"/>
        </w:rPr>
        <w:t>履约保证金的形式为电汇、银行或保险公司出具的履约保函</w:t>
      </w:r>
      <w:r>
        <w:rPr>
          <w:rFonts w:hint="eastAsia" w:ascii="宋体" w:hAnsi="宋体" w:cs="宋体"/>
          <w:sz w:val="24"/>
          <w:szCs w:val="24"/>
          <w:u w:val="single"/>
        </w:rPr>
        <w:t>等形式；履约保证金的退取：项目验收合格后，根据实际履约情况扣除相应违约金后无息退还履约保证金（但如承包人未能履行合同规定的任何义务，发包人有权从履约保证金中得到补偿）。</w:t>
      </w:r>
    </w:p>
    <w:bookmarkEnd w:id="525"/>
    <w:p w14:paraId="2DCC7BF2">
      <w:pPr>
        <w:pStyle w:val="6"/>
        <w:spacing w:before="0" w:after="0" w:line="360" w:lineRule="auto"/>
        <w:rPr>
          <w:rFonts w:ascii="宋体" w:hAnsi="宋体" w:eastAsia="宋体" w:cs="宋体"/>
          <w:b w:val="0"/>
          <w:color w:val="000000"/>
          <w:sz w:val="24"/>
          <w:szCs w:val="24"/>
        </w:rPr>
      </w:pPr>
      <w:r>
        <w:rPr>
          <w:rFonts w:hint="eastAsia" w:ascii="宋体" w:hAnsi="宋体" w:eastAsia="宋体" w:cs="宋体"/>
          <w:b w:val="0"/>
          <w:color w:val="000000"/>
          <w:sz w:val="24"/>
          <w:szCs w:val="24"/>
        </w:rPr>
        <w:t>4</w:t>
      </w:r>
      <w:bookmarkStart w:id="526" w:name="_Toc296890990"/>
      <w:bookmarkStart w:id="527" w:name="_Toc296347161"/>
      <w:bookmarkStart w:id="528" w:name="_Toc296503162"/>
      <w:bookmarkStart w:id="529" w:name="_Toc296944501"/>
      <w:bookmarkStart w:id="530" w:name="_Toc296891202"/>
      <w:bookmarkStart w:id="531" w:name="_Toc297120462"/>
      <w:bookmarkStart w:id="532" w:name="_Toc267251413"/>
      <w:bookmarkStart w:id="533" w:name="_Toc296346663"/>
      <w:bookmarkStart w:id="534" w:name="_Toc297048348"/>
      <w:bookmarkStart w:id="535" w:name="_Toc292559871"/>
      <w:bookmarkStart w:id="536" w:name="_Toc292559366"/>
      <w:r>
        <w:rPr>
          <w:rFonts w:hint="eastAsia" w:ascii="宋体" w:hAnsi="宋体" w:eastAsia="宋体" w:cs="宋体"/>
          <w:b w:val="0"/>
          <w:color w:val="000000"/>
          <w:sz w:val="24"/>
          <w:szCs w:val="24"/>
        </w:rPr>
        <w:t>. 监</w:t>
      </w:r>
      <w:bookmarkEnd w:id="526"/>
      <w:bookmarkEnd w:id="527"/>
      <w:bookmarkEnd w:id="528"/>
      <w:bookmarkEnd w:id="529"/>
      <w:bookmarkEnd w:id="530"/>
      <w:bookmarkEnd w:id="531"/>
      <w:bookmarkEnd w:id="532"/>
      <w:bookmarkEnd w:id="533"/>
      <w:bookmarkEnd w:id="534"/>
      <w:bookmarkEnd w:id="535"/>
      <w:bookmarkEnd w:id="536"/>
      <w:r>
        <w:rPr>
          <w:rFonts w:hint="eastAsia" w:ascii="宋体" w:hAnsi="宋体" w:eastAsia="宋体" w:cs="宋体"/>
          <w:b w:val="0"/>
          <w:color w:val="000000"/>
          <w:sz w:val="24"/>
          <w:szCs w:val="24"/>
        </w:rPr>
        <w:t>理人</w:t>
      </w:r>
      <w:bookmarkEnd w:id="523"/>
      <w:bookmarkEnd w:id="524"/>
    </w:p>
    <w:p w14:paraId="2576FDD8">
      <w:pPr>
        <w:spacing w:line="360" w:lineRule="auto"/>
        <w:ind w:firstLine="480" w:firstLineChars="200"/>
        <w:rPr>
          <w:rFonts w:ascii="宋体" w:hAnsi="宋体" w:cs="宋体"/>
          <w:color w:val="000000"/>
          <w:sz w:val="24"/>
        </w:rPr>
      </w:pPr>
      <w:r>
        <w:rPr>
          <w:rFonts w:hint="eastAsia" w:ascii="宋体" w:hAnsi="宋体" w:cs="宋体"/>
          <w:color w:val="000000"/>
          <w:sz w:val="24"/>
        </w:rPr>
        <w:t>4.1 监理人的一般规定</w:t>
      </w:r>
    </w:p>
    <w:p w14:paraId="3689869E">
      <w:pPr>
        <w:spacing w:line="360" w:lineRule="auto"/>
        <w:ind w:firstLine="480" w:firstLineChars="200"/>
        <w:rPr>
          <w:rFonts w:ascii="宋体" w:hAnsi="宋体" w:cs="宋体"/>
          <w:color w:val="000000"/>
          <w:sz w:val="24"/>
        </w:rPr>
      </w:pPr>
      <w:r>
        <w:rPr>
          <w:rFonts w:hint="eastAsia" w:ascii="宋体" w:hAnsi="宋体" w:cs="宋体"/>
          <w:color w:val="000000"/>
          <w:sz w:val="24"/>
        </w:rPr>
        <w:t>关于监理人的监理内容：</w:t>
      </w:r>
      <w:r>
        <w:rPr>
          <w:rFonts w:hint="eastAsia" w:ascii="宋体" w:hAnsi="宋体" w:cs="宋体"/>
          <w:color w:val="000000"/>
          <w:sz w:val="24"/>
          <w:u w:val="single"/>
        </w:rPr>
        <w:t>工程建设监理合同授予监理人的权利</w:t>
      </w:r>
      <w:r>
        <w:rPr>
          <w:rFonts w:hint="eastAsia" w:ascii="宋体" w:hAnsi="宋体" w:cs="宋体"/>
          <w:color w:val="000000"/>
          <w:sz w:val="24"/>
        </w:rPr>
        <w:t>。</w:t>
      </w:r>
    </w:p>
    <w:p w14:paraId="5076BADB">
      <w:pPr>
        <w:spacing w:line="360" w:lineRule="auto"/>
        <w:ind w:firstLine="480" w:firstLineChars="200"/>
        <w:rPr>
          <w:rFonts w:ascii="宋体" w:hAnsi="宋体" w:cs="宋体"/>
          <w:color w:val="000000"/>
          <w:sz w:val="24"/>
        </w:rPr>
      </w:pPr>
      <w:r>
        <w:rPr>
          <w:rFonts w:hint="eastAsia" w:ascii="宋体" w:hAnsi="宋体" w:cs="宋体"/>
          <w:color w:val="000000"/>
          <w:sz w:val="24"/>
        </w:rPr>
        <w:t>关于监理人的监理权限：</w:t>
      </w:r>
      <w:r>
        <w:rPr>
          <w:rFonts w:hint="eastAsia" w:ascii="宋体" w:hAnsi="宋体" w:cs="宋体"/>
          <w:color w:val="000000"/>
          <w:sz w:val="24"/>
          <w:u w:val="single"/>
        </w:rPr>
        <w:t>涉及费用、工期、图纸更改等工程变更指令和付款、暂停工程施工指令的下达权需取得发包人书面批准后方可执行</w:t>
      </w:r>
      <w:r>
        <w:rPr>
          <w:rFonts w:hint="eastAsia" w:ascii="宋体" w:hAnsi="宋体" w:cs="宋体"/>
          <w:color w:val="000000"/>
          <w:sz w:val="24"/>
        </w:rPr>
        <w:t>。</w:t>
      </w:r>
    </w:p>
    <w:p w14:paraId="3D2CC596">
      <w:pPr>
        <w:spacing w:line="360" w:lineRule="auto"/>
        <w:ind w:firstLine="480" w:firstLineChars="200"/>
        <w:rPr>
          <w:rFonts w:ascii="宋体" w:hAnsi="宋体" w:cs="宋体"/>
          <w:color w:val="000000"/>
          <w:sz w:val="24"/>
        </w:rPr>
      </w:pPr>
      <w:r>
        <w:rPr>
          <w:rFonts w:hint="eastAsia" w:ascii="宋体" w:hAnsi="宋体" w:cs="宋体"/>
          <w:color w:val="000000"/>
          <w:sz w:val="24"/>
        </w:rPr>
        <w:t>关于监理人在施工现场的办公场所、生活场所的提供和费用承担的约定：</w:t>
      </w:r>
      <w:r>
        <w:rPr>
          <w:rFonts w:hint="eastAsia" w:ascii="宋体" w:hAnsi="宋体" w:cs="宋体"/>
          <w:color w:val="000000"/>
          <w:sz w:val="24"/>
          <w:u w:val="single"/>
        </w:rPr>
        <w:t xml:space="preserve">  /  </w:t>
      </w:r>
      <w:r>
        <w:rPr>
          <w:rFonts w:hint="eastAsia" w:ascii="宋体" w:hAnsi="宋体" w:cs="宋体"/>
          <w:color w:val="000000"/>
          <w:sz w:val="24"/>
        </w:rPr>
        <w:t>。</w:t>
      </w:r>
    </w:p>
    <w:p w14:paraId="7EAC425C">
      <w:pPr>
        <w:spacing w:line="360" w:lineRule="auto"/>
        <w:ind w:firstLine="480" w:firstLineChars="200"/>
        <w:rPr>
          <w:rFonts w:ascii="宋体" w:hAnsi="宋体" w:cs="宋体"/>
          <w:color w:val="000000"/>
          <w:sz w:val="24"/>
        </w:rPr>
      </w:pPr>
      <w:r>
        <w:rPr>
          <w:rFonts w:hint="eastAsia" w:ascii="宋体" w:hAnsi="宋体" w:cs="宋体"/>
          <w:color w:val="000000"/>
          <w:sz w:val="24"/>
        </w:rPr>
        <w:t>4.2 监理人员</w:t>
      </w:r>
    </w:p>
    <w:p w14:paraId="245C6F7F">
      <w:pPr>
        <w:spacing w:line="360" w:lineRule="auto"/>
        <w:ind w:firstLine="480" w:firstLineChars="200"/>
        <w:rPr>
          <w:rFonts w:ascii="宋体" w:hAnsi="宋体" w:cs="宋体"/>
          <w:color w:val="000000"/>
          <w:sz w:val="24"/>
        </w:rPr>
      </w:pPr>
      <w:r>
        <w:rPr>
          <w:rFonts w:hint="eastAsia" w:ascii="宋体" w:hAnsi="宋体" w:cs="宋体"/>
          <w:color w:val="000000"/>
          <w:sz w:val="24"/>
        </w:rPr>
        <w:t>总监理工程师：</w:t>
      </w:r>
    </w:p>
    <w:p w14:paraId="43D0B468">
      <w:pPr>
        <w:spacing w:line="360" w:lineRule="auto"/>
        <w:ind w:firstLine="480" w:firstLineChars="200"/>
        <w:rPr>
          <w:rFonts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w:t>
      </w:r>
      <w:r>
        <w:rPr>
          <w:rFonts w:hint="eastAsia" w:ascii="宋体" w:hAnsi="宋体" w:cs="宋体"/>
          <w:color w:val="000000"/>
          <w:sz w:val="24"/>
        </w:rPr>
        <w:t>；</w:t>
      </w:r>
    </w:p>
    <w:p w14:paraId="671C5791">
      <w:pPr>
        <w:spacing w:line="360" w:lineRule="auto"/>
        <w:ind w:firstLine="480" w:firstLineChars="200"/>
        <w:rPr>
          <w:rFonts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 </w:t>
      </w:r>
      <w:r>
        <w:rPr>
          <w:rFonts w:hint="eastAsia" w:ascii="宋体" w:hAnsi="宋体" w:cs="宋体"/>
          <w:color w:val="000000"/>
          <w:sz w:val="24"/>
        </w:rPr>
        <w:t>；</w:t>
      </w:r>
    </w:p>
    <w:p w14:paraId="5F8686FA">
      <w:pPr>
        <w:spacing w:line="360" w:lineRule="auto"/>
        <w:ind w:firstLine="480" w:firstLineChars="200"/>
        <w:rPr>
          <w:rFonts w:ascii="宋体" w:hAnsi="宋体" w:cs="宋体"/>
          <w:color w:val="000000"/>
          <w:sz w:val="24"/>
        </w:rPr>
      </w:pPr>
      <w:r>
        <w:rPr>
          <w:rFonts w:hint="eastAsia" w:ascii="宋体" w:hAnsi="宋体" w:cs="宋体"/>
          <w:color w:val="000000"/>
          <w:sz w:val="24"/>
        </w:rPr>
        <w:t>监理工程师执业资格证书号：</w:t>
      </w:r>
      <w:r>
        <w:rPr>
          <w:rFonts w:hint="eastAsia" w:ascii="宋体" w:hAnsi="宋体" w:cs="宋体"/>
          <w:color w:val="000000"/>
          <w:sz w:val="24"/>
          <w:u w:val="single"/>
        </w:rPr>
        <w:t> </w:t>
      </w:r>
      <w:r>
        <w:rPr>
          <w:rFonts w:hint="eastAsia" w:ascii="宋体" w:hAnsi="宋体" w:cs="宋体"/>
          <w:color w:val="000000"/>
          <w:sz w:val="24"/>
        </w:rPr>
        <w:t>；</w:t>
      </w:r>
    </w:p>
    <w:p w14:paraId="76312B06">
      <w:pPr>
        <w:spacing w:line="360" w:lineRule="auto"/>
        <w:ind w:firstLine="480" w:firstLineChars="200"/>
        <w:rPr>
          <w:rFonts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w:t>
      </w:r>
      <w:r>
        <w:rPr>
          <w:rFonts w:hint="eastAsia" w:ascii="宋体" w:hAnsi="宋体" w:cs="宋体"/>
          <w:color w:val="000000"/>
          <w:sz w:val="24"/>
        </w:rPr>
        <w:t>；</w:t>
      </w:r>
    </w:p>
    <w:p w14:paraId="524A9733">
      <w:pPr>
        <w:spacing w:line="360" w:lineRule="auto"/>
        <w:ind w:firstLine="480" w:firstLineChars="200"/>
        <w:rPr>
          <w:rFonts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w:t>
      </w:r>
      <w:r>
        <w:rPr>
          <w:rFonts w:hint="eastAsia" w:ascii="宋体" w:hAnsi="宋体" w:cs="宋体"/>
          <w:color w:val="000000"/>
          <w:sz w:val="24"/>
        </w:rPr>
        <w:t>；</w:t>
      </w:r>
    </w:p>
    <w:p w14:paraId="642F4A8F">
      <w:pPr>
        <w:spacing w:line="360" w:lineRule="auto"/>
        <w:ind w:firstLine="480" w:firstLineChars="200"/>
        <w:rPr>
          <w:rFonts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6695693A">
      <w:pPr>
        <w:spacing w:line="360" w:lineRule="auto"/>
        <w:ind w:firstLine="480" w:firstLineChars="200"/>
        <w:rPr>
          <w:rFonts w:ascii="宋体" w:hAnsi="宋体" w:cs="宋体"/>
          <w:color w:val="000000"/>
          <w:sz w:val="24"/>
        </w:rPr>
      </w:pPr>
      <w:r>
        <w:rPr>
          <w:rFonts w:hint="eastAsia" w:ascii="宋体" w:hAnsi="宋体" w:cs="宋体"/>
          <w:color w:val="000000"/>
          <w:sz w:val="24"/>
        </w:rPr>
        <w:t>关于监理人的其他约定：</w:t>
      </w:r>
      <w:r>
        <w:rPr>
          <w:rFonts w:hint="eastAsia" w:ascii="宋体" w:hAnsi="宋体" w:cs="宋体"/>
          <w:color w:val="000000"/>
          <w:sz w:val="24"/>
          <w:u w:val="single"/>
        </w:rPr>
        <w:t>/   </w:t>
      </w:r>
      <w:r>
        <w:rPr>
          <w:rFonts w:hint="eastAsia" w:ascii="宋体" w:hAnsi="宋体" w:cs="宋体"/>
          <w:color w:val="000000"/>
          <w:sz w:val="24"/>
        </w:rPr>
        <w:t>。</w:t>
      </w:r>
    </w:p>
    <w:p w14:paraId="6DCE07D3">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4.4 商定或确定：</w:t>
      </w:r>
    </w:p>
    <w:p w14:paraId="4154670F">
      <w:pPr>
        <w:spacing w:line="360" w:lineRule="auto"/>
        <w:ind w:firstLine="480" w:firstLineChars="200"/>
        <w:rPr>
          <w:rFonts w:ascii="宋体" w:hAnsi="宋体" w:cs="宋体"/>
          <w:color w:val="000000"/>
          <w:sz w:val="24"/>
        </w:rPr>
      </w:pPr>
      <w:r>
        <w:rPr>
          <w:rFonts w:hint="eastAsia" w:ascii="宋体" w:hAnsi="宋体" w:cs="宋体"/>
          <w:color w:val="000000"/>
          <w:sz w:val="24"/>
          <w:u w:val="single"/>
        </w:rPr>
        <w:t>在发包人和承包人不能通过协商达成一致意见时，总监理工程师应按照合同约定作出公正确定，应在合同发包人会商之日起7天内提供书面确定意见。</w:t>
      </w:r>
    </w:p>
    <w:p w14:paraId="615BC2A1">
      <w:pPr>
        <w:pStyle w:val="6"/>
        <w:spacing w:before="0" w:after="0" w:line="360" w:lineRule="auto"/>
        <w:rPr>
          <w:rFonts w:ascii="宋体" w:hAnsi="宋体" w:eastAsia="宋体" w:cs="宋体"/>
          <w:b w:val="0"/>
          <w:color w:val="000000"/>
          <w:sz w:val="24"/>
          <w:szCs w:val="24"/>
        </w:rPr>
      </w:pPr>
      <w:bookmarkStart w:id="537" w:name="_Toc267251418"/>
      <w:bookmarkStart w:id="538" w:name="_Toc386638611"/>
      <w:bookmarkStart w:id="539" w:name="_Toc351203637"/>
      <w:r>
        <w:rPr>
          <w:rFonts w:hint="eastAsia" w:ascii="宋体" w:hAnsi="宋体" w:eastAsia="宋体" w:cs="宋体"/>
          <w:b w:val="0"/>
          <w:color w:val="000000"/>
          <w:sz w:val="24"/>
          <w:szCs w:val="24"/>
        </w:rPr>
        <w:t>5</w:t>
      </w:r>
      <w:bookmarkEnd w:id="537"/>
      <w:r>
        <w:rPr>
          <w:rFonts w:hint="eastAsia" w:ascii="宋体" w:hAnsi="宋体" w:eastAsia="宋体" w:cs="宋体"/>
          <w:b w:val="0"/>
          <w:color w:val="000000"/>
          <w:sz w:val="24"/>
          <w:szCs w:val="24"/>
        </w:rPr>
        <w:t>. 工程质量</w:t>
      </w:r>
      <w:bookmarkEnd w:id="538"/>
      <w:bookmarkEnd w:id="539"/>
    </w:p>
    <w:p w14:paraId="4420CDA4">
      <w:pPr>
        <w:spacing w:line="360" w:lineRule="auto"/>
        <w:ind w:firstLine="480" w:firstLineChars="200"/>
        <w:rPr>
          <w:rFonts w:ascii="宋体" w:hAnsi="宋体" w:cs="宋体"/>
          <w:color w:val="000000"/>
          <w:sz w:val="24"/>
        </w:rPr>
      </w:pPr>
      <w:r>
        <w:rPr>
          <w:rFonts w:hint="eastAsia" w:ascii="宋体" w:hAnsi="宋体" w:cs="宋体"/>
          <w:color w:val="000000"/>
          <w:sz w:val="24"/>
        </w:rPr>
        <w:t>5.1 质量要求</w:t>
      </w:r>
    </w:p>
    <w:p w14:paraId="0B09AB71">
      <w:pPr>
        <w:spacing w:line="360" w:lineRule="auto"/>
        <w:ind w:firstLine="480" w:firstLineChars="200"/>
        <w:rPr>
          <w:rFonts w:ascii="宋体" w:hAnsi="宋体" w:cs="宋体"/>
          <w:color w:val="000000"/>
          <w:sz w:val="24"/>
          <w:u w:val="single"/>
        </w:rPr>
      </w:pPr>
      <w:r>
        <w:rPr>
          <w:rFonts w:hint="eastAsia" w:ascii="宋体" w:hAnsi="宋体" w:cs="宋体"/>
          <w:bCs/>
          <w:color w:val="000000"/>
          <w:sz w:val="24"/>
        </w:rPr>
        <w:t xml:space="preserve">5.1.1 </w:t>
      </w:r>
      <w:r>
        <w:rPr>
          <w:rFonts w:hint="eastAsia" w:ascii="宋体" w:hAnsi="宋体" w:cs="宋体"/>
          <w:color w:val="000000"/>
          <w:sz w:val="24"/>
        </w:rPr>
        <w:t>质量</w:t>
      </w:r>
      <w:r>
        <w:rPr>
          <w:rFonts w:hint="eastAsia" w:ascii="宋体" w:hAnsi="宋体" w:cs="宋体"/>
          <w:bCs/>
          <w:color w:val="000000"/>
          <w:sz w:val="24"/>
        </w:rPr>
        <w:t>要求：</w:t>
      </w:r>
      <w:r>
        <w:rPr>
          <w:rFonts w:hint="eastAsia" w:ascii="宋体" w:hAnsi="宋体" w:cs="宋体"/>
          <w:color w:val="000000"/>
          <w:sz w:val="24"/>
          <w:u w:val="single"/>
        </w:rPr>
        <w:t>符合现行国家有关工程施工质量验收规范和标准要求，验收合格。</w:t>
      </w:r>
    </w:p>
    <w:p w14:paraId="74699FA1">
      <w:pPr>
        <w:spacing w:line="360" w:lineRule="auto"/>
        <w:ind w:firstLine="480" w:firstLineChars="200"/>
        <w:rPr>
          <w:rFonts w:ascii="宋体" w:hAnsi="宋体" w:cs="宋体"/>
          <w:color w:val="000000"/>
          <w:sz w:val="24"/>
        </w:rPr>
      </w:pPr>
      <w:r>
        <w:rPr>
          <w:rFonts w:hint="eastAsia" w:ascii="宋体" w:hAnsi="宋体" w:cs="宋体"/>
          <w:color w:val="000000"/>
          <w:sz w:val="24"/>
        </w:rPr>
        <w:t>5</w:t>
      </w:r>
      <w:bookmarkStart w:id="540" w:name="_Toc297216155"/>
      <w:bookmarkStart w:id="541" w:name="_Toc312677997"/>
      <w:bookmarkStart w:id="542" w:name="_Toc297123496"/>
      <w:bookmarkStart w:id="543" w:name="_Toc300934949"/>
      <w:bookmarkStart w:id="544" w:name="_Toc303539106"/>
      <w:bookmarkStart w:id="545" w:name="_Toc304295527"/>
      <w:bookmarkStart w:id="546" w:name="_Toc318581164"/>
      <w:r>
        <w:rPr>
          <w:rFonts w:hint="eastAsia" w:ascii="宋体" w:hAnsi="宋体" w:cs="宋体"/>
          <w:color w:val="000000"/>
          <w:sz w:val="24"/>
        </w:rPr>
        <w:t>.1.2 特殊质量标准和要求：</w:t>
      </w:r>
      <w:r>
        <w:rPr>
          <w:rFonts w:hint="eastAsia" w:ascii="宋体" w:hAnsi="宋体" w:cs="宋体"/>
          <w:color w:val="000000"/>
          <w:sz w:val="24"/>
          <w:u w:val="single"/>
        </w:rPr>
        <w:t xml:space="preserve">    /      </w:t>
      </w:r>
      <w:r>
        <w:rPr>
          <w:rFonts w:hint="eastAsia" w:ascii="宋体" w:hAnsi="宋体" w:cs="宋体"/>
          <w:color w:val="000000"/>
          <w:sz w:val="24"/>
        </w:rPr>
        <w:t>。</w:t>
      </w:r>
    </w:p>
    <w:p w14:paraId="0BCCC29E">
      <w:pPr>
        <w:spacing w:line="360" w:lineRule="auto"/>
        <w:ind w:firstLine="480" w:firstLineChars="200"/>
        <w:rPr>
          <w:rFonts w:ascii="宋体" w:hAnsi="宋体" w:cs="宋体"/>
          <w:color w:val="000000"/>
          <w:sz w:val="24"/>
        </w:rPr>
      </w:pPr>
      <w:r>
        <w:rPr>
          <w:rFonts w:hint="eastAsia" w:ascii="宋体" w:hAnsi="宋体" w:cs="宋体"/>
          <w:color w:val="000000"/>
          <w:sz w:val="24"/>
        </w:rPr>
        <w:t>关于工程奖项的约定：</w:t>
      </w:r>
      <w:r>
        <w:rPr>
          <w:rFonts w:hint="eastAsia" w:ascii="宋体" w:hAnsi="宋体" w:cs="宋体"/>
          <w:color w:val="000000"/>
          <w:sz w:val="24"/>
          <w:u w:val="single"/>
        </w:rPr>
        <w:t xml:space="preserve">      无     </w:t>
      </w:r>
      <w:r>
        <w:rPr>
          <w:rFonts w:hint="eastAsia" w:ascii="宋体" w:hAnsi="宋体" w:cs="宋体"/>
          <w:color w:val="000000"/>
          <w:sz w:val="24"/>
        </w:rPr>
        <w:t>。</w:t>
      </w:r>
    </w:p>
    <w:p w14:paraId="67F45510">
      <w:pPr>
        <w:spacing w:line="360" w:lineRule="auto"/>
        <w:ind w:firstLine="480" w:firstLineChars="200"/>
        <w:rPr>
          <w:rFonts w:ascii="宋体" w:hAnsi="宋体" w:cs="宋体"/>
          <w:color w:val="000000"/>
          <w:sz w:val="24"/>
        </w:rPr>
      </w:pPr>
      <w:r>
        <w:rPr>
          <w:rFonts w:hint="eastAsia" w:ascii="宋体" w:hAnsi="宋体" w:cs="宋体"/>
          <w:color w:val="000000"/>
          <w:sz w:val="24"/>
        </w:rPr>
        <w:t>5.3 隐蔽工程检查</w:t>
      </w:r>
    </w:p>
    <w:p w14:paraId="76D74B17">
      <w:pPr>
        <w:spacing w:line="360" w:lineRule="auto"/>
        <w:ind w:firstLine="480" w:firstLineChars="200"/>
        <w:rPr>
          <w:rFonts w:ascii="宋体" w:hAnsi="宋体" w:cs="宋体"/>
          <w:color w:val="000000"/>
          <w:sz w:val="24"/>
        </w:rPr>
      </w:pPr>
      <w:r>
        <w:rPr>
          <w:rFonts w:hint="eastAsia" w:ascii="宋体" w:hAnsi="宋体" w:cs="宋体"/>
          <w:color w:val="000000"/>
          <w:sz w:val="24"/>
        </w:rPr>
        <w:t>5.3.2 承包人提前通知监理人隐蔽工程检查的期限的约定：</w:t>
      </w:r>
      <w:r>
        <w:rPr>
          <w:rFonts w:hint="eastAsia" w:ascii="宋体" w:hAnsi="宋体" w:cs="宋体"/>
          <w:color w:val="000000"/>
          <w:sz w:val="24"/>
          <w:u w:val="single"/>
        </w:rPr>
        <w:t>承包人应在共同检查前48小时书面通知监理人检查</w:t>
      </w:r>
      <w:r>
        <w:rPr>
          <w:rFonts w:hint="eastAsia" w:ascii="宋体" w:hAnsi="宋体" w:cs="宋体"/>
          <w:color w:val="000000"/>
          <w:sz w:val="24"/>
        </w:rPr>
        <w:t>。</w:t>
      </w:r>
    </w:p>
    <w:p w14:paraId="5F1462A5">
      <w:pPr>
        <w:spacing w:line="360" w:lineRule="auto"/>
        <w:ind w:firstLine="480" w:firstLineChars="200"/>
        <w:rPr>
          <w:rFonts w:ascii="宋体" w:hAnsi="宋体" w:cs="宋体"/>
          <w:color w:val="000000"/>
          <w:sz w:val="24"/>
        </w:rPr>
      </w:pPr>
      <w:r>
        <w:rPr>
          <w:rFonts w:hint="eastAsia" w:ascii="宋体" w:hAnsi="宋体" w:cs="宋体"/>
          <w:color w:val="000000"/>
          <w:sz w:val="24"/>
        </w:rPr>
        <w:t>监理人不能按时进行检查时，应提前</w:t>
      </w:r>
      <w:r>
        <w:rPr>
          <w:rFonts w:hint="eastAsia" w:ascii="宋体" w:hAnsi="宋体" w:cs="宋体"/>
          <w:color w:val="000000"/>
          <w:sz w:val="24"/>
          <w:u w:val="single"/>
        </w:rPr>
        <w:t>24</w:t>
      </w:r>
      <w:r>
        <w:rPr>
          <w:rFonts w:hint="eastAsia" w:ascii="宋体" w:hAnsi="宋体" w:cs="宋体"/>
          <w:color w:val="000000"/>
          <w:sz w:val="24"/>
        </w:rPr>
        <w:t>小时提交书面延期要求。</w:t>
      </w:r>
    </w:p>
    <w:p w14:paraId="4307B67E">
      <w:pPr>
        <w:spacing w:line="360" w:lineRule="auto"/>
        <w:ind w:firstLine="480" w:firstLineChars="200"/>
        <w:rPr>
          <w:rFonts w:ascii="宋体" w:hAnsi="宋体" w:cs="宋体"/>
          <w:color w:val="000000"/>
          <w:sz w:val="24"/>
        </w:rPr>
      </w:pPr>
      <w:r>
        <w:rPr>
          <w:rFonts w:hint="eastAsia" w:ascii="宋体" w:hAnsi="宋体" w:cs="宋体"/>
          <w:color w:val="000000"/>
          <w:sz w:val="24"/>
        </w:rPr>
        <w:t>关于延期最长不得超过：</w:t>
      </w:r>
      <w:r>
        <w:rPr>
          <w:rFonts w:hint="eastAsia" w:ascii="宋体" w:hAnsi="宋体" w:cs="宋体"/>
          <w:color w:val="000000"/>
          <w:sz w:val="24"/>
          <w:u w:val="single"/>
        </w:rPr>
        <w:t>48</w:t>
      </w:r>
      <w:r>
        <w:rPr>
          <w:rFonts w:hint="eastAsia" w:ascii="宋体" w:hAnsi="宋体" w:cs="宋体"/>
          <w:color w:val="000000"/>
          <w:sz w:val="24"/>
        </w:rPr>
        <w:t>小时。</w:t>
      </w:r>
    </w:p>
    <w:p w14:paraId="3F1B39C7">
      <w:pPr>
        <w:pStyle w:val="6"/>
        <w:spacing w:before="0" w:after="0" w:line="360" w:lineRule="auto"/>
        <w:rPr>
          <w:rFonts w:ascii="宋体" w:hAnsi="宋体" w:eastAsia="宋体" w:cs="宋体"/>
          <w:b w:val="0"/>
          <w:color w:val="000000"/>
          <w:sz w:val="24"/>
          <w:szCs w:val="24"/>
        </w:rPr>
      </w:pPr>
      <w:bookmarkStart w:id="547" w:name="_Toc386638612"/>
      <w:bookmarkStart w:id="548" w:name="_Toc351203638"/>
      <w:r>
        <w:rPr>
          <w:rFonts w:hint="eastAsia" w:ascii="宋体" w:hAnsi="宋体" w:eastAsia="宋体" w:cs="宋体"/>
          <w:b w:val="0"/>
          <w:color w:val="000000"/>
          <w:sz w:val="24"/>
          <w:szCs w:val="24"/>
        </w:rPr>
        <w:t>6. 安全文明施工与环境保护</w:t>
      </w:r>
      <w:bookmarkEnd w:id="547"/>
      <w:bookmarkEnd w:id="548"/>
    </w:p>
    <w:p w14:paraId="0A970A1F">
      <w:pPr>
        <w:spacing w:line="360" w:lineRule="auto"/>
        <w:ind w:firstLine="480" w:firstLineChars="200"/>
        <w:rPr>
          <w:rFonts w:ascii="宋体" w:hAnsi="宋体" w:cs="宋体"/>
          <w:color w:val="000000"/>
          <w:sz w:val="24"/>
        </w:rPr>
      </w:pPr>
      <w:r>
        <w:rPr>
          <w:rFonts w:hint="eastAsia" w:ascii="宋体" w:hAnsi="宋体" w:cs="宋体"/>
          <w:color w:val="000000"/>
          <w:sz w:val="24"/>
        </w:rPr>
        <w:t>6.1 安全文明施工</w:t>
      </w:r>
    </w:p>
    <w:p w14:paraId="15D134A7">
      <w:pPr>
        <w:spacing w:line="360" w:lineRule="auto"/>
        <w:ind w:firstLine="480" w:firstLineChars="200"/>
        <w:rPr>
          <w:rFonts w:ascii="宋体" w:hAnsi="宋体" w:cs="宋体"/>
          <w:color w:val="000000"/>
          <w:sz w:val="24"/>
        </w:rPr>
      </w:pPr>
      <w:r>
        <w:rPr>
          <w:rFonts w:hint="eastAsia" w:ascii="宋体" w:hAnsi="宋体" w:cs="宋体"/>
          <w:color w:val="000000"/>
          <w:sz w:val="24"/>
        </w:rPr>
        <w:t>6.1.1 项目安全生产的达标目标及相应事项的约定：</w:t>
      </w:r>
      <w:r>
        <w:rPr>
          <w:rFonts w:hint="eastAsia" w:ascii="宋体" w:hAnsi="宋体" w:cs="宋体"/>
          <w:color w:val="000000"/>
          <w:sz w:val="24"/>
          <w:u w:val="single"/>
        </w:rPr>
        <w:t>合格，若有工伤事故、工料损失和其他任何损失，概由乙方负责</w:t>
      </w:r>
      <w:r>
        <w:rPr>
          <w:rFonts w:hint="eastAsia" w:ascii="宋体" w:hAnsi="宋体" w:cs="宋体"/>
          <w:color w:val="000000"/>
          <w:sz w:val="24"/>
        </w:rPr>
        <w:t>。</w:t>
      </w:r>
    </w:p>
    <w:p w14:paraId="0F2F8AEF">
      <w:pPr>
        <w:spacing w:line="360" w:lineRule="auto"/>
        <w:ind w:firstLine="480" w:firstLineChars="200"/>
        <w:rPr>
          <w:rFonts w:ascii="宋体" w:hAnsi="宋体" w:cs="宋体"/>
          <w:color w:val="000000"/>
          <w:sz w:val="24"/>
        </w:rPr>
      </w:pPr>
      <w:r>
        <w:rPr>
          <w:rFonts w:hint="eastAsia" w:ascii="宋体" w:hAnsi="宋体" w:cs="宋体"/>
          <w:color w:val="000000"/>
          <w:sz w:val="24"/>
        </w:rPr>
        <w:t>6.1.4 关于治安保卫的特别约定：</w:t>
      </w:r>
      <w:r>
        <w:rPr>
          <w:rFonts w:hint="eastAsia" w:ascii="宋体" w:hAnsi="宋体" w:cs="宋体"/>
          <w:color w:val="000000"/>
          <w:sz w:val="24"/>
          <w:u w:val="single"/>
        </w:rPr>
        <w:t xml:space="preserve">         /             </w:t>
      </w:r>
      <w:r>
        <w:rPr>
          <w:rFonts w:hint="eastAsia" w:ascii="宋体" w:hAnsi="宋体" w:cs="宋体"/>
          <w:color w:val="000000"/>
          <w:sz w:val="24"/>
        </w:rPr>
        <w:t>。</w:t>
      </w:r>
    </w:p>
    <w:p w14:paraId="4E449932">
      <w:pPr>
        <w:spacing w:line="360" w:lineRule="auto"/>
        <w:ind w:firstLine="480" w:firstLineChars="200"/>
        <w:rPr>
          <w:rFonts w:ascii="宋体" w:hAnsi="宋体" w:cs="宋体"/>
          <w:color w:val="000000"/>
          <w:sz w:val="24"/>
        </w:rPr>
      </w:pPr>
      <w:r>
        <w:rPr>
          <w:rFonts w:hint="eastAsia" w:ascii="宋体" w:hAnsi="宋体" w:cs="宋体"/>
          <w:color w:val="000000"/>
          <w:sz w:val="24"/>
        </w:rPr>
        <w:t>关于编制施工场地治安管理计划的约定：</w:t>
      </w:r>
      <w:r>
        <w:rPr>
          <w:rFonts w:hint="eastAsia" w:ascii="宋体" w:hAnsi="宋体" w:cs="宋体"/>
          <w:color w:val="000000"/>
          <w:sz w:val="24"/>
          <w:u w:val="single"/>
        </w:rPr>
        <w:t xml:space="preserve">         /       </w:t>
      </w:r>
      <w:r>
        <w:rPr>
          <w:rFonts w:hint="eastAsia" w:ascii="宋体" w:hAnsi="宋体" w:cs="宋体"/>
          <w:color w:val="000000"/>
          <w:sz w:val="24"/>
        </w:rPr>
        <w:t>。</w:t>
      </w:r>
    </w:p>
    <w:p w14:paraId="5445F5D4">
      <w:pPr>
        <w:spacing w:line="360" w:lineRule="auto"/>
        <w:ind w:firstLine="480" w:firstLineChars="200"/>
        <w:rPr>
          <w:rFonts w:ascii="宋体" w:hAnsi="宋体" w:cs="宋体"/>
          <w:color w:val="000000"/>
          <w:sz w:val="24"/>
        </w:rPr>
      </w:pPr>
      <w:r>
        <w:rPr>
          <w:rFonts w:hint="eastAsia" w:ascii="宋体" w:hAnsi="宋体" w:cs="宋体"/>
          <w:color w:val="000000"/>
          <w:sz w:val="24"/>
        </w:rPr>
        <w:t>6.1.5 文明施工</w:t>
      </w:r>
    </w:p>
    <w:p w14:paraId="6D021E7F">
      <w:pPr>
        <w:spacing w:line="360" w:lineRule="auto"/>
        <w:ind w:firstLine="480" w:firstLineChars="200"/>
        <w:rPr>
          <w:rFonts w:ascii="宋体" w:hAnsi="宋体" w:cs="宋体"/>
          <w:color w:val="000000"/>
          <w:sz w:val="24"/>
        </w:rPr>
      </w:pPr>
      <w:r>
        <w:rPr>
          <w:rFonts w:hint="eastAsia" w:ascii="宋体" w:hAnsi="宋体" w:cs="宋体"/>
          <w:color w:val="000000"/>
          <w:sz w:val="24"/>
        </w:rPr>
        <w:t>合同当事人对文明施工的要求：</w:t>
      </w:r>
      <w:r>
        <w:rPr>
          <w:rFonts w:hint="eastAsia" w:ascii="宋体" w:hAnsi="宋体" w:cs="宋体"/>
          <w:color w:val="000000"/>
          <w:sz w:val="24"/>
          <w:u w:val="single"/>
        </w:rPr>
        <w:t>按《宁波市建设工程文明施工管理规定》(宁波建筑府令第195号)、《关于印发宁海县建筑工地扬尘综合整治专项实施方案的通知》(宁建［2013］62号)文件要求执行</w:t>
      </w:r>
      <w:r>
        <w:rPr>
          <w:rFonts w:hint="eastAsia" w:ascii="宋体" w:hAnsi="宋体" w:cs="宋体"/>
          <w:color w:val="000000"/>
          <w:sz w:val="24"/>
        </w:rPr>
        <w:t>。</w:t>
      </w:r>
    </w:p>
    <w:bookmarkEnd w:id="540"/>
    <w:bookmarkEnd w:id="541"/>
    <w:bookmarkEnd w:id="542"/>
    <w:bookmarkEnd w:id="543"/>
    <w:bookmarkEnd w:id="544"/>
    <w:bookmarkEnd w:id="545"/>
    <w:bookmarkEnd w:id="546"/>
    <w:p w14:paraId="0DC2CA08">
      <w:pPr>
        <w:pStyle w:val="6"/>
        <w:spacing w:before="0" w:after="0" w:line="360" w:lineRule="auto"/>
        <w:rPr>
          <w:rFonts w:ascii="宋体" w:hAnsi="宋体" w:eastAsia="宋体" w:cs="宋体"/>
          <w:b w:val="0"/>
          <w:color w:val="000000"/>
          <w:sz w:val="24"/>
          <w:szCs w:val="24"/>
        </w:rPr>
      </w:pPr>
      <w:bookmarkStart w:id="549" w:name="_Toc386638613"/>
      <w:bookmarkStart w:id="550" w:name="_Toc351203639"/>
      <w:r>
        <w:rPr>
          <w:rFonts w:hint="eastAsia" w:ascii="宋体" w:hAnsi="宋体" w:eastAsia="宋体" w:cs="宋体"/>
          <w:b w:val="0"/>
          <w:color w:val="000000"/>
          <w:sz w:val="24"/>
          <w:szCs w:val="24"/>
        </w:rPr>
        <w:t>7. 工期和进度</w:t>
      </w:r>
      <w:bookmarkEnd w:id="549"/>
      <w:bookmarkEnd w:id="550"/>
    </w:p>
    <w:p w14:paraId="46C5E3CA">
      <w:pPr>
        <w:spacing w:line="360" w:lineRule="auto"/>
        <w:ind w:firstLine="480" w:firstLineChars="200"/>
        <w:rPr>
          <w:rFonts w:ascii="宋体" w:hAnsi="宋体" w:cs="宋体"/>
          <w:color w:val="000000"/>
          <w:sz w:val="24"/>
        </w:rPr>
      </w:pPr>
      <w:r>
        <w:rPr>
          <w:rFonts w:hint="eastAsia" w:ascii="宋体" w:hAnsi="宋体" w:cs="宋体"/>
          <w:color w:val="000000"/>
          <w:sz w:val="24"/>
        </w:rPr>
        <w:t>7.1 施工组织设计</w:t>
      </w:r>
    </w:p>
    <w:p w14:paraId="63D0942D">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7.1.1 合同当事人约定的施工组织设计应包括的其他内容：</w:t>
      </w:r>
      <w:r>
        <w:rPr>
          <w:rFonts w:hint="eastAsia" w:ascii="宋体" w:hAnsi="宋体" w:cs="宋体"/>
          <w:color w:val="000000"/>
          <w:sz w:val="24"/>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000000"/>
          <w:sz w:val="24"/>
        </w:rPr>
        <w:t>。</w:t>
      </w:r>
    </w:p>
    <w:p w14:paraId="2B4965E3">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7.1.2 施工组织设计的提交和修改</w:t>
      </w:r>
    </w:p>
    <w:p w14:paraId="3A30858A">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承包人提交详细施工组织设计的期限的约定：</w:t>
      </w:r>
      <w:r>
        <w:rPr>
          <w:rFonts w:hint="eastAsia" w:ascii="宋体" w:hAnsi="宋体" w:cs="宋体"/>
          <w:color w:val="000000"/>
          <w:sz w:val="24"/>
          <w:u w:val="single"/>
        </w:rPr>
        <w:t>合同签订后14天内，但至迟不得晚于开工前7天</w:t>
      </w:r>
      <w:r>
        <w:rPr>
          <w:rFonts w:hint="eastAsia" w:ascii="宋体" w:hAnsi="宋体" w:cs="宋体"/>
          <w:color w:val="000000"/>
          <w:sz w:val="24"/>
        </w:rPr>
        <w:t>。</w:t>
      </w:r>
    </w:p>
    <w:p w14:paraId="4D9F039F">
      <w:pPr>
        <w:spacing w:line="360" w:lineRule="auto"/>
        <w:ind w:firstLine="480" w:firstLineChars="200"/>
        <w:rPr>
          <w:rFonts w:ascii="宋体" w:hAnsi="宋体" w:cs="宋体"/>
          <w:color w:val="000000"/>
          <w:sz w:val="24"/>
        </w:rPr>
      </w:pPr>
      <w:r>
        <w:rPr>
          <w:rFonts w:hint="eastAsia" w:ascii="宋体" w:hAnsi="宋体" w:cs="宋体"/>
          <w:color w:val="000000"/>
          <w:sz w:val="24"/>
        </w:rPr>
        <w:t>发包人和监理人在收到详细的施工组织设计后确认或提出修改意见的期限：</w:t>
      </w:r>
      <w:r>
        <w:rPr>
          <w:rFonts w:hint="eastAsia" w:ascii="宋体" w:hAnsi="宋体" w:cs="宋体"/>
          <w:color w:val="000000"/>
          <w:sz w:val="24"/>
          <w:u w:val="single"/>
        </w:rPr>
        <w:t>收到7天内</w:t>
      </w:r>
      <w:r>
        <w:rPr>
          <w:rFonts w:hint="eastAsia" w:ascii="宋体" w:hAnsi="宋体" w:cs="宋体"/>
          <w:color w:val="000000"/>
          <w:sz w:val="24"/>
        </w:rPr>
        <w:t>。</w:t>
      </w:r>
    </w:p>
    <w:p w14:paraId="4D4B65AD">
      <w:pPr>
        <w:spacing w:line="360" w:lineRule="auto"/>
        <w:ind w:firstLine="480" w:firstLineChars="200"/>
        <w:rPr>
          <w:rFonts w:ascii="宋体" w:hAnsi="宋体" w:cs="宋体"/>
          <w:color w:val="000000"/>
          <w:sz w:val="24"/>
        </w:rPr>
      </w:pPr>
      <w:r>
        <w:rPr>
          <w:rFonts w:hint="eastAsia" w:ascii="宋体" w:hAnsi="宋体" w:cs="宋体"/>
          <w:color w:val="000000"/>
          <w:sz w:val="24"/>
        </w:rPr>
        <w:t>7</w:t>
      </w:r>
      <w:bookmarkStart w:id="551" w:name="_Toc304295541"/>
      <w:bookmarkStart w:id="552" w:name="_Toc297216173"/>
      <w:bookmarkStart w:id="553" w:name="_Toc303539123"/>
      <w:bookmarkStart w:id="554" w:name="_Toc297123514"/>
      <w:bookmarkStart w:id="555" w:name="_Toc312677479"/>
      <w:bookmarkStart w:id="556" w:name="_Toc300934966"/>
      <w:bookmarkStart w:id="557" w:name="_Toc312678005"/>
      <w:r>
        <w:rPr>
          <w:rFonts w:hint="eastAsia" w:ascii="宋体" w:hAnsi="宋体" w:cs="宋体"/>
          <w:color w:val="000000"/>
          <w:sz w:val="24"/>
        </w:rPr>
        <w:t>.2 施工进度计划</w:t>
      </w:r>
    </w:p>
    <w:p w14:paraId="22BE2D6F">
      <w:pPr>
        <w:spacing w:line="360" w:lineRule="auto"/>
        <w:ind w:firstLine="480" w:firstLineChars="200"/>
        <w:rPr>
          <w:rFonts w:ascii="宋体" w:hAnsi="宋体" w:cs="宋体"/>
          <w:color w:val="000000"/>
          <w:sz w:val="24"/>
        </w:rPr>
      </w:pPr>
      <w:r>
        <w:rPr>
          <w:rFonts w:hint="eastAsia" w:ascii="宋体" w:hAnsi="宋体" w:cs="宋体"/>
          <w:color w:val="000000"/>
          <w:sz w:val="24"/>
        </w:rPr>
        <w:t>7.2.2 施工进度计划的修订</w:t>
      </w:r>
    </w:p>
    <w:p w14:paraId="1E258915">
      <w:pPr>
        <w:spacing w:line="360" w:lineRule="auto"/>
        <w:ind w:firstLine="480" w:firstLineChars="200"/>
        <w:rPr>
          <w:rFonts w:ascii="宋体" w:hAnsi="宋体" w:cs="宋体"/>
          <w:color w:val="000000"/>
          <w:sz w:val="24"/>
        </w:rPr>
      </w:pPr>
      <w:r>
        <w:rPr>
          <w:rFonts w:hint="eastAsia" w:ascii="宋体" w:hAnsi="宋体" w:cs="宋体"/>
          <w:color w:val="000000"/>
          <w:sz w:val="24"/>
        </w:rPr>
        <w:t>发包人和监理人在收到修订的施工进度计划后确认或提出修改意见的期限：</w:t>
      </w:r>
      <w:r>
        <w:rPr>
          <w:rFonts w:hint="eastAsia" w:ascii="宋体" w:hAnsi="宋体" w:cs="宋体"/>
          <w:color w:val="000000"/>
          <w:sz w:val="24"/>
          <w:u w:val="single"/>
        </w:rPr>
        <w:t>收到7天内</w:t>
      </w:r>
      <w:r>
        <w:rPr>
          <w:rFonts w:hint="eastAsia" w:ascii="宋体" w:hAnsi="宋体" w:cs="宋体"/>
          <w:color w:val="000000"/>
          <w:sz w:val="24"/>
        </w:rPr>
        <w:t>。</w:t>
      </w:r>
    </w:p>
    <w:p w14:paraId="1633A756">
      <w:pPr>
        <w:spacing w:line="360" w:lineRule="auto"/>
        <w:ind w:firstLine="480" w:firstLineChars="200"/>
        <w:rPr>
          <w:rFonts w:ascii="宋体" w:hAnsi="宋体" w:cs="宋体"/>
          <w:color w:val="000000"/>
          <w:sz w:val="24"/>
        </w:rPr>
      </w:pPr>
      <w:r>
        <w:rPr>
          <w:rFonts w:hint="eastAsia" w:ascii="宋体" w:hAnsi="宋体" w:cs="宋体"/>
          <w:color w:val="000000"/>
          <w:sz w:val="24"/>
        </w:rPr>
        <w:t>7.3 开工</w:t>
      </w:r>
    </w:p>
    <w:p w14:paraId="41A1F135">
      <w:pPr>
        <w:spacing w:line="360" w:lineRule="auto"/>
        <w:ind w:firstLine="480" w:firstLineChars="200"/>
        <w:rPr>
          <w:rFonts w:ascii="宋体" w:hAnsi="宋体" w:cs="宋体"/>
          <w:color w:val="000000"/>
          <w:sz w:val="24"/>
        </w:rPr>
      </w:pPr>
      <w:r>
        <w:rPr>
          <w:rFonts w:hint="eastAsia" w:ascii="宋体" w:hAnsi="宋体" w:cs="宋体"/>
          <w:color w:val="000000"/>
          <w:sz w:val="24"/>
        </w:rPr>
        <w:t>7.3.1 开工准备</w:t>
      </w:r>
    </w:p>
    <w:p w14:paraId="3EBEA48C">
      <w:pPr>
        <w:spacing w:line="360" w:lineRule="auto"/>
        <w:ind w:firstLine="480" w:firstLineChars="200"/>
        <w:rPr>
          <w:rFonts w:ascii="宋体" w:hAnsi="宋体" w:cs="宋体"/>
          <w:color w:val="000000"/>
          <w:sz w:val="24"/>
        </w:rPr>
      </w:pPr>
      <w:r>
        <w:rPr>
          <w:rFonts w:hint="eastAsia" w:ascii="宋体" w:hAnsi="宋体" w:cs="宋体"/>
          <w:color w:val="000000"/>
          <w:sz w:val="24"/>
        </w:rPr>
        <w:t>发包人应按约定完成开工准备工作。</w:t>
      </w:r>
    </w:p>
    <w:p w14:paraId="44913547">
      <w:pPr>
        <w:spacing w:line="360" w:lineRule="auto"/>
        <w:ind w:firstLine="480" w:firstLineChars="200"/>
        <w:rPr>
          <w:rFonts w:ascii="宋体" w:hAnsi="宋体" w:cs="宋体"/>
          <w:color w:val="000000"/>
          <w:sz w:val="24"/>
        </w:rPr>
      </w:pPr>
      <w:r>
        <w:rPr>
          <w:rFonts w:hint="eastAsia" w:ascii="宋体" w:hAnsi="宋体" w:cs="宋体"/>
          <w:color w:val="000000"/>
          <w:sz w:val="24"/>
        </w:rPr>
        <w:t>7.3.2 开工通知</w:t>
      </w:r>
    </w:p>
    <w:p w14:paraId="08939923">
      <w:pPr>
        <w:spacing w:line="360" w:lineRule="auto"/>
        <w:ind w:firstLine="480" w:firstLineChars="200"/>
        <w:rPr>
          <w:rFonts w:ascii="宋体" w:hAnsi="宋体" w:cs="宋体"/>
          <w:color w:val="000000"/>
          <w:sz w:val="24"/>
        </w:rPr>
      </w:pPr>
      <w:r>
        <w:rPr>
          <w:rFonts w:hint="eastAsia" w:ascii="宋体" w:hAnsi="宋体" w:cs="宋体"/>
          <w:color w:val="000000"/>
          <w:sz w:val="24"/>
        </w:rPr>
        <w:t>因发包人原因造成监理人未能在计划开工日期之日起</w:t>
      </w:r>
      <w:r>
        <w:rPr>
          <w:rFonts w:hint="eastAsia" w:ascii="宋体" w:hAnsi="宋体" w:cs="宋体"/>
          <w:color w:val="000000"/>
          <w:sz w:val="24"/>
          <w:u w:val="single"/>
        </w:rPr>
        <w:t xml:space="preserve"> 90 </w:t>
      </w:r>
      <w:r>
        <w:rPr>
          <w:rFonts w:hint="eastAsia" w:ascii="宋体" w:hAnsi="宋体" w:cs="宋体"/>
          <w:color w:val="000000"/>
          <w:sz w:val="24"/>
        </w:rPr>
        <w:t>天内发出开工通知的，承包人有权提出价格调整要求，或者解除合同。</w:t>
      </w:r>
    </w:p>
    <w:bookmarkEnd w:id="551"/>
    <w:bookmarkEnd w:id="552"/>
    <w:bookmarkEnd w:id="553"/>
    <w:bookmarkEnd w:id="554"/>
    <w:bookmarkEnd w:id="555"/>
    <w:bookmarkEnd w:id="556"/>
    <w:bookmarkEnd w:id="557"/>
    <w:p w14:paraId="5374D5D6">
      <w:pPr>
        <w:spacing w:line="360" w:lineRule="auto"/>
        <w:ind w:firstLine="480" w:firstLineChars="200"/>
        <w:rPr>
          <w:rFonts w:ascii="宋体" w:hAnsi="宋体" w:cs="宋体"/>
          <w:color w:val="000000"/>
          <w:sz w:val="24"/>
        </w:rPr>
      </w:pPr>
      <w:r>
        <w:rPr>
          <w:rFonts w:hint="eastAsia" w:ascii="宋体" w:hAnsi="宋体" w:cs="宋体"/>
          <w:color w:val="000000"/>
          <w:sz w:val="24"/>
        </w:rPr>
        <w:t>7.4 测量放线</w:t>
      </w:r>
    </w:p>
    <w:p w14:paraId="3181DFDE">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7.4.1 发包人通过监理人向承包人提供测量基准点、基准线和水准点及其书面资料的期限：</w:t>
      </w:r>
      <w:r>
        <w:rPr>
          <w:rFonts w:hint="eastAsia" w:ascii="宋体" w:hAnsi="宋体" w:cs="宋体"/>
          <w:color w:val="000000"/>
          <w:sz w:val="24"/>
          <w:u w:val="single"/>
        </w:rPr>
        <w:t>不得晚于开工通知中载明的开工日期前7天</w:t>
      </w:r>
      <w:r>
        <w:rPr>
          <w:rFonts w:hint="eastAsia" w:ascii="宋体" w:hAnsi="宋体" w:cs="宋体"/>
          <w:color w:val="000000"/>
          <w:sz w:val="24"/>
        </w:rPr>
        <w:t>。</w:t>
      </w:r>
    </w:p>
    <w:p w14:paraId="0BBE96D0">
      <w:pPr>
        <w:spacing w:line="360" w:lineRule="auto"/>
        <w:ind w:firstLine="480" w:firstLineChars="200"/>
        <w:rPr>
          <w:rFonts w:ascii="宋体" w:hAnsi="宋体" w:cs="宋体"/>
          <w:color w:val="000000"/>
          <w:sz w:val="24"/>
        </w:rPr>
      </w:pPr>
      <w:r>
        <w:rPr>
          <w:rFonts w:hint="eastAsia" w:ascii="宋体" w:hAnsi="宋体" w:cs="宋体"/>
          <w:color w:val="000000"/>
          <w:sz w:val="24"/>
        </w:rPr>
        <w:t>7</w:t>
      </w:r>
      <w:bookmarkStart w:id="558" w:name="_Toc312677484"/>
      <w:bookmarkStart w:id="559" w:name="_Toc312678010"/>
      <w:bookmarkStart w:id="560" w:name="_Toc304295546"/>
      <w:bookmarkStart w:id="561" w:name="_Toc297216175"/>
      <w:bookmarkStart w:id="562" w:name="_Toc300934968"/>
      <w:bookmarkStart w:id="563" w:name="_Toc297123516"/>
      <w:bookmarkStart w:id="564" w:name="_Toc303539125"/>
      <w:r>
        <w:rPr>
          <w:rFonts w:hint="eastAsia" w:ascii="宋体" w:hAnsi="宋体" w:cs="宋体"/>
          <w:color w:val="000000"/>
          <w:sz w:val="24"/>
        </w:rPr>
        <w:t>.5 工期延误</w:t>
      </w:r>
    </w:p>
    <w:bookmarkEnd w:id="558"/>
    <w:bookmarkEnd w:id="559"/>
    <w:bookmarkEnd w:id="560"/>
    <w:bookmarkEnd w:id="561"/>
    <w:bookmarkEnd w:id="562"/>
    <w:bookmarkEnd w:id="563"/>
    <w:bookmarkEnd w:id="564"/>
    <w:p w14:paraId="0863FF05">
      <w:pPr>
        <w:spacing w:line="360" w:lineRule="auto"/>
        <w:ind w:firstLine="480" w:firstLineChars="200"/>
        <w:rPr>
          <w:rFonts w:ascii="宋体" w:hAnsi="宋体" w:cs="宋体"/>
          <w:color w:val="000000"/>
          <w:sz w:val="24"/>
        </w:rPr>
      </w:pPr>
      <w:r>
        <w:rPr>
          <w:rFonts w:hint="eastAsia" w:ascii="宋体" w:hAnsi="宋体" w:cs="宋体"/>
          <w:color w:val="000000"/>
          <w:sz w:val="24"/>
        </w:rPr>
        <w:t>7.5.1 因发包人原因导致工期延误</w:t>
      </w:r>
    </w:p>
    <w:p w14:paraId="24A1557D">
      <w:pPr>
        <w:spacing w:line="360" w:lineRule="auto"/>
        <w:ind w:firstLine="480" w:firstLineChars="200"/>
        <w:rPr>
          <w:rFonts w:ascii="宋体" w:hAnsi="宋体" w:cs="宋体"/>
          <w:color w:val="000000"/>
          <w:sz w:val="24"/>
        </w:rPr>
      </w:pPr>
      <w:r>
        <w:rPr>
          <w:rFonts w:hint="eastAsia" w:ascii="宋体" w:hAnsi="宋体" w:cs="宋体"/>
          <w:color w:val="000000"/>
          <w:sz w:val="24"/>
        </w:rPr>
        <w:t>（7）因发包人原因导致工期延误的其他情形：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59445DA4">
      <w:pPr>
        <w:spacing w:line="360" w:lineRule="auto"/>
        <w:ind w:firstLine="480" w:firstLineChars="200"/>
        <w:rPr>
          <w:rFonts w:ascii="宋体" w:hAnsi="宋体" w:cs="宋体"/>
          <w:color w:val="000000"/>
          <w:sz w:val="24"/>
        </w:rPr>
      </w:pPr>
      <w:r>
        <w:rPr>
          <w:rFonts w:hint="eastAsia" w:ascii="宋体" w:hAnsi="宋体" w:cs="宋体"/>
          <w:color w:val="000000"/>
          <w:sz w:val="24"/>
        </w:rPr>
        <w:t>7</w:t>
      </w:r>
      <w:bookmarkStart w:id="565" w:name="_Toc318581169"/>
      <w:bookmarkStart w:id="566" w:name="_Toc312677486"/>
      <w:bookmarkStart w:id="567" w:name="_Toc312678012"/>
      <w:bookmarkStart w:id="568" w:name="_Toc303539127"/>
      <w:bookmarkStart w:id="569" w:name="_Toc297123518"/>
      <w:bookmarkStart w:id="570" w:name="_Toc300934970"/>
      <w:bookmarkStart w:id="571" w:name="_Toc297216177"/>
      <w:bookmarkStart w:id="572" w:name="_Toc304295548"/>
      <w:r>
        <w:rPr>
          <w:rFonts w:hint="eastAsia" w:ascii="宋体" w:hAnsi="宋体" w:cs="宋体"/>
          <w:color w:val="000000"/>
          <w:sz w:val="24"/>
        </w:rPr>
        <w:t>.5.2 因承包人原因导致工期延误</w:t>
      </w:r>
    </w:p>
    <w:bookmarkEnd w:id="565"/>
    <w:bookmarkEnd w:id="566"/>
    <w:bookmarkEnd w:id="567"/>
    <w:p w14:paraId="31AB1BE2">
      <w:pPr>
        <w:spacing w:line="360" w:lineRule="auto"/>
        <w:ind w:firstLine="480" w:firstLineChars="200"/>
        <w:rPr>
          <w:rFonts w:ascii="宋体" w:hAnsi="宋体" w:cs="宋体"/>
          <w:color w:val="000000"/>
          <w:sz w:val="24"/>
        </w:rPr>
      </w:pPr>
      <w:r>
        <w:rPr>
          <w:rFonts w:hint="eastAsia" w:ascii="宋体" w:hAnsi="宋体" w:cs="宋体"/>
          <w:color w:val="000000"/>
          <w:sz w:val="24"/>
        </w:rPr>
        <w:t>因</w:t>
      </w:r>
      <w:bookmarkStart w:id="573" w:name="_Toc312678013"/>
      <w:bookmarkStart w:id="574" w:name="_Toc312677487"/>
      <w:bookmarkStart w:id="575" w:name="_Toc318581170"/>
      <w:r>
        <w:rPr>
          <w:rFonts w:hint="eastAsia" w:ascii="宋体" w:hAnsi="宋体" w:cs="宋体"/>
          <w:color w:val="000000"/>
          <w:sz w:val="24"/>
        </w:rPr>
        <w:t>承包人原因造成工期延误，逾期竣工违约金的计算方法为：</w:t>
      </w:r>
      <w:r>
        <w:rPr>
          <w:rFonts w:hint="eastAsia" w:ascii="宋体" w:hAnsi="宋体" w:cs="宋体"/>
          <w:color w:val="000000"/>
          <w:sz w:val="24"/>
          <w:u w:val="single"/>
        </w:rPr>
        <w:t>1000元/天</w:t>
      </w:r>
      <w:r>
        <w:rPr>
          <w:rFonts w:hint="eastAsia" w:ascii="宋体" w:hAnsi="宋体" w:cs="宋体"/>
          <w:color w:val="000000"/>
          <w:sz w:val="24"/>
        </w:rPr>
        <w:t>。</w:t>
      </w:r>
      <w:bookmarkEnd w:id="568"/>
      <w:bookmarkEnd w:id="569"/>
      <w:bookmarkEnd w:id="570"/>
      <w:bookmarkEnd w:id="571"/>
      <w:bookmarkEnd w:id="572"/>
      <w:bookmarkEnd w:id="573"/>
      <w:bookmarkEnd w:id="574"/>
    </w:p>
    <w:bookmarkEnd w:id="575"/>
    <w:p w14:paraId="7F841EFB">
      <w:pPr>
        <w:spacing w:line="360" w:lineRule="auto"/>
        <w:ind w:firstLine="480" w:firstLineChars="200"/>
        <w:rPr>
          <w:rFonts w:ascii="宋体" w:hAnsi="宋体" w:cs="宋体"/>
          <w:color w:val="000000"/>
          <w:sz w:val="24"/>
        </w:rPr>
      </w:pPr>
      <w:r>
        <w:rPr>
          <w:rFonts w:hint="eastAsia" w:ascii="宋体" w:hAnsi="宋体" w:cs="宋体"/>
          <w:color w:val="000000"/>
          <w:sz w:val="24"/>
        </w:rPr>
        <w:t>因承包人原因造成工期延误，逾</w:t>
      </w:r>
      <w:bookmarkStart w:id="576" w:name="_Toc318581171"/>
      <w:bookmarkStart w:id="577" w:name="_Toc312678014"/>
      <w:r>
        <w:rPr>
          <w:rFonts w:hint="eastAsia" w:ascii="宋体" w:hAnsi="宋体" w:cs="宋体"/>
          <w:color w:val="000000"/>
          <w:sz w:val="24"/>
        </w:rPr>
        <w:t>期竣工违约金的上限：</w:t>
      </w:r>
      <w:r>
        <w:rPr>
          <w:rFonts w:hint="eastAsia" w:ascii="宋体" w:hAnsi="宋体" w:cs="宋体"/>
          <w:color w:val="000000"/>
          <w:sz w:val="24"/>
          <w:u w:val="single"/>
        </w:rPr>
        <w:t xml:space="preserve"> 合同价款的10%</w:t>
      </w:r>
      <w:r>
        <w:rPr>
          <w:rFonts w:hint="eastAsia" w:ascii="宋体" w:hAnsi="宋体" w:cs="宋体"/>
          <w:sz w:val="24"/>
          <w:u w:val="single"/>
        </w:rPr>
        <w:t xml:space="preserve"> </w:t>
      </w:r>
      <w:r>
        <w:rPr>
          <w:rFonts w:hint="eastAsia" w:ascii="宋体" w:hAnsi="宋体" w:cs="宋体"/>
          <w:color w:val="000000"/>
          <w:sz w:val="24"/>
        </w:rPr>
        <w:t>。</w:t>
      </w:r>
    </w:p>
    <w:bookmarkEnd w:id="576"/>
    <w:bookmarkEnd w:id="577"/>
    <w:p w14:paraId="6F52409F">
      <w:pPr>
        <w:spacing w:line="360" w:lineRule="auto"/>
        <w:ind w:firstLine="480" w:firstLineChars="200"/>
        <w:rPr>
          <w:rFonts w:ascii="宋体" w:hAnsi="宋体" w:cs="宋体"/>
          <w:color w:val="000000"/>
          <w:sz w:val="24"/>
        </w:rPr>
      </w:pPr>
      <w:r>
        <w:rPr>
          <w:rFonts w:hint="eastAsia" w:ascii="宋体" w:hAnsi="宋体" w:cs="宋体"/>
          <w:color w:val="000000"/>
          <w:sz w:val="24"/>
        </w:rPr>
        <w:t>7</w:t>
      </w:r>
      <w:bookmarkStart w:id="578" w:name="_Toc297216178"/>
      <w:bookmarkStart w:id="579" w:name="_Toc303539128"/>
      <w:bookmarkStart w:id="580" w:name="_Toc312678015"/>
      <w:bookmarkStart w:id="581" w:name="_Toc304295549"/>
      <w:bookmarkStart w:id="582" w:name="_Toc297123519"/>
      <w:bookmarkStart w:id="583" w:name="_Toc300934971"/>
      <w:r>
        <w:rPr>
          <w:rFonts w:hint="eastAsia" w:ascii="宋体" w:hAnsi="宋体" w:cs="宋体"/>
          <w:color w:val="000000"/>
          <w:sz w:val="24"/>
        </w:rPr>
        <w:t>.6 不</w:t>
      </w:r>
      <w:bookmarkEnd w:id="578"/>
      <w:bookmarkEnd w:id="579"/>
      <w:bookmarkEnd w:id="580"/>
      <w:bookmarkEnd w:id="581"/>
      <w:bookmarkEnd w:id="582"/>
      <w:bookmarkEnd w:id="583"/>
      <w:r>
        <w:rPr>
          <w:rFonts w:hint="eastAsia" w:ascii="宋体" w:hAnsi="宋体" w:cs="宋体"/>
          <w:color w:val="000000"/>
          <w:sz w:val="24"/>
        </w:rPr>
        <w:t>利物质条件</w:t>
      </w:r>
    </w:p>
    <w:p w14:paraId="42C3CA0E">
      <w:pPr>
        <w:spacing w:line="360" w:lineRule="auto"/>
        <w:ind w:firstLine="480" w:firstLineChars="200"/>
        <w:rPr>
          <w:rFonts w:ascii="宋体" w:hAnsi="宋体" w:cs="宋体"/>
          <w:color w:val="000000"/>
          <w:sz w:val="24"/>
          <w:u w:val="single"/>
        </w:rPr>
      </w:pPr>
      <w:bookmarkStart w:id="584" w:name="_Toc297123520"/>
      <w:bookmarkStart w:id="585" w:name="_Toc312678016"/>
      <w:bookmarkStart w:id="586" w:name="_Toc318581172"/>
      <w:bookmarkStart w:id="587" w:name="_Toc300934972"/>
      <w:bookmarkStart w:id="588" w:name="_Toc303539129"/>
      <w:bookmarkStart w:id="589" w:name="_Toc304295550"/>
      <w:bookmarkStart w:id="590" w:name="_Toc297216179"/>
      <w:r>
        <w:rPr>
          <w:rFonts w:hint="eastAsia" w:ascii="宋体" w:hAnsi="宋体" w:cs="宋体"/>
          <w:color w:val="000000"/>
          <w:sz w:val="24"/>
        </w:rPr>
        <w:t>不利物质条件的其他情形和有关约定：</w:t>
      </w:r>
      <w:bookmarkEnd w:id="584"/>
      <w:bookmarkEnd w:id="585"/>
      <w:bookmarkEnd w:id="586"/>
      <w:bookmarkEnd w:id="587"/>
      <w:bookmarkEnd w:id="588"/>
      <w:bookmarkEnd w:id="589"/>
      <w:bookmarkEnd w:id="590"/>
      <w:r>
        <w:rPr>
          <w:rFonts w:hint="eastAsia" w:ascii="宋体" w:hAnsi="宋体" w:cs="宋体"/>
          <w:color w:val="000000"/>
          <w:sz w:val="24"/>
          <w:u w:val="single"/>
        </w:rPr>
        <w:t xml:space="preserve">            /              </w:t>
      </w:r>
      <w:r>
        <w:rPr>
          <w:rFonts w:hint="eastAsia" w:ascii="宋体" w:hAnsi="宋体" w:cs="宋体"/>
          <w:color w:val="000000"/>
          <w:sz w:val="24"/>
        </w:rPr>
        <w:t>。</w:t>
      </w:r>
    </w:p>
    <w:p w14:paraId="4EBF0FEA">
      <w:pPr>
        <w:spacing w:line="360" w:lineRule="auto"/>
        <w:ind w:firstLine="480" w:firstLineChars="200"/>
        <w:rPr>
          <w:rFonts w:ascii="宋体" w:hAnsi="宋体" w:cs="宋体"/>
          <w:color w:val="000000"/>
          <w:sz w:val="24"/>
        </w:rPr>
      </w:pPr>
      <w:r>
        <w:rPr>
          <w:rFonts w:hint="eastAsia" w:ascii="宋体" w:hAnsi="宋体" w:cs="宋体"/>
          <w:color w:val="000000"/>
          <w:sz w:val="24"/>
        </w:rPr>
        <w:t>7</w:t>
      </w:r>
      <w:bookmarkStart w:id="591" w:name="_Toc297123521"/>
      <w:bookmarkStart w:id="592" w:name="_Toc297216180"/>
      <w:bookmarkStart w:id="593" w:name="_Toc300934973"/>
      <w:bookmarkStart w:id="594" w:name="_Toc303539130"/>
      <w:bookmarkStart w:id="595" w:name="_Toc304295551"/>
      <w:bookmarkStart w:id="596" w:name="_Toc312678017"/>
      <w:r>
        <w:rPr>
          <w:rFonts w:hint="eastAsia" w:ascii="宋体" w:hAnsi="宋体" w:cs="宋体"/>
          <w:color w:val="000000"/>
          <w:sz w:val="24"/>
        </w:rPr>
        <w:t>.7 异常恶劣的气候条件</w:t>
      </w:r>
      <w:bookmarkEnd w:id="591"/>
      <w:bookmarkEnd w:id="592"/>
      <w:bookmarkEnd w:id="593"/>
      <w:bookmarkEnd w:id="594"/>
      <w:bookmarkEnd w:id="595"/>
      <w:bookmarkEnd w:id="596"/>
      <w:r>
        <w:rPr>
          <w:rFonts w:hint="eastAsia" w:ascii="宋体" w:hAnsi="宋体" w:cs="宋体"/>
          <w:color w:val="000000"/>
          <w:sz w:val="24"/>
          <w:u w:val="single"/>
        </w:rPr>
        <w:t xml:space="preserve">                /                      </w:t>
      </w:r>
      <w:r>
        <w:rPr>
          <w:rFonts w:hint="eastAsia" w:ascii="宋体" w:hAnsi="宋体" w:cs="宋体"/>
          <w:color w:val="000000"/>
          <w:sz w:val="24"/>
        </w:rPr>
        <w:t>。</w:t>
      </w:r>
    </w:p>
    <w:p w14:paraId="3795638E">
      <w:pPr>
        <w:spacing w:line="360" w:lineRule="auto"/>
        <w:ind w:firstLine="480" w:firstLineChars="200"/>
        <w:rPr>
          <w:rFonts w:ascii="宋体" w:hAnsi="宋体" w:cs="宋体"/>
          <w:color w:val="000000"/>
          <w:sz w:val="24"/>
        </w:rPr>
      </w:pPr>
      <w:r>
        <w:rPr>
          <w:rFonts w:hint="eastAsia" w:ascii="宋体" w:hAnsi="宋体" w:cs="宋体"/>
          <w:color w:val="000000"/>
          <w:sz w:val="24"/>
        </w:rPr>
        <w:t>7.9 提前竣工的奖励</w:t>
      </w:r>
    </w:p>
    <w:p w14:paraId="182014AD">
      <w:pPr>
        <w:spacing w:line="360" w:lineRule="auto"/>
        <w:ind w:firstLine="480" w:firstLineChars="200"/>
        <w:rPr>
          <w:rFonts w:ascii="宋体" w:hAnsi="宋体" w:cs="宋体"/>
          <w:color w:val="000000"/>
          <w:sz w:val="24"/>
        </w:rPr>
      </w:pPr>
      <w:r>
        <w:rPr>
          <w:rFonts w:hint="eastAsia" w:ascii="宋体" w:hAnsi="宋体" w:cs="宋体"/>
          <w:color w:val="000000"/>
          <w:sz w:val="24"/>
        </w:rPr>
        <w:t>7.9.2 提前竣工的奖励：</w:t>
      </w:r>
      <w:r>
        <w:rPr>
          <w:rFonts w:hint="eastAsia" w:ascii="宋体" w:hAnsi="宋体" w:cs="宋体"/>
          <w:color w:val="000000"/>
          <w:sz w:val="24"/>
          <w:u w:val="single"/>
        </w:rPr>
        <w:t xml:space="preserve">                  /                    </w:t>
      </w:r>
      <w:r>
        <w:rPr>
          <w:rFonts w:hint="eastAsia" w:ascii="宋体" w:hAnsi="宋体" w:cs="宋体"/>
          <w:color w:val="000000"/>
          <w:sz w:val="24"/>
        </w:rPr>
        <w:t>。</w:t>
      </w:r>
    </w:p>
    <w:p w14:paraId="63577F44">
      <w:pPr>
        <w:pStyle w:val="6"/>
        <w:keepNext w:val="0"/>
        <w:keepLines w:val="0"/>
        <w:spacing w:before="0" w:after="0" w:line="360" w:lineRule="auto"/>
        <w:rPr>
          <w:rFonts w:ascii="宋体" w:hAnsi="宋体" w:eastAsia="宋体" w:cs="宋体"/>
          <w:b w:val="0"/>
          <w:color w:val="000000"/>
          <w:sz w:val="24"/>
          <w:szCs w:val="24"/>
        </w:rPr>
      </w:pPr>
      <w:bookmarkStart w:id="597" w:name="_Toc386638614"/>
      <w:bookmarkStart w:id="598" w:name="_Toc351203640"/>
      <w:r>
        <w:rPr>
          <w:rFonts w:hint="eastAsia" w:ascii="宋体" w:hAnsi="宋体" w:eastAsia="宋体" w:cs="宋体"/>
          <w:b w:val="0"/>
          <w:color w:val="000000"/>
          <w:sz w:val="24"/>
          <w:szCs w:val="24"/>
        </w:rPr>
        <w:t>8. 材料与设备</w:t>
      </w:r>
      <w:bookmarkEnd w:id="597"/>
      <w:bookmarkEnd w:id="598"/>
    </w:p>
    <w:bookmarkEnd w:id="431"/>
    <w:bookmarkEnd w:id="432"/>
    <w:bookmarkEnd w:id="433"/>
    <w:bookmarkEnd w:id="434"/>
    <w:bookmarkEnd w:id="435"/>
    <w:bookmarkEnd w:id="436"/>
    <w:bookmarkEnd w:id="437"/>
    <w:bookmarkEnd w:id="438"/>
    <w:bookmarkEnd w:id="439"/>
    <w:bookmarkEnd w:id="440"/>
    <w:p w14:paraId="14057ACF">
      <w:pPr>
        <w:spacing w:line="360" w:lineRule="auto"/>
        <w:ind w:firstLine="480" w:firstLineChars="200"/>
        <w:rPr>
          <w:rFonts w:ascii="宋体" w:hAnsi="宋体" w:cs="宋体"/>
          <w:color w:val="000000"/>
          <w:sz w:val="24"/>
        </w:rPr>
      </w:pPr>
      <w:r>
        <w:rPr>
          <w:rFonts w:hint="eastAsia" w:ascii="宋体" w:hAnsi="宋体" w:cs="宋体"/>
          <w:color w:val="000000"/>
          <w:sz w:val="24"/>
        </w:rPr>
        <w:t>8</w:t>
      </w:r>
      <w:bookmarkStart w:id="599" w:name="_Toc303539136"/>
      <w:bookmarkStart w:id="600" w:name="_Toc297048353"/>
      <w:bookmarkStart w:id="601" w:name="_Toc292559877"/>
      <w:bookmarkStart w:id="602" w:name="_Toc297123527"/>
      <w:bookmarkStart w:id="603" w:name="_Toc296347166"/>
      <w:bookmarkStart w:id="604" w:name="_Toc304295556"/>
      <w:bookmarkStart w:id="605" w:name="_Toc300934979"/>
      <w:bookmarkStart w:id="606" w:name="_Toc296346668"/>
      <w:bookmarkStart w:id="607" w:name="_Toc312678019"/>
      <w:bookmarkStart w:id="608" w:name="_Toc296944506"/>
      <w:bookmarkStart w:id="609" w:name="_Toc292559372"/>
      <w:bookmarkStart w:id="610" w:name="_Toc296890995"/>
      <w:bookmarkStart w:id="611" w:name="_Toc280868654"/>
      <w:bookmarkStart w:id="612" w:name="_Toc296891207"/>
      <w:bookmarkStart w:id="613" w:name="_Toc296503167"/>
      <w:bookmarkStart w:id="614" w:name="_Toc297216186"/>
      <w:bookmarkStart w:id="615" w:name="_Toc312677493"/>
      <w:bookmarkStart w:id="616" w:name="_Toc297120467"/>
      <w:bookmarkStart w:id="617" w:name="_Toc267251424"/>
      <w:bookmarkStart w:id="618" w:name="_Toc280868656"/>
      <w:bookmarkStart w:id="619" w:name="_Toc280868655"/>
      <w:r>
        <w:rPr>
          <w:rFonts w:hint="eastAsia" w:ascii="宋体" w:hAnsi="宋体" w:cs="宋体"/>
          <w:color w:val="000000"/>
          <w:sz w:val="24"/>
        </w:rPr>
        <w:t>.4 材料与工程设备的保管与使用</w:t>
      </w:r>
    </w:p>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14:paraId="5C426591">
      <w:pPr>
        <w:spacing w:line="360" w:lineRule="auto"/>
        <w:ind w:firstLine="480" w:firstLineChars="200"/>
        <w:rPr>
          <w:rFonts w:ascii="宋体" w:hAnsi="宋体" w:cs="宋体"/>
          <w:color w:val="000000"/>
          <w:sz w:val="24"/>
        </w:rPr>
      </w:pPr>
      <w:r>
        <w:rPr>
          <w:rFonts w:hint="eastAsia" w:ascii="宋体" w:hAnsi="宋体" w:cs="宋体"/>
          <w:color w:val="000000"/>
          <w:sz w:val="24"/>
        </w:rPr>
        <w:t>8</w:t>
      </w:r>
      <w:bookmarkStart w:id="620" w:name="_Toc292559373"/>
      <w:bookmarkStart w:id="621" w:name="_Toc292559878"/>
      <w:bookmarkStart w:id="622" w:name="_Toc297123528"/>
      <w:bookmarkStart w:id="623" w:name="_Toc296347167"/>
      <w:bookmarkStart w:id="624" w:name="_Toc312677494"/>
      <w:bookmarkStart w:id="625" w:name="_Toc297120468"/>
      <w:bookmarkStart w:id="626" w:name="_Toc296891208"/>
      <w:bookmarkStart w:id="627" w:name="_Toc297216187"/>
      <w:bookmarkStart w:id="628" w:name="_Toc300934980"/>
      <w:bookmarkStart w:id="629" w:name="_Toc303539137"/>
      <w:bookmarkStart w:id="630" w:name="_Toc312678020"/>
      <w:bookmarkStart w:id="631" w:name="_Toc296346669"/>
      <w:bookmarkStart w:id="632" w:name="_Toc304295557"/>
      <w:bookmarkStart w:id="633" w:name="_Toc296944507"/>
      <w:bookmarkStart w:id="634" w:name="_Toc296503168"/>
      <w:bookmarkStart w:id="635" w:name="_Toc296890996"/>
      <w:bookmarkStart w:id="636" w:name="_Toc318581173"/>
      <w:bookmarkStart w:id="637" w:name="_Toc297048354"/>
      <w:r>
        <w:rPr>
          <w:rFonts w:hint="eastAsia" w:ascii="宋体" w:hAnsi="宋体" w:cs="宋体"/>
          <w:color w:val="000000"/>
          <w:sz w:val="24"/>
        </w:rPr>
        <w:t>.4.1 发包人供应的材料设备的保管费用的承担：</w:t>
      </w:r>
      <w:r>
        <w:rPr>
          <w:rFonts w:hint="eastAsia" w:ascii="宋体" w:hAnsi="宋体" w:cs="宋体"/>
          <w:color w:val="000000"/>
          <w:sz w:val="24"/>
          <w:u w:val="single"/>
        </w:rPr>
        <w:t xml:space="preserve">        /        </w:t>
      </w:r>
      <w:r>
        <w:rPr>
          <w:rFonts w:hint="eastAsia" w:ascii="宋体" w:hAnsi="宋体" w:cs="宋体"/>
          <w:color w:val="000000"/>
          <w:sz w:val="24"/>
        </w:rPr>
        <w:t>。</w:t>
      </w:r>
      <w:bookmarkEnd w:id="620"/>
      <w:bookmarkEnd w:id="621"/>
    </w:p>
    <w:p w14:paraId="0DF5A8DA">
      <w:pPr>
        <w:spacing w:line="360" w:lineRule="auto"/>
        <w:ind w:firstLine="480" w:firstLineChars="200"/>
        <w:rPr>
          <w:rFonts w:ascii="宋体" w:hAnsi="宋体" w:cs="宋体"/>
          <w:color w:val="000000"/>
          <w:sz w:val="24"/>
        </w:rPr>
      </w:pPr>
      <w:r>
        <w:rPr>
          <w:rFonts w:hint="eastAsia" w:ascii="宋体" w:hAnsi="宋体" w:cs="宋体"/>
          <w:color w:val="000000"/>
          <w:sz w:val="24"/>
        </w:rPr>
        <w:t>8.6 样品</w:t>
      </w:r>
    </w:p>
    <w:p w14:paraId="377C6C7E">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8.6.1 样品的报送与封存</w:t>
      </w:r>
    </w:p>
    <w:p w14:paraId="11B9624B">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需要承包人报送样品的材料或工程设备，样品的种类、名称、规格、数量要求：</w:t>
      </w:r>
    </w:p>
    <w:p w14:paraId="2C9B0226">
      <w:pPr>
        <w:autoSpaceDE w:val="0"/>
        <w:autoSpaceDN w:val="0"/>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 xml:space="preserve">                     /                                </w:t>
      </w:r>
    </w:p>
    <w:p w14:paraId="0E8841C0">
      <w:pPr>
        <w:spacing w:line="360" w:lineRule="auto"/>
        <w:ind w:firstLine="480" w:firstLineChars="200"/>
        <w:rPr>
          <w:rFonts w:ascii="宋体" w:hAnsi="宋体" w:cs="宋体"/>
          <w:color w:val="000000"/>
          <w:sz w:val="24"/>
        </w:rPr>
      </w:pPr>
      <w:r>
        <w:rPr>
          <w:rFonts w:hint="eastAsia" w:ascii="宋体" w:hAnsi="宋体" w:cs="宋体"/>
          <w:color w:val="000000"/>
          <w:sz w:val="24"/>
        </w:rPr>
        <w:t>8.8 施工设备和临时设施</w:t>
      </w:r>
    </w:p>
    <w:p w14:paraId="482A8F23">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8.8.1 承包人提供的施工设备和临时设施</w:t>
      </w:r>
    </w:p>
    <w:p w14:paraId="633DB232">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关于修建临时设施费用承担的约定：</w:t>
      </w:r>
      <w:r>
        <w:rPr>
          <w:rFonts w:hint="eastAsia" w:ascii="宋体" w:hAnsi="宋体" w:cs="宋体"/>
          <w:color w:val="000000"/>
          <w:sz w:val="24"/>
          <w:u w:val="single"/>
        </w:rPr>
        <w:t xml:space="preserve"> 由承包人自行承担 </w:t>
      </w:r>
      <w:r>
        <w:rPr>
          <w:rFonts w:hint="eastAsia" w:ascii="宋体" w:hAnsi="宋体" w:cs="宋体"/>
          <w:color w:val="000000"/>
          <w:sz w:val="24"/>
        </w:rPr>
        <w:t>。</w:t>
      </w:r>
    </w:p>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14:paraId="1DFDD91C">
      <w:pPr>
        <w:pStyle w:val="6"/>
        <w:keepNext w:val="0"/>
        <w:keepLines w:val="0"/>
        <w:spacing w:before="0" w:after="0" w:line="360" w:lineRule="auto"/>
        <w:rPr>
          <w:rFonts w:ascii="宋体" w:hAnsi="宋体" w:eastAsia="宋体" w:cs="宋体"/>
          <w:b w:val="0"/>
          <w:color w:val="000000"/>
          <w:sz w:val="24"/>
          <w:szCs w:val="24"/>
        </w:rPr>
      </w:pPr>
      <w:bookmarkStart w:id="638" w:name="_Toc386638615"/>
      <w:bookmarkStart w:id="639" w:name="_Toc351203641"/>
      <w:r>
        <w:rPr>
          <w:rFonts w:hint="eastAsia" w:ascii="宋体" w:hAnsi="宋体" w:eastAsia="宋体" w:cs="宋体"/>
          <w:b w:val="0"/>
          <w:color w:val="000000"/>
          <w:sz w:val="24"/>
          <w:szCs w:val="24"/>
        </w:rPr>
        <w:t>9</w:t>
      </w:r>
      <w:bookmarkEnd w:id="617"/>
      <w:bookmarkEnd w:id="618"/>
      <w:bookmarkEnd w:id="619"/>
      <w:bookmarkStart w:id="640" w:name="_Toc312677495"/>
      <w:bookmarkStart w:id="641" w:name="_Toc304295559"/>
      <w:bookmarkStart w:id="642" w:name="_Toc312678021"/>
      <w:bookmarkStart w:id="643" w:name="_Toc300934982"/>
      <w:bookmarkStart w:id="644" w:name="_Toc297123533"/>
      <w:bookmarkStart w:id="645" w:name="_Toc297216192"/>
      <w:bookmarkStart w:id="646" w:name="_Toc303539139"/>
      <w:bookmarkStart w:id="647" w:name="_Toc296347172"/>
      <w:bookmarkStart w:id="648" w:name="_Toc296891001"/>
      <w:bookmarkStart w:id="649" w:name="_Toc292559378"/>
      <w:bookmarkStart w:id="650" w:name="_Toc292559883"/>
      <w:bookmarkStart w:id="651" w:name="_Toc297120473"/>
      <w:bookmarkStart w:id="652" w:name="_Toc296944512"/>
      <w:bookmarkStart w:id="653" w:name="_Toc296891213"/>
      <w:bookmarkStart w:id="654" w:name="_Toc296346674"/>
      <w:bookmarkStart w:id="655" w:name="_Toc297048359"/>
      <w:bookmarkStart w:id="656" w:name="_Toc267251428"/>
      <w:bookmarkStart w:id="657" w:name="_Toc267251427"/>
      <w:bookmarkStart w:id="658" w:name="_Toc296503173"/>
      <w:r>
        <w:rPr>
          <w:rFonts w:hint="eastAsia" w:ascii="宋体" w:hAnsi="宋体" w:eastAsia="宋体" w:cs="宋体"/>
          <w:b w:val="0"/>
          <w:color w:val="000000"/>
          <w:sz w:val="24"/>
          <w:szCs w:val="24"/>
        </w:rPr>
        <w:t>. 试验与检验</w:t>
      </w:r>
      <w:bookmarkEnd w:id="638"/>
      <w:bookmarkEnd w:id="639"/>
    </w:p>
    <w:bookmarkEnd w:id="640"/>
    <w:bookmarkEnd w:id="641"/>
    <w:bookmarkEnd w:id="642"/>
    <w:bookmarkEnd w:id="643"/>
    <w:bookmarkEnd w:id="644"/>
    <w:bookmarkEnd w:id="645"/>
    <w:bookmarkEnd w:id="646"/>
    <w:p w14:paraId="3E8F7275">
      <w:pPr>
        <w:spacing w:line="360" w:lineRule="auto"/>
        <w:ind w:firstLine="480" w:firstLineChars="200"/>
        <w:rPr>
          <w:rFonts w:ascii="宋体" w:hAnsi="宋体" w:cs="宋体"/>
          <w:color w:val="000000"/>
          <w:sz w:val="24"/>
        </w:rPr>
      </w:pPr>
      <w:r>
        <w:rPr>
          <w:rFonts w:hint="eastAsia" w:ascii="宋体" w:hAnsi="宋体" w:cs="宋体"/>
          <w:color w:val="000000"/>
          <w:sz w:val="24"/>
        </w:rPr>
        <w:t>9</w:t>
      </w:r>
      <w:bookmarkStart w:id="659" w:name="_Toc303539140"/>
      <w:bookmarkStart w:id="660" w:name="_Toc312678022"/>
      <w:bookmarkStart w:id="661" w:name="_Toc300934983"/>
      <w:bookmarkStart w:id="662" w:name="_Toc297123534"/>
      <w:bookmarkStart w:id="663" w:name="_Toc297216193"/>
      <w:bookmarkStart w:id="664" w:name="_Toc312677496"/>
      <w:bookmarkStart w:id="665" w:name="_Toc304295560"/>
      <w:r>
        <w:rPr>
          <w:rFonts w:hint="eastAsia" w:ascii="宋体" w:hAnsi="宋体" w:cs="宋体"/>
          <w:color w:val="000000"/>
          <w:sz w:val="24"/>
        </w:rPr>
        <w:t>.1 试验设备与试验人员</w:t>
      </w:r>
    </w:p>
    <w:bookmarkEnd w:id="659"/>
    <w:bookmarkEnd w:id="660"/>
    <w:bookmarkEnd w:id="661"/>
    <w:bookmarkEnd w:id="662"/>
    <w:bookmarkEnd w:id="663"/>
    <w:bookmarkEnd w:id="664"/>
    <w:bookmarkEnd w:id="665"/>
    <w:p w14:paraId="72235670">
      <w:pPr>
        <w:spacing w:line="360" w:lineRule="auto"/>
        <w:ind w:firstLine="480" w:firstLineChars="200"/>
        <w:rPr>
          <w:rFonts w:ascii="宋体" w:hAnsi="宋体" w:cs="宋体"/>
          <w:color w:val="000000"/>
          <w:sz w:val="24"/>
        </w:rPr>
      </w:pPr>
      <w:r>
        <w:rPr>
          <w:rFonts w:hint="eastAsia" w:ascii="宋体" w:hAnsi="宋体" w:cs="宋体"/>
          <w:color w:val="000000"/>
          <w:sz w:val="24"/>
        </w:rPr>
        <w:t>9</w:t>
      </w:r>
      <w:bookmarkStart w:id="666" w:name="_Toc297123535"/>
      <w:bookmarkStart w:id="667" w:name="_Toc300934984"/>
      <w:bookmarkStart w:id="668" w:name="_Toc297216194"/>
      <w:bookmarkStart w:id="669" w:name="_Toc303539141"/>
      <w:bookmarkStart w:id="670" w:name="_Toc312678023"/>
      <w:bookmarkStart w:id="671" w:name="_Toc312677497"/>
      <w:bookmarkStart w:id="672" w:name="_Toc304295561"/>
      <w:bookmarkStart w:id="673" w:name="_Toc318581174"/>
      <w:r>
        <w:rPr>
          <w:rFonts w:hint="eastAsia" w:ascii="宋体" w:hAnsi="宋体" w:cs="宋体"/>
          <w:color w:val="000000"/>
          <w:sz w:val="24"/>
        </w:rPr>
        <w:t>.1.2 试验设备</w:t>
      </w:r>
    </w:p>
    <w:p w14:paraId="7B697D4D">
      <w:pPr>
        <w:spacing w:line="360" w:lineRule="auto"/>
        <w:ind w:firstLine="480" w:firstLineChars="200"/>
        <w:rPr>
          <w:rFonts w:ascii="宋体" w:hAnsi="宋体" w:cs="宋体"/>
          <w:color w:val="000000"/>
          <w:sz w:val="24"/>
        </w:rPr>
      </w:pPr>
      <w:r>
        <w:rPr>
          <w:rFonts w:hint="eastAsia" w:ascii="宋体" w:hAnsi="宋体" w:cs="宋体"/>
          <w:color w:val="000000"/>
          <w:sz w:val="24"/>
        </w:rPr>
        <w:t>施工现场需要配置的试验场所：</w:t>
      </w:r>
      <w:bookmarkEnd w:id="666"/>
      <w:bookmarkEnd w:id="667"/>
      <w:bookmarkEnd w:id="668"/>
      <w:bookmarkEnd w:id="669"/>
      <w:bookmarkEnd w:id="670"/>
      <w:bookmarkEnd w:id="671"/>
      <w:bookmarkEnd w:id="672"/>
      <w:bookmarkStart w:id="674" w:name="_Toc312678024"/>
      <w:bookmarkStart w:id="675" w:name="_Toc304295562"/>
      <w:bookmarkStart w:id="676" w:name="_Toc312677498"/>
      <w:bookmarkStart w:id="677" w:name="_Toc300934985"/>
      <w:bookmarkStart w:id="678" w:name="_Toc297123536"/>
      <w:bookmarkStart w:id="679" w:name="_Toc303539142"/>
      <w:bookmarkStart w:id="680" w:name="_Toc297216195"/>
      <w:r>
        <w:rPr>
          <w:rFonts w:hint="eastAsia" w:ascii="宋体" w:hAnsi="宋体" w:cs="宋体"/>
          <w:color w:val="000000"/>
          <w:sz w:val="24"/>
          <w:u w:val="single"/>
        </w:rPr>
        <w:t xml:space="preserve">        /           </w:t>
      </w:r>
      <w:r>
        <w:rPr>
          <w:rFonts w:hint="eastAsia" w:ascii="宋体" w:hAnsi="宋体" w:cs="宋体"/>
          <w:color w:val="000000"/>
          <w:sz w:val="24"/>
        </w:rPr>
        <w:t>。</w:t>
      </w:r>
    </w:p>
    <w:p w14:paraId="65651C52">
      <w:pPr>
        <w:spacing w:line="360" w:lineRule="auto"/>
        <w:ind w:firstLine="480" w:firstLineChars="200"/>
        <w:rPr>
          <w:rFonts w:ascii="宋体" w:hAnsi="宋体" w:cs="宋体"/>
          <w:color w:val="000000"/>
          <w:sz w:val="24"/>
        </w:rPr>
      </w:pPr>
      <w:r>
        <w:rPr>
          <w:rFonts w:hint="eastAsia" w:ascii="宋体" w:hAnsi="宋体" w:cs="宋体"/>
          <w:color w:val="000000"/>
          <w:sz w:val="24"/>
        </w:rPr>
        <w:t>施工现场需要配备的试验设备：</w:t>
      </w:r>
      <w:r>
        <w:rPr>
          <w:rFonts w:hint="eastAsia" w:ascii="宋体" w:hAnsi="宋体" w:cs="宋体"/>
          <w:color w:val="000000"/>
          <w:sz w:val="24"/>
          <w:u w:val="single"/>
        </w:rPr>
        <w:t xml:space="preserve">         /          </w:t>
      </w:r>
      <w:r>
        <w:rPr>
          <w:rFonts w:hint="eastAsia" w:ascii="宋体" w:hAnsi="宋体" w:cs="宋体"/>
          <w:color w:val="000000"/>
          <w:sz w:val="24"/>
        </w:rPr>
        <w:t>。</w:t>
      </w:r>
    </w:p>
    <w:p w14:paraId="53C7759B">
      <w:pPr>
        <w:spacing w:line="360" w:lineRule="auto"/>
        <w:ind w:firstLine="480" w:firstLineChars="200"/>
        <w:rPr>
          <w:rFonts w:ascii="宋体" w:hAnsi="宋体" w:cs="宋体"/>
          <w:color w:val="000000"/>
          <w:sz w:val="24"/>
        </w:rPr>
      </w:pPr>
      <w:r>
        <w:rPr>
          <w:rFonts w:hint="eastAsia" w:ascii="宋体" w:hAnsi="宋体" w:cs="宋体"/>
          <w:color w:val="000000"/>
          <w:sz w:val="24"/>
        </w:rPr>
        <w:t>施工现场需要具备的其他试验条件：</w:t>
      </w:r>
      <w:r>
        <w:rPr>
          <w:rFonts w:hint="eastAsia" w:ascii="宋体" w:hAnsi="宋体" w:cs="宋体"/>
          <w:color w:val="000000"/>
          <w:sz w:val="24"/>
          <w:u w:val="single"/>
        </w:rPr>
        <w:t xml:space="preserve">       /        </w:t>
      </w:r>
      <w:r>
        <w:rPr>
          <w:rFonts w:hint="eastAsia" w:ascii="宋体" w:hAnsi="宋体" w:cs="宋体"/>
          <w:color w:val="000000"/>
          <w:sz w:val="24"/>
        </w:rPr>
        <w:t>。</w:t>
      </w:r>
    </w:p>
    <w:p w14:paraId="1D7CC965">
      <w:pPr>
        <w:spacing w:line="360" w:lineRule="auto"/>
        <w:ind w:firstLine="480" w:firstLineChars="200"/>
        <w:rPr>
          <w:rFonts w:ascii="宋体" w:hAnsi="宋体" w:cs="宋体"/>
          <w:color w:val="000000"/>
          <w:sz w:val="24"/>
        </w:rPr>
      </w:pPr>
      <w:r>
        <w:rPr>
          <w:rFonts w:hint="eastAsia" w:ascii="宋体" w:hAnsi="宋体" w:cs="宋体"/>
          <w:color w:val="000000"/>
          <w:sz w:val="24"/>
        </w:rPr>
        <w:t>9.4 现场工艺试验</w:t>
      </w:r>
    </w:p>
    <w:p w14:paraId="0765D1F5">
      <w:pPr>
        <w:spacing w:line="360" w:lineRule="auto"/>
        <w:ind w:firstLine="480" w:firstLineChars="200"/>
        <w:rPr>
          <w:rFonts w:ascii="宋体" w:hAnsi="宋体" w:cs="宋体"/>
          <w:color w:val="000000"/>
          <w:sz w:val="24"/>
        </w:rPr>
      </w:pPr>
      <w:r>
        <w:rPr>
          <w:rFonts w:hint="eastAsia" w:ascii="宋体" w:hAnsi="宋体" w:cs="宋体"/>
          <w:color w:val="000000"/>
          <w:sz w:val="24"/>
        </w:rPr>
        <w:t>现场工艺试验的有关约定：</w:t>
      </w:r>
      <w:r>
        <w:rPr>
          <w:rFonts w:hint="eastAsia" w:ascii="宋体" w:hAnsi="宋体" w:cs="宋体"/>
          <w:color w:val="000000"/>
          <w:sz w:val="24"/>
          <w:u w:val="single"/>
        </w:rPr>
        <w:t xml:space="preserve">           /            </w:t>
      </w:r>
      <w:r>
        <w:rPr>
          <w:rFonts w:hint="eastAsia" w:ascii="宋体" w:hAnsi="宋体" w:cs="宋体"/>
          <w:color w:val="000000"/>
          <w:sz w:val="24"/>
        </w:rPr>
        <w:t>。</w:t>
      </w:r>
    </w:p>
    <w:bookmarkEnd w:id="647"/>
    <w:bookmarkEnd w:id="648"/>
    <w:bookmarkEnd w:id="649"/>
    <w:bookmarkEnd w:id="650"/>
    <w:bookmarkEnd w:id="651"/>
    <w:bookmarkEnd w:id="652"/>
    <w:bookmarkEnd w:id="653"/>
    <w:bookmarkEnd w:id="654"/>
    <w:bookmarkEnd w:id="655"/>
    <w:bookmarkEnd w:id="656"/>
    <w:bookmarkEnd w:id="657"/>
    <w:bookmarkEnd w:id="658"/>
    <w:bookmarkEnd w:id="673"/>
    <w:bookmarkEnd w:id="674"/>
    <w:bookmarkEnd w:id="675"/>
    <w:bookmarkEnd w:id="676"/>
    <w:bookmarkEnd w:id="677"/>
    <w:bookmarkEnd w:id="678"/>
    <w:bookmarkEnd w:id="679"/>
    <w:bookmarkEnd w:id="680"/>
    <w:p w14:paraId="0BD26FCB">
      <w:pPr>
        <w:pStyle w:val="6"/>
        <w:keepNext w:val="0"/>
        <w:keepLines w:val="0"/>
        <w:spacing w:before="0" w:after="0" w:line="360" w:lineRule="auto"/>
        <w:rPr>
          <w:rFonts w:ascii="宋体" w:hAnsi="宋体" w:eastAsia="宋体" w:cs="宋体"/>
          <w:b w:val="0"/>
          <w:color w:val="000000"/>
          <w:sz w:val="24"/>
          <w:szCs w:val="24"/>
        </w:rPr>
      </w:pPr>
      <w:bookmarkStart w:id="681" w:name="_Toc351203642"/>
      <w:bookmarkStart w:id="682" w:name="_Toc386638616"/>
      <w:bookmarkStart w:id="683" w:name="_Toc267251433"/>
      <w:bookmarkStart w:id="684" w:name="_Toc267251435"/>
      <w:bookmarkStart w:id="685" w:name="_Toc267251441"/>
      <w:bookmarkStart w:id="686" w:name="_Toc267251440"/>
      <w:bookmarkStart w:id="687" w:name="_Toc267251437"/>
      <w:bookmarkStart w:id="688" w:name="_Toc267251439"/>
      <w:bookmarkStart w:id="689" w:name="_Toc267251442"/>
      <w:r>
        <w:rPr>
          <w:rFonts w:hint="eastAsia" w:ascii="宋体" w:hAnsi="宋体" w:eastAsia="宋体" w:cs="宋体"/>
          <w:b w:val="0"/>
          <w:color w:val="000000"/>
          <w:sz w:val="24"/>
          <w:szCs w:val="24"/>
        </w:rPr>
        <w:t>1</w:t>
      </w:r>
      <w:bookmarkStart w:id="690" w:name="_Toc297048379"/>
      <w:bookmarkStart w:id="691" w:name="_Toc292559398"/>
      <w:bookmarkStart w:id="692" w:name="_Toc296347192"/>
      <w:bookmarkStart w:id="693" w:name="_Toc297216199"/>
      <w:bookmarkStart w:id="694" w:name="_Toc297123540"/>
      <w:bookmarkStart w:id="695" w:name="_Toc297120493"/>
      <w:bookmarkStart w:id="696" w:name="_Toc296891233"/>
      <w:bookmarkStart w:id="697" w:name="_Toc296944532"/>
      <w:bookmarkStart w:id="698" w:name="_Toc296503193"/>
      <w:bookmarkStart w:id="699" w:name="_Toc296891021"/>
      <w:bookmarkStart w:id="700" w:name="_Toc292559903"/>
      <w:bookmarkStart w:id="701" w:name="_Toc304295566"/>
      <w:bookmarkStart w:id="702" w:name="_Toc303539146"/>
      <w:bookmarkStart w:id="703" w:name="_Toc300934989"/>
      <w:bookmarkStart w:id="704" w:name="_Toc296346694"/>
      <w:bookmarkStart w:id="705" w:name="_Toc312677499"/>
      <w:bookmarkStart w:id="706" w:name="_Toc312678025"/>
      <w:r>
        <w:rPr>
          <w:rFonts w:hint="eastAsia" w:ascii="宋体" w:hAnsi="宋体" w:eastAsia="宋体" w:cs="宋体"/>
          <w:b w:val="0"/>
          <w:color w:val="000000"/>
          <w:sz w:val="24"/>
          <w:szCs w:val="24"/>
        </w:rPr>
        <w:t>0. 变更</w:t>
      </w:r>
      <w:bookmarkEnd w:id="681"/>
      <w:bookmarkEnd w:id="682"/>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bookmarkEnd w:id="705"/>
    <w:bookmarkEnd w:id="706"/>
    <w:p w14:paraId="7750A825">
      <w:pPr>
        <w:spacing w:line="360" w:lineRule="auto"/>
        <w:ind w:firstLine="480" w:firstLineChars="200"/>
        <w:rPr>
          <w:rFonts w:ascii="宋体" w:hAnsi="宋体" w:cs="宋体"/>
          <w:color w:val="000000"/>
          <w:sz w:val="24"/>
        </w:rPr>
      </w:pPr>
      <w:r>
        <w:rPr>
          <w:rFonts w:hint="eastAsia" w:ascii="宋体" w:hAnsi="宋体" w:cs="宋体"/>
          <w:color w:val="000000"/>
          <w:sz w:val="24"/>
        </w:rPr>
        <w:t>1</w:t>
      </w:r>
      <w:bookmarkStart w:id="707" w:name="_Toc296891234"/>
      <w:bookmarkStart w:id="708" w:name="_Toc297048380"/>
      <w:bookmarkStart w:id="709" w:name="_Toc292559904"/>
      <w:bookmarkStart w:id="710" w:name="_Toc292559399"/>
      <w:bookmarkStart w:id="711" w:name="_Toc304295567"/>
      <w:bookmarkStart w:id="712" w:name="_Toc296891022"/>
      <w:bookmarkStart w:id="713" w:name="_Toc312678026"/>
      <w:bookmarkStart w:id="714" w:name="_Toc300934990"/>
      <w:bookmarkStart w:id="715" w:name="_Toc297123541"/>
      <w:bookmarkStart w:id="716" w:name="_Toc296503194"/>
      <w:bookmarkStart w:id="717" w:name="_Toc296944533"/>
      <w:bookmarkStart w:id="718" w:name="_Toc297216200"/>
      <w:bookmarkStart w:id="719" w:name="_Toc296346695"/>
      <w:bookmarkStart w:id="720" w:name="_Toc297120494"/>
      <w:bookmarkStart w:id="721" w:name="_Toc296347193"/>
      <w:bookmarkStart w:id="722" w:name="_Toc303539147"/>
      <w:bookmarkStart w:id="723" w:name="_Toc312677500"/>
      <w:r>
        <w:rPr>
          <w:rFonts w:hint="eastAsia" w:ascii="宋体" w:hAnsi="宋体" w:cs="宋体"/>
          <w:color w:val="000000"/>
          <w:sz w:val="24"/>
        </w:rPr>
        <w:t>0.1 变更的范围</w:t>
      </w:r>
    </w:p>
    <w:p w14:paraId="4C13C0BF">
      <w:pPr>
        <w:spacing w:line="360" w:lineRule="auto"/>
        <w:ind w:firstLine="480" w:firstLineChars="200"/>
        <w:rPr>
          <w:rFonts w:ascii="宋体" w:hAnsi="宋体" w:cs="宋体"/>
          <w:color w:val="000000"/>
          <w:sz w:val="24"/>
        </w:rPr>
      </w:pPr>
      <w:r>
        <w:rPr>
          <w:rFonts w:hint="eastAsia" w:ascii="宋体" w:hAnsi="宋体" w:cs="宋体"/>
          <w:color w:val="000000"/>
          <w:sz w:val="24"/>
        </w:rPr>
        <w:t>关于变更的范围的约定：</w:t>
      </w:r>
      <w:r>
        <w:rPr>
          <w:rFonts w:hint="eastAsia" w:ascii="宋体" w:hAnsi="宋体" w:cs="宋体"/>
          <w:color w:val="000000"/>
          <w:sz w:val="24"/>
          <w:u w:val="single"/>
        </w:rPr>
        <w:t>除了通用合同条款明确的以外还包括：工程质量、规模标准（等级）的改变调整；工程施工内容增、减、取消；设计图纸的修改（包括</w:t>
      </w:r>
      <w:r>
        <w:rPr>
          <w:rFonts w:hint="eastAsia" w:ascii="宋体" w:hAnsi="宋体" w:cs="宋体"/>
          <w:color w:val="000000"/>
          <w:sz w:val="24"/>
          <w:u w:val="single"/>
          <w:shd w:val="clear" w:color="auto" w:fill="FFFFFF"/>
        </w:rPr>
        <w:t>功能或构造、</w:t>
      </w:r>
      <w:r>
        <w:rPr>
          <w:rFonts w:hint="eastAsia" w:ascii="宋体" w:hAnsi="宋体" w:cs="宋体"/>
          <w:color w:val="000000"/>
          <w:sz w:val="24"/>
          <w:u w:val="single"/>
        </w:rPr>
        <w:t>工艺或做法、技术指标等工程设计上的优化或时间、顺序的改变）；施工条件以及施工组织设计上的改变；材料与设备的换用以及材料暂定价格的调整；其他实质性变更</w:t>
      </w:r>
      <w:r>
        <w:rPr>
          <w:rFonts w:hint="eastAsia" w:ascii="宋体" w:hAnsi="宋体" w:cs="宋体"/>
          <w:color w:val="000000"/>
          <w:sz w:val="24"/>
        </w:rPr>
        <w:t>。</w:t>
      </w:r>
    </w:p>
    <w:bookmarkEnd w:id="683"/>
    <w:bookmarkEnd w:id="684"/>
    <w:bookmarkEnd w:id="685"/>
    <w:bookmarkEnd w:id="686"/>
    <w:bookmarkEnd w:id="687"/>
    <w:bookmarkEnd w:id="688"/>
    <w:bookmarkEnd w:id="689"/>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14:paraId="16800BFF">
      <w:pPr>
        <w:spacing w:line="360" w:lineRule="auto"/>
        <w:ind w:firstLine="480" w:firstLineChars="200"/>
        <w:rPr>
          <w:rFonts w:ascii="宋体" w:hAnsi="宋体" w:cs="宋体"/>
          <w:sz w:val="24"/>
        </w:rPr>
      </w:pPr>
      <w:bookmarkStart w:id="724" w:name="_Toc386638619"/>
      <w:bookmarkStart w:id="725" w:name="_Toc351203645"/>
      <w:bookmarkStart w:id="726" w:name="_Toc296891047"/>
      <w:bookmarkStart w:id="727" w:name="_Toc304295593"/>
      <w:bookmarkStart w:id="728" w:name="_Toc303539172"/>
      <w:bookmarkStart w:id="729" w:name="_Toc296346720"/>
      <w:bookmarkStart w:id="730" w:name="_Toc292559424"/>
      <w:bookmarkStart w:id="731" w:name="_Toc297048405"/>
      <w:bookmarkStart w:id="732" w:name="_Toc296503219"/>
      <w:bookmarkStart w:id="733" w:name="_Toc297123564"/>
      <w:bookmarkStart w:id="734" w:name="_Toc296891259"/>
      <w:bookmarkStart w:id="735" w:name="_Toc296347218"/>
      <w:bookmarkStart w:id="736" w:name="_Toc296944558"/>
      <w:bookmarkStart w:id="737" w:name="_Toc312678053"/>
      <w:bookmarkStart w:id="738" w:name="_Toc297216223"/>
      <w:bookmarkStart w:id="739" w:name="_Toc292559929"/>
      <w:bookmarkStart w:id="740" w:name="_Toc297120519"/>
      <w:bookmarkStart w:id="741" w:name="_Toc300935015"/>
      <w:r>
        <w:rPr>
          <w:rFonts w:hint="eastAsia" w:ascii="宋体" w:hAnsi="宋体" w:cs="宋体"/>
          <w:sz w:val="24"/>
        </w:rPr>
        <w:t>10.4 变更估价</w:t>
      </w:r>
    </w:p>
    <w:p w14:paraId="66FCA04C">
      <w:pPr>
        <w:spacing w:line="360" w:lineRule="auto"/>
        <w:ind w:firstLine="480" w:firstLineChars="200"/>
        <w:rPr>
          <w:rFonts w:ascii="宋体" w:hAnsi="宋体" w:cs="宋体"/>
          <w:sz w:val="24"/>
        </w:rPr>
      </w:pPr>
      <w:r>
        <w:rPr>
          <w:rFonts w:hint="eastAsia" w:ascii="宋体" w:hAnsi="宋体" w:cs="宋体"/>
          <w:sz w:val="24"/>
        </w:rPr>
        <w:t>10.4.1 变更估价原则</w:t>
      </w:r>
    </w:p>
    <w:p w14:paraId="40EF5C6E">
      <w:pPr>
        <w:spacing w:line="360" w:lineRule="auto"/>
        <w:ind w:firstLine="480" w:firstLineChars="200"/>
        <w:rPr>
          <w:rFonts w:ascii="宋体" w:hAnsi="宋体" w:cs="宋体"/>
          <w:sz w:val="24"/>
        </w:rPr>
      </w:pPr>
      <w:bookmarkStart w:id="742" w:name="_Toc386638617"/>
      <w:bookmarkStart w:id="743" w:name="_Toc351203643"/>
      <w:r>
        <w:rPr>
          <w:rFonts w:hint="eastAsia" w:ascii="宋体" w:hAnsi="宋体" w:cs="宋体"/>
          <w:sz w:val="24"/>
        </w:rPr>
        <w:t xml:space="preserve">关于变更估价的约定: </w:t>
      </w:r>
    </w:p>
    <w:p w14:paraId="1E031CFA">
      <w:pPr>
        <w:spacing w:line="360" w:lineRule="auto"/>
        <w:ind w:firstLine="504" w:firstLineChars="210"/>
        <w:rPr>
          <w:rFonts w:ascii="宋体" w:hAnsi="宋体" w:cs="宋体"/>
          <w:sz w:val="24"/>
        </w:rPr>
      </w:pPr>
      <w:r>
        <w:rPr>
          <w:rFonts w:hint="eastAsia" w:ascii="宋体" w:hAnsi="宋体" w:cs="宋体"/>
          <w:sz w:val="24"/>
        </w:rPr>
        <w:t xml:space="preserve">合同履行过程中，发生下列情况之一的，工程量清单项目及其工程量均应按实调整： </w:t>
      </w:r>
    </w:p>
    <w:p w14:paraId="018B6474">
      <w:pPr>
        <w:spacing w:line="360" w:lineRule="auto"/>
        <w:ind w:firstLine="504" w:firstLineChars="210"/>
        <w:rPr>
          <w:rFonts w:ascii="宋体" w:hAnsi="宋体" w:cs="宋体"/>
          <w:sz w:val="24"/>
        </w:rPr>
      </w:pPr>
      <w:r>
        <w:rPr>
          <w:rFonts w:hint="eastAsia" w:ascii="宋体" w:hAnsi="宋体" w:cs="宋体"/>
          <w:sz w:val="24"/>
        </w:rPr>
        <w:t>（1）设计变更引起新增清单项目或取消原有项目；</w:t>
      </w:r>
    </w:p>
    <w:p w14:paraId="5AE6B12C">
      <w:pPr>
        <w:spacing w:line="360" w:lineRule="auto"/>
        <w:ind w:firstLine="504" w:firstLineChars="210"/>
        <w:rPr>
          <w:rFonts w:ascii="宋体" w:hAnsi="宋体" w:cs="宋体"/>
          <w:sz w:val="24"/>
        </w:rPr>
      </w:pPr>
      <w:r>
        <w:rPr>
          <w:rFonts w:hint="eastAsia" w:ascii="宋体" w:hAnsi="宋体" w:cs="宋体"/>
          <w:sz w:val="24"/>
        </w:rPr>
        <w:t>（2）设计变更引起的工程量清单项目数量的增减。</w:t>
      </w:r>
    </w:p>
    <w:p w14:paraId="63E3624A">
      <w:pPr>
        <w:spacing w:line="360" w:lineRule="auto"/>
        <w:ind w:firstLine="504" w:firstLineChars="210"/>
        <w:rPr>
          <w:rFonts w:ascii="宋体" w:hAnsi="宋体" w:cs="宋体"/>
          <w:sz w:val="24"/>
        </w:rPr>
      </w:pPr>
      <w:r>
        <w:rPr>
          <w:rFonts w:hint="eastAsia" w:ascii="宋体" w:hAnsi="宋体" w:cs="宋体"/>
          <w:sz w:val="24"/>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14:paraId="6D3632B7">
      <w:pPr>
        <w:spacing w:line="360" w:lineRule="auto"/>
        <w:ind w:firstLine="506" w:firstLineChars="210"/>
        <w:rPr>
          <w:rFonts w:ascii="宋体" w:hAnsi="宋体" w:cs="宋体"/>
          <w:b/>
          <w:sz w:val="24"/>
        </w:rPr>
      </w:pPr>
      <w:r>
        <w:rPr>
          <w:rFonts w:hint="eastAsia" w:ascii="宋体" w:hAnsi="宋体" w:cs="宋体"/>
          <w:b/>
          <w:sz w:val="24"/>
        </w:rPr>
        <w:t>10.4.1.1</w:t>
      </w:r>
    </w:p>
    <w:p w14:paraId="079D55E9">
      <w:pPr>
        <w:spacing w:line="360" w:lineRule="auto"/>
        <w:ind w:firstLine="360" w:firstLineChars="150"/>
        <w:rPr>
          <w:rFonts w:ascii="宋体" w:hAnsi="宋体" w:cs="宋体"/>
          <w:sz w:val="24"/>
        </w:rPr>
      </w:pPr>
      <w:r>
        <w:rPr>
          <w:rFonts w:hint="eastAsia" w:ascii="宋体" w:hAnsi="宋体" w:cs="宋体"/>
          <w:sz w:val="24"/>
        </w:rPr>
        <w:t xml:space="preserve">（1）非承包人原因引起的工程量偏差，该项工程量变化幅度在规定范围以内的，应执行合同原有的综合单价；  </w:t>
      </w:r>
    </w:p>
    <w:p w14:paraId="3D106B96">
      <w:pPr>
        <w:spacing w:line="360" w:lineRule="auto"/>
        <w:ind w:firstLine="504" w:firstLineChars="210"/>
        <w:rPr>
          <w:rFonts w:ascii="宋体" w:hAnsi="宋体" w:cs="宋体"/>
          <w:sz w:val="24"/>
        </w:rPr>
      </w:pPr>
      <w:r>
        <w:rPr>
          <w:rFonts w:hint="eastAsia" w:ascii="宋体" w:hAnsi="宋体" w:cs="宋体"/>
          <w:sz w:val="24"/>
        </w:rPr>
        <w:t>合价金额占合同总价2%及以上的分部分项清单项目其工程量增减超过本项工程量15%及以上，或合价金额占合同总价不到2%的分部分项清单项目，但其工程量增减超过本项目工程数量25%及以上时，则超过部分应重新确定综合单价。综合单价由承包人按合同约定(招标文件)的计价依据并取费结合《关于明确政府投资建设工程要素价格风险的通知》(宁发改［2014］24 号)文件按承包人的中标下浮率（下浮</w:t>
      </w:r>
      <w:r>
        <w:rPr>
          <w:rFonts w:hint="eastAsia" w:ascii="宋体" w:hAnsi="宋体" w:cs="宋体"/>
          <w:sz w:val="24"/>
          <w:u w:val="single"/>
        </w:rPr>
        <w:t xml:space="preserve">    %</w:t>
      </w:r>
      <w:r>
        <w:rPr>
          <w:rFonts w:hint="eastAsia" w:ascii="宋体" w:hAnsi="宋体" w:cs="宋体"/>
          <w:sz w:val="24"/>
        </w:rPr>
        <w:t>）组价后提出，经发包人确认后调整。[工程类别：按房屋建筑及构筑物工程取费，弹性费率按中值计取。安全文明施工费弹性费率取中值（2）安全文明施工基本费、二次搬运费、冬雨季施工增加费、行车、行人干扰增加费、企业管理费、利润等弹性费率取中值。（3）规费：规费按标准费率的30%计取。（4）采用一般计税法，税率按9%计取。]</w:t>
      </w:r>
    </w:p>
    <w:p w14:paraId="0E53BF55">
      <w:pPr>
        <w:spacing w:line="360" w:lineRule="auto"/>
        <w:ind w:firstLine="504" w:firstLineChars="210"/>
        <w:rPr>
          <w:rFonts w:ascii="宋体" w:hAnsi="宋体" w:cs="宋体"/>
          <w:sz w:val="24"/>
        </w:rPr>
      </w:pPr>
      <w:r>
        <w:rPr>
          <w:rFonts w:hint="eastAsia" w:ascii="宋体" w:hAnsi="宋体" w:cs="宋体"/>
          <w:sz w:val="24"/>
        </w:rPr>
        <w:t>［减少后剩余部分工程量是指工程量减少超过15%以上部分。例：原清单某项工程量为100m3，①实际结算工程量为65m3，即减少超过15%以上部份工程量20m3；②实际结算工程量零，即减少超过15%工程量为85m3］</w:t>
      </w:r>
    </w:p>
    <w:p w14:paraId="3D35FFDF">
      <w:pPr>
        <w:spacing w:line="360" w:lineRule="auto"/>
        <w:ind w:firstLine="504" w:firstLineChars="210"/>
        <w:rPr>
          <w:rFonts w:ascii="宋体" w:hAnsi="宋体" w:cs="宋体"/>
          <w:sz w:val="24"/>
        </w:rPr>
      </w:pPr>
      <w:r>
        <w:rPr>
          <w:rFonts w:hint="eastAsia" w:ascii="宋体" w:hAnsi="宋体" w:cs="宋体"/>
          <w:sz w:val="24"/>
        </w:rPr>
        <w:t>（2）因施工中出现施工图纸与工程量清单项目特征描述不符、分部分项工程量清单项目缺项(或漏项)、非承包人原因的工程变更等，引起新的工程项目，其相应的综合单价按以下方法确定：</w:t>
      </w:r>
    </w:p>
    <w:p w14:paraId="22B41C9B">
      <w:pPr>
        <w:spacing w:line="360" w:lineRule="auto"/>
        <w:ind w:firstLine="504" w:firstLineChars="210"/>
        <w:rPr>
          <w:rFonts w:ascii="宋体" w:hAnsi="宋体" w:cs="宋体"/>
          <w:sz w:val="24"/>
        </w:rPr>
      </w:pPr>
      <w:r>
        <w:rPr>
          <w:rFonts w:hint="eastAsia" w:ascii="宋体" w:hAnsi="宋体" w:cs="宋体"/>
          <w:sz w:val="24"/>
        </w:rPr>
        <w:t>①已标价工程量清单中存在适用于变更工程项目的，采用该项目的单价；</w:t>
      </w:r>
    </w:p>
    <w:p w14:paraId="68680B08">
      <w:pPr>
        <w:spacing w:line="360" w:lineRule="auto"/>
        <w:ind w:firstLine="504" w:firstLineChars="210"/>
        <w:rPr>
          <w:rFonts w:ascii="宋体" w:hAnsi="宋体" w:cs="宋体"/>
          <w:sz w:val="24"/>
        </w:rPr>
      </w:pPr>
      <w:r>
        <w:rPr>
          <w:rFonts w:hint="eastAsia" w:ascii="宋体" w:hAnsi="宋体" w:cs="宋体"/>
          <w:sz w:val="24"/>
        </w:rPr>
        <w:t>②已标价工程量清单中不存在适用单价但存在与变更工程类似项目价格的，可以参照类似项目的单价；如</w:t>
      </w:r>
      <w:r>
        <w:rPr>
          <w:rFonts w:hint="eastAsia" w:ascii="宋体" w:hAnsi="宋体" w:cs="宋体"/>
          <w:kern w:val="0"/>
          <w:sz w:val="24"/>
        </w:rPr>
        <w:t>某种材料（或半成品及成品）等级、标准变化的，清单组合子目不变，仅调整不同的材料价格；清单项目某一特征或工程内容变化，不影响其他特征及工程内容价格的，其他特征组合标准不变，仅调整发生变化的组合子目价格</w:t>
      </w:r>
      <w:r>
        <w:rPr>
          <w:rFonts w:hint="eastAsia" w:ascii="宋体" w:hAnsi="宋体" w:cs="宋体"/>
          <w:sz w:val="24"/>
        </w:rPr>
        <w:t>；</w:t>
      </w:r>
    </w:p>
    <w:p w14:paraId="130E3C28">
      <w:pPr>
        <w:spacing w:line="360" w:lineRule="auto"/>
        <w:ind w:firstLine="504" w:firstLineChars="210"/>
        <w:rPr>
          <w:rFonts w:ascii="宋体" w:hAnsi="宋体" w:cs="宋体"/>
          <w:sz w:val="24"/>
        </w:rPr>
      </w:pPr>
      <w:r>
        <w:rPr>
          <w:rFonts w:hint="eastAsia" w:ascii="宋体" w:hAnsi="宋体" w:cs="宋体"/>
          <w:sz w:val="24"/>
        </w:rPr>
        <w:t xml:space="preserve"> ③已标价工程量清单中不存在适用的价格也没有类似的变更工程项目价格的(一般指新增项目)，则由承包人按照变更工程资料、合同约定或者招标文件采用的计价依据、取费结合《关于明确政府投资建设工程要素价格风险的通知》(宁发改［2014］24号)文件按承包人的中标下浮率（下浮</w:t>
      </w:r>
      <w:r>
        <w:rPr>
          <w:rFonts w:hint="eastAsia" w:ascii="宋体" w:hAnsi="宋体" w:cs="宋体"/>
          <w:sz w:val="24"/>
          <w:u w:val="single"/>
        </w:rPr>
        <w:t xml:space="preserve">    %</w:t>
      </w:r>
      <w:r>
        <w:rPr>
          <w:rFonts w:hint="eastAsia" w:ascii="宋体" w:hAnsi="宋体" w:cs="宋体"/>
          <w:sz w:val="24"/>
        </w:rPr>
        <w:t>）组价后提出，经发包人确认后调整[工程类别：按房屋建筑及构筑物工程取费，弹性费率按中值计取。安全文明施工费弹性费率取中值。（3）规费：规费按标准费率的30%计取。（4）采用一般计税法，税率按9%计取。]</w:t>
      </w:r>
    </w:p>
    <w:p w14:paraId="7EA40DA3">
      <w:pPr>
        <w:spacing w:line="360" w:lineRule="auto"/>
        <w:ind w:firstLine="504" w:firstLineChars="210"/>
        <w:rPr>
          <w:rFonts w:ascii="宋体" w:hAnsi="宋体" w:cs="宋体"/>
          <w:sz w:val="24"/>
        </w:rPr>
      </w:pPr>
      <w:r>
        <w:rPr>
          <w:rFonts w:hint="eastAsia" w:ascii="宋体" w:hAnsi="宋体" w:cs="宋体"/>
          <w:sz w:val="24"/>
        </w:rPr>
        <w:t>（3）投标综合单价异常的处理</w:t>
      </w:r>
    </w:p>
    <w:p w14:paraId="3DB4E672">
      <w:pPr>
        <w:spacing w:line="360" w:lineRule="auto"/>
        <w:ind w:firstLine="504" w:firstLineChars="21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 MERGEFORMAT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综合单价异常的判定，投标报价的综合单价与合同规定计价依据（即招标控制价编制的计价依据）计算出来的综合单价相比较偏差+-30%以上；虽然综合单价正常，但组成综合单价的人、材、机消耗量或单价与按合同规定计价依据计算的人、材、机消耗量或单价相比偏差+-30%以上；其他异常情况。</w:t>
      </w:r>
    </w:p>
    <w:p w14:paraId="7530B7B4">
      <w:pPr>
        <w:spacing w:line="360" w:lineRule="auto"/>
        <w:ind w:firstLine="504" w:firstLineChars="21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 MERGEFORMAT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在工程竣工结算阶段，如发现已标价综合单价异常，则工程量增、减在本项工程量15%以内的，均按原综合单价执行；综合单价异常的清单子目、工程量增加超过本项目工程量15%以上部分工程量的综合单价按以上约定原则重新确定综合单价；工程量减少超过15%以上部分工程量，按以上约定原则重新确定综合单价，计算合价后，在该项目合价中扣除。</w:t>
      </w:r>
    </w:p>
    <w:p w14:paraId="64D63E98">
      <w:pPr>
        <w:spacing w:line="360" w:lineRule="auto"/>
        <w:ind w:firstLine="480" w:firstLineChars="200"/>
        <w:rPr>
          <w:rFonts w:ascii="宋体" w:hAnsi="宋体" w:cs="宋体"/>
          <w:kern w:val="0"/>
          <w:sz w:val="24"/>
        </w:rPr>
      </w:pPr>
      <w:r>
        <w:rPr>
          <w:rFonts w:hint="eastAsia" w:ascii="宋体" w:hAnsi="宋体" w:cs="宋体"/>
          <w:kern w:val="0"/>
          <w:sz w:val="24"/>
        </w:rPr>
        <w:t>10.4.1.3 关于变更措施项目费的约定：</w:t>
      </w:r>
    </w:p>
    <w:p w14:paraId="6FCAEDAB">
      <w:pPr>
        <w:spacing w:line="360" w:lineRule="auto"/>
        <w:ind w:firstLine="480" w:firstLineChars="200"/>
        <w:rPr>
          <w:rFonts w:ascii="宋体" w:hAnsi="宋体" w:cs="宋体"/>
          <w:kern w:val="0"/>
          <w:sz w:val="24"/>
        </w:rPr>
      </w:pPr>
      <w:r>
        <w:rPr>
          <w:rFonts w:hint="eastAsia" w:ascii="宋体" w:hAnsi="宋体" w:cs="宋体"/>
          <w:kern w:val="0"/>
          <w:sz w:val="24"/>
        </w:rPr>
        <w:t>分部分项工程量清单非承包人原因的工程变更，造成施工组织设计或施工方案变更，以及分部分项工程量变化，引起措施项目数量、内容发生变化，措施项目费按以下原则调整：</w:t>
      </w:r>
    </w:p>
    <w:p w14:paraId="499B4B6C">
      <w:pPr>
        <w:spacing w:line="360" w:lineRule="auto"/>
        <w:ind w:firstLine="480" w:firstLineChars="200"/>
        <w:rPr>
          <w:rFonts w:ascii="宋体" w:hAnsi="宋体" w:cs="宋体"/>
          <w:kern w:val="0"/>
          <w:sz w:val="24"/>
          <w:u w:val="single"/>
        </w:rPr>
      </w:pPr>
      <w:r>
        <w:rPr>
          <w:rFonts w:hint="eastAsia" w:ascii="宋体" w:hAnsi="宋体" w:cs="宋体"/>
          <w:kern w:val="0"/>
          <w:sz w:val="24"/>
        </w:rPr>
        <w:t>（1）施工组织措施费（按取费定额计取部分）按</w:t>
      </w:r>
      <w:r>
        <w:rPr>
          <w:rFonts w:hint="eastAsia" w:ascii="宋体" w:hAnsi="宋体" w:cs="宋体"/>
          <w:sz w:val="24"/>
        </w:rPr>
        <w:t>已标价工程量清单中的所列</w:t>
      </w:r>
      <w:r>
        <w:rPr>
          <w:rFonts w:hint="eastAsia" w:ascii="宋体" w:hAnsi="宋体" w:cs="宋体"/>
          <w:kern w:val="0"/>
          <w:sz w:val="24"/>
        </w:rPr>
        <w:t>费用包干使用，结算时无论工程量增减是否超过15%或新增项目均不作调整；新增的单项或单位工程施工组织措施费按相应工程计取。</w:t>
      </w:r>
    </w:p>
    <w:p w14:paraId="094DA62F">
      <w:pPr>
        <w:spacing w:line="360" w:lineRule="auto"/>
        <w:ind w:firstLine="480" w:firstLineChars="200"/>
        <w:rPr>
          <w:rFonts w:ascii="宋体" w:hAnsi="宋体" w:cs="宋体"/>
          <w:kern w:val="0"/>
          <w:sz w:val="24"/>
        </w:rPr>
      </w:pPr>
      <w:r>
        <w:rPr>
          <w:rFonts w:hint="eastAsia" w:ascii="宋体" w:hAnsi="宋体" w:cs="宋体"/>
          <w:kern w:val="0"/>
          <w:sz w:val="24"/>
        </w:rPr>
        <w:t>（2）大型机械设备进退场费及安拆费按</w:t>
      </w:r>
      <w:r>
        <w:rPr>
          <w:rFonts w:hint="eastAsia" w:ascii="宋体" w:hAnsi="宋体" w:cs="宋体"/>
          <w:sz w:val="24"/>
        </w:rPr>
        <w:t>已标价工程量清单中</w:t>
      </w:r>
      <w:r>
        <w:rPr>
          <w:rFonts w:hint="eastAsia" w:ascii="宋体" w:hAnsi="宋体" w:cs="宋体"/>
          <w:kern w:val="0"/>
          <w:sz w:val="24"/>
        </w:rPr>
        <w:t>施工技术措施清单所列数量包干使用，结算时不作调整；</w:t>
      </w:r>
    </w:p>
    <w:p w14:paraId="371038C1">
      <w:pPr>
        <w:spacing w:line="360" w:lineRule="auto"/>
        <w:ind w:firstLine="480" w:firstLineChars="200"/>
        <w:rPr>
          <w:rFonts w:ascii="宋体" w:hAnsi="宋体" w:cs="宋体"/>
          <w:sz w:val="24"/>
        </w:rPr>
      </w:pPr>
      <w:r>
        <w:rPr>
          <w:rFonts w:hint="eastAsia" w:ascii="宋体" w:hAnsi="宋体" w:cs="宋体"/>
          <w:kern w:val="0"/>
          <w:sz w:val="24"/>
        </w:rPr>
        <w:t>（3）施工技术措施项目（按现行定额部分）</w:t>
      </w:r>
      <w:r>
        <w:rPr>
          <w:rFonts w:hint="eastAsia" w:ascii="宋体" w:hAnsi="宋体" w:cs="宋体"/>
          <w:sz w:val="24"/>
          <w:u w:val="single"/>
        </w:rPr>
        <w:t>按工程量清单项目结算办法结算</w:t>
      </w:r>
      <w:r>
        <w:rPr>
          <w:rFonts w:hint="eastAsia" w:ascii="宋体" w:hAnsi="宋体" w:cs="宋体"/>
          <w:sz w:val="24"/>
        </w:rPr>
        <w:t>。</w:t>
      </w:r>
    </w:p>
    <w:p w14:paraId="732365B2">
      <w:pPr>
        <w:spacing w:line="360" w:lineRule="auto"/>
        <w:ind w:firstLine="480" w:firstLineChars="200"/>
        <w:rPr>
          <w:rFonts w:ascii="宋体" w:hAnsi="宋体" w:cs="宋体"/>
          <w:sz w:val="24"/>
        </w:rPr>
      </w:pPr>
      <w:r>
        <w:rPr>
          <w:rFonts w:hint="eastAsia" w:ascii="宋体" w:hAnsi="宋体" w:cs="宋体"/>
          <w:sz w:val="24"/>
        </w:rPr>
        <w:t>1</w:t>
      </w:r>
      <w:bookmarkStart w:id="744" w:name="_Toc296346698"/>
      <w:bookmarkStart w:id="745" w:name="_Toc296503197"/>
      <w:bookmarkStart w:id="746" w:name="_Toc296891237"/>
      <w:bookmarkStart w:id="747" w:name="_Toc303539150"/>
      <w:bookmarkStart w:id="748" w:name="_Toc300934993"/>
      <w:bookmarkStart w:id="749" w:name="_Toc292559402"/>
      <w:bookmarkStart w:id="750" w:name="_Toc296944536"/>
      <w:bookmarkStart w:id="751" w:name="_Toc297120497"/>
      <w:bookmarkStart w:id="752" w:name="_Toc292559907"/>
      <w:bookmarkStart w:id="753" w:name="_Toc296891025"/>
      <w:bookmarkStart w:id="754" w:name="_Toc297048383"/>
      <w:bookmarkStart w:id="755" w:name="_Toc297216203"/>
      <w:bookmarkStart w:id="756" w:name="_Toc296347196"/>
      <w:bookmarkStart w:id="757" w:name="_Toc297123544"/>
      <w:bookmarkStart w:id="758" w:name="_Toc304295570"/>
      <w:bookmarkStart w:id="759" w:name="_Toc312677503"/>
      <w:bookmarkStart w:id="760" w:name="_Toc312678029"/>
      <w:r>
        <w:rPr>
          <w:rFonts w:hint="eastAsia" w:ascii="宋体" w:hAnsi="宋体" w:cs="宋体"/>
          <w:sz w:val="24"/>
        </w:rPr>
        <w:t>0.5承</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Start w:id="761" w:name="_Toc296944542"/>
      <w:bookmarkStart w:id="762" w:name="_Toc292559913"/>
      <w:bookmarkStart w:id="763" w:name="_Toc296346704"/>
      <w:bookmarkStart w:id="764" w:name="_Toc303539151"/>
      <w:bookmarkStart w:id="765" w:name="_Toc296891243"/>
      <w:bookmarkStart w:id="766" w:name="_Toc296347202"/>
      <w:bookmarkStart w:id="767" w:name="_Toc300934994"/>
      <w:bookmarkStart w:id="768" w:name="_Toc297120503"/>
      <w:bookmarkStart w:id="769" w:name="_Toc296503203"/>
      <w:bookmarkStart w:id="770" w:name="_Toc297048389"/>
      <w:bookmarkStart w:id="771" w:name="_Toc296891031"/>
      <w:bookmarkStart w:id="772" w:name="_Toc292559408"/>
      <w:bookmarkStart w:id="773" w:name="_Toc297216204"/>
      <w:bookmarkStart w:id="774" w:name="_Toc297123545"/>
      <w:r>
        <w:rPr>
          <w:rFonts w:hint="eastAsia" w:ascii="宋体" w:hAnsi="宋体" w:cs="宋体"/>
          <w:sz w:val="24"/>
        </w:rPr>
        <w:t>包人的合理化建议</w:t>
      </w:r>
    </w:p>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14:paraId="62977264">
      <w:pPr>
        <w:spacing w:line="360" w:lineRule="auto"/>
        <w:ind w:firstLine="480" w:firstLineChars="200"/>
        <w:jc w:val="left"/>
        <w:rPr>
          <w:rFonts w:ascii="宋体" w:hAnsi="宋体" w:cs="宋体"/>
          <w:sz w:val="24"/>
        </w:rPr>
      </w:pPr>
      <w:r>
        <w:rPr>
          <w:rFonts w:hint="eastAsia" w:ascii="宋体" w:hAnsi="宋体" w:cs="宋体"/>
          <w:sz w:val="24"/>
        </w:rPr>
        <w:t>监理人审查承包人合理化建议的期限：</w:t>
      </w:r>
      <w:r>
        <w:rPr>
          <w:rFonts w:hint="eastAsia" w:ascii="宋体" w:hAnsi="宋体" w:cs="宋体"/>
          <w:sz w:val="24"/>
          <w:u w:val="single"/>
        </w:rPr>
        <w:t xml:space="preserve">   /   </w:t>
      </w:r>
      <w:r>
        <w:rPr>
          <w:rFonts w:hint="eastAsia" w:ascii="宋体" w:hAnsi="宋体" w:cs="宋体"/>
          <w:sz w:val="24"/>
        </w:rPr>
        <w:t>。</w:t>
      </w:r>
    </w:p>
    <w:p w14:paraId="54DB1F34">
      <w:pPr>
        <w:spacing w:line="360" w:lineRule="auto"/>
        <w:ind w:firstLine="480" w:firstLineChars="200"/>
        <w:jc w:val="left"/>
        <w:rPr>
          <w:rFonts w:ascii="宋体" w:hAnsi="宋体" w:cs="宋体"/>
          <w:sz w:val="24"/>
        </w:rPr>
      </w:pPr>
      <w:r>
        <w:rPr>
          <w:rFonts w:hint="eastAsia" w:ascii="宋体" w:hAnsi="宋体" w:cs="宋体"/>
          <w:sz w:val="24"/>
        </w:rPr>
        <w:t>发包人审批承包人合理化建议的期限：</w:t>
      </w:r>
      <w:r>
        <w:rPr>
          <w:rFonts w:hint="eastAsia" w:ascii="宋体" w:hAnsi="宋体" w:cs="宋体"/>
          <w:sz w:val="24"/>
          <w:u w:val="single"/>
        </w:rPr>
        <w:t xml:space="preserve">   /   </w:t>
      </w:r>
      <w:r>
        <w:rPr>
          <w:rFonts w:hint="eastAsia" w:ascii="宋体" w:hAnsi="宋体" w:cs="宋体"/>
          <w:sz w:val="24"/>
        </w:rPr>
        <w:t>。</w:t>
      </w:r>
    </w:p>
    <w:p w14:paraId="1CCDEF76">
      <w:pPr>
        <w:spacing w:line="360" w:lineRule="auto"/>
        <w:ind w:firstLine="480" w:firstLineChars="200"/>
        <w:jc w:val="left"/>
        <w:rPr>
          <w:rFonts w:ascii="宋体" w:hAnsi="宋体" w:cs="宋体"/>
          <w:sz w:val="24"/>
          <w:u w:val="single"/>
        </w:rPr>
      </w:pPr>
      <w:r>
        <w:rPr>
          <w:rFonts w:hint="eastAsia" w:ascii="宋体" w:hAnsi="宋体" w:cs="宋体"/>
          <w:sz w:val="24"/>
        </w:rPr>
        <w:t>承</w:t>
      </w:r>
      <w:bookmarkStart w:id="775" w:name="_Toc296944543"/>
      <w:bookmarkStart w:id="776" w:name="_Toc297123546"/>
      <w:bookmarkStart w:id="777" w:name="_Toc300934995"/>
      <w:bookmarkStart w:id="778" w:name="_Toc292559914"/>
      <w:bookmarkStart w:id="779" w:name="_Toc296347203"/>
      <w:bookmarkStart w:id="780" w:name="_Toc297120504"/>
      <w:bookmarkStart w:id="781" w:name="_Toc296891032"/>
      <w:bookmarkStart w:id="782" w:name="_Toc297216205"/>
      <w:bookmarkStart w:id="783" w:name="_Toc296503204"/>
      <w:bookmarkStart w:id="784" w:name="_Toc304295571"/>
      <w:bookmarkStart w:id="785" w:name="_Toc297048390"/>
      <w:bookmarkStart w:id="786" w:name="_Toc312677504"/>
      <w:bookmarkStart w:id="787" w:name="_Toc318581175"/>
      <w:bookmarkStart w:id="788" w:name="_Toc292559409"/>
      <w:bookmarkStart w:id="789" w:name="_Toc312678030"/>
      <w:bookmarkStart w:id="790" w:name="_Toc303539152"/>
      <w:bookmarkStart w:id="791" w:name="_Toc296346705"/>
      <w:bookmarkStart w:id="792" w:name="_Toc296891244"/>
      <w:r>
        <w:rPr>
          <w:rFonts w:hint="eastAsia" w:ascii="宋体" w:hAnsi="宋体" w:cs="宋体"/>
          <w:sz w:val="24"/>
        </w:rPr>
        <w:t>包人提出的合理化建议降低了合同价格或者提高了工程经济效益的奖励的方法和金额为：</w:t>
      </w:r>
      <w:r>
        <w:rPr>
          <w:rFonts w:hint="eastAsia" w:ascii="宋体" w:hAnsi="宋体" w:cs="宋体"/>
          <w:kern w:val="0"/>
          <w:sz w:val="24"/>
        </w:rPr>
        <w:t>奖励由承包人的合理化建议带给发包人利益的</w:t>
      </w:r>
      <w:r>
        <w:rPr>
          <w:rFonts w:hint="eastAsia" w:ascii="宋体" w:hAnsi="宋体" w:cs="宋体"/>
          <w:kern w:val="0"/>
          <w:sz w:val="24"/>
          <w:u w:val="single"/>
        </w:rPr>
        <w:t xml:space="preserve">   /   </w:t>
      </w:r>
      <w:r>
        <w:rPr>
          <w:rFonts w:hint="eastAsia" w:ascii="宋体" w:hAnsi="宋体" w:cs="宋体"/>
          <w:kern w:val="0"/>
          <w:sz w:val="24"/>
        </w:rPr>
        <w:t>。</w:t>
      </w:r>
    </w:p>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14:paraId="19A3C364">
      <w:pPr>
        <w:pStyle w:val="6"/>
        <w:spacing w:before="0" w:after="0" w:line="360" w:lineRule="auto"/>
        <w:rPr>
          <w:rFonts w:ascii="宋体" w:hAnsi="宋体" w:eastAsia="宋体" w:cs="宋体"/>
          <w:b w:val="0"/>
          <w:color w:val="000000"/>
          <w:sz w:val="24"/>
          <w:szCs w:val="24"/>
        </w:rPr>
      </w:pPr>
      <w:r>
        <w:rPr>
          <w:rFonts w:hint="eastAsia" w:ascii="宋体" w:hAnsi="宋体" w:eastAsia="宋体" w:cs="宋体"/>
          <w:b w:val="0"/>
          <w:color w:val="000000"/>
          <w:sz w:val="24"/>
          <w:szCs w:val="24"/>
        </w:rPr>
        <w:t>11. 价格调整</w:t>
      </w:r>
      <w:bookmarkEnd w:id="742"/>
      <w:bookmarkEnd w:id="743"/>
    </w:p>
    <w:p w14:paraId="28D62979">
      <w:pPr>
        <w:spacing w:line="360" w:lineRule="auto"/>
        <w:ind w:firstLine="480" w:firstLineChars="200"/>
        <w:rPr>
          <w:rFonts w:ascii="宋体" w:hAnsi="宋体" w:cs="宋体"/>
          <w:sz w:val="24"/>
        </w:rPr>
      </w:pPr>
      <w:bookmarkStart w:id="793" w:name="_Toc304295577"/>
      <w:bookmarkStart w:id="794" w:name="_Toc296346702"/>
      <w:bookmarkStart w:id="795" w:name="_Toc296503201"/>
      <w:bookmarkStart w:id="796" w:name="_Toc297048387"/>
      <w:bookmarkStart w:id="797" w:name="_Toc297120501"/>
      <w:bookmarkStart w:id="798" w:name="_Toc297216209"/>
      <w:bookmarkStart w:id="799" w:name="_Toc296891029"/>
      <w:bookmarkStart w:id="800" w:name="_Toc300935000"/>
      <w:bookmarkStart w:id="801" w:name="_Toc312678039"/>
      <w:bookmarkStart w:id="802" w:name="_Toc303539157"/>
      <w:bookmarkStart w:id="803" w:name="_Toc296347200"/>
      <w:bookmarkStart w:id="804" w:name="_Toc296891241"/>
      <w:bookmarkStart w:id="805" w:name="_Toc292559406"/>
      <w:bookmarkStart w:id="806" w:name="_Toc297123550"/>
      <w:bookmarkStart w:id="807" w:name="_Toc292559911"/>
      <w:bookmarkStart w:id="808" w:name="_Toc296944540"/>
      <w:r>
        <w:rPr>
          <w:rFonts w:hint="eastAsia" w:ascii="宋体" w:hAnsi="宋体" w:cs="宋体"/>
          <w:sz w:val="24"/>
        </w:rPr>
        <w:t>11.1 市场价格波动引起的调整</w:t>
      </w:r>
    </w:p>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14:paraId="367FB32C">
      <w:pPr>
        <w:pStyle w:val="6"/>
        <w:spacing w:before="0" w:after="0" w:line="360" w:lineRule="auto"/>
        <w:ind w:left="874" w:leftChars="176" w:hanging="504" w:hangingChars="210"/>
        <w:rPr>
          <w:rFonts w:ascii="宋体" w:hAnsi="宋体" w:eastAsia="宋体" w:cs="宋体"/>
          <w:b w:val="0"/>
          <w:sz w:val="24"/>
          <w:szCs w:val="24"/>
        </w:rPr>
      </w:pPr>
      <w:bookmarkStart w:id="809" w:name="_Toc297048391"/>
      <w:bookmarkStart w:id="810" w:name="_Toc296891245"/>
      <w:bookmarkStart w:id="811" w:name="_Toc296347204"/>
      <w:bookmarkStart w:id="812" w:name="_Toc292559410"/>
      <w:bookmarkStart w:id="813" w:name="_Toc296346706"/>
      <w:bookmarkStart w:id="814" w:name="_Toc296503205"/>
      <w:bookmarkStart w:id="815" w:name="_Toc292559915"/>
      <w:bookmarkStart w:id="816" w:name="_Toc296944544"/>
      <w:bookmarkStart w:id="817" w:name="_Toc297120505"/>
      <w:bookmarkStart w:id="818" w:name="_Toc296891033"/>
      <w:bookmarkStart w:id="819" w:name="_Toc351203644"/>
      <w:bookmarkStart w:id="820" w:name="_Toc386638618"/>
      <w:bookmarkStart w:id="821" w:name="_Toc297216211"/>
      <w:bookmarkStart w:id="822" w:name="_Toc303539159"/>
      <w:bookmarkStart w:id="823" w:name="_Toc304295579"/>
      <w:bookmarkStart w:id="824" w:name="_Toc300935002"/>
      <w:bookmarkStart w:id="825" w:name="_Toc312678040"/>
      <w:bookmarkStart w:id="826" w:name="_Toc297123552"/>
      <w:bookmarkStart w:id="827" w:name="_Toc312678042"/>
      <w:bookmarkStart w:id="828" w:name="_Toc304295581"/>
      <w:bookmarkStart w:id="829" w:name="_Toc297216213"/>
      <w:bookmarkStart w:id="830" w:name="_Toc297123554"/>
      <w:bookmarkStart w:id="831" w:name="_Toc300935004"/>
      <w:bookmarkStart w:id="832" w:name="_Toc303539161"/>
      <w:bookmarkStart w:id="833" w:name="_Toc296347206"/>
      <w:bookmarkStart w:id="834" w:name="_Toc296891247"/>
      <w:bookmarkStart w:id="835" w:name="_Toc296346708"/>
      <w:bookmarkStart w:id="836" w:name="_Toc296891035"/>
      <w:bookmarkStart w:id="837" w:name="_Toc297120507"/>
      <w:bookmarkStart w:id="838" w:name="_Toc292559917"/>
      <w:bookmarkStart w:id="839" w:name="_Toc296944546"/>
      <w:bookmarkStart w:id="840" w:name="_Toc297048393"/>
      <w:bookmarkStart w:id="841" w:name="_Toc296503207"/>
      <w:bookmarkStart w:id="842" w:name="_Toc292559412"/>
      <w:r>
        <w:rPr>
          <w:rFonts w:hint="eastAsia" w:ascii="宋体" w:hAnsi="宋体" w:eastAsia="宋体" w:cs="宋体"/>
          <w:b w:val="0"/>
          <w:sz w:val="24"/>
          <w:szCs w:val="24"/>
        </w:rPr>
        <w:t>市场价格波动是否调整合同价格的约定：</w:t>
      </w:r>
      <w:r>
        <w:rPr>
          <w:rFonts w:hint="eastAsia" w:ascii="宋体" w:hAnsi="宋体" w:eastAsia="宋体" w:cs="宋体"/>
          <w:b w:val="0"/>
          <w:sz w:val="24"/>
          <w:szCs w:val="24"/>
          <w:u w:val="single"/>
        </w:rPr>
        <w:t>不调整。</w:t>
      </w:r>
    </w:p>
    <w:p w14:paraId="151429AD">
      <w:pPr>
        <w:pStyle w:val="6"/>
        <w:spacing w:before="0" w:after="0" w:line="360" w:lineRule="auto"/>
        <w:jc w:val="left"/>
        <w:rPr>
          <w:rFonts w:ascii="宋体" w:hAnsi="宋体" w:eastAsia="宋体" w:cs="宋体"/>
          <w:b w:val="0"/>
          <w:sz w:val="24"/>
          <w:szCs w:val="24"/>
          <w:u w:val="single"/>
        </w:rPr>
      </w:pPr>
      <w:r>
        <w:rPr>
          <w:rFonts w:hint="eastAsia" w:ascii="宋体" w:hAnsi="宋体" w:eastAsia="宋体" w:cs="宋体"/>
          <w:b w:val="0"/>
          <w:sz w:val="24"/>
          <w:szCs w:val="24"/>
          <w:u w:val="single"/>
        </w:rPr>
        <w:t>如国家的法律、法规、规章和政策发生变化影响工程造价的，应按其规定调整合同价款。</w:t>
      </w:r>
    </w:p>
    <w:p w14:paraId="6CD93601">
      <w:pPr>
        <w:spacing w:line="360" w:lineRule="auto"/>
        <w:ind w:firstLine="480" w:firstLineChars="200"/>
        <w:rPr>
          <w:rFonts w:ascii="宋体" w:hAnsi="宋体" w:cs="宋体"/>
          <w:sz w:val="24"/>
        </w:rPr>
      </w:pPr>
      <w:r>
        <w:rPr>
          <w:rFonts w:hint="eastAsia" w:ascii="宋体" w:hAnsi="宋体" w:cs="宋体"/>
          <w:sz w:val="24"/>
        </w:rPr>
        <w:t>11.2 法律变化引起的调整</w:t>
      </w:r>
    </w:p>
    <w:p w14:paraId="482224F4">
      <w:pPr>
        <w:pStyle w:val="6"/>
        <w:spacing w:before="0" w:after="0" w:line="360" w:lineRule="auto"/>
        <w:ind w:left="874" w:leftChars="176" w:hanging="504" w:hangingChars="210"/>
        <w:rPr>
          <w:rFonts w:ascii="宋体" w:hAnsi="宋体" w:eastAsia="宋体" w:cs="宋体"/>
          <w:b w:val="0"/>
          <w:sz w:val="24"/>
          <w:szCs w:val="24"/>
        </w:rPr>
      </w:pPr>
      <w:r>
        <w:rPr>
          <w:rFonts w:hint="eastAsia" w:ascii="宋体" w:hAnsi="宋体" w:eastAsia="宋体" w:cs="宋体"/>
          <w:b w:val="0"/>
          <w:sz w:val="24"/>
          <w:szCs w:val="24"/>
        </w:rPr>
        <w:t>合同当事人关于本条的补充约定：</w:t>
      </w:r>
    </w:p>
    <w:p w14:paraId="58825E7A">
      <w:pPr>
        <w:spacing w:line="360" w:lineRule="auto"/>
        <w:ind w:firstLine="480" w:firstLineChars="200"/>
        <w:rPr>
          <w:rFonts w:ascii="宋体" w:hAnsi="宋体" w:cs="宋体"/>
          <w:sz w:val="24"/>
        </w:rPr>
      </w:pPr>
      <w:r>
        <w:rPr>
          <w:rFonts w:hint="eastAsia" w:ascii="宋体" w:hAnsi="宋体" w:cs="宋体"/>
          <w:sz w:val="24"/>
        </w:rPr>
        <w:t>（1）本条所称的法律包括法律、法规、规章及规范性文件。</w:t>
      </w:r>
    </w:p>
    <w:p w14:paraId="1A1CF444">
      <w:pPr>
        <w:spacing w:line="360" w:lineRule="auto"/>
        <w:ind w:firstLine="480" w:firstLineChars="200"/>
        <w:rPr>
          <w:rFonts w:ascii="宋体" w:hAnsi="宋体" w:cs="宋体"/>
          <w:sz w:val="24"/>
        </w:rPr>
      </w:pPr>
      <w:r>
        <w:rPr>
          <w:rFonts w:hint="eastAsia" w:ascii="宋体" w:hAnsi="宋体" w:cs="宋体"/>
          <w:sz w:val="24"/>
        </w:rPr>
        <w:t>基准日期后，法律变化引起工程造价增减变化的，发包人和承包人双方应按照省级或行业建设主管部门或其授权的工程造价管理机构据此发布的规定调整合同价款。</w:t>
      </w:r>
    </w:p>
    <w:p w14:paraId="734808CD">
      <w:pPr>
        <w:spacing w:line="360" w:lineRule="auto"/>
        <w:ind w:firstLine="480" w:firstLineChars="200"/>
        <w:rPr>
          <w:rFonts w:ascii="宋体" w:hAnsi="宋体" w:cs="宋体"/>
          <w:sz w:val="24"/>
        </w:rPr>
      </w:pPr>
      <w:r>
        <w:rPr>
          <w:rFonts w:hint="eastAsia" w:ascii="宋体" w:hAnsi="宋体" w:cs="宋体"/>
          <w:sz w:val="24"/>
        </w:rPr>
        <w:t xml:space="preserve">12. </w:t>
      </w:r>
      <w:bookmarkEnd w:id="809"/>
      <w:bookmarkEnd w:id="810"/>
      <w:bookmarkEnd w:id="811"/>
      <w:bookmarkEnd w:id="812"/>
      <w:bookmarkEnd w:id="813"/>
      <w:bookmarkEnd w:id="814"/>
      <w:bookmarkEnd w:id="815"/>
      <w:bookmarkEnd w:id="816"/>
      <w:bookmarkEnd w:id="817"/>
      <w:bookmarkEnd w:id="818"/>
      <w:r>
        <w:rPr>
          <w:rFonts w:hint="eastAsia" w:ascii="宋体" w:hAnsi="宋体" w:cs="宋体"/>
          <w:sz w:val="24"/>
        </w:rPr>
        <w:t>合同价格、计量与支付</w:t>
      </w:r>
      <w:bookmarkEnd w:id="819"/>
      <w:bookmarkEnd w:id="820"/>
    </w:p>
    <w:bookmarkEnd w:id="821"/>
    <w:bookmarkEnd w:id="822"/>
    <w:bookmarkEnd w:id="823"/>
    <w:bookmarkEnd w:id="824"/>
    <w:bookmarkEnd w:id="825"/>
    <w:bookmarkEnd w:id="826"/>
    <w:p w14:paraId="410F9F5A">
      <w:pPr>
        <w:spacing w:line="360" w:lineRule="auto"/>
        <w:ind w:firstLine="480" w:firstLineChars="200"/>
        <w:rPr>
          <w:rFonts w:ascii="宋体" w:hAnsi="宋体" w:cs="宋体"/>
          <w:sz w:val="24"/>
        </w:rPr>
      </w:pPr>
      <w:bookmarkStart w:id="843" w:name="_Toc292559916"/>
      <w:bookmarkStart w:id="844" w:name="_Toc267251461"/>
      <w:bookmarkStart w:id="845" w:name="_Toc292559411"/>
      <w:bookmarkStart w:id="846" w:name="_Toc297048392"/>
      <w:bookmarkStart w:id="847" w:name="_Toc297120506"/>
      <w:bookmarkStart w:id="848" w:name="_Toc296503206"/>
      <w:bookmarkStart w:id="849" w:name="_Toc296891246"/>
      <w:bookmarkStart w:id="850" w:name="_Toc296347205"/>
      <w:bookmarkStart w:id="851" w:name="_Toc296944545"/>
      <w:bookmarkStart w:id="852" w:name="_Toc296346707"/>
      <w:bookmarkStart w:id="853" w:name="_Toc296891034"/>
      <w:bookmarkStart w:id="854" w:name="_Toc312678041"/>
      <w:bookmarkStart w:id="855" w:name="_Toc297123553"/>
      <w:bookmarkStart w:id="856" w:name="_Toc297216212"/>
      <w:bookmarkStart w:id="857" w:name="_Toc303539160"/>
      <w:bookmarkStart w:id="858" w:name="_Toc304295580"/>
      <w:bookmarkStart w:id="859" w:name="_Toc300935003"/>
      <w:r>
        <w:rPr>
          <w:rFonts w:hint="eastAsia" w:ascii="宋体" w:hAnsi="宋体" w:cs="宋体"/>
          <w:sz w:val="24"/>
        </w:rPr>
        <w:t>12.1 合</w:t>
      </w:r>
      <w:bookmarkEnd w:id="843"/>
      <w:bookmarkEnd w:id="844"/>
      <w:bookmarkEnd w:id="845"/>
      <w:r>
        <w:rPr>
          <w:rFonts w:hint="eastAsia" w:ascii="宋体" w:hAnsi="宋体" w:cs="宋体"/>
          <w:sz w:val="24"/>
        </w:rPr>
        <w:t>同价</w:t>
      </w:r>
      <w:bookmarkEnd w:id="846"/>
      <w:bookmarkEnd w:id="847"/>
      <w:bookmarkEnd w:id="848"/>
      <w:bookmarkEnd w:id="849"/>
      <w:bookmarkEnd w:id="850"/>
      <w:bookmarkEnd w:id="851"/>
      <w:bookmarkEnd w:id="852"/>
      <w:bookmarkEnd w:id="853"/>
      <w:r>
        <w:rPr>
          <w:rFonts w:hint="eastAsia" w:ascii="宋体" w:hAnsi="宋体" w:cs="宋体"/>
          <w:sz w:val="24"/>
        </w:rPr>
        <w:t>格形式</w:t>
      </w:r>
    </w:p>
    <w:bookmarkEnd w:id="854"/>
    <w:bookmarkEnd w:id="855"/>
    <w:bookmarkEnd w:id="856"/>
    <w:bookmarkEnd w:id="857"/>
    <w:bookmarkEnd w:id="858"/>
    <w:bookmarkEnd w:id="859"/>
    <w:p w14:paraId="1E2EE0E7">
      <w:pPr>
        <w:spacing w:line="360" w:lineRule="auto"/>
        <w:ind w:firstLine="480" w:firstLineChars="200"/>
        <w:rPr>
          <w:rFonts w:ascii="宋体" w:hAnsi="宋体" w:cs="宋体"/>
          <w:b/>
          <w:kern w:val="0"/>
          <w:sz w:val="24"/>
          <w:u w:val="single"/>
        </w:rPr>
      </w:pPr>
      <w:r>
        <w:rPr>
          <w:rFonts w:hint="eastAsia" w:ascii="宋体" w:hAnsi="宋体" w:cs="宋体"/>
          <w:kern w:val="0"/>
          <w:sz w:val="24"/>
        </w:rPr>
        <w:t>1、本合同采用合同当事人签订的合同协议书中约定的价格形式，即：</w:t>
      </w:r>
      <w:r>
        <w:rPr>
          <w:rFonts w:hint="eastAsia" w:ascii="宋体" w:hAnsi="宋体" w:cs="宋体"/>
          <w:b/>
          <w:kern w:val="0"/>
          <w:sz w:val="24"/>
          <w:u w:val="single"/>
        </w:rPr>
        <w:t>单价合同。</w:t>
      </w:r>
    </w:p>
    <w:p w14:paraId="05C19C4D">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（1）综合单价包含的风险范围：</w:t>
      </w:r>
      <w:r>
        <w:rPr>
          <w:rFonts w:hint="eastAsia" w:ascii="宋体" w:hAnsi="宋体" w:cs="宋体"/>
          <w:color w:val="000000"/>
          <w:sz w:val="24"/>
          <w:u w:val="single"/>
        </w:rPr>
        <w:t>综合单价不做调整。</w:t>
      </w:r>
    </w:p>
    <w:p w14:paraId="00AD18D1">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（2）人工价差调整的结算期及方法：</w:t>
      </w:r>
      <w:r>
        <w:rPr>
          <w:rFonts w:hint="eastAsia" w:ascii="宋体" w:hAnsi="宋体" w:cs="宋体"/>
          <w:color w:val="000000"/>
          <w:sz w:val="24"/>
          <w:u w:val="single"/>
        </w:rPr>
        <w:t>人工价差不做调整。</w:t>
      </w:r>
    </w:p>
    <w:p w14:paraId="7CC18CD1">
      <w:pPr>
        <w:spacing w:line="360" w:lineRule="auto"/>
        <w:ind w:firstLine="480" w:firstLineChars="200"/>
        <w:rPr>
          <w:rFonts w:ascii="宋体" w:hAnsi="宋体" w:cs="宋体"/>
          <w:color w:val="000000"/>
          <w:sz w:val="24"/>
        </w:rPr>
      </w:pPr>
      <w:r>
        <w:rPr>
          <w:rFonts w:hint="eastAsia" w:ascii="宋体" w:hAnsi="宋体" w:cs="宋体"/>
          <w:color w:val="000000"/>
          <w:sz w:val="24"/>
        </w:rPr>
        <w:t>（3）材料价差调整的结算期及方法：</w:t>
      </w:r>
      <w:r>
        <w:rPr>
          <w:rFonts w:hint="eastAsia" w:ascii="宋体" w:hAnsi="宋体" w:cs="宋体"/>
          <w:color w:val="000000"/>
          <w:sz w:val="24"/>
          <w:u w:val="single"/>
        </w:rPr>
        <w:t>材料价差不做调整。</w:t>
      </w:r>
    </w:p>
    <w:p w14:paraId="5ED442C7">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（4</w:t>
      </w:r>
      <w:r>
        <w:rPr>
          <w:rFonts w:hint="eastAsia" w:ascii="宋体" w:hAnsi="宋体" w:cs="宋体"/>
          <w:color w:val="auto"/>
          <w:sz w:val="24"/>
          <w:u w:val="single"/>
          <w:lang w:eastAsia="zh-CN"/>
        </w:rPr>
        <w:t>）</w:t>
      </w:r>
      <w:r>
        <w:rPr>
          <w:rFonts w:hint="eastAsia" w:ascii="宋体" w:hAnsi="宋体" w:cs="宋体"/>
          <w:color w:val="auto"/>
          <w:sz w:val="24"/>
          <w:u w:val="single"/>
        </w:rPr>
        <w:t>如因发包人原因造成工期延误的，延误期间遇人工、单项材料上涨时，按实际工期月份结合《关于进一步加强建设工程要素价格动态管理工作的通知》（甬建价（2021)9号）文件的市场信息价的算术平均值计取价差；反之，遇人工、单项材料下降时，按合同工期月份结合《关于进一步加强建设工程要素价格动态管理工作的通知》（甬建价（2021)9号）文件的市场信息价的算术平均值计取价差。因承包人原因造成工期延误的，延误期间遇材料人工、单项材料上涨时，按合同工期月份的市场信息价的算术平均值计取价差；反之，遇人工、单项材料下降时，按实际工期月份《关于进一步加强建设工程要素价格动态管理工作的通知》（甬建价（2021)9号）文件的市场信息价的算术平均值计取价差。</w:t>
      </w:r>
    </w:p>
    <w:p w14:paraId="53088D22">
      <w:pPr>
        <w:spacing w:line="360" w:lineRule="auto"/>
        <w:ind w:firstLine="480" w:firstLineChars="200"/>
        <w:rPr>
          <w:u w:val="none"/>
        </w:rPr>
      </w:pPr>
      <w:r>
        <w:rPr>
          <w:rFonts w:hint="eastAsia" w:ascii="宋体" w:hAnsi="宋体" w:eastAsia="宋体" w:cs="宋体"/>
          <w:color w:val="auto"/>
          <w:sz w:val="24"/>
          <w:u w:val="none"/>
        </w:rPr>
        <w:t>不论工程量变更多少，工程量变更部分以建设单位签证为准，其单价不变。</w:t>
      </w:r>
    </w:p>
    <w:p w14:paraId="3E4D3C0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本合同采用的计价依据：</w:t>
      </w:r>
      <w:r>
        <w:rPr>
          <w:rFonts w:hint="eastAsia" w:ascii="宋体" w:hAnsi="宋体" w:cs="宋体"/>
          <w:color w:val="000000"/>
          <w:sz w:val="24"/>
          <w:u w:val="single"/>
        </w:rPr>
        <w:t>《建设工程工程量清单计价规范》（GB50500-2013）、《房屋建筑与装饰工程工程量计算规范》（GB 50854-2013）、《通用安装工程工程量计算规范》(GB50856-2013)、《浙江省建设工程工程量清单计价指引》（2013版）及其补充条款、《浙江省建设工程计价规则（2018版）》、浙江省建筑安装工程修缮预算定额(2018版）》，《浙江省房屋建筑与装饰工程预算定额（2018）版》、《浙江省市政工程预算定额（2018）版》、关于增值税调整后我省建设工程计价依据增值税税率及有关计价调整的通知》（浙建建发〔2019〕92 号）以及其他现行、合法的有关规定、政策性文件和定额等。</w:t>
      </w:r>
    </w:p>
    <w:p w14:paraId="0E537165">
      <w:pPr>
        <w:spacing w:line="360" w:lineRule="auto"/>
        <w:ind w:firstLine="480" w:firstLineChars="200"/>
        <w:rPr>
          <w:rFonts w:ascii="宋体" w:hAnsi="宋体" w:cs="宋体"/>
          <w:color w:val="000000"/>
          <w:sz w:val="24"/>
        </w:rPr>
      </w:pPr>
      <w:r>
        <w:rPr>
          <w:rFonts w:hint="eastAsia" w:ascii="宋体" w:hAnsi="宋体" w:cs="宋体"/>
          <w:color w:val="000000"/>
          <w:sz w:val="24"/>
        </w:rPr>
        <w:t>12.2 预付款</w:t>
      </w:r>
    </w:p>
    <w:bookmarkEnd w:id="827"/>
    <w:bookmarkEnd w:id="828"/>
    <w:bookmarkEnd w:id="829"/>
    <w:bookmarkEnd w:id="830"/>
    <w:bookmarkEnd w:id="831"/>
    <w:bookmarkEnd w:id="832"/>
    <w:p w14:paraId="735891D6">
      <w:pPr>
        <w:spacing w:line="360" w:lineRule="auto"/>
        <w:ind w:firstLine="480" w:firstLineChars="200"/>
        <w:rPr>
          <w:rFonts w:ascii="宋体" w:hAnsi="宋体" w:cs="宋体"/>
          <w:sz w:val="24"/>
        </w:rPr>
      </w:pPr>
      <w:r>
        <w:rPr>
          <w:rFonts w:hint="eastAsia" w:ascii="宋体" w:hAnsi="宋体" w:cs="宋体"/>
          <w:sz w:val="24"/>
        </w:rPr>
        <w:t>12.2.1 预付款的支付</w:t>
      </w:r>
    </w:p>
    <w:p w14:paraId="35EFC0BE">
      <w:pPr>
        <w:spacing w:line="360" w:lineRule="auto"/>
        <w:ind w:firstLine="480" w:firstLineChars="200"/>
        <w:rPr>
          <w:rFonts w:hint="eastAsia" w:ascii="宋体" w:hAnsi="宋体" w:cs="宋体"/>
          <w:sz w:val="24"/>
        </w:rPr>
      </w:pPr>
      <w:r>
        <w:rPr>
          <w:rFonts w:hint="eastAsia" w:ascii="宋体" w:hAnsi="宋体" w:cs="宋体"/>
          <w:sz w:val="24"/>
        </w:rPr>
        <w:t>预付款支付比例或期限：在签订施工合同后，开工报告批准后 7 个工作日内，发包人支付给承包人合同价的</w:t>
      </w:r>
      <w:r>
        <w:rPr>
          <w:rFonts w:hint="eastAsia" w:ascii="宋体" w:hAnsi="宋体" w:cs="宋体"/>
          <w:sz w:val="24"/>
          <w:u w:val="single"/>
        </w:rPr>
        <w:t xml:space="preserve"> 40 %</w:t>
      </w:r>
      <w:r>
        <w:rPr>
          <w:rFonts w:hint="eastAsia" w:ascii="宋体" w:hAnsi="宋体" w:cs="宋体"/>
          <w:sz w:val="24"/>
        </w:rPr>
        <w:t>作为工程预付款。</w:t>
      </w:r>
    </w:p>
    <w:p w14:paraId="1A7711EC">
      <w:pPr>
        <w:spacing w:line="360" w:lineRule="auto"/>
        <w:ind w:firstLine="480" w:firstLineChars="200"/>
        <w:rPr>
          <w:rFonts w:ascii="宋体" w:hAnsi="宋体" w:cs="宋体"/>
          <w:color w:val="000000"/>
          <w:sz w:val="24"/>
        </w:rPr>
      </w:pPr>
      <w:r>
        <w:rPr>
          <w:rFonts w:hint="eastAsia" w:ascii="宋体" w:hAnsi="宋体" w:cs="宋体"/>
          <w:sz w:val="24"/>
        </w:rPr>
        <w:t>预付款扣回的方式(时间、金额)：</w:t>
      </w:r>
      <w:r>
        <w:rPr>
          <w:rFonts w:hint="eastAsia" w:ascii="宋体" w:hAnsi="宋体" w:cs="宋体"/>
          <w:sz w:val="24"/>
          <w:u w:val="single"/>
        </w:rPr>
        <w:t xml:space="preserve">不扣回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color w:val="000000"/>
          <w:sz w:val="24"/>
        </w:rPr>
        <w:t>。</w:t>
      </w:r>
    </w:p>
    <w:p w14:paraId="4043889C">
      <w:pPr>
        <w:spacing w:line="360" w:lineRule="auto"/>
        <w:ind w:firstLine="480" w:firstLineChars="200"/>
        <w:rPr>
          <w:rFonts w:ascii="宋体" w:hAnsi="宋体" w:cs="宋体"/>
          <w:color w:val="000000"/>
          <w:sz w:val="24"/>
        </w:rPr>
      </w:pPr>
      <w:r>
        <w:rPr>
          <w:rFonts w:hint="eastAsia" w:ascii="宋体" w:hAnsi="宋体" w:cs="宋体"/>
          <w:color w:val="000000"/>
          <w:sz w:val="24"/>
        </w:rPr>
        <w:t>12.2.2 预付款担保</w:t>
      </w:r>
    </w:p>
    <w:p w14:paraId="4F4C2930">
      <w:pPr>
        <w:spacing w:line="360" w:lineRule="auto"/>
        <w:ind w:firstLine="480" w:firstLineChars="200"/>
        <w:rPr>
          <w:rFonts w:ascii="宋体" w:hAnsi="宋体" w:cs="宋体"/>
          <w:color w:val="000000"/>
          <w:sz w:val="24"/>
        </w:rPr>
      </w:pPr>
      <w:r>
        <w:rPr>
          <w:rFonts w:hint="eastAsia" w:ascii="宋体" w:hAnsi="宋体" w:cs="宋体"/>
          <w:color w:val="000000"/>
          <w:sz w:val="24"/>
        </w:rPr>
        <w:t>承包人提交预付款担保的期限：</w:t>
      </w:r>
      <w:r>
        <w:rPr>
          <w:rFonts w:hint="eastAsia" w:ascii="宋体" w:hAnsi="宋体" w:cs="宋体"/>
          <w:color w:val="000000"/>
          <w:sz w:val="24"/>
          <w:u w:val="single"/>
        </w:rPr>
        <w:t xml:space="preserve">            /              </w:t>
      </w:r>
      <w:r>
        <w:rPr>
          <w:rFonts w:hint="eastAsia" w:ascii="宋体" w:hAnsi="宋体" w:cs="宋体"/>
          <w:color w:val="000000"/>
          <w:sz w:val="24"/>
        </w:rPr>
        <w:t>。</w:t>
      </w:r>
    </w:p>
    <w:p w14:paraId="4AC6A29A">
      <w:pPr>
        <w:spacing w:line="360" w:lineRule="auto"/>
        <w:ind w:firstLine="480" w:firstLineChars="200"/>
        <w:rPr>
          <w:rFonts w:ascii="宋体" w:hAnsi="宋体" w:cs="宋体"/>
          <w:color w:val="000000"/>
          <w:sz w:val="24"/>
        </w:rPr>
      </w:pPr>
      <w:r>
        <w:rPr>
          <w:rFonts w:hint="eastAsia" w:ascii="宋体" w:hAnsi="宋体" w:cs="宋体"/>
          <w:color w:val="000000"/>
          <w:sz w:val="24"/>
        </w:rPr>
        <w:t>预付款担保的形式为：</w:t>
      </w:r>
      <w:r>
        <w:rPr>
          <w:rFonts w:hint="eastAsia" w:ascii="宋体" w:hAnsi="宋体" w:cs="宋体"/>
          <w:color w:val="000000"/>
          <w:sz w:val="24"/>
          <w:u w:val="single"/>
        </w:rPr>
        <w:t xml:space="preserve">                    /              </w:t>
      </w:r>
      <w:r>
        <w:rPr>
          <w:rFonts w:hint="eastAsia" w:ascii="宋体" w:hAnsi="宋体" w:cs="宋体"/>
          <w:color w:val="000000"/>
          <w:sz w:val="24"/>
        </w:rPr>
        <w:t>。</w:t>
      </w:r>
    </w:p>
    <w:bookmarkEnd w:id="833"/>
    <w:bookmarkEnd w:id="834"/>
    <w:bookmarkEnd w:id="835"/>
    <w:bookmarkEnd w:id="836"/>
    <w:bookmarkEnd w:id="837"/>
    <w:bookmarkEnd w:id="838"/>
    <w:bookmarkEnd w:id="839"/>
    <w:bookmarkEnd w:id="840"/>
    <w:bookmarkEnd w:id="841"/>
    <w:bookmarkEnd w:id="842"/>
    <w:p w14:paraId="62C2DD48">
      <w:pPr>
        <w:spacing w:line="360" w:lineRule="auto"/>
        <w:ind w:firstLine="480" w:firstLineChars="200"/>
        <w:rPr>
          <w:rFonts w:ascii="宋体" w:hAnsi="宋体" w:cs="宋体"/>
          <w:color w:val="000000"/>
          <w:sz w:val="24"/>
        </w:rPr>
      </w:pPr>
      <w:r>
        <w:rPr>
          <w:rFonts w:hint="eastAsia" w:ascii="宋体" w:hAnsi="宋体" w:cs="宋体"/>
          <w:color w:val="000000"/>
          <w:sz w:val="24"/>
        </w:rPr>
        <w:t>12.3 计量</w:t>
      </w:r>
    </w:p>
    <w:p w14:paraId="722506FC">
      <w:pPr>
        <w:spacing w:line="360" w:lineRule="auto"/>
        <w:ind w:firstLine="480" w:firstLineChars="200"/>
        <w:rPr>
          <w:rFonts w:ascii="宋体" w:hAnsi="宋体" w:cs="宋体"/>
          <w:color w:val="000000"/>
          <w:sz w:val="24"/>
        </w:rPr>
      </w:pPr>
      <w:r>
        <w:rPr>
          <w:rFonts w:hint="eastAsia" w:ascii="宋体" w:hAnsi="宋体" w:cs="宋体"/>
          <w:color w:val="000000"/>
          <w:sz w:val="24"/>
        </w:rPr>
        <w:t>12.3.1 计量原则</w:t>
      </w:r>
    </w:p>
    <w:p w14:paraId="449CEC36">
      <w:pPr>
        <w:spacing w:line="360" w:lineRule="auto"/>
        <w:ind w:firstLine="480" w:firstLineChars="200"/>
        <w:rPr>
          <w:rFonts w:ascii="宋体" w:hAnsi="宋体" w:cs="宋体"/>
          <w:color w:val="000000"/>
          <w:sz w:val="24"/>
        </w:rPr>
      </w:pPr>
      <w:r>
        <w:rPr>
          <w:rFonts w:hint="eastAsia" w:ascii="宋体" w:hAnsi="宋体" w:cs="宋体"/>
          <w:color w:val="000000"/>
          <w:sz w:val="24"/>
        </w:rPr>
        <w:t>工程量计算规则：</w:t>
      </w:r>
      <w:r>
        <w:rPr>
          <w:rFonts w:hint="eastAsia" w:ascii="宋体" w:hAnsi="宋体" w:cs="宋体"/>
          <w:color w:val="000000"/>
          <w:sz w:val="24"/>
          <w:u w:val="single"/>
        </w:rPr>
        <w:t xml:space="preserve"> 按现行的工程量计算规则执行 </w:t>
      </w:r>
      <w:r>
        <w:rPr>
          <w:rFonts w:hint="eastAsia" w:ascii="宋体" w:hAnsi="宋体" w:cs="宋体"/>
          <w:color w:val="000000"/>
          <w:sz w:val="24"/>
        </w:rPr>
        <w:t>。</w:t>
      </w:r>
    </w:p>
    <w:p w14:paraId="036303AD">
      <w:pPr>
        <w:spacing w:line="360" w:lineRule="auto"/>
        <w:ind w:firstLine="480" w:firstLineChars="200"/>
        <w:rPr>
          <w:rFonts w:ascii="宋体" w:hAnsi="宋体" w:cs="宋体"/>
          <w:color w:val="000000"/>
          <w:sz w:val="24"/>
        </w:rPr>
      </w:pPr>
      <w:r>
        <w:rPr>
          <w:rFonts w:hint="eastAsia" w:ascii="宋体" w:hAnsi="宋体" w:cs="宋体"/>
          <w:color w:val="000000"/>
          <w:sz w:val="24"/>
        </w:rPr>
        <w:t>12.3.2 计量周期</w:t>
      </w:r>
    </w:p>
    <w:p w14:paraId="413817A3">
      <w:pPr>
        <w:spacing w:line="360" w:lineRule="auto"/>
        <w:ind w:firstLine="480" w:firstLineChars="200"/>
        <w:rPr>
          <w:rFonts w:ascii="宋体" w:hAnsi="宋体" w:cs="宋体"/>
          <w:color w:val="000000"/>
          <w:sz w:val="24"/>
        </w:rPr>
      </w:pPr>
      <w:r>
        <w:rPr>
          <w:rFonts w:hint="eastAsia" w:ascii="宋体" w:hAnsi="宋体" w:cs="宋体"/>
          <w:color w:val="000000"/>
          <w:sz w:val="24"/>
        </w:rPr>
        <w:t>关于计量周期的约定：</w:t>
      </w:r>
      <w:r>
        <w:rPr>
          <w:rFonts w:hint="eastAsia" w:ascii="宋体" w:hAnsi="宋体" w:cs="宋体"/>
          <w:color w:val="000000"/>
          <w:sz w:val="24"/>
          <w:u w:val="single"/>
        </w:rPr>
        <w:t xml:space="preserve">      按进度进行        </w:t>
      </w:r>
      <w:r>
        <w:rPr>
          <w:rFonts w:hint="eastAsia" w:ascii="宋体" w:hAnsi="宋体" w:cs="宋体"/>
          <w:color w:val="000000"/>
          <w:sz w:val="24"/>
        </w:rPr>
        <w:t>。</w:t>
      </w:r>
    </w:p>
    <w:p w14:paraId="0FCA7ED3">
      <w:pPr>
        <w:spacing w:line="360" w:lineRule="auto"/>
        <w:ind w:firstLine="480" w:firstLineChars="200"/>
        <w:rPr>
          <w:rFonts w:ascii="宋体" w:hAnsi="宋体" w:cs="宋体"/>
          <w:color w:val="000000"/>
          <w:sz w:val="24"/>
        </w:rPr>
      </w:pPr>
      <w:r>
        <w:rPr>
          <w:rFonts w:hint="eastAsia" w:ascii="宋体" w:hAnsi="宋体" w:cs="宋体"/>
          <w:color w:val="000000"/>
          <w:sz w:val="24"/>
        </w:rPr>
        <w:t>12.3.3 单价合同的计量</w:t>
      </w:r>
    </w:p>
    <w:p w14:paraId="71887AA3">
      <w:pPr>
        <w:spacing w:line="360" w:lineRule="auto"/>
        <w:ind w:firstLine="480" w:firstLineChars="200"/>
        <w:rPr>
          <w:rFonts w:ascii="宋体" w:hAnsi="宋体" w:cs="宋体"/>
          <w:color w:val="000000"/>
          <w:sz w:val="24"/>
        </w:rPr>
      </w:pPr>
      <w:r>
        <w:rPr>
          <w:rFonts w:hint="eastAsia" w:ascii="宋体" w:hAnsi="宋体" w:cs="宋体"/>
          <w:color w:val="000000"/>
          <w:sz w:val="24"/>
        </w:rPr>
        <w:t>关于单价合同计量的约定：</w:t>
      </w:r>
      <w:r>
        <w:rPr>
          <w:rFonts w:hint="eastAsia" w:ascii="宋体" w:hAnsi="宋体" w:cs="宋体"/>
          <w:color w:val="000000"/>
          <w:sz w:val="24"/>
          <w:u w:val="single"/>
        </w:rPr>
        <w:t xml:space="preserve">          /         </w:t>
      </w:r>
      <w:r>
        <w:rPr>
          <w:rFonts w:hint="eastAsia" w:ascii="宋体" w:hAnsi="宋体" w:cs="宋体"/>
          <w:color w:val="000000"/>
          <w:sz w:val="24"/>
        </w:rPr>
        <w:t>。</w:t>
      </w:r>
    </w:p>
    <w:p w14:paraId="7FA45E73">
      <w:pPr>
        <w:spacing w:line="360" w:lineRule="auto"/>
        <w:ind w:firstLine="480" w:firstLineChars="200"/>
        <w:rPr>
          <w:rFonts w:ascii="宋体" w:hAnsi="宋体" w:cs="宋体"/>
          <w:sz w:val="24"/>
        </w:rPr>
      </w:pPr>
      <w:r>
        <w:rPr>
          <w:rFonts w:hint="eastAsia" w:ascii="宋体" w:hAnsi="宋体" w:cs="宋体"/>
          <w:sz w:val="24"/>
        </w:rPr>
        <w:t>12.3.4 总价合同的计量</w:t>
      </w:r>
    </w:p>
    <w:p w14:paraId="18202596">
      <w:pPr>
        <w:spacing w:line="360" w:lineRule="auto"/>
        <w:ind w:firstLine="480" w:firstLineChars="200"/>
        <w:rPr>
          <w:rFonts w:ascii="宋体" w:hAnsi="宋体" w:cs="宋体"/>
          <w:sz w:val="24"/>
        </w:rPr>
      </w:pPr>
      <w:r>
        <w:rPr>
          <w:rFonts w:hint="eastAsia" w:ascii="宋体" w:hAnsi="宋体" w:cs="宋体"/>
          <w:sz w:val="24"/>
        </w:rPr>
        <w:t>关于总价合同计量的约定：</w:t>
      </w:r>
      <w:r>
        <w:rPr>
          <w:rFonts w:hint="eastAsia" w:ascii="宋体" w:hAnsi="宋体" w:cs="宋体"/>
          <w:sz w:val="24"/>
          <w:u w:val="single"/>
        </w:rPr>
        <w:t xml:space="preserve">           /             </w:t>
      </w:r>
      <w:r>
        <w:rPr>
          <w:rFonts w:hint="eastAsia" w:ascii="宋体" w:hAnsi="宋体" w:cs="宋体"/>
          <w:sz w:val="24"/>
        </w:rPr>
        <w:t>。</w:t>
      </w:r>
    </w:p>
    <w:p w14:paraId="274EF5D2">
      <w:pPr>
        <w:spacing w:line="360" w:lineRule="auto"/>
        <w:ind w:firstLine="480" w:firstLineChars="200"/>
        <w:rPr>
          <w:rFonts w:ascii="宋体" w:hAnsi="宋体" w:cs="宋体"/>
          <w:sz w:val="24"/>
        </w:rPr>
      </w:pPr>
      <w:r>
        <w:rPr>
          <w:rFonts w:hint="eastAsia" w:ascii="宋体" w:hAnsi="宋体" w:cs="宋体"/>
          <w:sz w:val="24"/>
        </w:rPr>
        <w:t>12.3.5总价合同采用支付分解表计量支付的，是否适用第12.3.4 项〔总价合同的计量〕约定进行计量：</w:t>
      </w:r>
      <w:r>
        <w:rPr>
          <w:rFonts w:hint="eastAsia" w:ascii="宋体" w:hAnsi="宋体" w:cs="宋体"/>
          <w:sz w:val="24"/>
          <w:u w:val="single"/>
        </w:rPr>
        <w:t xml:space="preserve">       /              </w:t>
      </w:r>
      <w:r>
        <w:rPr>
          <w:rFonts w:hint="eastAsia" w:ascii="宋体" w:hAnsi="宋体" w:cs="宋体"/>
          <w:sz w:val="24"/>
        </w:rPr>
        <w:t>。</w:t>
      </w:r>
    </w:p>
    <w:p w14:paraId="338A03C7">
      <w:pPr>
        <w:spacing w:line="360" w:lineRule="auto"/>
        <w:ind w:firstLine="480" w:firstLineChars="200"/>
        <w:rPr>
          <w:rFonts w:ascii="宋体" w:hAnsi="宋体" w:cs="宋体"/>
          <w:sz w:val="24"/>
        </w:rPr>
      </w:pPr>
      <w:r>
        <w:rPr>
          <w:rFonts w:hint="eastAsia" w:ascii="宋体" w:hAnsi="宋体" w:cs="宋体"/>
          <w:sz w:val="24"/>
        </w:rPr>
        <w:t>12.3.6 其他价格形式合同的计量</w:t>
      </w:r>
    </w:p>
    <w:p w14:paraId="1C6E43F1">
      <w:pPr>
        <w:spacing w:line="360" w:lineRule="auto"/>
        <w:ind w:firstLine="480" w:firstLineChars="200"/>
        <w:rPr>
          <w:rFonts w:ascii="宋体" w:hAnsi="宋体" w:cs="宋体"/>
          <w:sz w:val="24"/>
        </w:rPr>
      </w:pPr>
      <w:r>
        <w:rPr>
          <w:rFonts w:hint="eastAsia" w:ascii="宋体" w:hAnsi="宋体" w:cs="宋体"/>
          <w:sz w:val="24"/>
        </w:rPr>
        <w:t>其他价格形式的计量方式和程序：</w:t>
      </w:r>
      <w:r>
        <w:rPr>
          <w:rFonts w:hint="eastAsia" w:ascii="宋体" w:hAnsi="宋体" w:cs="宋体"/>
          <w:sz w:val="24"/>
          <w:u w:val="single"/>
        </w:rPr>
        <w:t xml:space="preserve">       /              </w:t>
      </w:r>
      <w:r>
        <w:rPr>
          <w:rFonts w:hint="eastAsia" w:ascii="宋体" w:hAnsi="宋体" w:cs="宋体"/>
          <w:sz w:val="24"/>
        </w:rPr>
        <w:t>。</w:t>
      </w:r>
    </w:p>
    <w:p w14:paraId="7C248792">
      <w:pPr>
        <w:spacing w:line="360" w:lineRule="auto"/>
        <w:ind w:firstLine="480" w:firstLineChars="200"/>
        <w:rPr>
          <w:rFonts w:ascii="宋体" w:hAnsi="宋体" w:cs="宋体"/>
          <w:sz w:val="24"/>
        </w:rPr>
      </w:pPr>
      <w:r>
        <w:rPr>
          <w:rFonts w:hint="eastAsia" w:ascii="宋体" w:hAnsi="宋体" w:cs="宋体"/>
          <w:sz w:val="24"/>
        </w:rPr>
        <w:t>12.4 工程进度款支付</w:t>
      </w:r>
    </w:p>
    <w:p w14:paraId="181A2B65">
      <w:pPr>
        <w:widowControl/>
        <w:spacing w:line="360" w:lineRule="auto"/>
        <w:ind w:firstLine="470" w:firstLineChars="196"/>
        <w:rPr>
          <w:rFonts w:ascii="宋体" w:hAnsi="宋体" w:cs="宋体"/>
          <w:sz w:val="24"/>
        </w:rPr>
      </w:pPr>
      <w:r>
        <w:rPr>
          <w:rFonts w:hint="eastAsia" w:ascii="宋体" w:hAnsi="宋体" w:cs="宋体"/>
          <w:sz w:val="24"/>
        </w:rPr>
        <w:t>关于进度款支付程序、支付比例和期限的约定：</w:t>
      </w:r>
    </w:p>
    <w:p w14:paraId="7D9FDF9A">
      <w:pPr>
        <w:widowControl/>
        <w:spacing w:line="360" w:lineRule="auto"/>
        <w:ind w:firstLine="470" w:firstLineChars="196"/>
        <w:rPr>
          <w:rFonts w:ascii="宋体" w:hAnsi="宋体" w:cs="宋体"/>
          <w:sz w:val="24"/>
          <w:u w:val="single"/>
        </w:rPr>
      </w:pPr>
      <w:r>
        <w:rPr>
          <w:rFonts w:hint="eastAsia" w:ascii="宋体" w:hAnsi="宋体" w:cs="宋体"/>
          <w:sz w:val="24"/>
          <w:u w:val="single"/>
        </w:rPr>
        <w:t>合同生效及具备实施条件后7个工作日内，采购人支付合同总价的40%；工程验收合格后7个工作日内，采购人支付至合同总价的80%；工程竣工验收（终验）合格后，根据相关部门核准的</w:t>
      </w:r>
      <w:r>
        <w:rPr>
          <w:rFonts w:hint="eastAsia" w:ascii="宋体" w:hAnsi="宋体" w:cs="宋体"/>
          <w:sz w:val="24"/>
          <w:u w:val="single"/>
          <w:lang w:val="en-US" w:eastAsia="zh-CN"/>
        </w:rPr>
        <w:t>结</w:t>
      </w:r>
      <w:r>
        <w:rPr>
          <w:rFonts w:hint="eastAsia" w:ascii="宋体" w:hAnsi="宋体" w:cs="宋体"/>
          <w:sz w:val="24"/>
          <w:u w:val="single"/>
        </w:rPr>
        <w:t>算价，付清尾款。注：具体条款以双方签订的合同约定为准。每次付款前，供应商提供正规的发票。供应商如有更优惠的付款方式欢迎提供。</w:t>
      </w:r>
    </w:p>
    <w:p w14:paraId="19D38C96">
      <w:pPr>
        <w:spacing w:line="360" w:lineRule="auto"/>
        <w:ind w:firstLine="480" w:firstLineChars="200"/>
        <w:rPr>
          <w:rFonts w:ascii="宋体" w:hAnsi="宋体" w:cs="宋体"/>
          <w:color w:val="000000"/>
          <w:sz w:val="24"/>
        </w:rPr>
      </w:pPr>
      <w:r>
        <w:rPr>
          <w:rFonts w:hint="eastAsia" w:ascii="宋体" w:hAnsi="宋体" w:cs="宋体"/>
          <w:color w:val="000000"/>
          <w:sz w:val="24"/>
        </w:rPr>
        <w:t>13. 验收和工程试车</w:t>
      </w:r>
      <w:bookmarkEnd w:id="724"/>
      <w:bookmarkEnd w:id="725"/>
    </w:p>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14:paraId="6D865903">
      <w:pPr>
        <w:spacing w:line="360" w:lineRule="auto"/>
        <w:ind w:firstLine="480" w:firstLineChars="200"/>
        <w:rPr>
          <w:rFonts w:ascii="宋体" w:hAnsi="宋体" w:cs="宋体"/>
          <w:color w:val="000000"/>
          <w:sz w:val="24"/>
        </w:rPr>
      </w:pPr>
      <w:r>
        <w:rPr>
          <w:rFonts w:hint="eastAsia" w:ascii="宋体" w:hAnsi="宋体" w:cs="宋体"/>
          <w:color w:val="000000"/>
          <w:sz w:val="24"/>
        </w:rPr>
        <w:t>13.1 分部分项工程验收</w:t>
      </w:r>
    </w:p>
    <w:p w14:paraId="49B02310">
      <w:pPr>
        <w:spacing w:line="360" w:lineRule="auto"/>
        <w:ind w:firstLine="480" w:firstLineChars="200"/>
        <w:rPr>
          <w:rFonts w:ascii="宋体" w:hAnsi="宋体" w:cs="宋体"/>
          <w:color w:val="000000"/>
          <w:sz w:val="24"/>
        </w:rPr>
      </w:pPr>
      <w:r>
        <w:rPr>
          <w:rFonts w:hint="eastAsia" w:ascii="宋体" w:hAnsi="宋体" w:cs="宋体"/>
          <w:color w:val="000000"/>
          <w:sz w:val="24"/>
        </w:rPr>
        <w:t>13.1.2监理人不能按时进行验收时，应提前</w:t>
      </w:r>
      <w:r>
        <w:rPr>
          <w:rFonts w:hint="eastAsia" w:ascii="宋体" w:hAnsi="宋体" w:cs="宋体"/>
          <w:color w:val="000000"/>
          <w:sz w:val="24"/>
          <w:u w:val="single"/>
        </w:rPr>
        <w:t xml:space="preserve"> 24 </w:t>
      </w:r>
      <w:r>
        <w:rPr>
          <w:rFonts w:hint="eastAsia" w:ascii="宋体" w:hAnsi="宋体" w:cs="宋体"/>
          <w:color w:val="000000"/>
          <w:sz w:val="24"/>
        </w:rPr>
        <w:t>小时提交书面延期要求。</w:t>
      </w:r>
    </w:p>
    <w:p w14:paraId="17CA0831">
      <w:pPr>
        <w:spacing w:line="360" w:lineRule="auto"/>
        <w:ind w:firstLine="480" w:firstLineChars="200"/>
        <w:rPr>
          <w:rFonts w:ascii="宋体" w:hAnsi="宋体" w:cs="宋体"/>
          <w:b/>
          <w:color w:val="000000"/>
          <w:sz w:val="24"/>
        </w:rPr>
      </w:pPr>
      <w:r>
        <w:rPr>
          <w:rFonts w:hint="eastAsia" w:ascii="宋体" w:hAnsi="宋体" w:cs="宋体"/>
          <w:color w:val="000000"/>
          <w:sz w:val="24"/>
        </w:rPr>
        <w:t>关于延期最长不得超过：</w:t>
      </w:r>
      <w:r>
        <w:rPr>
          <w:rFonts w:hint="eastAsia" w:ascii="宋体" w:hAnsi="宋体" w:cs="宋体"/>
          <w:color w:val="000000"/>
          <w:sz w:val="24"/>
          <w:u w:val="single"/>
        </w:rPr>
        <w:t>48</w:t>
      </w:r>
      <w:r>
        <w:rPr>
          <w:rFonts w:hint="eastAsia" w:ascii="宋体" w:hAnsi="宋体" w:cs="宋体"/>
          <w:color w:val="000000"/>
          <w:sz w:val="24"/>
        </w:rPr>
        <w:t>小时。</w:t>
      </w:r>
    </w:p>
    <w:p w14:paraId="15895E0E">
      <w:pPr>
        <w:spacing w:line="360" w:lineRule="auto"/>
        <w:ind w:firstLine="480" w:firstLineChars="200"/>
        <w:rPr>
          <w:rFonts w:ascii="宋体" w:hAnsi="宋体" w:cs="宋体"/>
          <w:color w:val="000000"/>
          <w:sz w:val="24"/>
        </w:rPr>
      </w:pPr>
      <w:bookmarkStart w:id="860" w:name="_Toc297216224"/>
      <w:bookmarkStart w:id="861" w:name="_Toc312678056"/>
      <w:bookmarkStart w:id="862" w:name="_Toc297123565"/>
      <w:bookmarkStart w:id="863" w:name="_Toc297120523"/>
      <w:bookmarkStart w:id="864" w:name="_Toc296347222"/>
      <w:bookmarkStart w:id="865" w:name="_Toc296944562"/>
      <w:bookmarkStart w:id="866" w:name="_Toc292559428"/>
      <w:bookmarkStart w:id="867" w:name="_Toc303539173"/>
      <w:bookmarkStart w:id="868" w:name="_Toc292559933"/>
      <w:bookmarkStart w:id="869" w:name="_Toc296346724"/>
      <w:bookmarkStart w:id="870" w:name="_Toc300935016"/>
      <w:bookmarkStart w:id="871" w:name="_Toc296503223"/>
      <w:bookmarkStart w:id="872" w:name="_Toc297048409"/>
      <w:bookmarkStart w:id="873" w:name="_Toc296891263"/>
      <w:bookmarkStart w:id="874" w:name="_Toc296891051"/>
      <w:bookmarkStart w:id="875" w:name="_Toc304295596"/>
      <w:bookmarkStart w:id="876" w:name="_Toc267251473"/>
      <w:bookmarkStart w:id="877" w:name="_Toc267251474"/>
      <w:bookmarkStart w:id="878" w:name="_Toc267251470"/>
      <w:bookmarkStart w:id="879" w:name="_Toc267251476"/>
      <w:bookmarkStart w:id="880" w:name="_Toc267251475"/>
      <w:bookmarkStart w:id="881" w:name="_Toc267251472"/>
      <w:bookmarkStart w:id="882" w:name="_Toc267251471"/>
      <w:r>
        <w:rPr>
          <w:rFonts w:hint="eastAsia" w:ascii="宋体" w:hAnsi="宋体" w:cs="宋体"/>
          <w:color w:val="000000"/>
          <w:sz w:val="24"/>
        </w:rPr>
        <w:t>13.2 竣工验收</w:t>
      </w:r>
    </w:p>
    <w:p w14:paraId="7F494C51">
      <w:pPr>
        <w:spacing w:line="360" w:lineRule="auto"/>
        <w:ind w:firstLine="480" w:firstLineChars="200"/>
        <w:rPr>
          <w:rFonts w:ascii="宋体" w:hAnsi="宋体" w:cs="宋体"/>
          <w:color w:val="000000"/>
          <w:sz w:val="24"/>
        </w:rPr>
      </w:pPr>
      <w:r>
        <w:rPr>
          <w:rFonts w:hint="eastAsia" w:ascii="宋体" w:hAnsi="宋体" w:cs="宋体"/>
          <w:color w:val="000000"/>
          <w:sz w:val="24"/>
        </w:rPr>
        <w:t>13.2.1竣工验收条件</w:t>
      </w:r>
    </w:p>
    <w:p w14:paraId="3806B889">
      <w:pPr>
        <w:spacing w:line="360" w:lineRule="auto"/>
        <w:ind w:firstLine="480" w:firstLineChars="200"/>
        <w:rPr>
          <w:rFonts w:ascii="宋体" w:hAnsi="宋体" w:cs="宋体"/>
          <w:color w:val="000000"/>
          <w:sz w:val="24"/>
        </w:rPr>
      </w:pPr>
      <w:r>
        <w:rPr>
          <w:rFonts w:hint="eastAsia" w:ascii="宋体" w:hAnsi="宋体" w:cs="宋体"/>
          <w:color w:val="000000"/>
          <w:sz w:val="24"/>
        </w:rPr>
        <w:t>工程具备以下条件的，承包人可以申请竣工验收：</w:t>
      </w:r>
    </w:p>
    <w:p w14:paraId="25AA2D38">
      <w:pPr>
        <w:spacing w:line="360" w:lineRule="auto"/>
        <w:ind w:firstLine="480" w:firstLineChars="200"/>
        <w:rPr>
          <w:rFonts w:ascii="宋体" w:hAnsi="宋体" w:cs="宋体"/>
          <w:color w:val="000000"/>
          <w:sz w:val="24"/>
        </w:rPr>
      </w:pPr>
      <w:r>
        <w:rPr>
          <w:rFonts w:hint="eastAsia" w:ascii="宋体" w:hAnsi="宋体" w:cs="宋体"/>
          <w:color w:val="000000"/>
          <w:sz w:val="24"/>
        </w:rPr>
        <w:t>（1）除发包人同意的甩项工作和缺陷修补工作外，合同范围内的全部工程以及有关工作，包括合同要求的试验、试运行以及检验均已完成，并符合合同要求；</w:t>
      </w:r>
    </w:p>
    <w:p w14:paraId="30487B9C">
      <w:pPr>
        <w:spacing w:line="360" w:lineRule="auto"/>
        <w:ind w:firstLine="480" w:firstLineChars="200"/>
        <w:rPr>
          <w:rFonts w:ascii="宋体" w:hAnsi="宋体" w:cs="宋体"/>
          <w:color w:val="000000"/>
          <w:sz w:val="24"/>
        </w:rPr>
      </w:pPr>
      <w:r>
        <w:rPr>
          <w:rFonts w:hint="eastAsia" w:ascii="宋体" w:hAnsi="宋体" w:cs="宋体"/>
          <w:color w:val="000000"/>
          <w:sz w:val="24"/>
        </w:rPr>
        <w:t>（2）已按合同约定编制了甩项工作和缺陷修补工作清单以及相应的施工计划；</w:t>
      </w:r>
    </w:p>
    <w:p w14:paraId="30862A91">
      <w:pPr>
        <w:spacing w:line="360" w:lineRule="auto"/>
        <w:ind w:firstLine="480" w:firstLineChars="200"/>
        <w:rPr>
          <w:rFonts w:ascii="宋体" w:hAnsi="宋体" w:cs="宋体"/>
          <w:color w:val="000000"/>
          <w:sz w:val="24"/>
        </w:rPr>
      </w:pPr>
      <w:r>
        <w:rPr>
          <w:rFonts w:hint="eastAsia" w:ascii="宋体" w:hAnsi="宋体" w:cs="宋体"/>
          <w:color w:val="000000"/>
          <w:sz w:val="24"/>
        </w:rPr>
        <w:t>（3）已按合同约定的内容和份数备齐竣工资料。</w:t>
      </w:r>
    </w:p>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14:paraId="5F92BD4E">
      <w:pPr>
        <w:spacing w:line="360" w:lineRule="auto"/>
        <w:ind w:firstLine="480" w:firstLineChars="200"/>
        <w:rPr>
          <w:rFonts w:ascii="宋体" w:hAnsi="宋体" w:cs="宋体"/>
          <w:color w:val="000000"/>
          <w:sz w:val="24"/>
        </w:rPr>
      </w:pPr>
      <w:bookmarkStart w:id="883" w:name="_Toc280868704"/>
      <w:bookmarkStart w:id="884" w:name="_Toc280868705"/>
      <w:bookmarkStart w:id="885" w:name="_Toc280868706"/>
      <w:bookmarkStart w:id="886" w:name="_Toc280868707"/>
      <w:bookmarkStart w:id="887" w:name="_Toc280868708"/>
      <w:bookmarkStart w:id="888" w:name="_Toc280868709"/>
      <w:r>
        <w:rPr>
          <w:rFonts w:hint="eastAsia" w:ascii="宋体" w:hAnsi="宋体" w:cs="宋体"/>
          <w:color w:val="000000"/>
          <w:sz w:val="24"/>
        </w:rPr>
        <w:t>13.2.2竣工验收程序</w:t>
      </w:r>
    </w:p>
    <w:bookmarkEnd w:id="883"/>
    <w:p w14:paraId="6AE175E7">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关于竣工验收程序的约定：</w:t>
      </w:r>
      <w:r>
        <w:rPr>
          <w:rFonts w:hint="eastAsia" w:ascii="宋体" w:hAnsi="宋体" w:cs="宋体"/>
          <w:color w:val="000000"/>
          <w:sz w:val="24"/>
          <w:u w:val="single"/>
        </w:rPr>
        <w:t xml:space="preserve">             /          </w:t>
      </w:r>
      <w:r>
        <w:rPr>
          <w:rFonts w:hint="eastAsia" w:ascii="宋体" w:hAnsi="宋体" w:cs="宋体"/>
          <w:color w:val="000000"/>
          <w:sz w:val="24"/>
        </w:rPr>
        <w:t>。</w:t>
      </w:r>
    </w:p>
    <w:p w14:paraId="555FF7F9">
      <w:pPr>
        <w:widowControl/>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发包人不按照本项约定组织竣工验收、颁发工程接收证书的违约金的计算方法：</w:t>
      </w:r>
    </w:p>
    <w:p w14:paraId="42C18942">
      <w:pPr>
        <w:spacing w:line="360" w:lineRule="auto"/>
        <w:ind w:firstLine="480" w:firstLineChars="200"/>
        <w:rPr>
          <w:rFonts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bookmarkEnd w:id="884"/>
    <w:p w14:paraId="0AC45B46">
      <w:pPr>
        <w:spacing w:line="360" w:lineRule="auto"/>
        <w:ind w:firstLine="480" w:firstLineChars="200"/>
        <w:rPr>
          <w:rFonts w:ascii="宋体" w:hAnsi="宋体" w:cs="宋体"/>
          <w:color w:val="000000"/>
          <w:sz w:val="24"/>
        </w:rPr>
      </w:pPr>
      <w:r>
        <w:rPr>
          <w:rFonts w:hint="eastAsia" w:ascii="宋体" w:hAnsi="宋体" w:cs="宋体"/>
          <w:color w:val="000000"/>
          <w:sz w:val="24"/>
        </w:rPr>
        <w:t>13.2.5移交、接收全部与部分工程</w:t>
      </w:r>
    </w:p>
    <w:bookmarkEnd w:id="885"/>
    <w:p w14:paraId="4EFAFEEC">
      <w:pPr>
        <w:spacing w:line="360" w:lineRule="auto"/>
        <w:ind w:firstLine="480" w:firstLineChars="200"/>
        <w:rPr>
          <w:rFonts w:ascii="宋体" w:hAnsi="宋体" w:cs="宋体"/>
          <w:color w:val="000000"/>
          <w:sz w:val="24"/>
        </w:rPr>
      </w:pPr>
      <w:r>
        <w:rPr>
          <w:rFonts w:hint="eastAsia" w:ascii="宋体" w:hAnsi="宋体" w:cs="宋体"/>
          <w:color w:val="000000"/>
          <w:sz w:val="24"/>
        </w:rPr>
        <w:t>承包人向发包人移交工程的期限：在颁发工程接收证书后</w:t>
      </w:r>
      <w:r>
        <w:rPr>
          <w:rFonts w:hint="eastAsia" w:ascii="宋体" w:hAnsi="宋体" w:cs="宋体"/>
          <w:color w:val="000000"/>
          <w:sz w:val="24"/>
          <w:u w:val="single"/>
        </w:rPr>
        <w:t xml:space="preserve"> 7 </w:t>
      </w:r>
      <w:r>
        <w:rPr>
          <w:rFonts w:hint="eastAsia" w:ascii="宋体" w:hAnsi="宋体" w:cs="宋体"/>
          <w:color w:val="000000"/>
          <w:sz w:val="24"/>
        </w:rPr>
        <w:t>天内完成工程的移交。</w:t>
      </w:r>
    </w:p>
    <w:p w14:paraId="3CDAB752">
      <w:pPr>
        <w:spacing w:line="360" w:lineRule="auto"/>
        <w:ind w:firstLine="480" w:firstLineChars="200"/>
        <w:rPr>
          <w:rFonts w:ascii="宋体" w:hAnsi="宋体" w:cs="宋体"/>
          <w:color w:val="000000"/>
          <w:sz w:val="24"/>
        </w:rPr>
      </w:pPr>
      <w:r>
        <w:rPr>
          <w:rFonts w:hint="eastAsia" w:ascii="宋体" w:hAnsi="宋体" w:cs="宋体"/>
          <w:color w:val="000000"/>
          <w:sz w:val="24"/>
        </w:rPr>
        <w:t>发包人未按本合同约定接收全部或部分工程的，违约金的计算方法为：除承担自应接收工程之日起的工程照管、成本保护、保管等与工程有关的各项费用外，应当按本专用条款约定的提前竣工奖励的</w:t>
      </w:r>
      <w:r>
        <w:rPr>
          <w:rFonts w:hint="eastAsia" w:ascii="宋体" w:hAnsi="宋体" w:cs="宋体"/>
          <w:color w:val="000000"/>
          <w:sz w:val="24"/>
          <w:u w:val="single"/>
        </w:rPr>
        <w:t xml:space="preserve">  /  </w:t>
      </w:r>
      <w:r>
        <w:rPr>
          <w:rFonts w:hint="eastAsia" w:ascii="宋体" w:hAnsi="宋体" w:cs="宋体"/>
          <w:color w:val="000000"/>
          <w:sz w:val="24"/>
        </w:rPr>
        <w:t>倍标准向承包人支付逾期接收工程的违约金。</w:t>
      </w:r>
    </w:p>
    <w:p w14:paraId="1D2E4C3D">
      <w:pPr>
        <w:spacing w:line="360" w:lineRule="auto"/>
        <w:ind w:firstLine="480" w:firstLineChars="200"/>
        <w:rPr>
          <w:rFonts w:ascii="宋体" w:hAnsi="宋体" w:cs="宋体"/>
          <w:color w:val="000000"/>
          <w:sz w:val="24"/>
        </w:rPr>
      </w:pPr>
      <w:r>
        <w:rPr>
          <w:rFonts w:hint="eastAsia" w:ascii="宋体" w:hAnsi="宋体" w:cs="宋体"/>
          <w:color w:val="000000"/>
          <w:sz w:val="24"/>
        </w:rPr>
        <w:t>承包人未按时移交工程的，违约金的计算方法为：除承担自应接收工程之日起的工程照管、成本保护、保管等与工程有关的各项费用外，应当按本合同约定的工期延误赔偿标准</w:t>
      </w:r>
      <w:r>
        <w:rPr>
          <w:rFonts w:hint="eastAsia" w:ascii="宋体" w:hAnsi="宋体" w:cs="宋体"/>
          <w:color w:val="000000"/>
          <w:sz w:val="24"/>
          <w:u w:val="single"/>
        </w:rPr>
        <w:t xml:space="preserve">  /  </w:t>
      </w:r>
      <w:r>
        <w:rPr>
          <w:rFonts w:hint="eastAsia" w:ascii="宋体" w:hAnsi="宋体" w:cs="宋体"/>
          <w:color w:val="000000"/>
          <w:sz w:val="24"/>
        </w:rPr>
        <w:t>倍向发包人支付逾期移交工程的违约金。</w:t>
      </w:r>
    </w:p>
    <w:bookmarkEnd w:id="886"/>
    <w:p w14:paraId="0395573A">
      <w:pPr>
        <w:spacing w:line="360" w:lineRule="auto"/>
        <w:ind w:firstLine="480" w:firstLineChars="200"/>
        <w:rPr>
          <w:rFonts w:ascii="宋体" w:hAnsi="宋体" w:cs="宋体"/>
          <w:color w:val="000000"/>
          <w:sz w:val="24"/>
        </w:rPr>
      </w:pPr>
      <w:r>
        <w:rPr>
          <w:rFonts w:hint="eastAsia" w:ascii="宋体" w:hAnsi="宋体" w:cs="宋体"/>
          <w:color w:val="000000"/>
          <w:sz w:val="24"/>
        </w:rPr>
        <w:t>13.3 工程试车</w:t>
      </w:r>
    </w:p>
    <w:bookmarkEnd w:id="887"/>
    <w:p w14:paraId="7EF6DA9F">
      <w:pPr>
        <w:spacing w:line="360" w:lineRule="auto"/>
        <w:ind w:firstLine="480" w:firstLineChars="200"/>
        <w:rPr>
          <w:rFonts w:ascii="宋体" w:hAnsi="宋体" w:cs="宋体"/>
          <w:color w:val="000000"/>
          <w:sz w:val="24"/>
        </w:rPr>
      </w:pPr>
      <w:r>
        <w:rPr>
          <w:rFonts w:hint="eastAsia" w:ascii="宋体" w:hAnsi="宋体" w:cs="宋体"/>
          <w:color w:val="000000"/>
          <w:sz w:val="24"/>
        </w:rPr>
        <w:t>13.3.1 试车程序</w:t>
      </w:r>
    </w:p>
    <w:p w14:paraId="1C5B2DDC">
      <w:pPr>
        <w:spacing w:line="360" w:lineRule="auto"/>
        <w:ind w:firstLine="480" w:firstLineChars="200"/>
        <w:rPr>
          <w:rFonts w:ascii="宋体" w:hAnsi="宋体" w:cs="宋体"/>
          <w:color w:val="000000"/>
          <w:sz w:val="24"/>
        </w:rPr>
      </w:pPr>
      <w:r>
        <w:rPr>
          <w:rFonts w:hint="eastAsia" w:ascii="宋体" w:hAnsi="宋体" w:cs="宋体"/>
          <w:color w:val="000000"/>
          <w:sz w:val="24"/>
        </w:rPr>
        <w:t>工程试车内容：</w:t>
      </w:r>
      <w:r>
        <w:rPr>
          <w:rFonts w:hint="eastAsia" w:ascii="宋体" w:hAnsi="宋体" w:cs="宋体"/>
          <w:color w:val="000000"/>
          <w:sz w:val="24"/>
          <w:u w:val="single"/>
        </w:rPr>
        <w:t xml:space="preserve">              /           </w:t>
      </w:r>
      <w:r>
        <w:rPr>
          <w:rFonts w:hint="eastAsia" w:ascii="宋体" w:hAnsi="宋体" w:cs="宋体"/>
          <w:color w:val="000000"/>
          <w:sz w:val="24"/>
        </w:rPr>
        <w:t>。</w:t>
      </w:r>
    </w:p>
    <w:p w14:paraId="3F422266">
      <w:pPr>
        <w:spacing w:line="360" w:lineRule="auto"/>
        <w:ind w:firstLine="480" w:firstLineChars="200"/>
        <w:rPr>
          <w:rFonts w:ascii="宋体" w:hAnsi="宋体" w:cs="宋体"/>
          <w:color w:val="000000"/>
          <w:sz w:val="24"/>
        </w:rPr>
      </w:pPr>
      <w:r>
        <w:rPr>
          <w:rFonts w:hint="eastAsia" w:ascii="宋体" w:hAnsi="宋体" w:cs="宋体"/>
          <w:color w:val="000000"/>
          <w:sz w:val="24"/>
        </w:rPr>
        <w:t>（1）单机无负荷试车费用由</w:t>
      </w:r>
      <w:r>
        <w:rPr>
          <w:rFonts w:hint="eastAsia" w:ascii="宋体" w:hAnsi="宋体" w:cs="宋体"/>
          <w:color w:val="000000"/>
          <w:sz w:val="24"/>
          <w:u w:val="single"/>
        </w:rPr>
        <w:t xml:space="preserve">         /           </w:t>
      </w:r>
      <w:r>
        <w:rPr>
          <w:rFonts w:hint="eastAsia" w:ascii="宋体" w:hAnsi="宋体" w:cs="宋体"/>
          <w:color w:val="000000"/>
          <w:sz w:val="24"/>
        </w:rPr>
        <w:t>承担；</w:t>
      </w:r>
    </w:p>
    <w:p w14:paraId="28437687">
      <w:pPr>
        <w:spacing w:line="360" w:lineRule="auto"/>
        <w:ind w:firstLine="480" w:firstLineChars="200"/>
        <w:rPr>
          <w:rFonts w:ascii="宋体" w:hAnsi="宋体" w:cs="宋体"/>
          <w:color w:val="000000"/>
          <w:sz w:val="24"/>
        </w:rPr>
      </w:pPr>
      <w:r>
        <w:rPr>
          <w:rFonts w:hint="eastAsia" w:ascii="宋体" w:hAnsi="宋体" w:cs="宋体"/>
          <w:color w:val="000000"/>
          <w:sz w:val="24"/>
        </w:rPr>
        <w:t>（2）无负荷联动试车费用由</w:t>
      </w:r>
      <w:r>
        <w:rPr>
          <w:rFonts w:hint="eastAsia" w:ascii="宋体" w:hAnsi="宋体" w:cs="宋体"/>
          <w:color w:val="000000"/>
          <w:sz w:val="24"/>
          <w:u w:val="single"/>
        </w:rPr>
        <w:t xml:space="preserve">          /          </w:t>
      </w:r>
      <w:r>
        <w:rPr>
          <w:rFonts w:hint="eastAsia" w:ascii="宋体" w:hAnsi="宋体" w:cs="宋体"/>
          <w:color w:val="000000"/>
          <w:sz w:val="24"/>
        </w:rPr>
        <w:t>承担。</w:t>
      </w:r>
    </w:p>
    <w:p w14:paraId="1BED861A">
      <w:pPr>
        <w:spacing w:line="360" w:lineRule="auto"/>
        <w:ind w:firstLine="480" w:firstLineChars="200"/>
        <w:rPr>
          <w:rFonts w:ascii="宋体" w:hAnsi="宋体" w:cs="宋体"/>
          <w:color w:val="000000"/>
          <w:sz w:val="24"/>
        </w:rPr>
      </w:pPr>
      <w:r>
        <w:rPr>
          <w:rFonts w:hint="eastAsia" w:ascii="宋体" w:hAnsi="宋体" w:cs="宋体"/>
          <w:color w:val="000000"/>
          <w:sz w:val="24"/>
        </w:rPr>
        <w:t>13.3.3 投料试车</w:t>
      </w:r>
    </w:p>
    <w:p w14:paraId="7C017470">
      <w:pPr>
        <w:spacing w:line="360" w:lineRule="auto"/>
        <w:ind w:firstLine="480" w:firstLineChars="200"/>
        <w:rPr>
          <w:rFonts w:ascii="宋体" w:hAnsi="宋体" w:cs="宋体"/>
          <w:color w:val="000000"/>
          <w:sz w:val="24"/>
        </w:rPr>
      </w:pPr>
      <w:r>
        <w:rPr>
          <w:rFonts w:hint="eastAsia" w:ascii="宋体" w:hAnsi="宋体" w:cs="宋体"/>
          <w:color w:val="000000"/>
          <w:sz w:val="24"/>
        </w:rPr>
        <w:t>关于投料试车相关事项的约定：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587052A3">
      <w:pPr>
        <w:spacing w:line="360" w:lineRule="auto"/>
        <w:ind w:firstLine="480" w:firstLineChars="200"/>
        <w:rPr>
          <w:rFonts w:ascii="宋体" w:hAnsi="宋体" w:cs="宋体"/>
          <w:color w:val="000000"/>
          <w:sz w:val="24"/>
        </w:rPr>
      </w:pPr>
      <w:r>
        <w:rPr>
          <w:rFonts w:hint="eastAsia" w:ascii="宋体" w:hAnsi="宋体" w:cs="宋体"/>
          <w:color w:val="000000"/>
          <w:sz w:val="24"/>
        </w:rPr>
        <w:t>13.6 竣工退场</w:t>
      </w:r>
    </w:p>
    <w:p w14:paraId="6A5C9265">
      <w:pPr>
        <w:spacing w:line="360" w:lineRule="auto"/>
        <w:ind w:firstLine="480" w:firstLineChars="200"/>
        <w:rPr>
          <w:rFonts w:ascii="宋体" w:hAnsi="宋体" w:cs="宋体"/>
          <w:color w:val="000000"/>
          <w:sz w:val="24"/>
        </w:rPr>
      </w:pPr>
      <w:r>
        <w:rPr>
          <w:rFonts w:hint="eastAsia" w:ascii="宋体" w:hAnsi="宋体" w:cs="宋体"/>
          <w:color w:val="000000"/>
          <w:sz w:val="24"/>
        </w:rPr>
        <w:t>13.6.1 竣工退场</w:t>
      </w:r>
    </w:p>
    <w:p w14:paraId="2F124387">
      <w:pPr>
        <w:spacing w:line="360" w:lineRule="auto"/>
        <w:ind w:firstLine="480" w:firstLineChars="200"/>
        <w:rPr>
          <w:rFonts w:ascii="宋体" w:hAnsi="宋体" w:cs="宋体"/>
          <w:color w:val="000000"/>
          <w:sz w:val="24"/>
        </w:rPr>
      </w:pPr>
      <w:r>
        <w:rPr>
          <w:rFonts w:hint="eastAsia" w:ascii="宋体" w:hAnsi="宋体" w:cs="宋体"/>
          <w:color w:val="000000"/>
          <w:sz w:val="24"/>
        </w:rPr>
        <w:t>承包人完成竣工退场的期限：承包人应当在发包人颁发工程接收证书后</w:t>
      </w:r>
      <w:r>
        <w:rPr>
          <w:rFonts w:hint="eastAsia" w:ascii="宋体" w:hAnsi="宋体" w:cs="宋体"/>
          <w:color w:val="000000"/>
          <w:sz w:val="24"/>
          <w:u w:val="single"/>
        </w:rPr>
        <w:t>14</w:t>
      </w:r>
      <w:r>
        <w:rPr>
          <w:rFonts w:hint="eastAsia" w:ascii="宋体" w:hAnsi="宋体" w:cs="宋体"/>
          <w:color w:val="000000"/>
          <w:sz w:val="24"/>
        </w:rPr>
        <w:t>天内完成竣工退场，逾期未完成的，按通用条款执行。</w:t>
      </w:r>
    </w:p>
    <w:bookmarkEnd w:id="876"/>
    <w:bookmarkEnd w:id="877"/>
    <w:bookmarkEnd w:id="878"/>
    <w:bookmarkEnd w:id="879"/>
    <w:bookmarkEnd w:id="880"/>
    <w:bookmarkEnd w:id="881"/>
    <w:bookmarkEnd w:id="882"/>
    <w:bookmarkEnd w:id="888"/>
    <w:p w14:paraId="0A00851B">
      <w:pPr>
        <w:spacing w:line="360" w:lineRule="auto"/>
        <w:ind w:firstLine="480" w:firstLineChars="200"/>
        <w:rPr>
          <w:rFonts w:ascii="宋体" w:hAnsi="宋体" w:cs="宋体"/>
          <w:color w:val="000000"/>
          <w:sz w:val="24"/>
        </w:rPr>
      </w:pPr>
      <w:bookmarkStart w:id="889" w:name="_Toc386638620"/>
      <w:bookmarkStart w:id="890" w:name="_Toc351203646"/>
      <w:bookmarkStart w:id="891" w:name="_Toc386638621"/>
      <w:bookmarkStart w:id="892" w:name="_Toc351203647"/>
      <w:bookmarkStart w:id="893" w:name="_Toc267251483"/>
      <w:bookmarkStart w:id="894" w:name="_Toc267251482"/>
      <w:bookmarkStart w:id="895" w:name="_Toc267251484"/>
      <w:bookmarkStart w:id="896" w:name="_Toc267251485"/>
      <w:bookmarkStart w:id="897" w:name="_Toc267251486"/>
      <w:bookmarkStart w:id="898" w:name="_Toc267251490"/>
      <w:bookmarkStart w:id="899" w:name="_Toc267251489"/>
      <w:bookmarkStart w:id="900" w:name="_Toc267251488"/>
      <w:bookmarkStart w:id="901" w:name="_Toc267251497"/>
      <w:bookmarkStart w:id="902" w:name="_Toc267251503"/>
      <w:bookmarkStart w:id="903" w:name="_Toc267251491"/>
      <w:bookmarkStart w:id="904" w:name="_Toc267251493"/>
      <w:bookmarkStart w:id="905" w:name="_Toc267251499"/>
      <w:bookmarkStart w:id="906" w:name="_Toc267251494"/>
      <w:bookmarkStart w:id="907" w:name="_Toc267251492"/>
      <w:bookmarkStart w:id="908" w:name="_Toc267251501"/>
      <w:bookmarkStart w:id="909" w:name="_Toc267251495"/>
      <w:bookmarkStart w:id="910" w:name="_Toc267251502"/>
      <w:bookmarkStart w:id="911" w:name="_Toc267251498"/>
      <w:bookmarkStart w:id="912" w:name="_Toc267251496"/>
      <w:bookmarkStart w:id="913" w:name="_Toc267251509"/>
      <w:bookmarkStart w:id="914" w:name="_Toc267251504"/>
      <w:bookmarkStart w:id="915" w:name="_Toc267251507"/>
      <w:bookmarkStart w:id="916" w:name="_Toc267251515"/>
      <w:bookmarkStart w:id="917" w:name="_Toc267251514"/>
      <w:bookmarkStart w:id="918" w:name="_Toc267251508"/>
      <w:bookmarkStart w:id="919" w:name="_Toc267251513"/>
      <w:bookmarkStart w:id="920" w:name="_Toc267251506"/>
      <w:bookmarkStart w:id="921" w:name="_Toc267251510"/>
      <w:bookmarkStart w:id="922" w:name="_Toc267251511"/>
      <w:r>
        <w:rPr>
          <w:rFonts w:hint="eastAsia" w:ascii="宋体" w:hAnsi="宋体" w:cs="宋体"/>
          <w:color w:val="000000"/>
          <w:sz w:val="24"/>
        </w:rPr>
        <w:t>14. 竣工结算</w:t>
      </w:r>
      <w:bookmarkEnd w:id="889"/>
      <w:bookmarkEnd w:id="890"/>
    </w:p>
    <w:p w14:paraId="1E8680E5">
      <w:pPr>
        <w:spacing w:line="360" w:lineRule="auto"/>
        <w:ind w:firstLine="480" w:firstLineChars="200"/>
        <w:rPr>
          <w:rFonts w:ascii="宋体" w:hAnsi="宋体" w:cs="宋体"/>
          <w:color w:val="000000"/>
          <w:sz w:val="24"/>
        </w:rPr>
      </w:pPr>
      <w:r>
        <w:rPr>
          <w:rFonts w:hint="eastAsia" w:ascii="宋体" w:hAnsi="宋体" w:cs="宋体"/>
          <w:color w:val="000000"/>
          <w:sz w:val="24"/>
        </w:rPr>
        <w:t>14.1竣工结算款的申请</w:t>
      </w:r>
    </w:p>
    <w:p w14:paraId="6062CC2D">
      <w:pPr>
        <w:pStyle w:val="971"/>
        <w:spacing w:line="360" w:lineRule="auto"/>
        <w:ind w:firstLine="480" w:firstLineChars="200"/>
        <w:rPr>
          <w:rFonts w:hAnsi="宋体" w:cs="宋体"/>
          <w:b w:val="0"/>
          <w:color w:val="000000"/>
          <w:szCs w:val="24"/>
        </w:rPr>
      </w:pPr>
      <w:r>
        <w:rPr>
          <w:rFonts w:hint="eastAsia" w:hAnsi="宋体" w:cs="宋体"/>
          <w:b w:val="0"/>
          <w:color w:val="000000"/>
          <w:szCs w:val="24"/>
        </w:rPr>
        <w:t>承包人应在工程竣工结算审核完成、竣工验收并取得《建筑工程竣工档案专项验收意见书》、竣工结算审核结论及相关资料备案后</w:t>
      </w:r>
      <w:r>
        <w:rPr>
          <w:rFonts w:hint="eastAsia" w:hAnsi="宋体" w:cs="宋体"/>
          <w:b w:val="0"/>
          <w:color w:val="000000"/>
          <w:szCs w:val="24"/>
          <w:u w:val="single"/>
        </w:rPr>
        <w:t xml:space="preserve"> 7 </w:t>
      </w:r>
      <w:r>
        <w:rPr>
          <w:rFonts w:hint="eastAsia" w:hAnsi="宋体" w:cs="宋体"/>
          <w:b w:val="0"/>
          <w:color w:val="000000"/>
          <w:szCs w:val="24"/>
        </w:rPr>
        <w:t>天内向发包人提交竣工结算申请单（附相关结算资料）。</w:t>
      </w:r>
    </w:p>
    <w:p w14:paraId="5567EE4E">
      <w:pPr>
        <w:spacing w:line="360" w:lineRule="auto"/>
        <w:ind w:firstLine="480" w:firstLineChars="200"/>
        <w:rPr>
          <w:rFonts w:ascii="宋体" w:hAnsi="宋体" w:cs="宋体"/>
          <w:color w:val="000000"/>
          <w:sz w:val="24"/>
        </w:rPr>
      </w:pPr>
      <w:r>
        <w:rPr>
          <w:rFonts w:hint="eastAsia" w:ascii="宋体" w:hAnsi="宋体" w:cs="宋体"/>
          <w:color w:val="000000"/>
          <w:sz w:val="24"/>
        </w:rPr>
        <w:t>14.2竣工结算书的提交和核对</w:t>
      </w:r>
    </w:p>
    <w:p w14:paraId="1855EA91">
      <w:pPr>
        <w:spacing w:line="360" w:lineRule="auto"/>
        <w:ind w:firstLine="480" w:firstLineChars="200"/>
        <w:rPr>
          <w:rFonts w:ascii="宋体" w:hAnsi="宋体" w:cs="宋体"/>
          <w:color w:val="000000"/>
          <w:sz w:val="24"/>
        </w:rPr>
      </w:pPr>
      <w:r>
        <w:rPr>
          <w:rFonts w:hint="eastAsia" w:ascii="宋体" w:hAnsi="宋体" w:cs="宋体"/>
          <w:color w:val="000000"/>
          <w:sz w:val="24"/>
        </w:rPr>
        <w:t>承包人应当在工程竣工验收合格后</w:t>
      </w:r>
      <w:r>
        <w:rPr>
          <w:rFonts w:hint="eastAsia" w:ascii="宋体" w:hAnsi="宋体" w:cs="宋体"/>
          <w:color w:val="000000"/>
          <w:sz w:val="24"/>
          <w:u w:val="single"/>
        </w:rPr>
        <w:t xml:space="preserve"> 60 </w:t>
      </w:r>
      <w:r>
        <w:rPr>
          <w:rFonts w:hint="eastAsia" w:ascii="宋体" w:hAnsi="宋体" w:cs="宋体"/>
          <w:color w:val="000000"/>
          <w:kern w:val="0"/>
          <w:sz w:val="24"/>
        </w:rPr>
        <w:t>天</w:t>
      </w:r>
      <w:r>
        <w:rPr>
          <w:rFonts w:hint="eastAsia" w:ascii="宋体" w:hAnsi="宋体" w:cs="宋体"/>
          <w:color w:val="000000"/>
          <w:sz w:val="24"/>
        </w:rPr>
        <w:t>内向发包人提交工程竣工结算书及其完整的结算资料</w:t>
      </w:r>
      <w:r>
        <w:rPr>
          <w:rFonts w:hint="eastAsia" w:ascii="宋体" w:hAnsi="宋体" w:cs="宋体"/>
          <w:color w:val="000000"/>
          <w:sz w:val="24"/>
          <w:u w:val="single"/>
        </w:rPr>
        <w:t xml:space="preserve"> 叁 </w:t>
      </w:r>
      <w:r>
        <w:rPr>
          <w:rFonts w:hint="eastAsia" w:ascii="宋体" w:hAnsi="宋体" w:cs="宋体"/>
          <w:color w:val="000000"/>
          <w:sz w:val="24"/>
        </w:rPr>
        <w:t>份。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w:t>
      </w:r>
      <w:r>
        <w:rPr>
          <w:rFonts w:hint="eastAsia" w:ascii="宋体" w:hAnsi="宋体" w:cs="宋体"/>
          <w:color w:val="000000"/>
          <w:sz w:val="24"/>
          <w:u w:val="single"/>
        </w:rPr>
        <w:t xml:space="preserve"> 60 </w:t>
      </w:r>
      <w:r>
        <w:rPr>
          <w:rFonts w:hint="eastAsia" w:ascii="宋体" w:hAnsi="宋体" w:cs="宋体"/>
          <w:color w:val="000000"/>
          <w:sz w:val="24"/>
        </w:rPr>
        <w:t>日内完成对竣工结算书的核对。</w:t>
      </w:r>
    </w:p>
    <w:p w14:paraId="3E7B9A00">
      <w:pPr>
        <w:spacing w:line="360" w:lineRule="auto"/>
        <w:ind w:firstLine="480" w:firstLineChars="200"/>
        <w:rPr>
          <w:rFonts w:ascii="宋体" w:hAnsi="宋体" w:cs="宋体"/>
          <w:color w:val="000000"/>
          <w:sz w:val="24"/>
        </w:rPr>
      </w:pPr>
      <w:r>
        <w:rPr>
          <w:rFonts w:hint="eastAsia" w:ascii="宋体" w:hAnsi="宋体" w:cs="宋体"/>
          <w:color w:val="000000"/>
          <w:sz w:val="24"/>
        </w:rPr>
        <w:t>14.3 竣工结算审核</w:t>
      </w:r>
    </w:p>
    <w:p w14:paraId="4E0702A3">
      <w:pPr>
        <w:spacing w:line="360" w:lineRule="auto"/>
        <w:ind w:firstLine="480" w:firstLineChars="200"/>
        <w:rPr>
          <w:rFonts w:ascii="宋体" w:hAnsi="宋体" w:cs="宋体"/>
          <w:color w:val="000000"/>
          <w:sz w:val="24"/>
        </w:rPr>
      </w:pPr>
      <w:r>
        <w:rPr>
          <w:rFonts w:hint="eastAsia" w:ascii="宋体" w:hAnsi="宋体" w:cs="宋体"/>
          <w:sz w:val="24"/>
          <w:lang w:bidi="ar"/>
        </w:rPr>
        <w:t>本工程的竣工结算由发包人核对后委托具有相应资质的工程造价咨询企业审核，作为支付工程价款最终结算支付的依据。</w:t>
      </w:r>
    </w:p>
    <w:p w14:paraId="79D06CD5">
      <w:pPr>
        <w:spacing w:line="360" w:lineRule="auto"/>
        <w:ind w:firstLine="480" w:firstLineChars="200"/>
        <w:rPr>
          <w:rFonts w:ascii="宋体" w:hAnsi="宋体" w:cs="宋体"/>
          <w:color w:val="000000"/>
          <w:sz w:val="24"/>
        </w:rPr>
      </w:pPr>
      <w:r>
        <w:rPr>
          <w:rFonts w:hint="eastAsia" w:ascii="宋体" w:hAnsi="宋体" w:cs="宋体"/>
          <w:color w:val="000000"/>
          <w:sz w:val="24"/>
        </w:rPr>
        <w:t>14.4 最终结清</w:t>
      </w:r>
    </w:p>
    <w:p w14:paraId="24A169B4">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14.4.1 最终结清申请单</w:t>
      </w:r>
    </w:p>
    <w:p w14:paraId="071C5193">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承包人提交最终结清申请单的份数：</w:t>
      </w:r>
      <w:r>
        <w:rPr>
          <w:rFonts w:hint="eastAsia" w:ascii="宋体" w:hAnsi="宋体" w:cs="宋体"/>
          <w:color w:val="000000"/>
          <w:sz w:val="24"/>
          <w:u w:val="single"/>
        </w:rPr>
        <w:t xml:space="preserve">   3份   </w:t>
      </w:r>
      <w:r>
        <w:rPr>
          <w:rFonts w:hint="eastAsia" w:ascii="宋体" w:hAnsi="宋体" w:cs="宋体"/>
          <w:color w:val="000000"/>
          <w:sz w:val="24"/>
        </w:rPr>
        <w:t>。</w:t>
      </w:r>
    </w:p>
    <w:p w14:paraId="233584B2">
      <w:pPr>
        <w:spacing w:line="360" w:lineRule="auto"/>
        <w:ind w:firstLine="480" w:firstLineChars="200"/>
        <w:rPr>
          <w:rFonts w:ascii="宋体" w:hAnsi="宋体" w:cs="宋体"/>
          <w:color w:val="000000"/>
          <w:sz w:val="24"/>
        </w:rPr>
      </w:pPr>
      <w:r>
        <w:rPr>
          <w:rFonts w:hint="eastAsia" w:ascii="宋体" w:hAnsi="宋体" w:cs="宋体"/>
          <w:color w:val="000000"/>
          <w:kern w:val="0"/>
          <w:sz w:val="24"/>
        </w:rPr>
        <w:t>承包人提交最终结算申请单的期限：</w:t>
      </w:r>
      <w:r>
        <w:rPr>
          <w:rFonts w:hint="eastAsia" w:ascii="宋体" w:hAnsi="宋体" w:cs="宋体"/>
          <w:color w:val="000000"/>
          <w:sz w:val="24"/>
          <w:u w:val="single"/>
        </w:rPr>
        <w:t>承包人应在缺陷责任期终止证书颁发后7天内提交</w:t>
      </w:r>
      <w:r>
        <w:rPr>
          <w:rFonts w:hint="eastAsia" w:ascii="宋体" w:hAnsi="宋体" w:cs="宋体"/>
          <w:color w:val="000000"/>
          <w:sz w:val="24"/>
        </w:rPr>
        <w:t>。</w:t>
      </w:r>
    </w:p>
    <w:p w14:paraId="3366C791">
      <w:pPr>
        <w:spacing w:line="360" w:lineRule="auto"/>
        <w:ind w:firstLine="480" w:firstLineChars="200"/>
        <w:rPr>
          <w:rFonts w:ascii="宋体" w:hAnsi="宋体" w:cs="宋体"/>
          <w:color w:val="000000"/>
          <w:sz w:val="24"/>
        </w:rPr>
      </w:pPr>
      <w:r>
        <w:rPr>
          <w:rFonts w:hint="eastAsia" w:ascii="宋体" w:hAnsi="宋体" w:cs="宋体"/>
          <w:color w:val="000000"/>
          <w:sz w:val="24"/>
        </w:rPr>
        <w:t>发包人对最终结结算申请单内容有异议的，有权要求承包人进行修正和提供补充资料，但应当出具书面意见。承包人应当按照发包人的书面意见提交修正后的最终结算申请单。</w:t>
      </w:r>
    </w:p>
    <w:p w14:paraId="6A0657D8">
      <w:pPr>
        <w:spacing w:line="360" w:lineRule="auto"/>
        <w:ind w:firstLine="480" w:firstLineChars="200"/>
        <w:rPr>
          <w:rFonts w:ascii="宋体" w:hAnsi="宋体" w:cs="宋体"/>
          <w:color w:val="000000"/>
          <w:sz w:val="24"/>
        </w:rPr>
      </w:pPr>
      <w:r>
        <w:rPr>
          <w:rFonts w:hint="eastAsia" w:ascii="宋体" w:hAnsi="宋体" w:cs="宋体"/>
          <w:color w:val="000000"/>
          <w:sz w:val="24"/>
        </w:rPr>
        <w:t>14.4.2 最终结清证书和支付</w:t>
      </w:r>
    </w:p>
    <w:p w14:paraId="60E904B8">
      <w:pPr>
        <w:spacing w:line="360" w:lineRule="auto"/>
        <w:ind w:firstLine="480" w:firstLineChars="200"/>
        <w:rPr>
          <w:rFonts w:ascii="宋体" w:hAnsi="宋体" w:cs="宋体"/>
          <w:color w:val="000000"/>
          <w:sz w:val="24"/>
        </w:rPr>
      </w:pPr>
      <w:r>
        <w:rPr>
          <w:rFonts w:hint="eastAsia" w:ascii="宋体" w:hAnsi="宋体" w:cs="宋体"/>
          <w:color w:val="000000"/>
          <w:sz w:val="24"/>
        </w:rPr>
        <w:t>（1）发包人完成最终结清申请单的审批并颁发最终结清证书的期限：发包人应在收到承包人提交的最终结清申请单后</w:t>
      </w:r>
      <w:r>
        <w:rPr>
          <w:rFonts w:hint="eastAsia" w:ascii="宋体" w:hAnsi="宋体" w:cs="宋体"/>
          <w:color w:val="000000"/>
          <w:sz w:val="24"/>
          <w:u w:val="single"/>
        </w:rPr>
        <w:t xml:space="preserve"> 14</w:t>
      </w:r>
      <w:r>
        <w:rPr>
          <w:rFonts w:hint="eastAsia" w:ascii="宋体" w:hAnsi="宋体" w:cs="宋体"/>
          <w:color w:val="000000"/>
          <w:kern w:val="0"/>
          <w:sz w:val="24"/>
          <w:u w:val="single"/>
        </w:rPr>
        <w:t xml:space="preserve"> </w:t>
      </w:r>
      <w:r>
        <w:rPr>
          <w:rFonts w:hint="eastAsia" w:ascii="宋体" w:hAnsi="宋体" w:cs="宋体"/>
          <w:color w:val="000000"/>
          <w:sz w:val="24"/>
        </w:rPr>
        <w:t>天内完成审批并向承包人颁发最终结清证书。发包人逾期未完成审批，又未提出修改意见的，视为发包人同意承包人提交的最终结清申请单并已颁发最终结清证书。</w:t>
      </w:r>
    </w:p>
    <w:p w14:paraId="0DBC556B">
      <w:pPr>
        <w:spacing w:line="360" w:lineRule="auto"/>
        <w:ind w:firstLine="480" w:firstLineChars="200"/>
        <w:rPr>
          <w:rFonts w:ascii="宋体" w:hAnsi="宋体" w:cs="宋体"/>
          <w:color w:val="000000"/>
          <w:sz w:val="24"/>
        </w:rPr>
      </w:pPr>
      <w:r>
        <w:rPr>
          <w:rFonts w:hint="eastAsia" w:ascii="宋体" w:hAnsi="宋体" w:cs="宋体"/>
          <w:color w:val="000000"/>
          <w:sz w:val="24"/>
        </w:rPr>
        <w:t>（2）发包人完成支付的期限：</w:t>
      </w:r>
    </w:p>
    <w:p w14:paraId="40259AB4">
      <w:pPr>
        <w:spacing w:line="360" w:lineRule="auto"/>
        <w:ind w:firstLine="480" w:firstLineChars="200"/>
        <w:rPr>
          <w:rFonts w:ascii="宋体" w:hAnsi="宋体" w:cs="宋体"/>
          <w:color w:val="000000"/>
          <w:sz w:val="24"/>
        </w:rPr>
      </w:pPr>
      <w:r>
        <w:rPr>
          <w:rFonts w:hint="eastAsia" w:ascii="宋体" w:hAnsi="宋体" w:cs="宋体"/>
          <w:color w:val="000000"/>
          <w:sz w:val="24"/>
        </w:rPr>
        <w:t>发包人应在颁发最终结清证书后</w:t>
      </w:r>
      <w:r>
        <w:rPr>
          <w:rFonts w:hint="eastAsia" w:ascii="宋体" w:hAnsi="宋体" w:cs="宋体"/>
          <w:color w:val="000000"/>
          <w:sz w:val="24"/>
          <w:u w:val="single"/>
        </w:rPr>
        <w:t xml:space="preserve"> 14 </w:t>
      </w:r>
      <w:r>
        <w:rPr>
          <w:rFonts w:hint="eastAsia" w:ascii="宋体" w:hAnsi="宋体" w:cs="宋体"/>
          <w:color w:val="000000"/>
          <w:kern w:val="0"/>
          <w:sz w:val="24"/>
        </w:rPr>
        <w:t>天</w:t>
      </w:r>
      <w:r>
        <w:rPr>
          <w:rFonts w:hint="eastAsia" w:ascii="宋体" w:hAnsi="宋体" w:cs="宋体"/>
          <w:color w:val="000000"/>
          <w:sz w:val="24"/>
        </w:rPr>
        <w:t>内完成支付。发包人逾期支付的违约责任按通用条款执行。</w:t>
      </w:r>
    </w:p>
    <w:p w14:paraId="0E713B8F">
      <w:pPr>
        <w:spacing w:line="360" w:lineRule="auto"/>
        <w:ind w:firstLine="480" w:firstLineChars="200"/>
        <w:rPr>
          <w:rFonts w:ascii="宋体" w:hAnsi="宋体" w:cs="宋体"/>
          <w:color w:val="000000"/>
          <w:sz w:val="24"/>
        </w:rPr>
      </w:pPr>
      <w:r>
        <w:rPr>
          <w:rFonts w:hint="eastAsia" w:ascii="宋体" w:hAnsi="宋体" w:cs="宋体"/>
          <w:color w:val="000000"/>
          <w:sz w:val="24"/>
        </w:rPr>
        <w:t>15. 缺陷责任期与保修</w:t>
      </w:r>
      <w:bookmarkEnd w:id="891"/>
      <w:bookmarkEnd w:id="892"/>
    </w:p>
    <w:p w14:paraId="1E3FBA85">
      <w:pPr>
        <w:spacing w:line="360" w:lineRule="auto"/>
        <w:ind w:firstLine="480" w:firstLineChars="200"/>
        <w:rPr>
          <w:rFonts w:ascii="宋体" w:hAnsi="宋体" w:cs="宋体"/>
          <w:color w:val="000000"/>
          <w:sz w:val="24"/>
        </w:rPr>
      </w:pPr>
      <w:r>
        <w:rPr>
          <w:rFonts w:hint="eastAsia" w:ascii="宋体" w:hAnsi="宋体" w:cs="宋体"/>
          <w:color w:val="000000"/>
          <w:sz w:val="24"/>
        </w:rPr>
        <w:t>15.2缺陷责任期</w:t>
      </w:r>
      <w:bookmarkEnd w:id="893"/>
    </w:p>
    <w:p w14:paraId="229A3BC3">
      <w:pPr>
        <w:spacing w:line="360" w:lineRule="auto"/>
        <w:ind w:firstLine="480" w:firstLineChars="200"/>
        <w:rPr>
          <w:rFonts w:ascii="宋体" w:hAnsi="宋体" w:cs="宋体"/>
          <w:color w:val="000000"/>
          <w:sz w:val="24"/>
        </w:rPr>
      </w:pPr>
      <w:r>
        <w:rPr>
          <w:rFonts w:hint="eastAsia" w:ascii="宋体" w:hAnsi="宋体" w:cs="宋体"/>
          <w:color w:val="000000"/>
          <w:sz w:val="24"/>
        </w:rPr>
        <w:t>15.2.1 本合同缺陷责任期为</w:t>
      </w:r>
      <w:r>
        <w:rPr>
          <w:rFonts w:hint="eastAsia" w:ascii="宋体" w:hAnsi="宋体" w:cs="宋体"/>
          <w:color w:val="000000"/>
          <w:sz w:val="24"/>
          <w:u w:val="single"/>
          <w:lang w:val="en-US" w:eastAsia="zh-CN"/>
        </w:rPr>
        <w:t>12</w:t>
      </w:r>
      <w:r>
        <w:rPr>
          <w:rFonts w:hint="eastAsia" w:ascii="宋体" w:hAnsi="宋体" w:cs="宋体"/>
          <w:color w:val="000000"/>
          <w:sz w:val="24"/>
        </w:rPr>
        <w:t>个月。</w:t>
      </w:r>
    </w:p>
    <w:p w14:paraId="4394C1B2">
      <w:pPr>
        <w:spacing w:line="360" w:lineRule="auto"/>
        <w:ind w:firstLine="480" w:firstLineChars="200"/>
        <w:rPr>
          <w:rFonts w:ascii="宋体" w:hAnsi="宋体" w:cs="宋体"/>
          <w:color w:val="000000"/>
          <w:sz w:val="24"/>
        </w:rPr>
      </w:pPr>
      <w:r>
        <w:rPr>
          <w:rFonts w:hint="eastAsia" w:ascii="宋体" w:hAnsi="宋体" w:cs="宋体"/>
          <w:color w:val="000000"/>
          <w:sz w:val="24"/>
        </w:rPr>
        <w:t>工程竣工验收合格后，因施承包人原因导致的缺陷使工程或某项主要设备不能按原定目的使用的，发包人有权在原缺陷责任期届满前要求施工承包人延长缺陷责任期，延长的缺陷责任期为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12</w:t>
      </w:r>
      <w:r>
        <w:rPr>
          <w:rFonts w:hint="eastAsia" w:ascii="宋体" w:hAnsi="宋体" w:cs="宋体"/>
          <w:color w:val="000000"/>
          <w:sz w:val="24"/>
          <w:u w:val="single"/>
        </w:rPr>
        <w:t xml:space="preserve"> </w:t>
      </w:r>
      <w:r>
        <w:rPr>
          <w:rFonts w:hint="eastAsia" w:ascii="宋体" w:hAnsi="宋体" w:cs="宋体"/>
          <w:color w:val="000000"/>
          <w:sz w:val="24"/>
        </w:rPr>
        <w:t>个月。</w:t>
      </w:r>
    </w:p>
    <w:bookmarkEnd w:id="894"/>
    <w:bookmarkEnd w:id="895"/>
    <w:p w14:paraId="4C699392">
      <w:pPr>
        <w:spacing w:line="360" w:lineRule="auto"/>
        <w:ind w:firstLine="480" w:firstLineChars="200"/>
        <w:rPr>
          <w:rFonts w:ascii="宋体" w:hAnsi="宋体" w:cs="宋体"/>
          <w:color w:val="000000"/>
          <w:sz w:val="24"/>
        </w:rPr>
      </w:pPr>
      <w:r>
        <w:rPr>
          <w:rFonts w:hint="eastAsia" w:ascii="宋体" w:hAnsi="宋体" w:cs="宋体"/>
          <w:color w:val="000000"/>
          <w:sz w:val="24"/>
        </w:rPr>
        <w:t>15.3 质量保证金</w:t>
      </w:r>
    </w:p>
    <w:p w14:paraId="2BAA87A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关于是否扣留质量保证金的约定：</w:t>
      </w:r>
    </w:p>
    <w:p w14:paraId="26DF14D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（1）承包人提供的质量保证担保形式为银行保函或保险机构保证保险保单或现金。</w:t>
      </w:r>
    </w:p>
    <w:p w14:paraId="5D19D3A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（2）质量保证金保函担保时间或质量保证金扣留期限与第15.2款约定的缺陷责任期保持一致。</w:t>
      </w:r>
    </w:p>
    <w:p w14:paraId="6040AC92">
      <w:pPr>
        <w:spacing w:line="360" w:lineRule="auto"/>
        <w:ind w:firstLine="480" w:firstLineChars="200"/>
        <w:rPr>
          <w:rFonts w:hint="eastAsia" w:ascii="宋体" w:hAnsi="宋体" w:cs="宋体"/>
          <w:color w:val="000000"/>
          <w:sz w:val="24"/>
          <w:lang w:eastAsia="zh-CN"/>
        </w:rPr>
      </w:pPr>
      <w:r>
        <w:rPr>
          <w:rFonts w:hint="eastAsia" w:ascii="宋体" w:hAnsi="宋体" w:cs="宋体"/>
          <w:color w:val="000000"/>
          <w:sz w:val="24"/>
        </w:rPr>
        <w:t>（3）质量保证金额为</w:t>
      </w:r>
      <w:r>
        <w:rPr>
          <w:rFonts w:hint="eastAsia" w:ascii="宋体" w:hAnsi="宋体" w:cs="宋体"/>
          <w:color w:val="000000"/>
          <w:sz w:val="24"/>
          <w:lang w:eastAsia="zh-CN"/>
        </w:rPr>
        <w:t>工程结算价</w:t>
      </w:r>
      <w:r>
        <w:rPr>
          <w:rFonts w:hint="eastAsia" w:ascii="宋体" w:hAnsi="宋体" w:cs="宋体"/>
          <w:color w:val="000000"/>
          <w:sz w:val="24"/>
        </w:rPr>
        <w:t>的</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1%</w:t>
      </w:r>
      <w:r>
        <w:rPr>
          <w:rFonts w:hint="eastAsia" w:ascii="宋体" w:hAnsi="宋体" w:cs="宋体"/>
          <w:color w:val="000000"/>
          <w:sz w:val="24"/>
          <w:u w:val="single"/>
        </w:rPr>
        <w:t xml:space="preserve">   </w:t>
      </w:r>
      <w:r>
        <w:rPr>
          <w:rFonts w:hint="eastAsia" w:ascii="宋体" w:hAnsi="宋体" w:cs="宋体"/>
          <w:color w:val="000000"/>
          <w:sz w:val="24"/>
          <w:lang w:eastAsia="zh-CN"/>
        </w:rPr>
        <w:t>。</w:t>
      </w:r>
    </w:p>
    <w:p w14:paraId="2FE8E28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（4）承包人与质量保证担保有关的任何利息或其它类似的费用或者收益由承包人承担；因承包人原因导致缺陷责任期延长的，继续提供质量保证担保所增加的费用由承包人承担。</w:t>
      </w:r>
    </w:p>
    <w:p w14:paraId="6B2349B9">
      <w:pPr>
        <w:spacing w:line="360" w:lineRule="auto"/>
        <w:ind w:firstLine="480" w:firstLineChars="200"/>
        <w:rPr>
          <w:rFonts w:ascii="宋体" w:hAnsi="宋体" w:cs="宋体"/>
          <w:color w:val="000000"/>
          <w:sz w:val="24"/>
        </w:rPr>
      </w:pPr>
      <w:r>
        <w:rPr>
          <w:rFonts w:hint="eastAsia" w:ascii="宋体" w:hAnsi="宋体" w:cs="宋体"/>
          <w:color w:val="000000"/>
          <w:sz w:val="24"/>
        </w:rPr>
        <w:t>15.4 保修</w:t>
      </w:r>
    </w:p>
    <w:bookmarkEnd w:id="896"/>
    <w:p w14:paraId="48FE2922">
      <w:pPr>
        <w:spacing w:line="360" w:lineRule="auto"/>
        <w:ind w:firstLine="480" w:firstLineChars="200"/>
        <w:rPr>
          <w:rFonts w:ascii="宋体" w:hAnsi="宋体" w:cs="宋体"/>
          <w:color w:val="000000"/>
          <w:sz w:val="24"/>
        </w:rPr>
      </w:pPr>
      <w:r>
        <w:rPr>
          <w:rFonts w:hint="eastAsia" w:ascii="宋体" w:hAnsi="宋体" w:cs="宋体"/>
          <w:color w:val="000000"/>
          <w:sz w:val="24"/>
        </w:rPr>
        <w:t>15.4.1 保修责任</w:t>
      </w:r>
    </w:p>
    <w:p w14:paraId="599900E9">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工程保修期为：</w:t>
      </w:r>
    </w:p>
    <w:p w14:paraId="4BA2F727">
      <w:pPr>
        <w:spacing w:line="360" w:lineRule="auto"/>
        <w:ind w:firstLine="480" w:firstLineChars="200"/>
        <w:rPr>
          <w:rFonts w:ascii="宋体" w:hAnsi="宋体" w:cs="宋体"/>
          <w:color w:val="000000"/>
          <w:sz w:val="24"/>
        </w:rPr>
      </w:pPr>
      <w:r>
        <w:rPr>
          <w:rFonts w:hint="eastAsia" w:ascii="宋体" w:hAnsi="宋体" w:cs="宋体"/>
          <w:color w:val="000000"/>
          <w:sz w:val="24"/>
        </w:rPr>
        <w:t>1、地基基础工程和主体结构工程为设计文件规定的该工程合理使用年限；</w:t>
      </w:r>
    </w:p>
    <w:p w14:paraId="69A245A0">
      <w:pPr>
        <w:spacing w:line="360" w:lineRule="auto"/>
        <w:ind w:firstLine="480" w:firstLineChars="200"/>
        <w:rPr>
          <w:rFonts w:ascii="宋体" w:hAnsi="宋体" w:cs="宋体"/>
          <w:color w:val="000000"/>
          <w:sz w:val="24"/>
        </w:rPr>
      </w:pPr>
      <w:r>
        <w:rPr>
          <w:rFonts w:hint="eastAsia" w:ascii="宋体" w:hAnsi="宋体" w:cs="宋体"/>
          <w:color w:val="000000"/>
          <w:sz w:val="24"/>
        </w:rPr>
        <w:t>2、屋面防水工程、有防水要求的卫生间、房间和外墙面的防渗漏为</w:t>
      </w:r>
      <w:r>
        <w:rPr>
          <w:rFonts w:hint="eastAsia" w:ascii="宋体" w:hAnsi="宋体" w:cs="宋体"/>
          <w:color w:val="000000"/>
          <w:sz w:val="24"/>
          <w:u w:val="single"/>
        </w:rPr>
        <w:t xml:space="preserve"> 5 </w:t>
      </w:r>
      <w:r>
        <w:rPr>
          <w:rFonts w:hint="eastAsia" w:ascii="宋体" w:hAnsi="宋体" w:cs="宋体"/>
          <w:color w:val="000000"/>
          <w:sz w:val="24"/>
        </w:rPr>
        <w:t>年；</w:t>
      </w:r>
    </w:p>
    <w:p w14:paraId="09295935">
      <w:pPr>
        <w:spacing w:line="360" w:lineRule="auto"/>
        <w:ind w:firstLine="480" w:firstLineChars="200"/>
        <w:rPr>
          <w:rFonts w:ascii="宋体" w:hAnsi="宋体" w:cs="宋体"/>
          <w:color w:val="000000"/>
          <w:sz w:val="24"/>
        </w:rPr>
      </w:pPr>
      <w:r>
        <w:rPr>
          <w:rFonts w:hint="eastAsia" w:ascii="宋体" w:hAnsi="宋体" w:cs="宋体"/>
          <w:color w:val="000000"/>
          <w:sz w:val="24"/>
        </w:rPr>
        <w:t>3、节能工程、太阳能系统工程，为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189A3AFA">
      <w:pPr>
        <w:spacing w:line="360" w:lineRule="auto"/>
        <w:ind w:firstLine="480" w:firstLineChars="200"/>
        <w:rPr>
          <w:rFonts w:ascii="宋体" w:hAnsi="宋体" w:cs="宋体"/>
          <w:color w:val="000000"/>
          <w:sz w:val="24"/>
        </w:rPr>
      </w:pPr>
      <w:r>
        <w:rPr>
          <w:rFonts w:hint="eastAsia" w:ascii="宋体" w:hAnsi="宋体" w:cs="宋体"/>
          <w:color w:val="000000"/>
          <w:sz w:val="24"/>
        </w:rPr>
        <w:t>4、装修工程、附属工程、电气管线、给排水管道、设备安装工程为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09C61DCD">
      <w:pPr>
        <w:spacing w:line="360" w:lineRule="auto"/>
        <w:ind w:firstLine="480" w:firstLineChars="200"/>
        <w:rPr>
          <w:rFonts w:ascii="宋体" w:hAnsi="宋体" w:cs="宋体"/>
          <w:color w:val="000000"/>
          <w:sz w:val="24"/>
        </w:rPr>
      </w:pPr>
      <w:r>
        <w:rPr>
          <w:rFonts w:hint="eastAsia" w:ascii="宋体" w:hAnsi="宋体" w:cs="宋体"/>
          <w:color w:val="000000"/>
          <w:sz w:val="24"/>
        </w:rPr>
        <w:t>5、供热与供冷系统为</w:t>
      </w:r>
      <w:r>
        <w:rPr>
          <w:rFonts w:hint="eastAsia" w:ascii="宋体" w:hAnsi="宋体" w:cs="宋体"/>
          <w:color w:val="000000"/>
          <w:sz w:val="24"/>
          <w:u w:val="single"/>
        </w:rPr>
        <w:t xml:space="preserve"> 2 </w:t>
      </w:r>
      <w:r>
        <w:rPr>
          <w:rFonts w:hint="eastAsia" w:ascii="宋体" w:hAnsi="宋体" w:cs="宋体"/>
          <w:color w:val="000000"/>
          <w:sz w:val="24"/>
        </w:rPr>
        <w:t>个采暖期、供冷期；</w:t>
      </w:r>
    </w:p>
    <w:p w14:paraId="3DB16947">
      <w:pPr>
        <w:spacing w:line="360" w:lineRule="auto"/>
        <w:ind w:firstLine="480" w:firstLineChars="200"/>
        <w:rPr>
          <w:rFonts w:ascii="宋体" w:hAnsi="宋体" w:cs="宋体"/>
          <w:color w:val="000000"/>
          <w:sz w:val="24"/>
        </w:rPr>
      </w:pPr>
      <w:r>
        <w:rPr>
          <w:rFonts w:hint="eastAsia" w:ascii="宋体" w:hAnsi="宋体" w:cs="宋体"/>
          <w:color w:val="000000"/>
          <w:sz w:val="24"/>
        </w:rPr>
        <w:t>6、住宅小区内的给排水设施、道路等配套工程为</w:t>
      </w:r>
      <w:r>
        <w:rPr>
          <w:rFonts w:hint="eastAsia" w:ascii="宋体" w:hAnsi="宋体" w:cs="宋体"/>
          <w:color w:val="000000"/>
          <w:sz w:val="24"/>
          <w:u w:val="single"/>
        </w:rPr>
        <w:t xml:space="preserve"> 1 </w:t>
      </w:r>
      <w:r>
        <w:rPr>
          <w:rFonts w:hint="eastAsia" w:ascii="宋体" w:hAnsi="宋体" w:cs="宋体"/>
          <w:color w:val="000000"/>
          <w:sz w:val="24"/>
        </w:rPr>
        <w:t>年；</w:t>
      </w:r>
    </w:p>
    <w:p w14:paraId="2F3A3708">
      <w:pPr>
        <w:spacing w:line="360" w:lineRule="auto"/>
        <w:ind w:firstLine="480" w:firstLineChars="200"/>
        <w:rPr>
          <w:rFonts w:ascii="宋体" w:hAnsi="宋体" w:cs="宋体"/>
          <w:color w:val="000000"/>
          <w:sz w:val="24"/>
        </w:rPr>
      </w:pPr>
      <w:r>
        <w:rPr>
          <w:rFonts w:hint="eastAsia" w:ascii="宋体" w:hAnsi="宋体" w:cs="宋体"/>
          <w:color w:val="000000"/>
          <w:sz w:val="24"/>
        </w:rPr>
        <w:t>7、其他项目保修期限约定如下：</w:t>
      </w:r>
      <w:r>
        <w:rPr>
          <w:rFonts w:hint="eastAsia" w:ascii="宋体" w:hAnsi="宋体" w:cs="宋体"/>
          <w:color w:val="000000"/>
          <w:sz w:val="24"/>
          <w:u w:val="single"/>
        </w:rPr>
        <w:t>除上述约定外，本工程其余部分保修期为</w:t>
      </w:r>
      <w:r>
        <w:rPr>
          <w:rFonts w:hint="eastAsia" w:ascii="宋体" w:hAnsi="宋体" w:cs="宋体"/>
          <w:color w:val="000000"/>
          <w:sz w:val="24"/>
          <w:u w:val="single"/>
          <w:lang w:val="en-US" w:eastAsia="zh-CN"/>
        </w:rPr>
        <w:t>1</w:t>
      </w:r>
      <w:r>
        <w:rPr>
          <w:rFonts w:hint="eastAsia" w:ascii="宋体" w:hAnsi="宋体" w:cs="宋体"/>
          <w:color w:val="000000"/>
          <w:sz w:val="24"/>
          <w:u w:val="single"/>
        </w:rPr>
        <w:t>年。</w:t>
      </w:r>
    </w:p>
    <w:p w14:paraId="6B0964A5">
      <w:pPr>
        <w:spacing w:line="360" w:lineRule="auto"/>
        <w:ind w:firstLine="480" w:firstLineChars="200"/>
        <w:rPr>
          <w:rFonts w:ascii="宋体" w:hAnsi="宋体" w:cs="宋体"/>
          <w:color w:val="000000"/>
          <w:sz w:val="24"/>
        </w:rPr>
      </w:pPr>
      <w:r>
        <w:rPr>
          <w:rFonts w:hint="eastAsia" w:ascii="宋体" w:hAnsi="宋体" w:cs="宋体"/>
          <w:color w:val="000000"/>
          <w:sz w:val="24"/>
        </w:rPr>
        <w:t>15.4.3 修复通知</w:t>
      </w:r>
    </w:p>
    <w:p w14:paraId="7476F8CE">
      <w:pPr>
        <w:spacing w:line="360" w:lineRule="auto"/>
        <w:ind w:firstLine="480" w:firstLineChars="200"/>
        <w:rPr>
          <w:rFonts w:ascii="宋体" w:hAnsi="宋体" w:cs="宋体"/>
          <w:color w:val="000000"/>
          <w:sz w:val="24"/>
        </w:rPr>
      </w:pPr>
      <w:r>
        <w:rPr>
          <w:rFonts w:hint="eastAsia" w:ascii="宋体" w:hAnsi="宋体" w:cs="宋体"/>
          <w:color w:val="000000"/>
          <w:sz w:val="24"/>
        </w:rPr>
        <w:t>承包人收到保修通知并到达工程现场的合理时间：</w:t>
      </w:r>
      <w:r>
        <w:rPr>
          <w:rFonts w:hint="eastAsia" w:ascii="宋体" w:hAnsi="宋体" w:cs="宋体"/>
          <w:color w:val="000000"/>
          <w:sz w:val="24"/>
          <w:u w:val="single"/>
        </w:rPr>
        <w:t xml:space="preserve"> 48小时内(含48小时)     </w:t>
      </w:r>
      <w:r>
        <w:rPr>
          <w:rFonts w:hint="eastAsia" w:ascii="宋体" w:hAnsi="宋体" w:cs="宋体"/>
          <w:color w:val="000000"/>
          <w:sz w:val="24"/>
        </w:rPr>
        <w:t>。</w:t>
      </w:r>
    </w:p>
    <w:bookmarkEnd w:id="897"/>
    <w:bookmarkEnd w:id="898"/>
    <w:bookmarkEnd w:id="899"/>
    <w:bookmarkEnd w:id="900"/>
    <w:p w14:paraId="1DD04B12">
      <w:pPr>
        <w:spacing w:line="360" w:lineRule="auto"/>
        <w:ind w:firstLine="480" w:firstLineChars="200"/>
        <w:rPr>
          <w:rFonts w:ascii="宋体" w:hAnsi="宋体" w:cs="宋体"/>
          <w:color w:val="000000"/>
          <w:sz w:val="24"/>
        </w:rPr>
      </w:pPr>
      <w:bookmarkStart w:id="923" w:name="_Toc351203648"/>
      <w:bookmarkStart w:id="924" w:name="_Toc386638622"/>
      <w:bookmarkStart w:id="925" w:name="_Toc280868717"/>
      <w:bookmarkStart w:id="926" w:name="_Toc280868718"/>
      <w:r>
        <w:rPr>
          <w:rFonts w:hint="eastAsia" w:ascii="宋体" w:hAnsi="宋体" w:cs="宋体"/>
          <w:color w:val="000000"/>
          <w:sz w:val="24"/>
        </w:rPr>
        <w:t>16. 违约</w:t>
      </w:r>
      <w:bookmarkEnd w:id="923"/>
      <w:bookmarkEnd w:id="924"/>
    </w:p>
    <w:p w14:paraId="05414701">
      <w:pPr>
        <w:spacing w:line="360" w:lineRule="auto"/>
        <w:ind w:firstLine="480" w:firstLineChars="200"/>
        <w:rPr>
          <w:rFonts w:ascii="宋体" w:hAnsi="宋体" w:cs="宋体"/>
          <w:color w:val="000000"/>
          <w:sz w:val="24"/>
        </w:rPr>
      </w:pPr>
      <w:r>
        <w:rPr>
          <w:rFonts w:hint="eastAsia" w:ascii="宋体" w:hAnsi="宋体" w:cs="宋体"/>
          <w:color w:val="000000"/>
          <w:sz w:val="24"/>
        </w:rPr>
        <w:t>16.1 发包人违约</w:t>
      </w:r>
    </w:p>
    <w:p w14:paraId="2072E474">
      <w:pPr>
        <w:spacing w:line="360" w:lineRule="auto"/>
        <w:ind w:firstLine="480" w:firstLineChars="200"/>
        <w:rPr>
          <w:rFonts w:ascii="宋体" w:hAnsi="宋体" w:cs="宋体"/>
          <w:color w:val="000000"/>
          <w:sz w:val="24"/>
        </w:rPr>
      </w:pPr>
      <w:r>
        <w:rPr>
          <w:rFonts w:hint="eastAsia" w:ascii="宋体" w:hAnsi="宋体" w:cs="宋体"/>
          <w:color w:val="000000"/>
          <w:sz w:val="24"/>
        </w:rPr>
        <w:t>16.1.1 发包人违约的情形</w:t>
      </w:r>
    </w:p>
    <w:p w14:paraId="77FCAA3F">
      <w:pPr>
        <w:spacing w:line="360" w:lineRule="auto"/>
        <w:ind w:firstLine="480" w:firstLineChars="200"/>
        <w:rPr>
          <w:rFonts w:ascii="宋体" w:hAnsi="宋体" w:cs="宋体"/>
          <w:color w:val="000000"/>
          <w:sz w:val="24"/>
        </w:rPr>
      </w:pPr>
      <w:r>
        <w:rPr>
          <w:rFonts w:hint="eastAsia" w:ascii="宋体" w:hAnsi="宋体" w:cs="宋体"/>
          <w:color w:val="000000"/>
          <w:sz w:val="24"/>
        </w:rPr>
        <w:t>发包人违约的其他情形：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0009C541">
      <w:pPr>
        <w:spacing w:line="360" w:lineRule="auto"/>
        <w:ind w:firstLine="480" w:firstLineChars="200"/>
        <w:rPr>
          <w:rFonts w:ascii="宋体" w:hAnsi="宋体" w:cs="宋体"/>
          <w:color w:val="000000"/>
          <w:sz w:val="24"/>
        </w:rPr>
      </w:pPr>
      <w:r>
        <w:rPr>
          <w:rFonts w:hint="eastAsia" w:ascii="宋体" w:hAnsi="宋体" w:cs="宋体"/>
          <w:color w:val="000000"/>
          <w:sz w:val="24"/>
        </w:rPr>
        <w:t>16.1.2 发包人违约的责任</w:t>
      </w:r>
    </w:p>
    <w:p w14:paraId="6E781F4B">
      <w:pPr>
        <w:spacing w:line="360" w:lineRule="auto"/>
        <w:ind w:firstLine="480" w:firstLineChars="200"/>
        <w:rPr>
          <w:rFonts w:ascii="宋体" w:hAnsi="宋体" w:cs="宋体"/>
          <w:color w:val="000000"/>
          <w:sz w:val="24"/>
        </w:rPr>
      </w:pPr>
      <w:r>
        <w:rPr>
          <w:rFonts w:hint="eastAsia" w:ascii="宋体" w:hAnsi="宋体" w:cs="宋体"/>
          <w:color w:val="000000"/>
          <w:sz w:val="24"/>
        </w:rPr>
        <w:t>发包人违约责任的承担方式和计算方法：</w:t>
      </w:r>
    </w:p>
    <w:p w14:paraId="28A164DF">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（1）因发包人原因未能在计划开工日期前7天内下达开工通知的违约责任：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0C633219">
      <w:pPr>
        <w:spacing w:line="360" w:lineRule="auto"/>
        <w:ind w:firstLine="480" w:firstLineChars="200"/>
        <w:rPr>
          <w:rFonts w:ascii="宋体" w:hAnsi="宋体" w:cs="宋体"/>
          <w:color w:val="000000"/>
          <w:sz w:val="24"/>
        </w:rPr>
      </w:pPr>
      <w:r>
        <w:rPr>
          <w:rFonts w:hint="eastAsia" w:ascii="宋体" w:hAnsi="宋体" w:cs="宋体"/>
          <w:color w:val="000000"/>
          <w:sz w:val="24"/>
        </w:rPr>
        <w:t>（2）因发包人原因未能按合同约定支付合同价款的违约责任：</w:t>
      </w:r>
      <w:r>
        <w:rPr>
          <w:rFonts w:hint="eastAsia" w:ascii="宋体" w:hAnsi="宋体" w:cs="宋体"/>
          <w:color w:val="000000"/>
          <w:sz w:val="24"/>
          <w:u w:val="single"/>
        </w:rPr>
        <w:t xml:space="preserve">/    </w:t>
      </w:r>
      <w:r>
        <w:rPr>
          <w:rFonts w:hint="eastAsia" w:ascii="宋体" w:hAnsi="宋体" w:cs="宋体"/>
          <w:color w:val="000000"/>
          <w:sz w:val="24"/>
        </w:rPr>
        <w:t>。</w:t>
      </w:r>
    </w:p>
    <w:p w14:paraId="53319CB8">
      <w:pPr>
        <w:spacing w:line="360" w:lineRule="auto"/>
        <w:ind w:firstLine="480" w:firstLineChars="200"/>
        <w:rPr>
          <w:rFonts w:ascii="宋体" w:hAnsi="宋体" w:cs="宋体"/>
          <w:color w:val="000000"/>
          <w:sz w:val="24"/>
        </w:rPr>
      </w:pPr>
      <w:r>
        <w:rPr>
          <w:rFonts w:hint="eastAsia" w:ascii="宋体" w:hAnsi="宋体" w:cs="宋体"/>
          <w:color w:val="000000"/>
          <w:sz w:val="24"/>
        </w:rPr>
        <w:t>（3）发包人违反第10.1款〔变更的范围〕第（2）项约定，自行实施被取消的工作或转由他人实施的违约责任：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295373E2">
      <w:pPr>
        <w:spacing w:line="360" w:lineRule="auto"/>
        <w:ind w:firstLine="480" w:firstLineChars="200"/>
        <w:rPr>
          <w:rFonts w:ascii="宋体" w:hAnsi="宋体" w:cs="宋体"/>
          <w:color w:val="000000"/>
          <w:sz w:val="24"/>
        </w:rPr>
      </w:pPr>
      <w:r>
        <w:rPr>
          <w:rFonts w:hint="eastAsia" w:ascii="宋体" w:hAnsi="宋体" w:cs="宋体"/>
          <w:color w:val="000000"/>
          <w:sz w:val="24"/>
        </w:rPr>
        <w:t>（4）发包人提供的材料、工程设备的规格、数量或质量不符合合同约定，或因发包人原因导致交货日期延误或交货地点变更等情况的违约责任：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28ADE974">
      <w:pPr>
        <w:spacing w:line="360" w:lineRule="auto"/>
        <w:ind w:firstLine="480" w:firstLineChars="200"/>
        <w:rPr>
          <w:rFonts w:ascii="宋体" w:hAnsi="宋体" w:cs="宋体"/>
          <w:color w:val="000000"/>
          <w:sz w:val="24"/>
        </w:rPr>
      </w:pPr>
      <w:r>
        <w:rPr>
          <w:rFonts w:hint="eastAsia" w:ascii="宋体" w:hAnsi="宋体" w:cs="宋体"/>
          <w:color w:val="000000"/>
          <w:sz w:val="24"/>
        </w:rPr>
        <w:t>（5）因发包人违反合同约定造成暂停施工的违约责任：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32804D96">
      <w:pPr>
        <w:spacing w:line="360" w:lineRule="auto"/>
        <w:ind w:firstLine="480" w:firstLineChars="200"/>
        <w:rPr>
          <w:rFonts w:ascii="宋体" w:hAnsi="宋体" w:cs="宋体"/>
          <w:color w:val="000000"/>
          <w:sz w:val="24"/>
        </w:rPr>
      </w:pPr>
      <w:r>
        <w:rPr>
          <w:rFonts w:hint="eastAsia" w:ascii="宋体" w:hAnsi="宋体" w:cs="宋体"/>
          <w:color w:val="000000"/>
          <w:sz w:val="24"/>
        </w:rPr>
        <w:t>（6）发包人无正当理由没有在约定期限内发出复工指示，导致承包人无法复工的违约责任：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27EF4E49">
      <w:pPr>
        <w:spacing w:line="360" w:lineRule="auto"/>
        <w:ind w:firstLine="480" w:firstLineChars="200"/>
        <w:rPr>
          <w:rFonts w:ascii="宋体" w:hAnsi="宋体" w:cs="宋体"/>
          <w:color w:val="000000"/>
          <w:sz w:val="24"/>
        </w:rPr>
      </w:pPr>
      <w:r>
        <w:rPr>
          <w:rFonts w:hint="eastAsia" w:ascii="宋体" w:hAnsi="宋体" w:cs="宋体"/>
          <w:color w:val="000000"/>
          <w:sz w:val="24"/>
        </w:rPr>
        <w:t>（7）其他：</w:t>
      </w:r>
      <w:r>
        <w:rPr>
          <w:rFonts w:hint="eastAsia" w:ascii="宋体" w:hAnsi="宋体" w:cs="宋体"/>
          <w:color w:val="000000"/>
          <w:sz w:val="24"/>
          <w:u w:val="single"/>
        </w:rPr>
        <w:t xml:space="preserve">                   /                       </w:t>
      </w:r>
      <w:r>
        <w:rPr>
          <w:rFonts w:hint="eastAsia" w:ascii="宋体" w:hAnsi="宋体" w:cs="宋体"/>
          <w:color w:val="000000"/>
          <w:sz w:val="24"/>
        </w:rPr>
        <w:t>。</w:t>
      </w:r>
    </w:p>
    <w:p w14:paraId="6D141FC0">
      <w:pPr>
        <w:spacing w:line="360" w:lineRule="auto"/>
        <w:ind w:firstLine="480" w:firstLineChars="200"/>
        <w:rPr>
          <w:rFonts w:ascii="宋体" w:hAnsi="宋体" w:cs="宋体"/>
          <w:color w:val="000000"/>
          <w:sz w:val="24"/>
        </w:rPr>
      </w:pPr>
      <w:r>
        <w:rPr>
          <w:rFonts w:hint="eastAsia" w:ascii="宋体" w:hAnsi="宋体" w:cs="宋体"/>
          <w:color w:val="000000"/>
          <w:sz w:val="24"/>
        </w:rPr>
        <w:t>16.1.3 因发包人违约解除合同</w:t>
      </w:r>
    </w:p>
    <w:p w14:paraId="7F266E47">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承包人按16.1.1项〔发包人违约的情形〕约定暂停施工满</w:t>
      </w:r>
      <w:r>
        <w:rPr>
          <w:rFonts w:hint="eastAsia" w:ascii="宋体" w:hAnsi="宋体" w:cs="宋体"/>
          <w:color w:val="000000"/>
          <w:sz w:val="24"/>
          <w:u w:val="single"/>
        </w:rPr>
        <w:t xml:space="preserve"> 28 </w:t>
      </w:r>
      <w:r>
        <w:rPr>
          <w:rFonts w:hint="eastAsia" w:ascii="宋体" w:hAnsi="宋体" w:cs="宋体"/>
          <w:color w:val="000000"/>
          <w:sz w:val="24"/>
        </w:rPr>
        <w:t>天后发包人仍不纠正其违约行为并致使合同目的不能实现的，承包人有权解除合同。</w:t>
      </w:r>
    </w:p>
    <w:p w14:paraId="58CE19AC">
      <w:pPr>
        <w:spacing w:line="360" w:lineRule="auto"/>
        <w:ind w:firstLine="480" w:firstLineChars="200"/>
        <w:rPr>
          <w:rFonts w:ascii="宋体" w:hAnsi="宋体" w:cs="宋体"/>
          <w:color w:val="000000"/>
          <w:sz w:val="24"/>
        </w:rPr>
      </w:pPr>
      <w:r>
        <w:rPr>
          <w:rFonts w:hint="eastAsia" w:ascii="宋体" w:hAnsi="宋体" w:cs="宋体"/>
          <w:color w:val="000000"/>
          <w:sz w:val="24"/>
        </w:rPr>
        <w:t>16.2 承包人违约</w:t>
      </w:r>
    </w:p>
    <w:p w14:paraId="05F08306">
      <w:pPr>
        <w:spacing w:line="360" w:lineRule="auto"/>
        <w:ind w:firstLine="480" w:firstLineChars="200"/>
        <w:rPr>
          <w:rFonts w:ascii="宋体" w:hAnsi="宋体" w:cs="宋体"/>
          <w:color w:val="000000"/>
          <w:sz w:val="24"/>
        </w:rPr>
      </w:pPr>
      <w:r>
        <w:rPr>
          <w:rFonts w:hint="eastAsia" w:ascii="宋体" w:hAnsi="宋体" w:cs="宋体"/>
          <w:color w:val="000000"/>
          <w:sz w:val="24"/>
        </w:rPr>
        <w:t>16.2.1 承包人违约的情形、承担方式和计算方法</w:t>
      </w:r>
    </w:p>
    <w:p w14:paraId="52765A42">
      <w:pPr>
        <w:spacing w:line="360" w:lineRule="auto"/>
        <w:ind w:firstLine="480" w:firstLineChars="200"/>
        <w:rPr>
          <w:rFonts w:ascii="宋体" w:hAnsi="宋体" w:cs="宋体"/>
          <w:color w:val="000000"/>
          <w:sz w:val="24"/>
        </w:rPr>
      </w:pPr>
      <w:r>
        <w:rPr>
          <w:rFonts w:hint="eastAsia" w:ascii="宋体" w:hAnsi="宋体" w:cs="宋体"/>
          <w:color w:val="000000"/>
          <w:sz w:val="24"/>
        </w:rPr>
        <w:t>（1）发生下列情况之一，视作承包人违约，并承担相应金额违约金，违约金从工程款中扣除。</w:t>
      </w:r>
    </w:p>
    <w:p w14:paraId="20DC77F5">
      <w:pPr>
        <w:spacing w:line="360" w:lineRule="auto"/>
        <w:ind w:firstLine="480" w:firstLineChars="200"/>
        <w:rPr>
          <w:rFonts w:ascii="宋体" w:hAnsi="宋体" w:cs="宋体"/>
          <w:color w:val="000000"/>
          <w:sz w:val="24"/>
        </w:rPr>
      </w:pPr>
      <w:r>
        <w:rPr>
          <w:rFonts w:hint="eastAsia" w:ascii="宋体" w:hAnsi="宋体" w:cs="宋体"/>
          <w:color w:val="000000"/>
          <w:sz w:val="24"/>
        </w:rPr>
        <w:t>①未达到工程质量验收合格标准违约金为中标价的2.5%；</w:t>
      </w:r>
    </w:p>
    <w:p w14:paraId="7EE2AF7D">
      <w:pPr>
        <w:spacing w:line="360" w:lineRule="auto"/>
        <w:ind w:firstLine="480" w:firstLineChars="200"/>
        <w:rPr>
          <w:rFonts w:ascii="宋体" w:hAnsi="宋体" w:cs="宋体"/>
          <w:color w:val="000000"/>
          <w:sz w:val="24"/>
        </w:rPr>
      </w:pPr>
      <w:r>
        <w:rPr>
          <w:rFonts w:hint="eastAsia" w:ascii="宋体" w:hAnsi="宋体" w:cs="宋体"/>
          <w:color w:val="000000"/>
          <w:sz w:val="24"/>
        </w:rPr>
        <w:t>②未履行安全文明施工承诺违约金为中标价的2.5%；</w:t>
      </w:r>
    </w:p>
    <w:p w14:paraId="14181D2B">
      <w:pPr>
        <w:spacing w:line="360" w:lineRule="auto"/>
        <w:ind w:firstLine="480" w:firstLineChars="200"/>
        <w:rPr>
          <w:rFonts w:ascii="宋体" w:hAnsi="宋体" w:cs="宋体"/>
          <w:color w:val="000000"/>
          <w:sz w:val="24"/>
        </w:rPr>
      </w:pPr>
      <w:r>
        <w:rPr>
          <w:rFonts w:hint="eastAsia" w:ascii="宋体" w:hAnsi="宋体" w:cs="宋体"/>
          <w:color w:val="000000"/>
          <w:sz w:val="24"/>
        </w:rPr>
        <w:t>③主要机械设备：未履行按竞包文件配备施工所需的主要机械设备到场承诺的，承担违约金为中标价1%。</w:t>
      </w:r>
    </w:p>
    <w:p w14:paraId="22F79B17">
      <w:pPr>
        <w:spacing w:line="360" w:lineRule="auto"/>
        <w:ind w:firstLine="480" w:firstLineChars="200"/>
        <w:rPr>
          <w:rFonts w:ascii="宋体" w:hAnsi="宋体" w:cs="宋体"/>
          <w:color w:val="000000"/>
          <w:sz w:val="24"/>
        </w:rPr>
      </w:pPr>
      <w:r>
        <w:rPr>
          <w:rFonts w:hint="eastAsia" w:ascii="宋体" w:hAnsi="宋体" w:cs="宋体"/>
          <w:color w:val="000000"/>
          <w:sz w:val="24"/>
        </w:rPr>
        <w:t>（2）发生下列情况之一，视作承包人违约：实际施工期到位率以监理和发包人当月统计情况为准，违约金从月报工程款中扣除。</w:t>
      </w:r>
    </w:p>
    <w:p w14:paraId="4D81D131">
      <w:pPr>
        <w:spacing w:line="360" w:lineRule="auto"/>
        <w:ind w:firstLine="480" w:firstLineChars="200"/>
        <w:rPr>
          <w:rFonts w:ascii="宋体" w:hAnsi="宋体" w:cs="宋体"/>
          <w:color w:val="000000"/>
          <w:kern w:val="0"/>
          <w:sz w:val="24"/>
        </w:rPr>
      </w:pPr>
      <w:r>
        <w:rPr>
          <w:rFonts w:hint="eastAsia" w:ascii="宋体" w:hAnsi="宋体" w:cs="宋体"/>
          <w:color w:val="000000"/>
          <w:sz w:val="24"/>
        </w:rPr>
        <w:t>1、未履行项目经理及项目部关键岗位人员月实际施工期到场承诺违约金</w:t>
      </w:r>
      <w:r>
        <w:rPr>
          <w:rFonts w:hint="eastAsia" w:ascii="宋体" w:hAnsi="宋体" w:cs="宋体"/>
          <w:color w:val="000000"/>
          <w:sz w:val="24"/>
          <w:u w:val="single"/>
        </w:rPr>
        <w:t>1000</w:t>
      </w:r>
      <w:r>
        <w:rPr>
          <w:rFonts w:hint="eastAsia" w:ascii="宋体" w:hAnsi="宋体" w:cs="宋体"/>
          <w:color w:val="000000"/>
          <w:sz w:val="24"/>
        </w:rPr>
        <w:t>元/人/天。</w:t>
      </w:r>
    </w:p>
    <w:p w14:paraId="056A5915">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2、承包人擅自更换项目负责人违约金</w:t>
      </w:r>
      <w:r>
        <w:rPr>
          <w:rFonts w:hint="eastAsia" w:ascii="宋体" w:hAnsi="宋体" w:cs="宋体"/>
          <w:color w:val="000000"/>
          <w:kern w:val="0"/>
          <w:sz w:val="24"/>
          <w:u w:val="single"/>
        </w:rPr>
        <w:t>10000</w:t>
      </w:r>
      <w:r>
        <w:rPr>
          <w:rFonts w:hint="eastAsia" w:ascii="宋体" w:hAnsi="宋体" w:cs="宋体"/>
          <w:color w:val="000000"/>
          <w:kern w:val="0"/>
          <w:sz w:val="24"/>
        </w:rPr>
        <w:t>元/次。</w:t>
      </w:r>
    </w:p>
    <w:p w14:paraId="660956B2">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3、承包人擅自更换项目部其余关键岗位人员违约金</w:t>
      </w:r>
      <w:r>
        <w:rPr>
          <w:rFonts w:hint="eastAsia" w:ascii="宋体" w:hAnsi="宋体" w:cs="宋体"/>
          <w:color w:val="000000"/>
          <w:kern w:val="0"/>
          <w:sz w:val="24"/>
          <w:u w:val="single"/>
        </w:rPr>
        <w:t>5000</w:t>
      </w:r>
      <w:r>
        <w:rPr>
          <w:rFonts w:hint="eastAsia" w:ascii="宋体" w:hAnsi="宋体" w:cs="宋体"/>
          <w:color w:val="000000"/>
          <w:kern w:val="0"/>
          <w:sz w:val="24"/>
        </w:rPr>
        <w:t>元/人/次。</w:t>
      </w:r>
    </w:p>
    <w:p w14:paraId="54518677">
      <w:pPr>
        <w:spacing w:line="360" w:lineRule="auto"/>
        <w:ind w:firstLine="480" w:firstLineChars="200"/>
        <w:rPr>
          <w:rFonts w:ascii="宋体" w:hAnsi="宋体" w:cs="宋体"/>
          <w:color w:val="000000"/>
          <w:sz w:val="24"/>
        </w:rPr>
      </w:pPr>
      <w:r>
        <w:rPr>
          <w:rFonts w:hint="eastAsia" w:ascii="宋体" w:hAnsi="宋体" w:cs="宋体"/>
          <w:color w:val="000000"/>
          <w:sz w:val="24"/>
        </w:rPr>
        <w:t>16.2.3 因承包人违约解除合同</w:t>
      </w:r>
    </w:p>
    <w:p w14:paraId="16580C2F">
      <w:pPr>
        <w:spacing w:line="360" w:lineRule="auto"/>
        <w:ind w:firstLine="480" w:firstLineChars="200"/>
        <w:rPr>
          <w:rFonts w:ascii="宋体" w:hAnsi="宋体" w:cs="宋体"/>
          <w:color w:val="000000"/>
          <w:sz w:val="24"/>
        </w:rPr>
      </w:pPr>
      <w:r>
        <w:rPr>
          <w:rFonts w:hint="eastAsia" w:ascii="宋体" w:hAnsi="宋体" w:cs="宋体"/>
          <w:color w:val="000000"/>
          <w:sz w:val="24"/>
        </w:rPr>
        <w:t>关于承包人违约解除合同的特别约定：</w:t>
      </w:r>
      <w:r>
        <w:rPr>
          <w:rFonts w:hint="eastAsia" w:ascii="宋体" w:hAnsi="宋体" w:cs="宋体"/>
          <w:color w:val="000000"/>
          <w:sz w:val="24"/>
          <w:u w:val="single"/>
        </w:rPr>
        <w:t xml:space="preserve">       /           </w:t>
      </w:r>
      <w:r>
        <w:rPr>
          <w:rFonts w:hint="eastAsia" w:ascii="宋体" w:hAnsi="宋体" w:cs="宋体"/>
          <w:color w:val="000000"/>
          <w:sz w:val="24"/>
        </w:rPr>
        <w:t>。</w:t>
      </w:r>
    </w:p>
    <w:p w14:paraId="69CECD00">
      <w:pPr>
        <w:spacing w:line="360" w:lineRule="auto"/>
        <w:ind w:firstLine="480" w:firstLineChars="200"/>
        <w:rPr>
          <w:rFonts w:ascii="宋体" w:hAnsi="宋体" w:cs="宋体"/>
          <w:color w:val="000000"/>
          <w:sz w:val="24"/>
        </w:rPr>
      </w:pPr>
      <w:r>
        <w:rPr>
          <w:rFonts w:hint="eastAsia" w:ascii="宋体" w:hAnsi="宋体" w:cs="宋体"/>
          <w:color w:val="000000"/>
          <w:sz w:val="24"/>
        </w:rPr>
        <w:t>发包人继续使用承包人在施工现场的材料、设备、临时工程、承包人文件和由承包人或以其名义编制的其他文件的费用承担方式：</w:t>
      </w:r>
      <w:r>
        <w:rPr>
          <w:rFonts w:hint="eastAsia" w:ascii="宋体" w:hAnsi="宋体" w:cs="宋体"/>
          <w:color w:val="000000"/>
          <w:sz w:val="24"/>
          <w:u w:val="single"/>
        </w:rPr>
        <w:t>产生的费用未超过承包人应承担的违约赔偿限额的，由承包人承担；产生的费用超出承包人应承担的违约赔偿限额部分，由发包人承担</w:t>
      </w:r>
      <w:r>
        <w:rPr>
          <w:rFonts w:hint="eastAsia" w:ascii="宋体" w:hAnsi="宋体" w:cs="宋体"/>
          <w:color w:val="000000"/>
          <w:sz w:val="24"/>
        </w:rPr>
        <w:t>。</w:t>
      </w:r>
    </w:p>
    <w:p w14:paraId="2BFD8468">
      <w:pPr>
        <w:spacing w:line="360" w:lineRule="auto"/>
        <w:ind w:firstLine="480" w:firstLineChars="200"/>
        <w:rPr>
          <w:rFonts w:ascii="宋体" w:hAnsi="宋体" w:cs="宋体"/>
          <w:color w:val="000000"/>
          <w:sz w:val="24"/>
        </w:rPr>
      </w:pPr>
      <w:bookmarkStart w:id="927" w:name="_Toc351203649"/>
      <w:bookmarkStart w:id="928" w:name="_Toc386638623"/>
      <w:r>
        <w:rPr>
          <w:rFonts w:hint="eastAsia" w:ascii="宋体" w:hAnsi="宋体" w:cs="宋体"/>
          <w:color w:val="000000"/>
          <w:sz w:val="24"/>
        </w:rPr>
        <w:t>17. 不可抗力</w:t>
      </w:r>
      <w:bookmarkEnd w:id="925"/>
      <w:bookmarkEnd w:id="927"/>
      <w:bookmarkEnd w:id="928"/>
    </w:p>
    <w:p w14:paraId="0D63F2E9">
      <w:pPr>
        <w:spacing w:line="360" w:lineRule="auto"/>
        <w:ind w:firstLine="480" w:firstLineChars="200"/>
        <w:rPr>
          <w:rFonts w:ascii="宋体" w:hAnsi="宋体" w:cs="宋体"/>
          <w:color w:val="000000"/>
          <w:sz w:val="24"/>
        </w:rPr>
      </w:pPr>
      <w:r>
        <w:rPr>
          <w:rFonts w:hint="eastAsia" w:ascii="宋体" w:hAnsi="宋体" w:cs="宋体"/>
          <w:color w:val="000000"/>
          <w:sz w:val="24"/>
        </w:rPr>
        <w:t>17.1 不可抗力的确认</w:t>
      </w:r>
    </w:p>
    <w:p w14:paraId="68731B7E">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除通用合同条款约定的不可抗力事件之外，视为不可抗力的其他情形：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6265E024">
      <w:pPr>
        <w:spacing w:line="360" w:lineRule="auto"/>
        <w:ind w:firstLine="480" w:firstLineChars="200"/>
        <w:rPr>
          <w:rFonts w:ascii="宋体" w:hAnsi="宋体" w:cs="宋体"/>
          <w:color w:val="000000"/>
          <w:sz w:val="24"/>
        </w:rPr>
      </w:pPr>
      <w:r>
        <w:rPr>
          <w:rFonts w:hint="eastAsia" w:ascii="宋体" w:hAnsi="宋体" w:cs="宋体"/>
          <w:color w:val="000000"/>
          <w:sz w:val="24"/>
        </w:rPr>
        <w:t>17.4 因不可抗力解除合同</w:t>
      </w:r>
    </w:p>
    <w:p w14:paraId="44A49B7F">
      <w:pPr>
        <w:spacing w:line="360" w:lineRule="auto"/>
        <w:ind w:firstLine="480" w:firstLineChars="200"/>
        <w:rPr>
          <w:rFonts w:ascii="宋体" w:hAnsi="宋体" w:cs="宋体"/>
          <w:color w:val="000000"/>
          <w:sz w:val="24"/>
        </w:rPr>
      </w:pPr>
      <w:r>
        <w:rPr>
          <w:rFonts w:hint="eastAsia" w:ascii="宋体" w:hAnsi="宋体" w:cs="宋体"/>
          <w:color w:val="000000"/>
          <w:sz w:val="24"/>
        </w:rPr>
        <w:t>合同解除后，发包人应在商定或确定发包人应支付款项后</w:t>
      </w:r>
      <w:r>
        <w:rPr>
          <w:rFonts w:hint="eastAsia" w:ascii="宋体" w:hAnsi="宋体" w:cs="宋体"/>
          <w:color w:val="000000"/>
          <w:sz w:val="24"/>
          <w:u w:val="single"/>
        </w:rPr>
        <w:t xml:space="preserve"> 28 </w:t>
      </w:r>
      <w:r>
        <w:rPr>
          <w:rFonts w:hint="eastAsia" w:ascii="宋体" w:hAnsi="宋体" w:cs="宋体"/>
          <w:color w:val="000000"/>
          <w:sz w:val="24"/>
        </w:rPr>
        <w:t>天内完成款项的支付。</w:t>
      </w:r>
    </w:p>
    <w:p w14:paraId="7BC49822">
      <w:pPr>
        <w:spacing w:line="360" w:lineRule="auto"/>
        <w:ind w:firstLine="480" w:firstLineChars="200"/>
        <w:rPr>
          <w:rFonts w:ascii="宋体" w:hAnsi="宋体" w:cs="宋体"/>
          <w:color w:val="000000"/>
          <w:sz w:val="24"/>
        </w:rPr>
      </w:pPr>
      <w:bookmarkStart w:id="929" w:name="_Toc386638624"/>
      <w:bookmarkStart w:id="930" w:name="_Toc351203650"/>
      <w:r>
        <w:rPr>
          <w:rFonts w:hint="eastAsia" w:ascii="宋体" w:hAnsi="宋体" w:cs="宋体"/>
          <w:color w:val="000000"/>
          <w:sz w:val="24"/>
        </w:rPr>
        <w:t>18. 保险</w:t>
      </w:r>
      <w:bookmarkEnd w:id="929"/>
      <w:bookmarkEnd w:id="930"/>
    </w:p>
    <w:bookmarkEnd w:id="901"/>
    <w:bookmarkEnd w:id="902"/>
    <w:bookmarkEnd w:id="903"/>
    <w:bookmarkEnd w:id="904"/>
    <w:bookmarkEnd w:id="905"/>
    <w:bookmarkEnd w:id="906"/>
    <w:bookmarkEnd w:id="907"/>
    <w:bookmarkEnd w:id="908"/>
    <w:bookmarkEnd w:id="909"/>
    <w:bookmarkEnd w:id="910"/>
    <w:bookmarkEnd w:id="911"/>
    <w:bookmarkEnd w:id="912"/>
    <w:bookmarkEnd w:id="926"/>
    <w:p w14:paraId="70955945">
      <w:pPr>
        <w:spacing w:line="360" w:lineRule="auto"/>
        <w:ind w:firstLine="480" w:firstLineChars="200"/>
        <w:rPr>
          <w:rFonts w:ascii="宋体" w:hAnsi="宋体" w:cs="宋体"/>
          <w:color w:val="000000"/>
          <w:sz w:val="24"/>
        </w:rPr>
      </w:pPr>
      <w:bookmarkStart w:id="931" w:name="_Toc351203651"/>
      <w:bookmarkStart w:id="932" w:name="_Toc386638625"/>
      <w:r>
        <w:rPr>
          <w:rFonts w:hint="eastAsia" w:ascii="宋体" w:hAnsi="宋体" w:cs="宋体"/>
          <w:color w:val="000000"/>
          <w:sz w:val="24"/>
        </w:rPr>
        <w:t>18.1 工程保险</w:t>
      </w:r>
    </w:p>
    <w:p w14:paraId="4D8679D8">
      <w:pPr>
        <w:spacing w:line="360" w:lineRule="auto"/>
        <w:ind w:firstLine="480" w:firstLineChars="200"/>
        <w:rPr>
          <w:rFonts w:ascii="宋体" w:hAnsi="宋体" w:cs="宋体"/>
          <w:sz w:val="24"/>
        </w:rPr>
      </w:pPr>
      <w:r>
        <w:rPr>
          <w:rFonts w:hint="eastAsia" w:ascii="宋体" w:hAnsi="宋体" w:cs="宋体"/>
          <w:sz w:val="24"/>
        </w:rPr>
        <w:t>关于工程保险的特别约定：</w:t>
      </w:r>
      <w:r>
        <w:rPr>
          <w:rFonts w:hint="eastAsia" w:ascii="宋体" w:hAnsi="宋体" w:cs="宋体"/>
          <w:sz w:val="24"/>
          <w:u w:val="single"/>
        </w:rPr>
        <w:t xml:space="preserve">      /      </w:t>
      </w:r>
      <w:r>
        <w:rPr>
          <w:rFonts w:hint="eastAsia" w:ascii="宋体" w:hAnsi="宋体" w:cs="宋体"/>
          <w:kern w:val="0"/>
          <w:sz w:val="24"/>
        </w:rPr>
        <w:t>。</w:t>
      </w:r>
    </w:p>
    <w:p w14:paraId="3A7A94BF">
      <w:pPr>
        <w:spacing w:line="360" w:lineRule="auto"/>
        <w:ind w:firstLine="480" w:firstLineChars="200"/>
        <w:rPr>
          <w:rFonts w:ascii="宋体" w:hAnsi="宋体" w:cs="宋体"/>
          <w:sz w:val="24"/>
        </w:rPr>
      </w:pPr>
      <w:r>
        <w:rPr>
          <w:rFonts w:hint="eastAsia" w:ascii="宋体" w:hAnsi="宋体" w:cs="宋体"/>
          <w:sz w:val="24"/>
        </w:rPr>
        <w:t>18.3 其他保险</w:t>
      </w:r>
    </w:p>
    <w:p w14:paraId="7ECEAF20">
      <w:pPr>
        <w:spacing w:line="360" w:lineRule="auto"/>
        <w:ind w:firstLine="480" w:firstLineChars="200"/>
        <w:rPr>
          <w:rFonts w:ascii="宋体" w:hAnsi="宋体" w:cs="宋体"/>
          <w:kern w:val="0"/>
          <w:sz w:val="24"/>
        </w:rPr>
      </w:pPr>
      <w:r>
        <w:rPr>
          <w:rFonts w:hint="eastAsia" w:ascii="宋体" w:hAnsi="宋体" w:cs="宋体"/>
          <w:sz w:val="24"/>
        </w:rPr>
        <w:t>关于其他保险的约定：</w:t>
      </w:r>
      <w:r>
        <w:rPr>
          <w:rFonts w:hint="eastAsia" w:ascii="宋体" w:hAnsi="宋体" w:cs="宋体"/>
          <w:kern w:val="0"/>
          <w:sz w:val="24"/>
          <w:u w:val="single"/>
        </w:rPr>
        <w:t xml:space="preserve"> 民工工伤保险 </w:t>
      </w:r>
      <w:r>
        <w:rPr>
          <w:rFonts w:hint="eastAsia" w:ascii="宋体" w:hAnsi="宋体" w:cs="宋体"/>
          <w:kern w:val="0"/>
          <w:sz w:val="24"/>
        </w:rPr>
        <w:t>。</w:t>
      </w:r>
    </w:p>
    <w:p w14:paraId="1D366544">
      <w:pPr>
        <w:spacing w:line="360" w:lineRule="auto"/>
        <w:ind w:firstLine="480" w:firstLineChars="200"/>
        <w:rPr>
          <w:rFonts w:ascii="宋体" w:hAnsi="宋体" w:cs="宋体"/>
          <w:kern w:val="0"/>
          <w:sz w:val="24"/>
        </w:rPr>
      </w:pPr>
      <w:r>
        <w:rPr>
          <w:rFonts w:hint="eastAsia" w:ascii="宋体" w:hAnsi="宋体" w:cs="宋体"/>
          <w:sz w:val="24"/>
        </w:rPr>
        <w:t>承包人是否应为其施工设备等办理财产保险：承包人</w:t>
      </w:r>
      <w:r>
        <w:rPr>
          <w:rFonts w:hint="eastAsia" w:ascii="宋体" w:hAnsi="宋体" w:cs="宋体"/>
          <w:sz w:val="24"/>
          <w:u w:val="single"/>
        </w:rPr>
        <w:t xml:space="preserve"> 应当 </w:t>
      </w:r>
      <w:r>
        <w:rPr>
          <w:rFonts w:hint="eastAsia" w:ascii="宋体" w:hAnsi="宋体" w:cs="宋体"/>
          <w:sz w:val="24"/>
        </w:rPr>
        <w:t>为其施工设备等办理财产保险。</w:t>
      </w:r>
    </w:p>
    <w:p w14:paraId="01FAE093">
      <w:pPr>
        <w:spacing w:line="360" w:lineRule="auto"/>
        <w:ind w:firstLine="480" w:firstLineChars="200"/>
        <w:rPr>
          <w:rFonts w:ascii="宋体" w:hAnsi="宋体" w:cs="宋体"/>
          <w:sz w:val="24"/>
        </w:rPr>
      </w:pPr>
      <w:r>
        <w:rPr>
          <w:rFonts w:hint="eastAsia" w:ascii="宋体" w:hAnsi="宋体" w:cs="宋体"/>
          <w:sz w:val="24"/>
        </w:rPr>
        <w:t>18.7 通知义务</w:t>
      </w:r>
    </w:p>
    <w:p w14:paraId="44701FFB">
      <w:pPr>
        <w:spacing w:line="360" w:lineRule="auto"/>
        <w:ind w:firstLine="480" w:firstLineChars="200"/>
        <w:rPr>
          <w:rFonts w:ascii="宋体" w:hAnsi="宋体" w:cs="宋体"/>
          <w:sz w:val="24"/>
        </w:rPr>
      </w:pPr>
      <w:r>
        <w:rPr>
          <w:rFonts w:hint="eastAsia" w:ascii="宋体" w:hAnsi="宋体" w:cs="宋体"/>
          <w:kern w:val="0"/>
          <w:sz w:val="24"/>
        </w:rPr>
        <w:t>关于变更保险合同时的通知义务的约定：</w:t>
      </w:r>
      <w:r>
        <w:rPr>
          <w:rFonts w:hint="eastAsia" w:ascii="宋体" w:hAnsi="宋体" w:cs="宋体"/>
          <w:sz w:val="24"/>
          <w:u w:val="single"/>
        </w:rPr>
        <w:t xml:space="preserve">       /        </w:t>
      </w:r>
      <w:r>
        <w:rPr>
          <w:rFonts w:hint="eastAsia" w:ascii="宋体" w:hAnsi="宋体" w:cs="宋体"/>
          <w:sz w:val="24"/>
        </w:rPr>
        <w:t>。</w:t>
      </w:r>
    </w:p>
    <w:p w14:paraId="575085EC">
      <w:pPr>
        <w:spacing w:line="360" w:lineRule="auto"/>
        <w:ind w:firstLine="482" w:firstLineChars="200"/>
        <w:rPr>
          <w:rFonts w:ascii="宋体" w:hAnsi="宋体" w:cs="宋体"/>
          <w:b/>
          <w:sz w:val="24"/>
        </w:rPr>
      </w:pPr>
      <w:r>
        <w:rPr>
          <w:rFonts w:hint="eastAsia" w:ascii="宋体" w:hAnsi="宋体" w:cs="宋体"/>
          <w:b/>
          <w:sz w:val="24"/>
        </w:rPr>
        <w:t>本工程的民工工伤保险和建筑施工人员团体意外伤害保险由承包人一次性支付。</w:t>
      </w:r>
    </w:p>
    <w:p w14:paraId="5591A515">
      <w:pPr>
        <w:spacing w:line="360" w:lineRule="auto"/>
        <w:ind w:firstLine="480" w:firstLineChars="200"/>
        <w:rPr>
          <w:rFonts w:ascii="宋体" w:hAnsi="宋体" w:cs="宋体"/>
          <w:sz w:val="24"/>
        </w:rPr>
      </w:pPr>
      <w:r>
        <w:rPr>
          <w:rFonts w:hint="eastAsia" w:ascii="宋体" w:hAnsi="宋体" w:cs="宋体"/>
          <w:sz w:val="24"/>
        </w:rPr>
        <w:t>承包人在与分包单位签订分包合同时，应当同时按《宁波市建筑施工企业从业人员参加工伤保险暂行办法》（甬人社发[2014]170号文件）规定签订《建设项目从业人员工伤保险费代缴协议》，作为分包合同的组成部分。</w:t>
      </w:r>
    </w:p>
    <w:p w14:paraId="7DB275EC">
      <w:pPr>
        <w:spacing w:line="360" w:lineRule="auto"/>
        <w:ind w:firstLine="480" w:firstLineChars="200"/>
        <w:rPr>
          <w:rFonts w:ascii="宋体" w:hAnsi="宋体" w:cs="宋体"/>
          <w:sz w:val="24"/>
        </w:rPr>
      </w:pPr>
      <w:r>
        <w:rPr>
          <w:rFonts w:hint="eastAsia" w:ascii="宋体" w:hAnsi="宋体" w:cs="宋体"/>
          <w:sz w:val="24"/>
        </w:rPr>
        <w:t>承包人为建设项目缴纳工伤保险费后，应当将《建设项目工伤保险参保登记表》和《建设项目从业人员工伤保险费代缴协议》发送给本建设项目中各分包单位。</w:t>
      </w:r>
    </w:p>
    <w:p w14:paraId="172C00D0">
      <w:pPr>
        <w:spacing w:line="360" w:lineRule="auto"/>
        <w:ind w:firstLine="482" w:firstLineChars="200"/>
        <w:rPr>
          <w:rFonts w:ascii="宋体" w:hAnsi="宋体" w:cs="宋体"/>
          <w:b/>
          <w:sz w:val="24"/>
        </w:rPr>
      </w:pPr>
      <w:r>
        <w:rPr>
          <w:rFonts w:hint="eastAsia" w:ascii="宋体" w:hAnsi="宋体" w:cs="宋体"/>
          <w:b/>
          <w:sz w:val="24"/>
        </w:rPr>
        <w:t>承包人缴纳建筑施工人员团体意外伤害保险时应按照《团体建筑工人意外伤害保险条款（2012版）》规定采用按总造价计算保险费用的方法缴纳。</w:t>
      </w:r>
    </w:p>
    <w:p w14:paraId="7C1844FD">
      <w:pPr>
        <w:spacing w:line="360" w:lineRule="auto"/>
        <w:ind w:firstLine="480" w:firstLineChars="200"/>
        <w:rPr>
          <w:rFonts w:ascii="宋体" w:hAnsi="宋体" w:cs="宋体"/>
          <w:sz w:val="24"/>
        </w:rPr>
      </w:pPr>
      <w:r>
        <w:rPr>
          <w:rFonts w:hint="eastAsia" w:ascii="宋体" w:hAnsi="宋体" w:cs="宋体"/>
          <w:sz w:val="24"/>
        </w:rPr>
        <w:t>为其施工设备等办理财产保险：承包人</w:t>
      </w:r>
      <w:r>
        <w:rPr>
          <w:rFonts w:hint="eastAsia" w:ascii="宋体" w:hAnsi="宋体" w:cs="宋体"/>
          <w:sz w:val="24"/>
          <w:u w:val="single"/>
        </w:rPr>
        <w:t xml:space="preserve"> 应当 </w:t>
      </w:r>
      <w:r>
        <w:rPr>
          <w:rFonts w:hint="eastAsia" w:ascii="宋体" w:hAnsi="宋体" w:cs="宋体"/>
          <w:sz w:val="24"/>
        </w:rPr>
        <w:t>为其施工设备等办理财产保险</w:t>
      </w:r>
    </w:p>
    <w:p w14:paraId="552A54C4">
      <w:pPr>
        <w:spacing w:line="360" w:lineRule="auto"/>
        <w:ind w:firstLine="480" w:firstLineChars="200"/>
        <w:rPr>
          <w:rFonts w:ascii="宋体" w:hAnsi="宋体" w:cs="宋体"/>
          <w:color w:val="000000"/>
          <w:sz w:val="24"/>
        </w:rPr>
      </w:pPr>
      <w:r>
        <w:rPr>
          <w:rFonts w:hint="eastAsia" w:ascii="宋体" w:hAnsi="宋体" w:cs="宋体"/>
          <w:color w:val="000000"/>
          <w:sz w:val="24"/>
        </w:rPr>
        <w:t>20. 争议解决</w:t>
      </w:r>
    </w:p>
    <w:p w14:paraId="02C860DE">
      <w:pPr>
        <w:spacing w:line="360" w:lineRule="auto"/>
        <w:ind w:firstLine="480" w:firstLineChars="200"/>
        <w:rPr>
          <w:rFonts w:ascii="宋体" w:hAnsi="宋体" w:cs="宋体"/>
          <w:color w:val="000000"/>
          <w:sz w:val="24"/>
        </w:rPr>
      </w:pPr>
      <w:r>
        <w:rPr>
          <w:rFonts w:hint="eastAsia" w:ascii="宋体" w:hAnsi="宋体" w:cs="宋体"/>
          <w:color w:val="000000"/>
          <w:sz w:val="24"/>
        </w:rPr>
        <w:t>20.3 争议评审</w:t>
      </w:r>
    </w:p>
    <w:p w14:paraId="7CB8B489">
      <w:pPr>
        <w:spacing w:line="360" w:lineRule="auto"/>
        <w:ind w:firstLine="480" w:firstLineChars="200"/>
        <w:rPr>
          <w:rFonts w:ascii="宋体" w:hAnsi="宋体" w:cs="宋体"/>
          <w:color w:val="000000"/>
          <w:sz w:val="24"/>
        </w:rPr>
      </w:pPr>
      <w:r>
        <w:rPr>
          <w:rFonts w:hint="eastAsia" w:ascii="宋体" w:hAnsi="宋体" w:cs="宋体"/>
          <w:color w:val="000000"/>
          <w:sz w:val="24"/>
        </w:rPr>
        <w:t>合同当事人是否同意将工程争议提交争议评审小组决定：</w:t>
      </w:r>
      <w:r>
        <w:rPr>
          <w:rFonts w:hint="eastAsia" w:ascii="宋体" w:hAnsi="宋体" w:cs="宋体"/>
          <w:color w:val="000000"/>
          <w:sz w:val="24"/>
          <w:u w:val="single"/>
        </w:rPr>
        <w:t xml:space="preserve">  /  </w:t>
      </w:r>
      <w:r>
        <w:rPr>
          <w:rFonts w:hint="eastAsia" w:ascii="宋体" w:hAnsi="宋体" w:cs="宋体"/>
          <w:color w:val="000000"/>
          <w:sz w:val="24"/>
        </w:rPr>
        <w:t>。</w:t>
      </w:r>
    </w:p>
    <w:p w14:paraId="42DFA3A9">
      <w:pPr>
        <w:spacing w:line="360" w:lineRule="auto"/>
        <w:ind w:firstLine="480" w:firstLineChars="200"/>
        <w:rPr>
          <w:rFonts w:ascii="宋体" w:hAnsi="宋体" w:cs="宋体"/>
          <w:color w:val="000000"/>
          <w:sz w:val="24"/>
        </w:rPr>
      </w:pPr>
      <w:r>
        <w:rPr>
          <w:rFonts w:hint="eastAsia" w:ascii="宋体" w:hAnsi="宋体" w:cs="宋体"/>
          <w:color w:val="000000"/>
          <w:sz w:val="24"/>
        </w:rPr>
        <w:t>20.3.1 争议评审小组的确定</w:t>
      </w:r>
    </w:p>
    <w:p w14:paraId="0B7A2FCD">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争议评审小组成员的确定：</w:t>
      </w:r>
      <w:r>
        <w:rPr>
          <w:rFonts w:hint="eastAsia" w:ascii="宋体" w:hAnsi="宋体" w:cs="宋体"/>
          <w:color w:val="000000"/>
          <w:sz w:val="24"/>
          <w:u w:val="single"/>
        </w:rPr>
        <w:t xml:space="preserve">    /    </w:t>
      </w:r>
      <w:r>
        <w:rPr>
          <w:rFonts w:hint="eastAsia" w:ascii="宋体" w:hAnsi="宋体" w:cs="宋体"/>
          <w:color w:val="000000"/>
          <w:sz w:val="24"/>
        </w:rPr>
        <w:t>。</w:t>
      </w:r>
    </w:p>
    <w:p w14:paraId="2CAF2A37">
      <w:pPr>
        <w:spacing w:line="360" w:lineRule="auto"/>
        <w:ind w:firstLine="480" w:firstLineChars="200"/>
        <w:rPr>
          <w:rFonts w:ascii="宋体" w:hAnsi="宋体" w:cs="宋体"/>
          <w:color w:val="000000"/>
          <w:sz w:val="24"/>
        </w:rPr>
      </w:pPr>
      <w:r>
        <w:rPr>
          <w:rFonts w:hint="eastAsia" w:ascii="宋体" w:hAnsi="宋体" w:cs="宋体"/>
          <w:color w:val="000000"/>
          <w:sz w:val="24"/>
        </w:rPr>
        <w:t>选定争议评审员的期限：</w:t>
      </w:r>
      <w:r>
        <w:rPr>
          <w:rFonts w:hint="eastAsia" w:ascii="宋体" w:hAnsi="宋体" w:cs="宋体"/>
          <w:color w:val="000000"/>
          <w:sz w:val="24"/>
          <w:u w:val="single"/>
        </w:rPr>
        <w:t xml:space="preserve">      /    </w:t>
      </w:r>
      <w:r>
        <w:rPr>
          <w:rFonts w:hint="eastAsia" w:ascii="宋体" w:hAnsi="宋体" w:cs="宋体"/>
          <w:color w:val="000000"/>
          <w:sz w:val="24"/>
        </w:rPr>
        <w:t>。</w:t>
      </w:r>
    </w:p>
    <w:p w14:paraId="10812105">
      <w:pPr>
        <w:spacing w:line="360" w:lineRule="auto"/>
        <w:ind w:firstLine="480" w:firstLineChars="200"/>
        <w:rPr>
          <w:rFonts w:ascii="宋体" w:hAnsi="宋体" w:cs="宋体"/>
          <w:color w:val="000000"/>
          <w:sz w:val="24"/>
        </w:rPr>
      </w:pPr>
      <w:r>
        <w:rPr>
          <w:rFonts w:hint="eastAsia" w:ascii="宋体" w:hAnsi="宋体" w:cs="宋体"/>
          <w:color w:val="000000"/>
          <w:sz w:val="24"/>
        </w:rPr>
        <w:t>争议评审小组成员的报酬承担方式：</w:t>
      </w:r>
      <w:r>
        <w:rPr>
          <w:rFonts w:hint="eastAsia" w:ascii="宋体" w:hAnsi="宋体" w:cs="宋体"/>
          <w:color w:val="000000"/>
          <w:sz w:val="24"/>
          <w:u w:val="single"/>
        </w:rPr>
        <w:t xml:space="preserve">    /    </w:t>
      </w:r>
      <w:r>
        <w:rPr>
          <w:rFonts w:hint="eastAsia" w:ascii="宋体" w:hAnsi="宋体" w:cs="宋体"/>
          <w:color w:val="000000"/>
          <w:sz w:val="24"/>
        </w:rPr>
        <w:t>。</w:t>
      </w:r>
    </w:p>
    <w:p w14:paraId="06EAEB71">
      <w:pPr>
        <w:spacing w:line="360" w:lineRule="auto"/>
        <w:ind w:firstLine="480" w:firstLineChars="200"/>
        <w:rPr>
          <w:rFonts w:ascii="宋体" w:hAnsi="宋体" w:cs="宋体"/>
          <w:color w:val="000000"/>
          <w:sz w:val="24"/>
        </w:rPr>
      </w:pPr>
      <w:r>
        <w:rPr>
          <w:rFonts w:hint="eastAsia" w:ascii="宋体" w:hAnsi="宋体" w:cs="宋体"/>
          <w:color w:val="000000"/>
          <w:sz w:val="24"/>
        </w:rPr>
        <w:t>其他事项的约定：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491E506B">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20.3.2 争议评审小组的决定</w:t>
      </w:r>
    </w:p>
    <w:p w14:paraId="754A58CF">
      <w:pPr>
        <w:spacing w:line="360" w:lineRule="auto"/>
        <w:ind w:firstLine="480" w:firstLineChars="200"/>
        <w:rPr>
          <w:rFonts w:ascii="宋体" w:hAnsi="宋体" w:cs="宋体"/>
          <w:color w:val="000000"/>
          <w:sz w:val="24"/>
        </w:rPr>
      </w:pPr>
      <w:r>
        <w:rPr>
          <w:rFonts w:hint="eastAsia" w:ascii="宋体" w:hAnsi="宋体" w:cs="宋体"/>
          <w:color w:val="000000"/>
          <w:sz w:val="24"/>
        </w:rPr>
        <w:t>合同当事人关于本项的约定：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5C0C05EC">
      <w:pPr>
        <w:spacing w:line="360" w:lineRule="auto"/>
        <w:ind w:firstLine="480" w:firstLineChars="200"/>
        <w:rPr>
          <w:rFonts w:ascii="宋体" w:hAnsi="宋体" w:cs="宋体"/>
          <w:color w:val="000000"/>
          <w:sz w:val="24"/>
        </w:rPr>
      </w:pPr>
      <w:r>
        <w:rPr>
          <w:rFonts w:hint="eastAsia" w:ascii="宋体" w:hAnsi="宋体" w:cs="宋体"/>
          <w:color w:val="000000"/>
          <w:sz w:val="24"/>
        </w:rPr>
        <w:t>20.4 仲裁或诉讼</w:t>
      </w:r>
    </w:p>
    <w:p w14:paraId="491F1450">
      <w:pPr>
        <w:spacing w:line="360" w:lineRule="auto"/>
        <w:ind w:firstLine="480" w:firstLineChars="200"/>
        <w:rPr>
          <w:rFonts w:ascii="宋体" w:hAnsi="宋体" w:cs="宋体"/>
          <w:color w:val="000000"/>
          <w:sz w:val="24"/>
        </w:rPr>
      </w:pPr>
      <w:r>
        <w:rPr>
          <w:rFonts w:hint="eastAsia" w:ascii="宋体" w:hAnsi="宋体" w:cs="宋体"/>
          <w:color w:val="000000"/>
          <w:sz w:val="24"/>
        </w:rPr>
        <w:t>发包人同承包人发生合同价款、工程结算和其他造价事项争议，一般采用下列程序解决：</w:t>
      </w:r>
    </w:p>
    <w:p w14:paraId="050C5CCB">
      <w:pPr>
        <w:spacing w:line="360" w:lineRule="auto"/>
        <w:ind w:firstLine="480" w:firstLineChars="200"/>
        <w:rPr>
          <w:rFonts w:ascii="宋体" w:hAnsi="宋体" w:cs="宋体"/>
          <w:color w:val="000000"/>
          <w:sz w:val="24"/>
        </w:rPr>
      </w:pPr>
      <w:r>
        <w:rPr>
          <w:rFonts w:hint="eastAsia" w:ascii="宋体" w:hAnsi="宋体" w:cs="宋体"/>
          <w:color w:val="000000"/>
          <w:sz w:val="24"/>
        </w:rPr>
        <w:t>（1）由合同双方本着合法、客观、平等、合理的原则进行协商；</w:t>
      </w:r>
    </w:p>
    <w:p w14:paraId="43743847">
      <w:pPr>
        <w:spacing w:line="360" w:lineRule="auto"/>
        <w:ind w:firstLine="480" w:firstLineChars="200"/>
        <w:rPr>
          <w:rFonts w:ascii="宋体" w:hAnsi="宋体" w:cs="宋体"/>
          <w:color w:val="000000"/>
          <w:sz w:val="24"/>
        </w:rPr>
      </w:pPr>
      <w:r>
        <w:rPr>
          <w:rFonts w:hint="eastAsia" w:ascii="宋体" w:hAnsi="宋体" w:cs="宋体"/>
          <w:color w:val="000000"/>
          <w:sz w:val="24"/>
        </w:rPr>
        <w:t>（2）提请建设工程造价管理机构进行调解；</w:t>
      </w:r>
    </w:p>
    <w:p w14:paraId="5D6B686E">
      <w:pPr>
        <w:spacing w:line="360" w:lineRule="auto"/>
        <w:ind w:firstLine="480" w:firstLineChars="200"/>
        <w:rPr>
          <w:rFonts w:ascii="宋体" w:hAnsi="宋体" w:cs="宋体"/>
          <w:color w:val="000000"/>
          <w:sz w:val="24"/>
        </w:rPr>
      </w:pPr>
      <w:r>
        <w:rPr>
          <w:rFonts w:hint="eastAsia" w:ascii="宋体" w:hAnsi="宋体" w:cs="宋体"/>
          <w:color w:val="000000"/>
          <w:sz w:val="24"/>
        </w:rPr>
        <w:t>（3）不愿协商、调解，或者协商、调解不成的</w:t>
      </w:r>
      <w:r>
        <w:rPr>
          <w:rFonts w:hint="eastAsia" w:ascii="宋体" w:hAnsi="宋体" w:cs="宋体"/>
          <w:b/>
          <w:color w:val="000000"/>
          <w:sz w:val="24"/>
        </w:rPr>
        <w:t>，</w:t>
      </w:r>
      <w:r>
        <w:rPr>
          <w:rFonts w:hint="eastAsia" w:ascii="宋体" w:hAnsi="宋体" w:cs="宋体"/>
          <w:color w:val="000000"/>
          <w:sz w:val="24"/>
        </w:rPr>
        <w:t>可以选择采用第</w:t>
      </w:r>
      <w:r>
        <w:rPr>
          <w:rFonts w:hint="eastAsia" w:ascii="宋体" w:hAnsi="宋体" w:cs="宋体"/>
          <w:color w:val="000000"/>
          <w:sz w:val="24"/>
          <w:u w:val="single"/>
        </w:rPr>
        <w:t xml:space="preserve"> 2 </w:t>
      </w:r>
      <w:r>
        <w:rPr>
          <w:rFonts w:hint="eastAsia" w:ascii="宋体" w:hAnsi="宋体" w:cs="宋体"/>
          <w:color w:val="000000"/>
          <w:sz w:val="24"/>
        </w:rPr>
        <w:t>种下列方式解决：</w:t>
      </w:r>
    </w:p>
    <w:p w14:paraId="336EC8C3">
      <w:pPr>
        <w:spacing w:line="360" w:lineRule="auto"/>
        <w:ind w:firstLine="480" w:firstLineChars="200"/>
        <w:rPr>
          <w:rFonts w:ascii="宋体" w:hAnsi="宋体" w:cs="宋体"/>
          <w:color w:val="000000"/>
          <w:sz w:val="24"/>
        </w:rPr>
      </w:pPr>
      <w:r>
        <w:rPr>
          <w:rFonts w:hint="eastAsia" w:ascii="宋体" w:hAnsi="宋体" w:cs="宋体"/>
          <w:color w:val="000000"/>
          <w:sz w:val="24"/>
        </w:rPr>
        <w:t>1、向</w:t>
      </w:r>
      <w:r>
        <w:rPr>
          <w:rFonts w:hint="eastAsia" w:ascii="宋体" w:hAnsi="宋体" w:cs="宋体"/>
          <w:color w:val="000000"/>
          <w:sz w:val="24"/>
          <w:u w:val="single"/>
        </w:rPr>
        <w:t xml:space="preserve">      /    </w:t>
      </w:r>
      <w:r>
        <w:rPr>
          <w:rFonts w:hint="eastAsia" w:ascii="宋体" w:hAnsi="宋体" w:cs="宋体"/>
          <w:color w:val="000000"/>
          <w:sz w:val="24"/>
        </w:rPr>
        <w:t>仲裁委员会申请仲裁；</w:t>
      </w:r>
    </w:p>
    <w:p w14:paraId="34D42907">
      <w:pPr>
        <w:spacing w:line="360" w:lineRule="auto"/>
        <w:ind w:firstLine="480" w:firstLineChars="200"/>
        <w:rPr>
          <w:rFonts w:ascii="宋体" w:hAnsi="宋体" w:cs="宋体"/>
          <w:color w:val="000000"/>
          <w:sz w:val="24"/>
        </w:rPr>
      </w:pPr>
      <w:r>
        <w:rPr>
          <w:rFonts w:hint="eastAsia" w:ascii="宋体" w:hAnsi="宋体" w:cs="宋体"/>
          <w:color w:val="000000"/>
          <w:sz w:val="24"/>
        </w:rPr>
        <w:t>2、向</w:t>
      </w:r>
      <w:r>
        <w:rPr>
          <w:rFonts w:hint="eastAsia" w:ascii="宋体" w:hAnsi="宋体" w:cs="宋体"/>
          <w:color w:val="000000"/>
          <w:sz w:val="24"/>
          <w:u w:val="single"/>
        </w:rPr>
        <w:t xml:space="preserve"> 宁海县 </w:t>
      </w:r>
      <w:r>
        <w:rPr>
          <w:rFonts w:hint="eastAsia" w:ascii="宋体" w:hAnsi="宋体" w:cs="宋体"/>
          <w:color w:val="000000"/>
          <w:sz w:val="24"/>
        </w:rPr>
        <w:t>人民法院提起诉讼。</w:t>
      </w:r>
    </w:p>
    <w:p w14:paraId="7EE6480C">
      <w:pPr>
        <w:spacing w:line="360" w:lineRule="auto"/>
        <w:ind w:firstLine="480" w:firstLineChars="200"/>
        <w:rPr>
          <w:rFonts w:ascii="宋体" w:hAnsi="宋体" w:cs="宋体"/>
          <w:color w:val="000000"/>
          <w:sz w:val="24"/>
        </w:rPr>
      </w:pPr>
      <w:r>
        <w:rPr>
          <w:rFonts w:hint="eastAsia" w:ascii="宋体" w:hAnsi="宋体" w:cs="宋体"/>
          <w:color w:val="000000"/>
          <w:sz w:val="24"/>
        </w:rPr>
        <w:t>21、补充条款</w:t>
      </w:r>
    </w:p>
    <w:p w14:paraId="50DB14E4">
      <w:pPr>
        <w:spacing w:line="360" w:lineRule="auto"/>
        <w:ind w:firstLine="480" w:firstLineChars="200"/>
        <w:rPr>
          <w:rFonts w:ascii="宋体" w:hAnsi="宋体" w:cs="宋体"/>
          <w:color w:val="000000"/>
          <w:sz w:val="24"/>
        </w:rPr>
      </w:pPr>
      <w:r>
        <w:rPr>
          <w:rFonts w:hint="eastAsia" w:ascii="宋体" w:hAnsi="宋体" w:cs="宋体"/>
          <w:color w:val="000000"/>
          <w:sz w:val="24"/>
        </w:rPr>
        <w:t>21.1 实际施工时，无论工程量增减多少，承包人均应无条件服从；增减工程量或工程项目按价款结算的有关条款结算，承包人不得提出额外索赔。</w:t>
      </w:r>
    </w:p>
    <w:p w14:paraId="07956DCC">
      <w:pPr>
        <w:spacing w:line="360" w:lineRule="auto"/>
        <w:ind w:firstLine="480" w:firstLineChars="200"/>
        <w:rPr>
          <w:rFonts w:ascii="宋体" w:hAnsi="宋体" w:cs="宋体"/>
          <w:color w:val="000000"/>
          <w:sz w:val="24"/>
        </w:rPr>
      </w:pPr>
      <w:r>
        <w:rPr>
          <w:rFonts w:hint="eastAsia" w:ascii="宋体" w:hAnsi="宋体" w:cs="宋体"/>
          <w:color w:val="000000"/>
          <w:sz w:val="24"/>
        </w:rPr>
        <w:t>21.2 在工程开工后直至完工退场，工地现场发生的卫生费、治安费等均由承包人承担。</w:t>
      </w:r>
    </w:p>
    <w:p w14:paraId="6DF152AB">
      <w:pPr>
        <w:spacing w:line="360" w:lineRule="auto"/>
        <w:ind w:firstLine="480" w:firstLineChars="200"/>
        <w:rPr>
          <w:rFonts w:ascii="宋体" w:hAnsi="宋体" w:cs="宋体"/>
          <w:color w:val="000000"/>
          <w:sz w:val="24"/>
        </w:rPr>
      </w:pPr>
      <w:r>
        <w:rPr>
          <w:rFonts w:hint="eastAsia" w:ascii="宋体" w:hAnsi="宋体" w:cs="宋体"/>
          <w:color w:val="000000"/>
          <w:sz w:val="24"/>
        </w:rPr>
        <w:t>21.3 承包人须自备发电机，保证在停电时能连续施工，费用由承包人自理。</w:t>
      </w:r>
    </w:p>
    <w:p w14:paraId="01AA2861">
      <w:pPr>
        <w:spacing w:line="360" w:lineRule="auto"/>
        <w:ind w:firstLine="480" w:firstLineChars="200"/>
        <w:rPr>
          <w:rFonts w:ascii="宋体" w:hAnsi="宋体" w:cs="宋体"/>
          <w:color w:val="000000"/>
          <w:sz w:val="24"/>
        </w:rPr>
      </w:pPr>
      <w:r>
        <w:rPr>
          <w:rFonts w:hint="eastAsia" w:ascii="宋体" w:hAnsi="宋体" w:cs="宋体"/>
          <w:color w:val="000000"/>
          <w:sz w:val="24"/>
        </w:rPr>
        <w:t>21.4 根据《宁海县人民政府办公室关于印发2013年建设工程扬尘综合整治专项行动实施方案的通知》(宁政办发［2013］83号)文件规定，中标人应做好防止扬尘污染环境等相关工作，该费用已包括在合同价中。</w:t>
      </w:r>
    </w:p>
    <w:p w14:paraId="07E3CB3D">
      <w:pPr>
        <w:spacing w:line="360" w:lineRule="auto"/>
        <w:ind w:firstLine="480" w:firstLineChars="200"/>
        <w:rPr>
          <w:rFonts w:ascii="宋体" w:hAnsi="宋体" w:cs="宋体"/>
          <w:color w:val="000000"/>
          <w:spacing w:val="8"/>
          <w:sz w:val="24"/>
        </w:rPr>
      </w:pPr>
      <w:r>
        <w:rPr>
          <w:rFonts w:hint="eastAsia" w:ascii="宋体" w:hAnsi="宋体" w:cs="宋体"/>
          <w:color w:val="000000"/>
          <w:sz w:val="24"/>
        </w:rPr>
        <w:t xml:space="preserve">21.5 </w:t>
      </w:r>
      <w:r>
        <w:rPr>
          <w:rFonts w:hint="eastAsia" w:ascii="宋体" w:hAnsi="宋体" w:cs="宋体"/>
          <w:color w:val="000000"/>
          <w:spacing w:val="8"/>
          <w:sz w:val="24"/>
        </w:rPr>
        <w:t>民工工伤保险费按甬发改投资［2014］540号，</w:t>
      </w:r>
      <w:r>
        <w:rPr>
          <w:rFonts w:hint="eastAsia" w:ascii="宋体" w:hAnsi="宋体" w:cs="宋体"/>
          <w:color w:val="000000"/>
          <w:sz w:val="24"/>
        </w:rPr>
        <w:t>该费用已包括在合同价中，承包人</w:t>
      </w:r>
      <w:r>
        <w:rPr>
          <w:rFonts w:hint="eastAsia" w:ascii="宋体" w:hAnsi="宋体" w:cs="宋体"/>
          <w:color w:val="000000"/>
          <w:spacing w:val="8"/>
          <w:sz w:val="24"/>
        </w:rPr>
        <w:t>应办理相关险种</w:t>
      </w:r>
      <w:r>
        <w:rPr>
          <w:rFonts w:hint="eastAsia" w:ascii="宋体" w:hAnsi="宋体" w:cs="宋体"/>
          <w:color w:val="000000"/>
          <w:sz w:val="24"/>
        </w:rPr>
        <w:t>。</w:t>
      </w:r>
    </w:p>
    <w:p w14:paraId="45A50B1C">
      <w:pPr>
        <w:spacing w:line="360" w:lineRule="auto"/>
        <w:ind w:firstLine="480" w:firstLineChars="200"/>
        <w:rPr>
          <w:rFonts w:ascii="宋体" w:hAnsi="宋体" w:cs="宋体"/>
          <w:color w:val="000000"/>
          <w:sz w:val="24"/>
        </w:rPr>
      </w:pPr>
      <w:r>
        <w:rPr>
          <w:rFonts w:hint="eastAsia" w:ascii="宋体" w:hAnsi="宋体" w:cs="宋体"/>
          <w:color w:val="000000"/>
          <w:sz w:val="24"/>
        </w:rPr>
        <w:t>21.6 施工场地周围邻近建筑物、地下管线、构筑物由承包人负责保护及承担措施费用；保护期间若发生损坏，由承包人承担。</w:t>
      </w:r>
    </w:p>
    <w:p w14:paraId="306CBF80">
      <w:pPr>
        <w:spacing w:line="360" w:lineRule="auto"/>
        <w:ind w:firstLine="480" w:firstLineChars="200"/>
        <w:rPr>
          <w:rFonts w:ascii="宋体" w:hAnsi="宋体" w:cs="宋体"/>
          <w:color w:val="000000"/>
          <w:sz w:val="24"/>
        </w:rPr>
      </w:pPr>
      <w:r>
        <w:rPr>
          <w:rFonts w:hint="eastAsia" w:ascii="宋体" w:hAnsi="宋体" w:cs="宋体"/>
          <w:color w:val="000000"/>
          <w:sz w:val="24"/>
        </w:rPr>
        <w:t>21.7 承包人应充分考虑施工过程中的各种不利因素，合理安排施工人员，在合同工期内保质保量完成施工任务。</w:t>
      </w:r>
    </w:p>
    <w:p w14:paraId="7790E3B9">
      <w:pPr>
        <w:spacing w:line="360" w:lineRule="auto"/>
        <w:ind w:firstLine="480" w:firstLineChars="200"/>
        <w:rPr>
          <w:rFonts w:ascii="宋体" w:hAnsi="宋体" w:cs="宋体"/>
          <w:color w:val="000000"/>
          <w:sz w:val="24"/>
        </w:rPr>
      </w:pPr>
      <w:r>
        <w:rPr>
          <w:rFonts w:hint="eastAsia" w:ascii="宋体" w:hAnsi="宋体" w:cs="宋体"/>
          <w:color w:val="000000"/>
          <w:sz w:val="24"/>
        </w:rPr>
        <w:t>21.8 承包人需配合发包人做好上级领导的检查工作；发包人在不妨碍承包人正常作业的情况下，可以随时对作业质量安全进行检查。</w:t>
      </w:r>
    </w:p>
    <w:p w14:paraId="11A804D1">
      <w:pPr>
        <w:spacing w:line="360" w:lineRule="auto"/>
        <w:ind w:firstLine="480" w:firstLineChars="200"/>
        <w:rPr>
          <w:rFonts w:ascii="宋体" w:hAnsi="宋体" w:cs="宋体"/>
          <w:color w:val="000000"/>
          <w:sz w:val="24"/>
        </w:rPr>
      </w:pPr>
      <w:r>
        <w:rPr>
          <w:rFonts w:hint="eastAsia" w:ascii="宋体" w:hAnsi="宋体" w:cs="宋体"/>
          <w:color w:val="000000"/>
          <w:sz w:val="24"/>
        </w:rPr>
        <w:t>21.9 按规定计取的安全文明施工费不得挪作它用，应能保障工程现场的安全文明施工，并按相关文件执行。</w:t>
      </w:r>
    </w:p>
    <w:bookmarkEnd w:id="913"/>
    <w:bookmarkEnd w:id="914"/>
    <w:bookmarkEnd w:id="915"/>
    <w:bookmarkEnd w:id="916"/>
    <w:bookmarkEnd w:id="917"/>
    <w:bookmarkEnd w:id="918"/>
    <w:bookmarkEnd w:id="919"/>
    <w:bookmarkEnd w:id="920"/>
    <w:bookmarkEnd w:id="921"/>
    <w:bookmarkEnd w:id="922"/>
    <w:bookmarkEnd w:id="931"/>
    <w:bookmarkEnd w:id="932"/>
    <w:p w14:paraId="72FD3560">
      <w:pPr>
        <w:spacing w:line="360" w:lineRule="auto"/>
        <w:ind w:firstLine="480" w:firstLineChars="200"/>
        <w:rPr>
          <w:rFonts w:ascii="宋体" w:hAnsi="宋体" w:cs="宋体"/>
          <w:color w:val="000000"/>
          <w:sz w:val="24"/>
        </w:rPr>
      </w:pPr>
      <w:r>
        <w:rPr>
          <w:rFonts w:hint="eastAsia" w:ascii="宋体" w:hAnsi="宋体" w:cs="宋体"/>
          <w:color w:val="000000"/>
          <w:sz w:val="24"/>
        </w:rPr>
        <w:t>21.10 施工过程中的临时围护费用（包括因配合施工而引起的多次围护）由承包人根据实地情况，在投标报价时综合考虑，包含在合同价中。</w:t>
      </w:r>
    </w:p>
    <w:p w14:paraId="373F843A">
      <w:pPr>
        <w:spacing w:line="360" w:lineRule="auto"/>
        <w:ind w:firstLine="480" w:firstLineChars="200"/>
        <w:rPr>
          <w:rFonts w:ascii="宋体" w:hAnsi="宋体" w:cs="宋体"/>
          <w:color w:val="000000"/>
          <w:sz w:val="24"/>
        </w:rPr>
      </w:pPr>
      <w:r>
        <w:rPr>
          <w:rFonts w:hint="eastAsia" w:ascii="宋体" w:hAnsi="宋体" w:cs="宋体"/>
          <w:color w:val="000000"/>
          <w:sz w:val="24"/>
        </w:rPr>
        <w:t>21.11 发包人的其他专业分包工程，承包方须做好施工管理、协调、配合等工作，配合费由分包单位支付给承包方，配合费按实计算，由双方友好协商。</w:t>
      </w:r>
    </w:p>
    <w:p w14:paraId="3AE913B8">
      <w:pPr>
        <w:spacing w:line="360" w:lineRule="auto"/>
        <w:ind w:firstLine="480" w:firstLineChars="200"/>
        <w:rPr>
          <w:rFonts w:ascii="宋体" w:hAnsi="宋体" w:cs="宋体"/>
          <w:color w:val="000000"/>
          <w:sz w:val="24"/>
        </w:rPr>
      </w:pPr>
      <w:r>
        <w:rPr>
          <w:rFonts w:hint="eastAsia" w:ascii="宋体" w:hAnsi="宋体" w:cs="宋体"/>
          <w:color w:val="000000"/>
          <w:sz w:val="24"/>
        </w:rPr>
        <w:t>21.12 正式施工前，承包方须做好图纸交底会议的牵头工作，因承包方原因造成的返工及造价增加由其自身承担。</w:t>
      </w:r>
    </w:p>
    <w:p w14:paraId="16AE96C2">
      <w:pPr>
        <w:spacing w:line="360" w:lineRule="auto"/>
        <w:ind w:firstLine="480" w:firstLineChars="200"/>
        <w:rPr>
          <w:rFonts w:ascii="宋体" w:hAnsi="宋体" w:cs="宋体"/>
          <w:color w:val="000000"/>
          <w:sz w:val="24"/>
        </w:rPr>
      </w:pPr>
      <w:r>
        <w:rPr>
          <w:rFonts w:hint="eastAsia" w:ascii="宋体" w:hAnsi="宋体" w:cs="宋体"/>
          <w:color w:val="000000"/>
          <w:sz w:val="24"/>
        </w:rPr>
        <w:t>21.13 对图纸有但清单中未列入的项目或做法，承包方需在图纸交底时提出，如有增加，待相关变更手续完毕后方可实施。</w:t>
      </w:r>
    </w:p>
    <w:p w14:paraId="23E661F7">
      <w:pPr>
        <w:spacing w:line="360" w:lineRule="auto"/>
        <w:ind w:firstLine="480" w:firstLineChars="200"/>
        <w:rPr>
          <w:rFonts w:ascii="宋体" w:hAnsi="宋体" w:cs="宋体"/>
          <w:color w:val="000000"/>
          <w:sz w:val="24"/>
        </w:rPr>
      </w:pPr>
      <w:r>
        <w:rPr>
          <w:rFonts w:hint="eastAsia" w:ascii="宋体" w:hAnsi="宋体" w:cs="宋体"/>
          <w:color w:val="000000"/>
          <w:sz w:val="24"/>
        </w:rPr>
        <w:t>21.14 本合同未尽事宜，由双方协商解决。</w:t>
      </w:r>
    </w:p>
    <w:p w14:paraId="07DEAC77">
      <w:pPr>
        <w:rPr>
          <w:rFonts w:ascii="宋体" w:hAnsi="宋体" w:cs="宋体"/>
          <w:snapToGrid w:val="0"/>
          <w:kern w:val="44"/>
          <w:sz w:val="24"/>
          <w:szCs w:val="20"/>
        </w:rPr>
      </w:pPr>
      <w:r>
        <w:rPr>
          <w:rFonts w:hint="eastAsia" w:ascii="宋体" w:hAnsi="宋体" w:cs="宋体"/>
          <w:snapToGrid w:val="0"/>
          <w:kern w:val="44"/>
          <w:sz w:val="24"/>
          <w:szCs w:val="20"/>
        </w:rPr>
        <w:br w:type="page"/>
      </w:r>
    </w:p>
    <w:p w14:paraId="15A773D6">
      <w:pPr>
        <w:spacing w:line="440" w:lineRule="exact"/>
        <w:rPr>
          <w:rFonts w:ascii="宋体" w:hAnsi="宋体" w:cs="宋体"/>
          <w:color w:val="000000"/>
          <w:sz w:val="24"/>
        </w:rPr>
      </w:pPr>
      <w:r>
        <w:rPr>
          <w:rFonts w:hint="eastAsia" w:ascii="宋体" w:hAnsi="宋体" w:cs="宋体"/>
          <w:color w:val="000000"/>
          <w:sz w:val="24"/>
        </w:rPr>
        <w:t>附件1：</w:t>
      </w:r>
    </w:p>
    <w:p w14:paraId="4314B369">
      <w:pPr>
        <w:adjustRightInd/>
        <w:spacing w:line="360" w:lineRule="auto"/>
        <w:ind w:firstLine="630"/>
        <w:jc w:val="center"/>
        <w:outlineLvl w:val="1"/>
        <w:rPr>
          <w:rFonts w:ascii="宋体" w:hAnsi="宋体" w:cs="宋体"/>
          <w:b/>
          <w:color w:val="000000"/>
          <w:sz w:val="32"/>
          <w:szCs w:val="32"/>
        </w:rPr>
      </w:pPr>
      <w:bookmarkStart w:id="933" w:name="_Toc411083385"/>
      <w:r>
        <w:rPr>
          <w:rFonts w:hint="eastAsia" w:ascii="宋体" w:hAnsi="宋体" w:cs="宋体"/>
          <w:b/>
          <w:color w:val="000000"/>
          <w:sz w:val="32"/>
          <w:szCs w:val="32"/>
        </w:rPr>
        <w:t>工程质量保修书</w:t>
      </w:r>
      <w:bookmarkEnd w:id="933"/>
    </w:p>
    <w:p w14:paraId="3085C7FF">
      <w:pPr>
        <w:adjustRightInd/>
        <w:spacing w:line="360" w:lineRule="auto"/>
        <w:rPr>
          <w:rFonts w:ascii="宋体" w:hAnsi="宋体" w:cs="宋体"/>
          <w:color w:val="000000"/>
          <w:sz w:val="24"/>
        </w:rPr>
      </w:pPr>
      <w:r>
        <w:rPr>
          <w:rFonts w:hint="eastAsia" w:ascii="宋体" w:hAnsi="宋体" w:cs="宋体"/>
          <w:color w:val="000000"/>
          <w:sz w:val="24"/>
        </w:rPr>
        <w:t>发包人：</w:t>
      </w:r>
      <w:r>
        <w:rPr>
          <w:rFonts w:hint="eastAsia" w:ascii="宋体" w:hAnsi="宋体" w:cs="宋体"/>
          <w:color w:val="000000"/>
          <w:sz w:val="24"/>
          <w:u w:val="single"/>
        </w:rPr>
        <w:t xml:space="preserve">                       </w:t>
      </w:r>
    </w:p>
    <w:p w14:paraId="1F8FE717">
      <w:pPr>
        <w:adjustRightInd/>
        <w:spacing w:line="360" w:lineRule="auto"/>
        <w:rPr>
          <w:rFonts w:ascii="宋体" w:hAnsi="宋体" w:cs="宋体"/>
          <w:color w:val="000000"/>
          <w:sz w:val="24"/>
          <w:u w:val="single"/>
        </w:rPr>
      </w:pPr>
      <w:r>
        <w:rPr>
          <w:rFonts w:hint="eastAsia" w:ascii="宋体" w:hAnsi="宋体" w:cs="宋体"/>
          <w:color w:val="000000"/>
          <w:sz w:val="24"/>
        </w:rPr>
        <w:t>承包商：</w:t>
      </w:r>
      <w:r>
        <w:rPr>
          <w:rFonts w:hint="eastAsia" w:ascii="宋体" w:hAnsi="宋体" w:cs="宋体"/>
          <w:color w:val="000000"/>
          <w:sz w:val="24"/>
          <w:u w:val="single"/>
        </w:rPr>
        <w:t xml:space="preserve">                       </w:t>
      </w:r>
    </w:p>
    <w:p w14:paraId="2A99375B">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发包人、承包商根据《中华人民共和国建筑法》、《建设工程质量管理条例》和《房屋建筑工程质量保修办法》，经协商一致，对</w:t>
      </w:r>
      <w:r>
        <w:rPr>
          <w:rFonts w:hint="eastAsia" w:ascii="宋体" w:hAnsi="宋体"/>
          <w:sz w:val="24"/>
          <w:u w:val="single"/>
        </w:rPr>
        <w:t xml:space="preserve">                   </w:t>
      </w:r>
      <w:r>
        <w:rPr>
          <w:rFonts w:hint="eastAsia" w:ascii="宋体" w:hAnsi="宋体" w:cs="宋体"/>
          <w:color w:val="000000"/>
          <w:sz w:val="24"/>
        </w:rPr>
        <w:t>（工程名称）签订保修书。</w:t>
      </w:r>
    </w:p>
    <w:p w14:paraId="65EE5057">
      <w:pPr>
        <w:adjustRightInd/>
        <w:spacing w:line="360" w:lineRule="auto"/>
        <w:ind w:firstLine="472"/>
        <w:rPr>
          <w:rFonts w:ascii="宋体" w:hAnsi="宋体" w:cs="宋体"/>
          <w:b/>
          <w:color w:val="000000"/>
          <w:sz w:val="24"/>
        </w:rPr>
      </w:pPr>
      <w:r>
        <w:rPr>
          <w:rFonts w:hint="eastAsia" w:ascii="宋体" w:hAnsi="宋体" w:cs="宋体"/>
          <w:b/>
          <w:color w:val="000000"/>
          <w:sz w:val="24"/>
        </w:rPr>
        <w:t>一、工程保修范围和内容</w:t>
      </w:r>
    </w:p>
    <w:p w14:paraId="55120843">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承包商在保修期内，按照有关法律、法规、规章的管理规定和双方约定，承担本工程保修责任。</w:t>
      </w:r>
    </w:p>
    <w:p w14:paraId="1DE25CB6">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具体保修内容双方约定如下：</w:t>
      </w:r>
      <w:r>
        <w:rPr>
          <w:rFonts w:hint="eastAsia" w:ascii="宋体" w:hAnsi="宋体" w:cs="宋体"/>
          <w:color w:val="000000"/>
          <w:sz w:val="24"/>
          <w:u w:val="single"/>
        </w:rPr>
        <w:t>施工合同约定的工程均为保修项目</w:t>
      </w:r>
      <w:r>
        <w:rPr>
          <w:rFonts w:hint="eastAsia" w:ascii="宋体" w:hAnsi="宋体" w:cs="宋体"/>
          <w:color w:val="000000"/>
          <w:sz w:val="24"/>
        </w:rPr>
        <w:t>。</w:t>
      </w:r>
    </w:p>
    <w:p w14:paraId="01711481">
      <w:pPr>
        <w:adjustRightInd/>
        <w:spacing w:line="360" w:lineRule="auto"/>
        <w:ind w:firstLine="472"/>
        <w:rPr>
          <w:rFonts w:ascii="宋体" w:hAnsi="宋体" w:cs="宋体"/>
          <w:b/>
          <w:color w:val="000000"/>
          <w:sz w:val="24"/>
        </w:rPr>
      </w:pPr>
      <w:r>
        <w:rPr>
          <w:rFonts w:hint="eastAsia" w:ascii="宋体" w:hAnsi="宋体" w:cs="宋体"/>
          <w:b/>
          <w:color w:val="000000"/>
          <w:sz w:val="24"/>
        </w:rPr>
        <w:t>二、保修期</w:t>
      </w:r>
    </w:p>
    <w:p w14:paraId="038CF679">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双方根据《建设工程质量管理条例》及有关规定，约定本工程的保修期如下：</w:t>
      </w:r>
    </w:p>
    <w:p w14:paraId="072615DA">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1、地基基础工程和主体结构工程为设计文件规定的该工程合理使用年限；</w:t>
      </w:r>
    </w:p>
    <w:p w14:paraId="7D0D5915">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2、屋面防水工程、有防水要求的卫生间、房间和外墙面的防渗漏为</w:t>
      </w:r>
      <w:r>
        <w:rPr>
          <w:rFonts w:hint="eastAsia" w:ascii="宋体" w:hAnsi="宋体" w:cs="宋体"/>
          <w:color w:val="000000"/>
          <w:sz w:val="24"/>
          <w:u w:val="single"/>
        </w:rPr>
        <w:t xml:space="preserve"> 5 </w:t>
      </w:r>
      <w:r>
        <w:rPr>
          <w:rFonts w:hint="eastAsia" w:ascii="宋体" w:hAnsi="宋体" w:cs="宋体"/>
          <w:color w:val="000000"/>
          <w:sz w:val="24"/>
        </w:rPr>
        <w:t>年；</w:t>
      </w:r>
    </w:p>
    <w:p w14:paraId="19475485">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3、节能工程、太阳能系统工程，为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3E4DB705">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4、装修工程、附属工程、电气管线、给排水管道、设备安装工程为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1DAEC105">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5、供热与供冷系统为</w:t>
      </w:r>
      <w:r>
        <w:rPr>
          <w:rFonts w:hint="eastAsia" w:ascii="宋体" w:hAnsi="宋体" w:cs="宋体"/>
          <w:color w:val="000000"/>
          <w:sz w:val="24"/>
          <w:u w:val="single"/>
        </w:rPr>
        <w:t xml:space="preserve"> 2 </w:t>
      </w:r>
      <w:r>
        <w:rPr>
          <w:rFonts w:hint="eastAsia" w:ascii="宋体" w:hAnsi="宋体" w:cs="宋体"/>
          <w:color w:val="000000"/>
          <w:sz w:val="24"/>
        </w:rPr>
        <w:t>个采暖期、供冷期；</w:t>
      </w:r>
    </w:p>
    <w:p w14:paraId="2F6E686B">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6、住宅小区内的给排水设施、道路等配套工程为</w:t>
      </w:r>
      <w:r>
        <w:rPr>
          <w:rFonts w:hint="eastAsia" w:ascii="宋体" w:hAnsi="宋体" w:cs="宋体"/>
          <w:color w:val="000000"/>
          <w:sz w:val="24"/>
          <w:u w:val="single"/>
        </w:rPr>
        <w:t xml:space="preserve"> 1 </w:t>
      </w:r>
      <w:r>
        <w:rPr>
          <w:rFonts w:hint="eastAsia" w:ascii="宋体" w:hAnsi="宋体" w:cs="宋体"/>
          <w:color w:val="000000"/>
          <w:sz w:val="24"/>
        </w:rPr>
        <w:t>年；</w:t>
      </w:r>
    </w:p>
    <w:p w14:paraId="7C94D1DD">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7、其他项目保修期限约定如下：</w:t>
      </w:r>
      <w:r>
        <w:rPr>
          <w:rFonts w:hint="eastAsia" w:ascii="宋体" w:hAnsi="宋体" w:cs="宋体"/>
          <w:color w:val="000000"/>
          <w:sz w:val="24"/>
          <w:u w:val="single"/>
        </w:rPr>
        <w:t>除上述约定外，本工程其余部分保修期为</w:t>
      </w:r>
      <w:r>
        <w:rPr>
          <w:rFonts w:hint="eastAsia" w:ascii="宋体" w:hAnsi="宋体" w:cs="宋体"/>
          <w:color w:val="000000"/>
          <w:sz w:val="24"/>
          <w:u w:val="single"/>
          <w:lang w:val="en-US" w:eastAsia="zh-CN"/>
        </w:rPr>
        <w:t>1</w:t>
      </w:r>
      <w:r>
        <w:rPr>
          <w:rFonts w:hint="eastAsia" w:ascii="宋体" w:hAnsi="宋体" w:cs="宋体"/>
          <w:color w:val="000000"/>
          <w:sz w:val="24"/>
          <w:u w:val="single"/>
        </w:rPr>
        <w:t>年</w:t>
      </w:r>
      <w:r>
        <w:rPr>
          <w:rFonts w:hint="eastAsia" w:ascii="宋体" w:hAnsi="宋体"/>
          <w:color w:val="000000"/>
          <w:sz w:val="24"/>
        </w:rPr>
        <w:t>。</w:t>
      </w:r>
    </w:p>
    <w:p w14:paraId="59DAE96C">
      <w:pPr>
        <w:adjustRightInd/>
        <w:spacing w:line="360" w:lineRule="auto"/>
        <w:ind w:firstLine="472"/>
        <w:rPr>
          <w:rFonts w:ascii="宋体" w:hAnsi="宋体" w:cs="宋体"/>
          <w:b/>
          <w:color w:val="000000"/>
          <w:sz w:val="24"/>
        </w:rPr>
      </w:pPr>
      <w:r>
        <w:rPr>
          <w:rFonts w:hint="eastAsia" w:ascii="宋体" w:hAnsi="宋体" w:cs="宋体"/>
          <w:b/>
          <w:color w:val="000000"/>
          <w:sz w:val="24"/>
        </w:rPr>
        <w:t>三、缺陷责任期</w:t>
      </w:r>
    </w:p>
    <w:p w14:paraId="33D92EE9">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工程缺陷责任期为</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12</w:t>
      </w:r>
      <w:r>
        <w:rPr>
          <w:rFonts w:hint="eastAsia" w:ascii="宋体" w:hAnsi="宋体" w:cs="宋体"/>
          <w:color w:val="000000"/>
          <w:sz w:val="24"/>
        </w:rPr>
        <w:t>个月，缺陷责任期自工程竣工验收合格之日起计算。单位工程先于全部工程进行验收，单位工程缺陷责任期自单位工程验收合格之日起算。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4"/>
          <w:u w:val="single"/>
        </w:rPr>
        <w:t xml:space="preserve"> 12 </w:t>
      </w:r>
      <w:r>
        <w:rPr>
          <w:rFonts w:hint="eastAsia" w:ascii="宋体" w:hAnsi="宋体" w:cs="宋体"/>
          <w:color w:val="000000"/>
          <w:sz w:val="24"/>
        </w:rPr>
        <w:t>个月。</w:t>
      </w:r>
    </w:p>
    <w:p w14:paraId="168FC5BD">
      <w:pPr>
        <w:adjustRightInd/>
        <w:spacing w:line="360" w:lineRule="auto"/>
        <w:ind w:firstLine="472"/>
        <w:rPr>
          <w:rFonts w:ascii="宋体" w:hAnsi="宋体" w:cs="宋体"/>
          <w:b/>
          <w:color w:val="000000"/>
          <w:sz w:val="24"/>
        </w:rPr>
      </w:pPr>
      <w:r>
        <w:rPr>
          <w:rFonts w:hint="eastAsia" w:ascii="宋体" w:hAnsi="宋体" w:cs="宋体"/>
          <w:b/>
          <w:color w:val="000000"/>
          <w:sz w:val="24"/>
        </w:rPr>
        <w:t>四、保修责任</w:t>
      </w:r>
    </w:p>
    <w:p w14:paraId="5E9E8A92">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1、属于责任范围、内容的项目，承包商应当在接到保修通知之日起7天内派人保修。承包商不在约定期限内派人保修的，发包人可以委托他人修理。</w:t>
      </w:r>
    </w:p>
    <w:p w14:paraId="2C1094F8">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2、发生紧急抢修事故的，承包商在接到事故通知后，应当立即到达事故现场抢修。</w:t>
      </w:r>
    </w:p>
    <w:p w14:paraId="476F6463">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3、对于涉及结构安全的质量问题，应当立即向当地建设行政主管部门报告，采取安全防范措施；并应委托原设计人或者具有相应资质等级的设计人提出保修方案经发包人组织审核后由承包商实施保修。</w:t>
      </w:r>
    </w:p>
    <w:p w14:paraId="3280E4C3">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4、质量保修完成后，由发包人组织验收。</w:t>
      </w:r>
    </w:p>
    <w:p w14:paraId="6CD3FEBD">
      <w:pPr>
        <w:adjustRightInd/>
        <w:spacing w:line="360" w:lineRule="auto"/>
        <w:ind w:firstLine="472"/>
        <w:rPr>
          <w:rFonts w:ascii="宋体" w:hAnsi="宋体" w:cs="宋体"/>
          <w:b/>
          <w:color w:val="000000"/>
          <w:sz w:val="24"/>
        </w:rPr>
      </w:pPr>
      <w:r>
        <w:rPr>
          <w:rFonts w:hint="eastAsia" w:ascii="宋体" w:hAnsi="宋体" w:cs="宋体"/>
          <w:b/>
          <w:color w:val="000000"/>
          <w:sz w:val="24"/>
        </w:rPr>
        <w:t>五、保修费用</w:t>
      </w:r>
    </w:p>
    <w:p w14:paraId="20494A8A">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保修费用由造成质量缺陷的责任方承担。</w:t>
      </w:r>
    </w:p>
    <w:p w14:paraId="09B2ED56">
      <w:pPr>
        <w:adjustRightInd/>
        <w:spacing w:line="360" w:lineRule="auto"/>
        <w:ind w:firstLine="472"/>
        <w:rPr>
          <w:rFonts w:ascii="宋体" w:hAnsi="宋体" w:cs="宋体"/>
          <w:b/>
          <w:color w:val="000000"/>
          <w:sz w:val="24"/>
        </w:rPr>
      </w:pPr>
      <w:r>
        <w:rPr>
          <w:rFonts w:hint="eastAsia" w:ascii="宋体" w:hAnsi="宋体" w:cs="宋体"/>
          <w:b/>
          <w:color w:val="000000"/>
          <w:sz w:val="24"/>
        </w:rPr>
        <w:t>六、其他</w:t>
      </w:r>
    </w:p>
    <w:p w14:paraId="1BBD7FA2">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双方约定的其他工程保修责任事项：</w:t>
      </w:r>
    </w:p>
    <w:p w14:paraId="495A0F81">
      <w:pPr>
        <w:adjustRightInd/>
        <w:spacing w:line="360" w:lineRule="auto"/>
        <w:ind w:firstLine="480" w:firstLineChars="200"/>
        <w:rPr>
          <w:rFonts w:ascii="宋体" w:hAnsi="宋体"/>
          <w:sz w:val="24"/>
          <w:u w:val="single"/>
        </w:rPr>
      </w:pPr>
      <w:r>
        <w:rPr>
          <w:rFonts w:hint="eastAsia" w:ascii="宋体" w:hAnsi="宋体"/>
          <w:sz w:val="24"/>
          <w:u w:val="single"/>
        </w:rPr>
        <w:t>发包人应按约定退还质量保修金，质量保修金保留期为</w:t>
      </w:r>
      <w:r>
        <w:rPr>
          <w:rFonts w:hint="eastAsia" w:ascii="宋体" w:hAnsi="宋体"/>
          <w:sz w:val="24"/>
          <w:u w:val="single"/>
          <w:lang w:val="en-US" w:eastAsia="zh-CN"/>
        </w:rPr>
        <w:t>1</w:t>
      </w:r>
      <w:r>
        <w:rPr>
          <w:rFonts w:hint="eastAsia" w:ascii="宋体" w:hAnsi="宋体"/>
          <w:sz w:val="24"/>
          <w:u w:val="single"/>
        </w:rPr>
        <w:t>年，进入保修期后，如未发生保修责任事件，退还质量保证金保险保单或质量保证金保函；如发生保修事件，退回保修金时间顺延一年。保修金时间延长的，承包人最迟应在原保修金时间届满之日前14天向发包人提交延长保修金时间的质量保证金保险保单或质量保证金保函，否则发包人有权向第三方担保人提出索赔保修期内保修金不计息。</w:t>
      </w:r>
    </w:p>
    <w:p w14:paraId="2947AF6F">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本工程保修书，由施工合同发包人、承包商双方在竣工验收前共同签署，作为施工合同附件，其有效期限至保修期满。</w:t>
      </w:r>
    </w:p>
    <w:p w14:paraId="39AFBC9C">
      <w:pPr>
        <w:adjustRightInd/>
        <w:spacing w:line="360" w:lineRule="auto"/>
        <w:ind w:firstLine="480" w:firstLineChars="200"/>
        <w:rPr>
          <w:rFonts w:ascii="宋体" w:hAnsi="宋体" w:cs="宋体"/>
          <w:color w:val="000000"/>
          <w:sz w:val="24"/>
        </w:rPr>
      </w:pPr>
    </w:p>
    <w:p w14:paraId="1F5F2869">
      <w:pPr>
        <w:adjustRightInd/>
        <w:spacing w:line="480" w:lineRule="auto"/>
        <w:ind w:firstLine="480" w:firstLineChars="200"/>
        <w:rPr>
          <w:rFonts w:ascii="宋体" w:hAnsi="宋体" w:cs="宋体"/>
          <w:color w:val="000000"/>
          <w:sz w:val="24"/>
        </w:rPr>
      </w:pPr>
      <w:r>
        <w:rPr>
          <w:rFonts w:hint="eastAsia" w:ascii="宋体" w:hAnsi="宋体" w:cs="宋体"/>
          <w:color w:val="000000"/>
          <w:sz w:val="24"/>
        </w:rPr>
        <w:t>发包人：</w:t>
      </w:r>
      <w:r>
        <w:rPr>
          <w:rFonts w:hint="eastAsia" w:ascii="宋体" w:hAnsi="宋体" w:cs="宋体"/>
          <w:color w:val="000000"/>
          <w:sz w:val="24"/>
          <w:u w:val="single"/>
        </w:rPr>
        <w:t xml:space="preserve">                </w:t>
      </w:r>
      <w:r>
        <w:rPr>
          <w:rFonts w:hint="eastAsia" w:ascii="宋体" w:hAnsi="宋体" w:cs="宋体"/>
          <w:color w:val="000000"/>
          <w:sz w:val="24"/>
        </w:rPr>
        <w:t>（公章）       承包商：</w:t>
      </w:r>
      <w:r>
        <w:rPr>
          <w:rFonts w:hint="eastAsia" w:ascii="宋体" w:hAnsi="宋体" w:cs="宋体"/>
          <w:color w:val="000000"/>
          <w:sz w:val="24"/>
          <w:u w:val="single"/>
        </w:rPr>
        <w:t xml:space="preserve">                 </w:t>
      </w:r>
      <w:r>
        <w:rPr>
          <w:rFonts w:hint="eastAsia" w:ascii="宋体" w:hAnsi="宋体" w:cs="宋体"/>
          <w:color w:val="000000"/>
          <w:sz w:val="24"/>
        </w:rPr>
        <w:t>（公章）</w:t>
      </w:r>
    </w:p>
    <w:p w14:paraId="5C205138">
      <w:pPr>
        <w:adjustRightInd/>
        <w:spacing w:line="480" w:lineRule="auto"/>
        <w:ind w:firstLine="480" w:firstLineChars="200"/>
        <w:rPr>
          <w:rFonts w:ascii="宋体" w:hAnsi="宋体" w:cs="宋体"/>
          <w:color w:val="000000"/>
          <w:sz w:val="24"/>
          <w:u w:val="single"/>
        </w:rPr>
      </w:pPr>
      <w:r>
        <w:rPr>
          <w:rFonts w:hint="eastAsia" w:ascii="宋体" w:hAnsi="宋体" w:cs="宋体"/>
          <w:color w:val="000000"/>
          <w:sz w:val="24"/>
        </w:rPr>
        <w:t>法定地址：</w:t>
      </w:r>
      <w:r>
        <w:rPr>
          <w:rFonts w:hint="eastAsia" w:ascii="宋体" w:hAnsi="宋体" w:cs="宋体"/>
          <w:color w:val="000000"/>
          <w:sz w:val="24"/>
          <w:u w:val="single"/>
        </w:rPr>
        <w:t xml:space="preserve">                     </w:t>
      </w:r>
      <w:r>
        <w:rPr>
          <w:rFonts w:hint="eastAsia" w:ascii="宋体" w:hAnsi="宋体" w:cs="宋体"/>
          <w:color w:val="000000"/>
          <w:sz w:val="24"/>
        </w:rPr>
        <w:t xml:space="preserve">        法定地址：</w:t>
      </w:r>
      <w:r>
        <w:rPr>
          <w:rFonts w:hint="eastAsia" w:ascii="宋体" w:hAnsi="宋体" w:cs="宋体"/>
          <w:color w:val="000000"/>
          <w:sz w:val="24"/>
          <w:u w:val="single"/>
        </w:rPr>
        <w:t xml:space="preserve">                      </w:t>
      </w:r>
    </w:p>
    <w:p w14:paraId="444A85DC">
      <w:pPr>
        <w:adjustRightInd/>
        <w:spacing w:line="480" w:lineRule="auto"/>
        <w:ind w:firstLine="480" w:firstLineChars="200"/>
        <w:rPr>
          <w:rFonts w:ascii="宋体" w:hAnsi="宋体" w:cs="宋体"/>
          <w:color w:val="000000"/>
          <w:sz w:val="24"/>
        </w:rPr>
      </w:pPr>
      <w:r>
        <w:rPr>
          <w:rFonts w:hint="eastAsia" w:ascii="宋体" w:hAnsi="宋体" w:cs="宋体"/>
          <w:color w:val="000000"/>
          <w:sz w:val="24"/>
        </w:rPr>
        <w:t>法定代表人或其                         法定代表人或其</w:t>
      </w:r>
    </w:p>
    <w:p w14:paraId="1CC78ABC">
      <w:pPr>
        <w:adjustRightInd/>
        <w:spacing w:line="480" w:lineRule="auto"/>
        <w:ind w:firstLine="480" w:firstLineChars="200"/>
        <w:rPr>
          <w:rFonts w:ascii="宋体" w:hAnsi="宋体" w:cs="宋体"/>
          <w:color w:val="000000"/>
          <w:sz w:val="24"/>
        </w:rPr>
      </w:pPr>
      <w:r>
        <w:rPr>
          <w:rFonts w:hint="eastAsia" w:ascii="宋体" w:hAnsi="宋体" w:cs="宋体"/>
          <w:color w:val="000000"/>
          <w:sz w:val="24"/>
        </w:rPr>
        <w:t>委托代理人：</w:t>
      </w:r>
      <w:r>
        <w:rPr>
          <w:rFonts w:hint="eastAsia" w:ascii="宋体" w:hAnsi="宋体" w:cs="宋体"/>
          <w:color w:val="000000"/>
          <w:sz w:val="24"/>
          <w:u w:val="single"/>
        </w:rPr>
        <w:t xml:space="preserve">            </w:t>
      </w:r>
      <w:r>
        <w:rPr>
          <w:rFonts w:hint="eastAsia" w:ascii="宋体" w:hAnsi="宋体" w:cs="宋体"/>
          <w:color w:val="000000"/>
          <w:sz w:val="24"/>
        </w:rPr>
        <w:t>（签字）       委托代理人：</w:t>
      </w:r>
      <w:r>
        <w:rPr>
          <w:rFonts w:hint="eastAsia" w:ascii="宋体" w:hAnsi="宋体" w:cs="宋体"/>
          <w:color w:val="000000"/>
          <w:sz w:val="24"/>
          <w:u w:val="single"/>
        </w:rPr>
        <w:t xml:space="preserve">              </w:t>
      </w:r>
      <w:r>
        <w:rPr>
          <w:rFonts w:hint="eastAsia" w:ascii="宋体" w:hAnsi="宋体" w:cs="宋体"/>
          <w:color w:val="000000"/>
          <w:sz w:val="24"/>
        </w:rPr>
        <w:t>（签字）</w:t>
      </w:r>
    </w:p>
    <w:p w14:paraId="22DB970A">
      <w:pPr>
        <w:kinsoku/>
        <w:wordWrap/>
        <w:overflowPunct/>
        <w:topLinePunct w:val="0"/>
        <w:bidi w:val="0"/>
        <w:spacing w:line="360" w:lineRule="auto"/>
        <w:jc w:val="center"/>
        <w:outlineLvl w:val="0"/>
        <w:rPr>
          <w:rFonts w:hint="eastAsia" w:ascii="宋体" w:hAnsi="宋体" w:cs="宋体"/>
          <w:b/>
          <w:color w:val="auto"/>
          <w:sz w:val="36"/>
          <w:szCs w:val="20"/>
          <w:highlight w:val="none"/>
        </w:rPr>
      </w:pPr>
    </w:p>
    <w:p w14:paraId="23FA8847">
      <w:pPr>
        <w:kinsoku/>
        <w:wordWrap/>
        <w:overflowPunct/>
        <w:topLinePunct w:val="0"/>
        <w:bidi w:val="0"/>
        <w:spacing w:line="360" w:lineRule="auto"/>
        <w:jc w:val="center"/>
        <w:outlineLvl w:val="0"/>
        <w:rPr>
          <w:rFonts w:hint="eastAsia" w:ascii="宋体" w:hAnsi="宋体" w:cs="宋体"/>
          <w:b/>
          <w:color w:val="auto"/>
          <w:sz w:val="36"/>
          <w:szCs w:val="20"/>
          <w:highlight w:val="none"/>
        </w:rPr>
      </w:pPr>
    </w:p>
    <w:p w14:paraId="56BA8435">
      <w:pPr>
        <w:kinsoku/>
        <w:wordWrap/>
        <w:overflowPunct/>
        <w:topLinePunct w:val="0"/>
        <w:bidi w:val="0"/>
        <w:spacing w:line="360" w:lineRule="auto"/>
        <w:jc w:val="center"/>
        <w:outlineLvl w:val="0"/>
        <w:rPr>
          <w:rFonts w:hint="eastAsia" w:ascii="宋体" w:hAnsi="宋体" w:cs="宋体"/>
          <w:b/>
          <w:color w:val="auto"/>
          <w:sz w:val="36"/>
          <w:szCs w:val="20"/>
          <w:highlight w:val="none"/>
        </w:rPr>
      </w:pPr>
    </w:p>
    <w:p w14:paraId="7E4F7D0A">
      <w:pPr>
        <w:kinsoku/>
        <w:wordWrap/>
        <w:overflowPunct/>
        <w:topLinePunct w:val="0"/>
        <w:bidi w:val="0"/>
        <w:spacing w:line="360" w:lineRule="auto"/>
        <w:jc w:val="center"/>
        <w:outlineLvl w:val="0"/>
        <w:rPr>
          <w:rFonts w:hint="eastAsia" w:ascii="宋体" w:hAnsi="宋体" w:cs="宋体"/>
          <w:b/>
          <w:color w:val="auto"/>
          <w:sz w:val="36"/>
          <w:szCs w:val="20"/>
          <w:highlight w:val="none"/>
        </w:rPr>
      </w:pPr>
    </w:p>
    <w:p w14:paraId="4E38BBF8">
      <w:pPr>
        <w:kinsoku/>
        <w:wordWrap/>
        <w:overflowPunct/>
        <w:topLinePunct w:val="0"/>
        <w:bidi w:val="0"/>
        <w:spacing w:line="360" w:lineRule="auto"/>
        <w:jc w:val="center"/>
        <w:outlineLvl w:val="0"/>
        <w:rPr>
          <w:rFonts w:hint="eastAsia" w:ascii="宋体" w:hAnsi="宋体" w:cs="宋体"/>
          <w:b/>
          <w:color w:val="auto"/>
          <w:sz w:val="36"/>
          <w:szCs w:val="20"/>
          <w:highlight w:val="none"/>
        </w:rPr>
      </w:pPr>
    </w:p>
    <w:p w14:paraId="78374D50">
      <w:pPr>
        <w:kinsoku/>
        <w:wordWrap/>
        <w:overflowPunct/>
        <w:topLinePunct w:val="0"/>
        <w:bidi w:val="0"/>
        <w:spacing w:line="360" w:lineRule="auto"/>
        <w:jc w:val="center"/>
        <w:outlineLvl w:val="0"/>
        <w:rPr>
          <w:rFonts w:hint="eastAsia" w:ascii="宋体" w:hAnsi="宋体" w:cs="宋体"/>
          <w:b/>
          <w:color w:val="auto"/>
          <w:sz w:val="36"/>
          <w:szCs w:val="20"/>
          <w:highlight w:val="none"/>
        </w:rPr>
      </w:pPr>
    </w:p>
    <w:p w14:paraId="2F72CC58">
      <w:pPr>
        <w:kinsoku/>
        <w:wordWrap/>
        <w:overflowPunct/>
        <w:topLinePunct w:val="0"/>
        <w:bidi w:val="0"/>
        <w:spacing w:line="360" w:lineRule="auto"/>
        <w:jc w:val="center"/>
        <w:outlineLvl w:val="0"/>
        <w:rPr>
          <w:rFonts w:hint="eastAsia" w:ascii="宋体" w:hAnsi="宋体" w:cs="宋体"/>
          <w:b/>
          <w:color w:val="auto"/>
          <w:sz w:val="36"/>
          <w:szCs w:val="20"/>
          <w:highlight w:val="none"/>
        </w:rPr>
      </w:pPr>
    </w:p>
    <w:p w14:paraId="548BBB31">
      <w:pPr>
        <w:kinsoku/>
        <w:wordWrap/>
        <w:overflowPunct/>
        <w:topLinePunct w:val="0"/>
        <w:bidi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12"/>
      <w:r>
        <w:rPr>
          <w:rFonts w:hint="eastAsia" w:ascii="宋体" w:hAnsi="宋体" w:cs="宋体"/>
          <w:b/>
          <w:color w:val="auto"/>
          <w:sz w:val="36"/>
          <w:szCs w:val="20"/>
          <w:highlight w:val="none"/>
        </w:rPr>
        <w:t xml:space="preserve"> </w:t>
      </w:r>
      <w:bookmarkEnd w:id="413"/>
      <w:r>
        <w:rPr>
          <w:rFonts w:hint="eastAsia" w:ascii="宋体" w:hAnsi="宋体" w:cs="宋体"/>
          <w:b/>
          <w:color w:val="auto"/>
          <w:sz w:val="36"/>
          <w:szCs w:val="20"/>
          <w:highlight w:val="none"/>
        </w:rPr>
        <w:t>应提交的有关格式范例</w:t>
      </w:r>
      <w:bookmarkEnd w:id="415"/>
    </w:p>
    <w:p w14:paraId="6DB7404F">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7BD553FB">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AC1FE27">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8CF3837">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3D056D25">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37DD0A9C">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0DBB28B">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F1E9D1C">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02F625D">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p>
    <w:p w14:paraId="78EFC13A">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6FD1E29F">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一、符合参加政府采购活动应当具备的一般条件的承诺函</w:t>
      </w:r>
    </w:p>
    <w:p w14:paraId="01681E1F">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（采购人）、（采购代理机构）：</w:t>
      </w:r>
    </w:p>
    <w:p w14:paraId="3DF8C72C">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0BD28931">
      <w:pPr>
        <w:kinsoku/>
        <w:wordWrap/>
        <w:overflowPunct/>
        <w:topLinePunct w:val="0"/>
        <w:bidi w:val="0"/>
        <w:snapToGrid w:val="0"/>
        <w:spacing w:line="360" w:lineRule="auto"/>
        <w:ind w:firstLine="360" w:firstLineChars="150"/>
        <w:outlineLvl w:val="9"/>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32B9A44">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1、具有独立承担民事责任的能力</w:t>
      </w:r>
      <w:r>
        <w:rPr>
          <w:rFonts w:hint="eastAsia" w:ascii="宋体" w:hAnsi="宋体" w:cs="宋体"/>
          <w:color w:val="auto"/>
          <w:sz w:val="24"/>
          <w:highlight w:val="none"/>
          <w:lang w:eastAsia="zh-CN"/>
        </w:rPr>
        <w:t>；</w:t>
      </w:r>
    </w:p>
    <w:p w14:paraId="6AC24756">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0E036587">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3、具有履行合同所必需的设备和专业技术能力</w:t>
      </w:r>
      <w:r>
        <w:rPr>
          <w:rFonts w:hint="eastAsia" w:ascii="宋体" w:hAnsi="宋体" w:cs="宋体"/>
          <w:color w:val="auto"/>
          <w:sz w:val="24"/>
          <w:highlight w:val="none"/>
          <w:lang w:eastAsia="zh-CN"/>
        </w:rPr>
        <w:t>；</w:t>
      </w:r>
    </w:p>
    <w:p w14:paraId="76D28BE3">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4、有依法缴纳税收和社会保障资金的良好记录</w:t>
      </w:r>
      <w:r>
        <w:rPr>
          <w:rFonts w:hint="eastAsia" w:ascii="宋体" w:hAnsi="宋体" w:cs="宋体"/>
          <w:color w:val="auto"/>
          <w:sz w:val="24"/>
          <w:highlight w:val="none"/>
          <w:lang w:eastAsia="zh-CN"/>
        </w:rPr>
        <w:t>；</w:t>
      </w:r>
    </w:p>
    <w:p w14:paraId="07F0DD0F">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5、参加政府采购活动前三年内，在经营活动中没有重大违法记录</w:t>
      </w:r>
      <w:r>
        <w:rPr>
          <w:rFonts w:hint="eastAsia" w:ascii="宋体" w:hAnsi="宋体" w:cs="宋体"/>
          <w:color w:val="auto"/>
          <w:sz w:val="24"/>
          <w:highlight w:val="none"/>
          <w:lang w:eastAsia="zh-CN"/>
        </w:rPr>
        <w:t>；</w:t>
      </w:r>
    </w:p>
    <w:p w14:paraId="4546EB88">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9DB8844">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（二）未被信用中国（www.creditchina.gov.cn)、中国政府采购网（www.ccgp.gov.cn）列入失信被执行人、重大税收违法案件当事人名单、政府采购严重违法失信行为记录名单。未在中国裁判文书网有行贿犯罪相关记录</w:t>
      </w:r>
      <w:r>
        <w:rPr>
          <w:rFonts w:hint="eastAsia" w:ascii="宋体" w:hAnsi="宋体" w:cs="宋体"/>
          <w:color w:val="auto"/>
          <w:sz w:val="24"/>
          <w:highlight w:val="none"/>
          <w:lang w:eastAsia="zh-CN"/>
        </w:rPr>
        <w:t>。</w:t>
      </w:r>
    </w:p>
    <w:p w14:paraId="0E0BD2E3">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（三）不存在以下情况：</w:t>
      </w:r>
    </w:p>
    <w:p w14:paraId="50C226CB">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1、单位负责人为同一人或者存在直接控股、管理关系的不同供应商参加同一合同项下的政府采购活动的</w:t>
      </w:r>
      <w:r>
        <w:rPr>
          <w:rFonts w:hint="eastAsia" w:ascii="宋体" w:hAnsi="宋体" w:cs="宋体"/>
          <w:color w:val="auto"/>
          <w:sz w:val="24"/>
          <w:highlight w:val="none"/>
          <w:lang w:eastAsia="zh-CN"/>
        </w:rPr>
        <w:t>；</w:t>
      </w:r>
    </w:p>
    <w:p w14:paraId="5985C7F5">
      <w:pPr>
        <w:kinsoku/>
        <w:wordWrap/>
        <w:overflowPunct/>
        <w:topLinePunct w:val="0"/>
        <w:bidi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AD001B4">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p>
    <w:p w14:paraId="37E56F3F">
      <w:pPr>
        <w:kinsoku/>
        <w:wordWrap/>
        <w:overflowPunct/>
        <w:topLinePunct w:val="0"/>
        <w:bidi w:val="0"/>
        <w:snapToGrid w:val="0"/>
        <w:spacing w:line="360" w:lineRule="auto"/>
        <w:ind w:firstLine="5520" w:firstLineChars="2300"/>
        <w:outlineLvl w:val="9"/>
        <w:rPr>
          <w:rFonts w:hint="eastAsia" w:ascii="宋体" w:hAnsi="宋体" w:cs="宋体"/>
          <w:color w:val="auto"/>
          <w:kern w:val="0"/>
          <w:sz w:val="24"/>
          <w:highlight w:val="none"/>
          <w:lang w:val="zh-CN"/>
        </w:rPr>
      </w:pPr>
    </w:p>
    <w:p w14:paraId="4AF0B4C9">
      <w:pPr>
        <w:kinsoku/>
        <w:wordWrap/>
        <w:overflowPunct/>
        <w:topLinePunct w:val="0"/>
        <w:bidi w:val="0"/>
        <w:snapToGrid w:val="0"/>
        <w:spacing w:line="360" w:lineRule="auto"/>
        <w:ind w:firstLine="5520" w:firstLineChars="2300"/>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5F662FC6">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F32726C">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11ED734">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406E24D">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6DBB948">
      <w:pPr>
        <w:kinsoku/>
        <w:wordWrap/>
        <w:overflowPunct/>
        <w:topLinePunct w:val="0"/>
        <w:bidi w:val="0"/>
        <w:outlineLvl w:val="9"/>
        <w:rPr>
          <w:rFonts w:ascii="宋体" w:hAnsi="宋体" w:cs="宋体"/>
          <w:color w:val="auto"/>
          <w:highlight w:val="none"/>
        </w:rPr>
      </w:pPr>
    </w:p>
    <w:p w14:paraId="7BD1CF1A">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09BFD34">
      <w:pPr>
        <w:widowControl/>
        <w:kinsoku/>
        <w:wordWrap/>
        <w:overflowPunct/>
        <w:topLinePunct w:val="0"/>
        <w:bidi w:val="0"/>
        <w:spacing w:line="360" w:lineRule="auto"/>
        <w:ind w:firstLine="643" w:firstLineChars="200"/>
        <w:jc w:val="center"/>
        <w:outlineLvl w:val="9"/>
        <w:rPr>
          <w:rFonts w:hint="eastAsia" w:ascii="宋体" w:hAnsi="宋体" w:cs="宋体"/>
          <w:b/>
          <w:color w:val="auto"/>
          <w:kern w:val="0"/>
          <w:sz w:val="32"/>
          <w:szCs w:val="32"/>
          <w:highlight w:val="none"/>
        </w:rPr>
      </w:pPr>
    </w:p>
    <w:p w14:paraId="668A58EB">
      <w:pPr>
        <w:widowControl/>
        <w:kinsoku/>
        <w:wordWrap/>
        <w:overflowPunct/>
        <w:topLinePunct w:val="0"/>
        <w:bidi w:val="0"/>
        <w:spacing w:line="360" w:lineRule="auto"/>
        <w:ind w:firstLine="643" w:firstLineChars="200"/>
        <w:jc w:val="center"/>
        <w:outlineLvl w:val="9"/>
        <w:rPr>
          <w:rFonts w:hint="eastAsia" w:ascii="宋体" w:hAnsi="宋体" w:cs="宋体"/>
          <w:b/>
          <w:color w:val="auto"/>
          <w:kern w:val="0"/>
          <w:sz w:val="32"/>
          <w:szCs w:val="32"/>
          <w:highlight w:val="none"/>
        </w:rPr>
      </w:pPr>
    </w:p>
    <w:p w14:paraId="72281D8E">
      <w:pPr>
        <w:widowControl/>
        <w:kinsoku/>
        <w:wordWrap/>
        <w:overflowPunct/>
        <w:topLinePunct w:val="0"/>
        <w:bidi w:val="0"/>
        <w:spacing w:line="360" w:lineRule="auto"/>
        <w:ind w:firstLine="643" w:firstLineChars="20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FCADF49">
      <w:pPr>
        <w:widowControl/>
        <w:kinsoku/>
        <w:wordWrap/>
        <w:overflowPunct/>
        <w:topLinePunct w:val="0"/>
        <w:bidi w:val="0"/>
        <w:spacing w:line="360" w:lineRule="auto"/>
        <w:ind w:firstLine="482" w:firstLineChars="200"/>
        <w:jc w:val="left"/>
        <w:outlineLvl w:val="9"/>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w:t>
      </w:r>
      <w:r>
        <w:rPr>
          <w:rFonts w:hint="eastAsia" w:ascii="宋体" w:hAnsi="宋体" w:cs="宋体"/>
          <w:b/>
          <w:color w:val="auto"/>
          <w:sz w:val="24"/>
          <w:highlight w:val="none"/>
          <w:lang w:eastAsia="zh-CN"/>
        </w:rPr>
        <w:t>；</w:t>
      </w:r>
      <w:r>
        <w:rPr>
          <w:rFonts w:hint="eastAsia" w:ascii="宋体" w:hAnsi="宋体" w:cs="宋体"/>
          <w:b/>
          <w:color w:val="auto"/>
          <w:sz w:val="24"/>
          <w:highlight w:val="none"/>
        </w:rPr>
        <w:t>本项目不接受联合体投标或者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不以联合体形式投标的，则不需要提供]</w:t>
      </w:r>
    </w:p>
    <w:p w14:paraId="07F4C33E">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555CC9DB">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413C010A">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61FE9FB5">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w:t>
      </w:r>
      <w:r>
        <w:rPr>
          <w:rFonts w:hint="eastAsia" w:ascii="宋体" w:hAnsi="宋体" w:cs="宋体"/>
          <w:color w:val="auto"/>
          <w:sz w:val="24"/>
          <w:highlight w:val="none"/>
          <w:lang w:eastAsia="zh-CN"/>
        </w:rPr>
        <w:t>；</w:t>
      </w:r>
      <w:r>
        <w:rPr>
          <w:rFonts w:hint="eastAsia" w:ascii="宋体" w:hAnsi="宋体" w:cs="宋体"/>
          <w:color w:val="auto"/>
          <w:sz w:val="24"/>
          <w:highlight w:val="none"/>
        </w:rPr>
        <w:t>未要求的，无需提供）</w:t>
      </w:r>
    </w:p>
    <w:p w14:paraId="635293B1">
      <w:pPr>
        <w:kinsoku/>
        <w:wordWrap/>
        <w:overflowPunct/>
        <w:topLinePunct w:val="0"/>
        <w:bidi w:val="0"/>
        <w:snapToGrid w:val="0"/>
        <w:spacing w:before="50" w:after="50" w:line="360" w:lineRule="auto"/>
        <w:ind w:firstLine="472" w:firstLineChars="196"/>
        <w:jc w:val="left"/>
        <w:outlineLvl w:val="9"/>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522529DB">
      <w:pPr>
        <w:widowControl/>
        <w:kinsoku/>
        <w:wordWrap/>
        <w:overflowPunct/>
        <w:topLinePunct w:val="0"/>
        <w:bidi w:val="0"/>
        <w:spacing w:line="360" w:lineRule="auto"/>
        <w:ind w:firstLine="480"/>
        <w:jc w:val="left"/>
        <w:outlineLvl w:val="9"/>
        <w:rPr>
          <w:rFonts w:ascii="宋体" w:hAnsi="宋体" w:cs="宋体"/>
          <w:color w:val="auto"/>
          <w:sz w:val="24"/>
          <w:highlight w:val="none"/>
        </w:rPr>
      </w:pPr>
    </w:p>
    <w:p w14:paraId="64B181E7">
      <w:pPr>
        <w:widowControl/>
        <w:kinsoku/>
        <w:wordWrap/>
        <w:overflowPunct/>
        <w:topLinePunct w:val="0"/>
        <w:bidi w:val="0"/>
        <w:spacing w:line="360" w:lineRule="auto"/>
        <w:ind w:firstLine="472" w:firstLineChars="196"/>
        <w:jc w:val="left"/>
        <w:outlineLvl w:val="9"/>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w:t>
      </w:r>
      <w:r>
        <w:rPr>
          <w:rFonts w:hint="eastAsia" w:ascii="宋体" w:hAnsi="宋体" w:cs="宋体"/>
          <w:color w:val="auto"/>
          <w:sz w:val="24"/>
          <w:highlight w:val="none"/>
          <w:lang w:eastAsia="zh-CN"/>
        </w:rPr>
        <w:t>；</w:t>
      </w:r>
      <w:r>
        <w:rPr>
          <w:rFonts w:hint="eastAsia" w:ascii="宋体" w:hAnsi="宋体" w:cs="宋体"/>
          <w:color w:val="auto"/>
          <w:sz w:val="24"/>
          <w:highlight w:val="none"/>
        </w:rPr>
        <w:t>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42C31BA1">
      <w:pPr>
        <w:kinsoku/>
        <w:wordWrap/>
        <w:overflowPunct/>
        <w:topLinePunct w:val="0"/>
        <w:bidi w:val="0"/>
        <w:snapToGrid w:val="0"/>
        <w:spacing w:before="50" w:after="50" w:line="360" w:lineRule="auto"/>
        <w:jc w:val="center"/>
        <w:outlineLvl w:val="9"/>
        <w:rPr>
          <w:rFonts w:ascii="宋体" w:hAnsi="宋体" w:cs="宋体"/>
          <w:color w:val="auto"/>
          <w:sz w:val="24"/>
          <w:highlight w:val="none"/>
        </w:rPr>
      </w:pPr>
      <w:r>
        <w:rPr>
          <w:rFonts w:hint="eastAsia" w:ascii="宋体" w:hAnsi="宋体" w:cs="宋体"/>
          <w:b/>
          <w:color w:val="auto"/>
          <w:sz w:val="24"/>
          <w:highlight w:val="none"/>
        </w:rPr>
        <w:t xml:space="preserve">    </w:t>
      </w:r>
    </w:p>
    <w:p w14:paraId="227409F5">
      <w:pPr>
        <w:kinsoku/>
        <w:wordWrap/>
        <w:overflowPunct/>
        <w:topLinePunct w:val="0"/>
        <w:bidi w:val="0"/>
        <w:spacing w:line="360" w:lineRule="auto"/>
        <w:ind w:firstLine="482" w:firstLineChars="200"/>
        <w:outlineLvl w:val="9"/>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w:t>
      </w:r>
      <w:r>
        <w:rPr>
          <w:rFonts w:hint="eastAsia" w:ascii="宋体" w:hAnsi="宋体" w:cs="宋体"/>
          <w:color w:val="auto"/>
          <w:sz w:val="24"/>
          <w:highlight w:val="none"/>
          <w:lang w:eastAsia="zh-CN"/>
        </w:rPr>
        <w:t>；</w:t>
      </w:r>
      <w:r>
        <w:rPr>
          <w:rFonts w:hint="eastAsia" w:ascii="宋体" w:hAnsi="宋体" w:cs="宋体"/>
          <w:color w:val="auto"/>
          <w:sz w:val="24"/>
          <w:highlight w:val="none"/>
        </w:rPr>
        <w:t>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1D7F26E1">
      <w:pPr>
        <w:widowControl/>
        <w:kinsoku/>
        <w:wordWrap/>
        <w:overflowPunct/>
        <w:topLinePunct w:val="0"/>
        <w:bidi w:val="0"/>
        <w:spacing w:line="360" w:lineRule="auto"/>
        <w:ind w:left="150"/>
        <w:jc w:val="center"/>
        <w:outlineLvl w:val="9"/>
        <w:rPr>
          <w:rFonts w:ascii="宋体" w:hAnsi="宋体" w:cs="宋体"/>
          <w:b/>
          <w:color w:val="auto"/>
          <w:kern w:val="0"/>
          <w:sz w:val="32"/>
          <w:szCs w:val="32"/>
          <w:highlight w:val="none"/>
        </w:rPr>
      </w:pPr>
    </w:p>
    <w:p w14:paraId="6F89534F">
      <w:pPr>
        <w:widowControl/>
        <w:kinsoku/>
        <w:wordWrap/>
        <w:overflowPunct/>
        <w:topLinePunct w:val="0"/>
        <w:bidi w:val="0"/>
        <w:spacing w:line="360" w:lineRule="auto"/>
        <w:ind w:left="15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20A9611">
      <w:pPr>
        <w:kinsoku/>
        <w:wordWrap/>
        <w:overflowPunct/>
        <w:topLinePunct w:val="0"/>
        <w:bidi w:val="0"/>
        <w:spacing w:line="360" w:lineRule="auto"/>
        <w:jc w:val="center"/>
        <w:outlineLvl w:val="9"/>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w:t>
      </w:r>
      <w:r>
        <w:rPr>
          <w:rFonts w:hint="eastAsia" w:ascii="宋体" w:hAnsi="宋体" w:cs="宋体"/>
          <w:color w:val="auto"/>
          <w:sz w:val="24"/>
          <w:highlight w:val="none"/>
          <w:lang w:eastAsia="zh-CN"/>
        </w:rPr>
        <w:t>；</w:t>
      </w:r>
      <w:r>
        <w:rPr>
          <w:rFonts w:hint="eastAsia" w:ascii="宋体" w:hAnsi="宋体" w:cs="宋体"/>
          <w:color w:val="auto"/>
          <w:sz w:val="24"/>
          <w:highlight w:val="none"/>
        </w:rPr>
        <w:t>未要求的，无需提供）</w:t>
      </w:r>
    </w:p>
    <w:p w14:paraId="6CB86E8F">
      <w:pPr>
        <w:kinsoku/>
        <w:wordWrap/>
        <w:overflowPunct/>
        <w:topLinePunct w:val="0"/>
        <w:bidi w:val="0"/>
        <w:outlineLvl w:val="9"/>
        <w:rPr>
          <w:rFonts w:ascii="宋体" w:hAnsi="宋体" w:cs="宋体"/>
          <w:color w:val="auto"/>
          <w:highlight w:val="none"/>
        </w:rPr>
      </w:pPr>
    </w:p>
    <w:p w14:paraId="69ED01E4">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85BA6F5">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01DA848">
      <w:pPr>
        <w:kinsoku/>
        <w:wordWrap/>
        <w:overflowPunct/>
        <w:topLinePunct w:val="0"/>
        <w:bidi w:val="0"/>
        <w:spacing w:line="360" w:lineRule="auto"/>
        <w:jc w:val="center"/>
        <w:outlineLvl w:val="9"/>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F85D49F">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（1）磋商函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1ACB5106">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013B82DC">
      <w:pPr>
        <w:kinsoku/>
        <w:wordWrap/>
        <w:overflowPunct/>
        <w:topLinePunct w:val="0"/>
        <w:bidi w:val="0"/>
        <w:snapToGrid w:val="0"/>
        <w:spacing w:line="360" w:lineRule="auto"/>
        <w:ind w:firstLine="480" w:firstLineChars="200"/>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55E700BC">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5FB323B5">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558917F">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0D33A37D">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22546C3F">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2DF4A521">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7336BB6F">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20AE77AC">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3A335CB6">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4475B0FB">
      <w:pPr>
        <w:kinsoku/>
        <w:wordWrap/>
        <w:overflowPunct/>
        <w:topLinePunct w:val="0"/>
        <w:bidi w:val="0"/>
        <w:outlineLvl w:val="9"/>
        <w:rPr>
          <w:rFonts w:ascii="宋体" w:hAnsi="宋体" w:cs="宋体"/>
          <w:color w:val="auto"/>
          <w:highlight w:val="none"/>
        </w:rPr>
      </w:pPr>
    </w:p>
    <w:p w14:paraId="6CF76F90">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20207E9A">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69935D30">
      <w:pPr>
        <w:tabs>
          <w:tab w:val="left" w:pos="432"/>
        </w:tabs>
        <w:kinsoku/>
        <w:wordWrap/>
        <w:overflowPunct/>
        <w:topLinePunct w:val="0"/>
        <w:bidi w:val="0"/>
        <w:outlineLvl w:val="9"/>
        <w:rPr>
          <w:color w:val="auto"/>
          <w:highlight w:val="none"/>
          <w:lang w:val="en-US"/>
        </w:rPr>
      </w:pPr>
    </w:p>
    <w:p w14:paraId="7E1AC78B">
      <w:pPr>
        <w:kinsoku/>
        <w:wordWrap/>
        <w:overflowPunct/>
        <w:topLinePunct w:val="0"/>
        <w:bidi w:val="0"/>
        <w:outlineLvl w:val="9"/>
        <w:rPr>
          <w:color w:val="auto"/>
          <w:highlight w:val="none"/>
        </w:rPr>
      </w:pPr>
    </w:p>
    <w:p w14:paraId="396116E6">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14:paraId="4994F773">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14:paraId="08A1D536">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14:paraId="5EA91418">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7DB60A1">
      <w:pPr>
        <w:kinsoku/>
        <w:wordWrap/>
        <w:overflowPunct/>
        <w:topLinePunct w:val="0"/>
        <w:bidi w:val="0"/>
        <w:snapToGrid w:val="0"/>
        <w:spacing w:line="360" w:lineRule="auto"/>
        <w:ind w:firstLine="3855" w:firstLineChars="1200"/>
        <w:outlineLvl w:val="9"/>
        <w:rPr>
          <w:rFonts w:ascii="宋体" w:hAnsi="宋体" w:cs="宋体"/>
          <w:b/>
          <w:color w:val="auto"/>
          <w:sz w:val="32"/>
          <w:szCs w:val="32"/>
          <w:highlight w:val="none"/>
        </w:rPr>
      </w:pPr>
      <w:r>
        <w:rPr>
          <w:rFonts w:hint="eastAsia" w:ascii="宋体" w:hAnsi="宋体" w:cs="宋体"/>
          <w:b/>
          <w:color w:val="auto"/>
          <w:kern w:val="0"/>
          <w:sz w:val="32"/>
          <w:szCs w:val="32"/>
          <w:highlight w:val="none"/>
        </w:rPr>
        <w:t>一、磋商函</w:t>
      </w:r>
    </w:p>
    <w:p w14:paraId="6F6A5DC2">
      <w:pPr>
        <w:keepNext w:val="0"/>
        <w:keepLines w:val="0"/>
        <w:pageBreakBefore w:val="0"/>
        <w:widowControl w:val="0"/>
        <w:kinsoku/>
        <w:wordWrap/>
        <w:overflowPunct/>
        <w:topLinePunct w:val="0"/>
        <w:autoSpaceDE/>
        <w:autoSpaceDN/>
        <w:bidi w:val="0"/>
        <w:adjustRightInd w:val="0"/>
        <w:snapToGrid w:val="0"/>
        <w:spacing w:line="312"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（采购人）、（采购代理机构）：</w:t>
      </w:r>
    </w:p>
    <w:p w14:paraId="4B692236">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73154E62">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2E03AFF">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F765A6E">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2.1资格文件：</w:t>
      </w:r>
    </w:p>
    <w:p w14:paraId="1D299AA2">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2.1.1承诺函</w:t>
      </w:r>
      <w:r>
        <w:rPr>
          <w:rFonts w:hint="eastAsia" w:ascii="宋体" w:hAnsi="宋体" w:cs="宋体"/>
          <w:color w:val="auto"/>
          <w:sz w:val="24"/>
          <w:highlight w:val="none"/>
          <w:lang w:eastAsia="zh-CN"/>
        </w:rPr>
        <w:t>；</w:t>
      </w:r>
    </w:p>
    <w:p w14:paraId="598A5A41">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p>
    <w:p w14:paraId="66A5CC2B">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lang w:eastAsia="zh-CN"/>
        </w:rPr>
        <w:t>；</w:t>
      </w:r>
    </w:p>
    <w:p w14:paraId="6A5CA0B1">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4EE434">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10760DF">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2.2.1磋商函</w:t>
      </w:r>
      <w:r>
        <w:rPr>
          <w:rFonts w:hint="eastAsia" w:ascii="宋体" w:hAnsi="宋体" w:cs="宋体"/>
          <w:color w:val="auto"/>
          <w:sz w:val="24"/>
          <w:highlight w:val="none"/>
          <w:lang w:eastAsia="zh-CN"/>
        </w:rPr>
        <w:t>；</w:t>
      </w:r>
      <w:r>
        <w:rPr>
          <w:rFonts w:hint="eastAsia" w:ascii="宋体" w:hAnsi="宋体" w:cs="宋体"/>
          <w:color w:val="auto"/>
          <w:sz w:val="24"/>
          <w:highlight w:val="none"/>
          <w:lang w:val="zh-CN"/>
        </w:rPr>
        <w:t xml:space="preserve"> </w:t>
      </w:r>
    </w:p>
    <w:p w14:paraId="00841CEF">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2.2.2授权委托书或法定代表人（单位负责人）身份证明</w:t>
      </w:r>
      <w:r>
        <w:rPr>
          <w:rFonts w:hint="eastAsia" w:ascii="宋体" w:hAnsi="宋体" w:cs="宋体"/>
          <w:color w:val="auto"/>
          <w:sz w:val="24"/>
          <w:highlight w:val="none"/>
          <w:lang w:eastAsia="zh-CN"/>
        </w:rPr>
        <w:t>；</w:t>
      </w:r>
    </w:p>
    <w:p w14:paraId="01FA7207">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lang w:eastAsia="zh-CN"/>
        </w:rPr>
        <w:t>；</w:t>
      </w:r>
    </w:p>
    <w:p w14:paraId="6F83705C">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sz w:val="24"/>
          <w:highlight w:val="none"/>
          <w:lang w:eastAsia="zh-CN"/>
        </w:rPr>
        <w:t>；</w:t>
      </w:r>
    </w:p>
    <w:p w14:paraId="0F8D7691">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sz w:val="24"/>
          <w:highlight w:val="none"/>
          <w:lang w:eastAsia="zh-CN"/>
        </w:rPr>
        <w:t>；</w:t>
      </w:r>
    </w:p>
    <w:p w14:paraId="4F312065">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r>
        <w:rPr>
          <w:rFonts w:hint="eastAsia" w:ascii="宋体" w:hAnsi="宋体" w:cs="宋体"/>
          <w:color w:val="auto"/>
          <w:sz w:val="24"/>
          <w:highlight w:val="none"/>
          <w:lang w:eastAsia="zh-CN"/>
        </w:rPr>
        <w:t>；</w:t>
      </w:r>
    </w:p>
    <w:p w14:paraId="0A685D1F">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p>
    <w:p w14:paraId="2160120A">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244FA97">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2.3.1开标一览表（报价表）</w:t>
      </w:r>
      <w:r>
        <w:rPr>
          <w:rFonts w:hint="eastAsia" w:ascii="宋体" w:hAnsi="宋体" w:cs="宋体"/>
          <w:color w:val="auto"/>
          <w:sz w:val="24"/>
          <w:highlight w:val="none"/>
          <w:lang w:val="en-US" w:eastAsia="zh-CN"/>
        </w:rPr>
        <w:t>、投标分项报价表</w:t>
      </w:r>
      <w:r>
        <w:rPr>
          <w:rFonts w:hint="eastAsia" w:ascii="宋体" w:hAnsi="宋体" w:cs="宋体"/>
          <w:color w:val="auto"/>
          <w:sz w:val="24"/>
          <w:highlight w:val="none"/>
          <w:lang w:eastAsia="zh-CN"/>
        </w:rPr>
        <w:t>；</w:t>
      </w:r>
    </w:p>
    <w:p w14:paraId="0D0BF651">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311150C8">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66555218">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4、如我方中标，我方承诺：</w:t>
      </w:r>
    </w:p>
    <w:p w14:paraId="04340CB5">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4.1在收到中标通知书后，在中标通知书规定的期限内与你方签订合同</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77698E35">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4.2在签订合同时不向你方提出附加条件</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0A2E36E8">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4.3按照招标文件要求提交履约保证金</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27E75847">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4.4在合同约定的期限内完成合同规定的全部义务。</w:t>
      </w:r>
    </w:p>
    <w:p w14:paraId="07385E0B">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val="en-US" w:eastAsia="zh-CN"/>
        </w:rPr>
        <w:t>4.5</w:t>
      </w:r>
      <w:r>
        <w:rPr>
          <w:rFonts w:hint="eastAsia" w:cs="宋体" w:asciiTheme="minorEastAsia" w:hAnsiTheme="minorEastAsia" w:eastAsiaTheme="minorEastAsia"/>
          <w:color w:val="auto"/>
          <w:sz w:val="24"/>
          <w:highlight w:val="none"/>
          <w:lang w:val="en-US" w:eastAsia="zh-CN"/>
        </w:rPr>
        <w:t>按照招标文件的规定，在中标后向采购代理机构一次性支付招标代理服务费。</w:t>
      </w:r>
      <w:r>
        <w:rPr>
          <w:rFonts w:hint="eastAsia" w:ascii="宋体" w:hAnsi="宋体" w:cs="宋体"/>
          <w:color w:val="auto"/>
          <w:sz w:val="24"/>
          <w:highlight w:val="none"/>
        </w:rPr>
        <w:t xml:space="preserve"> </w:t>
      </w:r>
    </w:p>
    <w:p w14:paraId="231BFD51">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87F5C64">
      <w:pPr>
        <w:keepNext w:val="0"/>
        <w:keepLines w:val="0"/>
        <w:pageBreakBefore w:val="0"/>
        <w:widowControl w:val="0"/>
        <w:kinsoku/>
        <w:wordWrap/>
        <w:overflowPunct/>
        <w:topLinePunct w:val="0"/>
        <w:autoSpaceDE/>
        <w:autoSpaceDN/>
        <w:bidi w:val="0"/>
        <w:adjustRightInd w:val="0"/>
        <w:spacing w:line="312" w:lineRule="auto"/>
        <w:ind w:firstLine="3600" w:firstLineChars="1500"/>
        <w:textAlignment w:val="auto"/>
        <w:outlineLvl w:val="9"/>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 xml:space="preserve">名称（电子签名）：                          </w:t>
      </w:r>
    </w:p>
    <w:p w14:paraId="0106FEA6">
      <w:pPr>
        <w:keepNext w:val="0"/>
        <w:keepLines w:val="0"/>
        <w:pageBreakBefore w:val="0"/>
        <w:widowControl w:val="0"/>
        <w:kinsoku/>
        <w:wordWrap/>
        <w:overflowPunct/>
        <w:topLinePunct w:val="0"/>
        <w:autoSpaceDE/>
        <w:autoSpaceDN/>
        <w:bidi w:val="0"/>
        <w:adjustRightInd w:val="0"/>
        <w:spacing w:line="312"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A2BD9DF">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hint="eastAsia" w:ascii="宋体" w:hAnsi="宋体" w:cs="宋体"/>
          <w:color w:val="auto"/>
          <w:sz w:val="24"/>
          <w:highlight w:val="none"/>
        </w:rPr>
        <w:t>注：按本格式和要求提供。</w:t>
      </w:r>
      <w:r>
        <w:rPr>
          <w:rFonts w:ascii="宋体" w:hAnsi="宋体" w:cs="宋体"/>
          <w:b/>
          <w:color w:val="auto"/>
          <w:kern w:val="0"/>
          <w:sz w:val="32"/>
          <w:szCs w:val="32"/>
          <w:highlight w:val="none"/>
        </w:rPr>
        <w:br w:type="page"/>
      </w:r>
    </w:p>
    <w:p w14:paraId="50E1D7D6">
      <w:pPr>
        <w:kinsoku/>
        <w:wordWrap/>
        <w:overflowPunct/>
        <w:topLinePunct w:val="0"/>
        <w:bidi w:val="0"/>
        <w:jc w:val="center"/>
        <w:outlineLvl w:val="9"/>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0226A77A">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                                </w:t>
      </w:r>
    </w:p>
    <w:p w14:paraId="5AE80745">
      <w:pPr>
        <w:kinsoku/>
        <w:wordWrap/>
        <w:overflowPunct/>
        <w:topLinePunct w:val="0"/>
        <w:bidi w:val="0"/>
        <w:snapToGrid w:val="0"/>
        <w:spacing w:line="360" w:lineRule="auto"/>
        <w:ind w:firstLine="2872" w:firstLineChars="894"/>
        <w:outlineLvl w:val="9"/>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E25B537">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B5F7495">
      <w:pPr>
        <w:kinsoku/>
        <w:wordWrap/>
        <w:overflowPunct/>
        <w:topLinePunct w:val="0"/>
        <w:bidi w:val="0"/>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4DD1CF52">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B160DA9">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5FA3589">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5D952584">
      <w:pPr>
        <w:kinsoku/>
        <w:wordWrap/>
        <w:overflowPunct/>
        <w:topLinePunct w:val="0"/>
        <w:bidi w:val="0"/>
        <w:snapToGrid w:val="0"/>
        <w:spacing w:line="360" w:lineRule="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19D704F">
      <w:pPr>
        <w:kinsoku/>
        <w:wordWrap/>
        <w:overflowPunct/>
        <w:topLinePunct w:val="0"/>
        <w:bidi w:val="0"/>
        <w:snapToGrid w:val="0"/>
        <w:spacing w:line="360" w:lineRule="auto"/>
        <w:outlineLvl w:val="9"/>
        <w:rPr>
          <w:rFonts w:ascii="宋体" w:hAnsi="宋体" w:cs="宋体"/>
          <w:color w:val="auto"/>
          <w:sz w:val="24"/>
          <w:highlight w:val="none"/>
        </w:rPr>
      </w:pPr>
    </w:p>
    <w:p w14:paraId="07F96D88">
      <w:pPr>
        <w:kinsoku/>
        <w:wordWrap/>
        <w:overflowPunct/>
        <w:topLinePunct w:val="0"/>
        <w:bidi w:val="0"/>
        <w:snapToGrid w:val="0"/>
        <w:spacing w:line="360" w:lineRule="auto"/>
        <w:outlineLvl w:val="9"/>
        <w:rPr>
          <w:rFonts w:ascii="宋体" w:hAnsi="宋体" w:cs="宋体"/>
          <w:color w:val="auto"/>
          <w:sz w:val="24"/>
          <w:highlight w:val="none"/>
        </w:rPr>
      </w:pPr>
    </w:p>
    <w:p w14:paraId="1FDD7A31">
      <w:pPr>
        <w:kinsoku/>
        <w:wordWrap/>
        <w:overflowPunct/>
        <w:topLinePunct w:val="0"/>
        <w:bidi w:val="0"/>
        <w:snapToGrid w:val="0"/>
        <w:spacing w:line="360" w:lineRule="auto"/>
        <w:outlineLvl w:val="9"/>
        <w:rPr>
          <w:rFonts w:ascii="宋体" w:hAnsi="宋体" w:cs="宋体"/>
          <w:color w:val="auto"/>
          <w:sz w:val="24"/>
          <w:highlight w:val="none"/>
        </w:rPr>
      </w:pPr>
    </w:p>
    <w:p w14:paraId="7DC14868">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342D7F14">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7783B87">
      <w:pPr>
        <w:kinsoku/>
        <w:wordWrap/>
        <w:overflowPunct/>
        <w:topLinePunct w:val="0"/>
        <w:bidi w:val="0"/>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04C703E8">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8549F2B">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341318C">
      <w:pPr>
        <w:kinsoku/>
        <w:wordWrap/>
        <w:overflowPunct/>
        <w:topLinePunct w:val="0"/>
        <w:bidi w:val="0"/>
        <w:jc w:val="center"/>
        <w:outlineLvl w:val="9"/>
        <w:rPr>
          <w:rFonts w:ascii="宋体" w:hAnsi="宋体" w:cs="宋体"/>
          <w:b/>
          <w:color w:val="auto"/>
          <w:kern w:val="0"/>
          <w:sz w:val="32"/>
          <w:szCs w:val="32"/>
          <w:highlight w:val="none"/>
        </w:rPr>
      </w:pPr>
    </w:p>
    <w:p w14:paraId="659C6513">
      <w:pPr>
        <w:kinsoku/>
        <w:wordWrap/>
        <w:overflowPunct/>
        <w:topLinePunct w:val="0"/>
        <w:bidi w:val="0"/>
        <w:jc w:val="center"/>
        <w:outlineLvl w:val="9"/>
        <w:rPr>
          <w:rFonts w:ascii="宋体" w:hAnsi="宋体" w:cs="宋体"/>
          <w:b/>
          <w:color w:val="auto"/>
          <w:kern w:val="0"/>
          <w:sz w:val="32"/>
          <w:szCs w:val="32"/>
          <w:highlight w:val="none"/>
        </w:rPr>
      </w:pPr>
    </w:p>
    <w:p w14:paraId="2E6C6CC6">
      <w:pPr>
        <w:kinsoku/>
        <w:wordWrap/>
        <w:overflowPunct/>
        <w:topLinePunct w:val="0"/>
        <w:bidi w:val="0"/>
        <w:jc w:val="center"/>
        <w:outlineLvl w:val="9"/>
        <w:rPr>
          <w:rFonts w:ascii="宋体" w:hAnsi="宋体" w:cs="宋体"/>
          <w:b/>
          <w:color w:val="auto"/>
          <w:kern w:val="0"/>
          <w:sz w:val="32"/>
          <w:szCs w:val="32"/>
          <w:highlight w:val="none"/>
        </w:rPr>
      </w:pPr>
    </w:p>
    <w:p w14:paraId="39C2C7E5">
      <w:pPr>
        <w:kinsoku/>
        <w:wordWrap/>
        <w:overflowPunct/>
        <w:topLinePunct w:val="0"/>
        <w:bidi w:val="0"/>
        <w:outlineLvl w:val="9"/>
        <w:rPr>
          <w:rFonts w:ascii="宋体" w:hAnsi="宋体" w:cs="宋体"/>
          <w:color w:val="auto"/>
          <w:highlight w:val="none"/>
        </w:rPr>
      </w:pPr>
    </w:p>
    <w:p w14:paraId="6FB071E5">
      <w:pPr>
        <w:kinsoku/>
        <w:wordWrap/>
        <w:overflowPunct/>
        <w:topLinePunct w:val="0"/>
        <w:bidi w:val="0"/>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A44475C">
      <w:pPr>
        <w:kinsoku/>
        <w:wordWrap/>
        <w:overflowPunct/>
        <w:topLinePunct w:val="0"/>
        <w:bidi w:val="0"/>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4EA31CC">
      <w:pPr>
        <w:kinsoku/>
        <w:wordWrap/>
        <w:overflowPunct/>
        <w:topLinePunct w:val="0"/>
        <w:bidi w:val="0"/>
        <w:snapToGrid w:val="0"/>
        <w:spacing w:line="360" w:lineRule="auto"/>
        <w:ind w:firstLine="5760" w:firstLineChars="2400"/>
        <w:outlineLvl w:val="9"/>
        <w:rPr>
          <w:rFonts w:ascii="宋体" w:hAnsi="宋体" w:cs="宋体"/>
          <w:color w:val="auto"/>
          <w:highlight w:val="none"/>
        </w:rPr>
      </w:pPr>
      <w:r>
        <w:rPr>
          <w:rFonts w:hint="eastAsia" w:ascii="宋体" w:hAnsi="宋体" w:cs="宋体"/>
          <w:color w:val="auto"/>
          <w:kern w:val="0"/>
          <w:sz w:val="24"/>
          <w:highlight w:val="none"/>
          <w:lang w:val="zh-CN"/>
        </w:rPr>
        <w:t>……</w:t>
      </w:r>
    </w:p>
    <w:p w14:paraId="3EA97BB4">
      <w:pPr>
        <w:kinsoku/>
        <w:wordWrap/>
        <w:overflowPunct/>
        <w:topLinePunct w:val="0"/>
        <w:bidi w:val="0"/>
        <w:snapToGrid w:val="0"/>
        <w:spacing w:line="360" w:lineRule="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E0F466A">
      <w:pPr>
        <w:kinsoku/>
        <w:wordWrap/>
        <w:overflowPunct/>
        <w:topLinePunct w:val="0"/>
        <w:autoSpaceDE w:val="0"/>
        <w:autoSpaceDN w:val="0"/>
        <w:bidi w:val="0"/>
        <w:spacing w:line="360" w:lineRule="auto"/>
        <w:jc w:val="center"/>
        <w:outlineLvl w:val="9"/>
        <w:rPr>
          <w:rFonts w:hint="eastAsia" w:ascii="宋体" w:hAnsi="宋体" w:cs="宋体"/>
          <w:b/>
          <w:color w:val="auto"/>
          <w:kern w:val="0"/>
          <w:sz w:val="32"/>
          <w:szCs w:val="32"/>
          <w:highlight w:val="none"/>
          <w:lang w:val="zh-CN"/>
        </w:rPr>
      </w:pPr>
    </w:p>
    <w:p w14:paraId="45C3752B">
      <w:pPr>
        <w:kinsoku/>
        <w:wordWrap/>
        <w:overflowPunct/>
        <w:topLinePunct w:val="0"/>
        <w:autoSpaceDE w:val="0"/>
        <w:autoSpaceDN w:val="0"/>
        <w:bidi w:val="0"/>
        <w:spacing w:line="360" w:lineRule="auto"/>
        <w:jc w:val="center"/>
        <w:outlineLvl w:val="9"/>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w:t>
      </w:r>
      <w:r>
        <w:rPr>
          <w:rFonts w:hint="eastAsia" w:ascii="宋体" w:hAnsi="宋体" w:cs="宋体"/>
          <w:b/>
          <w:color w:val="auto"/>
          <w:sz w:val="30"/>
          <w:szCs w:val="30"/>
          <w:highlight w:val="none"/>
          <w:lang w:eastAsia="zh-CN"/>
        </w:rPr>
        <w:t>供应商</w:t>
      </w:r>
      <w:r>
        <w:rPr>
          <w:rFonts w:hint="eastAsia" w:ascii="宋体" w:hAnsi="宋体" w:cs="宋体"/>
          <w:b/>
          <w:color w:val="auto"/>
          <w:sz w:val="30"/>
          <w:szCs w:val="30"/>
          <w:highlight w:val="none"/>
        </w:rPr>
        <w:t>参加投标）</w:t>
      </w:r>
    </w:p>
    <w:p w14:paraId="1D248428">
      <w:pPr>
        <w:pStyle w:val="150"/>
        <w:kinsoku/>
        <w:wordWrap/>
        <w:overflowPunct/>
        <w:topLinePunct w:val="0"/>
        <w:bidi w:val="0"/>
        <w:spacing w:line="360" w:lineRule="auto"/>
        <w:outlineLvl w:val="9"/>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947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C2E54E4">
            <w:pPr>
              <w:pStyle w:val="150"/>
              <w:keepNext w:val="0"/>
              <w:keepLines w:val="0"/>
              <w:suppressLineNumbers w:val="0"/>
              <w:kinsoku/>
              <w:wordWrap/>
              <w:overflowPunct/>
              <w:topLinePunct w:val="0"/>
              <w:bidi w:val="0"/>
              <w:adjustRightInd w:val="0"/>
              <w:spacing w:before="0" w:beforeAutospacing="0" w:after="0" w:afterAutospacing="0" w:line="360" w:lineRule="auto"/>
              <w:ind w:left="0" w:right="0"/>
              <w:outlineLvl w:val="9"/>
              <w:rPr>
                <w:rFonts w:hint="default" w:hAnsi="宋体" w:cs="宋体"/>
                <w:bCs/>
                <w:color w:val="auto"/>
                <w:sz w:val="24"/>
                <w:highlight w:val="none"/>
              </w:rPr>
            </w:pPr>
            <w:r>
              <w:rPr>
                <w:rFonts w:hint="eastAsia" w:hAnsi="宋体" w:cs="宋体"/>
                <w:bCs/>
                <w:color w:val="auto"/>
                <w:sz w:val="24"/>
                <w:highlight w:val="none"/>
              </w:rPr>
              <w:t>正面：                                 反面：</w:t>
            </w:r>
          </w:p>
          <w:p w14:paraId="476002A6">
            <w:pPr>
              <w:pStyle w:val="150"/>
              <w:keepNext w:val="0"/>
              <w:keepLines w:val="0"/>
              <w:suppressLineNumbers w:val="0"/>
              <w:kinsoku/>
              <w:wordWrap/>
              <w:overflowPunct/>
              <w:topLinePunct w:val="0"/>
              <w:bidi w:val="0"/>
              <w:adjustRightInd w:val="0"/>
              <w:spacing w:before="0" w:beforeAutospacing="0" w:after="0" w:afterAutospacing="0" w:line="360" w:lineRule="auto"/>
              <w:ind w:left="0" w:right="0"/>
              <w:outlineLvl w:val="9"/>
              <w:rPr>
                <w:rFonts w:hint="default" w:hAnsi="宋体" w:cs="宋体"/>
                <w:bCs/>
                <w:color w:val="auto"/>
                <w:sz w:val="24"/>
                <w:highlight w:val="none"/>
              </w:rPr>
            </w:pPr>
          </w:p>
        </w:tc>
      </w:tr>
    </w:tbl>
    <w:p w14:paraId="07E8522B">
      <w:pPr>
        <w:kinsoku/>
        <w:wordWrap/>
        <w:overflowPunct/>
        <w:topLinePunct w:val="0"/>
        <w:bidi w:val="0"/>
        <w:snapToGrid w:val="0"/>
        <w:spacing w:line="360" w:lineRule="auto"/>
        <w:ind w:firstLine="576"/>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26D7674">
      <w:pPr>
        <w:kinsoku/>
        <w:wordWrap/>
        <w:overflowPunct/>
        <w:topLinePunct w:val="0"/>
        <w:bidi w:val="0"/>
        <w:snapToGrid w:val="0"/>
        <w:spacing w:line="360" w:lineRule="auto"/>
        <w:ind w:firstLine="576"/>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79FFA513">
      <w:pPr>
        <w:kinsoku/>
        <w:wordWrap/>
        <w:overflowPunct/>
        <w:topLinePunct w:val="0"/>
        <w:bidi w:val="0"/>
        <w:spacing w:line="360" w:lineRule="auto"/>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C6495BB">
      <w:pPr>
        <w:kinsoku/>
        <w:wordWrap/>
        <w:overflowPunct/>
        <w:topLinePunct w:val="0"/>
        <w:bidi w:val="0"/>
        <w:jc w:val="center"/>
        <w:outlineLvl w:val="9"/>
        <w:rPr>
          <w:rFonts w:ascii="宋体" w:hAnsi="宋体" w:cs="宋体"/>
          <w:b/>
          <w:color w:val="auto"/>
          <w:kern w:val="0"/>
          <w:sz w:val="32"/>
          <w:szCs w:val="32"/>
          <w:highlight w:val="none"/>
        </w:rPr>
      </w:pPr>
    </w:p>
    <w:p w14:paraId="151BA0E4">
      <w:pPr>
        <w:kinsoku/>
        <w:wordWrap/>
        <w:overflowPunct/>
        <w:topLinePunct w:val="0"/>
        <w:bidi w:val="0"/>
        <w:jc w:val="center"/>
        <w:outlineLvl w:val="9"/>
        <w:rPr>
          <w:rFonts w:ascii="宋体" w:hAnsi="宋体" w:cs="宋体"/>
          <w:b/>
          <w:color w:val="auto"/>
          <w:kern w:val="0"/>
          <w:sz w:val="32"/>
          <w:szCs w:val="32"/>
          <w:highlight w:val="none"/>
        </w:rPr>
      </w:pPr>
    </w:p>
    <w:p w14:paraId="3FEA4D14">
      <w:pPr>
        <w:kinsoku/>
        <w:wordWrap/>
        <w:overflowPunct/>
        <w:topLinePunct w:val="0"/>
        <w:bidi w:val="0"/>
        <w:jc w:val="center"/>
        <w:outlineLvl w:val="9"/>
        <w:rPr>
          <w:rFonts w:ascii="宋体" w:hAnsi="宋体" w:cs="宋体"/>
          <w:b/>
          <w:color w:val="auto"/>
          <w:kern w:val="0"/>
          <w:sz w:val="32"/>
          <w:szCs w:val="32"/>
          <w:highlight w:val="none"/>
        </w:rPr>
      </w:pPr>
    </w:p>
    <w:p w14:paraId="7F09F0E0">
      <w:pPr>
        <w:kinsoku/>
        <w:wordWrap/>
        <w:overflowPunct/>
        <w:topLinePunct w:val="0"/>
        <w:bidi w:val="0"/>
        <w:jc w:val="center"/>
        <w:outlineLvl w:val="9"/>
        <w:rPr>
          <w:rFonts w:ascii="宋体" w:hAnsi="宋体" w:cs="宋体"/>
          <w:b/>
          <w:color w:val="auto"/>
          <w:kern w:val="0"/>
          <w:sz w:val="32"/>
          <w:szCs w:val="32"/>
          <w:highlight w:val="none"/>
        </w:rPr>
      </w:pPr>
    </w:p>
    <w:p w14:paraId="5673E2D0">
      <w:pPr>
        <w:kinsoku/>
        <w:wordWrap/>
        <w:overflowPunct/>
        <w:topLinePunct w:val="0"/>
        <w:bidi w:val="0"/>
        <w:jc w:val="center"/>
        <w:outlineLvl w:val="9"/>
        <w:rPr>
          <w:rFonts w:ascii="宋体" w:hAnsi="宋体" w:cs="宋体"/>
          <w:b/>
          <w:color w:val="auto"/>
          <w:kern w:val="0"/>
          <w:sz w:val="32"/>
          <w:szCs w:val="32"/>
          <w:highlight w:val="none"/>
        </w:rPr>
      </w:pPr>
    </w:p>
    <w:p w14:paraId="393B2F36">
      <w:pPr>
        <w:kinsoku/>
        <w:wordWrap/>
        <w:overflowPunct/>
        <w:topLinePunct w:val="0"/>
        <w:bidi w:val="0"/>
        <w:jc w:val="center"/>
        <w:outlineLvl w:val="9"/>
        <w:rPr>
          <w:rFonts w:ascii="宋体" w:hAnsi="宋体" w:cs="宋体"/>
          <w:b/>
          <w:color w:val="auto"/>
          <w:kern w:val="0"/>
          <w:sz w:val="32"/>
          <w:szCs w:val="32"/>
          <w:highlight w:val="none"/>
        </w:rPr>
      </w:pPr>
    </w:p>
    <w:p w14:paraId="7B46E05F">
      <w:pPr>
        <w:kinsoku/>
        <w:wordWrap/>
        <w:overflowPunct/>
        <w:topLinePunct w:val="0"/>
        <w:bidi w:val="0"/>
        <w:jc w:val="center"/>
        <w:outlineLvl w:val="9"/>
        <w:rPr>
          <w:rFonts w:ascii="宋体" w:hAnsi="宋体" w:cs="宋体"/>
          <w:b/>
          <w:color w:val="auto"/>
          <w:kern w:val="0"/>
          <w:sz w:val="32"/>
          <w:szCs w:val="32"/>
          <w:highlight w:val="none"/>
        </w:rPr>
      </w:pPr>
    </w:p>
    <w:p w14:paraId="4E8AE430">
      <w:pPr>
        <w:kinsoku/>
        <w:wordWrap/>
        <w:overflowPunct/>
        <w:topLinePunct w:val="0"/>
        <w:bidi w:val="0"/>
        <w:jc w:val="center"/>
        <w:outlineLvl w:val="9"/>
        <w:rPr>
          <w:rFonts w:ascii="宋体" w:hAnsi="宋体" w:cs="宋体"/>
          <w:b/>
          <w:color w:val="auto"/>
          <w:kern w:val="0"/>
          <w:sz w:val="32"/>
          <w:szCs w:val="32"/>
          <w:highlight w:val="none"/>
        </w:rPr>
      </w:pPr>
    </w:p>
    <w:p w14:paraId="4D2F8BD4">
      <w:pPr>
        <w:kinsoku/>
        <w:wordWrap/>
        <w:overflowPunct/>
        <w:topLinePunct w:val="0"/>
        <w:bidi w:val="0"/>
        <w:jc w:val="center"/>
        <w:outlineLvl w:val="9"/>
        <w:rPr>
          <w:rFonts w:ascii="宋体" w:hAnsi="宋体" w:cs="宋体"/>
          <w:b/>
          <w:color w:val="auto"/>
          <w:kern w:val="0"/>
          <w:sz w:val="32"/>
          <w:szCs w:val="32"/>
          <w:highlight w:val="none"/>
        </w:rPr>
      </w:pPr>
    </w:p>
    <w:p w14:paraId="057FEB41">
      <w:pPr>
        <w:kinsoku/>
        <w:wordWrap/>
        <w:overflowPunct/>
        <w:topLinePunct w:val="0"/>
        <w:bidi w:val="0"/>
        <w:jc w:val="center"/>
        <w:outlineLvl w:val="9"/>
        <w:rPr>
          <w:rFonts w:ascii="宋体" w:hAnsi="宋体" w:cs="宋体"/>
          <w:b/>
          <w:color w:val="auto"/>
          <w:kern w:val="0"/>
          <w:sz w:val="32"/>
          <w:szCs w:val="32"/>
          <w:highlight w:val="none"/>
        </w:rPr>
      </w:pPr>
    </w:p>
    <w:p w14:paraId="0F1D506E">
      <w:pPr>
        <w:kinsoku/>
        <w:wordWrap/>
        <w:overflowPunct/>
        <w:topLinePunct w:val="0"/>
        <w:bidi w:val="0"/>
        <w:snapToGrid w:val="0"/>
        <w:spacing w:line="360" w:lineRule="auto"/>
        <w:ind w:right="480"/>
        <w:outlineLvl w:val="9"/>
        <w:rPr>
          <w:rFonts w:ascii="宋体" w:hAnsi="宋体" w:cs="宋体"/>
          <w:b/>
          <w:color w:val="auto"/>
          <w:kern w:val="0"/>
          <w:sz w:val="32"/>
          <w:szCs w:val="32"/>
          <w:highlight w:val="none"/>
        </w:rPr>
        <w:sectPr>
          <w:headerReference r:id="rId7" w:type="first"/>
          <w:footerReference r:id="rId9" w:type="first"/>
          <w:headerReference r:id="rId6" w:type="default"/>
          <w:footerReference r:id="rId8" w:type="default"/>
          <w:pgSz w:w="11906" w:h="16838"/>
          <w:pgMar w:top="1276" w:right="1418" w:bottom="1247" w:left="1418" w:header="851" w:footer="992" w:gutter="0"/>
          <w:pgNumType w:fmt="decimal"/>
          <w:cols w:space="720" w:num="1"/>
          <w:titlePg/>
          <w:docGrid w:linePitch="312" w:charSpace="0"/>
        </w:sectPr>
      </w:pPr>
    </w:p>
    <w:p w14:paraId="6AA93324">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2A3422C">
      <w:pPr>
        <w:widowControl/>
        <w:kinsoku/>
        <w:wordWrap/>
        <w:overflowPunct/>
        <w:topLinePunct w:val="0"/>
        <w:bidi w:val="0"/>
        <w:spacing w:line="360" w:lineRule="auto"/>
        <w:ind w:firstLine="120" w:firstLineChars="50"/>
        <w:jc w:val="left"/>
        <w:outlineLvl w:val="9"/>
        <w:rPr>
          <w:rFonts w:ascii="宋体" w:hAnsi="宋体" w:cs="宋体"/>
          <w:color w:val="auto"/>
          <w:sz w:val="24"/>
          <w:highlight w:val="none"/>
        </w:rPr>
      </w:pPr>
      <w:bookmarkStart w:id="934"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lang w:eastAsia="zh-CN"/>
        </w:rPr>
        <w:t>；</w:t>
      </w:r>
      <w:r>
        <w:rPr>
          <w:rFonts w:hint="eastAsia" w:ascii="宋体" w:hAnsi="宋体" w:cs="宋体"/>
          <w:b/>
          <w:color w:val="auto"/>
          <w:sz w:val="24"/>
          <w:highlight w:val="none"/>
        </w:rPr>
        <w:t>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中标后不以分包方式履行合同的，则不需要提供。</w:t>
      </w:r>
      <w:r>
        <w:rPr>
          <w:rFonts w:hint="eastAsia" w:ascii="宋体" w:hAnsi="宋体" w:cs="宋体"/>
          <w:color w:val="auto"/>
          <w:sz w:val="24"/>
          <w:highlight w:val="none"/>
        </w:rPr>
        <w:t>]</w:t>
      </w:r>
    </w:p>
    <w:bookmarkEnd w:id="934"/>
    <w:p w14:paraId="3B02F465">
      <w:pPr>
        <w:kinsoku/>
        <w:wordWrap/>
        <w:overflowPunct/>
        <w:topLinePunct w:val="0"/>
        <w:bidi w:val="0"/>
        <w:snapToGrid w:val="0"/>
        <w:spacing w:line="360" w:lineRule="auto"/>
        <w:outlineLvl w:val="9"/>
        <w:rPr>
          <w:rFonts w:ascii="宋体" w:hAnsi="宋体" w:cs="宋体"/>
          <w:color w:val="auto"/>
          <w:kern w:val="0"/>
          <w:sz w:val="24"/>
          <w:highlight w:val="none"/>
        </w:rPr>
      </w:pPr>
    </w:p>
    <w:p w14:paraId="774BB30C">
      <w:pPr>
        <w:kinsoku/>
        <w:wordWrap/>
        <w:overflowPunct/>
        <w:topLinePunct w:val="0"/>
        <w:bidi w:val="0"/>
        <w:jc w:val="center"/>
        <w:outlineLvl w:val="9"/>
        <w:rPr>
          <w:rFonts w:ascii="宋体" w:hAnsi="宋体" w:cs="宋体"/>
          <w:b/>
          <w:color w:val="auto"/>
          <w:kern w:val="0"/>
          <w:sz w:val="32"/>
          <w:szCs w:val="32"/>
          <w:highlight w:val="none"/>
        </w:rPr>
      </w:pPr>
    </w:p>
    <w:p w14:paraId="36BB8A0F">
      <w:pPr>
        <w:kinsoku/>
        <w:wordWrap/>
        <w:overflowPunct/>
        <w:topLinePunct w:val="0"/>
        <w:bidi w:val="0"/>
        <w:jc w:val="both"/>
        <w:outlineLvl w:val="9"/>
        <w:rPr>
          <w:rFonts w:ascii="宋体" w:hAnsi="宋体" w:cs="宋体"/>
          <w:b/>
          <w:color w:val="auto"/>
          <w:kern w:val="0"/>
          <w:sz w:val="32"/>
          <w:szCs w:val="32"/>
          <w:highlight w:val="none"/>
        </w:rPr>
      </w:pPr>
    </w:p>
    <w:p w14:paraId="63164B16">
      <w:pPr>
        <w:kinsoku/>
        <w:wordWrap/>
        <w:overflowPunct/>
        <w:topLinePunct w:val="0"/>
        <w:bidi w:val="0"/>
        <w:jc w:val="center"/>
        <w:outlineLvl w:val="9"/>
        <w:rPr>
          <w:rFonts w:hint="eastAsia" w:ascii="宋体" w:hAnsi="宋体" w:cs="宋体"/>
          <w:color w:val="auto"/>
          <w:sz w:val="24"/>
          <w:highlight w:val="none"/>
        </w:rPr>
      </w:pPr>
      <w:r>
        <w:rPr>
          <w:rFonts w:hint="eastAsia" w:ascii="宋体" w:hAnsi="宋体" w:cs="宋体"/>
          <w:b/>
          <w:color w:val="auto"/>
          <w:kern w:val="0"/>
          <w:sz w:val="32"/>
          <w:szCs w:val="32"/>
          <w:highlight w:val="none"/>
        </w:rPr>
        <w:t>四、符合性审查资料</w:t>
      </w:r>
    </w:p>
    <w:p w14:paraId="23B69944">
      <w:pPr>
        <w:kinsoku/>
        <w:wordWrap/>
        <w:overflowPunct/>
        <w:topLinePunct w:val="0"/>
        <w:bidi w:val="0"/>
        <w:spacing w:line="360" w:lineRule="auto"/>
        <w:ind w:right="420"/>
        <w:outlineLvl w:val="9"/>
        <w:rPr>
          <w:rFonts w:hint="eastAsia" w:ascii="宋体" w:hAnsi="宋体" w:cs="宋体"/>
          <w:color w:val="auto"/>
          <w:sz w:val="24"/>
          <w:highlight w:val="none"/>
        </w:rPr>
      </w:pPr>
    </w:p>
    <w:tbl>
      <w:tblPr>
        <w:tblStyle w:val="62"/>
        <w:tblW w:w="11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150"/>
        <w:gridCol w:w="4110"/>
        <w:gridCol w:w="2811"/>
      </w:tblGrid>
      <w:tr w14:paraId="2CB39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967" w:type="dxa"/>
            <w:noWrap w:val="0"/>
            <w:vAlign w:val="center"/>
          </w:tcPr>
          <w:p w14:paraId="3805D5CF">
            <w:pPr>
              <w:keepNext w:val="0"/>
              <w:keepLines w:val="0"/>
              <w:suppressLineNumbers w:val="0"/>
              <w:spacing w:before="0" w:beforeAutospacing="0" w:after="0" w:afterAutospacing="0" w:line="360" w:lineRule="exact"/>
              <w:ind w:left="0" w:right="0"/>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3150" w:type="dxa"/>
            <w:noWrap w:val="0"/>
            <w:vAlign w:val="center"/>
          </w:tcPr>
          <w:p w14:paraId="3EA490AA">
            <w:pPr>
              <w:keepNext w:val="0"/>
              <w:keepLines w:val="0"/>
              <w:suppressLineNumbers w:val="0"/>
              <w:spacing w:before="0" w:beforeAutospacing="0" w:after="0" w:afterAutospacing="0" w:line="360" w:lineRule="exact"/>
              <w:ind w:left="0" w:right="0"/>
              <w:jc w:val="center"/>
              <w:rPr>
                <w:rFonts w:hint="eastAsia" w:ascii="宋体" w:hAnsi="宋体"/>
                <w:b/>
                <w:color w:val="auto"/>
                <w:szCs w:val="21"/>
                <w:highlight w:val="none"/>
              </w:rPr>
            </w:pPr>
            <w:r>
              <w:rPr>
                <w:rFonts w:hint="eastAsia" w:ascii="宋体" w:hAnsi="宋体"/>
                <w:b/>
                <w:color w:val="auto"/>
                <w:szCs w:val="21"/>
                <w:highlight w:val="none"/>
              </w:rPr>
              <w:t>审查项目</w:t>
            </w:r>
          </w:p>
        </w:tc>
        <w:tc>
          <w:tcPr>
            <w:tcW w:w="4110" w:type="dxa"/>
            <w:noWrap w:val="0"/>
            <w:vAlign w:val="center"/>
          </w:tcPr>
          <w:p w14:paraId="3C97EA2B">
            <w:pPr>
              <w:keepNext w:val="0"/>
              <w:keepLines w:val="0"/>
              <w:suppressLineNumbers w:val="0"/>
              <w:spacing w:before="0" w:beforeAutospacing="0" w:after="0" w:afterAutospacing="0" w:line="360" w:lineRule="exact"/>
              <w:ind w:left="0" w:right="0"/>
              <w:jc w:val="center"/>
              <w:rPr>
                <w:rFonts w:hint="eastAsia" w:ascii="宋体" w:hAnsi="宋体"/>
                <w:b/>
                <w:color w:val="auto"/>
                <w:szCs w:val="21"/>
                <w:highlight w:val="none"/>
              </w:rPr>
            </w:pPr>
            <w:r>
              <w:rPr>
                <w:rFonts w:hint="eastAsia" w:ascii="宋体" w:hAnsi="宋体"/>
                <w:b/>
                <w:color w:val="auto"/>
                <w:szCs w:val="21"/>
                <w:highlight w:val="none"/>
              </w:rPr>
              <w:t>要求</w:t>
            </w:r>
          </w:p>
        </w:tc>
        <w:tc>
          <w:tcPr>
            <w:tcW w:w="2811" w:type="dxa"/>
            <w:noWrap w:val="0"/>
            <w:vAlign w:val="center"/>
          </w:tcPr>
          <w:p w14:paraId="50402DE7">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投标文件中的</w:t>
            </w:r>
          </w:p>
          <w:p w14:paraId="7ED39869">
            <w:pPr>
              <w:keepNext w:val="0"/>
              <w:keepLines w:val="0"/>
              <w:suppressLineNumbers w:val="0"/>
              <w:spacing w:before="0" w:beforeAutospacing="0" w:after="0" w:afterAutospacing="0" w:line="360" w:lineRule="exact"/>
              <w:ind w:left="0" w:right="0"/>
              <w:jc w:val="center"/>
              <w:rPr>
                <w:rFonts w:hint="eastAsia" w:ascii="宋体" w:hAnsi="宋体"/>
                <w:b/>
                <w:color w:val="auto"/>
                <w:szCs w:val="21"/>
                <w:highlight w:val="none"/>
              </w:rPr>
            </w:pPr>
            <w:r>
              <w:rPr>
                <w:rFonts w:hint="eastAsia" w:ascii="宋体" w:hAnsi="宋体" w:cs="宋体"/>
                <w:b/>
                <w:color w:val="auto"/>
                <w:sz w:val="24"/>
                <w:highlight w:val="none"/>
              </w:rPr>
              <w:t>页码位置</w:t>
            </w:r>
          </w:p>
        </w:tc>
      </w:tr>
      <w:tr w14:paraId="65CDC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noWrap w:val="0"/>
            <w:vAlign w:val="center"/>
          </w:tcPr>
          <w:p w14:paraId="1E756110">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r>
              <w:rPr>
                <w:rFonts w:hint="default" w:ascii="宋体" w:hAnsi="宋体"/>
                <w:color w:val="auto"/>
                <w:szCs w:val="21"/>
                <w:highlight w:val="none"/>
              </w:rPr>
              <w:t>1</w:t>
            </w:r>
          </w:p>
        </w:tc>
        <w:tc>
          <w:tcPr>
            <w:tcW w:w="3150" w:type="dxa"/>
            <w:noWrap w:val="0"/>
            <w:vAlign w:val="center"/>
          </w:tcPr>
          <w:p w14:paraId="4128A952">
            <w:pPr>
              <w:keepNext w:val="0"/>
              <w:keepLines w:val="0"/>
              <w:suppressLineNumbers w:val="0"/>
              <w:spacing w:before="0" w:beforeAutospacing="0" w:after="0" w:afterAutospacing="0" w:line="360" w:lineRule="exact"/>
              <w:ind w:left="0" w:right="0"/>
              <w:rPr>
                <w:rFonts w:hint="default" w:ascii="宋体" w:hAnsi="宋体"/>
                <w:color w:val="auto"/>
                <w:szCs w:val="21"/>
                <w:highlight w:val="none"/>
              </w:rPr>
            </w:pPr>
            <w:r>
              <w:rPr>
                <w:rFonts w:hint="eastAsia" w:ascii="宋体" w:hAnsi="宋体"/>
                <w:color w:val="auto"/>
                <w:szCs w:val="21"/>
                <w:highlight w:val="none"/>
              </w:rPr>
              <w:t>磋商有效期：符合第</w:t>
            </w:r>
            <w:r>
              <w:rPr>
                <w:rFonts w:hint="eastAsia" w:ascii="宋体" w:hAnsi="宋体"/>
                <w:color w:val="auto"/>
                <w:szCs w:val="21"/>
                <w:highlight w:val="none"/>
                <w:lang w:eastAsia="zh-CN"/>
              </w:rPr>
              <w:t>二</w:t>
            </w:r>
            <w:r>
              <w:rPr>
                <w:rFonts w:hint="eastAsia" w:ascii="宋体" w:hAnsi="宋体"/>
                <w:color w:val="auto"/>
                <w:szCs w:val="21"/>
                <w:highlight w:val="none"/>
                <w:lang w:val="en-US" w:eastAsia="zh-CN"/>
              </w:rPr>
              <w:t>部分</w:t>
            </w:r>
            <w:r>
              <w:rPr>
                <w:rFonts w:hint="eastAsia" w:ascii="宋体" w:hAnsi="宋体"/>
                <w:color w:val="auto"/>
                <w:szCs w:val="21"/>
                <w:highlight w:val="none"/>
              </w:rPr>
              <w:t>第六条的要求。</w:t>
            </w:r>
          </w:p>
        </w:tc>
        <w:tc>
          <w:tcPr>
            <w:tcW w:w="4110" w:type="dxa"/>
            <w:noWrap w:val="0"/>
            <w:vAlign w:val="center"/>
          </w:tcPr>
          <w:p w14:paraId="3D95E008">
            <w:pPr>
              <w:keepNext w:val="0"/>
              <w:keepLines w:val="0"/>
              <w:suppressLineNumbers w:val="0"/>
              <w:spacing w:before="0" w:beforeAutospacing="0" w:after="0" w:afterAutospacing="0" w:line="360" w:lineRule="exact"/>
              <w:ind w:left="0" w:right="0"/>
              <w:rPr>
                <w:rFonts w:hint="default" w:ascii="宋体" w:hAnsi="宋体"/>
                <w:color w:val="auto"/>
                <w:szCs w:val="21"/>
                <w:highlight w:val="none"/>
              </w:rPr>
            </w:pPr>
            <w:r>
              <w:rPr>
                <w:rFonts w:hint="eastAsia" w:ascii="宋体" w:hAnsi="宋体"/>
                <w:color w:val="auto"/>
                <w:szCs w:val="21"/>
                <w:highlight w:val="none"/>
              </w:rPr>
              <w:t>提供“磋商函”</w:t>
            </w:r>
            <w:r>
              <w:rPr>
                <w:rFonts w:hint="eastAsia" w:ascii="宋体" w:hAnsi="宋体" w:cs="宋体"/>
                <w:color w:val="auto"/>
                <w:szCs w:val="21"/>
                <w:highlight w:val="none"/>
              </w:rPr>
              <w:t>。</w:t>
            </w:r>
          </w:p>
        </w:tc>
        <w:tc>
          <w:tcPr>
            <w:tcW w:w="2811" w:type="dxa"/>
            <w:noWrap w:val="0"/>
            <w:vAlign w:val="center"/>
          </w:tcPr>
          <w:p w14:paraId="21B3CF06">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419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7" w:type="dxa"/>
            <w:noWrap w:val="0"/>
            <w:vAlign w:val="center"/>
          </w:tcPr>
          <w:p w14:paraId="4AE027E4">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r>
              <w:rPr>
                <w:rFonts w:hint="default" w:ascii="宋体" w:hAnsi="宋体"/>
                <w:color w:val="auto"/>
                <w:szCs w:val="21"/>
                <w:highlight w:val="none"/>
              </w:rPr>
              <w:t>2</w:t>
            </w:r>
          </w:p>
        </w:tc>
        <w:tc>
          <w:tcPr>
            <w:tcW w:w="3150" w:type="dxa"/>
            <w:noWrap w:val="0"/>
            <w:vAlign w:val="center"/>
          </w:tcPr>
          <w:p w14:paraId="6DEED592">
            <w:pPr>
              <w:keepNext w:val="0"/>
              <w:keepLines w:val="0"/>
              <w:suppressLineNumbers w:val="0"/>
              <w:spacing w:before="0" w:beforeAutospacing="0" w:after="0" w:afterAutospacing="0" w:line="360" w:lineRule="exact"/>
              <w:ind w:left="0" w:right="0"/>
              <w:rPr>
                <w:rFonts w:hint="default" w:ascii="宋体" w:hAnsi="宋体"/>
                <w:color w:val="auto"/>
                <w:szCs w:val="21"/>
                <w:highlight w:val="none"/>
              </w:rPr>
            </w:pPr>
            <w:r>
              <w:rPr>
                <w:rFonts w:hint="eastAsia" w:ascii="宋体" w:hAnsi="宋体"/>
                <w:color w:val="auto"/>
                <w:szCs w:val="21"/>
                <w:highlight w:val="none"/>
              </w:rPr>
              <w:t>法定代表人身份证明、法定代表人授权书。</w:t>
            </w:r>
          </w:p>
        </w:tc>
        <w:tc>
          <w:tcPr>
            <w:tcW w:w="4110" w:type="dxa"/>
            <w:noWrap w:val="0"/>
            <w:vAlign w:val="center"/>
          </w:tcPr>
          <w:p w14:paraId="27918DC7">
            <w:pPr>
              <w:keepNext w:val="0"/>
              <w:keepLines w:val="0"/>
              <w:suppressLineNumbers w:val="0"/>
              <w:spacing w:before="0" w:beforeAutospacing="0" w:after="0" w:afterAutospacing="0" w:line="360" w:lineRule="exact"/>
              <w:ind w:left="0" w:right="0"/>
              <w:rPr>
                <w:rFonts w:hint="default"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磋商响应文件由法定代表人签字的，提供“法定代表人身份证明”</w:t>
            </w:r>
            <w:r>
              <w:rPr>
                <w:rFonts w:hint="eastAsia" w:ascii="宋体" w:hAnsi="宋体" w:cs="宋体"/>
                <w:color w:val="auto"/>
                <w:szCs w:val="21"/>
                <w:highlight w:val="none"/>
              </w:rPr>
              <w:t>。</w:t>
            </w:r>
          </w:p>
          <w:p w14:paraId="4B258D18">
            <w:pPr>
              <w:keepNext w:val="0"/>
              <w:keepLines w:val="0"/>
              <w:suppressLineNumbers w:val="0"/>
              <w:spacing w:before="0" w:beforeAutospacing="0" w:after="0" w:afterAutospacing="0" w:line="360" w:lineRule="exact"/>
              <w:ind w:left="0" w:right="0"/>
              <w:rPr>
                <w:rFonts w:hint="default"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磋商响应文件由授权代表签字的，提供“法定代表人身份证明”和“法定代表人授权书”。</w:t>
            </w:r>
          </w:p>
        </w:tc>
        <w:tc>
          <w:tcPr>
            <w:tcW w:w="2811" w:type="dxa"/>
            <w:noWrap w:val="0"/>
            <w:vAlign w:val="center"/>
          </w:tcPr>
          <w:p w14:paraId="6BB76F3A">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lang w:val="en-US" w:eastAsia="zh-CN"/>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C546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7" w:type="dxa"/>
            <w:noWrap w:val="0"/>
            <w:vAlign w:val="center"/>
          </w:tcPr>
          <w:p w14:paraId="494678FC">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r>
              <w:rPr>
                <w:rFonts w:hint="default" w:ascii="宋体" w:hAnsi="宋体"/>
                <w:color w:val="auto"/>
                <w:szCs w:val="21"/>
                <w:highlight w:val="none"/>
              </w:rPr>
              <w:t>3</w:t>
            </w:r>
          </w:p>
        </w:tc>
        <w:tc>
          <w:tcPr>
            <w:tcW w:w="3150" w:type="dxa"/>
            <w:noWrap w:val="0"/>
            <w:vAlign w:val="center"/>
          </w:tcPr>
          <w:p w14:paraId="3A522B81">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磋商响应文件的签署盖章</w:t>
            </w:r>
          </w:p>
        </w:tc>
        <w:tc>
          <w:tcPr>
            <w:tcW w:w="4110" w:type="dxa"/>
            <w:noWrap w:val="0"/>
            <w:vAlign w:val="center"/>
          </w:tcPr>
          <w:p w14:paraId="5FDF4D5F">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符合第</w:t>
            </w:r>
            <w:r>
              <w:rPr>
                <w:rFonts w:hint="eastAsia" w:ascii="宋体" w:hAnsi="宋体"/>
                <w:color w:val="auto"/>
                <w:szCs w:val="21"/>
                <w:highlight w:val="none"/>
                <w:lang w:val="en-US" w:eastAsia="zh-CN"/>
              </w:rPr>
              <w:t>三部分</w:t>
            </w:r>
            <w:r>
              <w:rPr>
                <w:rFonts w:hint="eastAsia" w:ascii="宋体" w:hAnsi="宋体"/>
                <w:color w:val="auto"/>
                <w:szCs w:val="21"/>
                <w:highlight w:val="none"/>
              </w:rPr>
              <w:t>“磋商须知”第九、1条的要求</w:t>
            </w:r>
          </w:p>
        </w:tc>
        <w:tc>
          <w:tcPr>
            <w:tcW w:w="2811" w:type="dxa"/>
            <w:noWrap w:val="0"/>
            <w:vAlign w:val="center"/>
          </w:tcPr>
          <w:p w14:paraId="1761A6D0">
            <w:pPr>
              <w:keepNext w:val="0"/>
              <w:keepLines w:val="0"/>
              <w:suppressLineNumbers w:val="0"/>
              <w:spacing w:before="0" w:beforeAutospacing="0" w:after="0" w:afterAutospacing="0" w:line="360" w:lineRule="exact"/>
              <w:ind w:left="0" w:right="0"/>
              <w:jc w:val="center"/>
              <w:rPr>
                <w:rFonts w:hint="eastAsia" w:ascii="宋体" w:hAnsi="宋体" w:eastAsia="宋体"/>
                <w:color w:val="auto"/>
                <w:szCs w:val="21"/>
                <w:highlight w:val="none"/>
                <w:lang w:eastAsia="zh-CN"/>
              </w:rPr>
            </w:pPr>
            <w:r>
              <w:rPr>
                <w:rFonts w:hint="eastAsia" w:ascii="宋体" w:hAnsi="宋体" w:cs="宋体"/>
                <w:color w:val="auto"/>
                <w:sz w:val="24"/>
                <w:highlight w:val="none"/>
                <w:lang w:val="en-US" w:eastAsia="zh-CN"/>
              </w:rPr>
              <w:t>/</w:t>
            </w:r>
          </w:p>
        </w:tc>
      </w:tr>
      <w:tr w14:paraId="40F4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67" w:type="dxa"/>
            <w:vMerge w:val="restart"/>
            <w:noWrap w:val="0"/>
            <w:vAlign w:val="center"/>
          </w:tcPr>
          <w:p w14:paraId="14665C67">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r>
              <w:rPr>
                <w:rFonts w:hint="default" w:ascii="宋体" w:hAnsi="宋体"/>
                <w:color w:val="auto"/>
                <w:szCs w:val="21"/>
                <w:highlight w:val="none"/>
              </w:rPr>
              <w:t>4</w:t>
            </w:r>
          </w:p>
        </w:tc>
        <w:tc>
          <w:tcPr>
            <w:tcW w:w="3150" w:type="dxa"/>
            <w:vMerge w:val="restart"/>
            <w:noWrap w:val="0"/>
            <w:vAlign w:val="center"/>
          </w:tcPr>
          <w:p w14:paraId="69D028D4">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其他</w:t>
            </w:r>
          </w:p>
        </w:tc>
        <w:tc>
          <w:tcPr>
            <w:tcW w:w="4110" w:type="dxa"/>
            <w:noWrap w:val="0"/>
            <w:vAlign w:val="center"/>
          </w:tcPr>
          <w:p w14:paraId="17DD4A18">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对同个</w:t>
            </w:r>
            <w:r>
              <w:rPr>
                <w:rFonts w:hint="eastAsia" w:ascii="宋体" w:hAnsi="宋体"/>
                <w:color w:val="auto"/>
                <w:szCs w:val="21"/>
                <w:highlight w:val="none"/>
                <w:lang w:val="en-US" w:eastAsia="zh-CN"/>
              </w:rPr>
              <w:t>标项</w:t>
            </w:r>
            <w:r>
              <w:rPr>
                <w:rFonts w:hint="eastAsia" w:ascii="宋体" w:hAnsi="宋体"/>
                <w:color w:val="auto"/>
                <w:szCs w:val="21"/>
                <w:highlight w:val="none"/>
              </w:rPr>
              <w:t>不允许提供两个磋商方案</w:t>
            </w:r>
          </w:p>
        </w:tc>
        <w:tc>
          <w:tcPr>
            <w:tcW w:w="2811" w:type="dxa"/>
            <w:noWrap w:val="0"/>
            <w:vAlign w:val="center"/>
          </w:tcPr>
          <w:p w14:paraId="2DED51D8">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lang w:val="en-US" w:eastAsia="zh-CN"/>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57C8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noWrap w:val="0"/>
            <w:vAlign w:val="center"/>
          </w:tcPr>
          <w:p w14:paraId="594B1CEC">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p>
        </w:tc>
        <w:tc>
          <w:tcPr>
            <w:tcW w:w="3150" w:type="dxa"/>
            <w:vMerge w:val="continue"/>
            <w:noWrap w:val="0"/>
            <w:vAlign w:val="center"/>
          </w:tcPr>
          <w:p w14:paraId="28AF64D2">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4110" w:type="dxa"/>
            <w:noWrap w:val="0"/>
            <w:vAlign w:val="center"/>
          </w:tcPr>
          <w:p w14:paraId="11625705">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不允许出现与磋商文件有重大偏离的磋商响应文件</w:t>
            </w:r>
          </w:p>
        </w:tc>
        <w:tc>
          <w:tcPr>
            <w:tcW w:w="2811" w:type="dxa"/>
            <w:noWrap w:val="0"/>
            <w:vAlign w:val="center"/>
          </w:tcPr>
          <w:p w14:paraId="76E15657">
            <w:pPr>
              <w:keepNext w:val="0"/>
              <w:keepLines w:val="0"/>
              <w:suppressLineNumbers w:val="0"/>
              <w:kinsoku/>
              <w:wordWrap/>
              <w:overflowPunct/>
              <w:topLinePunct w:val="0"/>
              <w:bidi w:val="0"/>
              <w:spacing w:before="0" w:beforeAutospacing="0" w:after="0" w:afterAutospacing="0" w:line="360" w:lineRule="exact"/>
              <w:ind w:left="0" w:leftChars="0" w:right="0" w:rightChars="0"/>
              <w:jc w:val="center"/>
              <w:outlineLvl w:val="9"/>
              <w:rPr>
                <w:rFonts w:hint="eastAsia" w:ascii="宋体" w:hAnsi="宋体"/>
                <w:color w:val="auto"/>
                <w:szCs w:val="21"/>
                <w:highlight w:val="none"/>
                <w:lang w:val="en-US" w:eastAsia="zh-CN"/>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FDC1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noWrap w:val="0"/>
            <w:vAlign w:val="center"/>
          </w:tcPr>
          <w:p w14:paraId="4CCAF1AC">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p>
        </w:tc>
        <w:tc>
          <w:tcPr>
            <w:tcW w:w="3150" w:type="dxa"/>
            <w:vMerge w:val="continue"/>
            <w:noWrap w:val="0"/>
            <w:vAlign w:val="center"/>
          </w:tcPr>
          <w:p w14:paraId="199BF3C6">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4110" w:type="dxa"/>
            <w:noWrap w:val="0"/>
            <w:vAlign w:val="center"/>
          </w:tcPr>
          <w:p w14:paraId="1A5EF897">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default" w:ascii="宋体" w:hAnsi="宋体"/>
                <w:color w:val="auto"/>
                <w:szCs w:val="21"/>
                <w:highlight w:val="none"/>
              </w:rPr>
              <w:t>供应商</w:t>
            </w:r>
            <w:r>
              <w:rPr>
                <w:rFonts w:hint="eastAsia" w:ascii="宋体" w:hAnsi="宋体"/>
                <w:color w:val="auto"/>
                <w:szCs w:val="21"/>
                <w:highlight w:val="none"/>
              </w:rPr>
              <w:t>不得</w:t>
            </w:r>
            <w:r>
              <w:rPr>
                <w:rFonts w:hint="default" w:ascii="宋体" w:hAnsi="宋体"/>
                <w:color w:val="auto"/>
                <w:szCs w:val="21"/>
                <w:highlight w:val="none"/>
              </w:rPr>
              <w:t>在</w:t>
            </w:r>
            <w:r>
              <w:rPr>
                <w:rFonts w:hint="eastAsia" w:ascii="宋体" w:hAnsi="宋体"/>
                <w:color w:val="auto"/>
                <w:szCs w:val="21"/>
                <w:highlight w:val="none"/>
              </w:rPr>
              <w:t>磋商</w:t>
            </w:r>
            <w:r>
              <w:rPr>
                <w:rFonts w:hint="default" w:ascii="宋体" w:hAnsi="宋体"/>
                <w:color w:val="auto"/>
                <w:szCs w:val="21"/>
                <w:highlight w:val="none"/>
              </w:rPr>
              <w:t>活动中提供任何虚假材料或从事其他违法活动的</w:t>
            </w:r>
          </w:p>
        </w:tc>
        <w:tc>
          <w:tcPr>
            <w:tcW w:w="2811" w:type="dxa"/>
            <w:noWrap w:val="0"/>
            <w:vAlign w:val="center"/>
          </w:tcPr>
          <w:p w14:paraId="24145BCC">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lang w:val="en-US" w:eastAsia="zh-CN"/>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0A79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noWrap w:val="0"/>
            <w:vAlign w:val="center"/>
          </w:tcPr>
          <w:p w14:paraId="38E7B5C9">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p>
        </w:tc>
        <w:tc>
          <w:tcPr>
            <w:tcW w:w="3150" w:type="dxa"/>
            <w:vMerge w:val="continue"/>
            <w:noWrap w:val="0"/>
            <w:vAlign w:val="center"/>
          </w:tcPr>
          <w:p w14:paraId="6D8990F3">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4110" w:type="dxa"/>
            <w:noWrap w:val="0"/>
            <w:vAlign w:val="center"/>
          </w:tcPr>
          <w:p w14:paraId="74F0123B">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符合法律、法规和磋商文件中规定的其他实质性要求（实质性要求磋商文件中“</w:t>
            </w:r>
            <w:r>
              <w:rPr>
                <w:rFonts w:hint="eastAsia" w:ascii="宋体" w:hAnsi="宋体"/>
                <w:color w:val="auto"/>
                <w:szCs w:val="21"/>
                <w:highlight w:val="none"/>
                <w:lang w:eastAsia="zh-CN"/>
              </w:rPr>
              <w:t>★</w:t>
            </w:r>
            <w:r>
              <w:rPr>
                <w:rFonts w:hint="eastAsia" w:ascii="宋体" w:hAnsi="宋体"/>
                <w:color w:val="auto"/>
                <w:szCs w:val="21"/>
                <w:highlight w:val="none"/>
              </w:rPr>
              <w:t>”标记）</w:t>
            </w:r>
          </w:p>
        </w:tc>
        <w:tc>
          <w:tcPr>
            <w:tcW w:w="2811" w:type="dxa"/>
            <w:noWrap w:val="0"/>
            <w:vAlign w:val="center"/>
          </w:tcPr>
          <w:p w14:paraId="25A8014A">
            <w:pPr>
              <w:keepNext w:val="0"/>
              <w:keepLines w:val="0"/>
              <w:suppressLineNumbers w:val="0"/>
              <w:kinsoku/>
              <w:wordWrap/>
              <w:overflowPunct/>
              <w:topLinePunct w:val="0"/>
              <w:bidi w:val="0"/>
              <w:spacing w:before="0" w:beforeAutospacing="0" w:after="0" w:afterAutospacing="0" w:line="360" w:lineRule="exact"/>
              <w:ind w:left="0" w:leftChars="0" w:right="0" w:rightChars="0"/>
              <w:jc w:val="center"/>
              <w:outlineLvl w:val="9"/>
              <w:rPr>
                <w:rFonts w:hint="eastAsia" w:ascii="宋体" w:hAnsi="宋体"/>
                <w:color w:val="auto"/>
                <w:szCs w:val="21"/>
                <w:highlight w:val="none"/>
                <w:lang w:val="en-US" w:eastAsia="zh-CN"/>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19B9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restart"/>
            <w:noWrap w:val="0"/>
            <w:vAlign w:val="center"/>
          </w:tcPr>
          <w:p w14:paraId="28E5EDF2">
            <w:pPr>
              <w:keepNext w:val="0"/>
              <w:keepLines w:val="0"/>
              <w:suppressLineNumbers w:val="0"/>
              <w:spacing w:before="0" w:beforeAutospacing="0" w:after="0" w:afterAutospacing="0" w:line="36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p>
        </w:tc>
        <w:tc>
          <w:tcPr>
            <w:tcW w:w="3150" w:type="dxa"/>
            <w:vMerge w:val="restart"/>
            <w:noWrap w:val="0"/>
            <w:vAlign w:val="center"/>
          </w:tcPr>
          <w:p w14:paraId="05E5E047">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参与同一个采购包（标段）的供应商存在下列情形之一且无法合理解释的，其投标（响应）文件无效：</w:t>
            </w:r>
          </w:p>
        </w:tc>
        <w:tc>
          <w:tcPr>
            <w:tcW w:w="4110" w:type="dxa"/>
            <w:noWrap w:val="0"/>
            <w:vAlign w:val="center"/>
          </w:tcPr>
          <w:p w14:paraId="2BB45EDD">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1.不同供应商的电子投标（响应）文件上传计算机的网卡MAC地址或硬盘序列号等硬件信息相同的；</w:t>
            </w:r>
          </w:p>
        </w:tc>
        <w:tc>
          <w:tcPr>
            <w:tcW w:w="2811" w:type="dxa"/>
            <w:noWrap w:val="0"/>
            <w:vAlign w:val="center"/>
          </w:tcPr>
          <w:p w14:paraId="484EBE71">
            <w:pPr>
              <w:keepNext w:val="0"/>
              <w:keepLines w:val="0"/>
              <w:suppressLineNumbers w:val="0"/>
              <w:spacing w:before="0" w:beforeAutospacing="0" w:after="0" w:afterAutospacing="0" w:line="360" w:lineRule="exact"/>
              <w:ind w:left="0" w:right="0"/>
              <w:jc w:val="center"/>
              <w:rPr>
                <w:rFonts w:hint="eastAsia" w:ascii="宋体" w:hAnsi="宋体" w:eastAsia="宋体"/>
                <w:color w:val="auto"/>
                <w:szCs w:val="21"/>
                <w:highlight w:val="none"/>
                <w:lang w:eastAsia="zh-CN"/>
              </w:rPr>
            </w:pPr>
            <w:r>
              <w:rPr>
                <w:rFonts w:hint="eastAsia" w:ascii="宋体" w:hAnsi="宋体" w:cs="宋体"/>
                <w:color w:val="auto"/>
                <w:sz w:val="24"/>
                <w:highlight w:val="none"/>
                <w:lang w:val="en-US" w:eastAsia="zh-CN"/>
              </w:rPr>
              <w:t>/</w:t>
            </w:r>
          </w:p>
        </w:tc>
      </w:tr>
      <w:tr w14:paraId="2E1CA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noWrap w:val="0"/>
            <w:vAlign w:val="center"/>
          </w:tcPr>
          <w:p w14:paraId="71E9FE15">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p>
        </w:tc>
        <w:tc>
          <w:tcPr>
            <w:tcW w:w="3150" w:type="dxa"/>
            <w:vMerge w:val="continue"/>
            <w:noWrap w:val="0"/>
            <w:vAlign w:val="center"/>
          </w:tcPr>
          <w:p w14:paraId="7B8611A1">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4110" w:type="dxa"/>
            <w:noWrap w:val="0"/>
            <w:vAlign w:val="center"/>
          </w:tcPr>
          <w:p w14:paraId="7D904B7F">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2.上传的电子投标（响应）文件若出现使用本项目其他投标（响应）供应商的数字证书加密的，或者加盖本项目其他投标（响应）供应商的电子印章的；</w:t>
            </w:r>
          </w:p>
        </w:tc>
        <w:tc>
          <w:tcPr>
            <w:tcW w:w="2811" w:type="dxa"/>
            <w:noWrap w:val="0"/>
            <w:vAlign w:val="center"/>
          </w:tcPr>
          <w:p w14:paraId="1359755F">
            <w:pPr>
              <w:keepNext w:val="0"/>
              <w:keepLines w:val="0"/>
              <w:suppressLineNumbers w:val="0"/>
              <w:kinsoku/>
              <w:wordWrap/>
              <w:overflowPunct/>
              <w:topLinePunct w:val="0"/>
              <w:bidi w:val="0"/>
              <w:spacing w:before="0" w:beforeAutospacing="0" w:after="0" w:afterAutospacing="0" w:line="360" w:lineRule="exact"/>
              <w:ind w:left="0" w:leftChars="0" w:right="0" w:rightChars="0"/>
              <w:jc w:val="center"/>
              <w:outlineLvl w:val="9"/>
              <w:rPr>
                <w:rFonts w:hint="eastAsia" w:ascii="宋体" w:hAnsi="宋体" w:eastAsia="宋体"/>
                <w:color w:val="auto"/>
                <w:szCs w:val="21"/>
                <w:highlight w:val="none"/>
                <w:lang w:eastAsia="zh-CN"/>
              </w:rPr>
            </w:pPr>
            <w:r>
              <w:rPr>
                <w:rFonts w:hint="eastAsia" w:ascii="宋体" w:hAnsi="宋体" w:cs="宋体"/>
                <w:color w:val="auto"/>
                <w:sz w:val="24"/>
                <w:highlight w:val="none"/>
                <w:lang w:val="en-US" w:eastAsia="zh-CN"/>
              </w:rPr>
              <w:t>/</w:t>
            </w:r>
          </w:p>
        </w:tc>
      </w:tr>
      <w:tr w14:paraId="3BBD4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noWrap w:val="0"/>
            <w:vAlign w:val="center"/>
          </w:tcPr>
          <w:p w14:paraId="187CD1F9">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p>
        </w:tc>
        <w:tc>
          <w:tcPr>
            <w:tcW w:w="3150" w:type="dxa"/>
            <w:vMerge w:val="continue"/>
            <w:noWrap w:val="0"/>
            <w:vAlign w:val="center"/>
          </w:tcPr>
          <w:p w14:paraId="475BD41E">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4110" w:type="dxa"/>
            <w:noWrap w:val="0"/>
            <w:vAlign w:val="center"/>
          </w:tcPr>
          <w:p w14:paraId="12E536AC">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3.不同供应商的投标（响应）文件的内容存在3处（含）以上错误一致的；</w:t>
            </w:r>
          </w:p>
        </w:tc>
        <w:tc>
          <w:tcPr>
            <w:tcW w:w="2811" w:type="dxa"/>
            <w:noWrap w:val="0"/>
            <w:vAlign w:val="center"/>
          </w:tcPr>
          <w:p w14:paraId="4D8BE211">
            <w:pPr>
              <w:keepNext w:val="0"/>
              <w:keepLines w:val="0"/>
              <w:suppressLineNumbers w:val="0"/>
              <w:spacing w:before="0" w:beforeAutospacing="0" w:after="0" w:afterAutospacing="0" w:line="360" w:lineRule="exact"/>
              <w:ind w:left="0" w:right="0"/>
              <w:jc w:val="center"/>
              <w:rPr>
                <w:rFonts w:hint="eastAsia" w:ascii="宋体" w:hAnsi="宋体" w:eastAsia="宋体"/>
                <w:color w:val="auto"/>
                <w:szCs w:val="21"/>
                <w:highlight w:val="none"/>
                <w:lang w:eastAsia="zh-CN"/>
              </w:rPr>
            </w:pPr>
            <w:r>
              <w:rPr>
                <w:rFonts w:hint="eastAsia" w:ascii="宋体" w:hAnsi="宋体" w:cs="宋体"/>
                <w:color w:val="auto"/>
                <w:sz w:val="24"/>
                <w:highlight w:val="none"/>
                <w:lang w:val="en-US" w:eastAsia="zh-CN"/>
              </w:rPr>
              <w:t>/</w:t>
            </w:r>
          </w:p>
        </w:tc>
      </w:tr>
      <w:tr w14:paraId="391C1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noWrap w:val="0"/>
            <w:vAlign w:val="center"/>
          </w:tcPr>
          <w:p w14:paraId="7EB69260">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p>
        </w:tc>
        <w:tc>
          <w:tcPr>
            <w:tcW w:w="3150" w:type="dxa"/>
            <w:vMerge w:val="continue"/>
            <w:noWrap w:val="0"/>
            <w:vAlign w:val="center"/>
          </w:tcPr>
          <w:p w14:paraId="483F0D71">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4110" w:type="dxa"/>
            <w:noWrap w:val="0"/>
            <w:vAlign w:val="center"/>
          </w:tcPr>
          <w:p w14:paraId="2855C488">
            <w:pPr>
              <w:keepNext w:val="0"/>
              <w:keepLines w:val="0"/>
              <w:suppressLineNumbers w:val="0"/>
              <w:spacing w:before="0" w:beforeAutospacing="0" w:after="0" w:afterAutospacing="0" w:line="360" w:lineRule="exact"/>
              <w:ind w:left="0" w:right="0"/>
              <w:rPr>
                <w:rFonts w:hint="eastAsia" w:ascii="宋体" w:hAnsi="宋体"/>
                <w:b/>
                <w:bCs/>
                <w:color w:val="auto"/>
                <w:szCs w:val="21"/>
                <w:highlight w:val="none"/>
              </w:rPr>
            </w:pPr>
            <w:r>
              <w:rPr>
                <w:rFonts w:hint="eastAsia" w:ascii="宋体" w:hAnsi="宋体"/>
                <w:color w:val="auto"/>
                <w:szCs w:val="21"/>
                <w:highlight w:val="none"/>
              </w:rPr>
              <w:t>4.不同供应商联系人为同一人或不同联系人的联系电话一致的。</w:t>
            </w:r>
          </w:p>
        </w:tc>
        <w:tc>
          <w:tcPr>
            <w:tcW w:w="2811" w:type="dxa"/>
            <w:noWrap w:val="0"/>
            <w:vAlign w:val="center"/>
          </w:tcPr>
          <w:p w14:paraId="251C074E">
            <w:pPr>
              <w:keepNext w:val="0"/>
              <w:keepLines w:val="0"/>
              <w:suppressLineNumbers w:val="0"/>
              <w:kinsoku/>
              <w:wordWrap/>
              <w:overflowPunct/>
              <w:topLinePunct w:val="0"/>
              <w:bidi w:val="0"/>
              <w:spacing w:before="0" w:beforeAutospacing="0" w:after="0" w:afterAutospacing="0" w:line="360" w:lineRule="exact"/>
              <w:ind w:left="0" w:leftChars="0" w:right="0" w:rightChars="0"/>
              <w:jc w:val="center"/>
              <w:outlineLvl w:val="9"/>
              <w:rPr>
                <w:rFonts w:hint="eastAsia" w:ascii="宋体" w:hAnsi="宋体" w:eastAsia="宋体"/>
                <w:color w:val="auto"/>
                <w:szCs w:val="21"/>
                <w:highlight w:val="none"/>
                <w:lang w:eastAsia="zh-CN"/>
              </w:rPr>
            </w:pPr>
            <w:r>
              <w:rPr>
                <w:rFonts w:hint="eastAsia" w:ascii="宋体" w:hAnsi="宋体" w:cs="宋体"/>
                <w:color w:val="auto"/>
                <w:sz w:val="24"/>
                <w:highlight w:val="none"/>
                <w:lang w:val="en-US" w:eastAsia="zh-CN"/>
              </w:rPr>
              <w:t>/</w:t>
            </w:r>
          </w:p>
        </w:tc>
      </w:tr>
      <w:tr w14:paraId="25D8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noWrap w:val="0"/>
            <w:vAlign w:val="center"/>
          </w:tcPr>
          <w:p w14:paraId="4531B4CD">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p>
        </w:tc>
        <w:tc>
          <w:tcPr>
            <w:tcW w:w="3150" w:type="dxa"/>
            <w:vMerge w:val="continue"/>
            <w:noWrap w:val="0"/>
            <w:vAlign w:val="center"/>
          </w:tcPr>
          <w:p w14:paraId="3EA5D068">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4110" w:type="dxa"/>
            <w:noWrap w:val="0"/>
            <w:vAlign w:val="center"/>
          </w:tcPr>
          <w:p w14:paraId="6B841BCC">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5.不同供应商在相同Internet主机分配地址（相同IP地址）获取招标文件或网上投标的。</w:t>
            </w:r>
          </w:p>
        </w:tc>
        <w:tc>
          <w:tcPr>
            <w:tcW w:w="2811" w:type="dxa"/>
            <w:noWrap w:val="0"/>
            <w:vAlign w:val="center"/>
          </w:tcPr>
          <w:p w14:paraId="035D76A5">
            <w:pPr>
              <w:keepNext w:val="0"/>
              <w:keepLines w:val="0"/>
              <w:suppressLineNumbers w:val="0"/>
              <w:spacing w:before="0" w:beforeAutospacing="0" w:after="0" w:afterAutospacing="0" w:line="360" w:lineRule="exact"/>
              <w:ind w:left="0" w:right="0"/>
              <w:jc w:val="center"/>
              <w:rPr>
                <w:rFonts w:hint="eastAsia" w:ascii="宋体" w:hAnsi="宋体" w:eastAsia="宋体"/>
                <w:color w:val="auto"/>
                <w:szCs w:val="21"/>
                <w:highlight w:val="none"/>
                <w:lang w:eastAsia="zh-CN"/>
              </w:rPr>
            </w:pPr>
            <w:r>
              <w:rPr>
                <w:rFonts w:hint="eastAsia" w:ascii="宋体" w:hAnsi="宋体" w:cs="宋体"/>
                <w:color w:val="auto"/>
                <w:sz w:val="24"/>
                <w:highlight w:val="none"/>
                <w:lang w:val="en-US" w:eastAsia="zh-CN"/>
              </w:rPr>
              <w:t>/</w:t>
            </w:r>
          </w:p>
        </w:tc>
      </w:tr>
      <w:tr w14:paraId="16ACE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noWrap w:val="0"/>
            <w:vAlign w:val="center"/>
          </w:tcPr>
          <w:p w14:paraId="39D2E5C5">
            <w:pPr>
              <w:keepNext w:val="0"/>
              <w:keepLines w:val="0"/>
              <w:suppressLineNumbers w:val="0"/>
              <w:spacing w:before="0" w:beforeAutospacing="0" w:after="0" w:afterAutospacing="0" w:line="360" w:lineRule="exact"/>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6</w:t>
            </w:r>
          </w:p>
        </w:tc>
        <w:tc>
          <w:tcPr>
            <w:tcW w:w="3150" w:type="dxa"/>
            <w:noWrap w:val="0"/>
            <w:vAlign w:val="center"/>
          </w:tcPr>
          <w:p w14:paraId="23A9E43F">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eastAsia="宋体" w:cs="Times New Roman"/>
                <w:color w:val="auto"/>
                <w:szCs w:val="21"/>
                <w:highlight w:val="none"/>
                <w:lang w:val="en-US" w:eastAsia="zh-CN"/>
              </w:rPr>
              <w:t>供应商围标串标,其投标（响应）文件无效，</w:t>
            </w:r>
            <w:r>
              <w:rPr>
                <w:rFonts w:hint="eastAsia" w:ascii="宋体" w:hAnsi="宋体" w:eastAsia="宋体" w:cs="Times New Roman"/>
                <w:color w:val="auto"/>
                <w:szCs w:val="21"/>
                <w:highlight w:val="none"/>
              </w:rPr>
              <w:t>是指供应商成立多家公司围标串标，投标文件相互混装、异常一致，投标报价呈规律性差异，投标保证金从同一账户转出等恶意串通行为</w:t>
            </w:r>
          </w:p>
        </w:tc>
        <w:tc>
          <w:tcPr>
            <w:tcW w:w="4110" w:type="dxa"/>
            <w:noWrap w:val="0"/>
            <w:vAlign w:val="center"/>
          </w:tcPr>
          <w:p w14:paraId="7BED3BF3">
            <w:pPr>
              <w:pStyle w:val="26"/>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是指供应商成立多家公司围标串标，投标文件相互混装、异常一致，投标报价呈规律性差异，投标保证金从同一账户转出等恶意串通行为</w:t>
            </w:r>
          </w:p>
          <w:p w14:paraId="41B7571A">
            <w:pPr>
              <w:pStyle w:val="26"/>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1.供应商的投标文件相互混装；</w:t>
            </w:r>
          </w:p>
          <w:p w14:paraId="63E57285">
            <w:pPr>
              <w:pStyle w:val="26"/>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2.供应商的投标文件异常一致；</w:t>
            </w:r>
          </w:p>
          <w:p w14:paraId="65671218">
            <w:pPr>
              <w:pStyle w:val="26"/>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3.供应商的投标保证金从同一账户转出；</w:t>
            </w:r>
          </w:p>
          <w:p w14:paraId="45341B26">
            <w:pPr>
              <w:pStyle w:val="26"/>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4.供应商的投标文件由同一单位或个人编制；</w:t>
            </w:r>
          </w:p>
          <w:p w14:paraId="78B57952">
            <w:pPr>
              <w:pStyle w:val="26"/>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5.供应商委托同一单位或个人办理投标事宜；</w:t>
            </w:r>
          </w:p>
          <w:p w14:paraId="7F330FDF">
            <w:pPr>
              <w:pStyle w:val="26"/>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6.供应商的项目管理成员或者联系人员为同一人；</w:t>
            </w:r>
          </w:p>
          <w:p w14:paraId="7CC60B31">
            <w:pPr>
              <w:pStyle w:val="26"/>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7.供应商的MAC地址或硬盘序列号等硬件信息相同；</w:t>
            </w:r>
          </w:p>
          <w:p w14:paraId="5E0227B8">
            <w:pPr>
              <w:pStyle w:val="26"/>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8.对大量技术参数响应负偏离、不提供证明材料或者不积极响应采购文件要求，以促成合格供应商符合法定数量；</w:t>
            </w:r>
          </w:p>
          <w:p w14:paraId="7721E1CD">
            <w:pPr>
              <w:pStyle w:val="26"/>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9.事先约定由某一特定供应商中标、成交；</w:t>
            </w:r>
          </w:p>
          <w:p w14:paraId="606621CB">
            <w:pPr>
              <w:pStyle w:val="26"/>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10.成立多家公司围标串标；</w:t>
            </w:r>
          </w:p>
          <w:p w14:paraId="7230BBF2">
            <w:pPr>
              <w:pStyle w:val="26"/>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color w:val="auto"/>
                <w:szCs w:val="21"/>
                <w:highlight w:val="none"/>
              </w:rPr>
            </w:pPr>
            <w:r>
              <w:rPr>
                <w:rFonts w:hint="eastAsia" w:ascii="宋体" w:hAnsi="宋体" w:eastAsia="宋体" w:cs="Times New Roman"/>
                <w:color w:val="auto"/>
                <w:kern w:val="2"/>
                <w:sz w:val="21"/>
                <w:szCs w:val="21"/>
                <w:highlight w:val="none"/>
                <w:lang w:val="en-US" w:eastAsia="zh-CN" w:bidi="ar-SA"/>
              </w:rPr>
              <w:t>11.其他围标串标行为。</w:t>
            </w:r>
          </w:p>
        </w:tc>
        <w:tc>
          <w:tcPr>
            <w:tcW w:w="2811" w:type="dxa"/>
            <w:noWrap w:val="0"/>
            <w:vAlign w:val="center"/>
          </w:tcPr>
          <w:p w14:paraId="6AAF6F1B">
            <w:pPr>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jc w:val="center"/>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 w:val="24"/>
                <w:highlight w:val="none"/>
                <w:lang w:val="en-US" w:eastAsia="zh-CN"/>
              </w:rPr>
              <w:t>/</w:t>
            </w:r>
          </w:p>
        </w:tc>
      </w:tr>
      <w:tr w14:paraId="4472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117" w:type="dxa"/>
            <w:gridSpan w:val="2"/>
            <w:noWrap w:val="0"/>
            <w:vAlign w:val="center"/>
          </w:tcPr>
          <w:p w14:paraId="1E9AEE60">
            <w:pPr>
              <w:keepNext w:val="0"/>
              <w:keepLines w:val="0"/>
              <w:suppressLineNumbers w:val="0"/>
              <w:spacing w:before="0" w:beforeAutospacing="0" w:after="0" w:afterAutospacing="0" w:line="360" w:lineRule="exact"/>
              <w:ind w:left="0" w:right="0"/>
              <w:jc w:val="center"/>
              <w:rPr>
                <w:rFonts w:hint="eastAsia" w:ascii="宋体" w:hAnsi="宋体"/>
                <w:color w:val="auto"/>
                <w:highlight w:val="none"/>
              </w:rPr>
            </w:pPr>
            <w:r>
              <w:rPr>
                <w:rFonts w:hint="eastAsia" w:ascii="宋体" w:hAnsi="宋体"/>
                <w:b/>
                <w:color w:val="auto"/>
                <w:szCs w:val="21"/>
                <w:highlight w:val="none"/>
              </w:rPr>
              <w:t>符合性审查结论</w:t>
            </w:r>
          </w:p>
        </w:tc>
        <w:tc>
          <w:tcPr>
            <w:tcW w:w="4110" w:type="dxa"/>
            <w:noWrap w:val="0"/>
            <w:vAlign w:val="center"/>
          </w:tcPr>
          <w:p w14:paraId="7745F58E">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2811" w:type="dxa"/>
            <w:noWrap w:val="0"/>
            <w:vAlign w:val="center"/>
          </w:tcPr>
          <w:p w14:paraId="5B0F7E81">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r>
    </w:tbl>
    <w:p w14:paraId="3EE317B6">
      <w:pPr>
        <w:kinsoku/>
        <w:wordWrap/>
        <w:overflowPunct/>
        <w:topLinePunct w:val="0"/>
        <w:bidi w:val="0"/>
        <w:spacing w:line="360" w:lineRule="auto"/>
        <w:ind w:right="420"/>
        <w:outlineLvl w:val="9"/>
        <w:rPr>
          <w:rFonts w:hint="eastAsia" w:ascii="宋体" w:hAnsi="宋体" w:cs="宋体"/>
          <w:color w:val="auto"/>
          <w:sz w:val="24"/>
          <w:highlight w:val="none"/>
        </w:rPr>
      </w:pPr>
    </w:p>
    <w:p w14:paraId="0673ED06">
      <w:pPr>
        <w:kinsoku/>
        <w:wordWrap/>
        <w:overflowPunct/>
        <w:topLinePunct w:val="0"/>
        <w:bidi w:val="0"/>
        <w:spacing w:line="360" w:lineRule="auto"/>
        <w:ind w:right="420"/>
        <w:outlineLvl w:val="9"/>
        <w:rPr>
          <w:rFonts w:hint="eastAsia" w:ascii="宋体" w:hAnsi="宋体" w:cs="宋体"/>
          <w:color w:val="auto"/>
          <w:sz w:val="24"/>
          <w:highlight w:val="none"/>
        </w:rPr>
      </w:pPr>
    </w:p>
    <w:p w14:paraId="48DA690C">
      <w:pPr>
        <w:kinsoku/>
        <w:wordWrap/>
        <w:overflowPunct/>
        <w:topLinePunct w:val="0"/>
        <w:bidi w:val="0"/>
        <w:spacing w:line="360" w:lineRule="auto"/>
        <w:ind w:right="420"/>
        <w:outlineLvl w:val="9"/>
        <w:rPr>
          <w:rFonts w:hint="eastAsia" w:ascii="宋体" w:hAnsi="宋体" w:cs="宋体"/>
          <w:color w:val="auto"/>
          <w:sz w:val="24"/>
          <w:highlight w:val="none"/>
        </w:rPr>
      </w:pPr>
    </w:p>
    <w:p w14:paraId="3446BBD3">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54D359C9">
      <w:pPr>
        <w:kinsoku/>
        <w:wordWrap/>
        <w:overflowPunct/>
        <w:topLinePunct w:val="0"/>
        <w:bidi w:val="0"/>
        <w:jc w:val="center"/>
        <w:outlineLvl w:val="9"/>
        <w:rPr>
          <w:rFonts w:ascii="宋体" w:hAnsi="宋体" w:cs="宋体"/>
          <w:b/>
          <w:color w:val="auto"/>
          <w:kern w:val="0"/>
          <w:sz w:val="32"/>
          <w:szCs w:val="32"/>
          <w:highlight w:val="none"/>
        </w:rPr>
      </w:pPr>
    </w:p>
    <w:p w14:paraId="6C7F6EA4">
      <w:pPr>
        <w:kinsoku/>
        <w:wordWrap/>
        <w:overflowPunct/>
        <w:topLinePunct w:val="0"/>
        <w:bidi w:val="0"/>
        <w:jc w:val="center"/>
        <w:outlineLvl w:val="9"/>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FC29AFE">
      <w:pPr>
        <w:kinsoku/>
        <w:wordWrap/>
        <w:overflowPunct/>
        <w:topLinePunct w:val="0"/>
        <w:bidi w:val="0"/>
        <w:snapToGrid w:val="0"/>
        <w:spacing w:line="360" w:lineRule="auto"/>
        <w:jc w:val="left"/>
        <w:outlineLvl w:val="9"/>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7D298FC2">
      <w:pPr>
        <w:kinsoku/>
        <w:wordWrap/>
        <w:overflowPunct/>
        <w:topLinePunct w:val="0"/>
        <w:bidi w:val="0"/>
        <w:jc w:val="center"/>
        <w:outlineLvl w:val="9"/>
        <w:rPr>
          <w:rFonts w:ascii="宋体" w:hAnsi="宋体" w:cs="宋体"/>
          <w:b/>
          <w:color w:val="auto"/>
          <w:kern w:val="0"/>
          <w:sz w:val="32"/>
          <w:szCs w:val="32"/>
          <w:highlight w:val="none"/>
        </w:rPr>
      </w:pPr>
    </w:p>
    <w:p w14:paraId="0C32B1B4">
      <w:pPr>
        <w:kinsoku/>
        <w:wordWrap/>
        <w:overflowPunct/>
        <w:topLinePunct w:val="0"/>
        <w:bidi w:val="0"/>
        <w:jc w:val="center"/>
        <w:outlineLvl w:val="9"/>
        <w:rPr>
          <w:rFonts w:ascii="宋体" w:hAnsi="宋体" w:cs="宋体"/>
          <w:b/>
          <w:color w:val="auto"/>
          <w:kern w:val="0"/>
          <w:sz w:val="32"/>
          <w:szCs w:val="32"/>
          <w:highlight w:val="none"/>
        </w:rPr>
      </w:pPr>
    </w:p>
    <w:p w14:paraId="489572FF">
      <w:pPr>
        <w:kinsoku/>
        <w:wordWrap/>
        <w:overflowPunct/>
        <w:topLinePunct w:val="0"/>
        <w:bidi w:val="0"/>
        <w:jc w:val="center"/>
        <w:outlineLvl w:val="9"/>
        <w:rPr>
          <w:rFonts w:ascii="宋体" w:hAnsi="宋体" w:cs="宋体"/>
          <w:b/>
          <w:color w:val="auto"/>
          <w:kern w:val="0"/>
          <w:sz w:val="32"/>
          <w:szCs w:val="32"/>
          <w:highlight w:val="none"/>
        </w:rPr>
      </w:pPr>
    </w:p>
    <w:p w14:paraId="6D584AC9">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1180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490359">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2E7F6BF">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7FAB6F13">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AF5BD54">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偏离说明</w:t>
            </w:r>
          </w:p>
        </w:tc>
      </w:tr>
      <w:tr w14:paraId="0547A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F4F67D">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5DCCB65">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14:paraId="56B3053D">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14:paraId="52E58347">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r w14:paraId="268D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D448760">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9CBA917">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14:paraId="228DB2FB">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14:paraId="072E9754">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r w14:paraId="0B60C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EF9098">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CCF9D42">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14:paraId="411E917E">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14:paraId="0C212843">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bl>
    <w:p w14:paraId="12EACF77">
      <w:pPr>
        <w:kinsoku/>
        <w:wordWrap/>
        <w:overflowPunct/>
        <w:topLinePunct w:val="0"/>
        <w:bidi w:val="0"/>
        <w:jc w:val="left"/>
        <w:outlineLvl w:val="9"/>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保证：除商务技术偏离表列出的偏离外，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响应招标文件的全部要求</w:t>
      </w:r>
    </w:p>
    <w:p w14:paraId="39D2F4D3">
      <w:pPr>
        <w:kinsoku/>
        <w:wordWrap/>
        <w:overflowPunct/>
        <w:topLinePunct w:val="0"/>
        <w:bidi w:val="0"/>
        <w:jc w:val="center"/>
        <w:outlineLvl w:val="9"/>
        <w:rPr>
          <w:rFonts w:ascii="宋体" w:hAnsi="宋体" w:cs="宋体"/>
          <w:b/>
          <w:color w:val="auto"/>
          <w:kern w:val="0"/>
          <w:sz w:val="32"/>
          <w:szCs w:val="32"/>
          <w:highlight w:val="none"/>
        </w:rPr>
      </w:pPr>
    </w:p>
    <w:p w14:paraId="1AEE95D0">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1F5C2082">
      <w:pPr>
        <w:kinsoku/>
        <w:wordWrap/>
        <w:overflowPunct/>
        <w:topLinePunct w:val="0"/>
        <w:bidi w:val="0"/>
        <w:ind w:firstLine="1911" w:firstLineChars="595"/>
        <w:outlineLvl w:val="9"/>
        <w:rPr>
          <w:rFonts w:ascii="宋体" w:hAnsi="宋体" w:cs="宋体"/>
          <w:b/>
          <w:bCs/>
          <w:color w:val="auto"/>
          <w:sz w:val="32"/>
          <w:szCs w:val="32"/>
          <w:highlight w:val="none"/>
        </w:rPr>
      </w:pPr>
    </w:p>
    <w:p w14:paraId="145AA7F0">
      <w:pPr>
        <w:kinsoku/>
        <w:wordWrap/>
        <w:overflowPunct/>
        <w:topLinePunct w:val="0"/>
        <w:bidi w:val="0"/>
        <w:ind w:firstLine="1911" w:firstLineChars="595"/>
        <w:outlineLvl w:val="9"/>
        <w:rPr>
          <w:rFonts w:ascii="宋体" w:hAnsi="宋体" w:cs="宋体"/>
          <w:b/>
          <w:bCs/>
          <w:color w:val="auto"/>
          <w:sz w:val="32"/>
          <w:szCs w:val="32"/>
          <w:highlight w:val="none"/>
        </w:rPr>
      </w:pPr>
    </w:p>
    <w:p w14:paraId="08A42542">
      <w:pPr>
        <w:kinsoku/>
        <w:wordWrap/>
        <w:overflowPunct/>
        <w:topLinePunct w:val="0"/>
        <w:bidi w:val="0"/>
        <w:ind w:firstLine="1911" w:firstLineChars="595"/>
        <w:outlineLvl w:val="9"/>
        <w:rPr>
          <w:rFonts w:ascii="宋体" w:hAnsi="宋体" w:cs="宋体"/>
          <w:b/>
          <w:bCs/>
          <w:color w:val="auto"/>
          <w:sz w:val="32"/>
          <w:szCs w:val="32"/>
          <w:highlight w:val="none"/>
        </w:rPr>
      </w:pPr>
    </w:p>
    <w:p w14:paraId="43DDC779">
      <w:pPr>
        <w:kinsoku/>
        <w:wordWrap/>
        <w:overflowPunct/>
        <w:topLinePunct w:val="0"/>
        <w:bidi w:val="0"/>
        <w:ind w:firstLine="1911" w:firstLineChars="595"/>
        <w:outlineLvl w:val="9"/>
        <w:rPr>
          <w:rFonts w:ascii="宋体" w:hAnsi="宋体" w:cs="宋体"/>
          <w:b/>
          <w:bCs/>
          <w:color w:val="auto"/>
          <w:sz w:val="32"/>
          <w:szCs w:val="32"/>
          <w:highlight w:val="none"/>
        </w:rPr>
      </w:pPr>
    </w:p>
    <w:p w14:paraId="171B17F2">
      <w:pPr>
        <w:kinsoku/>
        <w:wordWrap/>
        <w:overflowPunct/>
        <w:topLinePunct w:val="0"/>
        <w:bidi w:val="0"/>
        <w:ind w:firstLine="1911" w:firstLineChars="595"/>
        <w:outlineLvl w:val="9"/>
        <w:rPr>
          <w:rFonts w:ascii="宋体" w:hAnsi="宋体" w:cs="宋体"/>
          <w:b/>
          <w:bCs/>
          <w:color w:val="auto"/>
          <w:sz w:val="32"/>
          <w:szCs w:val="32"/>
          <w:highlight w:val="none"/>
        </w:rPr>
      </w:pPr>
    </w:p>
    <w:p w14:paraId="13F0848A">
      <w:pPr>
        <w:widowControl/>
        <w:kinsoku/>
        <w:wordWrap/>
        <w:overflowPunct/>
        <w:topLinePunct w:val="0"/>
        <w:bidi w:val="0"/>
        <w:adjustRightInd/>
        <w:jc w:val="left"/>
        <w:outlineLvl w:val="9"/>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2B94AE14">
      <w:pPr>
        <w:kinsoku/>
        <w:wordWrap/>
        <w:overflowPunct/>
        <w:topLinePunct w:val="0"/>
        <w:bidi w:val="0"/>
        <w:ind w:firstLine="1911" w:firstLineChars="595"/>
        <w:outlineLvl w:val="9"/>
        <w:rPr>
          <w:rFonts w:ascii="宋体" w:hAnsi="宋体" w:cs="宋体"/>
          <w:b/>
          <w:color w:val="auto"/>
          <w:kern w:val="0"/>
          <w:sz w:val="32"/>
          <w:szCs w:val="32"/>
          <w:highlight w:val="none"/>
        </w:rPr>
      </w:pPr>
      <w:r>
        <w:rPr>
          <w:rFonts w:hint="eastAsia" w:ascii="宋体" w:hAnsi="宋体" w:cs="宋体"/>
          <w:b/>
          <w:bCs/>
          <w:color w:val="auto"/>
          <w:sz w:val="32"/>
          <w:szCs w:val="32"/>
          <w:highlight w:val="none"/>
          <w:lang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C612F9A">
      <w:pPr>
        <w:kinsoku/>
        <w:wordWrap/>
        <w:overflowPunct/>
        <w:topLinePunct w:val="0"/>
        <w:bidi w:val="0"/>
        <w:snapToGrid w:val="0"/>
        <w:spacing w:line="360" w:lineRule="auto"/>
        <w:outlineLvl w:val="9"/>
        <w:rPr>
          <w:rFonts w:ascii="宋体" w:hAnsi="宋体" w:cs="宋体"/>
          <w:color w:val="auto"/>
          <w:sz w:val="24"/>
          <w:highlight w:val="none"/>
        </w:rPr>
      </w:pPr>
    </w:p>
    <w:p w14:paraId="43AEFD9D">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7EEF2F7">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DEC5F2A">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462D832">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B69C947">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ADA767F">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13D3524">
      <w:pPr>
        <w:kinsoku/>
        <w:wordWrap/>
        <w:overflowPunct/>
        <w:topLinePunct w:val="0"/>
        <w:autoSpaceDE w:val="0"/>
        <w:autoSpaceDN w:val="0"/>
        <w:bidi w:val="0"/>
        <w:spacing w:line="360" w:lineRule="auto"/>
        <w:ind w:left="481" w:leftChars="229"/>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0AF8BDA">
      <w:pPr>
        <w:kinsoku/>
        <w:wordWrap/>
        <w:overflowPunct/>
        <w:topLinePunct w:val="0"/>
        <w:autoSpaceDE w:val="0"/>
        <w:autoSpaceDN w:val="0"/>
        <w:bidi w:val="0"/>
        <w:spacing w:line="360" w:lineRule="auto"/>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66E68F8">
      <w:pPr>
        <w:kinsoku/>
        <w:wordWrap/>
        <w:overflowPunct/>
        <w:topLinePunct w:val="0"/>
        <w:autoSpaceDE w:val="0"/>
        <w:autoSpaceDN w:val="0"/>
        <w:bidi w:val="0"/>
        <w:spacing w:line="360" w:lineRule="auto"/>
        <w:ind w:left="481" w:leftChars="229"/>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35BB5CCA">
      <w:pPr>
        <w:kinsoku/>
        <w:wordWrap/>
        <w:overflowPunct/>
        <w:topLinePunct w:val="0"/>
        <w:autoSpaceDE w:val="0"/>
        <w:autoSpaceDN w:val="0"/>
        <w:bidi w:val="0"/>
        <w:spacing w:line="360" w:lineRule="auto"/>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5BB71CA">
      <w:pPr>
        <w:kinsoku/>
        <w:wordWrap/>
        <w:overflowPunct/>
        <w:topLinePunct w:val="0"/>
        <w:autoSpaceDE w:val="0"/>
        <w:autoSpaceDN w:val="0"/>
        <w:bidi w:val="0"/>
        <w:spacing w:line="360" w:lineRule="auto"/>
        <w:ind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EA8BD66">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07DDE0F3">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33754C8E">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42CB9D4C">
      <w:pPr>
        <w:kinsoku/>
        <w:wordWrap/>
        <w:overflowPunct/>
        <w:topLinePunct w:val="0"/>
        <w:autoSpaceDE w:val="0"/>
        <w:autoSpaceDN w:val="0"/>
        <w:bidi w:val="0"/>
        <w:spacing w:line="360" w:lineRule="auto"/>
        <w:ind w:left="2" w:leftChars="1" w:right="1120" w:firstLine="4560" w:firstLineChars="19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BC0CAE9">
      <w:pPr>
        <w:kinsoku/>
        <w:wordWrap/>
        <w:overflowPunct/>
        <w:topLinePunct w:val="0"/>
        <w:bidi w:val="0"/>
        <w:spacing w:line="360" w:lineRule="auto"/>
        <w:ind w:left="4620" w:leftChars="2200"/>
        <w:outlineLvl w:val="9"/>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D5590FB">
      <w:pPr>
        <w:kinsoku/>
        <w:wordWrap/>
        <w:overflowPunct/>
        <w:topLinePunct w:val="0"/>
        <w:bidi w:val="0"/>
        <w:spacing w:line="360" w:lineRule="auto"/>
        <w:jc w:val="center"/>
        <w:outlineLvl w:val="9"/>
        <w:rPr>
          <w:rFonts w:ascii="宋体" w:hAnsi="宋体" w:cs="宋体"/>
          <w:b/>
          <w:bCs/>
          <w:color w:val="auto"/>
          <w:sz w:val="24"/>
          <w:highlight w:val="none"/>
        </w:rPr>
      </w:pPr>
    </w:p>
    <w:p w14:paraId="19451924">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04B96738">
      <w:pPr>
        <w:kinsoku/>
        <w:wordWrap/>
        <w:overflowPunct/>
        <w:topLinePunct w:val="0"/>
        <w:bidi w:val="0"/>
        <w:spacing w:line="360" w:lineRule="auto"/>
        <w:jc w:val="center"/>
        <w:outlineLvl w:val="9"/>
        <w:rPr>
          <w:rFonts w:ascii="宋体" w:hAnsi="宋体" w:cs="宋体"/>
          <w:b/>
          <w:bCs/>
          <w:color w:val="auto"/>
          <w:sz w:val="24"/>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550212D8">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9BB7351">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0242181">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38A0C103">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（1）开标一览表（报价表）</w:t>
      </w:r>
      <w:r>
        <w:rPr>
          <w:rFonts w:hint="eastAsia" w:ascii="宋体" w:hAnsi="宋体" w:cs="宋体"/>
          <w:color w:val="auto"/>
          <w:sz w:val="24"/>
          <w:highlight w:val="none"/>
          <w:lang w:val="en-US" w:eastAsia="zh-CN"/>
        </w:rPr>
        <w:t>、已标价工程量清单</w:t>
      </w:r>
      <w:r>
        <w:rPr>
          <w:rFonts w:hint="eastAsia" w:ascii="宋体" w:hAnsi="宋体" w:cs="宋体"/>
          <w:color w:val="auto"/>
          <w:sz w:val="24"/>
          <w:highlight w:val="none"/>
        </w:rPr>
        <w:t>…………………………………（页码）</w:t>
      </w:r>
    </w:p>
    <w:p w14:paraId="31C8C813">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（2）中小企业声明函………………………………………………………………（页码）</w:t>
      </w:r>
    </w:p>
    <w:p w14:paraId="5DAA4CF9">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8FFCEB4">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F8B1799">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46C57F47">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192D19F">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4244EE7">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922AB96">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1A2C9301">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549C4D5B">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E890880">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4FAA9345">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1A7E36B">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D02FDAC">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5D3355F">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14B4E3B">
      <w:pPr>
        <w:pStyle w:val="691"/>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220DFB75">
      <w:pPr>
        <w:pStyle w:val="26"/>
        <w:ind w:left="0" w:leftChars="0" w:firstLine="0" w:firstLineChars="0"/>
        <w:rPr>
          <w:color w:val="000000"/>
        </w:rPr>
      </w:pPr>
      <w:bookmarkStart w:id="935" w:name="_Toc18859"/>
      <w:bookmarkStart w:id="936" w:name="_Toc26425"/>
    </w:p>
    <w:p w14:paraId="50034838">
      <w:pPr>
        <w:pStyle w:val="691"/>
        <w:keepNext w:val="0"/>
        <w:pageBreakBefore w:val="0"/>
        <w:tabs>
          <w:tab w:val="clear" w:pos="720"/>
        </w:tabs>
        <w:snapToGrid w:val="0"/>
        <w:spacing w:before="120" w:after="120"/>
        <w:ind w:firstLine="551"/>
        <w:outlineLvl w:val="9"/>
        <w:rPr>
          <w:rFonts w:ascii="仿宋" w:hAnsi="仿宋" w:eastAsia="仿宋" w:cs="仿宋"/>
          <w:kern w:val="2"/>
          <w:sz w:val="32"/>
          <w:szCs w:val="32"/>
        </w:rPr>
      </w:pPr>
      <w:r>
        <w:rPr>
          <w:rFonts w:hint="eastAsia" w:cs="宋体" w:asciiTheme="minorEastAsia" w:hAnsiTheme="minorEastAsia" w:eastAsiaTheme="minorEastAsia"/>
          <w:bCs/>
          <w:kern w:val="0"/>
          <w:sz w:val="28"/>
          <w:szCs w:val="28"/>
        </w:rPr>
        <w:t>（一）</w:t>
      </w:r>
      <w:r>
        <w:rPr>
          <w:rFonts w:hint="eastAsia" w:ascii="仿宋" w:hAnsi="仿宋" w:eastAsia="仿宋" w:cs="仿宋"/>
          <w:kern w:val="2"/>
          <w:sz w:val="32"/>
          <w:szCs w:val="32"/>
        </w:rPr>
        <w:t>报价一览表（初次报价）</w:t>
      </w:r>
    </w:p>
    <w:p w14:paraId="52697606">
      <w:pPr>
        <w:tabs>
          <w:tab w:val="left" w:pos="1494"/>
        </w:tabs>
        <w:spacing w:line="400" w:lineRule="exact"/>
        <w:ind w:firstLine="630"/>
        <w:jc w:val="center"/>
        <w:rPr>
          <w:b/>
          <w:color w:val="000000"/>
          <w:sz w:val="32"/>
          <w:szCs w:val="32"/>
        </w:rPr>
      </w:pPr>
      <w:r>
        <w:rPr>
          <w:rFonts w:hint="eastAsia"/>
          <w:b/>
          <w:color w:val="000000"/>
          <w:sz w:val="32"/>
          <w:szCs w:val="32"/>
        </w:rPr>
        <w:t>初次报价表</w:t>
      </w:r>
    </w:p>
    <w:p w14:paraId="7D460017">
      <w:pPr>
        <w:tabs>
          <w:tab w:val="left" w:pos="1494"/>
        </w:tabs>
        <w:spacing w:line="400" w:lineRule="exact"/>
        <w:rPr>
          <w:color w:val="000000"/>
        </w:rPr>
      </w:pPr>
    </w:p>
    <w:p w14:paraId="726CDBBF">
      <w:pPr>
        <w:tabs>
          <w:tab w:val="left" w:pos="1494"/>
        </w:tabs>
        <w:spacing w:line="400" w:lineRule="exact"/>
        <w:rPr>
          <w:color w:val="000000"/>
          <w:szCs w:val="22"/>
        </w:rPr>
      </w:pPr>
      <w:r>
        <w:rPr>
          <w:rFonts w:hint="eastAsia"/>
          <w:color w:val="000000"/>
          <w:szCs w:val="22"/>
        </w:rPr>
        <w:t>项目编号：</w:t>
      </w:r>
      <w:r>
        <w:rPr>
          <w:rFonts w:hint="eastAsia"/>
          <w:color w:val="000000"/>
          <w:szCs w:val="22"/>
          <w:lang w:val="en-US" w:eastAsia="zh-CN"/>
        </w:rPr>
        <w:t xml:space="preserve">                            </w:t>
      </w:r>
      <w:r>
        <w:rPr>
          <w:rFonts w:hint="eastAsia"/>
          <w:color w:val="000000"/>
          <w:szCs w:val="22"/>
        </w:rPr>
        <w:t>项目名称：</w:t>
      </w:r>
      <w:r>
        <w:rPr>
          <w:rFonts w:hint="eastAsia"/>
          <w:color w:val="000000"/>
          <w:szCs w:val="22"/>
          <w:lang w:val="en-US" w:eastAsia="zh-CN"/>
        </w:rPr>
        <w:t xml:space="preserve">                       </w:t>
      </w:r>
      <w:r>
        <w:rPr>
          <w:rFonts w:hint="eastAsia"/>
          <w:color w:val="000000"/>
          <w:szCs w:val="22"/>
        </w:rPr>
        <w:t>单位：人民币元</w:t>
      </w:r>
    </w:p>
    <w:tbl>
      <w:tblPr>
        <w:tblStyle w:val="62"/>
        <w:tblW w:w="9649" w:type="dxa"/>
        <w:tblInd w:w="0" w:type="dxa"/>
        <w:tblLayout w:type="fixed"/>
        <w:tblCellMar>
          <w:top w:w="0" w:type="dxa"/>
          <w:left w:w="0" w:type="dxa"/>
          <w:bottom w:w="0" w:type="dxa"/>
          <w:right w:w="0" w:type="dxa"/>
        </w:tblCellMar>
      </w:tblPr>
      <w:tblGrid>
        <w:gridCol w:w="695"/>
        <w:gridCol w:w="1265"/>
        <w:gridCol w:w="977"/>
        <w:gridCol w:w="2035"/>
        <w:gridCol w:w="1984"/>
        <w:gridCol w:w="2693"/>
      </w:tblGrid>
      <w:tr w14:paraId="1D157101">
        <w:tblPrEx>
          <w:tblCellMar>
            <w:top w:w="0" w:type="dxa"/>
            <w:left w:w="0" w:type="dxa"/>
            <w:bottom w:w="0" w:type="dxa"/>
            <w:right w:w="0" w:type="dxa"/>
          </w:tblCellMar>
        </w:tblPrEx>
        <w:trPr>
          <w:trHeight w:val="466"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A2C4C03">
            <w:pPr>
              <w:keepNext w:val="0"/>
              <w:keepLines w:val="0"/>
              <w:widowControl/>
              <w:suppressLineNumbers w:val="0"/>
              <w:tabs>
                <w:tab w:val="left" w:pos="1494"/>
              </w:tabs>
              <w:spacing w:before="0" w:beforeAutospacing="0" w:after="0" w:afterAutospacing="0"/>
              <w:ind w:left="0" w:right="0"/>
              <w:jc w:val="center"/>
              <w:textAlignment w:val="center"/>
              <w:rPr>
                <w:rFonts w:hint="default"/>
                <w:color w:val="000000"/>
                <w:szCs w:val="22"/>
              </w:rPr>
            </w:pPr>
            <w:r>
              <w:rPr>
                <w:rFonts w:hint="eastAsia"/>
                <w:color w:val="000000"/>
                <w:szCs w:val="22"/>
              </w:rPr>
              <w:t>序号</w:t>
            </w:r>
          </w:p>
        </w:tc>
        <w:tc>
          <w:tcPr>
            <w:tcW w:w="2242"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0DDE51D">
            <w:pPr>
              <w:keepNext w:val="0"/>
              <w:keepLines w:val="0"/>
              <w:widowControl/>
              <w:suppressLineNumbers w:val="0"/>
              <w:tabs>
                <w:tab w:val="left" w:pos="1494"/>
              </w:tabs>
              <w:spacing w:before="0" w:beforeAutospacing="0" w:after="0" w:afterAutospacing="0"/>
              <w:ind w:left="0" w:right="0"/>
              <w:jc w:val="center"/>
              <w:textAlignment w:val="center"/>
              <w:rPr>
                <w:rFonts w:hint="default"/>
                <w:color w:val="000000"/>
                <w:szCs w:val="22"/>
              </w:rPr>
            </w:pPr>
            <w:r>
              <w:rPr>
                <w:rFonts w:hint="eastAsia"/>
                <w:color w:val="000000"/>
                <w:szCs w:val="22"/>
              </w:rPr>
              <w:t>项目名称</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226EEA2">
            <w:pPr>
              <w:keepNext w:val="0"/>
              <w:keepLines w:val="0"/>
              <w:widowControl/>
              <w:suppressLineNumbers w:val="0"/>
              <w:tabs>
                <w:tab w:val="left" w:pos="1494"/>
              </w:tabs>
              <w:spacing w:before="0" w:beforeAutospacing="0" w:after="0" w:afterAutospacing="0"/>
              <w:ind w:left="0" w:right="0"/>
              <w:jc w:val="center"/>
              <w:textAlignment w:val="center"/>
              <w:rPr>
                <w:rFonts w:hint="eastAsia" w:eastAsia="宋体"/>
                <w:color w:val="000000"/>
                <w:szCs w:val="22"/>
                <w:lang w:eastAsia="zh-CN"/>
              </w:rPr>
            </w:pPr>
            <w:r>
              <w:rPr>
                <w:rFonts w:hint="eastAsia" w:eastAsia="宋体"/>
                <w:color w:val="000000"/>
                <w:kern w:val="2"/>
                <w:szCs w:val="22"/>
                <w:lang w:eastAsia="zh-CN"/>
              </w:rPr>
              <w:t>下浮率</w:t>
            </w:r>
            <w:r>
              <w:rPr>
                <w:rFonts w:hint="eastAsia" w:eastAsia="宋体"/>
                <w:color w:val="000000"/>
                <w:kern w:val="2"/>
                <w:szCs w:val="22"/>
              </w:rPr>
              <w:t>（</w:t>
            </w:r>
            <w:r>
              <w:rPr>
                <w:rFonts w:hint="eastAsia" w:eastAsia="宋体"/>
                <w:color w:val="000000"/>
                <w:kern w:val="2"/>
                <w:szCs w:val="22"/>
                <w:lang w:val="en-US" w:eastAsia="zh-CN"/>
              </w:rPr>
              <w:t>%</w:t>
            </w:r>
            <w:r>
              <w:rPr>
                <w:rFonts w:hint="eastAsia" w:eastAsia="宋体"/>
                <w:color w:val="000000"/>
                <w:kern w:val="2"/>
                <w:szCs w:val="22"/>
              </w:rPr>
              <w:t>）</w:t>
            </w:r>
          </w:p>
        </w:tc>
        <w:tc>
          <w:tcPr>
            <w:tcW w:w="19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49143BD">
            <w:pPr>
              <w:keepNext w:val="0"/>
              <w:keepLines w:val="0"/>
              <w:widowControl/>
              <w:suppressLineNumbers w:val="0"/>
              <w:tabs>
                <w:tab w:val="left" w:pos="1494"/>
              </w:tabs>
              <w:spacing w:before="0" w:beforeAutospacing="0" w:after="0" w:afterAutospacing="0"/>
              <w:ind w:left="0" w:right="0"/>
              <w:jc w:val="center"/>
              <w:textAlignment w:val="center"/>
              <w:rPr>
                <w:rFonts w:hint="default"/>
                <w:color w:val="000000"/>
                <w:szCs w:val="22"/>
              </w:rPr>
            </w:pPr>
            <w:r>
              <w:rPr>
                <w:rFonts w:hint="eastAsia"/>
                <w:color w:val="000000"/>
                <w:szCs w:val="22"/>
              </w:rPr>
              <w:t>总报价（元）</w:t>
            </w:r>
          </w:p>
        </w:tc>
        <w:tc>
          <w:tcPr>
            <w:tcW w:w="26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DEECAE0">
            <w:pPr>
              <w:keepNext w:val="0"/>
              <w:keepLines w:val="0"/>
              <w:widowControl/>
              <w:suppressLineNumbers w:val="0"/>
              <w:tabs>
                <w:tab w:val="left" w:pos="1494"/>
              </w:tabs>
              <w:spacing w:before="0" w:beforeAutospacing="0" w:after="0" w:afterAutospacing="0"/>
              <w:ind w:left="0" w:right="0"/>
              <w:jc w:val="center"/>
              <w:textAlignment w:val="center"/>
              <w:rPr>
                <w:rFonts w:hint="default"/>
                <w:color w:val="000000"/>
                <w:szCs w:val="22"/>
              </w:rPr>
            </w:pPr>
            <w:r>
              <w:rPr>
                <w:rFonts w:hint="eastAsia"/>
                <w:color w:val="000000"/>
                <w:szCs w:val="22"/>
              </w:rPr>
              <w:t>备注</w:t>
            </w:r>
          </w:p>
        </w:tc>
      </w:tr>
      <w:tr w14:paraId="172FB898">
        <w:tblPrEx>
          <w:tblCellMar>
            <w:top w:w="0" w:type="dxa"/>
            <w:left w:w="0" w:type="dxa"/>
            <w:bottom w:w="0" w:type="dxa"/>
            <w:right w:w="0" w:type="dxa"/>
          </w:tblCellMar>
        </w:tblPrEx>
        <w:trPr>
          <w:trHeight w:val="756"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E3840C5">
            <w:pPr>
              <w:keepNext w:val="0"/>
              <w:keepLines w:val="0"/>
              <w:widowControl/>
              <w:suppressLineNumbers w:val="0"/>
              <w:tabs>
                <w:tab w:val="left" w:pos="1494"/>
              </w:tabs>
              <w:spacing w:before="0" w:beforeAutospacing="0" w:after="0" w:afterAutospacing="0"/>
              <w:ind w:left="0" w:right="0"/>
              <w:jc w:val="center"/>
              <w:textAlignment w:val="bottom"/>
              <w:rPr>
                <w:rFonts w:hint="default"/>
                <w:color w:val="000000"/>
                <w:szCs w:val="22"/>
              </w:rPr>
            </w:pPr>
            <w:r>
              <w:rPr>
                <w:rFonts w:hint="eastAsia"/>
                <w:szCs w:val="22"/>
              </w:rPr>
              <w:t>1</w:t>
            </w:r>
          </w:p>
        </w:tc>
        <w:tc>
          <w:tcPr>
            <w:tcW w:w="2242"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78DD830">
            <w:pPr>
              <w:keepNext w:val="0"/>
              <w:keepLines w:val="0"/>
              <w:widowControl/>
              <w:suppressLineNumbers w:val="0"/>
              <w:tabs>
                <w:tab w:val="left" w:pos="1494"/>
              </w:tabs>
              <w:spacing w:before="0" w:beforeAutospacing="0" w:after="0" w:afterAutospacing="0"/>
              <w:ind w:left="0" w:right="0"/>
              <w:jc w:val="center"/>
              <w:textAlignment w:val="bottom"/>
              <w:rPr>
                <w:rFonts w:hint="default"/>
                <w:color w:val="000000"/>
                <w:szCs w:val="22"/>
              </w:rPr>
            </w:pP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357A22B">
            <w:pPr>
              <w:keepNext w:val="0"/>
              <w:keepLines w:val="0"/>
              <w:widowControl/>
              <w:suppressLineNumbers w:val="0"/>
              <w:tabs>
                <w:tab w:val="left" w:pos="1494"/>
              </w:tabs>
              <w:spacing w:before="0" w:beforeAutospacing="0" w:after="0" w:afterAutospacing="0"/>
              <w:ind w:left="0" w:right="0"/>
              <w:jc w:val="center"/>
              <w:textAlignment w:val="bottom"/>
              <w:rPr>
                <w:rFonts w:hint="default"/>
                <w:color w:val="000000"/>
                <w:szCs w:val="22"/>
              </w:rPr>
            </w:pPr>
          </w:p>
        </w:tc>
        <w:tc>
          <w:tcPr>
            <w:tcW w:w="19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BD5DD14">
            <w:pPr>
              <w:keepNext w:val="0"/>
              <w:keepLines w:val="0"/>
              <w:suppressLineNumbers w:val="0"/>
              <w:tabs>
                <w:tab w:val="left" w:pos="1494"/>
              </w:tabs>
              <w:spacing w:before="0" w:beforeAutospacing="0" w:after="0" w:afterAutospacing="0" w:line="360" w:lineRule="exact"/>
              <w:ind w:left="0" w:right="13" w:rightChars="6"/>
              <w:rPr>
                <w:rFonts w:hint="default"/>
                <w:szCs w:val="22"/>
              </w:rPr>
            </w:pPr>
          </w:p>
        </w:tc>
        <w:tc>
          <w:tcPr>
            <w:tcW w:w="26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863CFA9">
            <w:pPr>
              <w:keepNext w:val="0"/>
              <w:keepLines w:val="0"/>
              <w:suppressLineNumbers w:val="0"/>
              <w:tabs>
                <w:tab w:val="left" w:pos="1494"/>
              </w:tabs>
              <w:spacing w:before="0" w:beforeAutospacing="0" w:after="0" w:afterAutospacing="0" w:line="360" w:lineRule="exact"/>
              <w:ind w:left="0" w:right="13" w:rightChars="6"/>
              <w:rPr>
                <w:rFonts w:hint="default"/>
                <w:color w:val="000000"/>
                <w:szCs w:val="22"/>
              </w:rPr>
            </w:pPr>
            <w:r>
              <w:rPr>
                <w:rFonts w:hint="eastAsia"/>
                <w:color w:val="000000"/>
                <w:szCs w:val="22"/>
              </w:rPr>
              <w:t>最高限价</w:t>
            </w:r>
            <w:r>
              <w:rPr>
                <w:rFonts w:hint="eastAsia"/>
                <w:color w:val="000000"/>
                <w:szCs w:val="22"/>
                <w:u w:val="single"/>
                <w:lang w:val="en-US" w:eastAsia="zh-CN"/>
              </w:rPr>
              <w:t>617547</w:t>
            </w:r>
            <w:r>
              <w:rPr>
                <w:rFonts w:hint="eastAsia"/>
                <w:color w:val="000000"/>
                <w:szCs w:val="22"/>
              </w:rPr>
              <w:t>元，超过最高限价的报价为无效报价</w:t>
            </w:r>
          </w:p>
        </w:tc>
      </w:tr>
      <w:tr w14:paraId="3BF1F4A7">
        <w:tblPrEx>
          <w:tblCellMar>
            <w:top w:w="0" w:type="dxa"/>
            <w:left w:w="0" w:type="dxa"/>
            <w:bottom w:w="0" w:type="dxa"/>
            <w:right w:w="0" w:type="dxa"/>
          </w:tblCellMar>
        </w:tblPrEx>
        <w:trPr>
          <w:trHeight w:val="737" w:hRule="atLeast"/>
        </w:trPr>
        <w:tc>
          <w:tcPr>
            <w:tcW w:w="9649" w:type="dxa"/>
            <w:gridSpan w:val="6"/>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DE0CBBC">
            <w:pPr>
              <w:keepNext w:val="0"/>
              <w:keepLines w:val="0"/>
              <w:widowControl/>
              <w:suppressLineNumbers w:val="0"/>
              <w:tabs>
                <w:tab w:val="left" w:pos="1494"/>
              </w:tabs>
              <w:spacing w:before="0" w:beforeAutospacing="0" w:after="0" w:afterAutospacing="0"/>
              <w:ind w:left="0" w:right="0" w:firstLine="210" w:firstLineChars="100"/>
              <w:textAlignment w:val="bottom"/>
              <w:rPr>
                <w:rFonts w:hint="default"/>
                <w:color w:val="000000"/>
                <w:szCs w:val="22"/>
              </w:rPr>
            </w:pPr>
            <w:r>
              <w:rPr>
                <w:rFonts w:hint="eastAsia"/>
                <w:color w:val="000000"/>
              </w:rPr>
              <w:t xml:space="preserve">报价大写： </w:t>
            </w:r>
            <w:r>
              <w:rPr>
                <w:rFonts w:hint="eastAsia"/>
                <w:color w:val="000000"/>
                <w:lang w:val="en-US" w:eastAsia="zh-CN"/>
              </w:rPr>
              <w:t xml:space="preserve">      </w:t>
            </w:r>
            <w:r>
              <w:rPr>
                <w:rFonts w:hint="eastAsia"/>
                <w:color w:val="000000"/>
              </w:rPr>
              <w:t>元整（小写：</w:t>
            </w:r>
            <w:r>
              <w:rPr>
                <w:rFonts w:hint="eastAsia"/>
                <w:color w:val="000000"/>
                <w:lang w:val="en-US" w:eastAsia="zh-CN"/>
              </w:rPr>
              <w:t xml:space="preserve">    </w:t>
            </w:r>
            <w:r>
              <w:rPr>
                <w:rFonts w:hint="eastAsia"/>
                <w:color w:val="000000"/>
              </w:rPr>
              <w:t xml:space="preserve">￥） </w:t>
            </w:r>
          </w:p>
        </w:tc>
      </w:tr>
      <w:tr w14:paraId="25D0DDCA">
        <w:tblPrEx>
          <w:tblCellMar>
            <w:top w:w="0" w:type="dxa"/>
            <w:left w:w="0" w:type="dxa"/>
            <w:bottom w:w="0" w:type="dxa"/>
            <w:right w:w="0" w:type="dxa"/>
          </w:tblCellMar>
        </w:tblPrEx>
        <w:trPr>
          <w:trHeight w:val="428"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49BF9B99">
            <w:pPr>
              <w:keepNext w:val="0"/>
              <w:keepLines w:val="0"/>
              <w:widowControl/>
              <w:suppressLineNumbers w:val="0"/>
              <w:tabs>
                <w:tab w:val="left" w:pos="1494"/>
              </w:tabs>
              <w:spacing w:before="0" w:beforeAutospacing="0" w:after="0" w:afterAutospacing="0"/>
              <w:ind w:left="0" w:right="0" w:firstLine="210" w:firstLineChars="100"/>
              <w:textAlignment w:val="bottom"/>
              <w:rPr>
                <w:rFonts w:hint="default"/>
                <w:color w:val="000000"/>
                <w:szCs w:val="22"/>
              </w:rPr>
            </w:pPr>
            <w:r>
              <w:rPr>
                <w:rFonts w:hint="eastAsia"/>
                <w:color w:val="000000"/>
                <w:szCs w:val="22"/>
              </w:rPr>
              <w:t>质量目标</w:t>
            </w:r>
          </w:p>
        </w:tc>
        <w:tc>
          <w:tcPr>
            <w:tcW w:w="7689"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009B7F66">
            <w:pPr>
              <w:keepNext w:val="0"/>
              <w:keepLines w:val="0"/>
              <w:widowControl/>
              <w:suppressLineNumbers w:val="0"/>
              <w:tabs>
                <w:tab w:val="left" w:pos="1494"/>
              </w:tabs>
              <w:spacing w:before="0" w:beforeAutospacing="0" w:after="0" w:afterAutospacing="0"/>
              <w:ind w:left="0" w:right="0"/>
              <w:jc w:val="center"/>
              <w:textAlignment w:val="bottom"/>
              <w:rPr>
                <w:rFonts w:hint="default"/>
                <w:color w:val="000000"/>
                <w:szCs w:val="22"/>
              </w:rPr>
            </w:pPr>
          </w:p>
        </w:tc>
      </w:tr>
      <w:tr w14:paraId="69B79522">
        <w:tblPrEx>
          <w:tblCellMar>
            <w:top w:w="0" w:type="dxa"/>
            <w:left w:w="0" w:type="dxa"/>
            <w:bottom w:w="0" w:type="dxa"/>
            <w:right w:w="0" w:type="dxa"/>
          </w:tblCellMar>
        </w:tblPrEx>
        <w:trPr>
          <w:trHeight w:val="428"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2CCD9EF0">
            <w:pPr>
              <w:keepNext w:val="0"/>
              <w:keepLines w:val="0"/>
              <w:widowControl/>
              <w:suppressLineNumbers w:val="0"/>
              <w:tabs>
                <w:tab w:val="left" w:pos="1494"/>
              </w:tabs>
              <w:spacing w:before="0" w:beforeAutospacing="0" w:after="0" w:afterAutospacing="0"/>
              <w:ind w:left="0" w:right="0" w:firstLine="210" w:firstLineChars="100"/>
              <w:textAlignment w:val="bottom"/>
              <w:rPr>
                <w:rFonts w:hint="eastAsia" w:eastAsia="宋体"/>
                <w:color w:val="000000"/>
                <w:szCs w:val="22"/>
                <w:lang w:eastAsia="zh-CN"/>
              </w:rPr>
            </w:pPr>
            <w:r>
              <w:rPr>
                <w:rFonts w:hint="eastAsia"/>
                <w:color w:val="000000"/>
                <w:kern w:val="2"/>
              </w:rPr>
              <w:t>工期目标</w:t>
            </w:r>
          </w:p>
        </w:tc>
        <w:tc>
          <w:tcPr>
            <w:tcW w:w="7689"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1756D238">
            <w:pPr>
              <w:keepNext w:val="0"/>
              <w:keepLines w:val="0"/>
              <w:widowControl/>
              <w:suppressLineNumbers w:val="0"/>
              <w:tabs>
                <w:tab w:val="left" w:pos="1494"/>
              </w:tabs>
              <w:spacing w:before="0" w:beforeAutospacing="0" w:after="0" w:afterAutospacing="0"/>
              <w:ind w:left="0" w:right="0"/>
              <w:jc w:val="center"/>
              <w:textAlignment w:val="bottom"/>
              <w:rPr>
                <w:rFonts w:hint="default"/>
                <w:color w:val="000000"/>
                <w:szCs w:val="22"/>
              </w:rPr>
            </w:pPr>
          </w:p>
        </w:tc>
      </w:tr>
      <w:tr w14:paraId="6F115D73">
        <w:tblPrEx>
          <w:tblCellMar>
            <w:top w:w="0" w:type="dxa"/>
            <w:left w:w="0" w:type="dxa"/>
            <w:bottom w:w="0" w:type="dxa"/>
            <w:right w:w="0" w:type="dxa"/>
          </w:tblCellMar>
        </w:tblPrEx>
        <w:trPr>
          <w:trHeight w:val="44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0A488D82">
            <w:pPr>
              <w:keepNext w:val="0"/>
              <w:keepLines w:val="0"/>
              <w:widowControl/>
              <w:suppressLineNumbers w:val="0"/>
              <w:tabs>
                <w:tab w:val="left" w:pos="1494"/>
              </w:tabs>
              <w:spacing w:before="0" w:beforeAutospacing="0" w:after="0" w:afterAutospacing="0"/>
              <w:ind w:left="0" w:right="0" w:firstLine="210" w:firstLineChars="100"/>
              <w:textAlignment w:val="bottom"/>
              <w:rPr>
                <w:rFonts w:hint="default"/>
                <w:color w:val="000000"/>
              </w:rPr>
            </w:pPr>
            <w:r>
              <w:rPr>
                <w:rFonts w:hint="eastAsia"/>
                <w:color w:val="000000"/>
              </w:rPr>
              <w:t>投标声明</w:t>
            </w:r>
          </w:p>
        </w:tc>
        <w:tc>
          <w:tcPr>
            <w:tcW w:w="7689"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0CA1592A">
            <w:pPr>
              <w:keepNext w:val="0"/>
              <w:keepLines w:val="0"/>
              <w:widowControl/>
              <w:suppressLineNumbers w:val="0"/>
              <w:tabs>
                <w:tab w:val="left" w:pos="1494"/>
              </w:tabs>
              <w:spacing w:before="0" w:beforeAutospacing="0" w:after="0" w:afterAutospacing="0"/>
              <w:ind w:left="0" w:right="0"/>
              <w:jc w:val="center"/>
              <w:textAlignment w:val="bottom"/>
              <w:rPr>
                <w:rFonts w:hint="default"/>
                <w:color w:val="000000"/>
                <w:szCs w:val="22"/>
              </w:rPr>
            </w:pPr>
          </w:p>
        </w:tc>
      </w:tr>
    </w:tbl>
    <w:p w14:paraId="64DC211B">
      <w:pPr>
        <w:tabs>
          <w:tab w:val="left" w:pos="1494"/>
        </w:tabs>
        <w:jc w:val="both"/>
        <w:rPr>
          <w:b/>
          <w:sz w:val="36"/>
        </w:rPr>
      </w:pPr>
    </w:p>
    <w:p w14:paraId="6D2213BF">
      <w:pPr>
        <w:tabs>
          <w:tab w:val="left" w:pos="1494"/>
        </w:tabs>
        <w:spacing w:line="720" w:lineRule="auto"/>
        <w:ind w:firstLine="105" w:firstLineChars="50"/>
        <w:jc w:val="center"/>
        <w:rPr>
          <w:u w:val="single"/>
        </w:rPr>
      </w:pPr>
      <w:r>
        <w:rPr>
          <w:rFonts w:hint="eastAsia"/>
          <w:color w:val="000000"/>
        </w:rPr>
        <w:t xml:space="preserve">                 </w:t>
      </w:r>
      <w:r>
        <w:rPr>
          <w:rFonts w:hint="eastAsia"/>
          <w:color w:val="000000"/>
          <w:lang w:val="en-US" w:eastAsia="zh-CN"/>
        </w:rPr>
        <w:t xml:space="preserve">                                </w:t>
      </w:r>
      <w:r>
        <w:rPr>
          <w:rFonts w:hint="eastAsia"/>
        </w:rPr>
        <w:t>供应商盖章（电子签名）：</w:t>
      </w:r>
    </w:p>
    <w:p w14:paraId="5EDA7B96">
      <w:pPr>
        <w:tabs>
          <w:tab w:val="left" w:pos="1494"/>
        </w:tabs>
        <w:spacing w:line="720" w:lineRule="auto"/>
        <w:rPr>
          <w:rFonts w:hint="eastAsia"/>
        </w:rPr>
      </w:pPr>
      <w:r>
        <w:rPr>
          <w:rFonts w:hint="eastAsia"/>
        </w:rPr>
        <w:t xml:space="preserve">                                        </w:t>
      </w:r>
      <w:r>
        <w:rPr>
          <w:rFonts w:hint="eastAsia"/>
          <w:lang w:val="en-US" w:eastAsia="zh-CN"/>
        </w:rPr>
        <w:t xml:space="preserve">                </w:t>
      </w:r>
      <w:r>
        <w:rPr>
          <w:rFonts w:hint="eastAsia"/>
        </w:rPr>
        <w:t>日  期：    年   月   日</w:t>
      </w:r>
    </w:p>
    <w:p w14:paraId="6C55CCDB">
      <w:pPr>
        <w:keepNext w:val="0"/>
        <w:keepLines w:val="0"/>
        <w:pageBreakBefore w:val="0"/>
        <w:widowControl w:val="0"/>
        <w:kinsoku/>
        <w:wordWrap/>
        <w:overflowPunct/>
        <w:topLinePunct w:val="0"/>
        <w:autoSpaceDE/>
        <w:autoSpaceDN/>
        <w:bidi w:val="0"/>
        <w:adjustRightInd w:val="0"/>
        <w:snapToGrid/>
        <w:spacing w:line="300" w:lineRule="exact"/>
        <w:ind w:left="-2" w:leftChars="-1" w:firstLine="420" w:firstLineChars="200"/>
        <w:textAlignment w:val="auto"/>
        <w:rPr>
          <w:rFonts w:hint="eastAsia" w:ascii="宋体" w:hAnsi="宋体" w:eastAsia="宋体" w:cs="宋体"/>
          <w:kern w:val="0"/>
          <w:sz w:val="21"/>
          <w:szCs w:val="21"/>
          <w:lang w:val="zh-CN"/>
        </w:rPr>
      </w:pPr>
      <w:r>
        <w:rPr>
          <w:rFonts w:hint="eastAsia" w:ascii="宋体" w:hAnsi="宋体" w:cs="宋体"/>
          <w:sz w:val="21"/>
          <w:szCs w:val="21"/>
        </w:rPr>
        <w:t>注：</w:t>
      </w:r>
      <w:r>
        <w:rPr>
          <w:rFonts w:hint="eastAsia" w:ascii="宋体" w:hAnsi="宋体" w:cs="宋体"/>
          <w:kern w:val="0"/>
          <w:sz w:val="21"/>
          <w:szCs w:val="21"/>
          <w:lang w:val="zh-CN"/>
        </w:rPr>
        <w:t>1、供应商需按本表格式</w:t>
      </w:r>
      <w:r>
        <w:rPr>
          <w:rFonts w:hint="eastAsia" w:ascii="宋体" w:hAnsi="宋体" w:eastAsia="宋体" w:cs="宋体"/>
          <w:kern w:val="0"/>
          <w:sz w:val="21"/>
          <w:szCs w:val="21"/>
          <w:lang w:val="zh-CN"/>
        </w:rPr>
        <w:t>填写，否则视为响应文件含有采购人不能接受的附加条件，响应无效。</w:t>
      </w:r>
    </w:p>
    <w:p w14:paraId="032523CE">
      <w:pPr>
        <w:keepNext w:val="0"/>
        <w:keepLines w:val="0"/>
        <w:pageBreakBefore w:val="0"/>
        <w:widowControl w:val="0"/>
        <w:kinsoku/>
        <w:wordWrap/>
        <w:overflowPunct/>
        <w:topLinePunct w:val="0"/>
        <w:autoSpaceDE/>
        <w:autoSpaceDN/>
        <w:bidi w:val="0"/>
        <w:adjustRightInd w:val="0"/>
        <w:snapToGrid/>
        <w:spacing w:line="300" w:lineRule="exact"/>
        <w:ind w:left="-2" w:leftChars="-1" w:firstLine="840" w:firstLineChars="400"/>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val="zh-CN"/>
        </w:rPr>
        <w:t>有关本项目实施所涉及的一切费用均计入报价。</w:t>
      </w:r>
      <w:r>
        <w:rPr>
          <w:rFonts w:hint="eastAsia" w:ascii="宋体" w:hAnsi="宋体" w:eastAsia="宋体" w:cs="宋体"/>
          <w:kern w:val="0"/>
          <w:sz w:val="21"/>
          <w:szCs w:val="21"/>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kern w:val="0"/>
          <w:sz w:val="21"/>
          <w:szCs w:val="21"/>
          <w:lang w:val="zh-CN"/>
        </w:rPr>
        <w:t>总价</w:t>
      </w:r>
      <w:r>
        <w:rPr>
          <w:rFonts w:hint="eastAsia" w:ascii="宋体" w:hAnsi="宋体" w:eastAsia="宋体" w:cs="宋体"/>
          <w:kern w:val="0"/>
          <w:sz w:val="21"/>
          <w:szCs w:val="21"/>
          <w:lang w:val="zh-CN" w:eastAsia="zh-CN"/>
        </w:rPr>
        <w:t>不为零</w:t>
      </w:r>
      <w:r>
        <w:rPr>
          <w:rFonts w:hint="eastAsia" w:ascii="宋体" w:hAnsi="宋体" w:eastAsia="宋体" w:cs="宋体"/>
          <w:kern w:val="0"/>
          <w:sz w:val="21"/>
          <w:szCs w:val="21"/>
          <w:lang w:val="zh-CN"/>
        </w:rPr>
        <w:t>，报价明细表中</w:t>
      </w:r>
      <w:r>
        <w:rPr>
          <w:rFonts w:hint="eastAsia" w:ascii="宋体" w:hAnsi="宋体" w:eastAsia="宋体" w:cs="宋体"/>
          <w:kern w:val="0"/>
          <w:sz w:val="21"/>
          <w:szCs w:val="21"/>
          <w:lang w:val="zh-CN" w:eastAsia="zh-CN"/>
        </w:rPr>
        <w:t>部分</w:t>
      </w:r>
      <w:r>
        <w:rPr>
          <w:rFonts w:hint="eastAsia" w:ascii="宋体" w:hAnsi="宋体" w:eastAsia="宋体" w:cs="宋体"/>
          <w:kern w:val="0"/>
          <w:sz w:val="21"/>
          <w:szCs w:val="21"/>
          <w:lang w:val="zh-CN"/>
        </w:rPr>
        <w:t>产品、服务单价为零的，视作已包含在总价中</w:t>
      </w:r>
      <w:r>
        <w:rPr>
          <w:rFonts w:hint="eastAsia" w:ascii="宋体" w:hAnsi="宋体" w:eastAsia="宋体" w:cs="宋体"/>
          <w:kern w:val="0"/>
          <w:sz w:val="21"/>
          <w:szCs w:val="21"/>
          <w:lang w:val="zh-CN" w:eastAsia="zh-CN"/>
        </w:rPr>
        <w:t>。</w:t>
      </w:r>
      <w:r>
        <w:rPr>
          <w:rFonts w:hint="eastAsia" w:ascii="宋体" w:hAnsi="宋体" w:eastAsia="宋体" w:cs="宋体"/>
          <w:kern w:val="0"/>
          <w:sz w:val="21"/>
          <w:szCs w:val="21"/>
          <w:lang w:val="zh-CN"/>
        </w:rPr>
        <w:t>采购内容未包含在《报价单》名称栏中，供应商不能作出合理解释的，视为响应文件含有采购人不能接受的附加条件的，响应文件无效。</w:t>
      </w:r>
    </w:p>
    <w:p w14:paraId="2CCCED3A">
      <w:pPr>
        <w:keepNext w:val="0"/>
        <w:keepLines w:val="0"/>
        <w:pageBreakBefore w:val="0"/>
        <w:widowControl w:val="0"/>
        <w:kinsoku/>
        <w:wordWrap/>
        <w:overflowPunct/>
        <w:topLinePunct w:val="0"/>
        <w:autoSpaceDE/>
        <w:autoSpaceDN/>
        <w:bidi w:val="0"/>
        <w:adjustRightInd w:val="0"/>
        <w:snapToGrid/>
        <w:spacing w:line="300" w:lineRule="exact"/>
        <w:ind w:left="-2" w:leftChars="-1" w:firstLine="630" w:firstLineChars="300"/>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7B4D9146">
      <w:pPr>
        <w:keepNext w:val="0"/>
        <w:keepLines w:val="0"/>
        <w:pageBreakBefore w:val="0"/>
        <w:widowControl w:val="0"/>
        <w:kinsoku/>
        <w:wordWrap/>
        <w:overflowPunct/>
        <w:topLinePunct w:val="0"/>
        <w:autoSpaceDE/>
        <w:autoSpaceDN/>
        <w:bidi w:val="0"/>
        <w:adjustRightInd w:val="0"/>
        <w:snapToGrid/>
        <w:spacing w:line="300" w:lineRule="exact"/>
        <w:ind w:left="-2" w:leftChars="-1" w:firstLine="630" w:firstLineChars="300"/>
        <w:textAlignment w:val="auto"/>
        <w:rPr>
          <w:rFonts w:hint="eastAsia" w:ascii="宋体" w:hAnsi="宋体" w:cs="宋体"/>
          <w:b/>
          <w:bCs/>
          <w:kern w:val="0"/>
          <w:sz w:val="21"/>
          <w:szCs w:val="21"/>
          <w:lang w:val="en-US" w:eastAsia="zh-CN"/>
        </w:rPr>
      </w:pPr>
      <w:r>
        <w:rPr>
          <w:rFonts w:hint="eastAsia" w:ascii="宋体" w:hAnsi="宋体" w:cs="宋体"/>
          <w:kern w:val="0"/>
          <w:sz w:val="21"/>
          <w:szCs w:val="21"/>
          <w:lang w:val="en-US" w:eastAsia="zh-CN"/>
        </w:rPr>
        <w:t>4、</w:t>
      </w:r>
      <w:r>
        <w:rPr>
          <w:rFonts w:hint="eastAsia" w:ascii="宋体" w:hAnsi="宋体" w:cs="宋体"/>
          <w:b/>
          <w:bCs/>
          <w:kern w:val="0"/>
          <w:sz w:val="21"/>
          <w:szCs w:val="21"/>
          <w:lang w:val="en-US" w:eastAsia="zh-CN"/>
        </w:rPr>
        <w:t>总报价=(预算金额-不可预见费)</w:t>
      </w:r>
      <w:r>
        <w:rPr>
          <w:rFonts w:hint="eastAsia" w:ascii="微软雅黑" w:hAnsi="微软雅黑" w:eastAsia="微软雅黑" w:cs="微软雅黑"/>
          <w:b/>
          <w:bCs/>
          <w:kern w:val="0"/>
          <w:sz w:val="21"/>
          <w:szCs w:val="21"/>
          <w:lang w:val="en-US" w:eastAsia="zh-CN"/>
        </w:rPr>
        <w:t>×</w:t>
      </w:r>
      <w:r>
        <w:rPr>
          <w:rFonts w:hint="eastAsia" w:ascii="宋体" w:hAnsi="宋体" w:cs="宋体"/>
          <w:b/>
          <w:bCs/>
          <w:kern w:val="0"/>
          <w:sz w:val="21"/>
          <w:szCs w:val="21"/>
          <w:lang w:val="en-US" w:eastAsia="zh-CN"/>
        </w:rPr>
        <w:t>(1-下浮率)+不可预见费。例如，某投标人下浮率填报为“10%”，其中含税不可预见费31610元，则该投标人投标总价=(</w:t>
      </w:r>
      <w:r>
        <w:rPr>
          <w:rFonts w:hint="eastAsia" w:ascii="宋体" w:hAnsi="宋体" w:cs="宋体"/>
          <w:b/>
          <w:bCs/>
          <w:color w:val="auto"/>
          <w:sz w:val="21"/>
          <w:szCs w:val="21"/>
          <w:highlight w:val="none"/>
          <w:lang w:val="en-US" w:eastAsia="zh-CN"/>
        </w:rPr>
        <w:t>648386-31610</w:t>
      </w:r>
      <w:r>
        <w:rPr>
          <w:rFonts w:hint="eastAsia" w:ascii="宋体" w:hAnsi="宋体" w:cs="宋体"/>
          <w:b/>
          <w:bCs/>
          <w:kern w:val="0"/>
          <w:sz w:val="21"/>
          <w:szCs w:val="21"/>
          <w:lang w:val="en-US" w:eastAsia="zh-CN"/>
        </w:rPr>
        <w:t>)</w:t>
      </w:r>
      <w:r>
        <w:rPr>
          <w:rFonts w:hint="eastAsia" w:ascii="微软雅黑" w:hAnsi="微软雅黑" w:eastAsia="微软雅黑" w:cs="微软雅黑"/>
          <w:b/>
          <w:bCs/>
          <w:kern w:val="0"/>
          <w:sz w:val="21"/>
          <w:szCs w:val="21"/>
          <w:lang w:val="en-US" w:eastAsia="zh-CN"/>
        </w:rPr>
        <w:t>×</w:t>
      </w:r>
      <w:r>
        <w:rPr>
          <w:rFonts w:hint="eastAsia" w:ascii="宋体" w:hAnsi="宋体" w:cs="宋体"/>
          <w:b/>
          <w:bCs/>
          <w:kern w:val="0"/>
          <w:sz w:val="21"/>
          <w:szCs w:val="21"/>
          <w:lang w:val="en-US" w:eastAsia="zh-CN"/>
        </w:rPr>
        <w:t>(1-10%)+31610=586708元</w:t>
      </w:r>
    </w:p>
    <w:p w14:paraId="34C59376">
      <w:pPr>
        <w:keepNext w:val="0"/>
        <w:keepLines w:val="0"/>
        <w:pageBreakBefore w:val="0"/>
        <w:widowControl w:val="0"/>
        <w:kinsoku/>
        <w:wordWrap/>
        <w:overflowPunct/>
        <w:topLinePunct w:val="0"/>
        <w:autoSpaceDE/>
        <w:autoSpaceDN/>
        <w:bidi w:val="0"/>
        <w:adjustRightInd w:val="0"/>
        <w:snapToGrid/>
        <w:spacing w:line="300" w:lineRule="exact"/>
        <w:ind w:left="-2" w:leftChars="-1" w:firstLine="632" w:firstLineChars="300"/>
        <w:textAlignment w:val="auto"/>
        <w:rPr>
          <w:rFonts w:hint="eastAsia" w:ascii="宋体" w:hAnsi="宋体" w:eastAsia="宋体" w:cs="宋体"/>
          <w:kern w:val="0"/>
          <w:sz w:val="21"/>
          <w:szCs w:val="21"/>
          <w:lang w:val="en-US" w:eastAsia="zh-CN"/>
        </w:rPr>
      </w:pPr>
      <w:r>
        <w:rPr>
          <w:rFonts w:hint="eastAsia" w:ascii="宋体" w:hAnsi="宋体" w:cs="宋体"/>
          <w:b/>
          <w:bCs/>
          <w:kern w:val="0"/>
          <w:sz w:val="21"/>
          <w:szCs w:val="21"/>
          <w:lang w:val="en-US" w:eastAsia="zh-CN"/>
        </w:rPr>
        <w:t>5、</w:t>
      </w:r>
      <w:r>
        <w:rPr>
          <w:rFonts w:hint="eastAsia" w:ascii="宋体" w:hAnsi="宋体" w:eastAsia="宋体" w:cs="宋体"/>
          <w:b/>
          <w:bCs/>
          <w:kern w:val="0"/>
          <w:sz w:val="21"/>
          <w:szCs w:val="21"/>
          <w:lang w:val="en-US" w:eastAsia="zh-CN"/>
        </w:rPr>
        <w:t>总报价保留至整数位。</w:t>
      </w:r>
    </w:p>
    <w:p w14:paraId="0B5D505F">
      <w:pPr>
        <w:pStyle w:val="691"/>
        <w:keepNext w:val="0"/>
        <w:tabs>
          <w:tab w:val="clear" w:pos="720"/>
        </w:tabs>
        <w:snapToGrid w:val="0"/>
        <w:spacing w:before="120" w:after="120"/>
        <w:ind w:firstLine="630"/>
        <w:outlineLvl w:val="9"/>
        <w:rPr>
          <w:rFonts w:ascii="宋体" w:hAnsi="宋体" w:eastAsia="宋体" w:cs="宋体"/>
          <w:kern w:val="2"/>
          <w:sz w:val="32"/>
          <w:szCs w:val="32"/>
        </w:rPr>
      </w:pPr>
      <w:r>
        <w:rPr>
          <w:rFonts w:hint="eastAsia" w:ascii="宋体" w:hAnsi="宋体" w:eastAsia="宋体" w:cs="宋体"/>
          <w:kern w:val="2"/>
          <w:sz w:val="32"/>
          <w:szCs w:val="32"/>
        </w:rPr>
        <w:t>二、已标价工程量清单</w:t>
      </w:r>
    </w:p>
    <w:p w14:paraId="72CDBE14">
      <w:pPr>
        <w:ind w:right="420"/>
        <w:rPr>
          <w:rFonts w:ascii="宋体" w:hAnsi="宋体" w:eastAsia="宋体" w:cs="宋体"/>
          <w:b/>
          <w:color w:val="auto"/>
          <w:kern w:val="2"/>
          <w:sz w:val="32"/>
          <w:szCs w:val="32"/>
          <w:highlight w:val="none"/>
          <w:lang w:val="en-US" w:eastAsia="zh-CN" w:bidi="ar-SA"/>
        </w:rPr>
      </w:pPr>
      <w:r>
        <w:rPr>
          <w:rFonts w:hint="eastAsia" w:ascii="宋体" w:hAnsi="宋体" w:cs="宋体"/>
          <w:sz w:val="24"/>
        </w:rPr>
        <w:t>注：按工程量清单编制。</w:t>
      </w:r>
    </w:p>
    <w:tbl>
      <w:tblPr>
        <w:tblStyle w:val="62"/>
        <w:tblW w:w="10190"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19"/>
        <w:gridCol w:w="1016"/>
        <w:gridCol w:w="1026"/>
        <w:gridCol w:w="1466"/>
        <w:gridCol w:w="586"/>
        <w:gridCol w:w="764"/>
        <w:gridCol w:w="725"/>
        <w:gridCol w:w="723"/>
        <w:gridCol w:w="923"/>
        <w:gridCol w:w="852"/>
        <w:gridCol w:w="784"/>
        <w:gridCol w:w="706"/>
      </w:tblGrid>
      <w:tr w14:paraId="2A9E3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6" w:hRule="atLeast"/>
        </w:trPr>
        <w:tc>
          <w:tcPr>
            <w:tcW w:w="10190" w:type="dxa"/>
            <w:gridSpan w:val="12"/>
            <w:shd w:val="clear" w:color="auto" w:fill="FFFFFF"/>
            <w:vAlign w:val="center"/>
          </w:tcPr>
          <w:p w14:paraId="5307E1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32"/>
                <w:szCs w:val="32"/>
                <w:u w:val="none"/>
                <w:lang w:val="en-US" w:eastAsia="zh-CN" w:bidi="ar"/>
              </w:rPr>
              <w:t>分部分项工程清单与计价表</w:t>
            </w:r>
          </w:p>
        </w:tc>
      </w:tr>
      <w:tr w14:paraId="34302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3" w:hRule="atLeast"/>
        </w:trPr>
        <w:tc>
          <w:tcPr>
            <w:tcW w:w="5477" w:type="dxa"/>
            <w:gridSpan w:val="6"/>
            <w:shd w:val="clear" w:color="auto" w:fill="FFFFFF"/>
            <w:vAlign w:val="bottom"/>
          </w:tcPr>
          <w:p w14:paraId="4B7655CE">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单位(专业)工程名称:单项工程-建筑</w:t>
            </w:r>
          </w:p>
        </w:tc>
        <w:tc>
          <w:tcPr>
            <w:tcW w:w="2371" w:type="dxa"/>
            <w:gridSpan w:val="3"/>
            <w:shd w:val="clear" w:color="auto" w:fill="FFFFFF"/>
            <w:vAlign w:val="bottom"/>
          </w:tcPr>
          <w:p w14:paraId="57C60B66">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342" w:type="dxa"/>
            <w:gridSpan w:val="3"/>
            <w:shd w:val="clear" w:color="auto" w:fill="FFFFFF"/>
            <w:vAlign w:val="bottom"/>
          </w:tcPr>
          <w:p w14:paraId="5B113474">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14:paraId="70941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3" w:hRule="atLeast"/>
        </w:trPr>
        <w:tc>
          <w:tcPr>
            <w:tcW w:w="619" w:type="dxa"/>
            <w:vMerge w:val="restart"/>
            <w:shd w:val="clear" w:color="auto" w:fill="FFFFFF"/>
            <w:vAlign w:val="center"/>
          </w:tcPr>
          <w:p w14:paraId="44EC44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016" w:type="dxa"/>
            <w:vMerge w:val="restart"/>
            <w:shd w:val="clear" w:color="auto" w:fill="FFFFFF"/>
            <w:vAlign w:val="center"/>
          </w:tcPr>
          <w:p w14:paraId="1DB196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026" w:type="dxa"/>
            <w:vMerge w:val="restart"/>
            <w:shd w:val="clear" w:color="auto" w:fill="FFFFFF"/>
            <w:vAlign w:val="center"/>
          </w:tcPr>
          <w:p w14:paraId="040D2D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466" w:type="dxa"/>
            <w:vMerge w:val="restart"/>
            <w:shd w:val="clear" w:color="auto" w:fill="FFFFFF"/>
            <w:vAlign w:val="center"/>
          </w:tcPr>
          <w:p w14:paraId="250440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586" w:type="dxa"/>
            <w:vMerge w:val="restart"/>
            <w:shd w:val="clear" w:color="auto" w:fill="FFFFFF"/>
            <w:vAlign w:val="center"/>
          </w:tcPr>
          <w:p w14:paraId="2F4E51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764" w:type="dxa"/>
            <w:vMerge w:val="restart"/>
            <w:shd w:val="clear" w:color="auto" w:fill="FFFFFF"/>
            <w:vAlign w:val="center"/>
          </w:tcPr>
          <w:p w14:paraId="42A198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4007" w:type="dxa"/>
            <w:gridSpan w:val="5"/>
            <w:shd w:val="clear" w:color="auto" w:fill="FFFFFF"/>
            <w:vAlign w:val="center"/>
          </w:tcPr>
          <w:p w14:paraId="00402A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06" w:type="dxa"/>
            <w:vMerge w:val="restart"/>
            <w:shd w:val="clear" w:color="auto" w:fill="FFFFFF"/>
            <w:vAlign w:val="center"/>
          </w:tcPr>
          <w:p w14:paraId="42559F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6B074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9" w:type="dxa"/>
            <w:vMerge w:val="continue"/>
            <w:shd w:val="clear" w:color="auto" w:fill="FFFFFF"/>
            <w:vAlign w:val="center"/>
          </w:tcPr>
          <w:p w14:paraId="2DD5F43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16" w:type="dxa"/>
            <w:vMerge w:val="continue"/>
            <w:shd w:val="clear" w:color="auto" w:fill="FFFFFF"/>
            <w:vAlign w:val="center"/>
          </w:tcPr>
          <w:p w14:paraId="371BCDB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26" w:type="dxa"/>
            <w:vMerge w:val="continue"/>
            <w:shd w:val="clear" w:color="auto" w:fill="FFFFFF"/>
            <w:vAlign w:val="center"/>
          </w:tcPr>
          <w:p w14:paraId="15986B4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466" w:type="dxa"/>
            <w:vMerge w:val="continue"/>
            <w:shd w:val="clear" w:color="auto" w:fill="FFFFFF"/>
            <w:vAlign w:val="center"/>
          </w:tcPr>
          <w:p w14:paraId="3805FCA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586" w:type="dxa"/>
            <w:vMerge w:val="continue"/>
            <w:shd w:val="clear" w:color="auto" w:fill="FFFFFF"/>
            <w:vAlign w:val="center"/>
          </w:tcPr>
          <w:p w14:paraId="5457553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64" w:type="dxa"/>
            <w:vMerge w:val="continue"/>
            <w:shd w:val="clear" w:color="auto" w:fill="FFFFFF"/>
            <w:vAlign w:val="center"/>
          </w:tcPr>
          <w:p w14:paraId="6474A13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25" w:type="dxa"/>
            <w:vMerge w:val="restart"/>
            <w:shd w:val="clear" w:color="auto" w:fill="FFFFFF"/>
            <w:vAlign w:val="center"/>
          </w:tcPr>
          <w:p w14:paraId="5CCE10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723" w:type="dxa"/>
            <w:vMerge w:val="restart"/>
            <w:shd w:val="clear" w:color="auto" w:fill="FFFFFF"/>
            <w:vAlign w:val="center"/>
          </w:tcPr>
          <w:p w14:paraId="143026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2559" w:type="dxa"/>
            <w:gridSpan w:val="3"/>
            <w:shd w:val="clear" w:color="auto" w:fill="FFFFFF"/>
            <w:vAlign w:val="center"/>
          </w:tcPr>
          <w:p w14:paraId="36234E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06" w:type="dxa"/>
            <w:vMerge w:val="continue"/>
            <w:shd w:val="clear" w:color="auto" w:fill="FFFFFF"/>
            <w:vAlign w:val="center"/>
          </w:tcPr>
          <w:p w14:paraId="063CBD6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2E30F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3" w:hRule="atLeast"/>
        </w:trPr>
        <w:tc>
          <w:tcPr>
            <w:tcW w:w="619" w:type="dxa"/>
            <w:vMerge w:val="continue"/>
            <w:shd w:val="clear" w:color="auto" w:fill="FFFFFF"/>
            <w:vAlign w:val="center"/>
          </w:tcPr>
          <w:p w14:paraId="3B58CC0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16" w:type="dxa"/>
            <w:vMerge w:val="continue"/>
            <w:shd w:val="clear" w:color="auto" w:fill="FFFFFF"/>
            <w:vAlign w:val="center"/>
          </w:tcPr>
          <w:p w14:paraId="4C673B2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26" w:type="dxa"/>
            <w:vMerge w:val="continue"/>
            <w:shd w:val="clear" w:color="auto" w:fill="FFFFFF"/>
            <w:vAlign w:val="center"/>
          </w:tcPr>
          <w:p w14:paraId="60FF5A6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466" w:type="dxa"/>
            <w:vMerge w:val="continue"/>
            <w:shd w:val="clear" w:color="auto" w:fill="FFFFFF"/>
            <w:vAlign w:val="center"/>
          </w:tcPr>
          <w:p w14:paraId="714E96F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586" w:type="dxa"/>
            <w:vMerge w:val="continue"/>
            <w:shd w:val="clear" w:color="auto" w:fill="FFFFFF"/>
            <w:vAlign w:val="center"/>
          </w:tcPr>
          <w:p w14:paraId="47D9FD9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64" w:type="dxa"/>
            <w:vMerge w:val="continue"/>
            <w:shd w:val="clear" w:color="auto" w:fill="FFFFFF"/>
            <w:vAlign w:val="center"/>
          </w:tcPr>
          <w:p w14:paraId="4F0F010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25" w:type="dxa"/>
            <w:vMerge w:val="continue"/>
            <w:shd w:val="clear" w:color="auto" w:fill="FFFFFF"/>
            <w:vAlign w:val="center"/>
          </w:tcPr>
          <w:p w14:paraId="2095792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23" w:type="dxa"/>
            <w:vMerge w:val="continue"/>
            <w:shd w:val="clear" w:color="auto" w:fill="FFFFFF"/>
            <w:vAlign w:val="center"/>
          </w:tcPr>
          <w:p w14:paraId="277CF01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23" w:type="dxa"/>
            <w:shd w:val="clear" w:color="auto" w:fill="FFFFFF"/>
            <w:vAlign w:val="center"/>
          </w:tcPr>
          <w:p w14:paraId="1C9832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852" w:type="dxa"/>
            <w:shd w:val="clear" w:color="auto" w:fill="FFFFFF"/>
            <w:vAlign w:val="center"/>
          </w:tcPr>
          <w:p w14:paraId="6CFF72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784" w:type="dxa"/>
            <w:shd w:val="clear" w:color="auto" w:fill="FFFFFF"/>
            <w:vAlign w:val="center"/>
          </w:tcPr>
          <w:p w14:paraId="04A710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06" w:type="dxa"/>
            <w:vMerge w:val="continue"/>
            <w:shd w:val="clear" w:color="auto" w:fill="FFFFFF"/>
            <w:vAlign w:val="center"/>
          </w:tcPr>
          <w:p w14:paraId="1266332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49842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19" w:type="dxa"/>
            <w:shd w:val="clear" w:color="auto" w:fill="FFFFFF"/>
            <w:vAlign w:val="center"/>
          </w:tcPr>
          <w:p w14:paraId="1CA22A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16" w:type="dxa"/>
            <w:shd w:val="clear" w:color="auto" w:fill="FFFFFF"/>
            <w:vAlign w:val="center"/>
          </w:tcPr>
          <w:p w14:paraId="51911F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011609001001</w:t>
            </w:r>
          </w:p>
        </w:tc>
        <w:tc>
          <w:tcPr>
            <w:tcW w:w="1026" w:type="dxa"/>
            <w:shd w:val="clear" w:color="auto" w:fill="FFFFFF"/>
            <w:vAlign w:val="center"/>
          </w:tcPr>
          <w:p w14:paraId="42C5F2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栏杆、栏板拆除</w:t>
            </w:r>
          </w:p>
        </w:tc>
        <w:tc>
          <w:tcPr>
            <w:tcW w:w="1466" w:type="dxa"/>
            <w:shd w:val="clear" w:color="auto" w:fill="FFFFFF"/>
            <w:vAlign w:val="center"/>
          </w:tcPr>
          <w:p w14:paraId="006AFA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1.金属栏杆拆除、清理</w:t>
            </w:r>
          </w:p>
        </w:tc>
        <w:tc>
          <w:tcPr>
            <w:tcW w:w="586" w:type="dxa"/>
            <w:shd w:val="clear" w:color="auto" w:fill="FFFFFF"/>
            <w:vAlign w:val="center"/>
          </w:tcPr>
          <w:p w14:paraId="3C417F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64" w:type="dxa"/>
            <w:shd w:val="clear" w:color="auto" w:fill="FFFFFF"/>
            <w:vAlign w:val="center"/>
          </w:tcPr>
          <w:p w14:paraId="76F180C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248.10</w:t>
            </w:r>
          </w:p>
        </w:tc>
        <w:tc>
          <w:tcPr>
            <w:tcW w:w="725" w:type="dxa"/>
            <w:shd w:val="clear" w:color="auto" w:fill="FFFFFF"/>
            <w:vAlign w:val="center"/>
          </w:tcPr>
          <w:p w14:paraId="7C183F7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723" w:type="dxa"/>
            <w:shd w:val="clear" w:color="auto" w:fill="FFFFFF"/>
            <w:vAlign w:val="center"/>
          </w:tcPr>
          <w:p w14:paraId="709F371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23" w:type="dxa"/>
            <w:shd w:val="clear" w:color="auto" w:fill="FFFFFF"/>
            <w:vAlign w:val="center"/>
          </w:tcPr>
          <w:p w14:paraId="32E7870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852" w:type="dxa"/>
            <w:shd w:val="clear" w:color="auto" w:fill="FFFFFF"/>
            <w:vAlign w:val="center"/>
          </w:tcPr>
          <w:p w14:paraId="5681E4A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784" w:type="dxa"/>
            <w:shd w:val="clear" w:color="auto" w:fill="FFFFFF"/>
            <w:vAlign w:val="center"/>
          </w:tcPr>
          <w:p w14:paraId="1120E86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706" w:type="dxa"/>
            <w:shd w:val="clear" w:color="auto" w:fill="FFFFFF"/>
            <w:vAlign w:val="center"/>
          </w:tcPr>
          <w:p w14:paraId="406B07F4">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r>
      <w:tr w14:paraId="604CF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19" w:type="dxa"/>
            <w:shd w:val="clear" w:color="auto" w:fill="FFFFFF"/>
            <w:vAlign w:val="center"/>
          </w:tcPr>
          <w:p w14:paraId="37E3B3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16" w:type="dxa"/>
            <w:shd w:val="clear" w:color="auto" w:fill="FFFFFF"/>
            <w:vAlign w:val="center"/>
          </w:tcPr>
          <w:p w14:paraId="4EEFF8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011610001001</w:t>
            </w:r>
          </w:p>
        </w:tc>
        <w:tc>
          <w:tcPr>
            <w:tcW w:w="1026" w:type="dxa"/>
            <w:shd w:val="clear" w:color="auto" w:fill="FFFFFF"/>
            <w:vAlign w:val="center"/>
          </w:tcPr>
          <w:p w14:paraId="16D9F3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木门窗拆除</w:t>
            </w:r>
          </w:p>
        </w:tc>
        <w:tc>
          <w:tcPr>
            <w:tcW w:w="1466" w:type="dxa"/>
            <w:shd w:val="clear" w:color="auto" w:fill="FFFFFF"/>
            <w:vAlign w:val="center"/>
          </w:tcPr>
          <w:p w14:paraId="705A179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1.木门窗拆除、清理</w:t>
            </w:r>
          </w:p>
        </w:tc>
        <w:tc>
          <w:tcPr>
            <w:tcW w:w="586" w:type="dxa"/>
            <w:shd w:val="clear" w:color="auto" w:fill="FFFFFF"/>
            <w:vAlign w:val="center"/>
          </w:tcPr>
          <w:p w14:paraId="20BC5E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4" w:type="dxa"/>
            <w:shd w:val="clear" w:color="auto" w:fill="FFFFFF"/>
            <w:vAlign w:val="center"/>
          </w:tcPr>
          <w:p w14:paraId="1956E0E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129.72</w:t>
            </w:r>
          </w:p>
        </w:tc>
        <w:tc>
          <w:tcPr>
            <w:tcW w:w="725" w:type="dxa"/>
            <w:shd w:val="clear" w:color="auto" w:fill="FFFFFF"/>
            <w:vAlign w:val="center"/>
          </w:tcPr>
          <w:p w14:paraId="6C1D52E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723" w:type="dxa"/>
            <w:shd w:val="clear" w:color="auto" w:fill="FFFFFF"/>
            <w:vAlign w:val="center"/>
          </w:tcPr>
          <w:p w14:paraId="3882AD3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23" w:type="dxa"/>
            <w:shd w:val="clear" w:color="auto" w:fill="FFFFFF"/>
            <w:vAlign w:val="center"/>
          </w:tcPr>
          <w:p w14:paraId="1802760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852" w:type="dxa"/>
            <w:shd w:val="clear" w:color="auto" w:fill="FFFFFF"/>
            <w:vAlign w:val="center"/>
          </w:tcPr>
          <w:p w14:paraId="0281393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784" w:type="dxa"/>
            <w:shd w:val="clear" w:color="auto" w:fill="FFFFFF"/>
            <w:vAlign w:val="center"/>
          </w:tcPr>
          <w:p w14:paraId="0BD055A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706" w:type="dxa"/>
            <w:shd w:val="clear" w:color="auto" w:fill="FFFFFF"/>
            <w:vAlign w:val="center"/>
          </w:tcPr>
          <w:p w14:paraId="2BA6F041">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r>
      <w:tr w14:paraId="27912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4" w:hRule="atLeast"/>
        </w:trPr>
        <w:tc>
          <w:tcPr>
            <w:tcW w:w="619" w:type="dxa"/>
            <w:shd w:val="clear" w:color="auto" w:fill="FFFFFF"/>
            <w:vAlign w:val="center"/>
          </w:tcPr>
          <w:p w14:paraId="5ED72E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16" w:type="dxa"/>
            <w:shd w:val="clear" w:color="auto" w:fill="FFFFFF"/>
            <w:vAlign w:val="center"/>
          </w:tcPr>
          <w:p w14:paraId="59EEC0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010807001001</w:t>
            </w:r>
          </w:p>
        </w:tc>
        <w:tc>
          <w:tcPr>
            <w:tcW w:w="1026" w:type="dxa"/>
            <w:shd w:val="clear" w:color="auto" w:fill="FFFFFF"/>
            <w:vAlign w:val="center"/>
          </w:tcPr>
          <w:p w14:paraId="4459B3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金属（塑钢、断桥）窗</w:t>
            </w:r>
          </w:p>
        </w:tc>
        <w:tc>
          <w:tcPr>
            <w:tcW w:w="1466" w:type="dxa"/>
            <w:shd w:val="clear" w:color="auto" w:fill="FFFFFF"/>
            <w:vAlign w:val="center"/>
          </w:tcPr>
          <w:p w14:paraId="60746C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1.隔热断桥铝合金推拉窗安装 三玻两腔中空玻璃6+12A+6+12A+6</w:t>
            </w:r>
          </w:p>
        </w:tc>
        <w:tc>
          <w:tcPr>
            <w:tcW w:w="586" w:type="dxa"/>
            <w:shd w:val="clear" w:color="auto" w:fill="FFFFFF"/>
            <w:vAlign w:val="center"/>
          </w:tcPr>
          <w:p w14:paraId="781D19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4" w:type="dxa"/>
            <w:shd w:val="clear" w:color="auto" w:fill="FFFFFF"/>
            <w:vAlign w:val="center"/>
          </w:tcPr>
          <w:p w14:paraId="62E51CB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444.60</w:t>
            </w:r>
          </w:p>
        </w:tc>
        <w:tc>
          <w:tcPr>
            <w:tcW w:w="725" w:type="dxa"/>
            <w:shd w:val="clear" w:color="auto" w:fill="FFFFFF"/>
            <w:vAlign w:val="center"/>
          </w:tcPr>
          <w:p w14:paraId="57C6758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723" w:type="dxa"/>
            <w:shd w:val="clear" w:color="auto" w:fill="FFFFFF"/>
            <w:vAlign w:val="center"/>
          </w:tcPr>
          <w:p w14:paraId="542F39B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23" w:type="dxa"/>
            <w:shd w:val="clear" w:color="auto" w:fill="FFFFFF"/>
            <w:vAlign w:val="center"/>
          </w:tcPr>
          <w:p w14:paraId="34834E7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852" w:type="dxa"/>
            <w:shd w:val="clear" w:color="auto" w:fill="FFFFFF"/>
            <w:vAlign w:val="center"/>
          </w:tcPr>
          <w:p w14:paraId="7A79772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784" w:type="dxa"/>
            <w:shd w:val="clear" w:color="auto" w:fill="FFFFFF"/>
            <w:vAlign w:val="center"/>
          </w:tcPr>
          <w:p w14:paraId="5FC75FB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706" w:type="dxa"/>
            <w:shd w:val="clear" w:color="auto" w:fill="FFFFFF"/>
            <w:vAlign w:val="center"/>
          </w:tcPr>
          <w:p w14:paraId="3B4450E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r>
      <w:tr w14:paraId="209B8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0" w:hRule="atLeast"/>
        </w:trPr>
        <w:tc>
          <w:tcPr>
            <w:tcW w:w="619" w:type="dxa"/>
            <w:shd w:val="clear" w:color="auto" w:fill="FFFFFF"/>
            <w:vAlign w:val="center"/>
          </w:tcPr>
          <w:p w14:paraId="24A351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16" w:type="dxa"/>
            <w:shd w:val="clear" w:color="auto" w:fill="FFFFFF"/>
            <w:vAlign w:val="center"/>
          </w:tcPr>
          <w:p w14:paraId="3FA854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010802003002</w:t>
            </w:r>
          </w:p>
        </w:tc>
        <w:tc>
          <w:tcPr>
            <w:tcW w:w="1026" w:type="dxa"/>
            <w:shd w:val="clear" w:color="auto" w:fill="FFFFFF"/>
            <w:vAlign w:val="center"/>
          </w:tcPr>
          <w:p w14:paraId="5F0059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钢质防火门</w:t>
            </w:r>
          </w:p>
        </w:tc>
        <w:tc>
          <w:tcPr>
            <w:tcW w:w="1466" w:type="dxa"/>
            <w:shd w:val="clear" w:color="auto" w:fill="FFFFFF"/>
            <w:vAlign w:val="center"/>
          </w:tcPr>
          <w:p w14:paraId="5B93E1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1.钢质乙级防火门安装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2.明装闭门器</w:t>
            </w:r>
          </w:p>
        </w:tc>
        <w:tc>
          <w:tcPr>
            <w:tcW w:w="586" w:type="dxa"/>
            <w:shd w:val="clear" w:color="auto" w:fill="FFFFFF"/>
            <w:vAlign w:val="center"/>
          </w:tcPr>
          <w:p w14:paraId="3615BA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4" w:type="dxa"/>
            <w:shd w:val="clear" w:color="auto" w:fill="FFFFFF"/>
            <w:vAlign w:val="center"/>
          </w:tcPr>
          <w:p w14:paraId="39293F5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129.72</w:t>
            </w:r>
          </w:p>
        </w:tc>
        <w:tc>
          <w:tcPr>
            <w:tcW w:w="725" w:type="dxa"/>
            <w:shd w:val="clear" w:color="auto" w:fill="FFFFFF"/>
            <w:vAlign w:val="center"/>
          </w:tcPr>
          <w:p w14:paraId="551545C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723" w:type="dxa"/>
            <w:shd w:val="clear" w:color="auto" w:fill="FFFFFF"/>
            <w:vAlign w:val="center"/>
          </w:tcPr>
          <w:p w14:paraId="629C5A4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23" w:type="dxa"/>
            <w:shd w:val="clear" w:color="auto" w:fill="FFFFFF"/>
            <w:vAlign w:val="center"/>
          </w:tcPr>
          <w:p w14:paraId="6172E6A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852" w:type="dxa"/>
            <w:shd w:val="clear" w:color="auto" w:fill="FFFFFF"/>
            <w:vAlign w:val="center"/>
          </w:tcPr>
          <w:p w14:paraId="50C339A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784" w:type="dxa"/>
            <w:shd w:val="clear" w:color="auto" w:fill="FFFFFF"/>
            <w:vAlign w:val="center"/>
          </w:tcPr>
          <w:p w14:paraId="6765A44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706" w:type="dxa"/>
            <w:shd w:val="clear" w:color="auto" w:fill="FFFFFF"/>
            <w:vAlign w:val="center"/>
          </w:tcPr>
          <w:p w14:paraId="6BDDB8D7">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r>
      <w:tr w14:paraId="5CA3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4" w:hRule="atLeast"/>
        </w:trPr>
        <w:tc>
          <w:tcPr>
            <w:tcW w:w="619" w:type="dxa"/>
            <w:shd w:val="clear" w:color="auto" w:fill="FFFFFF"/>
            <w:vAlign w:val="center"/>
          </w:tcPr>
          <w:p w14:paraId="2816BE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16" w:type="dxa"/>
            <w:shd w:val="clear" w:color="auto" w:fill="FFFFFF"/>
            <w:vAlign w:val="center"/>
          </w:tcPr>
          <w:p w14:paraId="5B91E3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011503001001</w:t>
            </w:r>
          </w:p>
        </w:tc>
        <w:tc>
          <w:tcPr>
            <w:tcW w:w="1026" w:type="dxa"/>
            <w:shd w:val="clear" w:color="auto" w:fill="FFFFFF"/>
            <w:vAlign w:val="center"/>
          </w:tcPr>
          <w:p w14:paraId="16E851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金属扶手、栏杆、栏板</w:t>
            </w:r>
          </w:p>
        </w:tc>
        <w:tc>
          <w:tcPr>
            <w:tcW w:w="1466" w:type="dxa"/>
            <w:shd w:val="clear" w:color="auto" w:fill="FFFFFF"/>
            <w:vAlign w:val="center"/>
          </w:tcPr>
          <w:p w14:paraId="2CAA4A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1.护窗不锈钢栏杆 不锈钢扶手 φ60不锈钢管扶手 壁厚3mm φ28不锈钢栏杆 壁厚1.2mm 高400mm</w:t>
            </w:r>
          </w:p>
        </w:tc>
        <w:tc>
          <w:tcPr>
            <w:tcW w:w="586" w:type="dxa"/>
            <w:shd w:val="clear" w:color="auto" w:fill="FFFFFF"/>
            <w:vAlign w:val="center"/>
          </w:tcPr>
          <w:p w14:paraId="25AA68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64" w:type="dxa"/>
            <w:shd w:val="clear" w:color="auto" w:fill="FFFFFF"/>
            <w:vAlign w:val="center"/>
          </w:tcPr>
          <w:p w14:paraId="7591B36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248.10</w:t>
            </w:r>
          </w:p>
        </w:tc>
        <w:tc>
          <w:tcPr>
            <w:tcW w:w="725" w:type="dxa"/>
            <w:shd w:val="clear" w:color="auto" w:fill="FFFFFF"/>
            <w:vAlign w:val="center"/>
          </w:tcPr>
          <w:p w14:paraId="0FC991A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723" w:type="dxa"/>
            <w:shd w:val="clear" w:color="auto" w:fill="FFFFFF"/>
            <w:vAlign w:val="center"/>
          </w:tcPr>
          <w:p w14:paraId="02AE751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23" w:type="dxa"/>
            <w:shd w:val="clear" w:color="auto" w:fill="FFFFFF"/>
            <w:vAlign w:val="center"/>
          </w:tcPr>
          <w:p w14:paraId="3886F58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852" w:type="dxa"/>
            <w:shd w:val="clear" w:color="auto" w:fill="FFFFFF"/>
            <w:vAlign w:val="center"/>
          </w:tcPr>
          <w:p w14:paraId="0461BB4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784" w:type="dxa"/>
            <w:shd w:val="clear" w:color="auto" w:fill="FFFFFF"/>
            <w:vAlign w:val="center"/>
          </w:tcPr>
          <w:p w14:paraId="2FF9D7E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706" w:type="dxa"/>
            <w:shd w:val="clear" w:color="auto" w:fill="FFFFFF"/>
            <w:vAlign w:val="center"/>
          </w:tcPr>
          <w:p w14:paraId="1D25819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r>
      <w:tr w14:paraId="791BF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4" w:hRule="atLeast"/>
        </w:trPr>
        <w:tc>
          <w:tcPr>
            <w:tcW w:w="619" w:type="dxa"/>
            <w:shd w:val="clear" w:color="auto" w:fill="FFFFFF"/>
            <w:vAlign w:val="center"/>
          </w:tcPr>
          <w:p w14:paraId="38A0CD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16" w:type="dxa"/>
            <w:shd w:val="clear" w:color="auto" w:fill="FFFFFF"/>
            <w:vAlign w:val="center"/>
          </w:tcPr>
          <w:p w14:paraId="797BE2B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01B003</w:t>
            </w:r>
          </w:p>
        </w:tc>
        <w:tc>
          <w:tcPr>
            <w:tcW w:w="1026" w:type="dxa"/>
            <w:shd w:val="clear" w:color="auto" w:fill="FFFFFF"/>
            <w:vAlign w:val="center"/>
          </w:tcPr>
          <w:p w14:paraId="7206FA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建筑垃圾清理及外运</w:t>
            </w:r>
          </w:p>
        </w:tc>
        <w:tc>
          <w:tcPr>
            <w:tcW w:w="1466" w:type="dxa"/>
            <w:shd w:val="clear" w:color="auto" w:fill="FFFFFF"/>
            <w:vAlign w:val="center"/>
          </w:tcPr>
          <w:p w14:paraId="681B2C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1.门洞砂浆修复，建筑垃圾清理及外运，包干使用，结算时不做调整</w:t>
            </w:r>
          </w:p>
        </w:tc>
        <w:tc>
          <w:tcPr>
            <w:tcW w:w="586" w:type="dxa"/>
            <w:shd w:val="clear" w:color="auto" w:fill="FFFFFF"/>
            <w:vAlign w:val="center"/>
          </w:tcPr>
          <w:p w14:paraId="0F57E3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64" w:type="dxa"/>
            <w:shd w:val="clear" w:color="auto" w:fill="FFFFFF"/>
            <w:vAlign w:val="center"/>
          </w:tcPr>
          <w:p w14:paraId="5B30337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5" w:type="dxa"/>
            <w:shd w:val="clear" w:color="auto" w:fill="FFFFFF"/>
            <w:vAlign w:val="center"/>
          </w:tcPr>
          <w:p w14:paraId="2AD1CDB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3000</w:t>
            </w:r>
          </w:p>
        </w:tc>
        <w:tc>
          <w:tcPr>
            <w:tcW w:w="723" w:type="dxa"/>
            <w:shd w:val="clear" w:color="auto" w:fill="FFFFFF"/>
            <w:vAlign w:val="center"/>
          </w:tcPr>
          <w:p w14:paraId="7CD62CB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923" w:type="dxa"/>
            <w:shd w:val="clear" w:color="auto" w:fill="FFFFFF"/>
            <w:vAlign w:val="center"/>
          </w:tcPr>
          <w:p w14:paraId="72B9D4B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852" w:type="dxa"/>
            <w:shd w:val="clear" w:color="auto" w:fill="FFFFFF"/>
            <w:vAlign w:val="center"/>
          </w:tcPr>
          <w:p w14:paraId="649B2FB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784" w:type="dxa"/>
            <w:shd w:val="clear" w:color="auto" w:fill="FFFFFF"/>
            <w:vAlign w:val="center"/>
          </w:tcPr>
          <w:p w14:paraId="640F424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706" w:type="dxa"/>
            <w:shd w:val="clear" w:color="auto" w:fill="FFFFFF"/>
            <w:vAlign w:val="center"/>
          </w:tcPr>
          <w:p w14:paraId="77AE8ACB">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r>
      <w:tr w14:paraId="72CAD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3" w:hRule="atLeast"/>
        </w:trPr>
        <w:tc>
          <w:tcPr>
            <w:tcW w:w="6202" w:type="dxa"/>
            <w:gridSpan w:val="7"/>
            <w:shd w:val="clear" w:color="auto" w:fill="FFFFFF"/>
            <w:vAlign w:val="center"/>
          </w:tcPr>
          <w:p w14:paraId="4E554A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723" w:type="dxa"/>
            <w:shd w:val="clear" w:color="auto" w:fill="FFFFFF"/>
            <w:vAlign w:val="center"/>
          </w:tcPr>
          <w:p w14:paraId="4627CCB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23" w:type="dxa"/>
            <w:shd w:val="clear" w:color="auto" w:fill="FFFFFF"/>
            <w:vAlign w:val="center"/>
          </w:tcPr>
          <w:p w14:paraId="547AD9C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852" w:type="dxa"/>
            <w:shd w:val="clear" w:color="auto" w:fill="FFFFFF"/>
            <w:vAlign w:val="center"/>
          </w:tcPr>
          <w:p w14:paraId="46CFF39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784" w:type="dxa"/>
            <w:shd w:val="clear" w:color="auto" w:fill="FFFFFF"/>
            <w:vAlign w:val="center"/>
          </w:tcPr>
          <w:p w14:paraId="770456F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706" w:type="dxa"/>
            <w:shd w:val="clear" w:color="auto" w:fill="FFFFFF"/>
            <w:vAlign w:val="center"/>
          </w:tcPr>
          <w:p w14:paraId="5DCE763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55391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202" w:type="dxa"/>
            <w:gridSpan w:val="7"/>
            <w:shd w:val="clear" w:color="auto" w:fill="FFFFFF"/>
            <w:vAlign w:val="center"/>
          </w:tcPr>
          <w:p w14:paraId="778CE5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23" w:type="dxa"/>
            <w:shd w:val="clear" w:color="auto" w:fill="FFFFFF"/>
            <w:vAlign w:val="center"/>
          </w:tcPr>
          <w:p w14:paraId="490B32F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23" w:type="dxa"/>
            <w:shd w:val="clear" w:color="auto" w:fill="FFFFFF"/>
            <w:vAlign w:val="center"/>
          </w:tcPr>
          <w:p w14:paraId="65843E1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852" w:type="dxa"/>
            <w:shd w:val="clear" w:color="auto" w:fill="FFFFFF"/>
            <w:vAlign w:val="center"/>
          </w:tcPr>
          <w:p w14:paraId="52EB95F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784" w:type="dxa"/>
            <w:shd w:val="clear" w:color="auto" w:fill="FFFFFF"/>
            <w:vAlign w:val="center"/>
          </w:tcPr>
          <w:p w14:paraId="50E9410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706" w:type="dxa"/>
            <w:shd w:val="clear" w:color="auto" w:fill="FFFFFF"/>
            <w:vAlign w:val="center"/>
          </w:tcPr>
          <w:p w14:paraId="070B05F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bl>
    <w:p w14:paraId="61130662">
      <w:pPr>
        <w:keepNext w:val="0"/>
        <w:pageBreakBefore w:val="0"/>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pgNumType w:fmt="decimal"/>
          <w:cols w:space="720" w:num="1"/>
          <w:titlePg/>
          <w:docGrid w:linePitch="312" w:charSpace="0"/>
        </w:sectPr>
      </w:pPr>
    </w:p>
    <w:bookmarkEnd w:id="935"/>
    <w:bookmarkEnd w:id="936"/>
    <w:tbl>
      <w:tblPr>
        <w:tblStyle w:val="62"/>
        <w:tblW w:w="1017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15"/>
        <w:gridCol w:w="120"/>
        <w:gridCol w:w="1575"/>
        <w:gridCol w:w="1800"/>
        <w:gridCol w:w="540"/>
        <w:gridCol w:w="645"/>
        <w:gridCol w:w="1365"/>
        <w:gridCol w:w="1020"/>
        <w:gridCol w:w="1515"/>
        <w:gridCol w:w="945"/>
        <w:gridCol w:w="30"/>
      </w:tblGrid>
      <w:tr w14:paraId="6379E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0" w:type="dxa"/>
          <w:trHeight w:val="900" w:hRule="atLeast"/>
        </w:trPr>
        <w:tc>
          <w:tcPr>
            <w:tcW w:w="10140" w:type="dxa"/>
            <w:gridSpan w:val="10"/>
            <w:shd w:val="clear" w:color="auto" w:fill="FFFFFF"/>
            <w:vAlign w:val="center"/>
          </w:tcPr>
          <w:p w14:paraId="1DCDC4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bookmarkStart w:id="937" w:name="_Toc30621"/>
            <w:bookmarkStart w:id="938" w:name="_Toc25773"/>
            <w:r>
              <w:rPr>
                <w:rFonts w:hint="eastAsia" w:ascii="宋体" w:hAnsi="宋体" w:eastAsia="宋体" w:cs="宋体"/>
                <w:b/>
                <w:bCs/>
                <w:i w:val="0"/>
                <w:iCs w:val="0"/>
                <w:color w:val="000000"/>
                <w:kern w:val="0"/>
                <w:sz w:val="40"/>
                <w:szCs w:val="40"/>
                <w:u w:val="none"/>
                <w:lang w:val="en-US" w:eastAsia="zh-CN" w:bidi="ar"/>
              </w:rPr>
              <w:t>施工组织（总价）措施项目清单与计价表</w:t>
            </w:r>
          </w:p>
        </w:tc>
      </w:tr>
      <w:tr w14:paraId="255AA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0" w:type="dxa"/>
          <w:trHeight w:val="435" w:hRule="atLeast"/>
        </w:trPr>
        <w:tc>
          <w:tcPr>
            <w:tcW w:w="4650" w:type="dxa"/>
            <w:gridSpan w:val="5"/>
            <w:shd w:val="clear" w:color="auto" w:fill="FFFFFF"/>
            <w:vAlign w:val="bottom"/>
          </w:tcPr>
          <w:p w14:paraId="144C640E">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w:t>
            </w:r>
          </w:p>
        </w:tc>
        <w:tc>
          <w:tcPr>
            <w:tcW w:w="2010" w:type="dxa"/>
            <w:gridSpan w:val="2"/>
            <w:shd w:val="clear" w:color="auto" w:fill="FFFFFF"/>
            <w:vAlign w:val="bottom"/>
          </w:tcPr>
          <w:p w14:paraId="38335392">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3480" w:type="dxa"/>
            <w:gridSpan w:val="3"/>
            <w:shd w:val="clear" w:color="auto" w:fill="FFFFFF"/>
            <w:vAlign w:val="bottom"/>
          </w:tcPr>
          <w:p w14:paraId="4E61C8A2">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14:paraId="52DDF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855" w:hRule="atLeast"/>
        </w:trPr>
        <w:tc>
          <w:tcPr>
            <w:tcW w:w="735" w:type="dxa"/>
            <w:gridSpan w:val="2"/>
            <w:shd w:val="clear" w:color="auto" w:fill="FFFFFF"/>
            <w:vAlign w:val="center"/>
          </w:tcPr>
          <w:p w14:paraId="1C51A5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575" w:type="dxa"/>
            <w:shd w:val="clear" w:color="auto" w:fill="FFFFFF"/>
            <w:vAlign w:val="center"/>
          </w:tcPr>
          <w:p w14:paraId="33627F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项目编号</w:t>
            </w:r>
          </w:p>
        </w:tc>
        <w:tc>
          <w:tcPr>
            <w:tcW w:w="2340" w:type="dxa"/>
            <w:gridSpan w:val="2"/>
            <w:shd w:val="clear" w:color="auto" w:fill="FFFFFF"/>
            <w:vAlign w:val="center"/>
          </w:tcPr>
          <w:p w14:paraId="4740A9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010" w:type="dxa"/>
            <w:gridSpan w:val="2"/>
            <w:shd w:val="clear" w:color="auto" w:fill="FFFFFF"/>
            <w:vAlign w:val="center"/>
          </w:tcPr>
          <w:p w14:paraId="20DC11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计算基础</w:t>
            </w:r>
          </w:p>
        </w:tc>
        <w:tc>
          <w:tcPr>
            <w:tcW w:w="1020" w:type="dxa"/>
            <w:shd w:val="clear" w:color="auto" w:fill="FFFFFF"/>
            <w:vAlign w:val="center"/>
          </w:tcPr>
          <w:p w14:paraId="22895D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p>
        </w:tc>
        <w:tc>
          <w:tcPr>
            <w:tcW w:w="1515" w:type="dxa"/>
            <w:shd w:val="clear" w:color="auto" w:fill="FFFFFF"/>
            <w:vAlign w:val="center"/>
          </w:tcPr>
          <w:p w14:paraId="0DFF9B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945" w:type="dxa"/>
            <w:shd w:val="clear" w:color="auto" w:fill="FFFFFF"/>
            <w:vAlign w:val="center"/>
          </w:tcPr>
          <w:p w14:paraId="6A73E2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2EACC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0" w:type="dxa"/>
          <w:trHeight w:val="630" w:hRule="atLeast"/>
        </w:trPr>
        <w:tc>
          <w:tcPr>
            <w:tcW w:w="735" w:type="dxa"/>
            <w:gridSpan w:val="2"/>
            <w:shd w:val="clear" w:color="auto" w:fill="FFFFFF"/>
            <w:vAlign w:val="center"/>
          </w:tcPr>
          <w:p w14:paraId="34CF24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75" w:type="dxa"/>
            <w:shd w:val="clear" w:color="auto" w:fill="FFFFFF"/>
            <w:vAlign w:val="center"/>
          </w:tcPr>
          <w:p w14:paraId="4103E0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011707001001</w:t>
            </w:r>
          </w:p>
        </w:tc>
        <w:tc>
          <w:tcPr>
            <w:tcW w:w="2340" w:type="dxa"/>
            <w:gridSpan w:val="2"/>
            <w:shd w:val="clear" w:color="auto" w:fill="FFFFFF"/>
            <w:vAlign w:val="center"/>
          </w:tcPr>
          <w:p w14:paraId="19F00D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2010" w:type="dxa"/>
            <w:gridSpan w:val="2"/>
            <w:shd w:val="clear" w:color="auto" w:fill="FFFFFF"/>
            <w:vAlign w:val="center"/>
          </w:tcPr>
          <w:p w14:paraId="5D36F1E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20" w:type="dxa"/>
            <w:shd w:val="clear" w:color="auto" w:fill="FFFFFF"/>
            <w:vAlign w:val="center"/>
          </w:tcPr>
          <w:p w14:paraId="146F363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515" w:type="dxa"/>
            <w:shd w:val="clear" w:color="auto" w:fill="FFFFFF"/>
            <w:vAlign w:val="center"/>
          </w:tcPr>
          <w:p w14:paraId="6379A8C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p>
        </w:tc>
        <w:tc>
          <w:tcPr>
            <w:tcW w:w="945" w:type="dxa"/>
            <w:shd w:val="clear" w:color="auto" w:fill="FFFFFF"/>
            <w:vAlign w:val="center"/>
          </w:tcPr>
          <w:p w14:paraId="0DB409D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45BC0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0" w:type="dxa"/>
          <w:trHeight w:val="450" w:hRule="atLeast"/>
        </w:trPr>
        <w:tc>
          <w:tcPr>
            <w:tcW w:w="735" w:type="dxa"/>
            <w:gridSpan w:val="2"/>
            <w:shd w:val="clear" w:color="auto" w:fill="FFFFFF"/>
            <w:vAlign w:val="center"/>
          </w:tcPr>
          <w:p w14:paraId="7BAE42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575" w:type="dxa"/>
            <w:shd w:val="clear" w:color="auto" w:fill="FFFFFF"/>
            <w:vAlign w:val="center"/>
          </w:tcPr>
          <w:p w14:paraId="62ED6F91">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2340" w:type="dxa"/>
            <w:gridSpan w:val="2"/>
            <w:shd w:val="clear" w:color="auto" w:fill="FFFFFF"/>
            <w:vAlign w:val="center"/>
          </w:tcPr>
          <w:p w14:paraId="257FE6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安全文明施工基本费</w:t>
            </w:r>
          </w:p>
        </w:tc>
        <w:tc>
          <w:tcPr>
            <w:tcW w:w="2010" w:type="dxa"/>
            <w:gridSpan w:val="2"/>
            <w:shd w:val="clear" w:color="auto" w:fill="FFFFFF"/>
            <w:vAlign w:val="center"/>
          </w:tcPr>
          <w:p w14:paraId="7F21EA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定额人工费+定额机械费</w:t>
            </w:r>
          </w:p>
        </w:tc>
        <w:tc>
          <w:tcPr>
            <w:tcW w:w="1020" w:type="dxa"/>
            <w:shd w:val="clear" w:color="auto" w:fill="FFFFFF"/>
            <w:vAlign w:val="center"/>
          </w:tcPr>
          <w:p w14:paraId="78853C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6.57</w:t>
            </w:r>
          </w:p>
        </w:tc>
        <w:tc>
          <w:tcPr>
            <w:tcW w:w="1515" w:type="dxa"/>
            <w:shd w:val="clear" w:color="auto" w:fill="FFFFFF"/>
            <w:vAlign w:val="center"/>
          </w:tcPr>
          <w:p w14:paraId="472ECE8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p>
        </w:tc>
        <w:tc>
          <w:tcPr>
            <w:tcW w:w="945" w:type="dxa"/>
            <w:shd w:val="clear" w:color="auto" w:fill="FFFFFF"/>
            <w:vAlign w:val="center"/>
          </w:tcPr>
          <w:p w14:paraId="19B9262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176E6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30" w:hRule="atLeast"/>
        </w:trPr>
        <w:tc>
          <w:tcPr>
            <w:tcW w:w="735" w:type="dxa"/>
            <w:gridSpan w:val="2"/>
            <w:shd w:val="clear" w:color="auto" w:fill="FFFFFF"/>
            <w:vAlign w:val="center"/>
          </w:tcPr>
          <w:p w14:paraId="58C728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75" w:type="dxa"/>
            <w:shd w:val="clear" w:color="auto" w:fill="FFFFFF"/>
            <w:vAlign w:val="center"/>
          </w:tcPr>
          <w:p w14:paraId="4393CE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Z01110900801</w:t>
            </w:r>
          </w:p>
        </w:tc>
        <w:tc>
          <w:tcPr>
            <w:tcW w:w="2340" w:type="dxa"/>
            <w:gridSpan w:val="2"/>
            <w:shd w:val="clear" w:color="auto" w:fill="FFFFFF"/>
            <w:vAlign w:val="center"/>
          </w:tcPr>
          <w:p w14:paraId="582500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提前竣工增加费</w:t>
            </w:r>
          </w:p>
        </w:tc>
        <w:tc>
          <w:tcPr>
            <w:tcW w:w="2010" w:type="dxa"/>
            <w:gridSpan w:val="2"/>
            <w:shd w:val="clear" w:color="auto" w:fill="FFFFFF"/>
            <w:vAlign w:val="center"/>
          </w:tcPr>
          <w:p w14:paraId="0CDD60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定额人工费+定额机械费</w:t>
            </w:r>
          </w:p>
        </w:tc>
        <w:tc>
          <w:tcPr>
            <w:tcW w:w="1020" w:type="dxa"/>
            <w:shd w:val="clear" w:color="auto" w:fill="FFFFFF"/>
            <w:vAlign w:val="center"/>
          </w:tcPr>
          <w:p w14:paraId="1BF50F9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515" w:type="dxa"/>
            <w:shd w:val="clear" w:color="auto" w:fill="FFFFFF"/>
            <w:vAlign w:val="center"/>
          </w:tcPr>
          <w:p w14:paraId="7817592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45" w:type="dxa"/>
            <w:shd w:val="clear" w:color="auto" w:fill="FFFFFF"/>
            <w:vAlign w:val="center"/>
          </w:tcPr>
          <w:p w14:paraId="12FB6E3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59EEC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0" w:type="dxa"/>
          <w:trHeight w:val="630" w:hRule="atLeast"/>
        </w:trPr>
        <w:tc>
          <w:tcPr>
            <w:tcW w:w="735" w:type="dxa"/>
            <w:gridSpan w:val="2"/>
            <w:shd w:val="clear" w:color="auto" w:fill="FFFFFF"/>
            <w:vAlign w:val="center"/>
          </w:tcPr>
          <w:p w14:paraId="611448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75" w:type="dxa"/>
            <w:shd w:val="clear" w:color="auto" w:fill="FFFFFF"/>
            <w:vAlign w:val="center"/>
          </w:tcPr>
          <w:p w14:paraId="48E15A1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011707004001</w:t>
            </w:r>
          </w:p>
        </w:tc>
        <w:tc>
          <w:tcPr>
            <w:tcW w:w="2340" w:type="dxa"/>
            <w:gridSpan w:val="2"/>
            <w:shd w:val="clear" w:color="auto" w:fill="FFFFFF"/>
            <w:vAlign w:val="center"/>
          </w:tcPr>
          <w:p w14:paraId="59067B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2010" w:type="dxa"/>
            <w:gridSpan w:val="2"/>
            <w:shd w:val="clear" w:color="auto" w:fill="FFFFFF"/>
            <w:vAlign w:val="center"/>
          </w:tcPr>
          <w:p w14:paraId="76C760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定额人工费+定额机械费</w:t>
            </w:r>
          </w:p>
        </w:tc>
        <w:tc>
          <w:tcPr>
            <w:tcW w:w="1020" w:type="dxa"/>
            <w:shd w:val="clear" w:color="auto" w:fill="FFFFFF"/>
            <w:vAlign w:val="center"/>
          </w:tcPr>
          <w:p w14:paraId="3A4E8F1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515" w:type="dxa"/>
            <w:shd w:val="clear" w:color="auto" w:fill="FFFFFF"/>
            <w:vAlign w:val="center"/>
          </w:tcPr>
          <w:p w14:paraId="340DE44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45" w:type="dxa"/>
            <w:shd w:val="clear" w:color="auto" w:fill="FFFFFF"/>
            <w:vAlign w:val="center"/>
          </w:tcPr>
          <w:p w14:paraId="3F04997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02E4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0" w:type="dxa"/>
          <w:trHeight w:val="630" w:hRule="atLeast"/>
        </w:trPr>
        <w:tc>
          <w:tcPr>
            <w:tcW w:w="735" w:type="dxa"/>
            <w:gridSpan w:val="2"/>
            <w:shd w:val="clear" w:color="auto" w:fill="FFFFFF"/>
            <w:vAlign w:val="center"/>
          </w:tcPr>
          <w:p w14:paraId="04AFB0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75" w:type="dxa"/>
            <w:shd w:val="clear" w:color="auto" w:fill="FFFFFF"/>
            <w:vAlign w:val="center"/>
          </w:tcPr>
          <w:p w14:paraId="156F08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011707005001</w:t>
            </w:r>
          </w:p>
        </w:tc>
        <w:tc>
          <w:tcPr>
            <w:tcW w:w="2340" w:type="dxa"/>
            <w:gridSpan w:val="2"/>
            <w:shd w:val="clear" w:color="auto" w:fill="FFFFFF"/>
            <w:vAlign w:val="center"/>
          </w:tcPr>
          <w:p w14:paraId="33337D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2010" w:type="dxa"/>
            <w:gridSpan w:val="2"/>
            <w:shd w:val="clear" w:color="auto" w:fill="FFFFFF"/>
            <w:vAlign w:val="center"/>
          </w:tcPr>
          <w:p w14:paraId="65F9A9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定额人工费+定额机械费</w:t>
            </w:r>
          </w:p>
        </w:tc>
        <w:tc>
          <w:tcPr>
            <w:tcW w:w="1020" w:type="dxa"/>
            <w:shd w:val="clear" w:color="auto" w:fill="FFFFFF"/>
            <w:vAlign w:val="center"/>
          </w:tcPr>
          <w:p w14:paraId="650017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w:t>
            </w:r>
          </w:p>
        </w:tc>
        <w:tc>
          <w:tcPr>
            <w:tcW w:w="1515" w:type="dxa"/>
            <w:shd w:val="clear" w:color="auto" w:fill="FFFFFF"/>
            <w:vAlign w:val="center"/>
          </w:tcPr>
          <w:p w14:paraId="19A415C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p>
        </w:tc>
        <w:tc>
          <w:tcPr>
            <w:tcW w:w="945" w:type="dxa"/>
            <w:shd w:val="clear" w:color="auto" w:fill="FFFFFF"/>
            <w:vAlign w:val="center"/>
          </w:tcPr>
          <w:p w14:paraId="70FD4CF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6601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30" w:hRule="atLeast"/>
        </w:trPr>
        <w:tc>
          <w:tcPr>
            <w:tcW w:w="735" w:type="dxa"/>
            <w:gridSpan w:val="2"/>
            <w:shd w:val="clear" w:color="auto" w:fill="FFFFFF"/>
            <w:vAlign w:val="center"/>
          </w:tcPr>
          <w:p w14:paraId="2C1A3C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75" w:type="dxa"/>
            <w:shd w:val="clear" w:color="auto" w:fill="FFFFFF"/>
            <w:vAlign w:val="center"/>
          </w:tcPr>
          <w:p w14:paraId="6C315230">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2340" w:type="dxa"/>
            <w:gridSpan w:val="2"/>
            <w:shd w:val="clear" w:color="auto" w:fill="FFFFFF"/>
            <w:vAlign w:val="center"/>
          </w:tcPr>
          <w:p w14:paraId="4CBA75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其他施工组织措施费</w:t>
            </w:r>
          </w:p>
        </w:tc>
        <w:tc>
          <w:tcPr>
            <w:tcW w:w="2010" w:type="dxa"/>
            <w:gridSpan w:val="2"/>
            <w:shd w:val="clear" w:color="auto" w:fill="FFFFFF"/>
            <w:vAlign w:val="center"/>
          </w:tcPr>
          <w:p w14:paraId="65DDB1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按相关规定计算</w:t>
            </w:r>
          </w:p>
        </w:tc>
        <w:tc>
          <w:tcPr>
            <w:tcW w:w="1020" w:type="dxa"/>
            <w:shd w:val="clear" w:color="auto" w:fill="FFFFFF"/>
            <w:vAlign w:val="center"/>
          </w:tcPr>
          <w:p w14:paraId="383FD3A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515" w:type="dxa"/>
            <w:shd w:val="clear" w:color="auto" w:fill="FFFFFF"/>
            <w:vAlign w:val="center"/>
          </w:tcPr>
          <w:p w14:paraId="3C08EA5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45" w:type="dxa"/>
            <w:shd w:val="clear" w:color="auto" w:fill="FFFFFF"/>
            <w:vAlign w:val="center"/>
          </w:tcPr>
          <w:p w14:paraId="5CFF95A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4497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30" w:hRule="atLeast"/>
        </w:trPr>
        <w:tc>
          <w:tcPr>
            <w:tcW w:w="735" w:type="dxa"/>
            <w:gridSpan w:val="2"/>
            <w:shd w:val="clear" w:color="auto" w:fill="FFFFFF"/>
            <w:vAlign w:val="center"/>
          </w:tcPr>
          <w:p w14:paraId="0CFDC1E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575" w:type="dxa"/>
            <w:shd w:val="clear" w:color="auto" w:fill="FFFFFF"/>
            <w:vAlign w:val="center"/>
          </w:tcPr>
          <w:p w14:paraId="205F3275">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2340" w:type="dxa"/>
            <w:gridSpan w:val="2"/>
            <w:shd w:val="clear" w:color="auto" w:fill="FFFFFF"/>
            <w:vAlign w:val="center"/>
          </w:tcPr>
          <w:p w14:paraId="40CF4BF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2010" w:type="dxa"/>
            <w:gridSpan w:val="2"/>
            <w:shd w:val="clear" w:color="auto" w:fill="FFFFFF"/>
            <w:vAlign w:val="center"/>
          </w:tcPr>
          <w:p w14:paraId="165D58F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20" w:type="dxa"/>
            <w:shd w:val="clear" w:color="auto" w:fill="FFFFFF"/>
            <w:vAlign w:val="center"/>
          </w:tcPr>
          <w:p w14:paraId="747BAA0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515" w:type="dxa"/>
            <w:shd w:val="clear" w:color="auto" w:fill="FFFFFF"/>
            <w:vAlign w:val="center"/>
          </w:tcPr>
          <w:p w14:paraId="17ABB1E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45" w:type="dxa"/>
            <w:shd w:val="clear" w:color="auto" w:fill="FFFFFF"/>
            <w:vAlign w:val="center"/>
          </w:tcPr>
          <w:p w14:paraId="443B2AB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2327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30" w:hRule="atLeast"/>
        </w:trPr>
        <w:tc>
          <w:tcPr>
            <w:tcW w:w="735" w:type="dxa"/>
            <w:gridSpan w:val="2"/>
            <w:shd w:val="clear" w:color="auto" w:fill="FFFFFF"/>
            <w:vAlign w:val="center"/>
          </w:tcPr>
          <w:p w14:paraId="02D75EF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575" w:type="dxa"/>
            <w:shd w:val="clear" w:color="auto" w:fill="FFFFFF"/>
            <w:vAlign w:val="center"/>
          </w:tcPr>
          <w:p w14:paraId="686CEAC1">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2340" w:type="dxa"/>
            <w:gridSpan w:val="2"/>
            <w:shd w:val="clear" w:color="auto" w:fill="FFFFFF"/>
            <w:vAlign w:val="center"/>
          </w:tcPr>
          <w:p w14:paraId="61A0E749">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2010" w:type="dxa"/>
            <w:gridSpan w:val="2"/>
            <w:shd w:val="clear" w:color="auto" w:fill="FFFFFF"/>
            <w:vAlign w:val="center"/>
          </w:tcPr>
          <w:p w14:paraId="647C844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20" w:type="dxa"/>
            <w:shd w:val="clear" w:color="auto" w:fill="FFFFFF"/>
            <w:vAlign w:val="center"/>
          </w:tcPr>
          <w:p w14:paraId="34C32F5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515" w:type="dxa"/>
            <w:shd w:val="clear" w:color="auto" w:fill="FFFFFF"/>
            <w:vAlign w:val="center"/>
          </w:tcPr>
          <w:p w14:paraId="731D5E8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45" w:type="dxa"/>
            <w:shd w:val="clear" w:color="auto" w:fill="FFFFFF"/>
            <w:vAlign w:val="center"/>
          </w:tcPr>
          <w:p w14:paraId="2741C5C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2945B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0" w:type="dxa"/>
          <w:trHeight w:val="630" w:hRule="atLeast"/>
        </w:trPr>
        <w:tc>
          <w:tcPr>
            <w:tcW w:w="735" w:type="dxa"/>
            <w:gridSpan w:val="2"/>
            <w:shd w:val="clear" w:color="auto" w:fill="FFFFFF"/>
            <w:vAlign w:val="center"/>
          </w:tcPr>
          <w:p w14:paraId="54CA192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575" w:type="dxa"/>
            <w:shd w:val="clear" w:color="auto" w:fill="FFFFFF"/>
            <w:vAlign w:val="center"/>
          </w:tcPr>
          <w:p w14:paraId="2F6452BC">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2340" w:type="dxa"/>
            <w:gridSpan w:val="2"/>
            <w:shd w:val="clear" w:color="auto" w:fill="FFFFFF"/>
            <w:vAlign w:val="center"/>
          </w:tcPr>
          <w:p w14:paraId="33D611F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2010" w:type="dxa"/>
            <w:gridSpan w:val="2"/>
            <w:shd w:val="clear" w:color="auto" w:fill="FFFFFF"/>
            <w:vAlign w:val="center"/>
          </w:tcPr>
          <w:p w14:paraId="5FF0AB3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20" w:type="dxa"/>
            <w:shd w:val="clear" w:color="auto" w:fill="FFFFFF"/>
            <w:vAlign w:val="center"/>
          </w:tcPr>
          <w:p w14:paraId="0257D73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515" w:type="dxa"/>
            <w:shd w:val="clear" w:color="auto" w:fill="FFFFFF"/>
            <w:vAlign w:val="center"/>
          </w:tcPr>
          <w:p w14:paraId="3CCE810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45" w:type="dxa"/>
            <w:shd w:val="clear" w:color="auto" w:fill="FFFFFF"/>
            <w:vAlign w:val="center"/>
          </w:tcPr>
          <w:p w14:paraId="3761142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57A0D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0" w:type="dxa"/>
          <w:trHeight w:val="630" w:hRule="atLeast"/>
        </w:trPr>
        <w:tc>
          <w:tcPr>
            <w:tcW w:w="735" w:type="dxa"/>
            <w:gridSpan w:val="2"/>
            <w:shd w:val="clear" w:color="auto" w:fill="FFFFFF"/>
            <w:vAlign w:val="center"/>
          </w:tcPr>
          <w:p w14:paraId="46257AE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575" w:type="dxa"/>
            <w:shd w:val="clear" w:color="auto" w:fill="FFFFFF"/>
            <w:vAlign w:val="center"/>
          </w:tcPr>
          <w:p w14:paraId="41F9B5A7">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2340" w:type="dxa"/>
            <w:gridSpan w:val="2"/>
            <w:shd w:val="clear" w:color="auto" w:fill="FFFFFF"/>
            <w:vAlign w:val="center"/>
          </w:tcPr>
          <w:p w14:paraId="4E0A6F04">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2010" w:type="dxa"/>
            <w:gridSpan w:val="2"/>
            <w:shd w:val="clear" w:color="auto" w:fill="FFFFFF"/>
            <w:vAlign w:val="center"/>
          </w:tcPr>
          <w:p w14:paraId="50C7AA6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20" w:type="dxa"/>
            <w:shd w:val="clear" w:color="auto" w:fill="FFFFFF"/>
            <w:vAlign w:val="center"/>
          </w:tcPr>
          <w:p w14:paraId="5FA3AA7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515" w:type="dxa"/>
            <w:shd w:val="clear" w:color="auto" w:fill="FFFFFF"/>
            <w:vAlign w:val="center"/>
          </w:tcPr>
          <w:p w14:paraId="5615D21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45" w:type="dxa"/>
            <w:shd w:val="clear" w:color="auto" w:fill="FFFFFF"/>
            <w:vAlign w:val="center"/>
          </w:tcPr>
          <w:p w14:paraId="5A38703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612F9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30" w:hRule="atLeast"/>
        </w:trPr>
        <w:tc>
          <w:tcPr>
            <w:tcW w:w="735" w:type="dxa"/>
            <w:gridSpan w:val="2"/>
            <w:shd w:val="clear" w:color="auto" w:fill="FFFFFF"/>
            <w:vAlign w:val="center"/>
          </w:tcPr>
          <w:p w14:paraId="3F513C8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575" w:type="dxa"/>
            <w:shd w:val="clear" w:color="auto" w:fill="FFFFFF"/>
            <w:vAlign w:val="center"/>
          </w:tcPr>
          <w:p w14:paraId="2614F00C">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2340" w:type="dxa"/>
            <w:gridSpan w:val="2"/>
            <w:shd w:val="clear" w:color="auto" w:fill="FFFFFF"/>
            <w:vAlign w:val="center"/>
          </w:tcPr>
          <w:p w14:paraId="21E4F876">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2010" w:type="dxa"/>
            <w:gridSpan w:val="2"/>
            <w:shd w:val="clear" w:color="auto" w:fill="FFFFFF"/>
            <w:vAlign w:val="center"/>
          </w:tcPr>
          <w:p w14:paraId="73A1452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20" w:type="dxa"/>
            <w:shd w:val="clear" w:color="auto" w:fill="FFFFFF"/>
            <w:vAlign w:val="center"/>
          </w:tcPr>
          <w:p w14:paraId="3948C76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515" w:type="dxa"/>
            <w:shd w:val="clear" w:color="auto" w:fill="FFFFFF"/>
            <w:vAlign w:val="center"/>
          </w:tcPr>
          <w:p w14:paraId="3E7D8E1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45" w:type="dxa"/>
            <w:shd w:val="clear" w:color="auto" w:fill="FFFFFF"/>
            <w:vAlign w:val="center"/>
          </w:tcPr>
          <w:p w14:paraId="658F0EC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044B1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0" w:type="dxa"/>
          <w:trHeight w:val="630" w:hRule="atLeast"/>
        </w:trPr>
        <w:tc>
          <w:tcPr>
            <w:tcW w:w="735" w:type="dxa"/>
            <w:gridSpan w:val="2"/>
            <w:shd w:val="clear" w:color="auto" w:fill="FFFFFF"/>
            <w:vAlign w:val="center"/>
          </w:tcPr>
          <w:p w14:paraId="0426E11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575" w:type="dxa"/>
            <w:shd w:val="clear" w:color="auto" w:fill="FFFFFF"/>
            <w:vAlign w:val="center"/>
          </w:tcPr>
          <w:p w14:paraId="17E5E993">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2340" w:type="dxa"/>
            <w:gridSpan w:val="2"/>
            <w:shd w:val="clear" w:color="auto" w:fill="FFFFFF"/>
            <w:vAlign w:val="center"/>
          </w:tcPr>
          <w:p w14:paraId="6445097C">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2010" w:type="dxa"/>
            <w:gridSpan w:val="2"/>
            <w:shd w:val="clear" w:color="auto" w:fill="FFFFFF"/>
            <w:vAlign w:val="center"/>
          </w:tcPr>
          <w:p w14:paraId="158C825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20" w:type="dxa"/>
            <w:shd w:val="clear" w:color="auto" w:fill="FFFFFF"/>
            <w:vAlign w:val="center"/>
          </w:tcPr>
          <w:p w14:paraId="491011E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515" w:type="dxa"/>
            <w:shd w:val="clear" w:color="auto" w:fill="FFFFFF"/>
            <w:vAlign w:val="center"/>
          </w:tcPr>
          <w:p w14:paraId="62E15C0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45" w:type="dxa"/>
            <w:shd w:val="clear" w:color="auto" w:fill="FFFFFF"/>
            <w:vAlign w:val="center"/>
          </w:tcPr>
          <w:p w14:paraId="7371319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3E532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0" w:type="dxa"/>
          <w:trHeight w:val="630" w:hRule="atLeast"/>
        </w:trPr>
        <w:tc>
          <w:tcPr>
            <w:tcW w:w="735" w:type="dxa"/>
            <w:gridSpan w:val="2"/>
            <w:shd w:val="clear" w:color="auto" w:fill="FFFFFF"/>
            <w:vAlign w:val="center"/>
          </w:tcPr>
          <w:p w14:paraId="3755ABE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575" w:type="dxa"/>
            <w:shd w:val="clear" w:color="auto" w:fill="FFFFFF"/>
            <w:vAlign w:val="center"/>
          </w:tcPr>
          <w:p w14:paraId="1C5CCEC1">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2340" w:type="dxa"/>
            <w:gridSpan w:val="2"/>
            <w:shd w:val="clear" w:color="auto" w:fill="FFFFFF"/>
            <w:vAlign w:val="center"/>
          </w:tcPr>
          <w:p w14:paraId="1A25D6A4">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2010" w:type="dxa"/>
            <w:gridSpan w:val="2"/>
            <w:shd w:val="clear" w:color="auto" w:fill="FFFFFF"/>
            <w:vAlign w:val="center"/>
          </w:tcPr>
          <w:p w14:paraId="2FAB4E4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20" w:type="dxa"/>
            <w:shd w:val="clear" w:color="auto" w:fill="FFFFFF"/>
            <w:vAlign w:val="center"/>
          </w:tcPr>
          <w:p w14:paraId="586EEDC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515" w:type="dxa"/>
            <w:shd w:val="clear" w:color="auto" w:fill="FFFFFF"/>
            <w:vAlign w:val="center"/>
          </w:tcPr>
          <w:p w14:paraId="0FCE653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45" w:type="dxa"/>
            <w:shd w:val="clear" w:color="auto" w:fill="FFFFFF"/>
            <w:vAlign w:val="center"/>
          </w:tcPr>
          <w:p w14:paraId="7D241AA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6BA46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0" w:type="dxa"/>
          <w:trHeight w:val="630" w:hRule="atLeast"/>
        </w:trPr>
        <w:tc>
          <w:tcPr>
            <w:tcW w:w="735" w:type="dxa"/>
            <w:gridSpan w:val="2"/>
            <w:shd w:val="clear" w:color="auto" w:fill="FFFFFF"/>
            <w:vAlign w:val="center"/>
          </w:tcPr>
          <w:p w14:paraId="35017F0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575" w:type="dxa"/>
            <w:shd w:val="clear" w:color="auto" w:fill="FFFFFF"/>
            <w:vAlign w:val="center"/>
          </w:tcPr>
          <w:p w14:paraId="085DC553">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2340" w:type="dxa"/>
            <w:gridSpan w:val="2"/>
            <w:shd w:val="clear" w:color="auto" w:fill="FFFFFF"/>
            <w:vAlign w:val="center"/>
          </w:tcPr>
          <w:p w14:paraId="27F12F1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2010" w:type="dxa"/>
            <w:gridSpan w:val="2"/>
            <w:shd w:val="clear" w:color="auto" w:fill="FFFFFF"/>
            <w:vAlign w:val="center"/>
          </w:tcPr>
          <w:p w14:paraId="1B1CEAD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20" w:type="dxa"/>
            <w:shd w:val="clear" w:color="auto" w:fill="FFFFFF"/>
            <w:vAlign w:val="center"/>
          </w:tcPr>
          <w:p w14:paraId="015553A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515" w:type="dxa"/>
            <w:shd w:val="clear" w:color="auto" w:fill="FFFFFF"/>
            <w:vAlign w:val="center"/>
          </w:tcPr>
          <w:p w14:paraId="24B25AA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45" w:type="dxa"/>
            <w:shd w:val="clear" w:color="auto" w:fill="FFFFFF"/>
            <w:vAlign w:val="center"/>
          </w:tcPr>
          <w:p w14:paraId="05026DB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31680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30" w:hRule="atLeast"/>
        </w:trPr>
        <w:tc>
          <w:tcPr>
            <w:tcW w:w="735" w:type="dxa"/>
            <w:gridSpan w:val="2"/>
            <w:shd w:val="clear" w:color="auto" w:fill="FFFFFF"/>
            <w:vAlign w:val="center"/>
          </w:tcPr>
          <w:p w14:paraId="4BFD43E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575" w:type="dxa"/>
            <w:shd w:val="clear" w:color="auto" w:fill="FFFFFF"/>
            <w:vAlign w:val="center"/>
          </w:tcPr>
          <w:p w14:paraId="1880A3B7">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2340" w:type="dxa"/>
            <w:gridSpan w:val="2"/>
            <w:shd w:val="clear" w:color="auto" w:fill="FFFFFF"/>
            <w:vAlign w:val="center"/>
          </w:tcPr>
          <w:p w14:paraId="59C1DF33">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2010" w:type="dxa"/>
            <w:gridSpan w:val="2"/>
            <w:shd w:val="clear" w:color="auto" w:fill="FFFFFF"/>
            <w:vAlign w:val="center"/>
          </w:tcPr>
          <w:p w14:paraId="1EA04A8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20" w:type="dxa"/>
            <w:shd w:val="clear" w:color="auto" w:fill="FFFFFF"/>
            <w:vAlign w:val="center"/>
          </w:tcPr>
          <w:p w14:paraId="25CACDA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515" w:type="dxa"/>
            <w:shd w:val="clear" w:color="auto" w:fill="FFFFFF"/>
            <w:vAlign w:val="center"/>
          </w:tcPr>
          <w:p w14:paraId="459D6C5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45" w:type="dxa"/>
            <w:shd w:val="clear" w:color="auto" w:fill="FFFFFF"/>
            <w:vAlign w:val="center"/>
          </w:tcPr>
          <w:p w14:paraId="20BA77B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1E4F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0" w:type="dxa"/>
          <w:trHeight w:val="630" w:hRule="atLeast"/>
        </w:trPr>
        <w:tc>
          <w:tcPr>
            <w:tcW w:w="735" w:type="dxa"/>
            <w:gridSpan w:val="2"/>
            <w:shd w:val="clear" w:color="auto" w:fill="FFFFFF"/>
            <w:vAlign w:val="center"/>
          </w:tcPr>
          <w:p w14:paraId="6045268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575" w:type="dxa"/>
            <w:shd w:val="clear" w:color="auto" w:fill="FFFFFF"/>
            <w:vAlign w:val="center"/>
          </w:tcPr>
          <w:p w14:paraId="34B54935">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2340" w:type="dxa"/>
            <w:gridSpan w:val="2"/>
            <w:shd w:val="clear" w:color="auto" w:fill="FFFFFF"/>
            <w:vAlign w:val="center"/>
          </w:tcPr>
          <w:p w14:paraId="20B58938">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2010" w:type="dxa"/>
            <w:gridSpan w:val="2"/>
            <w:shd w:val="clear" w:color="auto" w:fill="FFFFFF"/>
            <w:vAlign w:val="center"/>
          </w:tcPr>
          <w:p w14:paraId="1864BFE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20" w:type="dxa"/>
            <w:shd w:val="clear" w:color="auto" w:fill="FFFFFF"/>
            <w:vAlign w:val="center"/>
          </w:tcPr>
          <w:p w14:paraId="2A015A7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515" w:type="dxa"/>
            <w:shd w:val="clear" w:color="auto" w:fill="FFFFFF"/>
            <w:vAlign w:val="center"/>
          </w:tcPr>
          <w:p w14:paraId="298BB9F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45" w:type="dxa"/>
            <w:shd w:val="clear" w:color="auto" w:fill="FFFFFF"/>
            <w:vAlign w:val="center"/>
          </w:tcPr>
          <w:p w14:paraId="3439FAA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65F16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0" w:type="dxa"/>
          <w:trHeight w:val="630" w:hRule="atLeast"/>
        </w:trPr>
        <w:tc>
          <w:tcPr>
            <w:tcW w:w="735" w:type="dxa"/>
            <w:gridSpan w:val="2"/>
            <w:shd w:val="clear" w:color="auto" w:fill="FFFFFF"/>
            <w:vAlign w:val="center"/>
          </w:tcPr>
          <w:p w14:paraId="73A4238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575" w:type="dxa"/>
            <w:shd w:val="clear" w:color="auto" w:fill="FFFFFF"/>
            <w:vAlign w:val="center"/>
          </w:tcPr>
          <w:p w14:paraId="02FDD17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2340" w:type="dxa"/>
            <w:gridSpan w:val="2"/>
            <w:shd w:val="clear" w:color="auto" w:fill="FFFFFF"/>
            <w:vAlign w:val="center"/>
          </w:tcPr>
          <w:p w14:paraId="6DFD320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2010" w:type="dxa"/>
            <w:gridSpan w:val="2"/>
            <w:shd w:val="clear" w:color="auto" w:fill="FFFFFF"/>
            <w:vAlign w:val="center"/>
          </w:tcPr>
          <w:p w14:paraId="6F62557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20" w:type="dxa"/>
            <w:shd w:val="clear" w:color="auto" w:fill="FFFFFF"/>
            <w:vAlign w:val="center"/>
          </w:tcPr>
          <w:p w14:paraId="2060481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515" w:type="dxa"/>
            <w:shd w:val="clear" w:color="auto" w:fill="FFFFFF"/>
            <w:vAlign w:val="center"/>
          </w:tcPr>
          <w:p w14:paraId="080810E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45" w:type="dxa"/>
            <w:shd w:val="clear" w:color="auto" w:fill="FFFFFF"/>
            <w:vAlign w:val="center"/>
          </w:tcPr>
          <w:p w14:paraId="35F4257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4DE8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30" w:hRule="atLeast"/>
        </w:trPr>
        <w:tc>
          <w:tcPr>
            <w:tcW w:w="735" w:type="dxa"/>
            <w:gridSpan w:val="2"/>
            <w:shd w:val="clear" w:color="auto" w:fill="FFFFFF"/>
            <w:vAlign w:val="center"/>
          </w:tcPr>
          <w:p w14:paraId="0C5DBD8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575" w:type="dxa"/>
            <w:shd w:val="clear" w:color="auto" w:fill="FFFFFF"/>
            <w:vAlign w:val="center"/>
          </w:tcPr>
          <w:p w14:paraId="49EEC286">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2340" w:type="dxa"/>
            <w:gridSpan w:val="2"/>
            <w:shd w:val="clear" w:color="auto" w:fill="FFFFFF"/>
            <w:vAlign w:val="center"/>
          </w:tcPr>
          <w:p w14:paraId="758FA3C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2010" w:type="dxa"/>
            <w:gridSpan w:val="2"/>
            <w:shd w:val="clear" w:color="auto" w:fill="FFFFFF"/>
            <w:vAlign w:val="center"/>
          </w:tcPr>
          <w:p w14:paraId="0D584BF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20" w:type="dxa"/>
            <w:shd w:val="clear" w:color="auto" w:fill="FFFFFF"/>
            <w:vAlign w:val="center"/>
          </w:tcPr>
          <w:p w14:paraId="1BCE7B4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515" w:type="dxa"/>
            <w:shd w:val="clear" w:color="auto" w:fill="FFFFFF"/>
            <w:vAlign w:val="center"/>
          </w:tcPr>
          <w:p w14:paraId="565E424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45" w:type="dxa"/>
            <w:shd w:val="clear" w:color="auto" w:fill="FFFFFF"/>
            <w:vAlign w:val="center"/>
          </w:tcPr>
          <w:p w14:paraId="7DDAEE2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22D6C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30" w:hRule="atLeast"/>
        </w:trPr>
        <w:tc>
          <w:tcPr>
            <w:tcW w:w="7680" w:type="dxa"/>
            <w:gridSpan w:val="8"/>
            <w:shd w:val="clear" w:color="auto" w:fill="FFFFFF"/>
            <w:vAlign w:val="center"/>
          </w:tcPr>
          <w:p w14:paraId="3C6D75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1515" w:type="dxa"/>
            <w:shd w:val="clear" w:color="auto" w:fill="FFFFFF"/>
            <w:vAlign w:val="center"/>
          </w:tcPr>
          <w:p w14:paraId="28707CB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p>
        </w:tc>
        <w:tc>
          <w:tcPr>
            <w:tcW w:w="945" w:type="dxa"/>
            <w:shd w:val="clear" w:color="auto" w:fill="FFFFFF"/>
            <w:vAlign w:val="center"/>
          </w:tcPr>
          <w:p w14:paraId="0063C79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01D95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170" w:type="dxa"/>
            <w:gridSpan w:val="11"/>
            <w:tcBorders>
              <w:top w:val="single" w:color="auto" w:sz="4" w:space="0"/>
              <w:left w:val="single" w:color="auto" w:sz="4" w:space="0"/>
              <w:bottom w:val="single" w:color="auto" w:sz="4" w:space="0"/>
              <w:right w:val="single" w:color="auto" w:sz="4" w:space="0"/>
            </w:tcBorders>
            <w:shd w:val="clear" w:color="auto" w:fill="FFFFFF"/>
            <w:vAlign w:val="center"/>
          </w:tcPr>
          <w:p w14:paraId="23E484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暂列金额明细表</w:t>
            </w:r>
          </w:p>
        </w:tc>
      </w:tr>
      <w:tr w14:paraId="40F63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295" w:type="dxa"/>
            <w:gridSpan w:val="6"/>
            <w:tcBorders>
              <w:top w:val="single" w:color="auto" w:sz="4" w:space="0"/>
              <w:left w:val="single" w:color="auto" w:sz="4" w:space="0"/>
              <w:bottom w:val="single" w:color="auto" w:sz="4" w:space="0"/>
              <w:right w:val="single" w:color="auto" w:sz="4" w:space="0"/>
            </w:tcBorders>
            <w:shd w:val="clear" w:color="auto" w:fill="FFFFFF"/>
            <w:vAlign w:val="bottom"/>
          </w:tcPr>
          <w:p w14:paraId="60E8A55B">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w:t>
            </w:r>
          </w:p>
        </w:tc>
        <w:tc>
          <w:tcPr>
            <w:tcW w:w="2385" w:type="dxa"/>
            <w:gridSpan w:val="2"/>
            <w:tcBorders>
              <w:top w:val="single" w:color="auto" w:sz="4" w:space="0"/>
              <w:left w:val="single" w:color="auto" w:sz="4" w:space="0"/>
              <w:bottom w:val="single" w:color="auto" w:sz="4" w:space="0"/>
              <w:right w:val="single" w:color="auto" w:sz="4" w:space="0"/>
            </w:tcBorders>
            <w:shd w:val="clear" w:color="auto" w:fill="FFFFFF"/>
            <w:vAlign w:val="bottom"/>
          </w:tcPr>
          <w:p w14:paraId="5DD3EDBC">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490" w:type="dxa"/>
            <w:gridSpan w:val="3"/>
            <w:tcBorders>
              <w:top w:val="single" w:color="auto" w:sz="4" w:space="0"/>
              <w:left w:val="single" w:color="auto" w:sz="4" w:space="0"/>
              <w:bottom w:val="single" w:color="auto" w:sz="4" w:space="0"/>
              <w:right w:val="single" w:color="auto" w:sz="4" w:space="0"/>
            </w:tcBorders>
            <w:shd w:val="clear" w:color="auto" w:fill="FFFFFF"/>
            <w:vAlign w:val="bottom"/>
          </w:tcPr>
          <w:p w14:paraId="228F88D8">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14:paraId="02773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14:paraId="38FAA7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49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6F4CA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 名 称</w:t>
            </w:r>
          </w:p>
        </w:tc>
        <w:tc>
          <w:tcPr>
            <w:tcW w:w="11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B96A7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23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02F3C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暂定金额(元)</w:t>
            </w:r>
          </w:p>
        </w:tc>
        <w:tc>
          <w:tcPr>
            <w:tcW w:w="249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262DD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6D979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14:paraId="36DA93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9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B666EA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标化工地增加费</w:t>
            </w:r>
          </w:p>
        </w:tc>
        <w:tc>
          <w:tcPr>
            <w:tcW w:w="11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77555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3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372AD2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49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F7E840B">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r>
      <w:tr w14:paraId="7C9B3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14:paraId="1BDB5F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49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33D5E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优质工程增加费</w:t>
            </w:r>
          </w:p>
        </w:tc>
        <w:tc>
          <w:tcPr>
            <w:tcW w:w="11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814F0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3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13F1F2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49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6259225">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r>
      <w:tr w14:paraId="6D25F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14:paraId="239663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49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ECA69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其他暂列金额</w:t>
            </w:r>
          </w:p>
        </w:tc>
        <w:tc>
          <w:tcPr>
            <w:tcW w:w="11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DA768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3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6517BF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26000.00</w:t>
            </w:r>
          </w:p>
        </w:tc>
        <w:tc>
          <w:tcPr>
            <w:tcW w:w="249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D46C2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估算比例一般不高于5%</w:t>
            </w:r>
          </w:p>
        </w:tc>
      </w:tr>
      <w:tr w14:paraId="496B4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14:paraId="76C29D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349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9444B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其他暂列金额</w:t>
            </w:r>
          </w:p>
        </w:tc>
        <w:tc>
          <w:tcPr>
            <w:tcW w:w="11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4B962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3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ED6A3D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49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4DE8FD7">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r>
      <w:tr w14:paraId="33011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14:paraId="3B5B41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49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053A7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不可预见费</w:t>
            </w:r>
          </w:p>
        </w:tc>
        <w:tc>
          <w:tcPr>
            <w:tcW w:w="11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17824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3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C75369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26000.00</w:t>
            </w:r>
          </w:p>
        </w:tc>
        <w:tc>
          <w:tcPr>
            <w:tcW w:w="249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0139E8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r>
      <w:tr w14:paraId="38660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14:paraId="58FD25E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49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4CFBB12">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11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760A8B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3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F0F09E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49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8EEFCC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r>
      <w:tr w14:paraId="723D6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14:paraId="626FCE1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49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FB593A4">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11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C61EA0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3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C852E3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49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B305B86">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r>
      <w:tr w14:paraId="31095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14:paraId="12F7C83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49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360452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11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B0FB02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3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4C3B55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49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370886C">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r>
      <w:tr w14:paraId="7B5D0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14:paraId="72E9CC4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49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7EFF8F9">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11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1FCB3C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3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68376A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49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E4CBBAC">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r>
      <w:tr w14:paraId="30D89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14:paraId="5D74E11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49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E318C9B">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11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0C38F2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3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CC52A8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49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D7A327C">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r>
      <w:tr w14:paraId="521E2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14:paraId="5B8A01D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49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311CBF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11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C1737D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3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12406D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49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6E94F42">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r>
      <w:tr w14:paraId="078EC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14:paraId="4388860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49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F35E9B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11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0CEFCC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3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C50146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49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1783114">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r>
      <w:tr w14:paraId="5CF82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14:paraId="3354161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49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868FCEC">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11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B15EAA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3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D2FCF0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49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E643EF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r>
      <w:tr w14:paraId="24DFB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14:paraId="449E2A6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49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2F13E43">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11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6171EE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3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0D39A2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49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29B84F6">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r>
      <w:tr w14:paraId="26FCC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14:paraId="0B3942C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49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6A5769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11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919904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3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905774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49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39EB29B">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r>
      <w:tr w14:paraId="12112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14:paraId="7E8D3DB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49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BB9B8E3">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11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76F03B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3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30E589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49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428F81C">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r>
      <w:tr w14:paraId="79871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14:paraId="4EE42FD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49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5165497">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11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FE6B71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3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320882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49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5FC6435">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r>
      <w:tr w14:paraId="5A74C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14:paraId="343C73A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49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85A86F9">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11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CCB920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3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B640E7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49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399D486">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r>
      <w:tr w14:paraId="79106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14:paraId="1E7925B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49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A212596">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11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C2E4D6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3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D74094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49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39A93B4">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r>
      <w:tr w14:paraId="691D3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14:paraId="057BC3A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49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25A9F37">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11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5BD2B8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3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FE0C23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49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F170670">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r>
      <w:tr w14:paraId="4CF00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11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5FA556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1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789D0C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3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B978C0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26000.00</w:t>
            </w:r>
          </w:p>
        </w:tc>
        <w:tc>
          <w:tcPr>
            <w:tcW w:w="249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8DBE6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bl>
    <w:p w14:paraId="7E13C383">
      <w:pPr>
        <w:pStyle w:val="691"/>
        <w:keepNext w:val="0"/>
        <w:pageBreakBefore w:val="0"/>
        <w:tabs>
          <w:tab w:val="clear" w:pos="720"/>
        </w:tabs>
        <w:kinsoku/>
        <w:wordWrap/>
        <w:overflowPunct/>
        <w:topLinePunct w:val="0"/>
        <w:bidi w:val="0"/>
        <w:snapToGrid w:val="0"/>
        <w:spacing w:before="120" w:after="120"/>
        <w:ind w:firstLine="643"/>
        <w:outlineLvl w:val="9"/>
        <w:rPr>
          <w:rFonts w:hint="eastAsia" w:ascii="宋体" w:hAnsi="宋体" w:eastAsia="宋体" w:cs="宋体"/>
          <w:color w:val="auto"/>
          <w:kern w:val="2"/>
          <w:sz w:val="32"/>
          <w:szCs w:val="32"/>
          <w:highlight w:val="none"/>
        </w:rPr>
      </w:pPr>
    </w:p>
    <w:p w14:paraId="11D3E086">
      <w:pPr>
        <w:pStyle w:val="691"/>
        <w:keepNext w:val="0"/>
        <w:pageBreakBefore w:val="0"/>
        <w:tabs>
          <w:tab w:val="clear" w:pos="720"/>
        </w:tabs>
        <w:kinsoku/>
        <w:wordWrap/>
        <w:overflowPunct/>
        <w:topLinePunct w:val="0"/>
        <w:bidi w:val="0"/>
        <w:snapToGrid w:val="0"/>
        <w:spacing w:before="120" w:after="120"/>
        <w:ind w:firstLine="643"/>
        <w:outlineLvl w:val="9"/>
        <w:rPr>
          <w:rFonts w:hint="eastAsia" w:ascii="宋体" w:hAnsi="宋体" w:eastAsia="宋体" w:cs="宋体"/>
          <w:color w:val="auto"/>
          <w:kern w:val="2"/>
          <w:sz w:val="32"/>
          <w:szCs w:val="32"/>
          <w:highlight w:val="none"/>
        </w:rPr>
      </w:pPr>
    </w:p>
    <w:p w14:paraId="1FAEA1F8">
      <w:pPr>
        <w:pStyle w:val="691"/>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939" w:name="_Hlk101259491"/>
      <w:r>
        <w:rPr>
          <w:rFonts w:hint="eastAsia" w:ascii="宋体" w:hAnsi="宋体" w:eastAsia="宋体" w:cs="宋体"/>
          <w:color w:val="auto"/>
          <w:sz w:val="32"/>
          <w:szCs w:val="32"/>
          <w:highlight w:val="none"/>
        </w:rPr>
        <w:t>（如果有）</w:t>
      </w:r>
      <w:bookmarkEnd w:id="937"/>
      <w:bookmarkEnd w:id="938"/>
      <w:bookmarkEnd w:id="939"/>
    </w:p>
    <w:p w14:paraId="29D17628">
      <w:pPr>
        <w:widowControl/>
        <w:kinsoku/>
        <w:wordWrap/>
        <w:overflowPunct/>
        <w:topLinePunct w:val="0"/>
        <w:bidi w:val="0"/>
        <w:spacing w:line="360" w:lineRule="auto"/>
        <w:ind w:firstLine="120" w:firstLineChars="50"/>
        <w:jc w:val="left"/>
        <w:outlineLvl w:val="9"/>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9388074">
      <w:pPr>
        <w:pStyle w:val="691"/>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b w:val="0"/>
          <w:color w:val="auto"/>
          <w:sz w:val="32"/>
          <w:szCs w:val="32"/>
          <w:highlight w:val="none"/>
        </w:rPr>
      </w:pPr>
    </w:p>
    <w:p w14:paraId="772E41AA">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5B3C3EB3">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19F1062B">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3961A3E0">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5F57AECD">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4271E478">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6C422B07">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4691E3B8">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1A896304">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7B725AE3">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6C4BF2C0">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7642C9A6">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7434E749">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4CBFD778">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62E90D2C">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704EB1EC">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499D3713">
      <w:pPr>
        <w:kinsoku/>
        <w:wordWrap/>
        <w:overflowPunct/>
        <w:topLinePunct w:val="0"/>
        <w:bidi w:val="0"/>
        <w:spacing w:line="360" w:lineRule="auto"/>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97389B3">
      <w:pPr>
        <w:kinsoku/>
        <w:wordWrap/>
        <w:overflowPunct/>
        <w:topLinePunct w:val="0"/>
        <w:bidi w:val="0"/>
        <w:spacing w:line="360" w:lineRule="auto"/>
        <w:jc w:val="center"/>
        <w:outlineLvl w:val="9"/>
        <w:rPr>
          <w:rFonts w:ascii="宋体" w:hAnsi="宋体" w:cs="宋体"/>
          <w:b/>
          <w:color w:val="auto"/>
          <w:spacing w:val="6"/>
          <w:sz w:val="32"/>
          <w:szCs w:val="32"/>
          <w:highlight w:val="none"/>
        </w:rPr>
      </w:pPr>
      <w:bookmarkStart w:id="940" w:name="OLE_LINK14"/>
      <w:bookmarkStart w:id="941" w:name="OLE_LINK13"/>
      <w:r>
        <w:rPr>
          <w:rFonts w:hint="eastAsia" w:ascii="宋体" w:hAnsi="宋体" w:cs="宋体"/>
          <w:b/>
          <w:color w:val="auto"/>
          <w:spacing w:val="6"/>
          <w:sz w:val="32"/>
          <w:szCs w:val="32"/>
          <w:highlight w:val="none"/>
        </w:rPr>
        <w:t>残疾人福利性单位声明函</w:t>
      </w:r>
    </w:p>
    <w:bookmarkEnd w:id="940"/>
    <w:bookmarkEnd w:id="941"/>
    <w:p w14:paraId="501DAA9E">
      <w:pPr>
        <w:kinsoku/>
        <w:wordWrap/>
        <w:overflowPunct/>
        <w:topLinePunct w:val="0"/>
        <w:bidi w:val="0"/>
        <w:spacing w:line="360" w:lineRule="auto"/>
        <w:outlineLvl w:val="9"/>
        <w:rPr>
          <w:rFonts w:ascii="宋体" w:hAnsi="宋体" w:cs="宋体"/>
          <w:b/>
          <w:color w:val="auto"/>
          <w:spacing w:val="6"/>
          <w:sz w:val="30"/>
          <w:szCs w:val="30"/>
          <w:highlight w:val="none"/>
        </w:rPr>
      </w:pPr>
    </w:p>
    <w:p w14:paraId="46402C2B">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C41E75C">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0FE76E0">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0D7A9C92">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1CD9DA57">
      <w:pPr>
        <w:tabs>
          <w:tab w:val="left" w:pos="4860"/>
        </w:tabs>
        <w:kinsoku/>
        <w:wordWrap/>
        <w:overflowPunct/>
        <w:topLinePunct w:val="0"/>
        <w:bidi w:val="0"/>
        <w:spacing w:line="360" w:lineRule="auto"/>
        <w:ind w:right="1560" w:firstLine="480" w:firstLineChars="200"/>
        <w:jc w:val="center"/>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74EE2147">
      <w:pPr>
        <w:tabs>
          <w:tab w:val="left" w:pos="4860"/>
        </w:tabs>
        <w:kinsoku/>
        <w:wordWrap/>
        <w:overflowPunct/>
        <w:topLinePunct w:val="0"/>
        <w:bidi w:val="0"/>
        <w:spacing w:line="360" w:lineRule="auto"/>
        <w:ind w:right="1560" w:firstLine="480" w:firstLineChars="200"/>
        <w:jc w:val="center"/>
        <w:outlineLvl w:val="9"/>
        <w:rPr>
          <w:rFonts w:ascii="宋体" w:hAnsi="宋体" w:cs="宋体"/>
          <w:color w:val="auto"/>
          <w:sz w:val="24"/>
          <w:highlight w:val="none"/>
        </w:rPr>
      </w:pPr>
      <w:r>
        <w:rPr>
          <w:rFonts w:hint="eastAsia" w:ascii="宋体" w:hAnsi="宋体" w:cs="宋体"/>
          <w:color w:val="auto"/>
          <w:sz w:val="24"/>
          <w:highlight w:val="none"/>
        </w:rPr>
        <w:t xml:space="preserve">       日  期：</w:t>
      </w:r>
    </w:p>
    <w:p w14:paraId="65F78604">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1964E321">
      <w:pPr>
        <w:kinsoku/>
        <w:wordWrap/>
        <w:overflowPunct/>
        <w:topLinePunct w:val="0"/>
        <w:bidi w:val="0"/>
        <w:spacing w:line="360" w:lineRule="auto"/>
        <w:ind w:firstLine="420" w:firstLineChars="200"/>
        <w:outlineLvl w:val="9"/>
        <w:rPr>
          <w:rFonts w:ascii="宋体" w:hAnsi="宋体" w:cs="宋体"/>
          <w:color w:val="auto"/>
          <w:highlight w:val="none"/>
        </w:rPr>
      </w:pPr>
    </w:p>
    <w:p w14:paraId="4C40BE6F">
      <w:pPr>
        <w:kinsoku/>
        <w:wordWrap/>
        <w:overflowPunct/>
        <w:topLinePunct w:val="0"/>
        <w:bidi w:val="0"/>
        <w:spacing w:line="360" w:lineRule="auto"/>
        <w:ind w:firstLine="420" w:firstLineChars="200"/>
        <w:outlineLvl w:val="9"/>
        <w:rPr>
          <w:rFonts w:ascii="宋体" w:hAnsi="宋体" w:cs="宋体"/>
          <w:color w:val="auto"/>
          <w:highlight w:val="none"/>
        </w:rPr>
      </w:pPr>
    </w:p>
    <w:p w14:paraId="3B77C789">
      <w:pPr>
        <w:kinsoku/>
        <w:wordWrap/>
        <w:overflowPunct/>
        <w:topLinePunct w:val="0"/>
        <w:bidi w:val="0"/>
        <w:spacing w:line="360" w:lineRule="auto"/>
        <w:ind w:firstLine="420" w:firstLineChars="200"/>
        <w:outlineLvl w:val="9"/>
        <w:rPr>
          <w:rFonts w:ascii="宋体" w:hAnsi="宋体" w:cs="宋体"/>
          <w:color w:val="auto"/>
          <w:highlight w:val="none"/>
        </w:rPr>
      </w:pPr>
    </w:p>
    <w:p w14:paraId="17C47869">
      <w:pPr>
        <w:kinsoku/>
        <w:wordWrap/>
        <w:overflowPunct/>
        <w:topLinePunct w:val="0"/>
        <w:bidi w:val="0"/>
        <w:spacing w:line="360" w:lineRule="auto"/>
        <w:ind w:firstLine="420" w:firstLineChars="200"/>
        <w:outlineLvl w:val="9"/>
        <w:rPr>
          <w:rFonts w:ascii="宋体" w:hAnsi="宋体" w:cs="宋体"/>
          <w:color w:val="auto"/>
          <w:highlight w:val="none"/>
        </w:rPr>
      </w:pPr>
    </w:p>
    <w:p w14:paraId="2958FFC2">
      <w:pPr>
        <w:kinsoku/>
        <w:wordWrap/>
        <w:overflowPunct/>
        <w:topLinePunct w:val="0"/>
        <w:bidi w:val="0"/>
        <w:spacing w:line="360" w:lineRule="auto"/>
        <w:outlineLvl w:val="9"/>
        <w:rPr>
          <w:rFonts w:ascii="宋体" w:hAnsi="宋体" w:cs="宋体"/>
          <w:b/>
          <w:color w:val="auto"/>
          <w:sz w:val="24"/>
          <w:highlight w:val="none"/>
        </w:rPr>
      </w:pPr>
    </w:p>
    <w:p w14:paraId="0B3D7D53">
      <w:pPr>
        <w:kinsoku/>
        <w:wordWrap/>
        <w:overflowPunct/>
        <w:topLinePunct w:val="0"/>
        <w:bidi w:val="0"/>
        <w:spacing w:line="360" w:lineRule="auto"/>
        <w:outlineLvl w:val="9"/>
        <w:rPr>
          <w:rFonts w:ascii="宋体" w:hAnsi="宋体" w:cs="宋体"/>
          <w:b/>
          <w:color w:val="auto"/>
          <w:sz w:val="24"/>
          <w:highlight w:val="none"/>
        </w:rPr>
      </w:pPr>
    </w:p>
    <w:p w14:paraId="2040115B">
      <w:pPr>
        <w:kinsoku/>
        <w:wordWrap/>
        <w:overflowPunct/>
        <w:topLinePunct w:val="0"/>
        <w:bidi w:val="0"/>
        <w:spacing w:line="360" w:lineRule="auto"/>
        <w:outlineLvl w:val="9"/>
        <w:rPr>
          <w:rFonts w:ascii="宋体" w:hAnsi="宋体" w:cs="宋体"/>
          <w:b/>
          <w:color w:val="auto"/>
          <w:sz w:val="24"/>
          <w:highlight w:val="none"/>
        </w:rPr>
      </w:pPr>
    </w:p>
    <w:p w14:paraId="143311E6">
      <w:pPr>
        <w:kinsoku/>
        <w:wordWrap/>
        <w:overflowPunct/>
        <w:topLinePunct w:val="0"/>
        <w:bidi w:val="0"/>
        <w:spacing w:line="360" w:lineRule="auto"/>
        <w:outlineLvl w:val="9"/>
        <w:rPr>
          <w:rFonts w:ascii="宋体" w:hAnsi="宋体" w:cs="宋体"/>
          <w:b/>
          <w:color w:val="auto"/>
          <w:sz w:val="24"/>
          <w:highlight w:val="none"/>
        </w:rPr>
      </w:pPr>
    </w:p>
    <w:p w14:paraId="49E20550">
      <w:pPr>
        <w:kinsoku/>
        <w:wordWrap/>
        <w:overflowPunct/>
        <w:topLinePunct w:val="0"/>
        <w:bidi w:val="0"/>
        <w:spacing w:line="360" w:lineRule="auto"/>
        <w:outlineLvl w:val="9"/>
        <w:rPr>
          <w:rFonts w:ascii="宋体" w:hAnsi="宋体" w:cs="宋体"/>
          <w:b/>
          <w:color w:val="auto"/>
          <w:sz w:val="24"/>
          <w:highlight w:val="none"/>
        </w:rPr>
      </w:pPr>
    </w:p>
    <w:p w14:paraId="01277A0F">
      <w:pPr>
        <w:kinsoku/>
        <w:wordWrap/>
        <w:overflowPunct/>
        <w:topLinePunct w:val="0"/>
        <w:bidi w:val="0"/>
        <w:spacing w:line="360" w:lineRule="auto"/>
        <w:outlineLvl w:val="9"/>
        <w:rPr>
          <w:rFonts w:ascii="宋体" w:hAnsi="宋体" w:cs="宋体"/>
          <w:b/>
          <w:color w:val="auto"/>
          <w:sz w:val="24"/>
          <w:highlight w:val="none"/>
        </w:rPr>
      </w:pPr>
    </w:p>
    <w:p w14:paraId="3FBC1964">
      <w:pPr>
        <w:kinsoku/>
        <w:wordWrap/>
        <w:overflowPunct/>
        <w:topLinePunct w:val="0"/>
        <w:bidi w:val="0"/>
        <w:spacing w:line="360" w:lineRule="auto"/>
        <w:outlineLvl w:val="9"/>
        <w:rPr>
          <w:rFonts w:ascii="宋体" w:hAnsi="宋体" w:cs="宋体"/>
          <w:b/>
          <w:color w:val="auto"/>
          <w:sz w:val="24"/>
          <w:highlight w:val="none"/>
        </w:rPr>
      </w:pPr>
    </w:p>
    <w:p w14:paraId="70D7CF2C">
      <w:pPr>
        <w:kinsoku/>
        <w:wordWrap/>
        <w:overflowPunct/>
        <w:topLinePunct w:val="0"/>
        <w:bidi w:val="0"/>
        <w:spacing w:line="360" w:lineRule="auto"/>
        <w:outlineLvl w:val="9"/>
        <w:rPr>
          <w:rFonts w:ascii="宋体" w:hAnsi="宋体" w:cs="宋体"/>
          <w:b/>
          <w:color w:val="auto"/>
          <w:sz w:val="24"/>
          <w:highlight w:val="none"/>
        </w:rPr>
      </w:pPr>
    </w:p>
    <w:p w14:paraId="011CE545">
      <w:pPr>
        <w:kinsoku/>
        <w:wordWrap/>
        <w:overflowPunct/>
        <w:topLinePunct w:val="0"/>
        <w:bidi w:val="0"/>
        <w:spacing w:line="360" w:lineRule="auto"/>
        <w:outlineLvl w:val="9"/>
        <w:rPr>
          <w:rFonts w:ascii="宋体" w:hAnsi="宋体" w:cs="宋体"/>
          <w:b/>
          <w:color w:val="auto"/>
          <w:sz w:val="24"/>
          <w:highlight w:val="none"/>
        </w:rPr>
      </w:pPr>
    </w:p>
    <w:p w14:paraId="23B03B8D">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79051D34">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0C8EC5B2">
      <w:pPr>
        <w:kinsoku/>
        <w:wordWrap/>
        <w:overflowPunct/>
        <w:topLinePunct w:val="0"/>
        <w:bidi w:val="0"/>
        <w:spacing w:line="360" w:lineRule="auto"/>
        <w:jc w:val="left"/>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C8B1C81">
      <w:pPr>
        <w:kinsoku/>
        <w:wordWrap/>
        <w:overflowPunct/>
        <w:topLinePunct w:val="0"/>
        <w:bidi w:val="0"/>
        <w:spacing w:line="360" w:lineRule="auto"/>
        <w:jc w:val="center"/>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CB2CA47">
      <w:pPr>
        <w:kinsoku/>
        <w:wordWrap/>
        <w:overflowPunct/>
        <w:topLinePunct w:val="0"/>
        <w:bidi w:val="0"/>
        <w:snapToGrid w:val="0"/>
        <w:spacing w:before="240" w:beforeLines="100" w:line="360" w:lineRule="auto"/>
        <w:outlineLvl w:val="9"/>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1891122">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48207EA">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93BB504">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BCC2F02">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E37C56F">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170774C">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FA60C5A">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AAF69D4">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26535EB">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8F49D1F">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354CD81">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获取日期：</w:t>
      </w:r>
      <w:r>
        <w:rPr>
          <w:rFonts w:hint="eastAsia" w:ascii="宋体" w:hAnsi="宋体" w:cs="宋体"/>
          <w:color w:val="auto"/>
          <w:sz w:val="24"/>
          <w:highlight w:val="none"/>
          <w:u w:val="dotted"/>
        </w:rPr>
        <w:t xml:space="preserve">                                           </w:t>
      </w:r>
    </w:p>
    <w:p w14:paraId="5C88E81D">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5F1975F">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008ED787">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7504FF1">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08D011AA">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8AE32A6">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A0D8289">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质疑事项2</w:t>
      </w:r>
    </w:p>
    <w:p w14:paraId="18DC5670">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p>
    <w:p w14:paraId="156A450C">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0C9CD4F">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9420FB7">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CAF1219">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日期：    </w:t>
      </w:r>
    </w:p>
    <w:p w14:paraId="10C85540">
      <w:pPr>
        <w:kinsoku/>
        <w:wordWrap/>
        <w:overflowPunct/>
        <w:topLinePunct w:val="0"/>
        <w:bidi w:val="0"/>
        <w:spacing w:line="360" w:lineRule="auto"/>
        <w:jc w:val="center"/>
        <w:outlineLvl w:val="9"/>
        <w:rPr>
          <w:rFonts w:ascii="宋体" w:hAnsi="宋体" w:cs="宋体"/>
          <w:b/>
          <w:bCs/>
          <w:color w:val="auto"/>
          <w:sz w:val="24"/>
          <w:highlight w:val="none"/>
        </w:rPr>
      </w:pPr>
    </w:p>
    <w:p w14:paraId="05BDC0CA">
      <w:pPr>
        <w:kinsoku/>
        <w:wordWrap/>
        <w:overflowPunct/>
        <w:topLinePunct w:val="0"/>
        <w:bidi w:val="0"/>
        <w:spacing w:line="360" w:lineRule="auto"/>
        <w:outlineLvl w:val="9"/>
        <w:rPr>
          <w:rFonts w:ascii="宋体" w:hAnsi="宋体" w:cs="宋体"/>
          <w:b/>
          <w:color w:val="auto"/>
          <w:sz w:val="24"/>
          <w:highlight w:val="none"/>
        </w:rPr>
      </w:pPr>
    </w:p>
    <w:p w14:paraId="281EB08B">
      <w:pPr>
        <w:kinsoku/>
        <w:wordWrap/>
        <w:overflowPunct/>
        <w:topLinePunct w:val="0"/>
        <w:bidi w:val="0"/>
        <w:spacing w:line="360" w:lineRule="auto"/>
        <w:outlineLvl w:val="9"/>
        <w:rPr>
          <w:rFonts w:ascii="宋体" w:hAnsi="宋体" w:cs="宋体"/>
          <w:b/>
          <w:color w:val="auto"/>
          <w:sz w:val="24"/>
          <w:highlight w:val="none"/>
        </w:rPr>
      </w:pPr>
    </w:p>
    <w:p w14:paraId="61008267">
      <w:pPr>
        <w:kinsoku/>
        <w:wordWrap/>
        <w:overflowPunct/>
        <w:topLinePunct w:val="0"/>
        <w:bidi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质疑函制作说明：</w:t>
      </w:r>
    </w:p>
    <w:p w14:paraId="7A0CDFC8">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BA1A86F">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3251419">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340E864">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9B47456">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A689845">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w:t>
      </w:r>
      <w:r>
        <w:rPr>
          <w:rFonts w:hint="eastAsia" w:ascii="宋体" w:hAnsi="宋体" w:cs="宋体"/>
          <w:color w:val="auto"/>
          <w:sz w:val="24"/>
          <w:highlight w:val="none"/>
          <w:lang w:eastAsia="zh-CN"/>
        </w:rPr>
        <w:t>；</w:t>
      </w:r>
      <w:r>
        <w:rPr>
          <w:rFonts w:hint="eastAsia" w:ascii="宋体" w:hAnsi="宋体" w:cs="宋体"/>
          <w:color w:val="auto"/>
          <w:sz w:val="24"/>
          <w:highlight w:val="none"/>
        </w:rPr>
        <w:t>质疑供应商为法人或者其他组织的，质疑函应由法定代表人、主要负责人，或者其授权代表签字或者盖章，并加盖公章。</w:t>
      </w:r>
    </w:p>
    <w:p w14:paraId="73A3321A">
      <w:pPr>
        <w:widowControl/>
        <w:kinsoku/>
        <w:wordWrap/>
        <w:overflowPunct/>
        <w:topLinePunct w:val="0"/>
        <w:bidi w:val="0"/>
        <w:spacing w:line="360" w:lineRule="auto"/>
        <w:ind w:firstLine="600" w:firstLineChars="200"/>
        <w:jc w:val="left"/>
        <w:outlineLvl w:val="9"/>
        <w:rPr>
          <w:rFonts w:ascii="宋体" w:hAnsi="宋体" w:cs="宋体"/>
          <w:color w:val="auto"/>
          <w:sz w:val="30"/>
          <w:szCs w:val="30"/>
          <w:highlight w:val="none"/>
        </w:rPr>
      </w:pPr>
    </w:p>
    <w:p w14:paraId="677A94DB">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5D0C9136">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210793F4">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76EF8345">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5535C808">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465B3B39">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685A68D4">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4F8FFA8A">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5CBE30C2">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2D81B35F">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428C4D65">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2341CA75">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717CD613">
      <w:pPr>
        <w:kinsoku/>
        <w:wordWrap/>
        <w:overflowPunct/>
        <w:topLinePunct w:val="0"/>
        <w:bidi w:val="0"/>
        <w:spacing w:line="360" w:lineRule="auto"/>
        <w:jc w:val="left"/>
        <w:outlineLvl w:val="9"/>
        <w:rPr>
          <w:rFonts w:ascii="宋体" w:hAnsi="宋体" w:cs="宋体"/>
          <w:b/>
          <w:color w:val="auto"/>
          <w:spacing w:val="6"/>
          <w:sz w:val="32"/>
          <w:szCs w:val="32"/>
          <w:highlight w:val="none"/>
        </w:rPr>
      </w:pPr>
    </w:p>
    <w:p w14:paraId="0EAD8A33">
      <w:pPr>
        <w:kinsoku/>
        <w:wordWrap/>
        <w:overflowPunct/>
        <w:topLinePunct w:val="0"/>
        <w:bidi w:val="0"/>
        <w:spacing w:line="360" w:lineRule="auto"/>
        <w:jc w:val="left"/>
        <w:outlineLvl w:val="9"/>
        <w:rPr>
          <w:rFonts w:ascii="宋体" w:hAnsi="宋体" w:cs="宋体"/>
          <w:b/>
          <w:color w:val="auto"/>
          <w:spacing w:val="6"/>
          <w:sz w:val="32"/>
          <w:szCs w:val="32"/>
          <w:highlight w:val="none"/>
        </w:rPr>
      </w:pPr>
    </w:p>
    <w:p w14:paraId="2ECD73AC">
      <w:pPr>
        <w:kinsoku/>
        <w:wordWrap/>
        <w:overflowPunct/>
        <w:topLinePunct w:val="0"/>
        <w:bidi w:val="0"/>
        <w:spacing w:line="360" w:lineRule="auto"/>
        <w:jc w:val="left"/>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793E58">
      <w:pPr>
        <w:kinsoku/>
        <w:wordWrap/>
        <w:overflowPunct/>
        <w:topLinePunct w:val="0"/>
        <w:bidi w:val="0"/>
        <w:spacing w:line="360" w:lineRule="auto"/>
        <w:jc w:val="center"/>
        <w:outlineLvl w:val="9"/>
        <w:rPr>
          <w:rFonts w:ascii="宋体" w:hAnsi="宋体" w:cs="宋体"/>
          <w:b/>
          <w:color w:val="auto"/>
          <w:sz w:val="24"/>
          <w:highlight w:val="none"/>
        </w:rPr>
      </w:pPr>
    </w:p>
    <w:p w14:paraId="295CAE2F">
      <w:pPr>
        <w:kinsoku/>
        <w:wordWrap/>
        <w:overflowPunct/>
        <w:topLinePunct w:val="0"/>
        <w:bidi w:val="0"/>
        <w:spacing w:line="360" w:lineRule="auto"/>
        <w:jc w:val="center"/>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8242CF7">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D74590A">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D2325ED">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6E7E389">
      <w:pPr>
        <w:tabs>
          <w:tab w:val="left" w:pos="6510"/>
        </w:tabs>
        <w:kinsoku/>
        <w:wordWrap/>
        <w:overflowPunct/>
        <w:topLinePunct w:val="0"/>
        <w:bidi w:val="0"/>
        <w:spacing w:line="360" w:lineRule="auto"/>
        <w:jc w:val="left"/>
        <w:outlineLvl w:val="9"/>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E71B8D1">
      <w:pPr>
        <w:tabs>
          <w:tab w:val="left" w:pos="6510"/>
        </w:tabs>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A68A439">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7D9E3AD">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77FA717">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33D1BAB">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DC4BFB8">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EFED1EF">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被投诉人2</w:t>
      </w:r>
    </w:p>
    <w:p w14:paraId="6898F03C">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w:t>
      </w:r>
    </w:p>
    <w:p w14:paraId="53C9BBCE">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50DE623">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0578E7C">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0D489D5">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二、投诉项目基本情况</w:t>
      </w:r>
    </w:p>
    <w:p w14:paraId="0A3BD803">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6CEC08C">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4008C13">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7F023AB">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64A07C8">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BC2ED1F">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6902473">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三、质疑基本情况</w:t>
      </w:r>
    </w:p>
    <w:p w14:paraId="732831EF">
      <w:pPr>
        <w:kinsoku/>
        <w:wordWrap/>
        <w:overflowPunct/>
        <w:topLinePunct w:val="0"/>
        <w:bidi w:val="0"/>
        <w:spacing w:line="360" w:lineRule="auto"/>
        <w:ind w:firstLine="480" w:firstLineChars="200"/>
        <w:outlineLvl w:val="9"/>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C24D155">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BB3D905">
      <w:pPr>
        <w:kinsoku/>
        <w:wordWrap/>
        <w:overflowPunct/>
        <w:topLinePunct w:val="0"/>
        <w:bidi w:val="0"/>
        <w:spacing w:line="360" w:lineRule="auto"/>
        <w:ind w:firstLine="360" w:firstLineChars="150"/>
        <w:outlineLvl w:val="9"/>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82FEEB1">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四、投诉事项具体内容</w:t>
      </w:r>
    </w:p>
    <w:p w14:paraId="4A18431F">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0FA97F2">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DB7913F">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240D607">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C93DCB6">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12EB9AD">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投诉事项2</w:t>
      </w:r>
    </w:p>
    <w:p w14:paraId="49E30CC1">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w:t>
      </w:r>
    </w:p>
    <w:p w14:paraId="0384C024">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5681673">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9D4114E">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73CB52A2">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19C3176">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日期：    </w:t>
      </w:r>
    </w:p>
    <w:p w14:paraId="71D8F2E4">
      <w:pPr>
        <w:kinsoku/>
        <w:wordWrap/>
        <w:overflowPunct/>
        <w:topLinePunct w:val="0"/>
        <w:bidi w:val="0"/>
        <w:spacing w:line="360" w:lineRule="auto"/>
        <w:outlineLvl w:val="9"/>
        <w:rPr>
          <w:rFonts w:ascii="宋体" w:hAnsi="宋体" w:cs="宋体"/>
          <w:b/>
          <w:color w:val="auto"/>
          <w:sz w:val="24"/>
          <w:highlight w:val="none"/>
        </w:rPr>
      </w:pPr>
    </w:p>
    <w:p w14:paraId="1A9A3A23">
      <w:pPr>
        <w:kinsoku/>
        <w:wordWrap/>
        <w:overflowPunct/>
        <w:topLinePunct w:val="0"/>
        <w:bidi w:val="0"/>
        <w:spacing w:line="360" w:lineRule="auto"/>
        <w:outlineLvl w:val="9"/>
        <w:rPr>
          <w:rFonts w:ascii="宋体" w:hAnsi="宋体" w:cs="宋体"/>
          <w:b/>
          <w:color w:val="auto"/>
          <w:sz w:val="24"/>
          <w:highlight w:val="none"/>
        </w:rPr>
      </w:pPr>
    </w:p>
    <w:p w14:paraId="3D63693C">
      <w:pPr>
        <w:kinsoku/>
        <w:wordWrap/>
        <w:overflowPunct/>
        <w:topLinePunct w:val="0"/>
        <w:bidi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投诉书制作说明：</w:t>
      </w:r>
    </w:p>
    <w:p w14:paraId="3236ACB4">
      <w:pPr>
        <w:widowControl/>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A143FDA">
      <w:pPr>
        <w:widowControl/>
        <w:kinsoku/>
        <w:wordWrap/>
        <w:overflowPunct/>
        <w:topLinePunct w:val="0"/>
        <w:bidi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0AEDD6B">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99863BB">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0965379">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799CC14">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2A04AC8">
      <w:pPr>
        <w:widowControl/>
        <w:kinsoku/>
        <w:wordWrap/>
        <w:overflowPunct/>
        <w:topLinePunct w:val="0"/>
        <w:bidi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w:t>
      </w:r>
      <w:r>
        <w:rPr>
          <w:rFonts w:hint="eastAsia" w:ascii="宋体" w:hAnsi="宋体" w:cs="宋体"/>
          <w:color w:val="auto"/>
          <w:sz w:val="24"/>
          <w:highlight w:val="none"/>
          <w:lang w:eastAsia="zh-CN"/>
        </w:rPr>
        <w:t>；</w:t>
      </w:r>
      <w:r>
        <w:rPr>
          <w:rFonts w:hint="eastAsia" w:ascii="宋体" w:hAnsi="宋体" w:cs="宋体"/>
          <w:color w:val="auto"/>
          <w:sz w:val="24"/>
          <w:highlight w:val="none"/>
        </w:rPr>
        <w:t>投诉人为法人或者其他组织的，投诉书应当由法定代表人、主要负责人，或者其授权代表签字或者盖章，并加盖公章。</w:t>
      </w:r>
    </w:p>
    <w:p w14:paraId="3D875185">
      <w:pPr>
        <w:kinsoku/>
        <w:wordWrap/>
        <w:overflowPunct/>
        <w:topLinePunct w:val="0"/>
        <w:bidi w:val="0"/>
        <w:spacing w:line="360" w:lineRule="auto"/>
        <w:outlineLvl w:val="9"/>
        <w:rPr>
          <w:rFonts w:ascii="宋体" w:hAnsi="宋体" w:cs="宋体"/>
          <w:b/>
          <w:color w:val="auto"/>
          <w:sz w:val="24"/>
          <w:highlight w:val="none"/>
        </w:rPr>
      </w:pPr>
    </w:p>
    <w:p w14:paraId="391055D0">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76F93C1">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45FFA5A">
      <w:pPr>
        <w:kinsoku/>
        <w:wordWrap/>
        <w:overflowPunct/>
        <w:topLinePunct w:val="0"/>
        <w:autoSpaceDE w:val="0"/>
        <w:autoSpaceDN w:val="0"/>
        <w:bidi w:val="0"/>
        <w:jc w:val="center"/>
        <w:outlineLvl w:val="9"/>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FD8CCC4">
      <w:pPr>
        <w:kinsoku/>
        <w:wordWrap/>
        <w:overflowPunct/>
        <w:topLinePunct w:val="0"/>
        <w:bidi w:val="0"/>
        <w:spacing w:line="360" w:lineRule="auto"/>
        <w:outlineLvl w:val="9"/>
        <w:rPr>
          <w:rFonts w:ascii="宋体" w:hAnsi="宋体" w:cs="宋体"/>
          <w:color w:val="auto"/>
          <w:sz w:val="24"/>
          <w:highlight w:val="none"/>
          <w:u w:val="single"/>
        </w:rPr>
      </w:pPr>
    </w:p>
    <w:p w14:paraId="706ACF0F">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0CF82975">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C672D79">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特此说明。</w:t>
      </w:r>
    </w:p>
    <w:p w14:paraId="7A79BC9B">
      <w:pPr>
        <w:kinsoku/>
        <w:wordWrap/>
        <w:overflowPunct/>
        <w:topLinePunct w:val="0"/>
        <w:bidi w:val="0"/>
        <w:spacing w:line="360" w:lineRule="auto"/>
        <w:ind w:firstLine="494"/>
        <w:outlineLvl w:val="9"/>
        <w:rPr>
          <w:rFonts w:ascii="宋体" w:hAnsi="宋体" w:cs="宋体"/>
          <w:color w:val="auto"/>
          <w:sz w:val="24"/>
          <w:highlight w:val="none"/>
        </w:rPr>
      </w:pPr>
    </w:p>
    <w:p w14:paraId="4FA27E2D">
      <w:pPr>
        <w:kinsoku/>
        <w:wordWrap/>
        <w:overflowPunct/>
        <w:topLinePunct w:val="0"/>
        <w:bidi w:val="0"/>
        <w:spacing w:line="360" w:lineRule="auto"/>
        <w:ind w:firstLine="494"/>
        <w:outlineLvl w:val="9"/>
        <w:rPr>
          <w:rFonts w:ascii="宋体" w:hAnsi="宋体" w:cs="宋体"/>
          <w:color w:val="auto"/>
          <w:sz w:val="24"/>
          <w:highlight w:val="none"/>
        </w:rPr>
      </w:pPr>
    </w:p>
    <w:p w14:paraId="6E979CBB">
      <w:pPr>
        <w:kinsoku/>
        <w:wordWrap/>
        <w:overflowPunct/>
        <w:topLinePunct w:val="0"/>
        <w:bidi w:val="0"/>
        <w:spacing w:line="360" w:lineRule="auto"/>
        <w:ind w:firstLine="494"/>
        <w:outlineLvl w:val="9"/>
        <w:rPr>
          <w:rFonts w:ascii="宋体" w:hAnsi="宋体" w:cs="宋体"/>
          <w:color w:val="auto"/>
          <w:sz w:val="24"/>
          <w:highlight w:val="none"/>
        </w:rPr>
      </w:pPr>
    </w:p>
    <w:p w14:paraId="5797D067">
      <w:pPr>
        <w:kinsoku/>
        <w:wordWrap/>
        <w:overflowPunct/>
        <w:topLinePunct w:val="0"/>
        <w:bidi w:val="0"/>
        <w:spacing w:line="360" w:lineRule="auto"/>
        <w:ind w:right="480" w:firstLine="4080" w:firstLineChars="1700"/>
        <w:outlineLvl w:val="9"/>
        <w:rPr>
          <w:rFonts w:ascii="宋体" w:hAnsi="宋体" w:cs="宋体"/>
          <w:color w:val="auto"/>
          <w:sz w:val="24"/>
          <w:highlight w:val="none"/>
        </w:rPr>
      </w:pPr>
      <w:r>
        <w:rPr>
          <w:rFonts w:hint="eastAsia" w:ascii="宋体" w:hAnsi="宋体" w:cs="宋体"/>
          <w:color w:val="auto"/>
          <w:sz w:val="24"/>
          <w:highlight w:val="none"/>
        </w:rPr>
        <w:t>投标单位（法定名称章）：</w:t>
      </w:r>
    </w:p>
    <w:p w14:paraId="66E9D5F8">
      <w:pPr>
        <w:kinsoku/>
        <w:wordWrap/>
        <w:overflowPunct/>
        <w:topLinePunct w:val="0"/>
        <w:bidi w:val="0"/>
        <w:ind w:right="1440" w:firstLine="494"/>
        <w:jc w:val="center"/>
        <w:outlineLvl w:val="9"/>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E4D376F">
      <w:pPr>
        <w:kinsoku/>
        <w:wordWrap/>
        <w:overflowPunct/>
        <w:topLinePunct w:val="0"/>
        <w:bidi w:val="0"/>
        <w:outlineLvl w:val="9"/>
        <w:rPr>
          <w:rFonts w:ascii="宋体" w:hAnsi="宋体" w:cs="宋体"/>
          <w:color w:val="auto"/>
          <w:sz w:val="24"/>
          <w:highlight w:val="none"/>
        </w:rPr>
      </w:pPr>
      <w:r>
        <w:rPr>
          <w:rFonts w:hint="eastAsia" w:ascii="宋体" w:hAnsi="宋体" w:cs="宋体"/>
          <w:b/>
          <w:bCs/>
          <w:color w:val="auto"/>
          <w:sz w:val="24"/>
          <w:highlight w:val="none"/>
        </w:rPr>
        <w:t>附：</w:t>
      </w:r>
    </w:p>
    <w:p w14:paraId="6E9569CD">
      <w:pPr>
        <w:kinsoku/>
        <w:wordWrap/>
        <w:overflowPunct/>
        <w:topLinePunct w:val="0"/>
        <w:bidi w:val="0"/>
        <w:spacing w:line="360" w:lineRule="auto"/>
        <w:outlineLvl w:val="9"/>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5099F8FD">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5099F8FD">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67A54E40">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67A54E40">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109D451D">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9B243ED">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B931FDC">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FC0DC9A">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7198007">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05482F6">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64A2664">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E1CA4FD">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A847841">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B052878">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81669EE">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A9222F7">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675FD82E">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2CCF88B">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15DC6028">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0DCE0B9">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2201064">
      <w:pPr>
        <w:kinsoku/>
        <w:wordWrap/>
        <w:overflowPunct/>
        <w:topLinePunct w:val="0"/>
        <w:bidi w:val="0"/>
        <w:snapToGrid w:val="0"/>
        <w:spacing w:line="360" w:lineRule="auto"/>
        <w:jc w:val="center"/>
        <w:outlineLvl w:val="9"/>
        <w:rPr>
          <w:rFonts w:hint="eastAsia" w:ascii="宋体" w:hAnsi="宋体" w:cs="宋体"/>
          <w:b/>
          <w:color w:val="auto"/>
          <w:kern w:val="0"/>
          <w:sz w:val="32"/>
          <w:szCs w:val="32"/>
          <w:highlight w:val="none"/>
        </w:rPr>
      </w:pPr>
    </w:p>
    <w:p w14:paraId="72AE25D9">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5A2248B2">
      <w:pPr>
        <w:keepNext w:val="0"/>
        <w:keepLines w:val="0"/>
        <w:pageBreakBefore w:val="0"/>
        <w:widowControl/>
        <w:kinsoku/>
        <w:wordWrap/>
        <w:overflowPunct/>
        <w:topLinePunct w:val="0"/>
        <w:autoSpaceDE/>
        <w:autoSpaceDN/>
        <w:bidi w:val="0"/>
        <w:adjustRightInd w:val="0"/>
        <w:spacing w:line="288" w:lineRule="auto"/>
        <w:ind w:firstLine="482" w:firstLineChars="200"/>
        <w:jc w:val="left"/>
        <w:textAlignment w:val="auto"/>
        <w:outlineLvl w:val="9"/>
        <w:rPr>
          <w:rFonts w:ascii="宋体" w:hAnsi="宋体" w:cs="宋体"/>
          <w:b/>
          <w:color w:val="auto"/>
          <w:sz w:val="24"/>
          <w:highlight w:val="none"/>
        </w:rPr>
      </w:pPr>
      <w:r>
        <w:rPr>
          <w:rFonts w:hint="eastAsia" w:ascii="宋体" w:hAnsi="宋体" w:cs="宋体"/>
          <w:b/>
          <w:color w:val="auto"/>
          <w:sz w:val="24"/>
          <w:highlight w:val="none"/>
        </w:rPr>
        <w:t>（以联合体形式投标的，提供联合协议</w:t>
      </w:r>
      <w:r>
        <w:rPr>
          <w:rFonts w:hint="eastAsia" w:ascii="宋体" w:hAnsi="宋体" w:cs="宋体"/>
          <w:b/>
          <w:color w:val="auto"/>
          <w:sz w:val="24"/>
          <w:highlight w:val="none"/>
          <w:lang w:eastAsia="zh-CN"/>
        </w:rPr>
        <w:t>；</w:t>
      </w:r>
      <w:r>
        <w:rPr>
          <w:rFonts w:hint="eastAsia" w:ascii="宋体" w:hAnsi="宋体" w:cs="宋体"/>
          <w:b/>
          <w:color w:val="auto"/>
          <w:sz w:val="24"/>
          <w:highlight w:val="none"/>
        </w:rPr>
        <w:t>本项目不接受联合体投标或者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不以联合体形式投标的，则不需要提供）</w:t>
      </w:r>
    </w:p>
    <w:p w14:paraId="0CF093F0">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746ADD7D">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F143517">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EFB365A">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53B30D2">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bookmarkStart w:id="942"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2A36640">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DBC2E02">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942"/>
    <w:p w14:paraId="7DF3F9C9">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C1DD11C">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8F4BD5B">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6E220E3C">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6C76D60">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4B98E9F">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9FDB7F7">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B2E71EB">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E5ADF6A">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4C5A543">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CF534B9">
      <w:pPr>
        <w:keepNext w:val="0"/>
        <w:keepLines w:val="0"/>
        <w:pageBreakBefore w:val="0"/>
        <w:kinsoku/>
        <w:wordWrap/>
        <w:overflowPunct/>
        <w:topLinePunct w:val="0"/>
        <w:autoSpaceDE/>
        <w:autoSpaceDN/>
        <w:bidi w:val="0"/>
        <w:adjustRightInd w:val="0"/>
        <w:snapToGrid w:val="0"/>
        <w:spacing w:line="288" w:lineRule="auto"/>
        <w:ind w:right="960"/>
        <w:jc w:val="center"/>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010686B">
      <w:pPr>
        <w:keepNext w:val="0"/>
        <w:keepLines w:val="0"/>
        <w:pageBreakBefore w:val="0"/>
        <w:kinsoku/>
        <w:wordWrap/>
        <w:overflowPunct/>
        <w:topLinePunct w:val="0"/>
        <w:autoSpaceDE/>
        <w:autoSpaceDN/>
        <w:bidi w:val="0"/>
        <w:adjustRightInd w:val="0"/>
        <w:snapToGrid w:val="0"/>
        <w:spacing w:line="288" w:lineRule="auto"/>
        <w:jc w:val="righ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654E26">
      <w:pPr>
        <w:kinsoku/>
        <w:wordWrap/>
        <w:overflowPunct/>
        <w:topLinePunct w:val="0"/>
        <w:bidi w:val="0"/>
        <w:snapToGrid w:val="0"/>
        <w:spacing w:line="360" w:lineRule="auto"/>
        <w:jc w:val="both"/>
        <w:outlineLvl w:val="9"/>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B83E2A9">
      <w:pPr>
        <w:kinsoku/>
        <w:wordWrap/>
        <w:overflowPunct/>
        <w:topLinePunct w:val="0"/>
        <w:bidi w:val="0"/>
        <w:outlineLvl w:val="9"/>
        <w:rPr>
          <w:rFonts w:hint="eastAsia" w:ascii="宋体" w:hAnsi="宋体" w:cs="宋体"/>
          <w:color w:val="auto"/>
          <w:sz w:val="24"/>
          <w:highlight w:val="none"/>
        </w:rPr>
      </w:pPr>
      <w:r>
        <w:rPr>
          <w:rFonts w:hint="eastAsia" w:ascii="宋体" w:hAnsi="宋体" w:cs="宋体"/>
          <w:color w:val="auto"/>
          <w:sz w:val="24"/>
          <w:highlight w:val="none"/>
        </w:rPr>
        <w:br w:type="page"/>
      </w:r>
    </w:p>
    <w:p w14:paraId="54D19870">
      <w:pPr>
        <w:pageBreakBefore w:val="0"/>
        <w:kinsoku/>
        <w:wordWrap/>
        <w:overflowPunct/>
        <w:topLinePunct w:val="0"/>
        <w:autoSpaceDE/>
        <w:autoSpaceDN/>
        <w:bidi w:val="0"/>
        <w:snapToGrid w:val="0"/>
        <w:spacing w:line="312" w:lineRule="auto"/>
        <w:jc w:val="center"/>
        <w:textAlignment w:val="auto"/>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7973F92">
      <w:pPr>
        <w:pageBreakBefore w:val="0"/>
        <w:widowControl/>
        <w:kinsoku/>
        <w:wordWrap/>
        <w:overflowPunct/>
        <w:topLinePunct w:val="0"/>
        <w:autoSpaceDE/>
        <w:autoSpaceDN/>
        <w:bidi w:val="0"/>
        <w:spacing w:line="312" w:lineRule="auto"/>
        <w:ind w:firstLine="120" w:firstLineChars="5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w:t>
      </w:r>
      <w:r>
        <w:rPr>
          <w:rFonts w:hint="eastAsia" w:ascii="宋体" w:hAnsi="宋体" w:cs="宋体"/>
          <w:b/>
          <w:color w:val="auto"/>
          <w:sz w:val="24"/>
          <w:highlight w:val="none"/>
          <w:lang w:eastAsia="zh-CN"/>
        </w:rPr>
        <w:t>；</w:t>
      </w:r>
      <w:r>
        <w:rPr>
          <w:rFonts w:hint="eastAsia" w:ascii="宋体" w:hAnsi="宋体" w:cs="宋体"/>
          <w:b/>
          <w:color w:val="auto"/>
          <w:sz w:val="24"/>
          <w:highlight w:val="none"/>
        </w:rPr>
        <w:t>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中标后不以分包方式履行合同的，则不需要提供。</w:t>
      </w:r>
      <w:r>
        <w:rPr>
          <w:rFonts w:hint="eastAsia" w:ascii="宋体" w:hAnsi="宋体" w:cs="宋体"/>
          <w:color w:val="auto"/>
          <w:sz w:val="24"/>
          <w:highlight w:val="none"/>
        </w:rPr>
        <w:t>）</w:t>
      </w:r>
    </w:p>
    <w:p w14:paraId="71538F60">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B373F35">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6F82EE0">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C093456">
      <w:pPr>
        <w:pageBreakBefore w:val="0"/>
        <w:tabs>
          <w:tab w:val="left" w:pos="432"/>
        </w:tabs>
        <w:kinsoku/>
        <w:wordWrap/>
        <w:overflowPunct/>
        <w:topLinePunct w:val="0"/>
        <w:autoSpaceDE/>
        <w:autoSpaceDN/>
        <w:bidi w:val="0"/>
        <w:spacing w:line="312" w:lineRule="auto"/>
        <w:ind w:left="664" w:leftChars="316" w:firstLine="228" w:firstLineChars="95"/>
        <w:textAlignment w:val="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B5EDED3">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F392D63">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52A7301">
      <w:pPr>
        <w:pageBreakBefore w:val="0"/>
        <w:kinsoku/>
        <w:wordWrap/>
        <w:overflowPunct/>
        <w:topLinePunct w:val="0"/>
        <w:autoSpaceDE/>
        <w:autoSpaceDN/>
        <w:bidi w:val="0"/>
        <w:spacing w:line="312" w:lineRule="auto"/>
        <w:ind w:firstLine="480" w:firstLineChars="200"/>
        <w:textAlignment w:val="auto"/>
        <w:outlineLvl w:val="9"/>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94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943"/>
    </w:p>
    <w:p w14:paraId="5B9DCF32">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BD79113">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highlight w:val="none"/>
          <w:u w:val="single"/>
        </w:rPr>
      </w:pPr>
      <w:r>
        <w:rPr>
          <w:rFonts w:hint="eastAsia" w:ascii="宋体" w:hAnsi="宋体" w:cs="宋体"/>
          <w:color w:val="auto"/>
          <w:highlight w:val="none"/>
          <w:u w:val="single"/>
        </w:rPr>
        <w:t xml:space="preserve">                                                                                  </w:t>
      </w:r>
    </w:p>
    <w:p w14:paraId="19EB146E">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CAF933D">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8577BDB">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3ADC116">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6AF3A80">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DA92E2E">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C1E86B1">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11B5FAC">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85B7A38">
      <w:pPr>
        <w:pageBreakBefore w:val="0"/>
        <w:kinsoku/>
        <w:wordWrap/>
        <w:overflowPunct/>
        <w:topLinePunct w:val="0"/>
        <w:autoSpaceDE/>
        <w:autoSpaceDN/>
        <w:bidi w:val="0"/>
        <w:snapToGrid w:val="0"/>
        <w:spacing w:line="312" w:lineRule="auto"/>
        <w:ind w:left="5758" w:leftChars="342" w:hanging="5040" w:hanging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3EF35400">
      <w:pPr>
        <w:pageBreakBefore w:val="0"/>
        <w:kinsoku/>
        <w:wordWrap/>
        <w:overflowPunct/>
        <w:topLinePunct w:val="0"/>
        <w:autoSpaceDE/>
        <w:autoSpaceDN/>
        <w:bidi w:val="0"/>
        <w:snapToGrid w:val="0"/>
        <w:spacing w:line="312" w:lineRule="auto"/>
        <w:jc w:val="righ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E809A68">
      <w:pPr>
        <w:pageBreakBefore w:val="0"/>
        <w:kinsoku/>
        <w:wordWrap/>
        <w:overflowPunct/>
        <w:topLinePunct w:val="0"/>
        <w:autoSpaceDE/>
        <w:autoSpaceDN/>
        <w:bidi w:val="0"/>
        <w:snapToGrid w:val="0"/>
        <w:spacing w:line="312" w:lineRule="auto"/>
        <w:ind w:firstLine="5760" w:firstLineChars="2400"/>
        <w:textAlignment w:val="auto"/>
        <w:outlineLvl w:val="9"/>
        <w:rPr>
          <w:rFonts w:ascii="宋体" w:hAnsi="宋体" w:cs="宋体"/>
          <w:color w:val="auto"/>
          <w:highlight w:val="none"/>
        </w:rPr>
      </w:pPr>
      <w:r>
        <w:rPr>
          <w:rFonts w:hint="eastAsia" w:ascii="宋体" w:hAnsi="宋体" w:cs="宋体"/>
          <w:color w:val="auto"/>
          <w:kern w:val="0"/>
          <w:sz w:val="24"/>
          <w:highlight w:val="none"/>
          <w:lang w:val="zh-CN"/>
        </w:rPr>
        <w:t>……</w:t>
      </w:r>
    </w:p>
    <w:p w14:paraId="64CB43DC">
      <w:pPr>
        <w:pageBreakBefore w:val="0"/>
        <w:kinsoku/>
        <w:wordWrap/>
        <w:overflowPunct/>
        <w:topLinePunct w:val="0"/>
        <w:autoSpaceDE/>
        <w:autoSpaceDN/>
        <w:bidi w:val="0"/>
        <w:spacing w:line="312" w:lineRule="auto"/>
        <w:jc w:val="center"/>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7BE47E7">
      <w:pPr>
        <w:widowControl/>
        <w:kinsoku/>
        <w:wordWrap/>
        <w:overflowPunct/>
        <w:topLinePunct w:val="0"/>
        <w:bidi w:val="0"/>
        <w:adjustRightInd/>
        <w:jc w:val="left"/>
        <w:outlineLvl w:val="9"/>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DC2004C">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12B7155">
      <w:pPr>
        <w:pageBreakBefore w:val="0"/>
        <w:kinsoku/>
        <w:wordWrap/>
        <w:overflowPunct/>
        <w:topLinePunct w:val="0"/>
        <w:autoSpaceDE/>
        <w:autoSpaceDN/>
        <w:bidi w:val="0"/>
        <w:snapToGrid w:val="0"/>
        <w:spacing w:line="312" w:lineRule="auto"/>
        <w:jc w:val="both"/>
        <w:textAlignment w:val="auto"/>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附件7：中小企业声明函</w:t>
      </w:r>
    </w:p>
    <w:p w14:paraId="329C3D0A">
      <w:pPr>
        <w:keepNext w:val="0"/>
        <w:keepLines w:val="0"/>
        <w:pageBreakBefore w:val="0"/>
        <w:widowControl w:val="0"/>
        <w:tabs>
          <w:tab w:val="left" w:pos="3888"/>
        </w:tabs>
        <w:kinsoku/>
        <w:wordWrap/>
        <w:overflowPunct/>
        <w:topLinePunct w:val="0"/>
        <w:autoSpaceDE/>
        <w:autoSpaceDN/>
        <w:bidi w:val="0"/>
        <w:adjustRightInd w:val="0"/>
        <w:spacing w:line="288" w:lineRule="auto"/>
        <w:ind w:right="420" w:firstLine="480"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ab/>
      </w:r>
    </w:p>
    <w:p w14:paraId="5926370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hint="default"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中小企业声明函（货物）</w:t>
      </w:r>
    </w:p>
    <w:p w14:paraId="62D31649">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 xml:space="preserve">的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3879F66F">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 xml:space="preserve"> 其他未列明行业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行业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eastAsia="zh-CN"/>
        </w:rPr>
        <w:br w:type="textWrapping"/>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p>
    <w:p w14:paraId="26A103A3">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00440C70">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60A81AB5">
      <w:pPr>
        <w:keepNext w:val="0"/>
        <w:keepLines w:val="0"/>
        <w:pageBreakBefore w:val="0"/>
        <w:widowControl w:val="0"/>
        <w:kinsoku/>
        <w:wordWrap/>
        <w:overflowPunct/>
        <w:topLinePunct w:val="0"/>
        <w:autoSpaceDE/>
        <w:autoSpaceDN/>
        <w:bidi w:val="0"/>
        <w:adjustRightInd w:val="0"/>
        <w:snapToGrid w:val="0"/>
        <w:spacing w:line="288" w:lineRule="auto"/>
        <w:ind w:firstLine="5160" w:firstLineChars="2150"/>
        <w:textAlignment w:val="auto"/>
        <w:outlineLvl w:val="9"/>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16BFB960">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4E86B8E">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从业人员、营业收入、资产总额填报上一年度数据，无上一年度数据的新成立企业可不填报。</w:t>
      </w:r>
    </w:p>
    <w:p w14:paraId="6015CC55">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注：</w:t>
      </w:r>
    </w:p>
    <w:p w14:paraId="6E55220B">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1、填写要求：①“标的名称”、“</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中明确的所属行业”依据招标文件第二部分</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须知前附表中“采购标的及其对应的中小企业划分标准所属行业”的指引，逐一填写，不得缺漏</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②从业人员、营业收入、资产总额填报上一年度数据，无上一年度数据的新成立企业可不填报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③中型企业、小型企业、微型企业等3种企业类型，结合以上数据，依据《中小企业划型标准规定》（工信部联企业〔2011〕300号）确定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④</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提供的《中小企业声明函》与实际情况不符的或者未按以上要求填写的，中小企业声明函无效，不享受中小企业扶持政策。声明内容不实的，属于提供虚假材料谋取中标、成交的，依法承担法律责任。</w:t>
      </w:r>
    </w:p>
    <w:p w14:paraId="46432C5B">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根据《关于政府采购支持监狱企业发展有关问题的通知》（财库[2014]68号）的规定，</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提供由省级以上监狱管理局、戒毒管理局（含新疆生产建设兵团）出具的属于监狱企业证明文件的，视同为小型和微型企业。</w:t>
      </w:r>
    </w:p>
    <w:p w14:paraId="6504BD41">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A354006">
      <w:pPr>
        <w:pStyle w:val="23"/>
        <w:rPr>
          <w:rFonts w:hint="eastAsia" w:ascii="宋体" w:hAnsi="宋体" w:eastAsia="宋体" w:cs="宋体"/>
          <w:color w:val="auto"/>
          <w:sz w:val="24"/>
          <w:highlight w:val="none"/>
          <w:lang w:val="en-US" w:eastAsia="zh-CN"/>
        </w:rPr>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pgNumType w:fmt="decimal"/>
          <w:cols w:space="720" w:num="1"/>
          <w:titlePg/>
          <w:docGrid w:linePitch="312" w:charSpace="0"/>
        </w:sectPr>
      </w:pPr>
    </w:p>
    <w:tbl>
      <w:tblPr>
        <w:tblStyle w:val="62"/>
        <w:tblpPr w:leftFromText="180" w:rightFromText="180" w:vertAnchor="page" w:horzAnchor="margin" w:tblpXSpec="center" w:tblpY="886"/>
        <w:tblW w:w="14894" w:type="dxa"/>
        <w:jc w:val="center"/>
        <w:tblLayout w:type="fixed"/>
        <w:tblCellMar>
          <w:top w:w="0" w:type="dxa"/>
          <w:left w:w="108" w:type="dxa"/>
          <w:bottom w:w="0" w:type="dxa"/>
          <w:right w:w="108" w:type="dxa"/>
        </w:tblCellMar>
      </w:tblPr>
      <w:tblGrid>
        <w:gridCol w:w="2229"/>
        <w:gridCol w:w="1463"/>
        <w:gridCol w:w="1723"/>
        <w:gridCol w:w="1624"/>
        <w:gridCol w:w="1211"/>
        <w:gridCol w:w="1446"/>
        <w:gridCol w:w="1490"/>
        <w:gridCol w:w="1255"/>
        <w:gridCol w:w="1246"/>
        <w:gridCol w:w="1192"/>
        <w:gridCol w:w="15"/>
      </w:tblGrid>
      <w:tr w14:paraId="07246DA7">
        <w:tblPrEx>
          <w:tblCellMar>
            <w:top w:w="0" w:type="dxa"/>
            <w:left w:w="108" w:type="dxa"/>
            <w:bottom w:w="0" w:type="dxa"/>
            <w:right w:w="108" w:type="dxa"/>
          </w:tblCellMar>
        </w:tblPrEx>
        <w:trPr>
          <w:trHeight w:val="299" w:hRule="atLeast"/>
          <w:jc w:val="center"/>
        </w:trPr>
        <w:tc>
          <w:tcPr>
            <w:tcW w:w="14894" w:type="dxa"/>
            <w:gridSpan w:val="11"/>
            <w:tcBorders>
              <w:top w:val="nil"/>
              <w:left w:val="nil"/>
              <w:bottom w:val="nil"/>
              <w:right w:val="nil"/>
            </w:tcBorders>
            <w:noWrap w:val="0"/>
            <w:vAlign w:val="bottom"/>
          </w:tcPr>
          <w:p w14:paraId="54F4AD80">
            <w:pPr>
              <w:keepNext w:val="0"/>
              <w:keepLines w:val="0"/>
              <w:widowControl/>
              <w:suppressLineNumbers w:val="0"/>
              <w:spacing w:before="0" w:beforeAutospacing="0" w:after="0" w:afterAutospacing="0" w:line="360" w:lineRule="auto"/>
              <w:ind w:left="0" w:right="0"/>
              <w:jc w:val="both"/>
              <w:rPr>
                <w:rFonts w:hint="default" w:cs="宋体"/>
                <w:b/>
                <w:bCs/>
                <w:color w:val="auto"/>
                <w:kern w:val="0"/>
                <w:sz w:val="24"/>
                <w:highlight w:val="none"/>
              </w:rPr>
            </w:pPr>
          </w:p>
          <w:p w14:paraId="39872EC7">
            <w:pPr>
              <w:keepNext w:val="0"/>
              <w:keepLines w:val="0"/>
              <w:widowControl/>
              <w:suppressLineNumbers w:val="0"/>
              <w:spacing w:before="0" w:beforeAutospacing="0" w:after="0" w:afterAutospacing="0" w:line="360" w:lineRule="auto"/>
              <w:ind w:left="0" w:right="0"/>
              <w:jc w:val="center"/>
              <w:rPr>
                <w:rFonts w:hint="default" w:cs="宋体"/>
                <w:b/>
                <w:bCs/>
                <w:color w:val="auto"/>
                <w:kern w:val="0"/>
                <w:sz w:val="32"/>
                <w:szCs w:val="32"/>
                <w:highlight w:val="none"/>
              </w:rPr>
            </w:pPr>
            <w:r>
              <w:rPr>
                <w:rFonts w:hint="eastAsia" w:cs="宋体"/>
                <w:b/>
                <w:bCs/>
                <w:color w:val="auto"/>
                <w:kern w:val="0"/>
                <w:sz w:val="24"/>
                <w:highlight w:val="none"/>
              </w:rPr>
              <w:t>中小微行业划型标准规定（根据工信部联企业〔2011〕300号制定）</w:t>
            </w:r>
          </w:p>
        </w:tc>
      </w:tr>
      <w:tr w14:paraId="333BB229">
        <w:tblPrEx>
          <w:tblCellMar>
            <w:top w:w="0" w:type="dxa"/>
            <w:left w:w="108" w:type="dxa"/>
            <w:bottom w:w="0" w:type="dxa"/>
            <w:right w:w="108" w:type="dxa"/>
          </w:tblCellMar>
        </w:tblPrEx>
        <w:trPr>
          <w:trHeight w:val="331" w:hRule="atLeast"/>
          <w:jc w:val="center"/>
        </w:trPr>
        <w:tc>
          <w:tcPr>
            <w:tcW w:w="2230" w:type="dxa"/>
            <w:vMerge w:val="restart"/>
            <w:tcBorders>
              <w:top w:val="single" w:color="auto" w:sz="8" w:space="0"/>
              <w:left w:val="single" w:color="auto" w:sz="8" w:space="0"/>
              <w:bottom w:val="single" w:color="000000" w:sz="4" w:space="0"/>
              <w:right w:val="single" w:color="auto" w:sz="8" w:space="0"/>
            </w:tcBorders>
            <w:noWrap w:val="0"/>
            <w:vAlign w:val="center"/>
          </w:tcPr>
          <w:p w14:paraId="1CB9A0DB">
            <w:pPr>
              <w:keepNext w:val="0"/>
              <w:keepLines w:val="0"/>
              <w:widowControl/>
              <w:suppressLineNumbers w:val="0"/>
              <w:spacing w:before="0" w:beforeAutospacing="0" w:after="0" w:afterAutospacing="0" w:line="360" w:lineRule="auto"/>
              <w:ind w:left="0" w:right="0"/>
              <w:jc w:val="center"/>
              <w:rPr>
                <w:rFonts w:hint="default" w:cs="宋体"/>
                <w:b w:val="0"/>
                <w:bCs w:val="0"/>
                <w:color w:val="auto"/>
                <w:kern w:val="0"/>
                <w:sz w:val="18"/>
                <w:szCs w:val="13"/>
                <w:highlight w:val="none"/>
              </w:rPr>
            </w:pPr>
            <w:r>
              <w:rPr>
                <w:rFonts w:hint="eastAsia" w:cs="宋体"/>
                <w:b w:val="0"/>
                <w:bCs w:val="0"/>
                <w:color w:val="auto"/>
                <w:kern w:val="0"/>
                <w:sz w:val="18"/>
                <w:szCs w:val="13"/>
                <w:highlight w:val="none"/>
              </w:rPr>
              <w:t>行业</w:t>
            </w:r>
          </w:p>
        </w:tc>
        <w:tc>
          <w:tcPr>
            <w:tcW w:w="4810" w:type="dxa"/>
            <w:gridSpan w:val="3"/>
            <w:tcBorders>
              <w:top w:val="single" w:color="auto" w:sz="8" w:space="0"/>
              <w:left w:val="nil"/>
              <w:bottom w:val="single" w:color="auto" w:sz="4" w:space="0"/>
              <w:right w:val="single" w:color="000000" w:sz="8" w:space="0"/>
            </w:tcBorders>
            <w:noWrap w:val="0"/>
            <w:vAlign w:val="bottom"/>
          </w:tcPr>
          <w:p w14:paraId="2793F424">
            <w:pPr>
              <w:keepNext w:val="0"/>
              <w:keepLines w:val="0"/>
              <w:widowControl/>
              <w:suppressLineNumbers w:val="0"/>
              <w:spacing w:before="0" w:beforeAutospacing="0" w:after="0" w:afterAutospacing="0" w:line="360" w:lineRule="auto"/>
              <w:ind w:left="0" w:right="0"/>
              <w:jc w:val="center"/>
              <w:rPr>
                <w:rFonts w:hint="default" w:cs="宋体"/>
                <w:b w:val="0"/>
                <w:bCs w:val="0"/>
                <w:color w:val="auto"/>
                <w:kern w:val="0"/>
                <w:sz w:val="18"/>
                <w:szCs w:val="13"/>
                <w:highlight w:val="none"/>
              </w:rPr>
            </w:pPr>
            <w:r>
              <w:rPr>
                <w:rFonts w:hint="eastAsia" w:cs="宋体"/>
                <w:b w:val="0"/>
                <w:bCs w:val="0"/>
                <w:color w:val="auto"/>
                <w:kern w:val="0"/>
                <w:sz w:val="18"/>
                <w:szCs w:val="13"/>
                <w:highlight w:val="none"/>
              </w:rPr>
              <w:t>中型企业</w:t>
            </w:r>
          </w:p>
        </w:tc>
        <w:tc>
          <w:tcPr>
            <w:tcW w:w="4147" w:type="dxa"/>
            <w:gridSpan w:val="3"/>
            <w:tcBorders>
              <w:top w:val="single" w:color="auto" w:sz="8" w:space="0"/>
              <w:left w:val="nil"/>
              <w:bottom w:val="single" w:color="auto" w:sz="4" w:space="0"/>
              <w:right w:val="single" w:color="000000" w:sz="8" w:space="0"/>
            </w:tcBorders>
            <w:noWrap w:val="0"/>
            <w:vAlign w:val="bottom"/>
          </w:tcPr>
          <w:p w14:paraId="41CC8026">
            <w:pPr>
              <w:keepNext w:val="0"/>
              <w:keepLines w:val="0"/>
              <w:widowControl/>
              <w:suppressLineNumbers w:val="0"/>
              <w:spacing w:before="0" w:beforeAutospacing="0" w:after="0" w:afterAutospacing="0" w:line="360" w:lineRule="auto"/>
              <w:ind w:left="0" w:right="0"/>
              <w:jc w:val="center"/>
              <w:rPr>
                <w:rFonts w:hint="default" w:cs="宋体"/>
                <w:b w:val="0"/>
                <w:bCs w:val="0"/>
                <w:color w:val="auto"/>
                <w:kern w:val="0"/>
                <w:sz w:val="18"/>
                <w:szCs w:val="13"/>
                <w:highlight w:val="none"/>
              </w:rPr>
            </w:pPr>
            <w:r>
              <w:rPr>
                <w:rFonts w:hint="eastAsia" w:cs="宋体"/>
                <w:b w:val="0"/>
                <w:bCs w:val="0"/>
                <w:color w:val="auto"/>
                <w:kern w:val="0"/>
                <w:sz w:val="18"/>
                <w:szCs w:val="13"/>
                <w:highlight w:val="none"/>
              </w:rPr>
              <w:t>小型企业</w:t>
            </w:r>
          </w:p>
        </w:tc>
        <w:tc>
          <w:tcPr>
            <w:tcW w:w="3706" w:type="dxa"/>
            <w:gridSpan w:val="4"/>
            <w:tcBorders>
              <w:top w:val="single" w:color="auto" w:sz="8" w:space="0"/>
              <w:left w:val="nil"/>
              <w:bottom w:val="single" w:color="auto" w:sz="4" w:space="0"/>
              <w:right w:val="single" w:color="000000" w:sz="8" w:space="0"/>
            </w:tcBorders>
            <w:noWrap w:val="0"/>
            <w:vAlign w:val="bottom"/>
          </w:tcPr>
          <w:p w14:paraId="47C12EF6">
            <w:pPr>
              <w:keepNext w:val="0"/>
              <w:keepLines w:val="0"/>
              <w:widowControl/>
              <w:suppressLineNumbers w:val="0"/>
              <w:spacing w:before="0" w:beforeAutospacing="0" w:after="0" w:afterAutospacing="0" w:line="360" w:lineRule="auto"/>
              <w:ind w:left="0" w:right="0"/>
              <w:jc w:val="center"/>
              <w:rPr>
                <w:rFonts w:hint="default" w:cs="宋体"/>
                <w:b w:val="0"/>
                <w:bCs w:val="0"/>
                <w:color w:val="auto"/>
                <w:kern w:val="0"/>
                <w:sz w:val="18"/>
                <w:szCs w:val="13"/>
                <w:highlight w:val="none"/>
              </w:rPr>
            </w:pPr>
            <w:r>
              <w:rPr>
                <w:rFonts w:hint="eastAsia" w:cs="宋体"/>
                <w:b w:val="0"/>
                <w:bCs w:val="0"/>
                <w:color w:val="auto"/>
                <w:kern w:val="0"/>
                <w:sz w:val="18"/>
                <w:szCs w:val="13"/>
                <w:highlight w:val="none"/>
              </w:rPr>
              <w:t>微型企业</w:t>
            </w:r>
          </w:p>
        </w:tc>
      </w:tr>
      <w:tr w14:paraId="4300A782">
        <w:tblPrEx>
          <w:tblCellMar>
            <w:top w:w="0" w:type="dxa"/>
            <w:left w:w="108" w:type="dxa"/>
            <w:bottom w:w="0" w:type="dxa"/>
            <w:right w:w="108" w:type="dxa"/>
          </w:tblCellMar>
        </w:tblPrEx>
        <w:trPr>
          <w:gridAfter w:val="1"/>
          <w:wAfter w:w="15" w:type="dxa"/>
          <w:trHeight w:val="374" w:hRule="atLeast"/>
          <w:jc w:val="center"/>
        </w:trPr>
        <w:tc>
          <w:tcPr>
            <w:tcW w:w="2230" w:type="dxa"/>
            <w:vMerge w:val="continue"/>
            <w:tcBorders>
              <w:top w:val="single" w:color="auto" w:sz="8" w:space="0"/>
              <w:left w:val="single" w:color="auto" w:sz="8" w:space="0"/>
              <w:bottom w:val="single" w:color="000000" w:sz="4" w:space="0"/>
              <w:right w:val="single" w:color="auto" w:sz="8" w:space="0"/>
            </w:tcBorders>
            <w:noWrap w:val="0"/>
            <w:vAlign w:val="center"/>
          </w:tcPr>
          <w:p w14:paraId="7046B2D5">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p>
        </w:tc>
        <w:tc>
          <w:tcPr>
            <w:tcW w:w="1463" w:type="dxa"/>
            <w:tcBorders>
              <w:top w:val="nil"/>
              <w:left w:val="nil"/>
              <w:bottom w:val="single" w:color="auto" w:sz="4" w:space="0"/>
              <w:right w:val="single" w:color="auto" w:sz="4" w:space="0"/>
            </w:tcBorders>
            <w:noWrap w:val="0"/>
            <w:vAlign w:val="bottom"/>
          </w:tcPr>
          <w:p w14:paraId="0673720D">
            <w:pPr>
              <w:keepNext w:val="0"/>
              <w:keepLines w:val="0"/>
              <w:widowControl/>
              <w:suppressLineNumbers w:val="0"/>
              <w:spacing w:before="0" w:beforeAutospacing="0" w:after="0" w:afterAutospacing="0" w:line="360" w:lineRule="auto"/>
              <w:ind w:left="0" w:right="0"/>
              <w:jc w:val="center"/>
              <w:rPr>
                <w:rFonts w:hint="default" w:cs="宋体"/>
                <w:b w:val="0"/>
                <w:bCs w:val="0"/>
                <w:color w:val="auto"/>
                <w:kern w:val="0"/>
                <w:sz w:val="18"/>
                <w:szCs w:val="13"/>
                <w:highlight w:val="none"/>
              </w:rPr>
            </w:pPr>
            <w:r>
              <w:rPr>
                <w:rFonts w:hint="eastAsia" w:cs="宋体"/>
                <w:b w:val="0"/>
                <w:bCs w:val="0"/>
                <w:color w:val="auto"/>
                <w:kern w:val="0"/>
                <w:sz w:val="18"/>
                <w:szCs w:val="13"/>
                <w:highlight w:val="none"/>
              </w:rPr>
              <w:t>从业人员X（人）</w:t>
            </w:r>
          </w:p>
        </w:tc>
        <w:tc>
          <w:tcPr>
            <w:tcW w:w="1723" w:type="dxa"/>
            <w:tcBorders>
              <w:top w:val="nil"/>
              <w:left w:val="nil"/>
              <w:bottom w:val="single" w:color="auto" w:sz="4" w:space="0"/>
              <w:right w:val="single" w:color="auto" w:sz="4" w:space="0"/>
            </w:tcBorders>
            <w:noWrap w:val="0"/>
            <w:vAlign w:val="bottom"/>
          </w:tcPr>
          <w:p w14:paraId="2D50E6CB">
            <w:pPr>
              <w:keepNext w:val="0"/>
              <w:keepLines w:val="0"/>
              <w:widowControl/>
              <w:suppressLineNumbers w:val="0"/>
              <w:spacing w:before="0" w:beforeAutospacing="0" w:after="0" w:afterAutospacing="0" w:line="360" w:lineRule="auto"/>
              <w:ind w:left="0" w:right="0"/>
              <w:jc w:val="center"/>
              <w:rPr>
                <w:rFonts w:hint="eastAsia" w:cs="宋体"/>
                <w:b w:val="0"/>
                <w:bCs w:val="0"/>
                <w:color w:val="auto"/>
                <w:kern w:val="0"/>
                <w:sz w:val="18"/>
                <w:szCs w:val="13"/>
                <w:highlight w:val="none"/>
              </w:rPr>
            </w:pPr>
            <w:r>
              <w:rPr>
                <w:rFonts w:hint="eastAsia" w:cs="宋体"/>
                <w:b w:val="0"/>
                <w:bCs w:val="0"/>
                <w:color w:val="auto"/>
                <w:kern w:val="0"/>
                <w:sz w:val="18"/>
                <w:szCs w:val="13"/>
                <w:highlight w:val="none"/>
              </w:rPr>
              <w:t>营业收入Y</w:t>
            </w:r>
          </w:p>
          <w:p w14:paraId="614E6ABF">
            <w:pPr>
              <w:keepNext w:val="0"/>
              <w:keepLines w:val="0"/>
              <w:widowControl/>
              <w:suppressLineNumbers w:val="0"/>
              <w:spacing w:before="0" w:beforeAutospacing="0" w:after="0" w:afterAutospacing="0" w:line="360" w:lineRule="auto"/>
              <w:ind w:left="0" w:right="0"/>
              <w:jc w:val="center"/>
              <w:rPr>
                <w:rFonts w:hint="default" w:cs="宋体"/>
                <w:b w:val="0"/>
                <w:bCs w:val="0"/>
                <w:color w:val="auto"/>
                <w:kern w:val="0"/>
                <w:sz w:val="18"/>
                <w:szCs w:val="13"/>
                <w:highlight w:val="none"/>
              </w:rPr>
            </w:pPr>
            <w:r>
              <w:rPr>
                <w:rFonts w:hint="eastAsia" w:cs="宋体"/>
                <w:b w:val="0"/>
                <w:bCs w:val="0"/>
                <w:color w:val="auto"/>
                <w:kern w:val="0"/>
                <w:sz w:val="18"/>
                <w:szCs w:val="13"/>
                <w:highlight w:val="none"/>
              </w:rPr>
              <w:t>（万元）</w:t>
            </w:r>
          </w:p>
        </w:tc>
        <w:tc>
          <w:tcPr>
            <w:tcW w:w="1624" w:type="dxa"/>
            <w:tcBorders>
              <w:top w:val="nil"/>
              <w:left w:val="nil"/>
              <w:bottom w:val="single" w:color="auto" w:sz="4" w:space="0"/>
              <w:right w:val="single" w:color="auto" w:sz="8" w:space="0"/>
            </w:tcBorders>
            <w:noWrap w:val="0"/>
            <w:vAlign w:val="bottom"/>
          </w:tcPr>
          <w:p w14:paraId="7453B775">
            <w:pPr>
              <w:keepNext w:val="0"/>
              <w:keepLines w:val="0"/>
              <w:widowControl/>
              <w:suppressLineNumbers w:val="0"/>
              <w:spacing w:before="0" w:beforeAutospacing="0" w:after="0" w:afterAutospacing="0" w:line="360" w:lineRule="auto"/>
              <w:ind w:left="0" w:right="0"/>
              <w:jc w:val="center"/>
              <w:rPr>
                <w:rFonts w:hint="eastAsia" w:cs="宋体"/>
                <w:b w:val="0"/>
                <w:bCs w:val="0"/>
                <w:color w:val="auto"/>
                <w:kern w:val="0"/>
                <w:sz w:val="18"/>
                <w:szCs w:val="13"/>
                <w:highlight w:val="none"/>
              </w:rPr>
            </w:pPr>
            <w:r>
              <w:rPr>
                <w:rFonts w:hint="eastAsia" w:cs="宋体"/>
                <w:b w:val="0"/>
                <w:bCs w:val="0"/>
                <w:color w:val="auto"/>
                <w:kern w:val="0"/>
                <w:sz w:val="18"/>
                <w:szCs w:val="13"/>
                <w:highlight w:val="none"/>
              </w:rPr>
              <w:t>资产总额Z</w:t>
            </w:r>
          </w:p>
          <w:p w14:paraId="60C1CC13">
            <w:pPr>
              <w:keepNext w:val="0"/>
              <w:keepLines w:val="0"/>
              <w:widowControl/>
              <w:suppressLineNumbers w:val="0"/>
              <w:spacing w:before="0" w:beforeAutospacing="0" w:after="0" w:afterAutospacing="0" w:line="360" w:lineRule="auto"/>
              <w:ind w:left="0" w:right="0"/>
              <w:jc w:val="center"/>
              <w:rPr>
                <w:rFonts w:hint="default" w:cs="宋体"/>
                <w:b w:val="0"/>
                <w:bCs w:val="0"/>
                <w:color w:val="auto"/>
                <w:kern w:val="0"/>
                <w:sz w:val="18"/>
                <w:szCs w:val="13"/>
                <w:highlight w:val="none"/>
              </w:rPr>
            </w:pPr>
            <w:r>
              <w:rPr>
                <w:rFonts w:hint="eastAsia" w:cs="宋体"/>
                <w:b w:val="0"/>
                <w:bCs w:val="0"/>
                <w:color w:val="auto"/>
                <w:kern w:val="0"/>
                <w:sz w:val="18"/>
                <w:szCs w:val="13"/>
                <w:highlight w:val="none"/>
              </w:rPr>
              <w:t>（万元）</w:t>
            </w:r>
          </w:p>
        </w:tc>
        <w:tc>
          <w:tcPr>
            <w:tcW w:w="1211" w:type="dxa"/>
            <w:tcBorders>
              <w:top w:val="nil"/>
              <w:left w:val="nil"/>
              <w:bottom w:val="single" w:color="auto" w:sz="4" w:space="0"/>
              <w:right w:val="single" w:color="auto" w:sz="4" w:space="0"/>
            </w:tcBorders>
            <w:noWrap w:val="0"/>
            <w:vAlign w:val="bottom"/>
          </w:tcPr>
          <w:p w14:paraId="18D3DB9C">
            <w:pPr>
              <w:keepNext w:val="0"/>
              <w:keepLines w:val="0"/>
              <w:widowControl/>
              <w:suppressLineNumbers w:val="0"/>
              <w:spacing w:before="0" w:beforeAutospacing="0" w:after="0" w:afterAutospacing="0" w:line="360" w:lineRule="auto"/>
              <w:ind w:left="0" w:right="0"/>
              <w:jc w:val="center"/>
              <w:rPr>
                <w:rFonts w:hint="default" w:cs="宋体"/>
                <w:b w:val="0"/>
                <w:bCs w:val="0"/>
                <w:color w:val="auto"/>
                <w:kern w:val="0"/>
                <w:sz w:val="18"/>
                <w:szCs w:val="13"/>
                <w:highlight w:val="none"/>
              </w:rPr>
            </w:pPr>
            <w:r>
              <w:rPr>
                <w:rFonts w:hint="eastAsia" w:cs="宋体"/>
                <w:b w:val="0"/>
                <w:bCs w:val="0"/>
                <w:color w:val="auto"/>
                <w:kern w:val="0"/>
                <w:sz w:val="18"/>
                <w:szCs w:val="13"/>
                <w:highlight w:val="none"/>
              </w:rPr>
              <w:t>从业人员X（人）</w:t>
            </w:r>
          </w:p>
        </w:tc>
        <w:tc>
          <w:tcPr>
            <w:tcW w:w="1446" w:type="dxa"/>
            <w:tcBorders>
              <w:top w:val="nil"/>
              <w:left w:val="nil"/>
              <w:bottom w:val="single" w:color="auto" w:sz="4" w:space="0"/>
              <w:right w:val="single" w:color="auto" w:sz="4" w:space="0"/>
            </w:tcBorders>
            <w:noWrap w:val="0"/>
            <w:vAlign w:val="bottom"/>
          </w:tcPr>
          <w:p w14:paraId="2DF8F153">
            <w:pPr>
              <w:keepNext w:val="0"/>
              <w:keepLines w:val="0"/>
              <w:widowControl/>
              <w:suppressLineNumbers w:val="0"/>
              <w:spacing w:before="0" w:beforeAutospacing="0" w:after="0" w:afterAutospacing="0" w:line="360" w:lineRule="auto"/>
              <w:ind w:left="0" w:right="0"/>
              <w:jc w:val="center"/>
              <w:rPr>
                <w:rFonts w:hint="eastAsia" w:cs="宋体"/>
                <w:b w:val="0"/>
                <w:bCs w:val="0"/>
                <w:color w:val="auto"/>
                <w:kern w:val="0"/>
                <w:sz w:val="18"/>
                <w:szCs w:val="13"/>
                <w:highlight w:val="none"/>
              </w:rPr>
            </w:pPr>
            <w:r>
              <w:rPr>
                <w:rFonts w:hint="eastAsia" w:cs="宋体"/>
                <w:b w:val="0"/>
                <w:bCs w:val="0"/>
                <w:color w:val="auto"/>
                <w:kern w:val="0"/>
                <w:sz w:val="18"/>
                <w:szCs w:val="13"/>
                <w:highlight w:val="none"/>
              </w:rPr>
              <w:t>营业收入Y</w:t>
            </w:r>
          </w:p>
          <w:p w14:paraId="38944220">
            <w:pPr>
              <w:keepNext w:val="0"/>
              <w:keepLines w:val="0"/>
              <w:widowControl/>
              <w:suppressLineNumbers w:val="0"/>
              <w:spacing w:before="0" w:beforeAutospacing="0" w:after="0" w:afterAutospacing="0" w:line="360" w:lineRule="auto"/>
              <w:ind w:left="0" w:right="0"/>
              <w:jc w:val="center"/>
              <w:rPr>
                <w:rFonts w:hint="default" w:cs="宋体"/>
                <w:b w:val="0"/>
                <w:bCs w:val="0"/>
                <w:color w:val="auto"/>
                <w:kern w:val="0"/>
                <w:sz w:val="18"/>
                <w:szCs w:val="13"/>
                <w:highlight w:val="none"/>
              </w:rPr>
            </w:pPr>
            <w:r>
              <w:rPr>
                <w:rFonts w:hint="eastAsia" w:cs="宋体"/>
                <w:b w:val="0"/>
                <w:bCs w:val="0"/>
                <w:color w:val="auto"/>
                <w:kern w:val="0"/>
                <w:sz w:val="18"/>
                <w:szCs w:val="13"/>
                <w:highlight w:val="none"/>
              </w:rPr>
              <w:t>（万元）</w:t>
            </w:r>
          </w:p>
        </w:tc>
        <w:tc>
          <w:tcPr>
            <w:tcW w:w="1489" w:type="dxa"/>
            <w:tcBorders>
              <w:top w:val="nil"/>
              <w:left w:val="nil"/>
              <w:bottom w:val="single" w:color="auto" w:sz="4" w:space="0"/>
              <w:right w:val="single" w:color="auto" w:sz="8" w:space="0"/>
            </w:tcBorders>
            <w:noWrap w:val="0"/>
            <w:vAlign w:val="bottom"/>
          </w:tcPr>
          <w:p w14:paraId="0D3BE7FE">
            <w:pPr>
              <w:keepNext w:val="0"/>
              <w:keepLines w:val="0"/>
              <w:widowControl/>
              <w:suppressLineNumbers w:val="0"/>
              <w:spacing w:before="0" w:beforeAutospacing="0" w:after="0" w:afterAutospacing="0" w:line="360" w:lineRule="auto"/>
              <w:ind w:left="0" w:right="0"/>
              <w:jc w:val="center"/>
              <w:rPr>
                <w:rFonts w:hint="eastAsia" w:cs="宋体"/>
                <w:b w:val="0"/>
                <w:bCs w:val="0"/>
                <w:color w:val="auto"/>
                <w:kern w:val="0"/>
                <w:sz w:val="18"/>
                <w:szCs w:val="13"/>
                <w:highlight w:val="none"/>
              </w:rPr>
            </w:pPr>
            <w:r>
              <w:rPr>
                <w:rFonts w:hint="eastAsia" w:cs="宋体"/>
                <w:b w:val="0"/>
                <w:bCs w:val="0"/>
                <w:color w:val="auto"/>
                <w:kern w:val="0"/>
                <w:sz w:val="18"/>
                <w:szCs w:val="13"/>
                <w:highlight w:val="none"/>
              </w:rPr>
              <w:t>资产总额Z</w:t>
            </w:r>
          </w:p>
          <w:p w14:paraId="1F42D504">
            <w:pPr>
              <w:keepNext w:val="0"/>
              <w:keepLines w:val="0"/>
              <w:widowControl/>
              <w:suppressLineNumbers w:val="0"/>
              <w:spacing w:before="0" w:beforeAutospacing="0" w:after="0" w:afterAutospacing="0" w:line="360" w:lineRule="auto"/>
              <w:ind w:left="0" w:right="0"/>
              <w:jc w:val="center"/>
              <w:rPr>
                <w:rFonts w:hint="default" w:cs="宋体"/>
                <w:b w:val="0"/>
                <w:bCs w:val="0"/>
                <w:color w:val="auto"/>
                <w:kern w:val="0"/>
                <w:sz w:val="18"/>
                <w:szCs w:val="13"/>
                <w:highlight w:val="none"/>
              </w:rPr>
            </w:pPr>
            <w:r>
              <w:rPr>
                <w:rFonts w:hint="eastAsia" w:cs="宋体"/>
                <w:b w:val="0"/>
                <w:bCs w:val="0"/>
                <w:color w:val="auto"/>
                <w:kern w:val="0"/>
                <w:sz w:val="18"/>
                <w:szCs w:val="13"/>
                <w:highlight w:val="none"/>
              </w:rPr>
              <w:t>（万元）</w:t>
            </w:r>
          </w:p>
        </w:tc>
        <w:tc>
          <w:tcPr>
            <w:tcW w:w="1255" w:type="dxa"/>
            <w:tcBorders>
              <w:top w:val="nil"/>
              <w:left w:val="nil"/>
              <w:bottom w:val="single" w:color="auto" w:sz="4" w:space="0"/>
              <w:right w:val="single" w:color="auto" w:sz="4" w:space="0"/>
            </w:tcBorders>
            <w:noWrap w:val="0"/>
            <w:vAlign w:val="bottom"/>
          </w:tcPr>
          <w:p w14:paraId="62C531BB">
            <w:pPr>
              <w:keepNext w:val="0"/>
              <w:keepLines w:val="0"/>
              <w:widowControl/>
              <w:suppressLineNumbers w:val="0"/>
              <w:spacing w:before="0" w:beforeAutospacing="0" w:after="0" w:afterAutospacing="0" w:line="360" w:lineRule="auto"/>
              <w:ind w:left="0" w:right="0"/>
              <w:jc w:val="center"/>
              <w:rPr>
                <w:rFonts w:hint="default" w:cs="宋体"/>
                <w:b w:val="0"/>
                <w:bCs w:val="0"/>
                <w:color w:val="auto"/>
                <w:kern w:val="0"/>
                <w:sz w:val="18"/>
                <w:szCs w:val="13"/>
                <w:highlight w:val="none"/>
              </w:rPr>
            </w:pPr>
            <w:r>
              <w:rPr>
                <w:rFonts w:hint="eastAsia" w:cs="宋体"/>
                <w:b w:val="0"/>
                <w:bCs w:val="0"/>
                <w:color w:val="auto"/>
                <w:kern w:val="0"/>
                <w:sz w:val="18"/>
                <w:szCs w:val="13"/>
                <w:highlight w:val="none"/>
              </w:rPr>
              <w:t>从业人员X（人）</w:t>
            </w:r>
          </w:p>
        </w:tc>
        <w:tc>
          <w:tcPr>
            <w:tcW w:w="1246" w:type="dxa"/>
            <w:tcBorders>
              <w:top w:val="nil"/>
              <w:left w:val="nil"/>
              <w:bottom w:val="single" w:color="auto" w:sz="4" w:space="0"/>
              <w:right w:val="single" w:color="auto" w:sz="4" w:space="0"/>
            </w:tcBorders>
            <w:noWrap w:val="0"/>
            <w:vAlign w:val="bottom"/>
          </w:tcPr>
          <w:p w14:paraId="3ED9F64E">
            <w:pPr>
              <w:keepNext w:val="0"/>
              <w:keepLines w:val="0"/>
              <w:widowControl/>
              <w:suppressLineNumbers w:val="0"/>
              <w:spacing w:before="0" w:beforeAutospacing="0" w:after="0" w:afterAutospacing="0" w:line="360" w:lineRule="auto"/>
              <w:ind w:left="0" w:right="0"/>
              <w:jc w:val="center"/>
              <w:rPr>
                <w:rFonts w:hint="default" w:cs="宋体"/>
                <w:b w:val="0"/>
                <w:bCs w:val="0"/>
                <w:color w:val="auto"/>
                <w:kern w:val="0"/>
                <w:sz w:val="18"/>
                <w:szCs w:val="13"/>
                <w:highlight w:val="none"/>
              </w:rPr>
            </w:pPr>
            <w:r>
              <w:rPr>
                <w:rFonts w:hint="eastAsia" w:cs="宋体"/>
                <w:b w:val="0"/>
                <w:bCs w:val="0"/>
                <w:color w:val="auto"/>
                <w:kern w:val="0"/>
                <w:sz w:val="18"/>
                <w:szCs w:val="13"/>
                <w:highlight w:val="none"/>
              </w:rPr>
              <w:t>营业收入Y（万元）</w:t>
            </w:r>
          </w:p>
        </w:tc>
        <w:tc>
          <w:tcPr>
            <w:tcW w:w="1192" w:type="dxa"/>
            <w:tcBorders>
              <w:top w:val="nil"/>
              <w:left w:val="nil"/>
              <w:bottom w:val="single" w:color="auto" w:sz="4" w:space="0"/>
              <w:right w:val="single" w:color="auto" w:sz="8" w:space="0"/>
            </w:tcBorders>
            <w:noWrap w:val="0"/>
            <w:vAlign w:val="bottom"/>
          </w:tcPr>
          <w:p w14:paraId="4FAAD164">
            <w:pPr>
              <w:keepNext w:val="0"/>
              <w:keepLines w:val="0"/>
              <w:widowControl/>
              <w:suppressLineNumbers w:val="0"/>
              <w:spacing w:before="0" w:beforeAutospacing="0" w:after="0" w:afterAutospacing="0" w:line="360" w:lineRule="auto"/>
              <w:ind w:left="0" w:right="0"/>
              <w:jc w:val="center"/>
              <w:rPr>
                <w:rFonts w:hint="default" w:cs="宋体"/>
                <w:b w:val="0"/>
                <w:bCs w:val="0"/>
                <w:color w:val="auto"/>
                <w:kern w:val="0"/>
                <w:sz w:val="18"/>
                <w:szCs w:val="13"/>
                <w:highlight w:val="none"/>
              </w:rPr>
            </w:pPr>
            <w:r>
              <w:rPr>
                <w:rFonts w:hint="eastAsia" w:cs="宋体"/>
                <w:b w:val="0"/>
                <w:bCs w:val="0"/>
                <w:color w:val="auto"/>
                <w:kern w:val="0"/>
                <w:sz w:val="18"/>
                <w:szCs w:val="13"/>
                <w:highlight w:val="none"/>
              </w:rPr>
              <w:t>资产总额Z（万元）</w:t>
            </w:r>
          </w:p>
        </w:tc>
      </w:tr>
      <w:tr w14:paraId="3B909A45">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noWrap w:val="0"/>
            <w:vAlign w:val="bottom"/>
          </w:tcPr>
          <w:p w14:paraId="0BE61A27">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xml:space="preserve"> 1、农林牧渔业</w:t>
            </w:r>
          </w:p>
        </w:tc>
        <w:tc>
          <w:tcPr>
            <w:tcW w:w="1463" w:type="dxa"/>
            <w:tcBorders>
              <w:top w:val="nil"/>
              <w:left w:val="nil"/>
              <w:bottom w:val="single" w:color="auto" w:sz="4" w:space="0"/>
              <w:right w:val="single" w:color="auto" w:sz="4" w:space="0"/>
            </w:tcBorders>
            <w:noWrap w:val="0"/>
            <w:vAlign w:val="bottom"/>
          </w:tcPr>
          <w:p w14:paraId="06E7C6BD">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723" w:type="dxa"/>
            <w:tcBorders>
              <w:top w:val="nil"/>
              <w:left w:val="nil"/>
              <w:bottom w:val="single" w:color="auto" w:sz="4" w:space="0"/>
              <w:right w:val="single" w:color="auto" w:sz="4" w:space="0"/>
            </w:tcBorders>
            <w:noWrap w:val="0"/>
            <w:vAlign w:val="bottom"/>
          </w:tcPr>
          <w:p w14:paraId="657950FF">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xml:space="preserve"> 500≤Y＜20000</w:t>
            </w:r>
          </w:p>
        </w:tc>
        <w:tc>
          <w:tcPr>
            <w:tcW w:w="1624" w:type="dxa"/>
            <w:tcBorders>
              <w:top w:val="nil"/>
              <w:left w:val="nil"/>
              <w:bottom w:val="single" w:color="auto" w:sz="4" w:space="0"/>
              <w:right w:val="single" w:color="auto" w:sz="8" w:space="0"/>
            </w:tcBorders>
            <w:noWrap w:val="0"/>
            <w:vAlign w:val="bottom"/>
          </w:tcPr>
          <w:p w14:paraId="4C066C58">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11" w:type="dxa"/>
            <w:tcBorders>
              <w:top w:val="nil"/>
              <w:left w:val="nil"/>
              <w:bottom w:val="single" w:color="auto" w:sz="4" w:space="0"/>
              <w:right w:val="single" w:color="auto" w:sz="4" w:space="0"/>
            </w:tcBorders>
            <w:noWrap w:val="0"/>
            <w:vAlign w:val="bottom"/>
          </w:tcPr>
          <w:p w14:paraId="03C5083B">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446" w:type="dxa"/>
            <w:tcBorders>
              <w:top w:val="nil"/>
              <w:left w:val="nil"/>
              <w:bottom w:val="single" w:color="auto" w:sz="4" w:space="0"/>
              <w:right w:val="single" w:color="auto" w:sz="4" w:space="0"/>
            </w:tcBorders>
            <w:noWrap w:val="0"/>
            <w:vAlign w:val="bottom"/>
          </w:tcPr>
          <w:p w14:paraId="0A73D5ED">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xml:space="preserve"> 50≤Y＜500</w:t>
            </w:r>
          </w:p>
        </w:tc>
        <w:tc>
          <w:tcPr>
            <w:tcW w:w="1489" w:type="dxa"/>
            <w:tcBorders>
              <w:top w:val="nil"/>
              <w:left w:val="nil"/>
              <w:bottom w:val="single" w:color="auto" w:sz="4" w:space="0"/>
              <w:right w:val="single" w:color="auto" w:sz="8" w:space="0"/>
            </w:tcBorders>
            <w:noWrap w:val="0"/>
            <w:vAlign w:val="bottom"/>
          </w:tcPr>
          <w:p w14:paraId="388CBF67">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55" w:type="dxa"/>
            <w:tcBorders>
              <w:top w:val="nil"/>
              <w:left w:val="nil"/>
              <w:bottom w:val="single" w:color="auto" w:sz="4" w:space="0"/>
              <w:right w:val="single" w:color="auto" w:sz="4" w:space="0"/>
            </w:tcBorders>
            <w:noWrap w:val="0"/>
            <w:vAlign w:val="bottom"/>
          </w:tcPr>
          <w:p w14:paraId="04E5D8BC">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46" w:type="dxa"/>
            <w:tcBorders>
              <w:top w:val="nil"/>
              <w:left w:val="nil"/>
              <w:bottom w:val="single" w:color="auto" w:sz="4" w:space="0"/>
              <w:right w:val="single" w:color="auto" w:sz="4" w:space="0"/>
            </w:tcBorders>
            <w:noWrap w:val="0"/>
            <w:vAlign w:val="bottom"/>
          </w:tcPr>
          <w:p w14:paraId="024ACBAB">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Y＜50</w:t>
            </w:r>
          </w:p>
        </w:tc>
        <w:tc>
          <w:tcPr>
            <w:tcW w:w="1192" w:type="dxa"/>
            <w:tcBorders>
              <w:top w:val="nil"/>
              <w:left w:val="nil"/>
              <w:bottom w:val="single" w:color="auto" w:sz="4" w:space="0"/>
              <w:right w:val="single" w:color="auto" w:sz="8" w:space="0"/>
            </w:tcBorders>
            <w:noWrap w:val="0"/>
            <w:vAlign w:val="bottom"/>
          </w:tcPr>
          <w:p w14:paraId="2820DE9B">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r>
      <w:tr w14:paraId="1AD536C0">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noWrap w:val="0"/>
            <w:vAlign w:val="bottom"/>
          </w:tcPr>
          <w:p w14:paraId="0D0F12CF">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xml:space="preserve"> 2、工业</w:t>
            </w:r>
          </w:p>
        </w:tc>
        <w:tc>
          <w:tcPr>
            <w:tcW w:w="1463" w:type="dxa"/>
            <w:tcBorders>
              <w:top w:val="nil"/>
              <w:left w:val="nil"/>
              <w:bottom w:val="single" w:color="auto" w:sz="4" w:space="0"/>
              <w:right w:val="single" w:color="auto" w:sz="4" w:space="0"/>
            </w:tcBorders>
            <w:noWrap w:val="0"/>
            <w:vAlign w:val="bottom"/>
          </w:tcPr>
          <w:p w14:paraId="20FF3BDE">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300≤X＜1000</w:t>
            </w:r>
          </w:p>
        </w:tc>
        <w:tc>
          <w:tcPr>
            <w:tcW w:w="1723" w:type="dxa"/>
            <w:tcBorders>
              <w:top w:val="nil"/>
              <w:left w:val="nil"/>
              <w:bottom w:val="single" w:color="auto" w:sz="4" w:space="0"/>
              <w:right w:val="single" w:color="auto" w:sz="4" w:space="0"/>
            </w:tcBorders>
            <w:noWrap w:val="0"/>
            <w:vAlign w:val="bottom"/>
          </w:tcPr>
          <w:p w14:paraId="67375DD3">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2000≤Y＜40000</w:t>
            </w:r>
          </w:p>
        </w:tc>
        <w:tc>
          <w:tcPr>
            <w:tcW w:w="1624" w:type="dxa"/>
            <w:tcBorders>
              <w:top w:val="nil"/>
              <w:left w:val="nil"/>
              <w:bottom w:val="single" w:color="auto" w:sz="4" w:space="0"/>
              <w:right w:val="single" w:color="auto" w:sz="8" w:space="0"/>
            </w:tcBorders>
            <w:noWrap w:val="0"/>
            <w:vAlign w:val="bottom"/>
          </w:tcPr>
          <w:p w14:paraId="46D26C2E">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11" w:type="dxa"/>
            <w:tcBorders>
              <w:top w:val="nil"/>
              <w:left w:val="nil"/>
              <w:bottom w:val="single" w:color="auto" w:sz="4" w:space="0"/>
              <w:right w:val="single" w:color="auto" w:sz="4" w:space="0"/>
            </w:tcBorders>
            <w:noWrap w:val="0"/>
            <w:vAlign w:val="bottom"/>
          </w:tcPr>
          <w:p w14:paraId="214F8E5B">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20≤X＜300</w:t>
            </w:r>
          </w:p>
        </w:tc>
        <w:tc>
          <w:tcPr>
            <w:tcW w:w="1446" w:type="dxa"/>
            <w:tcBorders>
              <w:top w:val="nil"/>
              <w:left w:val="nil"/>
              <w:bottom w:val="single" w:color="auto" w:sz="4" w:space="0"/>
              <w:right w:val="single" w:color="auto" w:sz="4" w:space="0"/>
            </w:tcBorders>
            <w:noWrap w:val="0"/>
            <w:vAlign w:val="bottom"/>
          </w:tcPr>
          <w:p w14:paraId="61D2152F">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300≤Y＜2000</w:t>
            </w:r>
          </w:p>
        </w:tc>
        <w:tc>
          <w:tcPr>
            <w:tcW w:w="1489" w:type="dxa"/>
            <w:tcBorders>
              <w:top w:val="nil"/>
              <w:left w:val="nil"/>
              <w:bottom w:val="single" w:color="auto" w:sz="4" w:space="0"/>
              <w:right w:val="single" w:color="auto" w:sz="8" w:space="0"/>
            </w:tcBorders>
            <w:noWrap w:val="0"/>
            <w:vAlign w:val="bottom"/>
          </w:tcPr>
          <w:p w14:paraId="343D8DEB">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55" w:type="dxa"/>
            <w:tcBorders>
              <w:top w:val="nil"/>
              <w:left w:val="nil"/>
              <w:bottom w:val="single" w:color="auto" w:sz="4" w:space="0"/>
              <w:right w:val="single" w:color="auto" w:sz="4" w:space="0"/>
            </w:tcBorders>
            <w:noWrap w:val="0"/>
            <w:vAlign w:val="bottom"/>
          </w:tcPr>
          <w:p w14:paraId="76F9464D">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X＜20</w:t>
            </w:r>
          </w:p>
        </w:tc>
        <w:tc>
          <w:tcPr>
            <w:tcW w:w="1246" w:type="dxa"/>
            <w:tcBorders>
              <w:top w:val="nil"/>
              <w:left w:val="nil"/>
              <w:bottom w:val="single" w:color="auto" w:sz="4" w:space="0"/>
              <w:right w:val="single" w:color="auto" w:sz="4" w:space="0"/>
            </w:tcBorders>
            <w:noWrap w:val="0"/>
            <w:vAlign w:val="bottom"/>
          </w:tcPr>
          <w:p w14:paraId="079469DC">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Y＜300</w:t>
            </w:r>
          </w:p>
        </w:tc>
        <w:tc>
          <w:tcPr>
            <w:tcW w:w="1192" w:type="dxa"/>
            <w:tcBorders>
              <w:top w:val="nil"/>
              <w:left w:val="nil"/>
              <w:bottom w:val="single" w:color="auto" w:sz="4" w:space="0"/>
              <w:right w:val="single" w:color="auto" w:sz="8" w:space="0"/>
            </w:tcBorders>
            <w:noWrap w:val="0"/>
            <w:vAlign w:val="bottom"/>
          </w:tcPr>
          <w:p w14:paraId="5BF3E067">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r>
      <w:tr w14:paraId="3D02F20D">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noWrap w:val="0"/>
            <w:vAlign w:val="bottom"/>
          </w:tcPr>
          <w:p w14:paraId="5DC44146">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xml:space="preserve"> 3、建筑业</w:t>
            </w:r>
          </w:p>
        </w:tc>
        <w:tc>
          <w:tcPr>
            <w:tcW w:w="1463" w:type="dxa"/>
            <w:tcBorders>
              <w:top w:val="nil"/>
              <w:left w:val="nil"/>
              <w:bottom w:val="single" w:color="auto" w:sz="4" w:space="0"/>
              <w:right w:val="single" w:color="auto" w:sz="4" w:space="0"/>
            </w:tcBorders>
            <w:noWrap w:val="0"/>
            <w:vAlign w:val="bottom"/>
          </w:tcPr>
          <w:p w14:paraId="2F1BB45E">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723" w:type="dxa"/>
            <w:tcBorders>
              <w:top w:val="nil"/>
              <w:left w:val="nil"/>
              <w:bottom w:val="single" w:color="auto" w:sz="4" w:space="0"/>
              <w:right w:val="single" w:color="auto" w:sz="4" w:space="0"/>
            </w:tcBorders>
            <w:noWrap w:val="0"/>
            <w:vAlign w:val="bottom"/>
          </w:tcPr>
          <w:p w14:paraId="54F7B1C1">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6000≤Y＜80000</w:t>
            </w:r>
          </w:p>
        </w:tc>
        <w:tc>
          <w:tcPr>
            <w:tcW w:w="1624" w:type="dxa"/>
            <w:tcBorders>
              <w:top w:val="nil"/>
              <w:left w:val="nil"/>
              <w:bottom w:val="single" w:color="auto" w:sz="4" w:space="0"/>
              <w:right w:val="single" w:color="auto" w:sz="8" w:space="0"/>
            </w:tcBorders>
            <w:noWrap w:val="0"/>
            <w:vAlign w:val="bottom"/>
          </w:tcPr>
          <w:p w14:paraId="436100C0">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5000≤Z＜80000</w:t>
            </w:r>
          </w:p>
        </w:tc>
        <w:tc>
          <w:tcPr>
            <w:tcW w:w="1211" w:type="dxa"/>
            <w:tcBorders>
              <w:top w:val="nil"/>
              <w:left w:val="nil"/>
              <w:bottom w:val="single" w:color="auto" w:sz="4" w:space="0"/>
              <w:right w:val="single" w:color="auto" w:sz="4" w:space="0"/>
            </w:tcBorders>
            <w:noWrap w:val="0"/>
            <w:vAlign w:val="bottom"/>
          </w:tcPr>
          <w:p w14:paraId="407D0B54">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446" w:type="dxa"/>
            <w:tcBorders>
              <w:top w:val="nil"/>
              <w:left w:val="nil"/>
              <w:bottom w:val="single" w:color="auto" w:sz="4" w:space="0"/>
              <w:right w:val="single" w:color="auto" w:sz="4" w:space="0"/>
            </w:tcBorders>
            <w:noWrap w:val="0"/>
            <w:vAlign w:val="bottom"/>
          </w:tcPr>
          <w:p w14:paraId="609399AE">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300≤Y＜6000</w:t>
            </w:r>
          </w:p>
        </w:tc>
        <w:tc>
          <w:tcPr>
            <w:tcW w:w="1489" w:type="dxa"/>
            <w:tcBorders>
              <w:top w:val="nil"/>
              <w:left w:val="nil"/>
              <w:bottom w:val="single" w:color="auto" w:sz="4" w:space="0"/>
              <w:right w:val="single" w:color="auto" w:sz="8" w:space="0"/>
            </w:tcBorders>
            <w:noWrap w:val="0"/>
            <w:vAlign w:val="bottom"/>
          </w:tcPr>
          <w:p w14:paraId="42440307">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xml:space="preserve"> 300≤Z＜5000</w:t>
            </w:r>
          </w:p>
        </w:tc>
        <w:tc>
          <w:tcPr>
            <w:tcW w:w="1255" w:type="dxa"/>
            <w:tcBorders>
              <w:top w:val="nil"/>
              <w:left w:val="nil"/>
              <w:bottom w:val="single" w:color="auto" w:sz="4" w:space="0"/>
              <w:right w:val="single" w:color="auto" w:sz="4" w:space="0"/>
            </w:tcBorders>
            <w:noWrap w:val="0"/>
            <w:vAlign w:val="bottom"/>
          </w:tcPr>
          <w:p w14:paraId="196A0E96">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46" w:type="dxa"/>
            <w:tcBorders>
              <w:top w:val="nil"/>
              <w:left w:val="nil"/>
              <w:bottom w:val="single" w:color="auto" w:sz="4" w:space="0"/>
              <w:right w:val="single" w:color="auto" w:sz="4" w:space="0"/>
            </w:tcBorders>
            <w:noWrap w:val="0"/>
            <w:vAlign w:val="bottom"/>
          </w:tcPr>
          <w:p w14:paraId="21ED38E8">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Y＜300</w:t>
            </w:r>
          </w:p>
        </w:tc>
        <w:tc>
          <w:tcPr>
            <w:tcW w:w="1192" w:type="dxa"/>
            <w:tcBorders>
              <w:top w:val="nil"/>
              <w:left w:val="nil"/>
              <w:bottom w:val="single" w:color="auto" w:sz="4" w:space="0"/>
              <w:right w:val="single" w:color="auto" w:sz="8" w:space="0"/>
            </w:tcBorders>
            <w:noWrap w:val="0"/>
            <w:vAlign w:val="bottom"/>
          </w:tcPr>
          <w:p w14:paraId="48F915F9">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Z＜300</w:t>
            </w:r>
          </w:p>
        </w:tc>
      </w:tr>
      <w:tr w14:paraId="69F01FC0">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noWrap w:val="0"/>
            <w:vAlign w:val="bottom"/>
          </w:tcPr>
          <w:p w14:paraId="253B57D9">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xml:space="preserve"> 4、批发业</w:t>
            </w:r>
          </w:p>
        </w:tc>
        <w:tc>
          <w:tcPr>
            <w:tcW w:w="1463" w:type="dxa"/>
            <w:tcBorders>
              <w:top w:val="nil"/>
              <w:left w:val="nil"/>
              <w:bottom w:val="single" w:color="auto" w:sz="4" w:space="0"/>
              <w:right w:val="single" w:color="auto" w:sz="4" w:space="0"/>
            </w:tcBorders>
            <w:noWrap w:val="0"/>
            <w:vAlign w:val="bottom"/>
          </w:tcPr>
          <w:p w14:paraId="50969B3D">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xml:space="preserve"> 20≤X＜200</w:t>
            </w:r>
          </w:p>
        </w:tc>
        <w:tc>
          <w:tcPr>
            <w:tcW w:w="1723" w:type="dxa"/>
            <w:tcBorders>
              <w:top w:val="nil"/>
              <w:left w:val="nil"/>
              <w:bottom w:val="single" w:color="auto" w:sz="4" w:space="0"/>
              <w:right w:val="single" w:color="auto" w:sz="4" w:space="0"/>
            </w:tcBorders>
            <w:noWrap w:val="0"/>
            <w:vAlign w:val="bottom"/>
          </w:tcPr>
          <w:p w14:paraId="08AB1435">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5000≤Y＜40000</w:t>
            </w:r>
          </w:p>
        </w:tc>
        <w:tc>
          <w:tcPr>
            <w:tcW w:w="1624" w:type="dxa"/>
            <w:tcBorders>
              <w:top w:val="nil"/>
              <w:left w:val="nil"/>
              <w:bottom w:val="single" w:color="auto" w:sz="4" w:space="0"/>
              <w:right w:val="single" w:color="auto" w:sz="8" w:space="0"/>
            </w:tcBorders>
            <w:noWrap w:val="0"/>
            <w:vAlign w:val="bottom"/>
          </w:tcPr>
          <w:p w14:paraId="5645D536">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11" w:type="dxa"/>
            <w:tcBorders>
              <w:top w:val="nil"/>
              <w:left w:val="nil"/>
              <w:bottom w:val="single" w:color="auto" w:sz="4" w:space="0"/>
              <w:right w:val="single" w:color="auto" w:sz="4" w:space="0"/>
            </w:tcBorders>
            <w:noWrap w:val="0"/>
            <w:vAlign w:val="bottom"/>
          </w:tcPr>
          <w:p w14:paraId="7F2B02E5">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xml:space="preserve"> 5≤X＜20</w:t>
            </w:r>
          </w:p>
        </w:tc>
        <w:tc>
          <w:tcPr>
            <w:tcW w:w="1446" w:type="dxa"/>
            <w:tcBorders>
              <w:top w:val="nil"/>
              <w:left w:val="nil"/>
              <w:bottom w:val="single" w:color="auto" w:sz="4" w:space="0"/>
              <w:right w:val="single" w:color="auto" w:sz="4" w:space="0"/>
            </w:tcBorders>
            <w:noWrap w:val="0"/>
            <w:vAlign w:val="bottom"/>
          </w:tcPr>
          <w:p w14:paraId="4DD2AD2B">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1000≤Y＜5000</w:t>
            </w:r>
          </w:p>
        </w:tc>
        <w:tc>
          <w:tcPr>
            <w:tcW w:w="1489" w:type="dxa"/>
            <w:tcBorders>
              <w:top w:val="nil"/>
              <w:left w:val="nil"/>
              <w:bottom w:val="single" w:color="auto" w:sz="4" w:space="0"/>
              <w:right w:val="single" w:color="auto" w:sz="8" w:space="0"/>
            </w:tcBorders>
            <w:noWrap w:val="0"/>
            <w:vAlign w:val="bottom"/>
          </w:tcPr>
          <w:p w14:paraId="0E9FFFDD">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55" w:type="dxa"/>
            <w:tcBorders>
              <w:top w:val="nil"/>
              <w:left w:val="nil"/>
              <w:bottom w:val="single" w:color="auto" w:sz="4" w:space="0"/>
              <w:right w:val="single" w:color="auto" w:sz="4" w:space="0"/>
            </w:tcBorders>
            <w:noWrap w:val="0"/>
            <w:vAlign w:val="bottom"/>
          </w:tcPr>
          <w:p w14:paraId="0DE67F66">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X＜5</w:t>
            </w:r>
          </w:p>
        </w:tc>
        <w:tc>
          <w:tcPr>
            <w:tcW w:w="1246" w:type="dxa"/>
            <w:tcBorders>
              <w:top w:val="nil"/>
              <w:left w:val="nil"/>
              <w:bottom w:val="single" w:color="auto" w:sz="4" w:space="0"/>
              <w:right w:val="single" w:color="auto" w:sz="4" w:space="0"/>
            </w:tcBorders>
            <w:noWrap w:val="0"/>
            <w:vAlign w:val="bottom"/>
          </w:tcPr>
          <w:p w14:paraId="547C53A9">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Y＜1000</w:t>
            </w:r>
          </w:p>
        </w:tc>
        <w:tc>
          <w:tcPr>
            <w:tcW w:w="1192" w:type="dxa"/>
            <w:tcBorders>
              <w:top w:val="nil"/>
              <w:left w:val="nil"/>
              <w:bottom w:val="single" w:color="auto" w:sz="4" w:space="0"/>
              <w:right w:val="single" w:color="auto" w:sz="8" w:space="0"/>
            </w:tcBorders>
            <w:noWrap w:val="0"/>
            <w:vAlign w:val="bottom"/>
          </w:tcPr>
          <w:p w14:paraId="17D3A4AB">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r>
      <w:tr w14:paraId="43975A42">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noWrap w:val="0"/>
            <w:vAlign w:val="bottom"/>
          </w:tcPr>
          <w:p w14:paraId="41B0DE8B">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xml:space="preserve"> 5、零售业</w:t>
            </w:r>
          </w:p>
        </w:tc>
        <w:tc>
          <w:tcPr>
            <w:tcW w:w="1463" w:type="dxa"/>
            <w:tcBorders>
              <w:top w:val="nil"/>
              <w:left w:val="nil"/>
              <w:bottom w:val="single" w:color="auto" w:sz="4" w:space="0"/>
              <w:right w:val="single" w:color="auto" w:sz="4" w:space="0"/>
            </w:tcBorders>
            <w:noWrap w:val="0"/>
            <w:vAlign w:val="bottom"/>
          </w:tcPr>
          <w:p w14:paraId="2B536273">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xml:space="preserve"> 50≤X＜300</w:t>
            </w:r>
          </w:p>
        </w:tc>
        <w:tc>
          <w:tcPr>
            <w:tcW w:w="1723" w:type="dxa"/>
            <w:tcBorders>
              <w:top w:val="nil"/>
              <w:left w:val="nil"/>
              <w:bottom w:val="single" w:color="auto" w:sz="4" w:space="0"/>
              <w:right w:val="single" w:color="auto" w:sz="4" w:space="0"/>
            </w:tcBorders>
            <w:noWrap w:val="0"/>
            <w:vAlign w:val="bottom"/>
          </w:tcPr>
          <w:p w14:paraId="11577FE3">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xml:space="preserve"> 500≤Y＜20000</w:t>
            </w:r>
          </w:p>
        </w:tc>
        <w:tc>
          <w:tcPr>
            <w:tcW w:w="1624" w:type="dxa"/>
            <w:tcBorders>
              <w:top w:val="nil"/>
              <w:left w:val="nil"/>
              <w:bottom w:val="single" w:color="auto" w:sz="4" w:space="0"/>
              <w:right w:val="single" w:color="auto" w:sz="8" w:space="0"/>
            </w:tcBorders>
            <w:noWrap w:val="0"/>
            <w:vAlign w:val="bottom"/>
          </w:tcPr>
          <w:p w14:paraId="14A66521">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11" w:type="dxa"/>
            <w:tcBorders>
              <w:top w:val="nil"/>
              <w:left w:val="nil"/>
              <w:bottom w:val="single" w:color="auto" w:sz="4" w:space="0"/>
              <w:right w:val="single" w:color="auto" w:sz="4" w:space="0"/>
            </w:tcBorders>
            <w:noWrap w:val="0"/>
            <w:vAlign w:val="bottom"/>
          </w:tcPr>
          <w:p w14:paraId="081F2B19">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10≤X＜50</w:t>
            </w:r>
          </w:p>
        </w:tc>
        <w:tc>
          <w:tcPr>
            <w:tcW w:w="1446" w:type="dxa"/>
            <w:tcBorders>
              <w:top w:val="nil"/>
              <w:left w:val="nil"/>
              <w:bottom w:val="single" w:color="auto" w:sz="4" w:space="0"/>
              <w:right w:val="single" w:color="auto" w:sz="4" w:space="0"/>
            </w:tcBorders>
            <w:noWrap w:val="0"/>
            <w:vAlign w:val="bottom"/>
          </w:tcPr>
          <w:p w14:paraId="6D445D0C">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100≤Y＜500</w:t>
            </w:r>
          </w:p>
        </w:tc>
        <w:tc>
          <w:tcPr>
            <w:tcW w:w="1489" w:type="dxa"/>
            <w:tcBorders>
              <w:top w:val="nil"/>
              <w:left w:val="nil"/>
              <w:bottom w:val="single" w:color="auto" w:sz="4" w:space="0"/>
              <w:right w:val="single" w:color="auto" w:sz="8" w:space="0"/>
            </w:tcBorders>
            <w:noWrap w:val="0"/>
            <w:vAlign w:val="bottom"/>
          </w:tcPr>
          <w:p w14:paraId="6BEB0AF0">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55" w:type="dxa"/>
            <w:tcBorders>
              <w:top w:val="nil"/>
              <w:left w:val="nil"/>
              <w:bottom w:val="single" w:color="auto" w:sz="4" w:space="0"/>
              <w:right w:val="single" w:color="auto" w:sz="4" w:space="0"/>
            </w:tcBorders>
            <w:noWrap w:val="0"/>
            <w:vAlign w:val="bottom"/>
          </w:tcPr>
          <w:p w14:paraId="714EBB1B">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X＜10</w:t>
            </w:r>
          </w:p>
        </w:tc>
        <w:tc>
          <w:tcPr>
            <w:tcW w:w="1246" w:type="dxa"/>
            <w:tcBorders>
              <w:top w:val="nil"/>
              <w:left w:val="nil"/>
              <w:bottom w:val="single" w:color="auto" w:sz="4" w:space="0"/>
              <w:right w:val="single" w:color="auto" w:sz="4" w:space="0"/>
            </w:tcBorders>
            <w:noWrap w:val="0"/>
            <w:vAlign w:val="bottom"/>
          </w:tcPr>
          <w:p w14:paraId="78418AF7">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Y＜100</w:t>
            </w:r>
          </w:p>
        </w:tc>
        <w:tc>
          <w:tcPr>
            <w:tcW w:w="1192" w:type="dxa"/>
            <w:tcBorders>
              <w:top w:val="nil"/>
              <w:left w:val="nil"/>
              <w:bottom w:val="single" w:color="auto" w:sz="4" w:space="0"/>
              <w:right w:val="single" w:color="auto" w:sz="8" w:space="0"/>
            </w:tcBorders>
            <w:noWrap w:val="0"/>
            <w:vAlign w:val="bottom"/>
          </w:tcPr>
          <w:p w14:paraId="365EF07F">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r>
      <w:tr w14:paraId="2273573E">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noWrap w:val="0"/>
            <w:vAlign w:val="bottom"/>
          </w:tcPr>
          <w:p w14:paraId="5D36A790">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xml:space="preserve"> 6、交通运输业</w:t>
            </w:r>
          </w:p>
        </w:tc>
        <w:tc>
          <w:tcPr>
            <w:tcW w:w="1463" w:type="dxa"/>
            <w:tcBorders>
              <w:top w:val="nil"/>
              <w:left w:val="nil"/>
              <w:bottom w:val="single" w:color="auto" w:sz="4" w:space="0"/>
              <w:right w:val="single" w:color="auto" w:sz="4" w:space="0"/>
            </w:tcBorders>
            <w:noWrap w:val="0"/>
            <w:vAlign w:val="bottom"/>
          </w:tcPr>
          <w:p w14:paraId="7CB4F818">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300≤X＜1000</w:t>
            </w:r>
          </w:p>
        </w:tc>
        <w:tc>
          <w:tcPr>
            <w:tcW w:w="1723" w:type="dxa"/>
            <w:tcBorders>
              <w:top w:val="nil"/>
              <w:left w:val="nil"/>
              <w:bottom w:val="single" w:color="auto" w:sz="4" w:space="0"/>
              <w:right w:val="single" w:color="auto" w:sz="4" w:space="0"/>
            </w:tcBorders>
            <w:noWrap w:val="0"/>
            <w:vAlign w:val="bottom"/>
          </w:tcPr>
          <w:p w14:paraId="648DA292">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3000≤Y＜30000</w:t>
            </w:r>
          </w:p>
        </w:tc>
        <w:tc>
          <w:tcPr>
            <w:tcW w:w="1624" w:type="dxa"/>
            <w:tcBorders>
              <w:top w:val="nil"/>
              <w:left w:val="nil"/>
              <w:bottom w:val="single" w:color="auto" w:sz="4" w:space="0"/>
              <w:right w:val="single" w:color="auto" w:sz="8" w:space="0"/>
            </w:tcBorders>
            <w:noWrap w:val="0"/>
            <w:vAlign w:val="bottom"/>
          </w:tcPr>
          <w:p w14:paraId="0DE22579">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11" w:type="dxa"/>
            <w:tcBorders>
              <w:top w:val="nil"/>
              <w:left w:val="nil"/>
              <w:bottom w:val="single" w:color="auto" w:sz="4" w:space="0"/>
              <w:right w:val="single" w:color="auto" w:sz="4" w:space="0"/>
            </w:tcBorders>
            <w:noWrap w:val="0"/>
            <w:vAlign w:val="bottom"/>
          </w:tcPr>
          <w:p w14:paraId="51DB8EFA">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20≤X＜300</w:t>
            </w:r>
          </w:p>
        </w:tc>
        <w:tc>
          <w:tcPr>
            <w:tcW w:w="1446" w:type="dxa"/>
            <w:tcBorders>
              <w:top w:val="nil"/>
              <w:left w:val="nil"/>
              <w:bottom w:val="single" w:color="auto" w:sz="4" w:space="0"/>
              <w:right w:val="single" w:color="auto" w:sz="4" w:space="0"/>
            </w:tcBorders>
            <w:noWrap w:val="0"/>
            <w:vAlign w:val="bottom"/>
          </w:tcPr>
          <w:p w14:paraId="489E5C82">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200≤Y＜3000</w:t>
            </w:r>
          </w:p>
        </w:tc>
        <w:tc>
          <w:tcPr>
            <w:tcW w:w="1489" w:type="dxa"/>
            <w:tcBorders>
              <w:top w:val="nil"/>
              <w:left w:val="nil"/>
              <w:bottom w:val="single" w:color="auto" w:sz="4" w:space="0"/>
              <w:right w:val="single" w:color="auto" w:sz="8" w:space="0"/>
            </w:tcBorders>
            <w:noWrap w:val="0"/>
            <w:vAlign w:val="bottom"/>
          </w:tcPr>
          <w:p w14:paraId="335F6F29">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55" w:type="dxa"/>
            <w:tcBorders>
              <w:top w:val="nil"/>
              <w:left w:val="nil"/>
              <w:bottom w:val="single" w:color="auto" w:sz="4" w:space="0"/>
              <w:right w:val="single" w:color="auto" w:sz="4" w:space="0"/>
            </w:tcBorders>
            <w:noWrap w:val="0"/>
            <w:vAlign w:val="bottom"/>
          </w:tcPr>
          <w:p w14:paraId="16B00BC4">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X＜20</w:t>
            </w:r>
          </w:p>
        </w:tc>
        <w:tc>
          <w:tcPr>
            <w:tcW w:w="1246" w:type="dxa"/>
            <w:tcBorders>
              <w:top w:val="nil"/>
              <w:left w:val="nil"/>
              <w:bottom w:val="single" w:color="auto" w:sz="4" w:space="0"/>
              <w:right w:val="single" w:color="auto" w:sz="4" w:space="0"/>
            </w:tcBorders>
            <w:noWrap w:val="0"/>
            <w:vAlign w:val="bottom"/>
          </w:tcPr>
          <w:p w14:paraId="1C2AA623">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V＜200</w:t>
            </w:r>
          </w:p>
        </w:tc>
        <w:tc>
          <w:tcPr>
            <w:tcW w:w="1192" w:type="dxa"/>
            <w:tcBorders>
              <w:top w:val="nil"/>
              <w:left w:val="nil"/>
              <w:bottom w:val="single" w:color="auto" w:sz="4" w:space="0"/>
              <w:right w:val="single" w:color="auto" w:sz="8" w:space="0"/>
            </w:tcBorders>
            <w:noWrap w:val="0"/>
            <w:vAlign w:val="bottom"/>
          </w:tcPr>
          <w:p w14:paraId="7C99B3EE">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r>
      <w:tr w14:paraId="037D4A66">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noWrap w:val="0"/>
            <w:vAlign w:val="bottom"/>
          </w:tcPr>
          <w:p w14:paraId="5AFDDAA9">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xml:space="preserve"> 7、仓储业</w:t>
            </w:r>
          </w:p>
        </w:tc>
        <w:tc>
          <w:tcPr>
            <w:tcW w:w="1463" w:type="dxa"/>
            <w:tcBorders>
              <w:top w:val="nil"/>
              <w:left w:val="nil"/>
              <w:bottom w:val="single" w:color="auto" w:sz="4" w:space="0"/>
              <w:right w:val="single" w:color="auto" w:sz="4" w:space="0"/>
            </w:tcBorders>
            <w:noWrap w:val="0"/>
            <w:vAlign w:val="bottom"/>
          </w:tcPr>
          <w:p w14:paraId="3D33D36C">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100≤X＜200</w:t>
            </w:r>
          </w:p>
        </w:tc>
        <w:tc>
          <w:tcPr>
            <w:tcW w:w="1723" w:type="dxa"/>
            <w:tcBorders>
              <w:top w:val="nil"/>
              <w:left w:val="nil"/>
              <w:bottom w:val="single" w:color="auto" w:sz="4" w:space="0"/>
              <w:right w:val="single" w:color="auto" w:sz="4" w:space="0"/>
            </w:tcBorders>
            <w:noWrap w:val="0"/>
            <w:vAlign w:val="bottom"/>
          </w:tcPr>
          <w:p w14:paraId="558E72A4">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1000≤Y＜30000</w:t>
            </w:r>
          </w:p>
        </w:tc>
        <w:tc>
          <w:tcPr>
            <w:tcW w:w="1624" w:type="dxa"/>
            <w:tcBorders>
              <w:top w:val="nil"/>
              <w:left w:val="nil"/>
              <w:bottom w:val="single" w:color="auto" w:sz="4" w:space="0"/>
              <w:right w:val="single" w:color="auto" w:sz="8" w:space="0"/>
            </w:tcBorders>
            <w:noWrap w:val="0"/>
            <w:vAlign w:val="bottom"/>
          </w:tcPr>
          <w:p w14:paraId="77BA6954">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11" w:type="dxa"/>
            <w:tcBorders>
              <w:top w:val="nil"/>
              <w:left w:val="nil"/>
              <w:bottom w:val="single" w:color="auto" w:sz="4" w:space="0"/>
              <w:right w:val="single" w:color="auto" w:sz="4" w:space="0"/>
            </w:tcBorders>
            <w:noWrap w:val="0"/>
            <w:vAlign w:val="bottom"/>
          </w:tcPr>
          <w:p w14:paraId="707B2A95">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20≤X＜100</w:t>
            </w:r>
          </w:p>
        </w:tc>
        <w:tc>
          <w:tcPr>
            <w:tcW w:w="1446" w:type="dxa"/>
            <w:tcBorders>
              <w:top w:val="nil"/>
              <w:left w:val="nil"/>
              <w:bottom w:val="single" w:color="auto" w:sz="4" w:space="0"/>
              <w:right w:val="single" w:color="auto" w:sz="4" w:space="0"/>
            </w:tcBorders>
            <w:noWrap w:val="0"/>
            <w:vAlign w:val="bottom"/>
          </w:tcPr>
          <w:p w14:paraId="564E3D5F">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100≤Y＜1000</w:t>
            </w:r>
          </w:p>
        </w:tc>
        <w:tc>
          <w:tcPr>
            <w:tcW w:w="1489" w:type="dxa"/>
            <w:tcBorders>
              <w:top w:val="nil"/>
              <w:left w:val="nil"/>
              <w:bottom w:val="single" w:color="auto" w:sz="4" w:space="0"/>
              <w:right w:val="single" w:color="auto" w:sz="8" w:space="0"/>
            </w:tcBorders>
            <w:noWrap w:val="0"/>
            <w:vAlign w:val="bottom"/>
          </w:tcPr>
          <w:p w14:paraId="3057C695">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55" w:type="dxa"/>
            <w:tcBorders>
              <w:top w:val="nil"/>
              <w:left w:val="nil"/>
              <w:bottom w:val="single" w:color="auto" w:sz="4" w:space="0"/>
              <w:right w:val="single" w:color="auto" w:sz="4" w:space="0"/>
            </w:tcBorders>
            <w:noWrap w:val="0"/>
            <w:vAlign w:val="bottom"/>
          </w:tcPr>
          <w:p w14:paraId="78326369">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X＜20</w:t>
            </w:r>
          </w:p>
        </w:tc>
        <w:tc>
          <w:tcPr>
            <w:tcW w:w="1246" w:type="dxa"/>
            <w:tcBorders>
              <w:top w:val="nil"/>
              <w:left w:val="nil"/>
              <w:bottom w:val="single" w:color="auto" w:sz="4" w:space="0"/>
              <w:right w:val="single" w:color="auto" w:sz="4" w:space="0"/>
            </w:tcBorders>
            <w:noWrap w:val="0"/>
            <w:vAlign w:val="bottom"/>
          </w:tcPr>
          <w:p w14:paraId="06552627">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Y＜100</w:t>
            </w:r>
          </w:p>
        </w:tc>
        <w:tc>
          <w:tcPr>
            <w:tcW w:w="1192" w:type="dxa"/>
            <w:tcBorders>
              <w:top w:val="nil"/>
              <w:left w:val="nil"/>
              <w:bottom w:val="single" w:color="auto" w:sz="4" w:space="0"/>
              <w:right w:val="single" w:color="auto" w:sz="8" w:space="0"/>
            </w:tcBorders>
            <w:noWrap w:val="0"/>
            <w:vAlign w:val="bottom"/>
          </w:tcPr>
          <w:p w14:paraId="35246122">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r>
      <w:tr w14:paraId="72421097">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noWrap w:val="0"/>
            <w:vAlign w:val="bottom"/>
          </w:tcPr>
          <w:p w14:paraId="1884E650">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xml:space="preserve"> 8、邮政业</w:t>
            </w:r>
          </w:p>
        </w:tc>
        <w:tc>
          <w:tcPr>
            <w:tcW w:w="1463" w:type="dxa"/>
            <w:tcBorders>
              <w:top w:val="nil"/>
              <w:left w:val="nil"/>
              <w:bottom w:val="single" w:color="auto" w:sz="4" w:space="0"/>
              <w:right w:val="single" w:color="auto" w:sz="4" w:space="0"/>
            </w:tcBorders>
            <w:noWrap w:val="0"/>
            <w:vAlign w:val="bottom"/>
          </w:tcPr>
          <w:p w14:paraId="5931540B">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300≤X＜1000</w:t>
            </w:r>
          </w:p>
        </w:tc>
        <w:tc>
          <w:tcPr>
            <w:tcW w:w="1723" w:type="dxa"/>
            <w:tcBorders>
              <w:top w:val="nil"/>
              <w:left w:val="nil"/>
              <w:bottom w:val="single" w:color="auto" w:sz="4" w:space="0"/>
              <w:right w:val="single" w:color="auto" w:sz="4" w:space="0"/>
            </w:tcBorders>
            <w:noWrap w:val="0"/>
            <w:vAlign w:val="bottom"/>
          </w:tcPr>
          <w:p w14:paraId="00595262">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2000≤Y＜30000</w:t>
            </w:r>
          </w:p>
        </w:tc>
        <w:tc>
          <w:tcPr>
            <w:tcW w:w="1624" w:type="dxa"/>
            <w:tcBorders>
              <w:top w:val="nil"/>
              <w:left w:val="nil"/>
              <w:bottom w:val="single" w:color="auto" w:sz="4" w:space="0"/>
              <w:right w:val="single" w:color="auto" w:sz="8" w:space="0"/>
            </w:tcBorders>
            <w:noWrap w:val="0"/>
            <w:vAlign w:val="bottom"/>
          </w:tcPr>
          <w:p w14:paraId="31E044A5">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11" w:type="dxa"/>
            <w:tcBorders>
              <w:top w:val="nil"/>
              <w:left w:val="nil"/>
              <w:bottom w:val="single" w:color="auto" w:sz="4" w:space="0"/>
              <w:right w:val="single" w:color="auto" w:sz="4" w:space="0"/>
            </w:tcBorders>
            <w:noWrap w:val="0"/>
            <w:vAlign w:val="bottom"/>
          </w:tcPr>
          <w:p w14:paraId="356C3956">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20≤X＜300</w:t>
            </w:r>
          </w:p>
        </w:tc>
        <w:tc>
          <w:tcPr>
            <w:tcW w:w="1446" w:type="dxa"/>
            <w:tcBorders>
              <w:top w:val="nil"/>
              <w:left w:val="nil"/>
              <w:bottom w:val="single" w:color="auto" w:sz="4" w:space="0"/>
              <w:right w:val="single" w:color="auto" w:sz="4" w:space="0"/>
            </w:tcBorders>
            <w:noWrap w:val="0"/>
            <w:vAlign w:val="bottom"/>
          </w:tcPr>
          <w:p w14:paraId="519BA579">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100≤Y＜2000</w:t>
            </w:r>
          </w:p>
        </w:tc>
        <w:tc>
          <w:tcPr>
            <w:tcW w:w="1489" w:type="dxa"/>
            <w:tcBorders>
              <w:top w:val="nil"/>
              <w:left w:val="nil"/>
              <w:bottom w:val="single" w:color="auto" w:sz="4" w:space="0"/>
              <w:right w:val="single" w:color="auto" w:sz="8" w:space="0"/>
            </w:tcBorders>
            <w:noWrap w:val="0"/>
            <w:vAlign w:val="bottom"/>
          </w:tcPr>
          <w:p w14:paraId="6B24997D">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55" w:type="dxa"/>
            <w:tcBorders>
              <w:top w:val="nil"/>
              <w:left w:val="nil"/>
              <w:bottom w:val="single" w:color="auto" w:sz="4" w:space="0"/>
              <w:right w:val="single" w:color="auto" w:sz="4" w:space="0"/>
            </w:tcBorders>
            <w:noWrap w:val="0"/>
            <w:vAlign w:val="bottom"/>
          </w:tcPr>
          <w:p w14:paraId="1BA85BE2">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X＜20</w:t>
            </w:r>
          </w:p>
        </w:tc>
        <w:tc>
          <w:tcPr>
            <w:tcW w:w="1246" w:type="dxa"/>
            <w:tcBorders>
              <w:top w:val="nil"/>
              <w:left w:val="nil"/>
              <w:bottom w:val="single" w:color="auto" w:sz="4" w:space="0"/>
              <w:right w:val="single" w:color="auto" w:sz="4" w:space="0"/>
            </w:tcBorders>
            <w:noWrap w:val="0"/>
            <w:vAlign w:val="bottom"/>
          </w:tcPr>
          <w:p w14:paraId="626FDC63">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Y＜100</w:t>
            </w:r>
          </w:p>
        </w:tc>
        <w:tc>
          <w:tcPr>
            <w:tcW w:w="1192" w:type="dxa"/>
            <w:tcBorders>
              <w:top w:val="nil"/>
              <w:left w:val="nil"/>
              <w:bottom w:val="single" w:color="auto" w:sz="4" w:space="0"/>
              <w:right w:val="single" w:color="auto" w:sz="8" w:space="0"/>
            </w:tcBorders>
            <w:noWrap w:val="0"/>
            <w:vAlign w:val="bottom"/>
          </w:tcPr>
          <w:p w14:paraId="01764770">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r>
      <w:tr w14:paraId="2DB35294">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noWrap w:val="0"/>
            <w:vAlign w:val="bottom"/>
          </w:tcPr>
          <w:p w14:paraId="4CB99624">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xml:space="preserve"> 9、住宿业</w:t>
            </w:r>
          </w:p>
        </w:tc>
        <w:tc>
          <w:tcPr>
            <w:tcW w:w="1463" w:type="dxa"/>
            <w:tcBorders>
              <w:top w:val="nil"/>
              <w:left w:val="nil"/>
              <w:bottom w:val="single" w:color="auto" w:sz="4" w:space="0"/>
              <w:right w:val="single" w:color="auto" w:sz="4" w:space="0"/>
            </w:tcBorders>
            <w:noWrap w:val="0"/>
            <w:vAlign w:val="bottom"/>
          </w:tcPr>
          <w:p w14:paraId="1B498E22">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100≤X＜300</w:t>
            </w:r>
          </w:p>
        </w:tc>
        <w:tc>
          <w:tcPr>
            <w:tcW w:w="1723" w:type="dxa"/>
            <w:tcBorders>
              <w:top w:val="nil"/>
              <w:left w:val="nil"/>
              <w:bottom w:val="single" w:color="auto" w:sz="4" w:space="0"/>
              <w:right w:val="single" w:color="auto" w:sz="4" w:space="0"/>
            </w:tcBorders>
            <w:noWrap w:val="0"/>
            <w:vAlign w:val="bottom"/>
          </w:tcPr>
          <w:p w14:paraId="050E9F8F">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2000≤Y＜10000</w:t>
            </w:r>
          </w:p>
        </w:tc>
        <w:tc>
          <w:tcPr>
            <w:tcW w:w="1624" w:type="dxa"/>
            <w:tcBorders>
              <w:top w:val="nil"/>
              <w:left w:val="nil"/>
              <w:bottom w:val="single" w:color="auto" w:sz="4" w:space="0"/>
              <w:right w:val="single" w:color="auto" w:sz="8" w:space="0"/>
            </w:tcBorders>
            <w:noWrap w:val="0"/>
            <w:vAlign w:val="bottom"/>
          </w:tcPr>
          <w:p w14:paraId="52EE84FD">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11" w:type="dxa"/>
            <w:tcBorders>
              <w:top w:val="nil"/>
              <w:left w:val="nil"/>
              <w:bottom w:val="single" w:color="auto" w:sz="4" w:space="0"/>
              <w:right w:val="single" w:color="auto" w:sz="4" w:space="0"/>
            </w:tcBorders>
            <w:noWrap w:val="0"/>
            <w:vAlign w:val="bottom"/>
          </w:tcPr>
          <w:p w14:paraId="225D7032">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10≤X＜100</w:t>
            </w:r>
          </w:p>
        </w:tc>
        <w:tc>
          <w:tcPr>
            <w:tcW w:w="1446" w:type="dxa"/>
            <w:tcBorders>
              <w:top w:val="nil"/>
              <w:left w:val="nil"/>
              <w:bottom w:val="single" w:color="auto" w:sz="4" w:space="0"/>
              <w:right w:val="single" w:color="auto" w:sz="4" w:space="0"/>
            </w:tcBorders>
            <w:noWrap w:val="0"/>
            <w:vAlign w:val="bottom"/>
          </w:tcPr>
          <w:p w14:paraId="242A91F5">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100≤Y＜2000</w:t>
            </w:r>
          </w:p>
        </w:tc>
        <w:tc>
          <w:tcPr>
            <w:tcW w:w="1489" w:type="dxa"/>
            <w:tcBorders>
              <w:top w:val="nil"/>
              <w:left w:val="nil"/>
              <w:bottom w:val="single" w:color="auto" w:sz="4" w:space="0"/>
              <w:right w:val="single" w:color="auto" w:sz="8" w:space="0"/>
            </w:tcBorders>
            <w:noWrap w:val="0"/>
            <w:vAlign w:val="bottom"/>
          </w:tcPr>
          <w:p w14:paraId="58BA7AE8">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55" w:type="dxa"/>
            <w:tcBorders>
              <w:top w:val="nil"/>
              <w:left w:val="nil"/>
              <w:bottom w:val="single" w:color="auto" w:sz="4" w:space="0"/>
              <w:right w:val="single" w:color="auto" w:sz="4" w:space="0"/>
            </w:tcBorders>
            <w:noWrap w:val="0"/>
            <w:vAlign w:val="bottom"/>
          </w:tcPr>
          <w:p w14:paraId="4E2729F6">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X＜10</w:t>
            </w:r>
          </w:p>
        </w:tc>
        <w:tc>
          <w:tcPr>
            <w:tcW w:w="1246" w:type="dxa"/>
            <w:tcBorders>
              <w:top w:val="nil"/>
              <w:left w:val="nil"/>
              <w:bottom w:val="single" w:color="auto" w:sz="4" w:space="0"/>
              <w:right w:val="single" w:color="auto" w:sz="4" w:space="0"/>
            </w:tcBorders>
            <w:noWrap w:val="0"/>
            <w:vAlign w:val="bottom"/>
          </w:tcPr>
          <w:p w14:paraId="505FE78F">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Y＜100</w:t>
            </w:r>
          </w:p>
        </w:tc>
        <w:tc>
          <w:tcPr>
            <w:tcW w:w="1192" w:type="dxa"/>
            <w:tcBorders>
              <w:top w:val="nil"/>
              <w:left w:val="nil"/>
              <w:bottom w:val="single" w:color="auto" w:sz="4" w:space="0"/>
              <w:right w:val="single" w:color="auto" w:sz="8" w:space="0"/>
            </w:tcBorders>
            <w:noWrap w:val="0"/>
            <w:vAlign w:val="bottom"/>
          </w:tcPr>
          <w:p w14:paraId="13718AF7">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r>
      <w:tr w14:paraId="44B4E3A3">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noWrap w:val="0"/>
            <w:vAlign w:val="bottom"/>
          </w:tcPr>
          <w:p w14:paraId="1FAA7430">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10、餐饮业</w:t>
            </w:r>
          </w:p>
        </w:tc>
        <w:tc>
          <w:tcPr>
            <w:tcW w:w="1463" w:type="dxa"/>
            <w:tcBorders>
              <w:top w:val="nil"/>
              <w:left w:val="nil"/>
              <w:bottom w:val="single" w:color="auto" w:sz="4" w:space="0"/>
              <w:right w:val="single" w:color="auto" w:sz="4" w:space="0"/>
            </w:tcBorders>
            <w:noWrap w:val="0"/>
            <w:vAlign w:val="bottom"/>
          </w:tcPr>
          <w:p w14:paraId="2EBFEFA1">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100≤X＜300</w:t>
            </w:r>
          </w:p>
        </w:tc>
        <w:tc>
          <w:tcPr>
            <w:tcW w:w="1723" w:type="dxa"/>
            <w:tcBorders>
              <w:top w:val="nil"/>
              <w:left w:val="nil"/>
              <w:bottom w:val="single" w:color="auto" w:sz="4" w:space="0"/>
              <w:right w:val="single" w:color="auto" w:sz="4" w:space="0"/>
            </w:tcBorders>
            <w:noWrap w:val="0"/>
            <w:vAlign w:val="bottom"/>
          </w:tcPr>
          <w:p w14:paraId="7D0DE158">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2000≤Y＜10000</w:t>
            </w:r>
          </w:p>
        </w:tc>
        <w:tc>
          <w:tcPr>
            <w:tcW w:w="1624" w:type="dxa"/>
            <w:tcBorders>
              <w:top w:val="nil"/>
              <w:left w:val="nil"/>
              <w:bottom w:val="single" w:color="auto" w:sz="4" w:space="0"/>
              <w:right w:val="single" w:color="auto" w:sz="8" w:space="0"/>
            </w:tcBorders>
            <w:noWrap w:val="0"/>
            <w:vAlign w:val="bottom"/>
          </w:tcPr>
          <w:p w14:paraId="293AAA66">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11" w:type="dxa"/>
            <w:tcBorders>
              <w:top w:val="nil"/>
              <w:left w:val="nil"/>
              <w:bottom w:val="single" w:color="auto" w:sz="4" w:space="0"/>
              <w:right w:val="single" w:color="auto" w:sz="4" w:space="0"/>
            </w:tcBorders>
            <w:noWrap w:val="0"/>
            <w:vAlign w:val="bottom"/>
          </w:tcPr>
          <w:p w14:paraId="5CF1D0FE">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10≤X＜100</w:t>
            </w:r>
          </w:p>
        </w:tc>
        <w:tc>
          <w:tcPr>
            <w:tcW w:w="1446" w:type="dxa"/>
            <w:tcBorders>
              <w:top w:val="nil"/>
              <w:left w:val="nil"/>
              <w:bottom w:val="single" w:color="auto" w:sz="4" w:space="0"/>
              <w:right w:val="single" w:color="auto" w:sz="4" w:space="0"/>
            </w:tcBorders>
            <w:noWrap w:val="0"/>
            <w:vAlign w:val="bottom"/>
          </w:tcPr>
          <w:p w14:paraId="5F7035EC">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100≤Y＜2000</w:t>
            </w:r>
          </w:p>
        </w:tc>
        <w:tc>
          <w:tcPr>
            <w:tcW w:w="1489" w:type="dxa"/>
            <w:tcBorders>
              <w:top w:val="nil"/>
              <w:left w:val="nil"/>
              <w:bottom w:val="single" w:color="auto" w:sz="4" w:space="0"/>
              <w:right w:val="single" w:color="auto" w:sz="8" w:space="0"/>
            </w:tcBorders>
            <w:noWrap w:val="0"/>
            <w:vAlign w:val="bottom"/>
          </w:tcPr>
          <w:p w14:paraId="0B238CC2">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55" w:type="dxa"/>
            <w:tcBorders>
              <w:top w:val="nil"/>
              <w:left w:val="nil"/>
              <w:bottom w:val="single" w:color="auto" w:sz="4" w:space="0"/>
              <w:right w:val="single" w:color="auto" w:sz="4" w:space="0"/>
            </w:tcBorders>
            <w:noWrap w:val="0"/>
            <w:vAlign w:val="bottom"/>
          </w:tcPr>
          <w:p w14:paraId="49AA3DBF">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X＜10</w:t>
            </w:r>
          </w:p>
        </w:tc>
        <w:tc>
          <w:tcPr>
            <w:tcW w:w="1246" w:type="dxa"/>
            <w:tcBorders>
              <w:top w:val="nil"/>
              <w:left w:val="nil"/>
              <w:bottom w:val="single" w:color="auto" w:sz="4" w:space="0"/>
              <w:right w:val="single" w:color="auto" w:sz="4" w:space="0"/>
            </w:tcBorders>
            <w:noWrap w:val="0"/>
            <w:vAlign w:val="bottom"/>
          </w:tcPr>
          <w:p w14:paraId="744A7C15">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V＜100</w:t>
            </w:r>
          </w:p>
        </w:tc>
        <w:tc>
          <w:tcPr>
            <w:tcW w:w="1192" w:type="dxa"/>
            <w:tcBorders>
              <w:top w:val="nil"/>
              <w:left w:val="nil"/>
              <w:bottom w:val="single" w:color="auto" w:sz="4" w:space="0"/>
              <w:right w:val="single" w:color="auto" w:sz="8" w:space="0"/>
            </w:tcBorders>
            <w:noWrap w:val="0"/>
            <w:vAlign w:val="bottom"/>
          </w:tcPr>
          <w:p w14:paraId="61315238">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r>
      <w:tr w14:paraId="69DBE339">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noWrap w:val="0"/>
            <w:vAlign w:val="bottom"/>
          </w:tcPr>
          <w:p w14:paraId="61203764">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11、信息传输业</w:t>
            </w:r>
          </w:p>
        </w:tc>
        <w:tc>
          <w:tcPr>
            <w:tcW w:w="1463" w:type="dxa"/>
            <w:tcBorders>
              <w:top w:val="nil"/>
              <w:left w:val="nil"/>
              <w:bottom w:val="single" w:color="auto" w:sz="4" w:space="0"/>
              <w:right w:val="single" w:color="auto" w:sz="4" w:space="0"/>
            </w:tcBorders>
            <w:noWrap w:val="0"/>
            <w:vAlign w:val="bottom"/>
          </w:tcPr>
          <w:p w14:paraId="1D817E6F">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100≤X＜2000</w:t>
            </w:r>
          </w:p>
        </w:tc>
        <w:tc>
          <w:tcPr>
            <w:tcW w:w="1723" w:type="dxa"/>
            <w:tcBorders>
              <w:top w:val="nil"/>
              <w:left w:val="nil"/>
              <w:bottom w:val="single" w:color="auto" w:sz="4" w:space="0"/>
              <w:right w:val="single" w:color="auto" w:sz="4" w:space="0"/>
            </w:tcBorders>
            <w:noWrap w:val="0"/>
            <w:vAlign w:val="bottom"/>
          </w:tcPr>
          <w:p w14:paraId="454CD9FB">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1000≤Y＜100000</w:t>
            </w:r>
          </w:p>
        </w:tc>
        <w:tc>
          <w:tcPr>
            <w:tcW w:w="1624" w:type="dxa"/>
            <w:tcBorders>
              <w:top w:val="nil"/>
              <w:left w:val="nil"/>
              <w:bottom w:val="single" w:color="auto" w:sz="4" w:space="0"/>
              <w:right w:val="single" w:color="auto" w:sz="8" w:space="0"/>
            </w:tcBorders>
            <w:noWrap w:val="0"/>
            <w:vAlign w:val="bottom"/>
          </w:tcPr>
          <w:p w14:paraId="3EEF5B00">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11" w:type="dxa"/>
            <w:tcBorders>
              <w:top w:val="nil"/>
              <w:left w:val="nil"/>
              <w:bottom w:val="single" w:color="auto" w:sz="4" w:space="0"/>
              <w:right w:val="single" w:color="auto" w:sz="4" w:space="0"/>
            </w:tcBorders>
            <w:noWrap w:val="0"/>
            <w:vAlign w:val="bottom"/>
          </w:tcPr>
          <w:p w14:paraId="50BB2D67">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10≤X＜100</w:t>
            </w:r>
          </w:p>
        </w:tc>
        <w:tc>
          <w:tcPr>
            <w:tcW w:w="1446" w:type="dxa"/>
            <w:tcBorders>
              <w:top w:val="nil"/>
              <w:left w:val="nil"/>
              <w:bottom w:val="single" w:color="auto" w:sz="4" w:space="0"/>
              <w:right w:val="single" w:color="auto" w:sz="4" w:space="0"/>
            </w:tcBorders>
            <w:noWrap w:val="0"/>
            <w:vAlign w:val="bottom"/>
          </w:tcPr>
          <w:p w14:paraId="6E431661">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100≤Y＜1000</w:t>
            </w:r>
          </w:p>
        </w:tc>
        <w:tc>
          <w:tcPr>
            <w:tcW w:w="1489" w:type="dxa"/>
            <w:tcBorders>
              <w:top w:val="nil"/>
              <w:left w:val="nil"/>
              <w:bottom w:val="single" w:color="auto" w:sz="4" w:space="0"/>
              <w:right w:val="single" w:color="auto" w:sz="8" w:space="0"/>
            </w:tcBorders>
            <w:noWrap w:val="0"/>
            <w:vAlign w:val="bottom"/>
          </w:tcPr>
          <w:p w14:paraId="0EF9760A">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55" w:type="dxa"/>
            <w:tcBorders>
              <w:top w:val="nil"/>
              <w:left w:val="nil"/>
              <w:bottom w:val="single" w:color="auto" w:sz="4" w:space="0"/>
              <w:right w:val="single" w:color="auto" w:sz="4" w:space="0"/>
            </w:tcBorders>
            <w:noWrap w:val="0"/>
            <w:vAlign w:val="bottom"/>
          </w:tcPr>
          <w:p w14:paraId="40C1C1E9">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X＜10</w:t>
            </w:r>
          </w:p>
        </w:tc>
        <w:tc>
          <w:tcPr>
            <w:tcW w:w="1246" w:type="dxa"/>
            <w:tcBorders>
              <w:top w:val="nil"/>
              <w:left w:val="nil"/>
              <w:bottom w:val="single" w:color="auto" w:sz="4" w:space="0"/>
              <w:right w:val="single" w:color="auto" w:sz="4" w:space="0"/>
            </w:tcBorders>
            <w:noWrap w:val="0"/>
            <w:vAlign w:val="bottom"/>
          </w:tcPr>
          <w:p w14:paraId="579BFB70">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Y＜100</w:t>
            </w:r>
          </w:p>
        </w:tc>
        <w:tc>
          <w:tcPr>
            <w:tcW w:w="1192" w:type="dxa"/>
            <w:tcBorders>
              <w:top w:val="nil"/>
              <w:left w:val="nil"/>
              <w:bottom w:val="single" w:color="auto" w:sz="4" w:space="0"/>
              <w:right w:val="single" w:color="auto" w:sz="8" w:space="0"/>
            </w:tcBorders>
            <w:noWrap w:val="0"/>
            <w:vAlign w:val="bottom"/>
          </w:tcPr>
          <w:p w14:paraId="67768308">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r>
      <w:tr w14:paraId="7A5E56E5">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noWrap w:val="0"/>
            <w:vAlign w:val="bottom"/>
          </w:tcPr>
          <w:p w14:paraId="03F77E1E">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12、软件和信息技术服务业</w:t>
            </w:r>
          </w:p>
        </w:tc>
        <w:tc>
          <w:tcPr>
            <w:tcW w:w="1463" w:type="dxa"/>
            <w:tcBorders>
              <w:top w:val="nil"/>
              <w:left w:val="nil"/>
              <w:bottom w:val="single" w:color="auto" w:sz="4" w:space="0"/>
              <w:right w:val="single" w:color="auto" w:sz="4" w:space="0"/>
            </w:tcBorders>
            <w:noWrap w:val="0"/>
            <w:vAlign w:val="bottom"/>
          </w:tcPr>
          <w:p w14:paraId="17637E08">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100≤X＜300</w:t>
            </w:r>
          </w:p>
        </w:tc>
        <w:tc>
          <w:tcPr>
            <w:tcW w:w="1723" w:type="dxa"/>
            <w:tcBorders>
              <w:top w:val="nil"/>
              <w:left w:val="nil"/>
              <w:bottom w:val="single" w:color="auto" w:sz="4" w:space="0"/>
              <w:right w:val="single" w:color="auto" w:sz="4" w:space="0"/>
            </w:tcBorders>
            <w:noWrap w:val="0"/>
            <w:vAlign w:val="bottom"/>
          </w:tcPr>
          <w:p w14:paraId="66956342">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1000≤Y＜10000</w:t>
            </w:r>
          </w:p>
        </w:tc>
        <w:tc>
          <w:tcPr>
            <w:tcW w:w="1624" w:type="dxa"/>
            <w:tcBorders>
              <w:top w:val="nil"/>
              <w:left w:val="nil"/>
              <w:bottom w:val="single" w:color="auto" w:sz="4" w:space="0"/>
              <w:right w:val="single" w:color="auto" w:sz="8" w:space="0"/>
            </w:tcBorders>
            <w:noWrap w:val="0"/>
            <w:vAlign w:val="bottom"/>
          </w:tcPr>
          <w:p w14:paraId="744747E0">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11" w:type="dxa"/>
            <w:tcBorders>
              <w:top w:val="nil"/>
              <w:left w:val="nil"/>
              <w:bottom w:val="single" w:color="auto" w:sz="4" w:space="0"/>
              <w:right w:val="single" w:color="auto" w:sz="4" w:space="0"/>
            </w:tcBorders>
            <w:noWrap w:val="0"/>
            <w:vAlign w:val="bottom"/>
          </w:tcPr>
          <w:p w14:paraId="4D085600">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10≤X＜100</w:t>
            </w:r>
          </w:p>
        </w:tc>
        <w:tc>
          <w:tcPr>
            <w:tcW w:w="1446" w:type="dxa"/>
            <w:tcBorders>
              <w:top w:val="nil"/>
              <w:left w:val="nil"/>
              <w:bottom w:val="single" w:color="auto" w:sz="4" w:space="0"/>
              <w:right w:val="single" w:color="auto" w:sz="4" w:space="0"/>
            </w:tcBorders>
            <w:noWrap w:val="0"/>
            <w:vAlign w:val="bottom"/>
          </w:tcPr>
          <w:p w14:paraId="019C375A">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xml:space="preserve"> 50≤Y＜1000</w:t>
            </w:r>
          </w:p>
        </w:tc>
        <w:tc>
          <w:tcPr>
            <w:tcW w:w="1489" w:type="dxa"/>
            <w:tcBorders>
              <w:top w:val="nil"/>
              <w:left w:val="nil"/>
              <w:bottom w:val="single" w:color="auto" w:sz="4" w:space="0"/>
              <w:right w:val="single" w:color="auto" w:sz="8" w:space="0"/>
            </w:tcBorders>
            <w:noWrap w:val="0"/>
            <w:vAlign w:val="bottom"/>
          </w:tcPr>
          <w:p w14:paraId="3391AF10">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55" w:type="dxa"/>
            <w:tcBorders>
              <w:top w:val="nil"/>
              <w:left w:val="nil"/>
              <w:bottom w:val="single" w:color="auto" w:sz="4" w:space="0"/>
              <w:right w:val="single" w:color="auto" w:sz="4" w:space="0"/>
            </w:tcBorders>
            <w:noWrap w:val="0"/>
            <w:vAlign w:val="bottom"/>
          </w:tcPr>
          <w:p w14:paraId="2D11FA46">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X＜10</w:t>
            </w:r>
          </w:p>
        </w:tc>
        <w:tc>
          <w:tcPr>
            <w:tcW w:w="1246" w:type="dxa"/>
            <w:tcBorders>
              <w:top w:val="nil"/>
              <w:left w:val="nil"/>
              <w:bottom w:val="single" w:color="auto" w:sz="4" w:space="0"/>
              <w:right w:val="single" w:color="auto" w:sz="4" w:space="0"/>
            </w:tcBorders>
            <w:noWrap w:val="0"/>
            <w:vAlign w:val="bottom"/>
          </w:tcPr>
          <w:p w14:paraId="1B56901C">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Y＜50</w:t>
            </w:r>
          </w:p>
        </w:tc>
        <w:tc>
          <w:tcPr>
            <w:tcW w:w="1192" w:type="dxa"/>
            <w:tcBorders>
              <w:top w:val="nil"/>
              <w:left w:val="nil"/>
              <w:bottom w:val="single" w:color="auto" w:sz="4" w:space="0"/>
              <w:right w:val="single" w:color="auto" w:sz="8" w:space="0"/>
            </w:tcBorders>
            <w:noWrap w:val="0"/>
            <w:vAlign w:val="bottom"/>
          </w:tcPr>
          <w:p w14:paraId="14A49AAC">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r>
      <w:tr w14:paraId="6242050F">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noWrap w:val="0"/>
            <w:vAlign w:val="bottom"/>
          </w:tcPr>
          <w:p w14:paraId="4C7A39F0">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13、房地产开发经营</w:t>
            </w:r>
          </w:p>
        </w:tc>
        <w:tc>
          <w:tcPr>
            <w:tcW w:w="1463" w:type="dxa"/>
            <w:tcBorders>
              <w:top w:val="nil"/>
              <w:left w:val="nil"/>
              <w:bottom w:val="single" w:color="auto" w:sz="4" w:space="0"/>
              <w:right w:val="single" w:color="auto" w:sz="4" w:space="0"/>
            </w:tcBorders>
            <w:noWrap w:val="0"/>
            <w:vAlign w:val="bottom"/>
          </w:tcPr>
          <w:p w14:paraId="21371082">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723" w:type="dxa"/>
            <w:tcBorders>
              <w:top w:val="nil"/>
              <w:left w:val="nil"/>
              <w:bottom w:val="single" w:color="auto" w:sz="4" w:space="0"/>
              <w:right w:val="single" w:color="auto" w:sz="4" w:space="0"/>
            </w:tcBorders>
            <w:noWrap w:val="0"/>
            <w:vAlign w:val="bottom"/>
          </w:tcPr>
          <w:p w14:paraId="4483BC62">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1000≤Y＜200000</w:t>
            </w:r>
          </w:p>
        </w:tc>
        <w:tc>
          <w:tcPr>
            <w:tcW w:w="1624" w:type="dxa"/>
            <w:tcBorders>
              <w:top w:val="nil"/>
              <w:left w:val="nil"/>
              <w:bottom w:val="single" w:color="auto" w:sz="4" w:space="0"/>
              <w:right w:val="single" w:color="auto" w:sz="8" w:space="0"/>
            </w:tcBorders>
            <w:noWrap w:val="0"/>
            <w:vAlign w:val="bottom"/>
          </w:tcPr>
          <w:p w14:paraId="3DC96C9D">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5000≤Z＜10000</w:t>
            </w:r>
          </w:p>
        </w:tc>
        <w:tc>
          <w:tcPr>
            <w:tcW w:w="1211" w:type="dxa"/>
            <w:tcBorders>
              <w:top w:val="nil"/>
              <w:left w:val="nil"/>
              <w:bottom w:val="single" w:color="auto" w:sz="4" w:space="0"/>
              <w:right w:val="single" w:color="auto" w:sz="4" w:space="0"/>
            </w:tcBorders>
            <w:noWrap w:val="0"/>
            <w:vAlign w:val="bottom"/>
          </w:tcPr>
          <w:p w14:paraId="5F16E8B3">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446" w:type="dxa"/>
            <w:tcBorders>
              <w:top w:val="nil"/>
              <w:left w:val="nil"/>
              <w:bottom w:val="single" w:color="auto" w:sz="4" w:space="0"/>
              <w:right w:val="single" w:color="auto" w:sz="4" w:space="0"/>
            </w:tcBorders>
            <w:noWrap w:val="0"/>
            <w:vAlign w:val="bottom"/>
          </w:tcPr>
          <w:p w14:paraId="71F253F0">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100≤Y＜1000</w:t>
            </w:r>
          </w:p>
        </w:tc>
        <w:tc>
          <w:tcPr>
            <w:tcW w:w="1489" w:type="dxa"/>
            <w:tcBorders>
              <w:top w:val="nil"/>
              <w:left w:val="nil"/>
              <w:bottom w:val="single" w:color="auto" w:sz="4" w:space="0"/>
              <w:right w:val="single" w:color="auto" w:sz="8" w:space="0"/>
            </w:tcBorders>
            <w:noWrap w:val="0"/>
            <w:vAlign w:val="bottom"/>
          </w:tcPr>
          <w:p w14:paraId="04C13F45">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2000≤Z＜5000</w:t>
            </w:r>
          </w:p>
        </w:tc>
        <w:tc>
          <w:tcPr>
            <w:tcW w:w="1255" w:type="dxa"/>
            <w:tcBorders>
              <w:top w:val="nil"/>
              <w:left w:val="nil"/>
              <w:bottom w:val="single" w:color="auto" w:sz="4" w:space="0"/>
              <w:right w:val="single" w:color="auto" w:sz="4" w:space="0"/>
            </w:tcBorders>
            <w:noWrap w:val="0"/>
            <w:vAlign w:val="bottom"/>
          </w:tcPr>
          <w:p w14:paraId="2D87BF22">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46" w:type="dxa"/>
            <w:tcBorders>
              <w:top w:val="nil"/>
              <w:left w:val="nil"/>
              <w:bottom w:val="single" w:color="auto" w:sz="4" w:space="0"/>
              <w:right w:val="single" w:color="auto" w:sz="4" w:space="0"/>
            </w:tcBorders>
            <w:noWrap w:val="0"/>
            <w:vAlign w:val="bottom"/>
          </w:tcPr>
          <w:p w14:paraId="660C1736">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Y＜100</w:t>
            </w:r>
          </w:p>
        </w:tc>
        <w:tc>
          <w:tcPr>
            <w:tcW w:w="1192" w:type="dxa"/>
            <w:tcBorders>
              <w:top w:val="nil"/>
              <w:left w:val="nil"/>
              <w:bottom w:val="single" w:color="auto" w:sz="4" w:space="0"/>
              <w:right w:val="single" w:color="auto" w:sz="8" w:space="0"/>
            </w:tcBorders>
            <w:noWrap w:val="0"/>
            <w:vAlign w:val="bottom"/>
          </w:tcPr>
          <w:p w14:paraId="4ECC563C">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Z＜2000</w:t>
            </w:r>
          </w:p>
        </w:tc>
      </w:tr>
      <w:tr w14:paraId="1D6B6422">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noWrap w:val="0"/>
            <w:vAlign w:val="bottom"/>
          </w:tcPr>
          <w:p w14:paraId="11A148B9">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14、物业管理</w:t>
            </w:r>
          </w:p>
        </w:tc>
        <w:tc>
          <w:tcPr>
            <w:tcW w:w="1463" w:type="dxa"/>
            <w:tcBorders>
              <w:top w:val="nil"/>
              <w:left w:val="nil"/>
              <w:bottom w:val="single" w:color="auto" w:sz="4" w:space="0"/>
              <w:right w:val="single" w:color="auto" w:sz="4" w:space="0"/>
            </w:tcBorders>
            <w:noWrap w:val="0"/>
            <w:vAlign w:val="bottom"/>
          </w:tcPr>
          <w:p w14:paraId="7E0CA7F9">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300≤X＜1000</w:t>
            </w:r>
          </w:p>
        </w:tc>
        <w:tc>
          <w:tcPr>
            <w:tcW w:w="1723" w:type="dxa"/>
            <w:tcBorders>
              <w:top w:val="nil"/>
              <w:left w:val="nil"/>
              <w:bottom w:val="single" w:color="auto" w:sz="4" w:space="0"/>
              <w:right w:val="single" w:color="auto" w:sz="4" w:space="0"/>
            </w:tcBorders>
            <w:noWrap w:val="0"/>
            <w:vAlign w:val="bottom"/>
          </w:tcPr>
          <w:p w14:paraId="4F695E88">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1000≤Y＜5000</w:t>
            </w:r>
          </w:p>
        </w:tc>
        <w:tc>
          <w:tcPr>
            <w:tcW w:w="1624" w:type="dxa"/>
            <w:tcBorders>
              <w:top w:val="nil"/>
              <w:left w:val="nil"/>
              <w:bottom w:val="single" w:color="auto" w:sz="4" w:space="0"/>
              <w:right w:val="single" w:color="auto" w:sz="8" w:space="0"/>
            </w:tcBorders>
            <w:noWrap w:val="0"/>
            <w:vAlign w:val="bottom"/>
          </w:tcPr>
          <w:p w14:paraId="386BA789">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11" w:type="dxa"/>
            <w:tcBorders>
              <w:top w:val="nil"/>
              <w:left w:val="nil"/>
              <w:bottom w:val="single" w:color="auto" w:sz="4" w:space="0"/>
              <w:right w:val="single" w:color="auto" w:sz="4" w:space="0"/>
            </w:tcBorders>
            <w:noWrap w:val="0"/>
            <w:vAlign w:val="bottom"/>
          </w:tcPr>
          <w:p w14:paraId="79B900FE">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100≤X＜300</w:t>
            </w:r>
          </w:p>
        </w:tc>
        <w:tc>
          <w:tcPr>
            <w:tcW w:w="1446" w:type="dxa"/>
            <w:tcBorders>
              <w:top w:val="nil"/>
              <w:left w:val="nil"/>
              <w:bottom w:val="single" w:color="auto" w:sz="4" w:space="0"/>
              <w:right w:val="single" w:color="auto" w:sz="4" w:space="0"/>
            </w:tcBorders>
            <w:noWrap w:val="0"/>
            <w:vAlign w:val="bottom"/>
          </w:tcPr>
          <w:p w14:paraId="794F825F">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500≤Y＜1000</w:t>
            </w:r>
          </w:p>
        </w:tc>
        <w:tc>
          <w:tcPr>
            <w:tcW w:w="1489" w:type="dxa"/>
            <w:tcBorders>
              <w:top w:val="nil"/>
              <w:left w:val="nil"/>
              <w:bottom w:val="single" w:color="auto" w:sz="4" w:space="0"/>
              <w:right w:val="single" w:color="auto" w:sz="8" w:space="0"/>
            </w:tcBorders>
            <w:noWrap w:val="0"/>
            <w:vAlign w:val="bottom"/>
          </w:tcPr>
          <w:p w14:paraId="24465159">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55" w:type="dxa"/>
            <w:tcBorders>
              <w:top w:val="nil"/>
              <w:left w:val="nil"/>
              <w:bottom w:val="single" w:color="auto" w:sz="4" w:space="0"/>
              <w:right w:val="single" w:color="auto" w:sz="4" w:space="0"/>
            </w:tcBorders>
            <w:noWrap w:val="0"/>
            <w:vAlign w:val="bottom"/>
          </w:tcPr>
          <w:p w14:paraId="3ADD00EC">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X＜100</w:t>
            </w:r>
          </w:p>
        </w:tc>
        <w:tc>
          <w:tcPr>
            <w:tcW w:w="1246" w:type="dxa"/>
            <w:tcBorders>
              <w:top w:val="nil"/>
              <w:left w:val="nil"/>
              <w:bottom w:val="single" w:color="auto" w:sz="4" w:space="0"/>
              <w:right w:val="single" w:color="auto" w:sz="4" w:space="0"/>
            </w:tcBorders>
            <w:noWrap w:val="0"/>
            <w:vAlign w:val="bottom"/>
          </w:tcPr>
          <w:p w14:paraId="56877BD9">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Y＜500</w:t>
            </w:r>
          </w:p>
        </w:tc>
        <w:tc>
          <w:tcPr>
            <w:tcW w:w="1192" w:type="dxa"/>
            <w:tcBorders>
              <w:top w:val="nil"/>
              <w:left w:val="nil"/>
              <w:bottom w:val="single" w:color="auto" w:sz="4" w:space="0"/>
              <w:right w:val="single" w:color="auto" w:sz="8" w:space="0"/>
            </w:tcBorders>
            <w:noWrap w:val="0"/>
            <w:vAlign w:val="bottom"/>
          </w:tcPr>
          <w:p w14:paraId="5D6D2AFC">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r>
      <w:tr w14:paraId="3FA5B8C2">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noWrap w:val="0"/>
            <w:vAlign w:val="bottom"/>
          </w:tcPr>
          <w:p w14:paraId="7FFE4194">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15、租赁和商务服务业</w:t>
            </w:r>
          </w:p>
        </w:tc>
        <w:tc>
          <w:tcPr>
            <w:tcW w:w="1463" w:type="dxa"/>
            <w:tcBorders>
              <w:top w:val="nil"/>
              <w:left w:val="nil"/>
              <w:bottom w:val="single" w:color="auto" w:sz="4" w:space="0"/>
              <w:right w:val="single" w:color="auto" w:sz="4" w:space="0"/>
            </w:tcBorders>
            <w:noWrap w:val="0"/>
            <w:vAlign w:val="bottom"/>
          </w:tcPr>
          <w:p w14:paraId="27B9E299">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100≤X＜300</w:t>
            </w:r>
          </w:p>
        </w:tc>
        <w:tc>
          <w:tcPr>
            <w:tcW w:w="1723" w:type="dxa"/>
            <w:tcBorders>
              <w:top w:val="nil"/>
              <w:left w:val="nil"/>
              <w:bottom w:val="single" w:color="auto" w:sz="4" w:space="0"/>
              <w:right w:val="single" w:color="auto" w:sz="4" w:space="0"/>
            </w:tcBorders>
            <w:noWrap w:val="0"/>
            <w:vAlign w:val="bottom"/>
          </w:tcPr>
          <w:p w14:paraId="7F41D431">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624" w:type="dxa"/>
            <w:tcBorders>
              <w:top w:val="nil"/>
              <w:left w:val="nil"/>
              <w:bottom w:val="single" w:color="auto" w:sz="4" w:space="0"/>
              <w:right w:val="single" w:color="auto" w:sz="8" w:space="0"/>
            </w:tcBorders>
            <w:noWrap w:val="0"/>
            <w:vAlign w:val="bottom"/>
          </w:tcPr>
          <w:p w14:paraId="1C72715D">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8000≤Z＜120000</w:t>
            </w:r>
          </w:p>
        </w:tc>
        <w:tc>
          <w:tcPr>
            <w:tcW w:w="1211" w:type="dxa"/>
            <w:tcBorders>
              <w:top w:val="nil"/>
              <w:left w:val="nil"/>
              <w:bottom w:val="single" w:color="auto" w:sz="4" w:space="0"/>
              <w:right w:val="single" w:color="auto" w:sz="4" w:space="0"/>
            </w:tcBorders>
            <w:noWrap w:val="0"/>
            <w:vAlign w:val="bottom"/>
          </w:tcPr>
          <w:p w14:paraId="2D61DCD7">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10≤X＜100</w:t>
            </w:r>
          </w:p>
        </w:tc>
        <w:tc>
          <w:tcPr>
            <w:tcW w:w="1446" w:type="dxa"/>
            <w:tcBorders>
              <w:top w:val="nil"/>
              <w:left w:val="nil"/>
              <w:bottom w:val="single" w:color="auto" w:sz="4" w:space="0"/>
              <w:right w:val="single" w:color="auto" w:sz="4" w:space="0"/>
            </w:tcBorders>
            <w:noWrap w:val="0"/>
            <w:vAlign w:val="bottom"/>
          </w:tcPr>
          <w:p w14:paraId="2EDF2888">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489" w:type="dxa"/>
            <w:tcBorders>
              <w:top w:val="nil"/>
              <w:left w:val="nil"/>
              <w:bottom w:val="single" w:color="auto" w:sz="4" w:space="0"/>
              <w:right w:val="single" w:color="auto" w:sz="8" w:space="0"/>
            </w:tcBorders>
            <w:noWrap w:val="0"/>
            <w:vAlign w:val="bottom"/>
          </w:tcPr>
          <w:p w14:paraId="6CAD30B3">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xml:space="preserve"> 100≤Z＜8000</w:t>
            </w:r>
          </w:p>
        </w:tc>
        <w:tc>
          <w:tcPr>
            <w:tcW w:w="1255" w:type="dxa"/>
            <w:tcBorders>
              <w:top w:val="nil"/>
              <w:left w:val="nil"/>
              <w:bottom w:val="single" w:color="auto" w:sz="4" w:space="0"/>
              <w:right w:val="single" w:color="auto" w:sz="4" w:space="0"/>
            </w:tcBorders>
            <w:noWrap w:val="0"/>
            <w:vAlign w:val="bottom"/>
          </w:tcPr>
          <w:p w14:paraId="45CE5704">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X＜10</w:t>
            </w:r>
          </w:p>
        </w:tc>
        <w:tc>
          <w:tcPr>
            <w:tcW w:w="1246" w:type="dxa"/>
            <w:tcBorders>
              <w:top w:val="nil"/>
              <w:left w:val="nil"/>
              <w:bottom w:val="single" w:color="auto" w:sz="4" w:space="0"/>
              <w:right w:val="single" w:color="auto" w:sz="4" w:space="0"/>
            </w:tcBorders>
            <w:noWrap w:val="0"/>
            <w:vAlign w:val="bottom"/>
          </w:tcPr>
          <w:p w14:paraId="503D23CD">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192" w:type="dxa"/>
            <w:tcBorders>
              <w:top w:val="nil"/>
              <w:left w:val="nil"/>
              <w:bottom w:val="single" w:color="auto" w:sz="4" w:space="0"/>
              <w:right w:val="single" w:color="auto" w:sz="8" w:space="0"/>
            </w:tcBorders>
            <w:noWrap w:val="0"/>
            <w:vAlign w:val="bottom"/>
          </w:tcPr>
          <w:p w14:paraId="1956395C">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Z＜100</w:t>
            </w:r>
          </w:p>
        </w:tc>
      </w:tr>
      <w:tr w14:paraId="7870DE7D">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8" w:space="0"/>
              <w:right w:val="single" w:color="auto" w:sz="8" w:space="0"/>
            </w:tcBorders>
            <w:noWrap w:val="0"/>
            <w:vAlign w:val="bottom"/>
          </w:tcPr>
          <w:p w14:paraId="5DD34520">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16、其他未列明行业</w:t>
            </w:r>
          </w:p>
        </w:tc>
        <w:tc>
          <w:tcPr>
            <w:tcW w:w="1463" w:type="dxa"/>
            <w:tcBorders>
              <w:top w:val="nil"/>
              <w:left w:val="nil"/>
              <w:bottom w:val="single" w:color="auto" w:sz="8" w:space="0"/>
              <w:right w:val="single" w:color="auto" w:sz="4" w:space="0"/>
            </w:tcBorders>
            <w:noWrap w:val="0"/>
            <w:vAlign w:val="bottom"/>
          </w:tcPr>
          <w:p w14:paraId="292A036D">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100≤X＜300</w:t>
            </w:r>
          </w:p>
        </w:tc>
        <w:tc>
          <w:tcPr>
            <w:tcW w:w="1723" w:type="dxa"/>
            <w:tcBorders>
              <w:top w:val="nil"/>
              <w:left w:val="nil"/>
              <w:bottom w:val="single" w:color="auto" w:sz="8" w:space="0"/>
              <w:right w:val="single" w:color="auto" w:sz="4" w:space="0"/>
            </w:tcBorders>
            <w:noWrap w:val="0"/>
            <w:vAlign w:val="bottom"/>
          </w:tcPr>
          <w:p w14:paraId="53DEA848">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624" w:type="dxa"/>
            <w:tcBorders>
              <w:top w:val="nil"/>
              <w:left w:val="nil"/>
              <w:bottom w:val="single" w:color="auto" w:sz="8" w:space="0"/>
              <w:right w:val="single" w:color="auto" w:sz="8" w:space="0"/>
            </w:tcBorders>
            <w:noWrap w:val="0"/>
            <w:vAlign w:val="bottom"/>
          </w:tcPr>
          <w:p w14:paraId="040C2CE3">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11" w:type="dxa"/>
            <w:tcBorders>
              <w:top w:val="nil"/>
              <w:left w:val="nil"/>
              <w:bottom w:val="single" w:color="auto" w:sz="8" w:space="0"/>
              <w:right w:val="single" w:color="auto" w:sz="4" w:space="0"/>
            </w:tcBorders>
            <w:noWrap w:val="0"/>
            <w:vAlign w:val="bottom"/>
          </w:tcPr>
          <w:p w14:paraId="4B200273">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10≤X＜100</w:t>
            </w:r>
          </w:p>
        </w:tc>
        <w:tc>
          <w:tcPr>
            <w:tcW w:w="1446" w:type="dxa"/>
            <w:tcBorders>
              <w:top w:val="nil"/>
              <w:left w:val="nil"/>
              <w:bottom w:val="single" w:color="auto" w:sz="8" w:space="0"/>
              <w:right w:val="single" w:color="auto" w:sz="4" w:space="0"/>
            </w:tcBorders>
            <w:noWrap w:val="0"/>
            <w:vAlign w:val="bottom"/>
          </w:tcPr>
          <w:p w14:paraId="3CC0FC57">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489" w:type="dxa"/>
            <w:tcBorders>
              <w:top w:val="nil"/>
              <w:left w:val="nil"/>
              <w:bottom w:val="single" w:color="auto" w:sz="8" w:space="0"/>
              <w:right w:val="single" w:color="auto" w:sz="8" w:space="0"/>
            </w:tcBorders>
            <w:noWrap w:val="0"/>
            <w:vAlign w:val="bottom"/>
          </w:tcPr>
          <w:p w14:paraId="53120816">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55" w:type="dxa"/>
            <w:tcBorders>
              <w:top w:val="nil"/>
              <w:left w:val="nil"/>
              <w:bottom w:val="single" w:color="auto" w:sz="8" w:space="0"/>
              <w:right w:val="single" w:color="auto" w:sz="4" w:space="0"/>
            </w:tcBorders>
            <w:noWrap w:val="0"/>
            <w:vAlign w:val="bottom"/>
          </w:tcPr>
          <w:p w14:paraId="592E5CBF">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X＜10</w:t>
            </w:r>
          </w:p>
        </w:tc>
        <w:tc>
          <w:tcPr>
            <w:tcW w:w="1246" w:type="dxa"/>
            <w:tcBorders>
              <w:top w:val="nil"/>
              <w:left w:val="nil"/>
              <w:bottom w:val="single" w:color="auto" w:sz="8" w:space="0"/>
              <w:right w:val="single" w:color="auto" w:sz="4" w:space="0"/>
            </w:tcBorders>
            <w:noWrap w:val="0"/>
            <w:vAlign w:val="bottom"/>
          </w:tcPr>
          <w:p w14:paraId="38350C1E">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192" w:type="dxa"/>
            <w:tcBorders>
              <w:top w:val="nil"/>
              <w:left w:val="nil"/>
              <w:bottom w:val="single" w:color="auto" w:sz="8" w:space="0"/>
              <w:right w:val="single" w:color="auto" w:sz="8" w:space="0"/>
            </w:tcBorders>
            <w:noWrap w:val="0"/>
            <w:vAlign w:val="bottom"/>
          </w:tcPr>
          <w:p w14:paraId="4B4D084F">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r>
      <w:tr w14:paraId="6F39EF49">
        <w:tblPrEx>
          <w:tblCellMar>
            <w:top w:w="0" w:type="dxa"/>
            <w:left w:w="108" w:type="dxa"/>
            <w:bottom w:w="0" w:type="dxa"/>
            <w:right w:w="108" w:type="dxa"/>
          </w:tblCellMar>
        </w:tblPrEx>
        <w:trPr>
          <w:trHeight w:val="203" w:hRule="atLeast"/>
          <w:jc w:val="center"/>
        </w:trPr>
        <w:tc>
          <w:tcPr>
            <w:tcW w:w="14894" w:type="dxa"/>
            <w:gridSpan w:val="11"/>
            <w:tcBorders>
              <w:top w:val="nil"/>
              <w:left w:val="nil"/>
              <w:bottom w:val="nil"/>
              <w:right w:val="nil"/>
            </w:tcBorders>
            <w:noWrap w:val="0"/>
            <w:vAlign w:val="bottom"/>
          </w:tcPr>
          <w:p w14:paraId="50DEDD97">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说明　1、企业类型的划分以统计部门的统计数据为依据。2、个体工商户和本规定以外的行业，参照本规定进行划型。3、本规定的中型企业标准上限即为大型企业标准的下限。</w:t>
            </w:r>
          </w:p>
        </w:tc>
      </w:tr>
    </w:tbl>
    <w:p w14:paraId="28CB2EB3">
      <w:pPr>
        <w:pStyle w:val="24"/>
        <w:rPr>
          <w:rFonts w:hint="eastAsia"/>
          <w:lang w:val="en-US" w:eastAsia="zh-CN"/>
        </w:rPr>
      </w:pPr>
    </w:p>
    <w:p w14:paraId="7A920AA4">
      <w:pPr>
        <w:pStyle w:val="964"/>
        <w:rPr>
          <w:rFonts w:hint="eastAsia"/>
          <w:lang w:val="en-US" w:eastAsia="zh-CN"/>
        </w:rPr>
      </w:pPr>
    </w:p>
    <w:sectPr>
      <w:pgSz w:w="16838" w:h="11906" w:orient="landscape"/>
      <w:pgMar w:top="1418" w:right="1276" w:bottom="1418" w:left="1247"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Aldine401 BT">
    <w:altName w:val="Segoe Print"/>
    <w:panose1 w:val="02020602060306020A03"/>
    <w:charset w:val="00"/>
    <w:family w:val="roman"/>
    <w:pitch w:val="default"/>
    <w:sig w:usb0="00000000" w:usb1="00000000" w:usb2="00000000" w:usb3="00000000" w:csb0="00000000"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E8CEC">
    <w:pPr>
      <w:pStyle w:val="41"/>
      <w:framePr w:wrap="around" w:vAnchor="text" w:hAnchor="margin" w:xAlign="right" w:y="1"/>
      <w:rPr>
        <w:rStyle w:val="72"/>
      </w:rPr>
    </w:pPr>
    <w:r>
      <w:fldChar w:fldCharType="begin"/>
    </w:r>
    <w:r>
      <w:rPr>
        <w:rStyle w:val="72"/>
      </w:rPr>
      <w:instrText xml:space="preserve">PAGE  </w:instrText>
    </w:r>
    <w:r>
      <w:fldChar w:fldCharType="end"/>
    </w:r>
  </w:p>
  <w:p w14:paraId="03270EEC">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6193">
    <w:pPr>
      <w:pStyle w:val="41"/>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D90BD5">
                          <w:pPr>
                            <w:pStyle w:val="41"/>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6D90BD5">
                    <w:pPr>
                      <w:pStyle w:val="41"/>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449F4">
    <w:pPr>
      <w:rPr>
        <w:rFonts w:ascii="仿宋_GB2312" w:eastAsia="仿宋_GB23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DCE2E1">
                          <w:pPr>
                            <w:pStyle w:val="4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5DCE2E1">
                    <w:pPr>
                      <w:pStyle w:val="4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29CCF">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3B4110">
                          <w:pPr>
                            <w:pStyle w:val="4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C3B4110">
                    <w:pPr>
                      <w:pStyle w:val="4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CB54A">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A9636B">
                          <w:pPr>
                            <w:pStyle w:val="41"/>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FA9636B">
                    <w:pPr>
                      <w:pStyle w:val="41"/>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0BD67">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127D11">
                          <w:pPr>
                            <w:pStyle w:val="4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B127D11">
                    <w:pPr>
                      <w:pStyle w:val="4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860AA">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80E41F">
                          <w:pPr>
                            <w:pStyle w:val="41"/>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D80E41F">
                    <w:pPr>
                      <w:pStyle w:val="41"/>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62D0A">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9AF23">
                          <w:pPr>
                            <w:pStyle w:val="41"/>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679AF23">
                    <w:pPr>
                      <w:pStyle w:val="41"/>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679BC">
    <w:pPr>
      <w:pStyle w:val="41"/>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3C849A">
                          <w:pPr>
                            <w:pStyle w:val="41"/>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D3C849A">
                    <w:pPr>
                      <w:pStyle w:val="41"/>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26448">
    <w:pPr>
      <w:pStyle w:val="41"/>
      <w:framePr w:wrap="around" w:vAnchor="text" w:hAnchor="margin" w:xAlign="right" w:y="1"/>
      <w:rPr>
        <w:rStyle w:val="72"/>
      </w:rPr>
    </w:pPr>
    <w:r>
      <w:fldChar w:fldCharType="begin"/>
    </w:r>
    <w:r>
      <w:rPr>
        <w:rStyle w:val="72"/>
      </w:rPr>
      <w:instrText xml:space="preserve">PAGE  </w:instrText>
    </w:r>
    <w:r>
      <w:fldChar w:fldCharType="end"/>
    </w:r>
  </w:p>
  <w:p w14:paraId="6091D38C">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63571">
    <w:pPr>
      <w:pStyle w:val="42"/>
      <w:pBdr>
        <w:bottom w:val="single" w:color="auto" w:sz="6" w:space="4"/>
      </w:pBdr>
      <w:jc w:val="right"/>
    </w:pPr>
    <w:r>
      <w:t></w:t>
    </w:r>
    <w:r>
      <w:rPr>
        <w:rFonts w:hint="eastAsia"/>
      </w:rPr>
      <w:t xml:space="preserve">           </w:t>
    </w:r>
  </w:p>
  <w:p w14:paraId="0C7918B9">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084DC">
    <w:pPr>
      <w:pStyle w:val="42"/>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1C0AD">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FDA7A">
    <w:pPr>
      <w:pStyle w:val="42"/>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CC0BF">
    <w:pPr>
      <w:pStyle w:val="42"/>
      <w:jc w:val="both"/>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1B209">
    <w:pPr>
      <w:pStyle w:val="42"/>
      <w:rPr>
        <w:rFonts w:ascii="仿宋_GB2312" w:eastAsia="仿宋_GB2312"/>
        <w:b/>
        <w:i/>
        <w:u w:val="single"/>
      </w:rPr>
    </w:pPr>
    <w:r>
      <w:t></w:t>
    </w:r>
    <w:r>
      <w:rPr>
        <w:rFonts w:hint="eastAsia"/>
      </w:rPr>
      <w:t xml:space="preserve">                                                </w:t>
    </w:r>
    <w:r>
      <w:t xml:space="preserve"> </w:t>
    </w:r>
  </w:p>
  <w:p w14:paraId="1520305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1CFF2">
    <w:pPr>
      <w:pStyle w:val="42"/>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5C029">
    <w:pPr>
      <w:pStyle w:val="42"/>
      <w:jc w:val="right"/>
      <w:rPr>
        <w:rFonts w:ascii="仿宋_GB2312" w:eastAsia="仿宋_GB2312"/>
        <w:b/>
        <w:i/>
        <w:u w:val="single"/>
      </w:rPr>
    </w:pPr>
  </w:p>
  <w:p w14:paraId="4044FF9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D67CB">
    <w:pPr>
      <w:pStyle w:val="42"/>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9938D">
    <w:pPr>
      <w:pStyle w:val="42"/>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833A2"/>
    <w:multiLevelType w:val="singleLevel"/>
    <w:tmpl w:val="A3F833A2"/>
    <w:lvl w:ilvl="0" w:tentative="0">
      <w:start w:val="1"/>
      <w:numFmt w:val="decimalEnclosedCircleChinese"/>
      <w:suff w:val="nothing"/>
      <w:lvlText w:val="%1　"/>
      <w:lvlJc w:val="left"/>
      <w:pPr>
        <w:ind w:left="420" w:firstLine="400"/>
      </w:pPr>
      <w:rPr>
        <w:rFonts w:hint="eastAsia"/>
      </w:rPr>
    </w:lvl>
  </w:abstractNum>
  <w:abstractNum w:abstractNumId="1">
    <w:nsid w:val="A66B8058"/>
    <w:multiLevelType w:val="singleLevel"/>
    <w:tmpl w:val="A66B8058"/>
    <w:lvl w:ilvl="0" w:tentative="0">
      <w:start w:val="15"/>
      <w:numFmt w:val="chineseCounting"/>
      <w:suff w:val="nothing"/>
      <w:lvlText w:val="%1、"/>
      <w:lvlJc w:val="left"/>
      <w:rPr>
        <w:rFonts w:hint="eastAsia"/>
      </w:rPr>
    </w:lvl>
  </w:abstractNum>
  <w:abstractNum w:abstractNumId="2">
    <w:nsid w:val="BA86BC30"/>
    <w:multiLevelType w:val="singleLevel"/>
    <w:tmpl w:val="BA86BC30"/>
    <w:lvl w:ilvl="0" w:tentative="0">
      <w:start w:val="1"/>
      <w:numFmt w:val="decimal"/>
      <w:suff w:val="nothing"/>
      <w:lvlText w:val="%1、"/>
      <w:lvlJc w:val="left"/>
    </w:lvl>
  </w:abstractNum>
  <w:abstractNum w:abstractNumId="3">
    <w:nsid w:val="E11238D1"/>
    <w:multiLevelType w:val="singleLevel"/>
    <w:tmpl w:val="E11238D1"/>
    <w:lvl w:ilvl="0" w:tentative="0">
      <w:start w:val="1"/>
      <w:numFmt w:val="decimal"/>
      <w:suff w:val="nothing"/>
      <w:lvlText w:val="%1、"/>
      <w:lvlJc w:val="left"/>
    </w:lvl>
  </w:abstractNum>
  <w:abstractNum w:abstractNumId="4">
    <w:nsid w:val="EE7A109A"/>
    <w:multiLevelType w:val="singleLevel"/>
    <w:tmpl w:val="EE7A109A"/>
    <w:lvl w:ilvl="0" w:tentative="0">
      <w:start w:val="4"/>
      <w:numFmt w:val="chineseCounting"/>
      <w:suff w:val="nothing"/>
      <w:lvlText w:val="%1、"/>
      <w:lvlJc w:val="left"/>
      <w:rPr>
        <w:rFonts w:hint="eastAsia"/>
      </w:rPr>
    </w:lvl>
  </w:abstractNum>
  <w:abstractNum w:abstractNumId="5">
    <w:nsid w:val="F18C15CE"/>
    <w:multiLevelType w:val="singleLevel"/>
    <w:tmpl w:val="F18C15CE"/>
    <w:lvl w:ilvl="0" w:tentative="0">
      <w:start w:val="1"/>
      <w:numFmt w:val="decimal"/>
      <w:suff w:val="nothing"/>
      <w:lvlText w:val="%1、"/>
      <w:lvlJc w:val="left"/>
    </w:lvl>
  </w:abstractNum>
  <w:abstractNum w:abstractNumId="6">
    <w:nsid w:val="32697078"/>
    <w:multiLevelType w:val="singleLevel"/>
    <w:tmpl w:val="32697078"/>
    <w:lvl w:ilvl="0" w:tentative="0">
      <w:start w:val="1"/>
      <w:numFmt w:val="decimal"/>
      <w:suff w:val="nothing"/>
      <w:lvlText w:val="%1、"/>
      <w:lvlJc w:val="left"/>
    </w:lvl>
  </w:abstractNum>
  <w:abstractNum w:abstractNumId="7">
    <w:nsid w:val="4CD96D46"/>
    <w:multiLevelType w:val="multilevel"/>
    <w:tmpl w:val="4CD96D46"/>
    <w:lvl w:ilvl="0" w:tentative="0">
      <w:start w:val="1"/>
      <w:numFmt w:val="decimal"/>
      <w:lvlText w:val="(%1)、"/>
      <w:lvlJc w:val="left"/>
      <w:pPr>
        <w:tabs>
          <w:tab w:val="left" w:pos="6055"/>
        </w:tabs>
        <w:ind w:left="6055" w:hanging="810"/>
      </w:pPr>
      <w:rPr>
        <w:rFonts w:hint="default"/>
      </w:rPr>
    </w:lvl>
    <w:lvl w:ilvl="1" w:tentative="0">
      <w:start w:val="1"/>
      <w:numFmt w:val="lowerLetter"/>
      <w:lvlText w:val="%2)"/>
      <w:lvlJc w:val="left"/>
      <w:pPr>
        <w:tabs>
          <w:tab w:val="left" w:pos="-4920"/>
        </w:tabs>
        <w:ind w:left="-4920" w:hanging="420"/>
      </w:pPr>
    </w:lvl>
    <w:lvl w:ilvl="2" w:tentative="0">
      <w:start w:val="1"/>
      <w:numFmt w:val="lowerRoman"/>
      <w:lvlText w:val="%3."/>
      <w:lvlJc w:val="right"/>
      <w:pPr>
        <w:tabs>
          <w:tab w:val="left" w:pos="-4500"/>
        </w:tabs>
        <w:ind w:left="-4500" w:hanging="420"/>
      </w:pPr>
    </w:lvl>
    <w:lvl w:ilvl="3" w:tentative="0">
      <w:start w:val="1"/>
      <w:numFmt w:val="decimal"/>
      <w:lvlText w:val="%4."/>
      <w:lvlJc w:val="left"/>
      <w:pPr>
        <w:tabs>
          <w:tab w:val="left" w:pos="-4080"/>
        </w:tabs>
        <w:ind w:left="-408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2820"/>
        </w:tabs>
        <w:ind w:left="-2820" w:hanging="420"/>
      </w:pPr>
    </w:lvl>
    <w:lvl w:ilvl="7" w:tentative="0">
      <w:start w:val="1"/>
      <w:numFmt w:val="lowerLetter"/>
      <w:lvlText w:val="%8)"/>
      <w:lvlJc w:val="left"/>
      <w:pPr>
        <w:tabs>
          <w:tab w:val="left" w:pos="-2400"/>
        </w:tabs>
        <w:ind w:left="-2400" w:hanging="420"/>
      </w:pPr>
    </w:lvl>
    <w:lvl w:ilvl="8" w:tentative="0">
      <w:start w:val="1"/>
      <w:numFmt w:val="lowerRoman"/>
      <w:lvlText w:val="%9."/>
      <w:lvlJc w:val="right"/>
      <w:pPr>
        <w:tabs>
          <w:tab w:val="left" w:pos="-1980"/>
        </w:tabs>
        <w:ind w:left="-1980" w:hanging="420"/>
      </w:pPr>
    </w:lvl>
  </w:abstractNum>
  <w:abstractNum w:abstractNumId="8">
    <w:nsid w:val="58E693AF"/>
    <w:multiLevelType w:val="singleLevel"/>
    <w:tmpl w:val="58E693AF"/>
    <w:lvl w:ilvl="0" w:tentative="0">
      <w:start w:val="3"/>
      <w:numFmt w:val="decimal"/>
      <w:suff w:val="nothing"/>
      <w:lvlText w:val="%1、"/>
      <w:lvlJc w:val="left"/>
    </w:lvl>
  </w:abstractNum>
  <w:abstractNum w:abstractNumId="9">
    <w:nsid w:val="6A90DB4D"/>
    <w:multiLevelType w:val="singleLevel"/>
    <w:tmpl w:val="6A90DB4D"/>
    <w:lvl w:ilvl="0" w:tentative="0">
      <w:start w:val="4"/>
      <w:numFmt w:val="decimal"/>
      <w:lvlText w:val="%1."/>
      <w:lvlJc w:val="left"/>
      <w:pPr>
        <w:tabs>
          <w:tab w:val="left" w:pos="312"/>
        </w:tabs>
      </w:pPr>
    </w:lvl>
  </w:abstractNum>
  <w:abstractNum w:abstractNumId="10">
    <w:nsid w:val="79E76533"/>
    <w:multiLevelType w:val="multilevel"/>
    <w:tmpl w:val="79E76533"/>
    <w:lvl w:ilvl="0" w:tentative="0">
      <w:start w:val="1"/>
      <w:numFmt w:val="decimal"/>
      <w:lvlText w:val="%1、"/>
      <w:lvlJc w:val="left"/>
      <w:pPr>
        <w:tabs>
          <w:tab w:val="left" w:pos="1290"/>
        </w:tabs>
        <w:ind w:left="1290" w:hanging="81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3"/>
  </w:num>
  <w:num w:numId="3">
    <w:abstractNumId w:val="1"/>
  </w:num>
  <w:num w:numId="4">
    <w:abstractNumId w:val="5"/>
  </w:num>
  <w:num w:numId="5">
    <w:abstractNumId w:val="6"/>
  </w:num>
  <w:num w:numId="6">
    <w:abstractNumId w:val="10"/>
  </w:num>
  <w:num w:numId="7">
    <w:abstractNumId w:val="7"/>
  </w:num>
  <w:num w:numId="8">
    <w:abstractNumId w:val="0"/>
  </w:num>
  <w:num w:numId="9">
    <w:abstractNumId w:val="8"/>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N2IxNzc5YTFlNDhhOGZkMjM0YWJiMTg5NTA1Z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1F1"/>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D6D"/>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465"/>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855"/>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0EA"/>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A478A"/>
    <w:rsid w:val="01190476"/>
    <w:rsid w:val="011F6449"/>
    <w:rsid w:val="01236AFB"/>
    <w:rsid w:val="012453C2"/>
    <w:rsid w:val="013E5467"/>
    <w:rsid w:val="01565C22"/>
    <w:rsid w:val="018A1427"/>
    <w:rsid w:val="019268DF"/>
    <w:rsid w:val="019F7441"/>
    <w:rsid w:val="01B37585"/>
    <w:rsid w:val="01C0753F"/>
    <w:rsid w:val="01C47407"/>
    <w:rsid w:val="01D55165"/>
    <w:rsid w:val="01DF6BF8"/>
    <w:rsid w:val="01EC2C57"/>
    <w:rsid w:val="020A1642"/>
    <w:rsid w:val="022510C3"/>
    <w:rsid w:val="0229382C"/>
    <w:rsid w:val="024535A0"/>
    <w:rsid w:val="025431CD"/>
    <w:rsid w:val="02590923"/>
    <w:rsid w:val="025F0711"/>
    <w:rsid w:val="02693733"/>
    <w:rsid w:val="026B2E25"/>
    <w:rsid w:val="027068C8"/>
    <w:rsid w:val="02824D4D"/>
    <w:rsid w:val="02914086"/>
    <w:rsid w:val="029B75CA"/>
    <w:rsid w:val="02B32C29"/>
    <w:rsid w:val="02DC4B10"/>
    <w:rsid w:val="02DD76CE"/>
    <w:rsid w:val="02F36323"/>
    <w:rsid w:val="02F5619C"/>
    <w:rsid w:val="02FC45A7"/>
    <w:rsid w:val="03091E03"/>
    <w:rsid w:val="0326446A"/>
    <w:rsid w:val="032D5555"/>
    <w:rsid w:val="036634D2"/>
    <w:rsid w:val="0368307B"/>
    <w:rsid w:val="03922815"/>
    <w:rsid w:val="03DD35E4"/>
    <w:rsid w:val="04076900"/>
    <w:rsid w:val="040C4423"/>
    <w:rsid w:val="041A5A3B"/>
    <w:rsid w:val="042311BA"/>
    <w:rsid w:val="042B157A"/>
    <w:rsid w:val="043400F8"/>
    <w:rsid w:val="04602913"/>
    <w:rsid w:val="04643A45"/>
    <w:rsid w:val="048605CC"/>
    <w:rsid w:val="048F763B"/>
    <w:rsid w:val="04956A61"/>
    <w:rsid w:val="049F330E"/>
    <w:rsid w:val="04AA775C"/>
    <w:rsid w:val="04AF1889"/>
    <w:rsid w:val="04BC33D8"/>
    <w:rsid w:val="04F66F48"/>
    <w:rsid w:val="05251E14"/>
    <w:rsid w:val="0542404E"/>
    <w:rsid w:val="058B39C0"/>
    <w:rsid w:val="0598363A"/>
    <w:rsid w:val="05A16594"/>
    <w:rsid w:val="05A7762D"/>
    <w:rsid w:val="05C30230"/>
    <w:rsid w:val="05DF0710"/>
    <w:rsid w:val="060E5941"/>
    <w:rsid w:val="06110FAF"/>
    <w:rsid w:val="06147E59"/>
    <w:rsid w:val="061C715B"/>
    <w:rsid w:val="062D768E"/>
    <w:rsid w:val="06436049"/>
    <w:rsid w:val="06493CA7"/>
    <w:rsid w:val="065A6178"/>
    <w:rsid w:val="065C3F39"/>
    <w:rsid w:val="06605C46"/>
    <w:rsid w:val="066F1CF3"/>
    <w:rsid w:val="067A7832"/>
    <w:rsid w:val="06913258"/>
    <w:rsid w:val="06930BB8"/>
    <w:rsid w:val="06C50397"/>
    <w:rsid w:val="070059CA"/>
    <w:rsid w:val="070E62E0"/>
    <w:rsid w:val="0717375D"/>
    <w:rsid w:val="07181283"/>
    <w:rsid w:val="07245D42"/>
    <w:rsid w:val="07261BF2"/>
    <w:rsid w:val="07264C62"/>
    <w:rsid w:val="0754675F"/>
    <w:rsid w:val="07686CD0"/>
    <w:rsid w:val="0779354C"/>
    <w:rsid w:val="077E1A2E"/>
    <w:rsid w:val="07A5373D"/>
    <w:rsid w:val="08061376"/>
    <w:rsid w:val="080A0D72"/>
    <w:rsid w:val="081927FC"/>
    <w:rsid w:val="08206641"/>
    <w:rsid w:val="08452D77"/>
    <w:rsid w:val="086401F8"/>
    <w:rsid w:val="08751CAA"/>
    <w:rsid w:val="0878647D"/>
    <w:rsid w:val="087B3CF2"/>
    <w:rsid w:val="087E4C40"/>
    <w:rsid w:val="088C1544"/>
    <w:rsid w:val="08A871D0"/>
    <w:rsid w:val="08D66AD6"/>
    <w:rsid w:val="08DA33A3"/>
    <w:rsid w:val="08E80F13"/>
    <w:rsid w:val="09335624"/>
    <w:rsid w:val="0944690F"/>
    <w:rsid w:val="09535675"/>
    <w:rsid w:val="09553EBE"/>
    <w:rsid w:val="095F057D"/>
    <w:rsid w:val="09642282"/>
    <w:rsid w:val="09673F90"/>
    <w:rsid w:val="09733572"/>
    <w:rsid w:val="09772C16"/>
    <w:rsid w:val="098353B5"/>
    <w:rsid w:val="098F7F12"/>
    <w:rsid w:val="099861CA"/>
    <w:rsid w:val="09997FFE"/>
    <w:rsid w:val="09A92330"/>
    <w:rsid w:val="09B06B87"/>
    <w:rsid w:val="09B3464E"/>
    <w:rsid w:val="09C13146"/>
    <w:rsid w:val="09D709B0"/>
    <w:rsid w:val="09E04166"/>
    <w:rsid w:val="0A195A3E"/>
    <w:rsid w:val="0A1C0718"/>
    <w:rsid w:val="0A1E12A6"/>
    <w:rsid w:val="0A2A40B5"/>
    <w:rsid w:val="0A3E7710"/>
    <w:rsid w:val="0A5B7E63"/>
    <w:rsid w:val="0A791D33"/>
    <w:rsid w:val="0AA374A5"/>
    <w:rsid w:val="0AA74B5F"/>
    <w:rsid w:val="0AA90B70"/>
    <w:rsid w:val="0AAB7649"/>
    <w:rsid w:val="0ABC5606"/>
    <w:rsid w:val="0ABD0CCF"/>
    <w:rsid w:val="0B280C46"/>
    <w:rsid w:val="0B30404E"/>
    <w:rsid w:val="0B4C6C14"/>
    <w:rsid w:val="0B547599"/>
    <w:rsid w:val="0B631A88"/>
    <w:rsid w:val="0B683D45"/>
    <w:rsid w:val="0B7F3F11"/>
    <w:rsid w:val="0B884417"/>
    <w:rsid w:val="0BD5552E"/>
    <w:rsid w:val="0BF6188C"/>
    <w:rsid w:val="0BF73C91"/>
    <w:rsid w:val="0C061354"/>
    <w:rsid w:val="0C170175"/>
    <w:rsid w:val="0C2E1EF2"/>
    <w:rsid w:val="0C571A41"/>
    <w:rsid w:val="0C5C1171"/>
    <w:rsid w:val="0C5E1CBC"/>
    <w:rsid w:val="0C5E69F7"/>
    <w:rsid w:val="0C615B50"/>
    <w:rsid w:val="0C656D19"/>
    <w:rsid w:val="0C7D59C0"/>
    <w:rsid w:val="0C8445DA"/>
    <w:rsid w:val="0C87121B"/>
    <w:rsid w:val="0CBC19AB"/>
    <w:rsid w:val="0CC007F7"/>
    <w:rsid w:val="0CC617AC"/>
    <w:rsid w:val="0CD12600"/>
    <w:rsid w:val="0CE618DF"/>
    <w:rsid w:val="0CFE707A"/>
    <w:rsid w:val="0D063BDA"/>
    <w:rsid w:val="0D08375F"/>
    <w:rsid w:val="0D184CFB"/>
    <w:rsid w:val="0D2546FA"/>
    <w:rsid w:val="0D4A7419"/>
    <w:rsid w:val="0D5F5E5E"/>
    <w:rsid w:val="0D67257C"/>
    <w:rsid w:val="0D787B4E"/>
    <w:rsid w:val="0D827401"/>
    <w:rsid w:val="0D84094E"/>
    <w:rsid w:val="0D845338"/>
    <w:rsid w:val="0D8A00E9"/>
    <w:rsid w:val="0D8D589E"/>
    <w:rsid w:val="0D920070"/>
    <w:rsid w:val="0DA01C73"/>
    <w:rsid w:val="0DBA7538"/>
    <w:rsid w:val="0DCE6B40"/>
    <w:rsid w:val="0DD12E8A"/>
    <w:rsid w:val="0DD63300"/>
    <w:rsid w:val="0DDB03E8"/>
    <w:rsid w:val="0DDC55E4"/>
    <w:rsid w:val="0DF50604"/>
    <w:rsid w:val="0DF702FE"/>
    <w:rsid w:val="0E060E51"/>
    <w:rsid w:val="0E1409F6"/>
    <w:rsid w:val="0E5604B2"/>
    <w:rsid w:val="0E6D5D79"/>
    <w:rsid w:val="0E9A03FC"/>
    <w:rsid w:val="0E9D0089"/>
    <w:rsid w:val="0EB4779A"/>
    <w:rsid w:val="0EB803EE"/>
    <w:rsid w:val="0ECC7523"/>
    <w:rsid w:val="0ED55496"/>
    <w:rsid w:val="0ED9579C"/>
    <w:rsid w:val="0EE53CAA"/>
    <w:rsid w:val="0EF94D4B"/>
    <w:rsid w:val="0F110A9B"/>
    <w:rsid w:val="0F4958DC"/>
    <w:rsid w:val="0F515DF7"/>
    <w:rsid w:val="0F596BA8"/>
    <w:rsid w:val="0F6248D2"/>
    <w:rsid w:val="0F693536"/>
    <w:rsid w:val="0F7B0511"/>
    <w:rsid w:val="0F7B76D9"/>
    <w:rsid w:val="0F816ACD"/>
    <w:rsid w:val="0F8563FF"/>
    <w:rsid w:val="0F8B4F2A"/>
    <w:rsid w:val="0F9832DB"/>
    <w:rsid w:val="0FBF3FD2"/>
    <w:rsid w:val="0FBF7FF3"/>
    <w:rsid w:val="104447E9"/>
    <w:rsid w:val="10521CAA"/>
    <w:rsid w:val="10646583"/>
    <w:rsid w:val="107D4B15"/>
    <w:rsid w:val="108A3C80"/>
    <w:rsid w:val="10C02B10"/>
    <w:rsid w:val="10C26171"/>
    <w:rsid w:val="10F33360"/>
    <w:rsid w:val="10F7015B"/>
    <w:rsid w:val="10FC16EA"/>
    <w:rsid w:val="110F1D40"/>
    <w:rsid w:val="111451B1"/>
    <w:rsid w:val="111E1B8C"/>
    <w:rsid w:val="11266F33"/>
    <w:rsid w:val="11362358"/>
    <w:rsid w:val="113D2012"/>
    <w:rsid w:val="114F5196"/>
    <w:rsid w:val="11585FBF"/>
    <w:rsid w:val="118963A1"/>
    <w:rsid w:val="119D5A3B"/>
    <w:rsid w:val="11BF29F6"/>
    <w:rsid w:val="11C6522A"/>
    <w:rsid w:val="11D015CA"/>
    <w:rsid w:val="11D02E86"/>
    <w:rsid w:val="11D067E4"/>
    <w:rsid w:val="11E104CC"/>
    <w:rsid w:val="11E10BF2"/>
    <w:rsid w:val="11E20309"/>
    <w:rsid w:val="11FA43A7"/>
    <w:rsid w:val="1201785C"/>
    <w:rsid w:val="120A6276"/>
    <w:rsid w:val="12255233"/>
    <w:rsid w:val="12530213"/>
    <w:rsid w:val="125C296C"/>
    <w:rsid w:val="127723A9"/>
    <w:rsid w:val="127777A6"/>
    <w:rsid w:val="127929E7"/>
    <w:rsid w:val="12855AA9"/>
    <w:rsid w:val="12862074"/>
    <w:rsid w:val="12883966"/>
    <w:rsid w:val="128D36BF"/>
    <w:rsid w:val="129E45B4"/>
    <w:rsid w:val="12A90552"/>
    <w:rsid w:val="12D81596"/>
    <w:rsid w:val="12D90460"/>
    <w:rsid w:val="12E60488"/>
    <w:rsid w:val="12F572D9"/>
    <w:rsid w:val="13072A44"/>
    <w:rsid w:val="13202B24"/>
    <w:rsid w:val="133E0061"/>
    <w:rsid w:val="1346119F"/>
    <w:rsid w:val="135F4BE2"/>
    <w:rsid w:val="13815EDF"/>
    <w:rsid w:val="139B1A0A"/>
    <w:rsid w:val="139D25C7"/>
    <w:rsid w:val="13BF3CE4"/>
    <w:rsid w:val="13C67FEF"/>
    <w:rsid w:val="13CA16CE"/>
    <w:rsid w:val="13D11138"/>
    <w:rsid w:val="141008D8"/>
    <w:rsid w:val="14125FE6"/>
    <w:rsid w:val="142E20E6"/>
    <w:rsid w:val="146D271E"/>
    <w:rsid w:val="147B31CB"/>
    <w:rsid w:val="148F7029"/>
    <w:rsid w:val="14982588"/>
    <w:rsid w:val="149A5AD9"/>
    <w:rsid w:val="14A7619D"/>
    <w:rsid w:val="14ED5D0A"/>
    <w:rsid w:val="150536C3"/>
    <w:rsid w:val="150C1963"/>
    <w:rsid w:val="151447A0"/>
    <w:rsid w:val="152D1B5C"/>
    <w:rsid w:val="1534302D"/>
    <w:rsid w:val="15431BC1"/>
    <w:rsid w:val="154A6454"/>
    <w:rsid w:val="157306F8"/>
    <w:rsid w:val="15762120"/>
    <w:rsid w:val="157E577E"/>
    <w:rsid w:val="15B41321"/>
    <w:rsid w:val="15D157AE"/>
    <w:rsid w:val="15D171CD"/>
    <w:rsid w:val="15F80BFE"/>
    <w:rsid w:val="15FA6AD7"/>
    <w:rsid w:val="16027CCE"/>
    <w:rsid w:val="162163A6"/>
    <w:rsid w:val="16384EDA"/>
    <w:rsid w:val="163D144E"/>
    <w:rsid w:val="168505CD"/>
    <w:rsid w:val="16A8729C"/>
    <w:rsid w:val="16B33777"/>
    <w:rsid w:val="16BC70A7"/>
    <w:rsid w:val="16C6339E"/>
    <w:rsid w:val="16D1518C"/>
    <w:rsid w:val="16E34270"/>
    <w:rsid w:val="17200358"/>
    <w:rsid w:val="172F2D79"/>
    <w:rsid w:val="17305017"/>
    <w:rsid w:val="17557BEF"/>
    <w:rsid w:val="175B488E"/>
    <w:rsid w:val="17606A5A"/>
    <w:rsid w:val="178E7A6B"/>
    <w:rsid w:val="17BB323B"/>
    <w:rsid w:val="17D06173"/>
    <w:rsid w:val="17D349C1"/>
    <w:rsid w:val="17D61933"/>
    <w:rsid w:val="17D66A1B"/>
    <w:rsid w:val="17E25AE9"/>
    <w:rsid w:val="18061224"/>
    <w:rsid w:val="18244F26"/>
    <w:rsid w:val="1830729E"/>
    <w:rsid w:val="18452D21"/>
    <w:rsid w:val="186453D5"/>
    <w:rsid w:val="1870062C"/>
    <w:rsid w:val="18817102"/>
    <w:rsid w:val="18830A15"/>
    <w:rsid w:val="18847BD1"/>
    <w:rsid w:val="18852B28"/>
    <w:rsid w:val="18881D03"/>
    <w:rsid w:val="188B5321"/>
    <w:rsid w:val="189967BF"/>
    <w:rsid w:val="18CD45C3"/>
    <w:rsid w:val="18D36267"/>
    <w:rsid w:val="18E84F59"/>
    <w:rsid w:val="18EA3E18"/>
    <w:rsid w:val="191A0E8B"/>
    <w:rsid w:val="191E3345"/>
    <w:rsid w:val="192F2C4C"/>
    <w:rsid w:val="193C265E"/>
    <w:rsid w:val="193C71C6"/>
    <w:rsid w:val="19892FB3"/>
    <w:rsid w:val="19932372"/>
    <w:rsid w:val="19A20DD5"/>
    <w:rsid w:val="19AE03F1"/>
    <w:rsid w:val="19C6669B"/>
    <w:rsid w:val="19D757EB"/>
    <w:rsid w:val="19E52AA1"/>
    <w:rsid w:val="1A071A03"/>
    <w:rsid w:val="1A0D6A93"/>
    <w:rsid w:val="1A1F16AE"/>
    <w:rsid w:val="1A3B5C77"/>
    <w:rsid w:val="1A6C65A3"/>
    <w:rsid w:val="1A984BAD"/>
    <w:rsid w:val="1A9C249F"/>
    <w:rsid w:val="1AB8220E"/>
    <w:rsid w:val="1ABC5F3F"/>
    <w:rsid w:val="1AD30A5D"/>
    <w:rsid w:val="1AE4166C"/>
    <w:rsid w:val="1AF06CFB"/>
    <w:rsid w:val="1AF11B8D"/>
    <w:rsid w:val="1B102545"/>
    <w:rsid w:val="1B11359C"/>
    <w:rsid w:val="1B2A271F"/>
    <w:rsid w:val="1B530544"/>
    <w:rsid w:val="1B713184"/>
    <w:rsid w:val="1B7C4334"/>
    <w:rsid w:val="1BA209CF"/>
    <w:rsid w:val="1BB4777D"/>
    <w:rsid w:val="1BD75AB8"/>
    <w:rsid w:val="1BE7774A"/>
    <w:rsid w:val="1BF363BA"/>
    <w:rsid w:val="1BFB4A91"/>
    <w:rsid w:val="1BFB4FA4"/>
    <w:rsid w:val="1C0459C2"/>
    <w:rsid w:val="1C1B3B4A"/>
    <w:rsid w:val="1C320762"/>
    <w:rsid w:val="1C88086E"/>
    <w:rsid w:val="1C9A47BD"/>
    <w:rsid w:val="1CC1038E"/>
    <w:rsid w:val="1D012130"/>
    <w:rsid w:val="1D1E62D0"/>
    <w:rsid w:val="1D266CE1"/>
    <w:rsid w:val="1D3963AF"/>
    <w:rsid w:val="1D556162"/>
    <w:rsid w:val="1D6A673C"/>
    <w:rsid w:val="1D9247AE"/>
    <w:rsid w:val="1D9E5197"/>
    <w:rsid w:val="1DAC5E21"/>
    <w:rsid w:val="1DB567EC"/>
    <w:rsid w:val="1DC37D43"/>
    <w:rsid w:val="1DD27F86"/>
    <w:rsid w:val="1DF24184"/>
    <w:rsid w:val="1DF339D8"/>
    <w:rsid w:val="1DF51A98"/>
    <w:rsid w:val="1E051CD9"/>
    <w:rsid w:val="1E3D060F"/>
    <w:rsid w:val="1E3F7D2E"/>
    <w:rsid w:val="1E4134E4"/>
    <w:rsid w:val="1E5062B3"/>
    <w:rsid w:val="1E523514"/>
    <w:rsid w:val="1E714A66"/>
    <w:rsid w:val="1E802593"/>
    <w:rsid w:val="1E8B6156"/>
    <w:rsid w:val="1EA062D6"/>
    <w:rsid w:val="1EA703CC"/>
    <w:rsid w:val="1EB631C5"/>
    <w:rsid w:val="1EB7330C"/>
    <w:rsid w:val="1EE53CE9"/>
    <w:rsid w:val="1F0A0FF3"/>
    <w:rsid w:val="1F3D58D3"/>
    <w:rsid w:val="1F47684D"/>
    <w:rsid w:val="1F5771FF"/>
    <w:rsid w:val="1F7C1719"/>
    <w:rsid w:val="1F8F25D3"/>
    <w:rsid w:val="1FD52574"/>
    <w:rsid w:val="1FE1689C"/>
    <w:rsid w:val="1FE868A9"/>
    <w:rsid w:val="20034907"/>
    <w:rsid w:val="2011428E"/>
    <w:rsid w:val="20173E4B"/>
    <w:rsid w:val="204213F3"/>
    <w:rsid w:val="204E48BC"/>
    <w:rsid w:val="208921B3"/>
    <w:rsid w:val="20973DEB"/>
    <w:rsid w:val="20B26522"/>
    <w:rsid w:val="20B44310"/>
    <w:rsid w:val="21035A46"/>
    <w:rsid w:val="211116EB"/>
    <w:rsid w:val="21354AB4"/>
    <w:rsid w:val="21416006"/>
    <w:rsid w:val="2142500E"/>
    <w:rsid w:val="216133FC"/>
    <w:rsid w:val="21786F46"/>
    <w:rsid w:val="218F107C"/>
    <w:rsid w:val="219D6918"/>
    <w:rsid w:val="21A165ED"/>
    <w:rsid w:val="21C8463F"/>
    <w:rsid w:val="21D56769"/>
    <w:rsid w:val="21E52EF3"/>
    <w:rsid w:val="21EB241E"/>
    <w:rsid w:val="21F42677"/>
    <w:rsid w:val="21F628AD"/>
    <w:rsid w:val="21FB5D7B"/>
    <w:rsid w:val="22015E94"/>
    <w:rsid w:val="220B1C3D"/>
    <w:rsid w:val="221D1D20"/>
    <w:rsid w:val="222D7E81"/>
    <w:rsid w:val="22334A87"/>
    <w:rsid w:val="223F4A8D"/>
    <w:rsid w:val="226042AB"/>
    <w:rsid w:val="22963C78"/>
    <w:rsid w:val="22B365D8"/>
    <w:rsid w:val="22BE6801"/>
    <w:rsid w:val="22DB78DD"/>
    <w:rsid w:val="233500BF"/>
    <w:rsid w:val="23377FF7"/>
    <w:rsid w:val="235002CB"/>
    <w:rsid w:val="235145E2"/>
    <w:rsid w:val="236B425F"/>
    <w:rsid w:val="236E69A3"/>
    <w:rsid w:val="23836192"/>
    <w:rsid w:val="23901F29"/>
    <w:rsid w:val="239C0061"/>
    <w:rsid w:val="23B819CC"/>
    <w:rsid w:val="23B908A4"/>
    <w:rsid w:val="23BD5235"/>
    <w:rsid w:val="23E95BEF"/>
    <w:rsid w:val="23F16139"/>
    <w:rsid w:val="23FD0064"/>
    <w:rsid w:val="24116C1B"/>
    <w:rsid w:val="24165275"/>
    <w:rsid w:val="244514B2"/>
    <w:rsid w:val="245375B0"/>
    <w:rsid w:val="245B6DB7"/>
    <w:rsid w:val="24642C0A"/>
    <w:rsid w:val="2466767A"/>
    <w:rsid w:val="246E4CC0"/>
    <w:rsid w:val="249259A1"/>
    <w:rsid w:val="24B22173"/>
    <w:rsid w:val="24B95AD9"/>
    <w:rsid w:val="24BE24DA"/>
    <w:rsid w:val="24CF5825"/>
    <w:rsid w:val="24D171E9"/>
    <w:rsid w:val="24D663E6"/>
    <w:rsid w:val="24D757B6"/>
    <w:rsid w:val="24D77F2B"/>
    <w:rsid w:val="24DA6E2F"/>
    <w:rsid w:val="24E54A43"/>
    <w:rsid w:val="24EC4023"/>
    <w:rsid w:val="251D2E07"/>
    <w:rsid w:val="25383810"/>
    <w:rsid w:val="258B00E2"/>
    <w:rsid w:val="25A4045A"/>
    <w:rsid w:val="25A917A6"/>
    <w:rsid w:val="25BE27CC"/>
    <w:rsid w:val="25CD79B1"/>
    <w:rsid w:val="25F72C80"/>
    <w:rsid w:val="25F74A5C"/>
    <w:rsid w:val="25F80363"/>
    <w:rsid w:val="2600779A"/>
    <w:rsid w:val="26233510"/>
    <w:rsid w:val="2628662C"/>
    <w:rsid w:val="262D45DE"/>
    <w:rsid w:val="264A4031"/>
    <w:rsid w:val="266100F9"/>
    <w:rsid w:val="267D594A"/>
    <w:rsid w:val="26871DC8"/>
    <w:rsid w:val="26A53EF9"/>
    <w:rsid w:val="26A94201"/>
    <w:rsid w:val="26AC274F"/>
    <w:rsid w:val="26B80C9A"/>
    <w:rsid w:val="26D22DA5"/>
    <w:rsid w:val="26DB434F"/>
    <w:rsid w:val="26FB0042"/>
    <w:rsid w:val="27044A29"/>
    <w:rsid w:val="271B299E"/>
    <w:rsid w:val="271B34F6"/>
    <w:rsid w:val="271D34C8"/>
    <w:rsid w:val="27411741"/>
    <w:rsid w:val="276142BF"/>
    <w:rsid w:val="27783712"/>
    <w:rsid w:val="278E13C2"/>
    <w:rsid w:val="27907362"/>
    <w:rsid w:val="279F537D"/>
    <w:rsid w:val="27B0758A"/>
    <w:rsid w:val="27C04AC9"/>
    <w:rsid w:val="28333E1D"/>
    <w:rsid w:val="283B3793"/>
    <w:rsid w:val="28454BD6"/>
    <w:rsid w:val="28455253"/>
    <w:rsid w:val="28551971"/>
    <w:rsid w:val="285955EA"/>
    <w:rsid w:val="285B1C53"/>
    <w:rsid w:val="28956DDB"/>
    <w:rsid w:val="289F7086"/>
    <w:rsid w:val="28C32028"/>
    <w:rsid w:val="28C55834"/>
    <w:rsid w:val="28C820C0"/>
    <w:rsid w:val="28CC490F"/>
    <w:rsid w:val="28CD7509"/>
    <w:rsid w:val="28DE40AA"/>
    <w:rsid w:val="29046872"/>
    <w:rsid w:val="29057462"/>
    <w:rsid w:val="29345E77"/>
    <w:rsid w:val="294C65AD"/>
    <w:rsid w:val="295B52D4"/>
    <w:rsid w:val="2965010A"/>
    <w:rsid w:val="29713AED"/>
    <w:rsid w:val="29806583"/>
    <w:rsid w:val="298B3C4C"/>
    <w:rsid w:val="298F27C5"/>
    <w:rsid w:val="29930F11"/>
    <w:rsid w:val="299A1A87"/>
    <w:rsid w:val="29AC483C"/>
    <w:rsid w:val="29E452C9"/>
    <w:rsid w:val="29F26D24"/>
    <w:rsid w:val="29F924A3"/>
    <w:rsid w:val="2A15033F"/>
    <w:rsid w:val="2A1662C1"/>
    <w:rsid w:val="2A1C7367"/>
    <w:rsid w:val="2A2815FA"/>
    <w:rsid w:val="2A383867"/>
    <w:rsid w:val="2A6D6092"/>
    <w:rsid w:val="2A7D76B4"/>
    <w:rsid w:val="2AA04141"/>
    <w:rsid w:val="2AA1765E"/>
    <w:rsid w:val="2ABA44AC"/>
    <w:rsid w:val="2B07396C"/>
    <w:rsid w:val="2B09293F"/>
    <w:rsid w:val="2B326787"/>
    <w:rsid w:val="2B437463"/>
    <w:rsid w:val="2B7807EE"/>
    <w:rsid w:val="2B7B1C0B"/>
    <w:rsid w:val="2BA50BF7"/>
    <w:rsid w:val="2BAB6961"/>
    <w:rsid w:val="2BBF00EC"/>
    <w:rsid w:val="2BC37CFD"/>
    <w:rsid w:val="2BD5237F"/>
    <w:rsid w:val="2BD70597"/>
    <w:rsid w:val="2BDC5E30"/>
    <w:rsid w:val="2BE536CE"/>
    <w:rsid w:val="2BE758D9"/>
    <w:rsid w:val="2BE90CC2"/>
    <w:rsid w:val="2BF346BB"/>
    <w:rsid w:val="2BFA11C0"/>
    <w:rsid w:val="2C043A01"/>
    <w:rsid w:val="2C09049E"/>
    <w:rsid w:val="2C0A653C"/>
    <w:rsid w:val="2C191F85"/>
    <w:rsid w:val="2C2C6020"/>
    <w:rsid w:val="2C751549"/>
    <w:rsid w:val="2C92725E"/>
    <w:rsid w:val="2CBE4367"/>
    <w:rsid w:val="2CE35D0C"/>
    <w:rsid w:val="2CE53BB7"/>
    <w:rsid w:val="2CE82D6F"/>
    <w:rsid w:val="2D0B5263"/>
    <w:rsid w:val="2D137721"/>
    <w:rsid w:val="2D164240"/>
    <w:rsid w:val="2D18662B"/>
    <w:rsid w:val="2D244788"/>
    <w:rsid w:val="2D343236"/>
    <w:rsid w:val="2D575011"/>
    <w:rsid w:val="2D584B09"/>
    <w:rsid w:val="2D657E96"/>
    <w:rsid w:val="2D872B3B"/>
    <w:rsid w:val="2D8A43D9"/>
    <w:rsid w:val="2DAC5EA2"/>
    <w:rsid w:val="2DB9395B"/>
    <w:rsid w:val="2DCC49F2"/>
    <w:rsid w:val="2DD15014"/>
    <w:rsid w:val="2DDD45F4"/>
    <w:rsid w:val="2DEC04BA"/>
    <w:rsid w:val="2DF72DE4"/>
    <w:rsid w:val="2E0220AF"/>
    <w:rsid w:val="2E262354"/>
    <w:rsid w:val="2E32483A"/>
    <w:rsid w:val="2E3C2CF9"/>
    <w:rsid w:val="2E4B082A"/>
    <w:rsid w:val="2E5D4E86"/>
    <w:rsid w:val="2E5D790B"/>
    <w:rsid w:val="2E9A3C18"/>
    <w:rsid w:val="2EBB0FEE"/>
    <w:rsid w:val="2EC63002"/>
    <w:rsid w:val="2EE55AE5"/>
    <w:rsid w:val="2F051E27"/>
    <w:rsid w:val="2F0A6B38"/>
    <w:rsid w:val="2F594063"/>
    <w:rsid w:val="2F6D5310"/>
    <w:rsid w:val="2F7760A6"/>
    <w:rsid w:val="2F827A5E"/>
    <w:rsid w:val="2F946CCB"/>
    <w:rsid w:val="2F9C2DF8"/>
    <w:rsid w:val="2FC63E6A"/>
    <w:rsid w:val="2FD25781"/>
    <w:rsid w:val="2FDC745C"/>
    <w:rsid w:val="2FF92F20"/>
    <w:rsid w:val="2FFD7934"/>
    <w:rsid w:val="300E5035"/>
    <w:rsid w:val="303E4D2C"/>
    <w:rsid w:val="30611777"/>
    <w:rsid w:val="3062163D"/>
    <w:rsid w:val="30733ACD"/>
    <w:rsid w:val="3080081B"/>
    <w:rsid w:val="308C3862"/>
    <w:rsid w:val="309379D8"/>
    <w:rsid w:val="30A270F7"/>
    <w:rsid w:val="30B654E5"/>
    <w:rsid w:val="30DF1478"/>
    <w:rsid w:val="30E86E71"/>
    <w:rsid w:val="30EC586F"/>
    <w:rsid w:val="312672A5"/>
    <w:rsid w:val="31586144"/>
    <w:rsid w:val="31600A42"/>
    <w:rsid w:val="319C6071"/>
    <w:rsid w:val="31A92384"/>
    <w:rsid w:val="31AC537E"/>
    <w:rsid w:val="31AE2A82"/>
    <w:rsid w:val="31C17314"/>
    <w:rsid w:val="31C2059E"/>
    <w:rsid w:val="31CA749A"/>
    <w:rsid w:val="31E3679B"/>
    <w:rsid w:val="31E732FD"/>
    <w:rsid w:val="32517576"/>
    <w:rsid w:val="32BE5C2C"/>
    <w:rsid w:val="32D03654"/>
    <w:rsid w:val="32E71A40"/>
    <w:rsid w:val="32FB6478"/>
    <w:rsid w:val="33263B3F"/>
    <w:rsid w:val="336963EB"/>
    <w:rsid w:val="33727D69"/>
    <w:rsid w:val="337C3B78"/>
    <w:rsid w:val="33816EEB"/>
    <w:rsid w:val="3390606B"/>
    <w:rsid w:val="33A930DF"/>
    <w:rsid w:val="33CD627B"/>
    <w:rsid w:val="33EB55CD"/>
    <w:rsid w:val="33EC4C02"/>
    <w:rsid w:val="33FE6BEC"/>
    <w:rsid w:val="33FE78CF"/>
    <w:rsid w:val="340D2360"/>
    <w:rsid w:val="3410665D"/>
    <w:rsid w:val="34211214"/>
    <w:rsid w:val="34297BBD"/>
    <w:rsid w:val="342E63AB"/>
    <w:rsid w:val="34321327"/>
    <w:rsid w:val="34480B4A"/>
    <w:rsid w:val="346046F4"/>
    <w:rsid w:val="34945B3E"/>
    <w:rsid w:val="34950E68"/>
    <w:rsid w:val="34986E94"/>
    <w:rsid w:val="34A86B43"/>
    <w:rsid w:val="34AB5BA9"/>
    <w:rsid w:val="34AF62C9"/>
    <w:rsid w:val="34C71A6F"/>
    <w:rsid w:val="34CB4388"/>
    <w:rsid w:val="34CE72A2"/>
    <w:rsid w:val="34DE7D94"/>
    <w:rsid w:val="34F67558"/>
    <w:rsid w:val="34FA6E12"/>
    <w:rsid w:val="35045912"/>
    <w:rsid w:val="35410E04"/>
    <w:rsid w:val="35466E38"/>
    <w:rsid w:val="354D7158"/>
    <w:rsid w:val="356C3379"/>
    <w:rsid w:val="357B2720"/>
    <w:rsid w:val="35803E13"/>
    <w:rsid w:val="358D5588"/>
    <w:rsid w:val="359009FB"/>
    <w:rsid w:val="35B450D6"/>
    <w:rsid w:val="363A3B40"/>
    <w:rsid w:val="363B0967"/>
    <w:rsid w:val="36413AA3"/>
    <w:rsid w:val="3643455C"/>
    <w:rsid w:val="365302AE"/>
    <w:rsid w:val="36607A0A"/>
    <w:rsid w:val="366E227C"/>
    <w:rsid w:val="366F2E0D"/>
    <w:rsid w:val="367B6A5C"/>
    <w:rsid w:val="368F0CB2"/>
    <w:rsid w:val="36A74ADA"/>
    <w:rsid w:val="36AD60D5"/>
    <w:rsid w:val="36B224F9"/>
    <w:rsid w:val="36EC0CC9"/>
    <w:rsid w:val="36FB5E78"/>
    <w:rsid w:val="373F410B"/>
    <w:rsid w:val="37781747"/>
    <w:rsid w:val="378665E9"/>
    <w:rsid w:val="37AD7642"/>
    <w:rsid w:val="37D20E57"/>
    <w:rsid w:val="37EE7094"/>
    <w:rsid w:val="38296C89"/>
    <w:rsid w:val="382F62A9"/>
    <w:rsid w:val="383002EB"/>
    <w:rsid w:val="384855BD"/>
    <w:rsid w:val="38561EC6"/>
    <w:rsid w:val="38586797"/>
    <w:rsid w:val="385D15DF"/>
    <w:rsid w:val="386D241A"/>
    <w:rsid w:val="388303A3"/>
    <w:rsid w:val="38A04AB1"/>
    <w:rsid w:val="38BC0149"/>
    <w:rsid w:val="38D87D1C"/>
    <w:rsid w:val="390914E4"/>
    <w:rsid w:val="391F27BE"/>
    <w:rsid w:val="394713D0"/>
    <w:rsid w:val="394A3E0E"/>
    <w:rsid w:val="39636459"/>
    <w:rsid w:val="396B7F6C"/>
    <w:rsid w:val="39AB7BB1"/>
    <w:rsid w:val="39AD58C4"/>
    <w:rsid w:val="39B137C2"/>
    <w:rsid w:val="39B34CB8"/>
    <w:rsid w:val="39B417A9"/>
    <w:rsid w:val="39C600D4"/>
    <w:rsid w:val="39FC5695"/>
    <w:rsid w:val="3A006D8E"/>
    <w:rsid w:val="3A254103"/>
    <w:rsid w:val="3A3651E5"/>
    <w:rsid w:val="3A477803"/>
    <w:rsid w:val="3A5C70FE"/>
    <w:rsid w:val="3A744481"/>
    <w:rsid w:val="3A854C95"/>
    <w:rsid w:val="3A86417A"/>
    <w:rsid w:val="3A8C7BEF"/>
    <w:rsid w:val="3A906246"/>
    <w:rsid w:val="3ACA3309"/>
    <w:rsid w:val="3B131EB2"/>
    <w:rsid w:val="3B1D4650"/>
    <w:rsid w:val="3B2349B7"/>
    <w:rsid w:val="3B567FF1"/>
    <w:rsid w:val="3B616CFF"/>
    <w:rsid w:val="3B6259F6"/>
    <w:rsid w:val="3B81506E"/>
    <w:rsid w:val="3B86046E"/>
    <w:rsid w:val="3B921BEE"/>
    <w:rsid w:val="3B976654"/>
    <w:rsid w:val="3BAC19BF"/>
    <w:rsid w:val="3BAC751F"/>
    <w:rsid w:val="3BC01EFC"/>
    <w:rsid w:val="3BC84AB3"/>
    <w:rsid w:val="3BCA786A"/>
    <w:rsid w:val="3BD31E2F"/>
    <w:rsid w:val="3BE856FC"/>
    <w:rsid w:val="3BF15831"/>
    <w:rsid w:val="3C105946"/>
    <w:rsid w:val="3C462D61"/>
    <w:rsid w:val="3C471448"/>
    <w:rsid w:val="3C536A3E"/>
    <w:rsid w:val="3C5F759A"/>
    <w:rsid w:val="3C6C525A"/>
    <w:rsid w:val="3C762E6D"/>
    <w:rsid w:val="3C7E313B"/>
    <w:rsid w:val="3C881F8E"/>
    <w:rsid w:val="3C8A1D00"/>
    <w:rsid w:val="3CA90E13"/>
    <w:rsid w:val="3CCE23CB"/>
    <w:rsid w:val="3CD17D17"/>
    <w:rsid w:val="3CE6175C"/>
    <w:rsid w:val="3CF17FD1"/>
    <w:rsid w:val="3D2D6B2F"/>
    <w:rsid w:val="3D3C7F39"/>
    <w:rsid w:val="3D440F09"/>
    <w:rsid w:val="3D4504A0"/>
    <w:rsid w:val="3D600CB3"/>
    <w:rsid w:val="3D6066C5"/>
    <w:rsid w:val="3D751FBE"/>
    <w:rsid w:val="3D8734BB"/>
    <w:rsid w:val="3D977A9D"/>
    <w:rsid w:val="3D9A11D4"/>
    <w:rsid w:val="3D9C3AD8"/>
    <w:rsid w:val="3D9F37FE"/>
    <w:rsid w:val="3DA16D89"/>
    <w:rsid w:val="3DA364BE"/>
    <w:rsid w:val="3DE041CB"/>
    <w:rsid w:val="3E0D48F6"/>
    <w:rsid w:val="3E1868B4"/>
    <w:rsid w:val="3E21409C"/>
    <w:rsid w:val="3E2C77F8"/>
    <w:rsid w:val="3E2F6B34"/>
    <w:rsid w:val="3E377251"/>
    <w:rsid w:val="3E3A7A57"/>
    <w:rsid w:val="3E3F72C8"/>
    <w:rsid w:val="3E42664B"/>
    <w:rsid w:val="3E5A7334"/>
    <w:rsid w:val="3E7B5D6B"/>
    <w:rsid w:val="3E8061B8"/>
    <w:rsid w:val="3E817133"/>
    <w:rsid w:val="3E843E66"/>
    <w:rsid w:val="3E8912B2"/>
    <w:rsid w:val="3E8F51FE"/>
    <w:rsid w:val="3E926F87"/>
    <w:rsid w:val="3E9A59DE"/>
    <w:rsid w:val="3EAF4836"/>
    <w:rsid w:val="3EC33DFA"/>
    <w:rsid w:val="3EF26282"/>
    <w:rsid w:val="3EF9316D"/>
    <w:rsid w:val="3EFB0D9E"/>
    <w:rsid w:val="3F060E16"/>
    <w:rsid w:val="3F067638"/>
    <w:rsid w:val="3F087854"/>
    <w:rsid w:val="3F154A68"/>
    <w:rsid w:val="3F1D1096"/>
    <w:rsid w:val="3F203316"/>
    <w:rsid w:val="3F2F0234"/>
    <w:rsid w:val="3F6363FE"/>
    <w:rsid w:val="3F650802"/>
    <w:rsid w:val="3F756B8F"/>
    <w:rsid w:val="3F7A7EE0"/>
    <w:rsid w:val="3F850EA5"/>
    <w:rsid w:val="3F95482B"/>
    <w:rsid w:val="3F9D1D4A"/>
    <w:rsid w:val="3FB86B84"/>
    <w:rsid w:val="3FC71FC7"/>
    <w:rsid w:val="3FFF45F6"/>
    <w:rsid w:val="40183027"/>
    <w:rsid w:val="4019356B"/>
    <w:rsid w:val="40313427"/>
    <w:rsid w:val="40526FD9"/>
    <w:rsid w:val="40592157"/>
    <w:rsid w:val="406A3DA1"/>
    <w:rsid w:val="406E1CAE"/>
    <w:rsid w:val="407F3FF1"/>
    <w:rsid w:val="4084621D"/>
    <w:rsid w:val="40A0133A"/>
    <w:rsid w:val="40C31A53"/>
    <w:rsid w:val="40FF545D"/>
    <w:rsid w:val="410067C8"/>
    <w:rsid w:val="410323DD"/>
    <w:rsid w:val="41285739"/>
    <w:rsid w:val="41863C89"/>
    <w:rsid w:val="418F0D2A"/>
    <w:rsid w:val="41D01505"/>
    <w:rsid w:val="41DA7286"/>
    <w:rsid w:val="41FF75F5"/>
    <w:rsid w:val="422C1AAB"/>
    <w:rsid w:val="424505BE"/>
    <w:rsid w:val="42474939"/>
    <w:rsid w:val="424C3C57"/>
    <w:rsid w:val="42613FF3"/>
    <w:rsid w:val="42660D96"/>
    <w:rsid w:val="428667D2"/>
    <w:rsid w:val="42CD1CE0"/>
    <w:rsid w:val="42D208FA"/>
    <w:rsid w:val="42E1381E"/>
    <w:rsid w:val="42E40F93"/>
    <w:rsid w:val="42ED6459"/>
    <w:rsid w:val="42FE58DD"/>
    <w:rsid w:val="42FE6B8B"/>
    <w:rsid w:val="43065568"/>
    <w:rsid w:val="43174B3D"/>
    <w:rsid w:val="433F0CA0"/>
    <w:rsid w:val="434B790E"/>
    <w:rsid w:val="43601A0D"/>
    <w:rsid w:val="4360274F"/>
    <w:rsid w:val="43977AB6"/>
    <w:rsid w:val="43994596"/>
    <w:rsid w:val="439D4A0F"/>
    <w:rsid w:val="43A3342B"/>
    <w:rsid w:val="43C77C27"/>
    <w:rsid w:val="43DE09EE"/>
    <w:rsid w:val="44002FAD"/>
    <w:rsid w:val="444123A0"/>
    <w:rsid w:val="449007B6"/>
    <w:rsid w:val="449101DD"/>
    <w:rsid w:val="4497145E"/>
    <w:rsid w:val="44C95366"/>
    <w:rsid w:val="44DE1391"/>
    <w:rsid w:val="44E548AE"/>
    <w:rsid w:val="451B225C"/>
    <w:rsid w:val="452151CC"/>
    <w:rsid w:val="452410C9"/>
    <w:rsid w:val="45317DFB"/>
    <w:rsid w:val="456D3CE4"/>
    <w:rsid w:val="4579042C"/>
    <w:rsid w:val="457F0571"/>
    <w:rsid w:val="45851176"/>
    <w:rsid w:val="45A42B29"/>
    <w:rsid w:val="45A86918"/>
    <w:rsid w:val="45C63B94"/>
    <w:rsid w:val="45E858D0"/>
    <w:rsid w:val="4609638B"/>
    <w:rsid w:val="460E7DA5"/>
    <w:rsid w:val="461A28EF"/>
    <w:rsid w:val="46422483"/>
    <w:rsid w:val="4647199E"/>
    <w:rsid w:val="4659254A"/>
    <w:rsid w:val="465B0637"/>
    <w:rsid w:val="465E3F0D"/>
    <w:rsid w:val="466A16E6"/>
    <w:rsid w:val="46893F2B"/>
    <w:rsid w:val="469D0882"/>
    <w:rsid w:val="46AC49F7"/>
    <w:rsid w:val="46C4686E"/>
    <w:rsid w:val="46E2098A"/>
    <w:rsid w:val="46E6681C"/>
    <w:rsid w:val="46EE10DD"/>
    <w:rsid w:val="46F24DE9"/>
    <w:rsid w:val="471A6376"/>
    <w:rsid w:val="473514CC"/>
    <w:rsid w:val="47397975"/>
    <w:rsid w:val="474433F3"/>
    <w:rsid w:val="475F71FF"/>
    <w:rsid w:val="477B778F"/>
    <w:rsid w:val="478203EC"/>
    <w:rsid w:val="478A1A03"/>
    <w:rsid w:val="47B025FA"/>
    <w:rsid w:val="47DB5B06"/>
    <w:rsid w:val="47E12EA8"/>
    <w:rsid w:val="480159E9"/>
    <w:rsid w:val="4809698F"/>
    <w:rsid w:val="480C3F11"/>
    <w:rsid w:val="4811697D"/>
    <w:rsid w:val="4812283E"/>
    <w:rsid w:val="481D0808"/>
    <w:rsid w:val="48442155"/>
    <w:rsid w:val="48535EE5"/>
    <w:rsid w:val="486677BF"/>
    <w:rsid w:val="487A3E25"/>
    <w:rsid w:val="488427FF"/>
    <w:rsid w:val="488B5503"/>
    <w:rsid w:val="48937E21"/>
    <w:rsid w:val="489A0361"/>
    <w:rsid w:val="48B94FF3"/>
    <w:rsid w:val="48E37AAB"/>
    <w:rsid w:val="48FD4B4C"/>
    <w:rsid w:val="490613E3"/>
    <w:rsid w:val="490A68E0"/>
    <w:rsid w:val="490F6DB0"/>
    <w:rsid w:val="491055FE"/>
    <w:rsid w:val="49267254"/>
    <w:rsid w:val="492B486B"/>
    <w:rsid w:val="495F5B3E"/>
    <w:rsid w:val="496F77D7"/>
    <w:rsid w:val="497654FD"/>
    <w:rsid w:val="49B64211"/>
    <w:rsid w:val="49E009B1"/>
    <w:rsid w:val="49F6167F"/>
    <w:rsid w:val="4A064FA0"/>
    <w:rsid w:val="4A16615C"/>
    <w:rsid w:val="4A2E6E55"/>
    <w:rsid w:val="4A4200BE"/>
    <w:rsid w:val="4A4424D7"/>
    <w:rsid w:val="4A5B5E8E"/>
    <w:rsid w:val="4A63691E"/>
    <w:rsid w:val="4AB82D0F"/>
    <w:rsid w:val="4AEB7664"/>
    <w:rsid w:val="4AFD7C19"/>
    <w:rsid w:val="4B0567D1"/>
    <w:rsid w:val="4B236AAE"/>
    <w:rsid w:val="4B2615D5"/>
    <w:rsid w:val="4B412124"/>
    <w:rsid w:val="4B624D3B"/>
    <w:rsid w:val="4B707271"/>
    <w:rsid w:val="4B9739F7"/>
    <w:rsid w:val="4BAD1567"/>
    <w:rsid w:val="4BBF5506"/>
    <w:rsid w:val="4BC31A99"/>
    <w:rsid w:val="4BC44A01"/>
    <w:rsid w:val="4BE86A43"/>
    <w:rsid w:val="4BEE2503"/>
    <w:rsid w:val="4BF06BB2"/>
    <w:rsid w:val="4BF90C50"/>
    <w:rsid w:val="4C19436A"/>
    <w:rsid w:val="4C245A30"/>
    <w:rsid w:val="4C352698"/>
    <w:rsid w:val="4C847C9F"/>
    <w:rsid w:val="4C967962"/>
    <w:rsid w:val="4C974B11"/>
    <w:rsid w:val="4C983FC5"/>
    <w:rsid w:val="4C9E4FA9"/>
    <w:rsid w:val="4CB6685F"/>
    <w:rsid w:val="4CC04EA3"/>
    <w:rsid w:val="4CC367FE"/>
    <w:rsid w:val="4CC76658"/>
    <w:rsid w:val="4CDF41F0"/>
    <w:rsid w:val="4D077F3C"/>
    <w:rsid w:val="4D0C4366"/>
    <w:rsid w:val="4D123355"/>
    <w:rsid w:val="4D183BE0"/>
    <w:rsid w:val="4D203FBB"/>
    <w:rsid w:val="4D21213D"/>
    <w:rsid w:val="4D215B05"/>
    <w:rsid w:val="4D2A3B31"/>
    <w:rsid w:val="4D312C52"/>
    <w:rsid w:val="4D3161C8"/>
    <w:rsid w:val="4D510618"/>
    <w:rsid w:val="4D7C3C4A"/>
    <w:rsid w:val="4D822DD2"/>
    <w:rsid w:val="4D8F0914"/>
    <w:rsid w:val="4D905305"/>
    <w:rsid w:val="4D964A72"/>
    <w:rsid w:val="4D9C1254"/>
    <w:rsid w:val="4DC46E97"/>
    <w:rsid w:val="4DC80709"/>
    <w:rsid w:val="4DCB4CA4"/>
    <w:rsid w:val="4DD21759"/>
    <w:rsid w:val="4E121FED"/>
    <w:rsid w:val="4E21448E"/>
    <w:rsid w:val="4E5926A7"/>
    <w:rsid w:val="4E604FB7"/>
    <w:rsid w:val="4E793892"/>
    <w:rsid w:val="4E800872"/>
    <w:rsid w:val="4E930FA3"/>
    <w:rsid w:val="4E936C9C"/>
    <w:rsid w:val="4EBC1E7C"/>
    <w:rsid w:val="4EC569ED"/>
    <w:rsid w:val="4ED50EA1"/>
    <w:rsid w:val="4EEC050C"/>
    <w:rsid w:val="4F104EC3"/>
    <w:rsid w:val="4F22401A"/>
    <w:rsid w:val="4F47354A"/>
    <w:rsid w:val="4F7B12F7"/>
    <w:rsid w:val="4F911C54"/>
    <w:rsid w:val="4FC5018F"/>
    <w:rsid w:val="4FD317B8"/>
    <w:rsid w:val="4FE625E0"/>
    <w:rsid w:val="4FEC63D6"/>
    <w:rsid w:val="5021480F"/>
    <w:rsid w:val="50253C24"/>
    <w:rsid w:val="504F6F6A"/>
    <w:rsid w:val="505446A7"/>
    <w:rsid w:val="508D42C9"/>
    <w:rsid w:val="50962ECB"/>
    <w:rsid w:val="50A42E38"/>
    <w:rsid w:val="50A4577F"/>
    <w:rsid w:val="50B73D1F"/>
    <w:rsid w:val="50BD5BC9"/>
    <w:rsid w:val="50C11EEE"/>
    <w:rsid w:val="50E97CFC"/>
    <w:rsid w:val="50EE68AA"/>
    <w:rsid w:val="50FA4028"/>
    <w:rsid w:val="510D65B7"/>
    <w:rsid w:val="511157AB"/>
    <w:rsid w:val="511B6F73"/>
    <w:rsid w:val="5142540C"/>
    <w:rsid w:val="51510BE7"/>
    <w:rsid w:val="516B1D36"/>
    <w:rsid w:val="516B614C"/>
    <w:rsid w:val="518832C8"/>
    <w:rsid w:val="519D3C50"/>
    <w:rsid w:val="51A0432A"/>
    <w:rsid w:val="51A86090"/>
    <w:rsid w:val="51B568D7"/>
    <w:rsid w:val="51B7396D"/>
    <w:rsid w:val="51BB20EF"/>
    <w:rsid w:val="51C045ED"/>
    <w:rsid w:val="51E32D2F"/>
    <w:rsid w:val="51FA6B6B"/>
    <w:rsid w:val="52263AC6"/>
    <w:rsid w:val="52295D9F"/>
    <w:rsid w:val="522E4CC3"/>
    <w:rsid w:val="5244713B"/>
    <w:rsid w:val="52615633"/>
    <w:rsid w:val="526C3372"/>
    <w:rsid w:val="526E5242"/>
    <w:rsid w:val="526F4DE4"/>
    <w:rsid w:val="52721B97"/>
    <w:rsid w:val="52977FD4"/>
    <w:rsid w:val="52A25790"/>
    <w:rsid w:val="52A96B6F"/>
    <w:rsid w:val="52B45975"/>
    <w:rsid w:val="52D94AA4"/>
    <w:rsid w:val="52E023E7"/>
    <w:rsid w:val="52EA3A62"/>
    <w:rsid w:val="52ED34E5"/>
    <w:rsid w:val="52F50BB8"/>
    <w:rsid w:val="5305542D"/>
    <w:rsid w:val="53097272"/>
    <w:rsid w:val="53177C0E"/>
    <w:rsid w:val="532D11DF"/>
    <w:rsid w:val="5349657F"/>
    <w:rsid w:val="53544462"/>
    <w:rsid w:val="538C23AA"/>
    <w:rsid w:val="5397158E"/>
    <w:rsid w:val="539F3495"/>
    <w:rsid w:val="53AA0A2F"/>
    <w:rsid w:val="53EA44B8"/>
    <w:rsid w:val="53F50F2E"/>
    <w:rsid w:val="54013861"/>
    <w:rsid w:val="54487265"/>
    <w:rsid w:val="544D6070"/>
    <w:rsid w:val="54605E1E"/>
    <w:rsid w:val="549A4A45"/>
    <w:rsid w:val="54B3506A"/>
    <w:rsid w:val="54C579E8"/>
    <w:rsid w:val="54C97AC2"/>
    <w:rsid w:val="54CA0D16"/>
    <w:rsid w:val="54CA641E"/>
    <w:rsid w:val="54DD4057"/>
    <w:rsid w:val="54E7490F"/>
    <w:rsid w:val="550764A4"/>
    <w:rsid w:val="550B2BF6"/>
    <w:rsid w:val="551B39E5"/>
    <w:rsid w:val="55214EB5"/>
    <w:rsid w:val="55364EFD"/>
    <w:rsid w:val="555D4828"/>
    <w:rsid w:val="556C45C4"/>
    <w:rsid w:val="557A4C8B"/>
    <w:rsid w:val="558931E1"/>
    <w:rsid w:val="55923347"/>
    <w:rsid w:val="55925180"/>
    <w:rsid w:val="55983B1B"/>
    <w:rsid w:val="559E053D"/>
    <w:rsid w:val="55A8376B"/>
    <w:rsid w:val="55B611EB"/>
    <w:rsid w:val="55DC290C"/>
    <w:rsid w:val="55DC29B6"/>
    <w:rsid w:val="55DD4241"/>
    <w:rsid w:val="55F169BF"/>
    <w:rsid w:val="561623FF"/>
    <w:rsid w:val="562C4789"/>
    <w:rsid w:val="56463C3F"/>
    <w:rsid w:val="565D1DDC"/>
    <w:rsid w:val="566B6D1E"/>
    <w:rsid w:val="568D1D06"/>
    <w:rsid w:val="57032A2C"/>
    <w:rsid w:val="570D434B"/>
    <w:rsid w:val="570F5219"/>
    <w:rsid w:val="572C4C11"/>
    <w:rsid w:val="57574A7D"/>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0A4DD2"/>
    <w:rsid w:val="580E7831"/>
    <w:rsid w:val="58490869"/>
    <w:rsid w:val="585A65D3"/>
    <w:rsid w:val="585E4F1E"/>
    <w:rsid w:val="586456A3"/>
    <w:rsid w:val="58917D2F"/>
    <w:rsid w:val="5894085C"/>
    <w:rsid w:val="58AE4F0C"/>
    <w:rsid w:val="58B85899"/>
    <w:rsid w:val="58CC55CF"/>
    <w:rsid w:val="58E363A9"/>
    <w:rsid w:val="590B1FC3"/>
    <w:rsid w:val="59166304"/>
    <w:rsid w:val="5926603E"/>
    <w:rsid w:val="595E1678"/>
    <w:rsid w:val="596A1D3C"/>
    <w:rsid w:val="596D5BD4"/>
    <w:rsid w:val="597E3DD8"/>
    <w:rsid w:val="59A87812"/>
    <w:rsid w:val="59AC5554"/>
    <w:rsid w:val="59B352CD"/>
    <w:rsid w:val="59D6612D"/>
    <w:rsid w:val="59EF245F"/>
    <w:rsid w:val="59F80043"/>
    <w:rsid w:val="5A09252F"/>
    <w:rsid w:val="5A0B2778"/>
    <w:rsid w:val="5A1107A1"/>
    <w:rsid w:val="5A2A7C7B"/>
    <w:rsid w:val="5A3E2560"/>
    <w:rsid w:val="5A5D3B6E"/>
    <w:rsid w:val="5A637A76"/>
    <w:rsid w:val="5A6D33BA"/>
    <w:rsid w:val="5A751DEA"/>
    <w:rsid w:val="5A792B1F"/>
    <w:rsid w:val="5A874767"/>
    <w:rsid w:val="5AA85BE2"/>
    <w:rsid w:val="5AAD6F28"/>
    <w:rsid w:val="5AD63A24"/>
    <w:rsid w:val="5AE8436A"/>
    <w:rsid w:val="5B2B24A8"/>
    <w:rsid w:val="5B2E1A1D"/>
    <w:rsid w:val="5B500161"/>
    <w:rsid w:val="5B585FE2"/>
    <w:rsid w:val="5B843A1C"/>
    <w:rsid w:val="5B843E3C"/>
    <w:rsid w:val="5B873E3F"/>
    <w:rsid w:val="5B9D14DA"/>
    <w:rsid w:val="5BAD1655"/>
    <w:rsid w:val="5BF9099D"/>
    <w:rsid w:val="5C02690E"/>
    <w:rsid w:val="5C196DA7"/>
    <w:rsid w:val="5C2A013C"/>
    <w:rsid w:val="5C2A048C"/>
    <w:rsid w:val="5C460490"/>
    <w:rsid w:val="5C5B6DBD"/>
    <w:rsid w:val="5C80234E"/>
    <w:rsid w:val="5C8A680C"/>
    <w:rsid w:val="5CAB62A2"/>
    <w:rsid w:val="5CDD6B6F"/>
    <w:rsid w:val="5CFA1A85"/>
    <w:rsid w:val="5CFC0187"/>
    <w:rsid w:val="5D0C4701"/>
    <w:rsid w:val="5D0F0395"/>
    <w:rsid w:val="5D221076"/>
    <w:rsid w:val="5D333896"/>
    <w:rsid w:val="5D397964"/>
    <w:rsid w:val="5D5A391C"/>
    <w:rsid w:val="5D5F10C0"/>
    <w:rsid w:val="5D79574D"/>
    <w:rsid w:val="5D891B7B"/>
    <w:rsid w:val="5D902A97"/>
    <w:rsid w:val="5DAD38EE"/>
    <w:rsid w:val="5DE43148"/>
    <w:rsid w:val="5E006862"/>
    <w:rsid w:val="5E0207B9"/>
    <w:rsid w:val="5E1834A1"/>
    <w:rsid w:val="5E261785"/>
    <w:rsid w:val="5E285F9C"/>
    <w:rsid w:val="5E4A7017"/>
    <w:rsid w:val="5E552BBA"/>
    <w:rsid w:val="5E5646F0"/>
    <w:rsid w:val="5E611C10"/>
    <w:rsid w:val="5E6C2615"/>
    <w:rsid w:val="5E762B94"/>
    <w:rsid w:val="5E7A0F3F"/>
    <w:rsid w:val="5E9A1E1F"/>
    <w:rsid w:val="5EB24909"/>
    <w:rsid w:val="5EB313B0"/>
    <w:rsid w:val="5EB332BF"/>
    <w:rsid w:val="5EC32442"/>
    <w:rsid w:val="5EC944B2"/>
    <w:rsid w:val="5ED27BE1"/>
    <w:rsid w:val="5ED41D7B"/>
    <w:rsid w:val="5EFC7377"/>
    <w:rsid w:val="5F0454EA"/>
    <w:rsid w:val="5F06174D"/>
    <w:rsid w:val="5F0C439F"/>
    <w:rsid w:val="5F3A3602"/>
    <w:rsid w:val="5F45733B"/>
    <w:rsid w:val="5F553F98"/>
    <w:rsid w:val="5F6277C6"/>
    <w:rsid w:val="5F6D0B1D"/>
    <w:rsid w:val="5F7A39FE"/>
    <w:rsid w:val="5F8D0B82"/>
    <w:rsid w:val="5F8E3006"/>
    <w:rsid w:val="5FBA3DFB"/>
    <w:rsid w:val="5FC067D0"/>
    <w:rsid w:val="5FCC5339"/>
    <w:rsid w:val="5FCE540F"/>
    <w:rsid w:val="5FE01C28"/>
    <w:rsid w:val="5FE34A5B"/>
    <w:rsid w:val="5FFE1E36"/>
    <w:rsid w:val="600B6B96"/>
    <w:rsid w:val="601B2D99"/>
    <w:rsid w:val="60232584"/>
    <w:rsid w:val="604F1EF2"/>
    <w:rsid w:val="607330CE"/>
    <w:rsid w:val="60825176"/>
    <w:rsid w:val="608A5EC3"/>
    <w:rsid w:val="609F2AC4"/>
    <w:rsid w:val="60AE7E03"/>
    <w:rsid w:val="60B44CEE"/>
    <w:rsid w:val="60F969EE"/>
    <w:rsid w:val="60FA2EE8"/>
    <w:rsid w:val="61054A27"/>
    <w:rsid w:val="610A52BC"/>
    <w:rsid w:val="611B6CD6"/>
    <w:rsid w:val="611D2366"/>
    <w:rsid w:val="61421856"/>
    <w:rsid w:val="6146029C"/>
    <w:rsid w:val="615227C4"/>
    <w:rsid w:val="61551709"/>
    <w:rsid w:val="61654E3F"/>
    <w:rsid w:val="61671D60"/>
    <w:rsid w:val="616E7593"/>
    <w:rsid w:val="61730B8F"/>
    <w:rsid w:val="61744FF9"/>
    <w:rsid w:val="6182292A"/>
    <w:rsid w:val="619C2CA1"/>
    <w:rsid w:val="619F7F92"/>
    <w:rsid w:val="61C3343B"/>
    <w:rsid w:val="61C4414A"/>
    <w:rsid w:val="61C807BC"/>
    <w:rsid w:val="61E81EE3"/>
    <w:rsid w:val="61F94C26"/>
    <w:rsid w:val="62000E56"/>
    <w:rsid w:val="62487121"/>
    <w:rsid w:val="624F3E49"/>
    <w:rsid w:val="625050D5"/>
    <w:rsid w:val="62632286"/>
    <w:rsid w:val="62656D70"/>
    <w:rsid w:val="628801E0"/>
    <w:rsid w:val="62885958"/>
    <w:rsid w:val="62B611F1"/>
    <w:rsid w:val="62B72874"/>
    <w:rsid w:val="62C7476E"/>
    <w:rsid w:val="62DA1D5D"/>
    <w:rsid w:val="62F12229"/>
    <w:rsid w:val="62F17359"/>
    <w:rsid w:val="62F31C3F"/>
    <w:rsid w:val="62F40B65"/>
    <w:rsid w:val="62FC2CFE"/>
    <w:rsid w:val="63024505"/>
    <w:rsid w:val="633B16F7"/>
    <w:rsid w:val="633B5253"/>
    <w:rsid w:val="634A17BF"/>
    <w:rsid w:val="635600A5"/>
    <w:rsid w:val="635B1DB5"/>
    <w:rsid w:val="635C3B47"/>
    <w:rsid w:val="63711FED"/>
    <w:rsid w:val="63880DDC"/>
    <w:rsid w:val="638D750D"/>
    <w:rsid w:val="63AC6CC0"/>
    <w:rsid w:val="63F857E3"/>
    <w:rsid w:val="63FE69AC"/>
    <w:rsid w:val="64055776"/>
    <w:rsid w:val="64240056"/>
    <w:rsid w:val="643E143A"/>
    <w:rsid w:val="643E2172"/>
    <w:rsid w:val="64460353"/>
    <w:rsid w:val="64491666"/>
    <w:rsid w:val="645816F0"/>
    <w:rsid w:val="646A0640"/>
    <w:rsid w:val="64727A97"/>
    <w:rsid w:val="64752EFE"/>
    <w:rsid w:val="647E7AED"/>
    <w:rsid w:val="648B6EEF"/>
    <w:rsid w:val="64921AB7"/>
    <w:rsid w:val="64C158BF"/>
    <w:rsid w:val="64CE2EAA"/>
    <w:rsid w:val="65031DA0"/>
    <w:rsid w:val="651971E4"/>
    <w:rsid w:val="65294F03"/>
    <w:rsid w:val="653C3090"/>
    <w:rsid w:val="657F0153"/>
    <w:rsid w:val="65854376"/>
    <w:rsid w:val="658767BE"/>
    <w:rsid w:val="65892531"/>
    <w:rsid w:val="659C489C"/>
    <w:rsid w:val="65CD0069"/>
    <w:rsid w:val="66195831"/>
    <w:rsid w:val="661B0E4D"/>
    <w:rsid w:val="662E75B1"/>
    <w:rsid w:val="66342C2E"/>
    <w:rsid w:val="663622E1"/>
    <w:rsid w:val="663E784C"/>
    <w:rsid w:val="664A36FF"/>
    <w:rsid w:val="66811B16"/>
    <w:rsid w:val="6689140D"/>
    <w:rsid w:val="668B3A7E"/>
    <w:rsid w:val="668B6A45"/>
    <w:rsid w:val="669A1FF2"/>
    <w:rsid w:val="66BA34A1"/>
    <w:rsid w:val="66D165FA"/>
    <w:rsid w:val="66EB1DDF"/>
    <w:rsid w:val="67001B4B"/>
    <w:rsid w:val="670A285C"/>
    <w:rsid w:val="671B5AC7"/>
    <w:rsid w:val="672F3F24"/>
    <w:rsid w:val="673E055F"/>
    <w:rsid w:val="6751439C"/>
    <w:rsid w:val="67551CE3"/>
    <w:rsid w:val="67687CA6"/>
    <w:rsid w:val="676A4358"/>
    <w:rsid w:val="67A22552"/>
    <w:rsid w:val="67B22DCC"/>
    <w:rsid w:val="67B4104A"/>
    <w:rsid w:val="67BE71AA"/>
    <w:rsid w:val="67D90273"/>
    <w:rsid w:val="67DC5685"/>
    <w:rsid w:val="67DE5875"/>
    <w:rsid w:val="67E55852"/>
    <w:rsid w:val="67EB1AB4"/>
    <w:rsid w:val="67EF6A97"/>
    <w:rsid w:val="67FA1285"/>
    <w:rsid w:val="68061E48"/>
    <w:rsid w:val="681F15E7"/>
    <w:rsid w:val="68270D00"/>
    <w:rsid w:val="68551F4F"/>
    <w:rsid w:val="687C10C9"/>
    <w:rsid w:val="68840C16"/>
    <w:rsid w:val="68876EFB"/>
    <w:rsid w:val="68884654"/>
    <w:rsid w:val="68925915"/>
    <w:rsid w:val="689F444F"/>
    <w:rsid w:val="68B96DBB"/>
    <w:rsid w:val="68CA2805"/>
    <w:rsid w:val="68E937A3"/>
    <w:rsid w:val="68F933EA"/>
    <w:rsid w:val="69173B9F"/>
    <w:rsid w:val="69303AFB"/>
    <w:rsid w:val="693E15D3"/>
    <w:rsid w:val="69627681"/>
    <w:rsid w:val="69760324"/>
    <w:rsid w:val="6977531D"/>
    <w:rsid w:val="69797303"/>
    <w:rsid w:val="69851F0A"/>
    <w:rsid w:val="69CC2BFF"/>
    <w:rsid w:val="69FD55B8"/>
    <w:rsid w:val="6A066A76"/>
    <w:rsid w:val="6A0B1C62"/>
    <w:rsid w:val="6A2406C8"/>
    <w:rsid w:val="6A987242"/>
    <w:rsid w:val="6AB81C26"/>
    <w:rsid w:val="6ADD735F"/>
    <w:rsid w:val="6ADE0BD1"/>
    <w:rsid w:val="6AE96859"/>
    <w:rsid w:val="6B147746"/>
    <w:rsid w:val="6B1C1E0E"/>
    <w:rsid w:val="6B1E16E2"/>
    <w:rsid w:val="6B24787C"/>
    <w:rsid w:val="6B2B0B08"/>
    <w:rsid w:val="6B326A8C"/>
    <w:rsid w:val="6B4649F7"/>
    <w:rsid w:val="6B573233"/>
    <w:rsid w:val="6B5B6274"/>
    <w:rsid w:val="6B615D5C"/>
    <w:rsid w:val="6B847F5E"/>
    <w:rsid w:val="6B935D53"/>
    <w:rsid w:val="6BC02799"/>
    <w:rsid w:val="6BD149A6"/>
    <w:rsid w:val="6BDA582B"/>
    <w:rsid w:val="6C196F71"/>
    <w:rsid w:val="6C226FCB"/>
    <w:rsid w:val="6C3118E9"/>
    <w:rsid w:val="6C31226F"/>
    <w:rsid w:val="6C552F0B"/>
    <w:rsid w:val="6C7E092E"/>
    <w:rsid w:val="6C8C67B7"/>
    <w:rsid w:val="6C9C3593"/>
    <w:rsid w:val="6C9D744C"/>
    <w:rsid w:val="6CAA14EC"/>
    <w:rsid w:val="6CDA5ADC"/>
    <w:rsid w:val="6D1504AB"/>
    <w:rsid w:val="6D167928"/>
    <w:rsid w:val="6D260D22"/>
    <w:rsid w:val="6D26299B"/>
    <w:rsid w:val="6D32233D"/>
    <w:rsid w:val="6D4772EC"/>
    <w:rsid w:val="6D516379"/>
    <w:rsid w:val="6D5C224E"/>
    <w:rsid w:val="6D622439"/>
    <w:rsid w:val="6D673814"/>
    <w:rsid w:val="6D9078AF"/>
    <w:rsid w:val="6DAA3FEF"/>
    <w:rsid w:val="6DB8406F"/>
    <w:rsid w:val="6DC0172B"/>
    <w:rsid w:val="6DCB690C"/>
    <w:rsid w:val="6DCD1AD1"/>
    <w:rsid w:val="6DD41A5B"/>
    <w:rsid w:val="6DDF4FB0"/>
    <w:rsid w:val="6DF17581"/>
    <w:rsid w:val="6DF43C2E"/>
    <w:rsid w:val="6DF51CA3"/>
    <w:rsid w:val="6E101FDB"/>
    <w:rsid w:val="6E681920"/>
    <w:rsid w:val="6E781728"/>
    <w:rsid w:val="6E8335BD"/>
    <w:rsid w:val="6E8E12EF"/>
    <w:rsid w:val="6E972936"/>
    <w:rsid w:val="6E9D1553"/>
    <w:rsid w:val="6EB40202"/>
    <w:rsid w:val="6EC35B23"/>
    <w:rsid w:val="6ED30A35"/>
    <w:rsid w:val="6ED446C5"/>
    <w:rsid w:val="6ED44ED9"/>
    <w:rsid w:val="6EF105C1"/>
    <w:rsid w:val="6F130D38"/>
    <w:rsid w:val="6F250095"/>
    <w:rsid w:val="6F2A7D94"/>
    <w:rsid w:val="6F377216"/>
    <w:rsid w:val="6F55769C"/>
    <w:rsid w:val="6F5B208E"/>
    <w:rsid w:val="6F78536D"/>
    <w:rsid w:val="6F8331F1"/>
    <w:rsid w:val="6FA31ECE"/>
    <w:rsid w:val="6FAE1A09"/>
    <w:rsid w:val="6FB770F7"/>
    <w:rsid w:val="6FD75BF8"/>
    <w:rsid w:val="6FF64CD5"/>
    <w:rsid w:val="6FF922DA"/>
    <w:rsid w:val="700D583A"/>
    <w:rsid w:val="703B2D36"/>
    <w:rsid w:val="703E5095"/>
    <w:rsid w:val="7060279C"/>
    <w:rsid w:val="706E6C67"/>
    <w:rsid w:val="707723D0"/>
    <w:rsid w:val="70934920"/>
    <w:rsid w:val="70985552"/>
    <w:rsid w:val="709A7A5C"/>
    <w:rsid w:val="709D12FB"/>
    <w:rsid w:val="70AE62DA"/>
    <w:rsid w:val="70B4699F"/>
    <w:rsid w:val="70DA7947"/>
    <w:rsid w:val="70F4178D"/>
    <w:rsid w:val="70F5661B"/>
    <w:rsid w:val="71360107"/>
    <w:rsid w:val="713A2FED"/>
    <w:rsid w:val="713B688E"/>
    <w:rsid w:val="71461992"/>
    <w:rsid w:val="71744C4C"/>
    <w:rsid w:val="71757AAF"/>
    <w:rsid w:val="71A61294"/>
    <w:rsid w:val="71A6677C"/>
    <w:rsid w:val="71A8324B"/>
    <w:rsid w:val="71D43752"/>
    <w:rsid w:val="71DE1BCB"/>
    <w:rsid w:val="71F1796A"/>
    <w:rsid w:val="72154626"/>
    <w:rsid w:val="721D26F3"/>
    <w:rsid w:val="72262B5D"/>
    <w:rsid w:val="72283FF7"/>
    <w:rsid w:val="722E7212"/>
    <w:rsid w:val="723A0474"/>
    <w:rsid w:val="725923E4"/>
    <w:rsid w:val="725974E3"/>
    <w:rsid w:val="725F5415"/>
    <w:rsid w:val="72766AE8"/>
    <w:rsid w:val="72864BF7"/>
    <w:rsid w:val="729023FC"/>
    <w:rsid w:val="729C3F60"/>
    <w:rsid w:val="72A951A1"/>
    <w:rsid w:val="72E04B6D"/>
    <w:rsid w:val="732301DD"/>
    <w:rsid w:val="732A727E"/>
    <w:rsid w:val="733454E7"/>
    <w:rsid w:val="733A5527"/>
    <w:rsid w:val="73A00AF1"/>
    <w:rsid w:val="73C0646E"/>
    <w:rsid w:val="73E64123"/>
    <w:rsid w:val="742222F5"/>
    <w:rsid w:val="74391E01"/>
    <w:rsid w:val="74476126"/>
    <w:rsid w:val="74706664"/>
    <w:rsid w:val="747F3682"/>
    <w:rsid w:val="748862F6"/>
    <w:rsid w:val="74893985"/>
    <w:rsid w:val="749018A2"/>
    <w:rsid w:val="74930F19"/>
    <w:rsid w:val="749C4185"/>
    <w:rsid w:val="74B93F1A"/>
    <w:rsid w:val="74CB28DA"/>
    <w:rsid w:val="74D6302D"/>
    <w:rsid w:val="75067759"/>
    <w:rsid w:val="750E27C7"/>
    <w:rsid w:val="751F199D"/>
    <w:rsid w:val="752E6DCD"/>
    <w:rsid w:val="753A476D"/>
    <w:rsid w:val="75420D70"/>
    <w:rsid w:val="7551380D"/>
    <w:rsid w:val="75600BE5"/>
    <w:rsid w:val="7564475C"/>
    <w:rsid w:val="75794C4E"/>
    <w:rsid w:val="7583797F"/>
    <w:rsid w:val="75917B29"/>
    <w:rsid w:val="75A05E05"/>
    <w:rsid w:val="75A679D1"/>
    <w:rsid w:val="75CD0550"/>
    <w:rsid w:val="75CF09D8"/>
    <w:rsid w:val="75D20F1D"/>
    <w:rsid w:val="75DA2C18"/>
    <w:rsid w:val="75F54412"/>
    <w:rsid w:val="761D08E0"/>
    <w:rsid w:val="761E6A3A"/>
    <w:rsid w:val="765D347C"/>
    <w:rsid w:val="76826699"/>
    <w:rsid w:val="76A10A5E"/>
    <w:rsid w:val="76A870A5"/>
    <w:rsid w:val="76C87133"/>
    <w:rsid w:val="76CD08D5"/>
    <w:rsid w:val="76DB4B92"/>
    <w:rsid w:val="76EA1A0F"/>
    <w:rsid w:val="76FE0619"/>
    <w:rsid w:val="77052AA4"/>
    <w:rsid w:val="77136511"/>
    <w:rsid w:val="77340A39"/>
    <w:rsid w:val="77351FD0"/>
    <w:rsid w:val="77472422"/>
    <w:rsid w:val="77550B81"/>
    <w:rsid w:val="777F31F2"/>
    <w:rsid w:val="77AB3955"/>
    <w:rsid w:val="77D1700D"/>
    <w:rsid w:val="77EC04CC"/>
    <w:rsid w:val="77F4102D"/>
    <w:rsid w:val="780954C8"/>
    <w:rsid w:val="78294F56"/>
    <w:rsid w:val="782D0D9A"/>
    <w:rsid w:val="784A620C"/>
    <w:rsid w:val="78520C1D"/>
    <w:rsid w:val="7872306D"/>
    <w:rsid w:val="78775729"/>
    <w:rsid w:val="787E1A12"/>
    <w:rsid w:val="78A42DB0"/>
    <w:rsid w:val="78A656AB"/>
    <w:rsid w:val="78B2245C"/>
    <w:rsid w:val="78B81351"/>
    <w:rsid w:val="78D24798"/>
    <w:rsid w:val="78E172CC"/>
    <w:rsid w:val="78EA1D1F"/>
    <w:rsid w:val="78F32400"/>
    <w:rsid w:val="78F527D1"/>
    <w:rsid w:val="7904172F"/>
    <w:rsid w:val="790F7E27"/>
    <w:rsid w:val="79295E21"/>
    <w:rsid w:val="792A231A"/>
    <w:rsid w:val="792C76C0"/>
    <w:rsid w:val="79316829"/>
    <w:rsid w:val="79420C91"/>
    <w:rsid w:val="795639FD"/>
    <w:rsid w:val="797E66A9"/>
    <w:rsid w:val="798518A4"/>
    <w:rsid w:val="79A63B17"/>
    <w:rsid w:val="79A97383"/>
    <w:rsid w:val="79B871A5"/>
    <w:rsid w:val="79C356F8"/>
    <w:rsid w:val="79E27E8B"/>
    <w:rsid w:val="79F850CE"/>
    <w:rsid w:val="79FD443C"/>
    <w:rsid w:val="7A0D129F"/>
    <w:rsid w:val="7A1D1975"/>
    <w:rsid w:val="7A3E5150"/>
    <w:rsid w:val="7A4670D6"/>
    <w:rsid w:val="7A534B63"/>
    <w:rsid w:val="7A597B8B"/>
    <w:rsid w:val="7A615382"/>
    <w:rsid w:val="7A67303B"/>
    <w:rsid w:val="7AAB1D04"/>
    <w:rsid w:val="7ABA4368"/>
    <w:rsid w:val="7ABB43DA"/>
    <w:rsid w:val="7AC9522D"/>
    <w:rsid w:val="7AD05746"/>
    <w:rsid w:val="7AF728FC"/>
    <w:rsid w:val="7B220D7A"/>
    <w:rsid w:val="7B257FFD"/>
    <w:rsid w:val="7B343476"/>
    <w:rsid w:val="7B5A2978"/>
    <w:rsid w:val="7B5A7E4C"/>
    <w:rsid w:val="7B66335D"/>
    <w:rsid w:val="7B667AF9"/>
    <w:rsid w:val="7B7468F8"/>
    <w:rsid w:val="7B834B10"/>
    <w:rsid w:val="7BA75723"/>
    <w:rsid w:val="7BDE77D6"/>
    <w:rsid w:val="7BEE0103"/>
    <w:rsid w:val="7C0A0FE4"/>
    <w:rsid w:val="7C254906"/>
    <w:rsid w:val="7C395948"/>
    <w:rsid w:val="7C590818"/>
    <w:rsid w:val="7C7C10F6"/>
    <w:rsid w:val="7C814A8D"/>
    <w:rsid w:val="7C853BEA"/>
    <w:rsid w:val="7C881368"/>
    <w:rsid w:val="7C8820A3"/>
    <w:rsid w:val="7C916173"/>
    <w:rsid w:val="7C944A9A"/>
    <w:rsid w:val="7CB31CF4"/>
    <w:rsid w:val="7CE24C65"/>
    <w:rsid w:val="7CE27788"/>
    <w:rsid w:val="7D0C32F1"/>
    <w:rsid w:val="7D0F408D"/>
    <w:rsid w:val="7D28392F"/>
    <w:rsid w:val="7D491C6C"/>
    <w:rsid w:val="7D5429C0"/>
    <w:rsid w:val="7D5947FB"/>
    <w:rsid w:val="7D6E6D43"/>
    <w:rsid w:val="7D747887"/>
    <w:rsid w:val="7D9817C8"/>
    <w:rsid w:val="7DA44A08"/>
    <w:rsid w:val="7DB57A34"/>
    <w:rsid w:val="7DBA7990"/>
    <w:rsid w:val="7DBD2FDC"/>
    <w:rsid w:val="7DE60973"/>
    <w:rsid w:val="7DEF0916"/>
    <w:rsid w:val="7E0E3838"/>
    <w:rsid w:val="7E1E5218"/>
    <w:rsid w:val="7E9A4E1F"/>
    <w:rsid w:val="7EA36A3B"/>
    <w:rsid w:val="7EA7723A"/>
    <w:rsid w:val="7EC2750D"/>
    <w:rsid w:val="7EC505F5"/>
    <w:rsid w:val="7EE527EB"/>
    <w:rsid w:val="7EF56FBB"/>
    <w:rsid w:val="7F01514B"/>
    <w:rsid w:val="7F0768EB"/>
    <w:rsid w:val="7F143BEC"/>
    <w:rsid w:val="7F56725F"/>
    <w:rsid w:val="7F6477A9"/>
    <w:rsid w:val="7F715AF2"/>
    <w:rsid w:val="7F7D2300"/>
    <w:rsid w:val="7F841183"/>
    <w:rsid w:val="7F886E69"/>
    <w:rsid w:val="7FA44454"/>
    <w:rsid w:val="7FC670EF"/>
    <w:rsid w:val="7FC71EF0"/>
    <w:rsid w:val="7FC9210C"/>
    <w:rsid w:val="7FF606C1"/>
    <w:rsid w:val="7FFF5B2E"/>
    <w:rsid w:val="9BEF2B88"/>
    <w:rsid w:val="BB7FA927"/>
    <w:rsid w:val="EE6D3BAA"/>
    <w:rsid w:val="F5FFD31F"/>
    <w:rsid w:val="FFCF17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qFormat/>
    <w:uiPriority w:val="0"/>
    <w:rPr>
      <w:b/>
      <w:bCs/>
    </w:rPr>
  </w:style>
  <w:style w:type="paragraph" w:styleId="61">
    <w:name w:val="Body Text First Indent 2"/>
    <w:basedOn w:val="26"/>
    <w:next w:val="1"/>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80">
    <w:name w:val="样式3"/>
    <w:basedOn w:val="34"/>
    <w:qFormat/>
    <w:uiPriority w:val="0"/>
    <w:pPr>
      <w:tabs>
        <w:tab w:val="left" w:pos="2790"/>
        <w:tab w:val="left" w:pos="4230"/>
      </w:tabs>
      <w:spacing w:before="312" w:beforeLines="100"/>
      <w:jc w:val="left"/>
    </w:pPr>
  </w:style>
  <w:style w:type="paragraph" w:customStyle="1" w:styleId="8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styleId="82">
    <w:name w:val="List Paragraph"/>
    <w:basedOn w:val="1"/>
    <w:qFormat/>
    <w:uiPriority w:val="34"/>
    <w:pPr>
      <w:spacing w:line="360" w:lineRule="auto"/>
      <w:ind w:firstLine="200" w:firstLineChars="200"/>
    </w:pPr>
    <w:rPr>
      <w:rFonts w:eastAsia="楷体_GB2312" w:cs="Lucida Sans"/>
      <w:sz w:val="24"/>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7"/>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82"/>
    <w:link w:val="257"/>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6"/>
    <w:next w:val="236"/>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6"/>
    <w:next w:val="236"/>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8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2"/>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964">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5">
    <w:name w:val="WPSOffice手动目录 1"/>
    <w:qFormat/>
    <w:uiPriority w:val="0"/>
    <w:pPr>
      <w:ind w:leftChars="0"/>
    </w:pPr>
    <w:rPr>
      <w:rFonts w:ascii="Times New Roman" w:hAnsi="Times New Roman" w:eastAsia="宋体" w:cs="Times New Roman"/>
      <w:sz w:val="20"/>
      <w:szCs w:val="20"/>
    </w:rPr>
  </w:style>
  <w:style w:type="character" w:customStyle="1" w:styleId="966">
    <w:name w:val="标题 1 Char1"/>
    <w:qFormat/>
    <w:uiPriority w:val="0"/>
    <w:rPr>
      <w:rFonts w:ascii="Times New Roman" w:hAnsi="Times New Roman" w:eastAsia="宋体" w:cs="Times New Roman"/>
      <w:b/>
      <w:bCs/>
      <w:kern w:val="44"/>
      <w:sz w:val="32"/>
      <w:szCs w:val="44"/>
    </w:rPr>
  </w:style>
  <w:style w:type="character" w:customStyle="1" w:styleId="967">
    <w:name w:val="NormalCharacter"/>
    <w:qFormat/>
    <w:uiPriority w:val="0"/>
    <w:rPr>
      <w:rFonts w:ascii="Times New Roman" w:hAnsi="Times New Roman"/>
      <w:kern w:val="2"/>
      <w:sz w:val="24"/>
      <w:lang w:val="en-US" w:eastAsia="zh-CN"/>
    </w:rPr>
  </w:style>
  <w:style w:type="paragraph" w:customStyle="1" w:styleId="968">
    <w:name w:val="Body Text First Indent 21"/>
    <w:basedOn w:val="969"/>
    <w:autoRedefine/>
    <w:qFormat/>
    <w:uiPriority w:val="0"/>
    <w:pPr>
      <w:ind w:firstLine="420"/>
    </w:pPr>
    <w:rPr>
      <w:rFonts w:ascii="Times New Roman" w:hAnsi="Times New Roman" w:cs="宋体"/>
    </w:rPr>
  </w:style>
  <w:style w:type="paragraph" w:customStyle="1" w:styleId="969">
    <w:name w:val="Body Text Indent1"/>
    <w:basedOn w:val="1"/>
    <w:next w:val="1"/>
    <w:autoRedefine/>
    <w:qFormat/>
    <w:uiPriority w:val="0"/>
    <w:pPr>
      <w:spacing w:after="120"/>
      <w:ind w:left="420" w:leftChars="200"/>
    </w:pPr>
    <w:rPr>
      <w:color w:val="000000"/>
      <w:szCs w:val="21"/>
    </w:rPr>
  </w:style>
  <w:style w:type="paragraph" w:customStyle="1" w:styleId="970">
    <w:name w:val="_Style 7"/>
    <w:basedOn w:val="1"/>
    <w:autoRedefine/>
    <w:qFormat/>
    <w:uiPriority w:val="0"/>
    <w:pPr>
      <w:ind w:firstLine="420" w:firstLineChars="200"/>
    </w:pPr>
  </w:style>
  <w:style w:type="paragraph" w:customStyle="1" w:styleId="971">
    <w:name w:val="须知二级小标题"/>
    <w:basedOn w:val="1"/>
    <w:autoRedefine/>
    <w:qFormat/>
    <w:uiPriority w:val="0"/>
    <w:pPr>
      <w:spacing w:line="500" w:lineRule="exact"/>
    </w:pPr>
    <w:rPr>
      <w:rFonts w:ascii="宋体"/>
      <w:b/>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85</Pages>
  <Words>986</Words>
  <Characters>1105</Characters>
  <Lines>1</Lines>
  <Paragraphs>1</Paragraphs>
  <TotalTime>2</TotalTime>
  <ScaleCrop>false</ScaleCrop>
  <LinksUpToDate>false</LinksUpToDate>
  <CharactersWithSpaces>1226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WPS_1671501819</cp:lastModifiedBy>
  <cp:lastPrinted>2025-05-27T07:33:00Z</cp:lastPrinted>
  <dcterms:modified xsi:type="dcterms:W3CDTF">2025-06-11T02:25:36Z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1AD11853D6FF4A81AE3E18CB246E3228_13</vt:lpwstr>
  </property>
  <property fmtid="{D5CDD505-2E9C-101B-9397-08002B2CF9AE}" pid="5" name="KSOTemplateDocerSaveRecord">
    <vt:lpwstr>eyJoZGlkIjoiMDNkYjc0ZWU4NzVhZTExMDM2ZmQxNjM0OTUwYzg1NTEiLCJ1c2VySWQiOiIxNDU5OTc4MTIwIn0=</vt:lpwstr>
  </property>
</Properties>
</file>