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强蛟镇历史遗留矿山整治项目工程</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NBGJ2025-CG0075</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宁海县强蛟镇人民政府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宁波工建工程造价咨询有限公司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A3C19D3">
          <w:pPr>
            <w:pStyle w:val="40"/>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8</w:t>
          </w:r>
          <w:r>
            <w:rPr>
              <w:sz w:val="32"/>
              <w:szCs w:val="40"/>
            </w:rPr>
            <w:fldChar w:fldCharType="end"/>
          </w:r>
          <w:r>
            <w:rPr>
              <w:sz w:val="32"/>
              <w:szCs w:val="40"/>
            </w:rPr>
            <w:fldChar w:fldCharType="end"/>
          </w:r>
        </w:p>
        <w:p w14:paraId="73EB56F4">
          <w:pPr>
            <w:pStyle w:val="40"/>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8</w:t>
          </w:r>
          <w:r>
            <w:rPr>
              <w:sz w:val="32"/>
              <w:szCs w:val="40"/>
            </w:rPr>
            <w:fldChar w:fldCharType="end"/>
          </w:r>
          <w:r>
            <w:rPr>
              <w:sz w:val="32"/>
              <w:szCs w:val="40"/>
            </w:rPr>
            <w:fldChar w:fldCharType="end"/>
          </w:r>
        </w:p>
        <w:p w14:paraId="1768B055">
          <w:pPr>
            <w:pStyle w:val="40"/>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26</w:t>
          </w:r>
          <w:r>
            <w:rPr>
              <w:sz w:val="32"/>
              <w:szCs w:val="40"/>
            </w:rPr>
            <w:fldChar w:fldCharType="end"/>
          </w:r>
          <w:r>
            <w:rPr>
              <w:sz w:val="32"/>
              <w:szCs w:val="40"/>
            </w:rPr>
            <w:fldChar w:fldCharType="end"/>
          </w:r>
        </w:p>
        <w:p w14:paraId="622C0757">
          <w:pPr>
            <w:pStyle w:val="40"/>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30</w:t>
          </w:r>
          <w:r>
            <w:rPr>
              <w:sz w:val="32"/>
              <w:szCs w:val="40"/>
            </w:rPr>
            <w:fldChar w:fldCharType="end"/>
          </w:r>
          <w:r>
            <w:rPr>
              <w:sz w:val="32"/>
              <w:szCs w:val="40"/>
            </w:rPr>
            <w:fldChar w:fldCharType="end"/>
          </w:r>
        </w:p>
        <w:p w14:paraId="2B628E7C">
          <w:pPr>
            <w:pStyle w:val="40"/>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42</w:t>
          </w:r>
          <w:r>
            <w:rPr>
              <w:sz w:val="32"/>
              <w:szCs w:val="40"/>
            </w:rPr>
            <w:fldChar w:fldCharType="end"/>
          </w:r>
          <w:r>
            <w:rPr>
              <w:sz w:val="32"/>
              <w:szCs w:val="40"/>
            </w:rPr>
            <w:fldChar w:fldCharType="end"/>
          </w:r>
        </w:p>
        <w:p w14:paraId="2564C8EB">
          <w:pPr>
            <w:pStyle w:val="40"/>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43</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6D812578">
      <w:pPr>
        <w:pStyle w:val="73"/>
        <w:sectPr>
          <w:footerReference r:id="rId4" w:type="first"/>
          <w:footerReference r:id="rId3" w:type="default"/>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强蛟镇历史遗留矿山整治项目工程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w:t>
      </w:r>
      <w:r>
        <w:rPr>
          <w:rFonts w:hint="eastAsia" w:ascii="宋体" w:hAnsi="宋体" w:cs="宋体"/>
          <w:sz w:val="24"/>
          <w:u w:val="single"/>
          <w:lang w:eastAsia="zh-CN"/>
        </w:rPr>
        <w:t>2025</w:t>
      </w:r>
      <w:r>
        <w:rPr>
          <w:rFonts w:hint="eastAsia" w:ascii="宋体" w:hAnsi="宋体" w:cs="宋体"/>
          <w:bCs/>
          <w:sz w:val="24"/>
          <w:u w:val="single"/>
        </w:rPr>
        <w:t>年</w:t>
      </w:r>
      <w:r>
        <w:rPr>
          <w:rFonts w:hint="eastAsia" w:ascii="宋体" w:hAnsi="宋体" w:cs="宋体"/>
          <w:bCs/>
          <w:sz w:val="24"/>
          <w:u w:val="single"/>
          <w:lang w:val="en-US" w:eastAsia="zh-CN"/>
        </w:rPr>
        <w:t xml:space="preserve">   </w:t>
      </w:r>
      <w:r>
        <w:rPr>
          <w:rFonts w:hint="eastAsia" w:ascii="宋体" w:hAnsi="宋体" w:cs="宋体"/>
          <w:bCs/>
          <w:sz w:val="24"/>
          <w:u w:val="single"/>
        </w:rPr>
        <w:t>月</w:t>
      </w:r>
      <w:r>
        <w:rPr>
          <w:rFonts w:hint="eastAsia" w:ascii="宋体" w:hAnsi="宋体" w:cs="宋体"/>
          <w:bCs/>
          <w:sz w:val="24"/>
          <w:u w:val="single"/>
          <w:lang w:val="en-US" w:eastAsia="zh-CN"/>
        </w:rPr>
        <w:t xml:space="preserve">  </w:t>
      </w:r>
      <w:r>
        <w:rPr>
          <w:rFonts w:hint="eastAsia" w:ascii="宋体" w:hAnsi="宋体" w:cs="宋体"/>
          <w:bCs/>
          <w:sz w:val="24"/>
          <w:u w:val="single"/>
        </w:rPr>
        <w:t>日</w:t>
      </w:r>
      <w:r>
        <w:rPr>
          <w:rFonts w:hint="eastAsia" w:ascii="宋体" w:hAnsi="宋体" w:cs="宋体"/>
          <w:bCs/>
          <w:sz w:val="24"/>
          <w:u w:val="single"/>
          <w:lang w:val="en-US" w:eastAsia="zh-CN"/>
        </w:rPr>
        <w:t xml:space="preserve"> </w:t>
      </w:r>
      <w:r>
        <w:rPr>
          <w:rFonts w:hint="eastAsia" w:ascii="宋体" w:hAnsi="宋体" w:cs="宋体"/>
          <w:bCs/>
          <w:sz w:val="24"/>
          <w:u w:val="single"/>
        </w:rPr>
        <w:t>点</w:t>
      </w:r>
      <w:r>
        <w:rPr>
          <w:rFonts w:hint="eastAsia" w:ascii="宋体" w:hAnsi="宋体" w:cs="宋体"/>
          <w:bCs/>
          <w:sz w:val="24"/>
          <w:u w:val="single"/>
          <w:lang w:val="en-US" w:eastAsia="zh-CN"/>
        </w:rPr>
        <w:t xml:space="preserve"> </w:t>
      </w:r>
      <w:r>
        <w:rPr>
          <w:rFonts w:hint="eastAsia" w:ascii="宋体" w:hAnsi="宋体" w:cs="宋体"/>
          <w:bCs/>
          <w:sz w:val="24"/>
          <w:u w:val="single"/>
        </w:rPr>
        <w:t>分00秒</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28359089"/>
      <w:bookmarkStart w:id="6" w:name="_Toc35393629"/>
      <w:bookmarkStart w:id="7" w:name="_Toc35393798"/>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NBGJ2025-CG0075</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强蛟镇历史遗留矿山整治项目工程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default" w:ascii="宋体" w:hAnsi="宋体" w:eastAsia="宋体" w:cs="宋体"/>
          <w:sz w:val="24"/>
          <w:lang w:val="en-US"/>
        </w:rPr>
      </w:pPr>
      <w:r>
        <w:rPr>
          <w:rFonts w:hint="eastAsia" w:ascii="宋体" w:hAnsi="宋体" w:eastAsia="宋体" w:cs="宋体"/>
          <w:b/>
          <w:sz w:val="24"/>
        </w:rPr>
        <w:t>预算金额（元）：</w:t>
      </w:r>
      <w:r>
        <w:rPr>
          <w:rFonts w:hint="eastAsia" w:ascii="宋体" w:hAnsi="宋体" w:cs="宋体"/>
          <w:bCs/>
          <w:sz w:val="24"/>
          <w:lang w:eastAsia="zh-CN"/>
        </w:rPr>
        <w:t>2606840</w:t>
      </w:r>
      <w:r>
        <w:rPr>
          <w:rFonts w:hint="eastAsia" w:ascii="宋体" w:hAnsi="宋体" w:cs="宋体"/>
          <w:bCs/>
          <w:sz w:val="24"/>
          <w:lang w:val="en-US" w:eastAsia="zh-CN"/>
        </w:rPr>
        <w:t>.00</w:t>
      </w:r>
    </w:p>
    <w:p w14:paraId="28B92299">
      <w:pPr>
        <w:spacing w:line="360"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rPr>
        <w:t>最高限价（元）：</w:t>
      </w:r>
      <w:r>
        <w:rPr>
          <w:rFonts w:hint="eastAsia" w:ascii="宋体" w:hAnsi="宋体" w:cs="宋体"/>
          <w:b/>
          <w:sz w:val="24"/>
          <w:lang w:val="en-US" w:eastAsia="zh-CN"/>
        </w:rPr>
        <w:t xml:space="preserve">2481498.00 </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强蛟镇历史遗留矿山整治项目工程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eastAsia="宋体" w:cs="宋体"/>
          <w:bCs/>
          <w:sz w:val="24"/>
          <w:lang w:val="en-US" w:eastAsia="zh-CN"/>
        </w:rPr>
        <w:t>自开工令发出之日起</w:t>
      </w:r>
      <w:r>
        <w:rPr>
          <w:rFonts w:hint="eastAsia" w:ascii="宋体" w:hAnsi="宋体" w:cs="宋体"/>
          <w:bCs/>
          <w:sz w:val="24"/>
          <w:lang w:val="en-US" w:eastAsia="zh-CN"/>
        </w:rPr>
        <w:t>120日历天</w:t>
      </w:r>
      <w:r>
        <w:rPr>
          <w:rFonts w:hint="eastAsia" w:ascii="宋体" w:hAnsi="宋体" w:eastAsia="宋体" w:cs="宋体"/>
          <w:bCs/>
          <w:sz w:val="24"/>
          <w:lang w:val="en-US" w:eastAsia="zh-CN"/>
        </w:rPr>
        <w:t>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35393630"/>
      <w:bookmarkStart w:id="10" w:name="_Toc28359090"/>
      <w:bookmarkStart w:id="11" w:name="_Toc28359013"/>
      <w:bookmarkStart w:id="12" w:name="_Toc35393799"/>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5BC80F3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color w:val="auto"/>
          <w:sz w:val="24"/>
          <w:u w:val="single"/>
        </w:rPr>
        <w:t>供应商须具备</w:t>
      </w:r>
      <w:r>
        <w:rPr>
          <w:rFonts w:hint="eastAsia" w:ascii="宋体" w:hAnsi="宋体" w:cs="宋体"/>
          <w:b/>
          <w:bCs/>
          <w:color w:val="auto"/>
          <w:sz w:val="24"/>
          <w:u w:val="single"/>
          <w:lang w:eastAsia="zh-CN"/>
        </w:rPr>
        <w:t>地质灾害治理工程施工乙级及以上资质并具有有效的企业安全生产许可证</w:t>
      </w:r>
      <w:r>
        <w:rPr>
          <w:rFonts w:hint="eastAsia" w:ascii="宋体" w:hAnsi="宋体" w:eastAsia="宋体" w:cs="宋体"/>
          <w:b/>
          <w:bCs/>
          <w:sz w:val="24"/>
          <w:u w:val="single"/>
        </w:rPr>
        <w:t>；项目负责人</w:t>
      </w:r>
      <w:r>
        <w:rPr>
          <w:rFonts w:hint="eastAsia" w:ascii="宋体" w:hAnsi="宋体" w:cs="宋体"/>
          <w:b/>
          <w:bCs/>
          <w:sz w:val="24"/>
          <w:u w:val="single"/>
          <w:lang w:eastAsia="zh-CN"/>
        </w:rPr>
        <w:t>需</w:t>
      </w:r>
      <w:r>
        <w:rPr>
          <w:rFonts w:hint="eastAsia" w:ascii="宋体" w:hAnsi="宋体" w:eastAsia="宋体" w:cs="宋体"/>
          <w:b/>
          <w:bCs/>
          <w:sz w:val="24"/>
          <w:u w:val="single"/>
        </w:rPr>
        <w:t>具备市政公用工程专业二级及以上建造师注册证书，并具有有效的安全生产考核合格证（B证）</w:t>
      </w:r>
      <w:r>
        <w:rPr>
          <w:rFonts w:hint="eastAsia" w:ascii="宋体" w:hAnsi="宋体" w:cs="宋体"/>
          <w:b/>
          <w:bCs/>
          <w:sz w:val="24"/>
          <w:u w:val="single"/>
          <w:lang w:eastAsia="zh-CN"/>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28359014"/>
      <w:bookmarkStart w:id="15" w:name="_Toc35393800"/>
      <w:bookmarkStart w:id="16" w:name="_Toc35393631"/>
      <w:bookmarkStart w:id="17" w:name="_Toc28359091"/>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15"/>
      <w:bookmarkStart w:id="19" w:name="_Toc35393632"/>
      <w:bookmarkStart w:id="20" w:name="_Toc28359092"/>
      <w:bookmarkStart w:id="21" w:name="_Toc35393801"/>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分00秒</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802"/>
      <w:bookmarkStart w:id="23" w:name="_Toc28359016"/>
      <w:bookmarkStart w:id="24" w:name="_Toc28359093"/>
      <w:bookmarkStart w:id="25" w:name="_Toc35393633"/>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分00秒</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35393803"/>
      <w:bookmarkStart w:id="27" w:name="_Toc28359017"/>
      <w:bookmarkStart w:id="28" w:name="_Toc35393634"/>
      <w:bookmarkStart w:id="29" w:name="_Toc28359094"/>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35393805"/>
      <w:bookmarkStart w:id="33" w:name="_Toc28359018"/>
      <w:bookmarkStart w:id="34" w:name="_Toc35393636"/>
      <w:bookmarkStart w:id="35" w:name="_Toc28359095"/>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35393806"/>
      <w:bookmarkStart w:id="37" w:name="_Toc35393637"/>
      <w:bookmarkStart w:id="38" w:name="_Toc28359019"/>
      <w:bookmarkStart w:id="39" w:name="_Toc28359096"/>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宁海县强蛟镇人民政府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宁海县强蛟镇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 xml:space="preserve">潘主任 </w:t>
      </w:r>
    </w:p>
    <w:p w14:paraId="74AC310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 xml:space="preserve">0574-65199619 </w:t>
      </w:r>
    </w:p>
    <w:p w14:paraId="356B1282">
      <w:pPr>
        <w:spacing w:line="360" w:lineRule="auto"/>
        <w:ind w:firstLine="480" w:firstLineChars="200"/>
        <w:rPr>
          <w:rFonts w:hint="eastAsia" w:ascii="宋体" w:hAnsi="宋体" w:cs="宋体"/>
          <w:sz w:val="24"/>
          <w:lang w:eastAsia="zh-CN"/>
        </w:rPr>
      </w:pPr>
      <w:r>
        <w:rPr>
          <w:rFonts w:hint="eastAsia" w:ascii="宋体" w:hAnsi="宋体" w:eastAsia="宋体" w:cs="宋体"/>
          <w:sz w:val="24"/>
        </w:rPr>
        <w:t>质疑</w:t>
      </w:r>
      <w:r>
        <w:rPr>
          <w:rFonts w:hint="eastAsia" w:ascii="宋体" w:hAnsi="宋体" w:cs="宋体"/>
          <w:sz w:val="24"/>
          <w:lang w:eastAsia="zh-CN"/>
        </w:rPr>
        <w:t>联系人：</w:t>
      </w:r>
      <w:r>
        <w:rPr>
          <w:rFonts w:hint="eastAsia" w:ascii="宋体" w:hAnsi="宋体" w:cs="宋体"/>
          <w:sz w:val="24"/>
          <w:lang w:val="en-US" w:eastAsia="zh-CN"/>
        </w:rPr>
        <w:t>潘主任</w:t>
      </w:r>
    </w:p>
    <w:p w14:paraId="58EAC05E">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eastAsia="zh-CN"/>
        </w:rPr>
        <w:t>质疑联系方式：</w:t>
      </w:r>
      <w:bookmarkStart w:id="639" w:name="_GoBack"/>
      <w:r>
        <w:rPr>
          <w:rFonts w:hint="eastAsia" w:ascii="宋体" w:hAnsi="宋体" w:eastAsia="宋体" w:cs="宋体"/>
          <w:sz w:val="24"/>
          <w:lang w:val="en-US" w:eastAsia="zh-CN"/>
        </w:rPr>
        <w:t>0574-65199619</w:t>
      </w:r>
    </w:p>
    <w:bookmarkEnd w:id="639"/>
    <w:p w14:paraId="496BDC42">
      <w:pPr>
        <w:tabs>
          <w:tab w:val="left" w:pos="432"/>
        </w:tabs>
        <w:spacing w:line="360" w:lineRule="auto"/>
        <w:ind w:left="432" w:hanging="432"/>
        <w:rPr>
          <w:rFonts w:hint="eastAsia" w:ascii="宋体" w:hAnsi="宋体" w:eastAsia="宋体" w:cs="宋体"/>
          <w:b/>
          <w:bCs/>
          <w:sz w:val="24"/>
        </w:rPr>
      </w:pPr>
      <w:bookmarkStart w:id="40" w:name="_Toc28359020"/>
      <w:bookmarkStart w:id="41" w:name="_Toc35393638"/>
      <w:bookmarkStart w:id="42" w:name="_Toc35393807"/>
      <w:bookmarkStart w:id="43" w:name="_Toc28359097"/>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lang w:eastAsia="zh-CN"/>
        </w:rPr>
        <w:t>宁波工建工程造价咨询有限公司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eastAsia="宋体" w:cs="宋体"/>
          <w:sz w:val="24"/>
          <w:lang w:eastAsia="zh-CN"/>
        </w:rPr>
        <w:t>宁海县桃源街道兴工三路69号二楼</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eastAsia="zh-CN"/>
        </w:rPr>
        <w:t>0574-65250961</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eastAsia="宋体" w:cs="宋体"/>
          <w:sz w:val="24"/>
          <w:lang w:eastAsia="zh-CN"/>
        </w:rPr>
        <w:t>王洋、周聪燕</w:t>
      </w:r>
      <w:r>
        <w:rPr>
          <w:rFonts w:hint="eastAsia" w:ascii="宋体" w:hAnsi="宋体" w:cs="宋体"/>
          <w:sz w:val="24"/>
          <w:lang w:eastAsia="zh-CN"/>
        </w:rPr>
        <w:t>、周恒</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eastAsia="宋体" w:cs="宋体"/>
          <w:sz w:val="24"/>
          <w:lang w:eastAsia="zh-CN"/>
        </w:rPr>
        <w:t>0574-65250961</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eastAsia="宋体" w:cs="宋体"/>
          <w:sz w:val="24"/>
          <w:lang w:eastAsia="zh-CN"/>
        </w:rPr>
        <w:t>赖静菲</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color w:val="auto"/>
          <w:kern w:val="2"/>
          <w:sz w:val="24"/>
          <w:szCs w:val="24"/>
          <w:highlight w:val="none"/>
          <w:lang w:val="en-US" w:eastAsia="zh-CN" w:bidi="ar-SA"/>
        </w:rPr>
        <w:t>0574-67051519</w:t>
      </w:r>
    </w:p>
    <w:p w14:paraId="5F6B0D6D">
      <w:pPr>
        <w:spacing w:line="360" w:lineRule="auto"/>
        <w:rPr>
          <w:rFonts w:hint="eastAsia" w:ascii="宋体" w:hAnsi="宋体" w:eastAsia="宋体" w:cs="宋体"/>
          <w:b/>
          <w:sz w:val="24"/>
        </w:rPr>
      </w:pPr>
      <w:bookmarkStart w:id="44" w:name="_Toc28359021"/>
      <w:bookmarkStart w:id="45" w:name="_Toc35393639"/>
      <w:bookmarkStart w:id="46" w:name="_Toc35393808"/>
      <w:bookmarkStart w:id="47" w:name="_Toc2835909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强蛟镇历史遗留矿山整治项目工程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eastAsia="宋体" w:cs="宋体"/>
                <w:color w:val="auto"/>
                <w:sz w:val="22"/>
                <w:szCs w:val="22"/>
                <w:u w:val="single"/>
                <w:lang w:eastAsia="zh-CN"/>
              </w:rPr>
              <w:t>宁波工建工程造价咨询有限公司（宁海县桃源街道兴工三路69号二楼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收件人：施瑜     联系方式：0574-65250961。</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招标代理服务费的收取标准：代理机构按下表中货物招标的标准的（按差额定率累进法计算），根据预算金额，向成交人收取招标代理服务费。</w:t>
            </w:r>
          </w:p>
          <w:tbl>
            <w:tblPr>
              <w:tblStyle w:val="60"/>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w:t>
            </w:r>
            <w:r>
              <w:rPr>
                <w:rFonts w:hint="eastAsia" w:ascii="宋体" w:hAnsi="宋体" w:eastAsia="宋体" w:cs="宋体"/>
                <w:bCs/>
                <w:color w:val="auto"/>
                <w:sz w:val="22"/>
                <w:szCs w:val="22"/>
                <w:highlight w:val="none"/>
                <w:lang w:val="en-US" w:eastAsia="zh-CN"/>
              </w:rPr>
              <w:t>中国工商银行宁海跃龙支行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账    号：</w:t>
            </w:r>
            <w:r>
              <w:rPr>
                <w:rFonts w:hint="eastAsia" w:ascii="宋体" w:hAnsi="宋体" w:eastAsia="宋体" w:cs="宋体"/>
                <w:bCs/>
                <w:color w:val="auto"/>
                <w:sz w:val="22"/>
                <w:szCs w:val="22"/>
                <w:highlight w:val="none"/>
                <w:lang w:val="en-US" w:eastAsia="zh-CN"/>
              </w:rPr>
              <w:t>3901330309000199655</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户    名：</w:t>
            </w:r>
            <w:r>
              <w:rPr>
                <w:rFonts w:hint="eastAsia" w:ascii="宋体" w:hAnsi="宋体" w:eastAsia="宋体" w:cs="宋体"/>
                <w:kern w:val="0"/>
                <w:sz w:val="22"/>
                <w:szCs w:val="22"/>
                <w:lang w:eastAsia="zh-CN"/>
              </w:rPr>
              <w:t>宁波工建工程造价咨询有限公司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第三部分"/>
      <w:bookmarkStart w:id="51" w:name="_Toc164416483"/>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61DBAA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74707468"/>
      <w:bookmarkEnd w:id="56"/>
      <w:bookmarkStart w:id="57" w:name="_Hlt74714665"/>
      <w:bookmarkEnd w:id="57"/>
      <w:bookmarkStart w:id="58" w:name="_Hlt75236101"/>
      <w:bookmarkEnd w:id="58"/>
      <w:bookmarkStart w:id="59" w:name="_Hlt74730295"/>
      <w:bookmarkEnd w:id="59"/>
      <w:bookmarkStart w:id="60" w:name="_Hlt74729768"/>
      <w:bookmarkEnd w:id="60"/>
      <w:bookmarkStart w:id="61" w:name="_Hlt68072990"/>
      <w:bookmarkEnd w:id="61"/>
      <w:bookmarkStart w:id="62" w:name="_Hlt68057669"/>
      <w:bookmarkEnd w:id="62"/>
      <w:bookmarkStart w:id="63" w:name="_Hlt75236011"/>
      <w:bookmarkEnd w:id="63"/>
      <w:bookmarkStart w:id="64" w:name="_Hlt68072998"/>
      <w:bookmarkEnd w:id="64"/>
      <w:bookmarkStart w:id="65" w:name="_Hlt75236290"/>
      <w:bookmarkEnd w:id="65"/>
      <w:bookmarkStart w:id="66" w:name="_Hlt68073093"/>
      <w:bookmarkEnd w:id="66"/>
      <w:bookmarkStart w:id="67" w:name="_Hlt68403820"/>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6C8DF15E">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cs="宋体"/>
          <w:color w:val="auto"/>
          <w:sz w:val="24"/>
          <w:szCs w:val="24"/>
          <w:highlight w:val="none"/>
          <w:lang w:val="en-US" w:eastAsia="zh-CN"/>
        </w:rPr>
      </w:pPr>
      <w:bookmarkStart w:id="69" w:name="_Toc29324"/>
      <w:bookmarkStart w:id="70" w:name="_Toc14965613"/>
      <w:r>
        <w:rPr>
          <w:rFonts w:hint="eastAsia" w:ascii="宋体" w:hAnsi="宋体" w:eastAsia="宋体" w:cs="宋体"/>
          <w:color w:val="auto"/>
          <w:sz w:val="24"/>
          <w:szCs w:val="24"/>
          <w:highlight w:val="none"/>
          <w:lang w:val="en-US" w:eastAsia="zh-CN"/>
        </w:rPr>
        <w:t>一、</w:t>
      </w:r>
      <w:bookmarkEnd w:id="69"/>
      <w:r>
        <w:rPr>
          <w:rFonts w:hint="eastAsia" w:ascii="宋体" w:hAnsi="宋体" w:cs="宋体"/>
          <w:color w:val="auto"/>
          <w:sz w:val="24"/>
          <w:szCs w:val="24"/>
          <w:highlight w:val="none"/>
          <w:lang w:val="en-US" w:eastAsia="zh-CN"/>
        </w:rPr>
        <w:t>工程概况</w:t>
      </w:r>
    </w:p>
    <w:p w14:paraId="77840C29">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right="0" w:rightChars="0" w:firstLine="440" w:firstLineChars="200"/>
        <w:jc w:val="both"/>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本工程位于宁海县强蛟镇</w:t>
      </w:r>
      <w:r>
        <w:rPr>
          <w:rFonts w:hint="eastAsia" w:ascii="宋体" w:hAnsi="宋体" w:eastAsia="宋体" w:cs="宋体"/>
          <w:b w:val="0"/>
          <w:bCs w:val="0"/>
          <w:color w:val="auto"/>
          <w:kern w:val="2"/>
          <w:sz w:val="22"/>
          <w:szCs w:val="22"/>
          <w:highlight w:val="none"/>
          <w:lang w:val="en-US" w:eastAsia="zh-CN" w:bidi="ar-SA"/>
        </w:rPr>
        <w:t>。</w:t>
      </w:r>
    </w:p>
    <w:p w14:paraId="6EC8DA91">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建设规模：本工程共包含7处矿山治理项目，其中加爵科村5处、临港村1处、胜龙村1处。</w:t>
      </w:r>
    </w:p>
    <w:p w14:paraId="37DBCFCF">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工程范围：施工图范围内的清坡、浆砌块石挡墙、坡脚排水沟、蓄水池、绿化覆土、苗木绿化、挂网喷播、客土喷播等工程，(具体详见工程量清单)。</w:t>
      </w:r>
    </w:p>
    <w:p w14:paraId="569AC342">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质量要求：达到国家和行业施工验收规范，验收合格；</w:t>
      </w:r>
    </w:p>
    <w:p w14:paraId="1EE30C8D">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70"/>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71"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72"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71"/>
      <w:bookmarkEnd w:id="72"/>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7A2FFCD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、工程量清单</w:t>
      </w:r>
    </w:p>
    <w:p w14:paraId="45937C0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1、编制依据</w:t>
      </w:r>
    </w:p>
    <w:p w14:paraId="2342CF3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（1）由浙江省工程勘察设计集团有限公司负责设计的强蛟镇历史遗留矿山整治项目工程施工图（2025.3）。</w:t>
      </w:r>
    </w:p>
    <w:p w14:paraId="7EB30AD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计价依据：《浙江省建设工程计价规则(2018)版》、《浙江省市政工程预算定额（2018）版》、《浙江省园林绿化及仿古建筑工程预算定额（2018）版》、《浙江省建设工程施工费用定额（2018）版》、《建设工程工程量清单计价规范（GB50500-2013）》及相关(2018版）定额勘误表。</w:t>
      </w:r>
    </w:p>
    <w:p w14:paraId="06C1EDC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（3）取费标准：</w:t>
      </w:r>
    </w:p>
    <w:p w14:paraId="2895A303">
      <w:pPr>
        <w:spacing w:line="500" w:lineRule="exact"/>
        <w:ind w:firstLine="440" w:firstLineChars="200"/>
        <w:rPr>
          <w:rFonts w:hint="eastAsia" w:ascii="宋体" w:hAnsi="宋体" w:eastAsia="宋体" w:cs="宋体"/>
          <w:snapToGrid w:val="0"/>
          <w:sz w:val="22"/>
          <w:szCs w:val="22"/>
          <w:highlight w:val="none"/>
          <w:lang w:val="en-US" w:eastAsia="zh-CN"/>
        </w:rPr>
      </w:pPr>
      <w:r>
        <w:rPr>
          <w:rFonts w:hint="default" w:ascii="宋体" w:hAnsi="宋体" w:eastAsia="宋体" w:cs="宋体"/>
          <w:snapToGrid w:val="0"/>
          <w:sz w:val="22"/>
          <w:szCs w:val="22"/>
          <w:highlight w:val="none"/>
          <w:lang w:val="en-US" w:eastAsia="zh-CN"/>
        </w:rPr>
        <w:t>①</w:t>
      </w:r>
      <w:r>
        <w:rPr>
          <w:rFonts w:hint="eastAsia" w:ascii="宋体" w:hAnsi="宋体" w:eastAsia="宋体" w:cs="宋体"/>
          <w:snapToGrid w:val="0"/>
          <w:sz w:val="22"/>
          <w:szCs w:val="22"/>
          <w:highlight w:val="none"/>
          <w:lang w:val="en-US" w:eastAsia="zh-CN"/>
        </w:rPr>
        <w:t>治理工程按道路、排水、河道护岸、水处理构筑物工程计取，绿化部分按单独绿化工程计取；安全生产责任险保险费按市建管[2024]12号文件计取。</w:t>
      </w:r>
    </w:p>
    <w:p w14:paraId="14C1131C">
      <w:pPr>
        <w:spacing w:line="500" w:lineRule="exact"/>
        <w:ind w:firstLine="440" w:firstLineChars="200"/>
        <w:rPr>
          <w:rFonts w:hint="eastAsia" w:ascii="宋体" w:hAnsi="宋体" w:eastAsia="宋体" w:cs="宋体"/>
          <w:snapToGrid w:val="0"/>
          <w:sz w:val="22"/>
          <w:szCs w:val="22"/>
          <w:highlight w:val="none"/>
          <w:lang w:val="en-US" w:eastAsia="zh-CN"/>
        </w:rPr>
      </w:pPr>
      <w:r>
        <w:rPr>
          <w:rFonts w:hint="default" w:ascii="宋体" w:hAnsi="宋体" w:eastAsia="宋体" w:cs="宋体"/>
          <w:snapToGrid w:val="0"/>
          <w:sz w:val="22"/>
          <w:szCs w:val="22"/>
          <w:highlight w:val="none"/>
          <w:lang w:val="en-US" w:eastAsia="zh-CN"/>
        </w:rPr>
        <w:t>②</w:t>
      </w:r>
      <w:r>
        <w:rPr>
          <w:rFonts w:hint="eastAsia" w:ascii="宋体" w:hAnsi="宋体" w:eastAsia="宋体" w:cs="宋体"/>
          <w:snapToGrid w:val="0"/>
          <w:sz w:val="22"/>
          <w:szCs w:val="22"/>
          <w:highlight w:val="none"/>
          <w:lang w:val="en-US" w:eastAsia="zh-CN"/>
        </w:rPr>
        <w:t>组织措施费（安全文明施工费按非市区工程、冬雨季施工增加费计入，其中安全文明施工费按浙建建发[2022]37号文件增加疫情常态化防控和“智慧工地”增加费调整，其他费未计），规费按标准取费30%计算。</w:t>
      </w:r>
    </w:p>
    <w:p w14:paraId="26867848">
      <w:pPr>
        <w:spacing w:line="500" w:lineRule="exact"/>
        <w:ind w:firstLine="440" w:firstLineChars="200"/>
        <w:rPr>
          <w:rFonts w:hint="eastAsia" w:ascii="宋体" w:hAnsi="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（4）材料价格按宁波市造价信息2025年4月份宁海信息价（缺项部分参照宁波市信息价），园林苗木按2025年3月份信息价计入</w:t>
      </w:r>
      <w:r>
        <w:rPr>
          <w:rFonts w:hint="eastAsia" w:ascii="宋体" w:hAnsi="宋体" w:cs="宋体"/>
          <w:snapToGrid w:val="0"/>
          <w:sz w:val="22"/>
          <w:szCs w:val="22"/>
          <w:highlight w:val="none"/>
          <w:lang w:val="en-US" w:eastAsia="zh-CN"/>
        </w:rPr>
        <w:t>。</w:t>
      </w:r>
    </w:p>
    <w:p w14:paraId="7B004DA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（5）人工信息价150-184元（一~三类人工）。</w:t>
      </w:r>
    </w:p>
    <w:p w14:paraId="6A6603CC">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（6）本工程按营改增税率9%计算。</w:t>
      </w:r>
    </w:p>
    <w:p w14:paraId="5F47104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2、其他编制说明：</w:t>
      </w:r>
    </w:p>
    <w:p w14:paraId="5FB8FA74">
      <w:pPr>
        <w:spacing w:line="500" w:lineRule="exact"/>
        <w:ind w:firstLine="440" w:firstLineChars="200"/>
        <w:rPr>
          <w:rFonts w:hint="eastAsia" w:ascii="宋体" w:hAnsi="宋体" w:eastAsia="宋体" w:cs="宋体"/>
          <w:snapToGrid w:val="0"/>
          <w:sz w:val="22"/>
          <w:szCs w:val="22"/>
          <w:highlight w:val="none"/>
          <w:lang w:val="en-US" w:eastAsia="zh-CN"/>
        </w:rPr>
      </w:pPr>
      <w:bookmarkStart w:id="73" w:name="_Toc520653672"/>
      <w:r>
        <w:rPr>
          <w:rFonts w:hint="eastAsia" w:ascii="宋体" w:hAnsi="宋体" w:eastAsia="宋体" w:cs="宋体"/>
          <w:snapToGrid w:val="0"/>
          <w:sz w:val="22"/>
          <w:szCs w:val="22"/>
          <w:highlight w:val="none"/>
          <w:lang w:val="en-US" w:eastAsia="zh-CN"/>
        </w:rPr>
        <w:t>（1）本工程清坡及开挖方量均场内填平考虑，不考虑外运。</w:t>
      </w:r>
    </w:p>
    <w:p w14:paraId="1FF2E7E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（2）本工程混凝土均按商品混凝土计算，模板按砼与模板的接触面积计算。</w:t>
      </w:r>
    </w:p>
    <w:p w14:paraId="1673112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（3）加爵科村白象山东海螺水泥厂南侧废弃矿山、临港村大来头山南侧废弃矿山、胜龙村北东侧（雷鸟科技公司北西侧）废弃矿山三处浆砌块石挡墙主材均以开挖料就地利用考虑，不考虑外购。</w:t>
      </w:r>
    </w:p>
    <w:p w14:paraId="6F4EE93A">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（4）不可预见费按100000元（不含税金）计入</w:t>
      </w:r>
    </w:p>
    <w:p w14:paraId="567CDECA">
      <w:pPr>
        <w:spacing w:line="500" w:lineRule="exact"/>
        <w:ind w:firstLine="440" w:firstLineChars="200"/>
        <w:rPr>
          <w:rFonts w:hint="default"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3、工程量清单（另册）</w:t>
      </w:r>
    </w:p>
    <w:p w14:paraId="0CDFEAF1">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六、图纸</w:t>
      </w:r>
      <w:bookmarkEnd w:id="73"/>
      <w:r>
        <w:rPr>
          <w:rFonts w:hint="eastAsia" w:ascii="宋体" w:hAnsi="宋体" w:eastAsia="宋体" w:cs="宋体"/>
          <w:b/>
          <w:bCs/>
          <w:sz w:val="21"/>
          <w:szCs w:val="21"/>
          <w:highlight w:val="none"/>
          <w:lang w:val="en-US" w:eastAsia="zh-CN"/>
        </w:rPr>
        <w:t>及招标控制价</w:t>
      </w:r>
    </w:p>
    <w:p w14:paraId="3DBD427F">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color w:val="auto"/>
          <w:kern w:val="2"/>
          <w:sz w:val="22"/>
          <w:szCs w:val="22"/>
          <w:highlight w:val="none"/>
          <w:lang w:val="en-US" w:eastAsia="zh-CN" w:bidi="ar"/>
        </w:rPr>
        <w:t>由投标人在公告发布网站自行下载。</w:t>
      </w:r>
    </w:p>
    <w:p w14:paraId="599B272D">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bookmarkStart w:id="74" w:name="_Toc40625952"/>
      <w:bookmarkStart w:id="75" w:name="_Toc10954"/>
      <w:r>
        <w:rPr>
          <w:rFonts w:hint="eastAsia" w:ascii="宋体" w:hAnsi="宋体" w:eastAsia="宋体" w:cs="宋体"/>
          <w:b/>
          <w:bCs/>
          <w:sz w:val="21"/>
          <w:szCs w:val="21"/>
          <w:highlight w:val="none"/>
          <w:lang w:val="en-US" w:eastAsia="zh-CN"/>
        </w:rPr>
        <w:t>七、商务条款要求</w:t>
      </w:r>
    </w:p>
    <w:bookmarkEnd w:id="74"/>
    <w:bookmarkEnd w:id="75"/>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7"/>
              <w:spacing w:line="400" w:lineRule="exact"/>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合同履约期限（工期）：自开工令发出之日起</w:t>
            </w:r>
            <w:r>
              <w:rPr>
                <w:rFonts w:hint="eastAsia" w:hAnsi="宋体" w:cs="宋体"/>
                <w:color w:val="000000"/>
                <w:kern w:val="2"/>
                <w:sz w:val="22"/>
                <w:szCs w:val="22"/>
                <w:highlight w:val="none"/>
                <w:lang w:val="en-US" w:eastAsia="zh-CN" w:bidi="ar-SA"/>
              </w:rPr>
              <w:t>120日历天</w:t>
            </w:r>
            <w:r>
              <w:rPr>
                <w:rFonts w:hint="eastAsia" w:ascii="宋体" w:hAnsi="宋体" w:eastAsia="宋体" w:cs="宋体"/>
                <w:color w:val="000000"/>
                <w:kern w:val="2"/>
                <w:sz w:val="22"/>
                <w:szCs w:val="22"/>
                <w:highlight w:val="none"/>
                <w:lang w:val="en-US" w:eastAsia="zh-CN" w:bidi="ar-SA"/>
              </w:rPr>
              <w:t>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r>
              <w:rPr>
                <w:rFonts w:hint="eastAsia" w:hAnsi="宋体" w:cs="宋体"/>
                <w:color w:val="000000"/>
                <w:kern w:val="2"/>
                <w:sz w:val="22"/>
                <w:szCs w:val="22"/>
                <w:highlight w:val="none"/>
                <w:lang w:val="en-US" w:eastAsia="zh-CN" w:bidi="ar-SA"/>
              </w:rPr>
              <w:t>（实际付款时间待上级资金到位后付款）</w:t>
            </w:r>
          </w:p>
          <w:p w14:paraId="3DC12F19">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8"/>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6EA2106A">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2481498</w:t>
            </w:r>
            <w:r>
              <w:rPr>
                <w:rFonts w:hint="eastAsia" w:ascii="宋体" w:hAnsi="宋体" w:eastAsia="宋体" w:cs="宋体"/>
                <w:color w:val="000000"/>
                <w:kern w:val="2"/>
                <w:sz w:val="22"/>
                <w:szCs w:val="22"/>
                <w:highlight w:val="none"/>
                <w:lang w:val="en-US" w:eastAsia="zh-CN" w:bidi="ar-SA"/>
              </w:rPr>
              <w:t>元</w:t>
            </w:r>
            <w:r>
              <w:rPr>
                <w:rFonts w:hint="eastAsia" w:ascii="宋体" w:hAnsi="宋体" w:cs="宋体"/>
                <w:color w:val="000000"/>
                <w:kern w:val="2"/>
                <w:sz w:val="22"/>
                <w:szCs w:val="22"/>
                <w:highlight w:val="none"/>
                <w:lang w:val="en-US" w:eastAsia="zh-CN" w:bidi="ar-SA"/>
              </w:rPr>
              <w:t>，其中不可预见109000元（含税）未下浮。</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tbl>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numPr>
          <w:ilvl w:val="0"/>
          <w:numId w:val="9"/>
        </w:numPr>
        <w:adjustRightInd/>
        <w:spacing w:line="360" w:lineRule="auto"/>
        <w:jc w:val="center"/>
        <w:outlineLvl w:val="0"/>
        <w:rPr>
          <w:rFonts w:hint="eastAsia" w:ascii="宋体" w:hAnsi="宋体" w:cs="宋体"/>
          <w:b/>
          <w:sz w:val="36"/>
          <w:szCs w:val="36"/>
        </w:rPr>
      </w:pPr>
      <w:bookmarkStart w:id="76" w:name="_Toc14200"/>
      <w:r>
        <w:rPr>
          <w:rFonts w:hint="eastAsia" w:ascii="宋体" w:hAnsi="宋体" w:cs="宋体"/>
          <w:b/>
          <w:sz w:val="36"/>
          <w:szCs w:val="36"/>
        </w:rPr>
        <w:t xml:space="preserve"> </w:t>
      </w:r>
      <w:bookmarkEnd w:id="50"/>
      <w:bookmarkEnd w:id="51"/>
      <w:bookmarkStart w:id="77" w:name="第四部分"/>
      <w:r>
        <w:rPr>
          <w:rFonts w:hint="eastAsia" w:ascii="宋体" w:hAnsi="宋体" w:cs="宋体"/>
          <w:b/>
          <w:sz w:val="36"/>
          <w:szCs w:val="36"/>
        </w:rPr>
        <w:t>评审方法及评审标准</w:t>
      </w:r>
      <w:bookmarkEnd w:id="76"/>
    </w:p>
    <w:p w14:paraId="0C3C2A6F">
      <w:pPr>
        <w:pStyle w:val="395"/>
        <w:spacing w:before="0"/>
        <w:ind w:firstLine="643"/>
        <w:jc w:val="center"/>
        <w:rPr>
          <w:rFonts w:hint="eastAsia" w:ascii="宋体" w:hAnsi="宋体" w:cs="宋体"/>
          <w:b/>
          <w:sz w:val="32"/>
        </w:rPr>
      </w:pPr>
      <w:r>
        <w:rPr>
          <w:rFonts w:hint="eastAsia" w:ascii="宋体" w:hAnsi="宋体" w:cs="宋体"/>
          <w:b/>
          <w:sz w:val="32"/>
        </w:rPr>
        <w:t>评审方法前附表</w:t>
      </w:r>
    </w:p>
    <w:tbl>
      <w:tblPr>
        <w:tblStyle w:val="60"/>
        <w:tblW w:w="101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941"/>
        <w:gridCol w:w="6772"/>
        <w:gridCol w:w="803"/>
        <w:gridCol w:w="700"/>
      </w:tblGrid>
      <w:tr w14:paraId="54238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840" w:type="dxa"/>
            <w:gridSpan w:val="2"/>
            <w:noWrap w:val="0"/>
            <w:vAlign w:val="center"/>
          </w:tcPr>
          <w:p w14:paraId="570E3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lang w:val="en-US" w:eastAsia="zh-CN"/>
              </w:rPr>
              <w:t>评分</w:t>
            </w:r>
            <w:r>
              <w:rPr>
                <w:rFonts w:hint="eastAsia" w:ascii="宋体" w:hAnsi="宋体" w:eastAsia="宋体" w:cs="宋体"/>
                <w:b/>
                <w:bCs/>
                <w:color w:val="auto"/>
                <w:sz w:val="20"/>
                <w:szCs w:val="20"/>
              </w:rPr>
              <w:t>项目</w:t>
            </w:r>
          </w:p>
        </w:tc>
        <w:tc>
          <w:tcPr>
            <w:tcW w:w="6772" w:type="dxa"/>
            <w:noWrap w:val="0"/>
            <w:vAlign w:val="center"/>
          </w:tcPr>
          <w:p w14:paraId="47979AD8">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rPr>
              <w:t>评分细则</w:t>
            </w:r>
          </w:p>
        </w:tc>
        <w:tc>
          <w:tcPr>
            <w:tcW w:w="803" w:type="dxa"/>
            <w:noWrap w:val="0"/>
            <w:vAlign w:val="center"/>
          </w:tcPr>
          <w:p w14:paraId="48CFB21E">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分值</w:t>
            </w:r>
          </w:p>
        </w:tc>
        <w:tc>
          <w:tcPr>
            <w:tcW w:w="700" w:type="dxa"/>
            <w:noWrap w:val="0"/>
            <w:vAlign w:val="center"/>
          </w:tcPr>
          <w:p w14:paraId="2DBDFD63">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备注</w:t>
            </w:r>
          </w:p>
        </w:tc>
      </w:tr>
      <w:tr w14:paraId="67C7C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restart"/>
            <w:noWrap w:val="0"/>
            <w:vAlign w:val="center"/>
          </w:tcPr>
          <w:p w14:paraId="2B9D5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技术</w:t>
            </w:r>
            <w:r>
              <w:rPr>
                <w:rFonts w:hint="eastAsia" w:ascii="宋体" w:hAnsi="宋体" w:eastAsia="宋体" w:cs="宋体"/>
                <w:color w:val="auto"/>
                <w:sz w:val="20"/>
                <w:szCs w:val="20"/>
                <w:highlight w:val="none"/>
                <w:lang w:val="en-US" w:eastAsia="zh-CN"/>
              </w:rPr>
              <w:t>商务</w:t>
            </w:r>
            <w:r>
              <w:rPr>
                <w:rFonts w:hint="eastAsia" w:ascii="宋体" w:hAnsi="宋体" w:eastAsia="宋体" w:cs="宋体"/>
                <w:color w:val="auto"/>
                <w:sz w:val="20"/>
                <w:szCs w:val="20"/>
                <w:highlight w:val="none"/>
                <w:lang w:val="zh-CN"/>
              </w:rPr>
              <w:t>部分</w:t>
            </w:r>
            <w:r>
              <w:rPr>
                <w:rFonts w:hint="eastAsia" w:ascii="宋体" w:hAnsi="宋体" w:eastAsia="宋体" w:cs="宋体"/>
                <w:color w:val="auto"/>
                <w:sz w:val="20"/>
                <w:szCs w:val="20"/>
                <w:highlight w:val="none"/>
                <w:lang w:val="en-US" w:eastAsia="zh-CN"/>
              </w:rPr>
              <w:t>70</w:t>
            </w:r>
            <w:r>
              <w:rPr>
                <w:rFonts w:hint="eastAsia" w:ascii="宋体" w:hAnsi="宋体" w:eastAsia="宋体" w:cs="宋体"/>
                <w:color w:val="auto"/>
                <w:sz w:val="20"/>
                <w:szCs w:val="20"/>
                <w:highlight w:val="none"/>
                <w:lang w:val="zh-CN"/>
              </w:rPr>
              <w:t>分</w:t>
            </w:r>
          </w:p>
        </w:tc>
        <w:tc>
          <w:tcPr>
            <w:tcW w:w="941" w:type="dxa"/>
            <w:vMerge w:val="restart"/>
            <w:noWrap w:val="0"/>
            <w:vAlign w:val="center"/>
          </w:tcPr>
          <w:p w14:paraId="2C359B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施工组织方案</w:t>
            </w:r>
          </w:p>
          <w:p w14:paraId="2DBB5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45</w:t>
            </w:r>
            <w:r>
              <w:rPr>
                <w:rFonts w:hint="eastAsia" w:ascii="宋体" w:hAnsi="宋体" w:eastAsia="宋体" w:cs="宋体"/>
                <w:color w:val="auto"/>
                <w:sz w:val="20"/>
                <w:szCs w:val="20"/>
                <w:highlight w:val="none"/>
                <w:lang w:val="zh-CN"/>
              </w:rPr>
              <w:t>分）</w:t>
            </w:r>
          </w:p>
        </w:tc>
        <w:tc>
          <w:tcPr>
            <w:tcW w:w="6772" w:type="dxa"/>
            <w:noWrap w:val="0"/>
            <w:vAlign w:val="center"/>
          </w:tcPr>
          <w:p w14:paraId="2C6291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施工方案（</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13371F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根据供应商整体施工方案的完整性、施工措施、可执行力度进行评分：</w:t>
            </w:r>
          </w:p>
          <w:p w14:paraId="446305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①施工方案内容详实、施工措施得力，可执行力度高，得5分；</w:t>
            </w:r>
          </w:p>
          <w:p w14:paraId="0B75CF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②施工方案内容较详实，施工措施可行，可执行力度较高，得4分；</w:t>
            </w:r>
          </w:p>
          <w:p w14:paraId="6C380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③施工方案内容完整但不够详细，施工措施敷衍，可执行力较低，得3分；</w:t>
            </w:r>
          </w:p>
          <w:p w14:paraId="38AB2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④施工方案内容简单，施工措施敷衍，可执行力低，得2分；</w:t>
            </w:r>
          </w:p>
          <w:p w14:paraId="0D771D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⑤施工方案内容欠缺，施工措施欠缺，基本无可执行力，得1分；</w:t>
            </w:r>
          </w:p>
          <w:p w14:paraId="01DE40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未提供相关内容不得分。</w:t>
            </w:r>
          </w:p>
        </w:tc>
        <w:tc>
          <w:tcPr>
            <w:tcW w:w="803" w:type="dxa"/>
            <w:noWrap w:val="0"/>
            <w:vAlign w:val="center"/>
          </w:tcPr>
          <w:p w14:paraId="7A04D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5D1BB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35AF6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609DD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137CE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60E74A4F">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施工</w:t>
            </w:r>
            <w:r>
              <w:rPr>
                <w:rFonts w:hint="eastAsia" w:ascii="宋体" w:hAnsi="宋体" w:eastAsia="宋体" w:cs="宋体"/>
                <w:color w:val="auto"/>
                <w:sz w:val="20"/>
                <w:szCs w:val="20"/>
                <w:highlight w:val="none"/>
                <w:lang w:val="zh-CN"/>
              </w:rPr>
              <w:t>质量保证措施（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15779F1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根据供应商提供的施工质量保证措施（包括但不仅限于材料及设备质量保证措施等）</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7B72EE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①施工质量保证措施方案详实、内容完整，针对性强，可执行力度高，得5分；</w:t>
            </w:r>
          </w:p>
          <w:p w14:paraId="2F53BB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②施工质量保证措施方案较详细、内容充分，有一定针对性，可执行力度较高，得4分；</w:t>
            </w:r>
          </w:p>
          <w:p w14:paraId="0C8AC2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③施工质量保证措施方案较详细、内容较多，缺乏针对性，可执行力较低，得3分；</w:t>
            </w:r>
          </w:p>
          <w:p w14:paraId="634382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④施工质量保证措施方案较简单、内容较少，无针对性，可执行力低，得2分；</w:t>
            </w:r>
          </w:p>
          <w:p w14:paraId="3393E7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⑤施工质量保证措施方案简单、内容少，无针对性，基本无可执行力，得1分；</w:t>
            </w:r>
          </w:p>
          <w:p w14:paraId="15D88D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33D0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6996E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3814D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65BE1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36AA4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7ED575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施工进度计划及保证措施（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653D8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根据供应商提供的施工进度计划安排（时间节点安排、保障措施等）</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3BDB81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①施工进度计划安排详实、内容完整，时间节点明确，保障措施得力，可执行力度高，得5分；</w:t>
            </w:r>
          </w:p>
          <w:p w14:paraId="29FEB2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②施工进度计划安排较详细、内容充分，时间节点较明确，保障措施可行，可执行力度较高，得4分；</w:t>
            </w:r>
          </w:p>
          <w:p w14:paraId="6B69DA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③施工进度计划安排较详细、内容较多，时间节点基本明确，保障措施基本可行，可执行力较低，得3分；</w:t>
            </w:r>
          </w:p>
          <w:p w14:paraId="7578CB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④施工进度计划较简单、内容较少，时间节点模糊，保障措施敷衍，可执行力低，得2分；</w:t>
            </w:r>
          </w:p>
          <w:p w14:paraId="0D4D91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⑤施工进度计划简单、内容少，时间节点不清晰，保障措施欠缺，基本无可执行力，得1分；</w:t>
            </w:r>
          </w:p>
          <w:p w14:paraId="2DC27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3BF42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1874A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6116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17FD3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34315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332B06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安全生产、文明施工措施（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384BA2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根据</w:t>
            </w:r>
            <w:r>
              <w:rPr>
                <w:rFonts w:hint="eastAsia" w:ascii="宋体" w:hAnsi="宋体" w:eastAsia="宋体" w:cs="宋体"/>
                <w:color w:val="auto"/>
                <w:sz w:val="20"/>
                <w:szCs w:val="20"/>
                <w:highlight w:val="none"/>
                <w:lang w:val="zh-CN" w:eastAsia="zh-CN"/>
              </w:rPr>
              <w:t>供应商</w:t>
            </w:r>
            <w:r>
              <w:rPr>
                <w:rFonts w:hint="eastAsia" w:ascii="宋体" w:hAnsi="宋体" w:eastAsia="宋体" w:cs="宋体"/>
                <w:color w:val="auto"/>
                <w:sz w:val="20"/>
                <w:szCs w:val="20"/>
                <w:highlight w:val="none"/>
                <w:lang w:val="zh-CN"/>
              </w:rPr>
              <w:t>针对本项目拟定的安全生产、文明施工</w:t>
            </w:r>
            <w:r>
              <w:rPr>
                <w:rFonts w:hint="eastAsia" w:ascii="宋体" w:hAnsi="宋体" w:eastAsia="宋体" w:cs="宋体"/>
                <w:color w:val="auto"/>
                <w:sz w:val="20"/>
                <w:szCs w:val="20"/>
                <w:highlight w:val="none"/>
                <w:lang w:val="zh-CN" w:eastAsia="zh-CN"/>
              </w:rPr>
              <w:t>进行评议：</w:t>
            </w:r>
          </w:p>
          <w:p w14:paraId="45C9ED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①</w:t>
            </w:r>
            <w:r>
              <w:rPr>
                <w:rFonts w:hint="eastAsia" w:ascii="宋体" w:hAnsi="宋体" w:eastAsia="宋体" w:cs="宋体"/>
                <w:color w:val="auto"/>
                <w:sz w:val="20"/>
                <w:szCs w:val="20"/>
                <w:highlight w:val="none"/>
                <w:lang w:val="zh-CN"/>
              </w:rPr>
              <w:t>拟定的安全生产、文明施工措施</w:t>
            </w:r>
            <w:r>
              <w:rPr>
                <w:rFonts w:hint="eastAsia" w:ascii="宋体" w:hAnsi="宋体" w:eastAsia="宋体" w:cs="宋体"/>
                <w:color w:val="auto"/>
                <w:sz w:val="20"/>
                <w:szCs w:val="20"/>
                <w:highlight w:val="none"/>
                <w:lang w:val="zh-CN" w:eastAsia="zh-CN"/>
              </w:rPr>
              <w:t>完整</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zh-CN" w:eastAsia="zh-CN"/>
              </w:rPr>
              <w:t>合理</w:t>
            </w:r>
            <w:r>
              <w:rPr>
                <w:rFonts w:hint="eastAsia" w:ascii="宋体" w:hAnsi="宋体" w:eastAsia="宋体" w:cs="宋体"/>
                <w:color w:val="auto"/>
                <w:sz w:val="20"/>
                <w:szCs w:val="20"/>
                <w:highlight w:val="none"/>
                <w:lang w:val="zh-CN"/>
              </w:rPr>
              <w:t>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494922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②拟定的安全生产、文明施工措施</w:t>
            </w:r>
            <w:r>
              <w:rPr>
                <w:rFonts w:hint="eastAsia" w:ascii="宋体" w:hAnsi="宋体" w:eastAsia="宋体" w:cs="宋体"/>
                <w:color w:val="auto"/>
                <w:sz w:val="20"/>
                <w:szCs w:val="20"/>
                <w:highlight w:val="none"/>
                <w:lang w:val="zh-CN" w:eastAsia="zh-CN"/>
              </w:rPr>
              <w:t>基本完整、合理的，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p>
          <w:p w14:paraId="666B37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③拟定的安全生产、文明施工措施</w:t>
            </w:r>
            <w:r>
              <w:rPr>
                <w:rFonts w:hint="eastAsia" w:ascii="宋体" w:hAnsi="宋体" w:eastAsia="宋体" w:cs="宋体"/>
                <w:color w:val="auto"/>
                <w:sz w:val="20"/>
                <w:szCs w:val="20"/>
                <w:highlight w:val="none"/>
                <w:lang w:val="zh-CN" w:eastAsia="zh-CN"/>
              </w:rPr>
              <w:t>一般有瑕疵的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w:t>
            </w:r>
          </w:p>
          <w:p w14:paraId="47B4B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④</w:t>
            </w:r>
            <w:r>
              <w:rPr>
                <w:rFonts w:hint="eastAsia" w:ascii="宋体" w:hAnsi="宋体" w:eastAsia="宋体" w:cs="宋体"/>
                <w:color w:val="auto"/>
                <w:sz w:val="20"/>
                <w:szCs w:val="20"/>
                <w:highlight w:val="none"/>
                <w:lang w:val="zh-CN"/>
              </w:rPr>
              <w:t>拟定的安全生产、文明施工措施</w:t>
            </w:r>
            <w:r>
              <w:rPr>
                <w:rFonts w:hint="eastAsia" w:ascii="宋体" w:hAnsi="宋体" w:eastAsia="宋体" w:cs="宋体"/>
                <w:color w:val="auto"/>
                <w:sz w:val="20"/>
                <w:szCs w:val="20"/>
                <w:highlight w:val="none"/>
                <w:lang w:val="zh-CN" w:eastAsia="zh-CN"/>
              </w:rPr>
              <w:t>简单存在缺陷的，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分；</w:t>
            </w:r>
          </w:p>
          <w:p w14:paraId="1B2B19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⑤拟定的安全生产、文明施工措施</w:t>
            </w:r>
            <w:r>
              <w:rPr>
                <w:rFonts w:hint="eastAsia" w:ascii="宋体" w:hAnsi="宋体" w:eastAsia="宋体" w:cs="宋体"/>
                <w:color w:val="auto"/>
                <w:sz w:val="20"/>
                <w:szCs w:val="20"/>
                <w:highlight w:val="none"/>
                <w:lang w:val="zh-CN" w:eastAsia="zh-CN"/>
              </w:rPr>
              <w:t>无法满足要求的，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分</w:t>
            </w:r>
          </w:p>
          <w:p w14:paraId="60054F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6FA09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74377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69DB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2BEAF5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229AF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52C457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环保管理体系和措施（</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76744F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根据供应商提供的施工环保管理措施（包括但不仅限于防噪音、防扬尘、防灯光污染、防刺鼻气味等施工环境维护保障措施等）</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56C65A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①施工环保管理措施完善，防噪音、防扬尘、防灯光污染、防刺鼻气味等施工环境维护保障措施可行的，得5分；</w:t>
            </w:r>
          </w:p>
          <w:p w14:paraId="25859E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②施工环保管理措施较完善，防噪音、防扬尘、防灯光污染、防刺鼻气味等施工环境维护保障措施基本可行的，得4分；</w:t>
            </w:r>
          </w:p>
          <w:p w14:paraId="107F4B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③施工环保管理措施一般，防噪音、防扬尘、防灯光污染、防刺鼻气味等施工环境维护保障措施存在较低风险的，得3分；</w:t>
            </w:r>
          </w:p>
          <w:p w14:paraId="11B7BA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④施工环保管理措施较简单，防噪音、防扬尘、防灯光污染、防刺鼻气味等施工环境维护保障措施存在较高风险的，得2分；</w:t>
            </w:r>
          </w:p>
          <w:p w14:paraId="1E682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⑤施工环保管理措施简单，防噪音、防扬尘、防灯光污染、防刺鼻气味等施工环境维护保障措施不可行且存在风险的，得1分；</w:t>
            </w:r>
          </w:p>
          <w:p w14:paraId="19ADD3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47F2B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07D82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0D1F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706AB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67900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46553B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主要施工机械设备的选用和布置（</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7CEDC7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rPr>
              <w:t>施工机械设备的选用和布置</w:t>
            </w:r>
            <w:r>
              <w:rPr>
                <w:rFonts w:hint="eastAsia" w:ascii="宋体" w:hAnsi="宋体" w:eastAsia="宋体" w:cs="宋体"/>
                <w:color w:val="auto"/>
                <w:sz w:val="20"/>
                <w:szCs w:val="20"/>
                <w:highlight w:val="none"/>
                <w:lang w:val="zh-CN" w:eastAsia="zh-CN"/>
              </w:rPr>
              <w:t>进行评议：</w:t>
            </w:r>
          </w:p>
          <w:p w14:paraId="69731A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①施工机械设备种类齐全、规格型号新、能保证项目顺利实施的得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eastAsia="zh-CN"/>
              </w:rPr>
              <w:t>分；</w:t>
            </w:r>
          </w:p>
          <w:p w14:paraId="1ABE8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②施工机械设备种类较为齐全、规格型号较新、能保证项目顺利实施的得4分；</w:t>
            </w:r>
          </w:p>
          <w:p w14:paraId="5B5CA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③施工机械设备种类齐全、但部分非主体设备略为陈旧的，但能基本保证项目实施的得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eastAsia="zh-CN"/>
              </w:rPr>
              <w:t>分；</w:t>
            </w:r>
          </w:p>
          <w:p w14:paraId="441608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④施工机械设备种类较齐全、设备略为陈旧，但能基本保证项目实施的得2分；</w:t>
            </w:r>
          </w:p>
          <w:p w14:paraId="70DBE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⑤施工机械设备不全、或陈旧落后难以保证项目顺利实施的得1分</w:t>
            </w:r>
          </w:p>
          <w:p w14:paraId="2CE296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zh-CN" w:eastAsia="zh-CN"/>
              </w:rPr>
              <w:t>未提供相关内容不得分。</w:t>
            </w:r>
          </w:p>
          <w:p w14:paraId="779D7A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注：</w:t>
            </w:r>
            <w:r>
              <w:rPr>
                <w:rFonts w:hint="eastAsia" w:ascii="宋体" w:hAnsi="宋体" w:eastAsia="宋体" w:cs="宋体"/>
                <w:color w:val="auto"/>
                <w:sz w:val="20"/>
                <w:szCs w:val="20"/>
                <w:highlight w:val="none"/>
                <w:lang w:val="zh-CN"/>
              </w:rPr>
              <w:t>提供主要施工机械设备清单及发票复印件。</w:t>
            </w:r>
          </w:p>
        </w:tc>
        <w:tc>
          <w:tcPr>
            <w:tcW w:w="803" w:type="dxa"/>
            <w:noWrap w:val="0"/>
            <w:vAlign w:val="center"/>
          </w:tcPr>
          <w:p w14:paraId="0A59D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7A77C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613F8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75705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3E447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0CB605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（7）方案各工程关键节点（5分）</w:t>
            </w:r>
          </w:p>
          <w:p w14:paraId="4CB3BA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方案各工程关键节点进行评议：</w:t>
            </w:r>
          </w:p>
          <w:p w14:paraId="21342C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①方案各工程关键节点分析准确、把控得当的、能保证项目顺利实施的得5分；</w:t>
            </w:r>
          </w:p>
          <w:p w14:paraId="02930C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②方案各工程关键节点能满足基本需求能，保证项目顺利实施的得4分；</w:t>
            </w:r>
          </w:p>
          <w:p w14:paraId="7C58C1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③方案能满足本工程的基本需求，工程关键节点把控略有欠缺的得3分；</w:t>
            </w:r>
          </w:p>
          <w:p w14:paraId="17F8B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④方案存在明显缺漏或过于笼统没有针对性，存在较多的不足，可行性差的得2分；</w:t>
            </w:r>
          </w:p>
          <w:p w14:paraId="60A6B3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⑤方案与实际情况存在一定偏差，难以保证项目顺利实施的得1分；</w:t>
            </w:r>
          </w:p>
          <w:p w14:paraId="6C775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未提供相关内容不得分。</w:t>
            </w:r>
          </w:p>
        </w:tc>
        <w:tc>
          <w:tcPr>
            <w:tcW w:w="803" w:type="dxa"/>
            <w:noWrap w:val="0"/>
            <w:vAlign w:val="center"/>
          </w:tcPr>
          <w:p w14:paraId="43C44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72F96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21DA7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38854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1FA67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4930C07F">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临时设施布置方案（5分）</w:t>
            </w:r>
          </w:p>
          <w:p w14:paraId="0FB7A3E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根据供应商提供的施工现场临时设施布置方案（包括施工现场临时设施布置情况、施工设备及原材料堆放情况等）进行评议：</w:t>
            </w:r>
          </w:p>
          <w:p w14:paraId="24840B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①布置方案详实、内容完整，临时设施考虑齐全且布置科学，施工设备及原材料堆放有序，可执行力高的，得5分；</w:t>
            </w:r>
          </w:p>
          <w:p w14:paraId="6455B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②布置方案较详细、内容充分，临时设施考虑齐全且布置较合理，施工设备及原材料堆放较合理，可执行力度较高，得4分；</w:t>
            </w:r>
          </w:p>
          <w:p w14:paraId="328570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③布置方案较详细、内容较多，临时设施考虑较齐全且布置较合理，施工设备及原材料堆放较随意，可勉强执行的，得3分；</w:t>
            </w:r>
          </w:p>
          <w:p w14:paraId="13C626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④布置方案较简单、内容较少，临时设施考虑不足且布置随意，施工设备及原材料堆放随意，得2分；</w:t>
            </w:r>
          </w:p>
          <w:p w14:paraId="569D2F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⑤布置方案简单、内容少，临时设施考虑不足且布置无章法，施工设备及原材料堆放混乱，得1分；</w:t>
            </w:r>
          </w:p>
          <w:p w14:paraId="09F74D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未提供相关内容不得分。</w:t>
            </w:r>
          </w:p>
        </w:tc>
        <w:tc>
          <w:tcPr>
            <w:tcW w:w="803" w:type="dxa"/>
            <w:noWrap w:val="0"/>
            <w:vAlign w:val="center"/>
          </w:tcPr>
          <w:p w14:paraId="633E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57738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4D03A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0" w:hRule="atLeast"/>
          <w:jc w:val="center"/>
        </w:trPr>
        <w:tc>
          <w:tcPr>
            <w:tcW w:w="899" w:type="dxa"/>
            <w:vMerge w:val="continue"/>
            <w:noWrap w:val="0"/>
            <w:vAlign w:val="center"/>
          </w:tcPr>
          <w:p w14:paraId="0B5A8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53D83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44A1FF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（9）竣工资料整理方案（5分）</w:t>
            </w:r>
          </w:p>
          <w:p w14:paraId="51B324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根据供应商提供的竣工资料整理方案</w:t>
            </w:r>
            <w:r>
              <w:rPr>
                <w:rFonts w:hint="eastAsia" w:ascii="宋体" w:hAnsi="宋体" w:eastAsia="宋体" w:cs="宋体"/>
                <w:color w:val="auto"/>
                <w:sz w:val="20"/>
                <w:szCs w:val="20"/>
                <w:highlight w:val="none"/>
                <w:lang w:val="zh-CN" w:eastAsia="zh-CN"/>
              </w:rPr>
              <w:t>进行评议</w:t>
            </w:r>
            <w:r>
              <w:rPr>
                <w:rFonts w:hint="eastAsia" w:ascii="宋体" w:hAnsi="宋体" w:eastAsia="宋体" w:cs="宋体"/>
                <w:color w:val="auto"/>
                <w:sz w:val="20"/>
                <w:szCs w:val="20"/>
                <w:highlight w:val="none"/>
                <w:lang w:val="zh-CN"/>
              </w:rPr>
              <w:t>：</w:t>
            </w:r>
          </w:p>
          <w:p w14:paraId="12EBC0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①竣工资料整理方案详实、内容完整，便于留档和结算，可执行力度高，得5分；</w:t>
            </w:r>
          </w:p>
          <w:p w14:paraId="5E2F0F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②竣工资料整理方案较详细、内容充分，能较好的完成留档和结算，可执行力度较高，得4分；</w:t>
            </w:r>
          </w:p>
          <w:p w14:paraId="379AD9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③竣工资料整理方案较详细、内容较多，在留档和结算过程中不会造成返工，可执行力较低，得3分；</w:t>
            </w:r>
          </w:p>
          <w:p w14:paraId="6BCCCB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④竣工资料整理方案较简单、内容较少，会在留档和结算过程中造成返工，可执行力低，得2分；</w:t>
            </w:r>
          </w:p>
          <w:p w14:paraId="5CA559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⑤竣工资料整理方案简单、内容少，无法用于留档和结算，基本无可执行力，得1分；</w:t>
            </w:r>
          </w:p>
          <w:p w14:paraId="369B3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未提供相关内容不得分</w:t>
            </w:r>
            <w:r>
              <w:rPr>
                <w:rFonts w:hint="eastAsia" w:ascii="宋体" w:hAnsi="宋体" w:eastAsia="宋体" w:cs="宋体"/>
                <w:color w:val="auto"/>
                <w:sz w:val="20"/>
                <w:szCs w:val="20"/>
                <w:highlight w:val="none"/>
                <w:lang w:val="zh-CN"/>
              </w:rPr>
              <w:t>。</w:t>
            </w:r>
          </w:p>
        </w:tc>
        <w:tc>
          <w:tcPr>
            <w:tcW w:w="803" w:type="dxa"/>
            <w:noWrap w:val="0"/>
            <w:vAlign w:val="center"/>
          </w:tcPr>
          <w:p w14:paraId="4137D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57211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73973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7" w:hRule="atLeast"/>
          <w:jc w:val="center"/>
        </w:trPr>
        <w:tc>
          <w:tcPr>
            <w:tcW w:w="899" w:type="dxa"/>
            <w:vMerge w:val="continue"/>
            <w:noWrap w:val="0"/>
            <w:vAlign w:val="center"/>
          </w:tcPr>
          <w:p w14:paraId="6BB2A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noWrap w:val="0"/>
            <w:vAlign w:val="center"/>
          </w:tcPr>
          <w:p w14:paraId="4A185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突发事件应急预案</w:t>
            </w:r>
          </w:p>
          <w:p w14:paraId="46D3C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（5分）</w:t>
            </w:r>
          </w:p>
        </w:tc>
        <w:tc>
          <w:tcPr>
            <w:tcW w:w="6772" w:type="dxa"/>
            <w:noWrap w:val="0"/>
            <w:vAlign w:val="center"/>
          </w:tcPr>
          <w:p w14:paraId="0F80A4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对本项目实施期间的突发事件应急预案进行评议（5分）：</w:t>
            </w:r>
          </w:p>
          <w:p w14:paraId="3708B9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根据供应商提供的突发事件应急措施（包括但不仅限于发生火灾、触电、机械伤害、化学品伤害等事故的逃生和急救方案等）进行评议：</w:t>
            </w:r>
          </w:p>
          <w:p w14:paraId="5AA07E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①应急措施方案完善，发生火灾、触电、机械伤害、化学品伤害等事故的逃生和急救方案具体有效，措施得力，可执行力度高的，得5分；</w:t>
            </w:r>
          </w:p>
          <w:p w14:paraId="7FFEE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②应急措施方案较完善，发生火灾、触电、机械伤害、化学品伤害等事故的逃生和急救方案措施得当，可执行力度较高的，得4分；</w:t>
            </w:r>
          </w:p>
          <w:p w14:paraId="19BB42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③应急措施方案内容一般，发生火灾、触电、机械伤害、化学品伤害等事故的逃生和急救方案有较高成功率，可执行力一般的，得3分；</w:t>
            </w:r>
          </w:p>
          <w:p w14:paraId="4797BD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④应急措施方案内容较简单，发生火灾、触电、机械伤害、化学品伤害等事故的逃生和急救方案成功率低，可执行力低的，得2分；</w:t>
            </w:r>
          </w:p>
          <w:p w14:paraId="0E9D7C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⑤应急措施方案内容简单，发生火灾、触电、机械伤害、化学品伤害等事故的逃生和急救方案无效，基本无可执行力的，得1分；</w:t>
            </w:r>
          </w:p>
          <w:p w14:paraId="6E1B8B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未提供相关内容不得分。</w:t>
            </w:r>
          </w:p>
        </w:tc>
        <w:tc>
          <w:tcPr>
            <w:tcW w:w="803" w:type="dxa"/>
            <w:noWrap w:val="0"/>
            <w:vAlign w:val="center"/>
          </w:tcPr>
          <w:p w14:paraId="7AAF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0A602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425C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99" w:type="dxa"/>
            <w:vMerge w:val="continue"/>
            <w:noWrap w:val="0"/>
            <w:vAlign w:val="center"/>
          </w:tcPr>
          <w:p w14:paraId="0F82E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restart"/>
            <w:noWrap w:val="0"/>
            <w:vAlign w:val="center"/>
          </w:tcPr>
          <w:p w14:paraId="6BFEE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售后服务方案（</w:t>
            </w:r>
            <w:r>
              <w:rPr>
                <w:rFonts w:hint="eastAsia" w:ascii="宋体" w:hAnsi="宋体" w:eastAsia="宋体" w:cs="宋体"/>
                <w:color w:val="auto"/>
                <w:sz w:val="20"/>
                <w:szCs w:val="20"/>
                <w:highlight w:val="none"/>
                <w:lang w:val="en-US" w:eastAsia="zh-CN"/>
              </w:rPr>
              <w:t>7.5</w:t>
            </w:r>
            <w:r>
              <w:rPr>
                <w:rFonts w:hint="eastAsia" w:ascii="宋体" w:hAnsi="宋体" w:eastAsia="宋体" w:cs="宋体"/>
                <w:color w:val="auto"/>
                <w:sz w:val="20"/>
                <w:szCs w:val="20"/>
                <w:highlight w:val="none"/>
                <w:lang w:val="zh-CN"/>
              </w:rPr>
              <w:t>分）</w:t>
            </w:r>
          </w:p>
        </w:tc>
        <w:tc>
          <w:tcPr>
            <w:tcW w:w="6772" w:type="dxa"/>
            <w:noWrap w:val="0"/>
            <w:vAlign w:val="center"/>
          </w:tcPr>
          <w:p w14:paraId="46C9A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售后服务的响应时间</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到达现场时间</w:t>
            </w:r>
            <w:r>
              <w:rPr>
                <w:rFonts w:hint="eastAsia" w:ascii="宋体" w:hAnsi="宋体" w:eastAsia="宋体" w:cs="宋体"/>
                <w:color w:val="auto"/>
                <w:sz w:val="20"/>
                <w:szCs w:val="20"/>
                <w:highlight w:val="none"/>
                <w:lang w:val="en-US" w:eastAsia="zh-CN"/>
              </w:rPr>
              <w:t>承诺</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p>
          <w:p w14:paraId="0A56A0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1.响应时间与到达时间迅速，能在30分钟内响应并在2小时内到达项目现场的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r>
              <w:rPr>
                <w:rFonts w:hint="eastAsia" w:ascii="宋体" w:hAnsi="宋体" w:eastAsia="宋体" w:cs="宋体"/>
                <w:color w:val="auto"/>
                <w:sz w:val="20"/>
                <w:szCs w:val="20"/>
                <w:highlight w:val="none"/>
                <w:lang w:val="zh-CN" w:eastAsia="zh-CN"/>
              </w:rPr>
              <w:t>；</w:t>
            </w:r>
          </w:p>
          <w:p w14:paraId="49B2F4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2.响应时间与到达时间一般，在1小时内响应并在4小时内到达现场的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分；</w:t>
            </w:r>
          </w:p>
          <w:p w14:paraId="4B2A5C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3.响应时间与到达时间缓慢，</w:t>
            </w:r>
            <w:r>
              <w:rPr>
                <w:rFonts w:hint="eastAsia" w:ascii="宋体" w:hAnsi="宋体" w:eastAsia="宋体" w:cs="宋体"/>
                <w:color w:val="auto"/>
                <w:sz w:val="20"/>
                <w:szCs w:val="20"/>
                <w:highlight w:val="none"/>
                <w:lang w:val="zh-CN"/>
              </w:rPr>
              <w:t>响应时间</w:t>
            </w:r>
            <w:r>
              <w:rPr>
                <w:rFonts w:hint="eastAsia" w:ascii="宋体" w:hAnsi="宋体" w:eastAsia="宋体" w:cs="宋体"/>
                <w:color w:val="auto"/>
                <w:sz w:val="20"/>
                <w:szCs w:val="20"/>
                <w:highlight w:val="none"/>
                <w:lang w:val="en-US" w:eastAsia="zh-CN"/>
              </w:rPr>
              <w:t>超过1小时或到达时间超过4小时的不得分</w:t>
            </w:r>
            <w:r>
              <w:rPr>
                <w:rFonts w:hint="eastAsia" w:ascii="宋体" w:hAnsi="宋体" w:eastAsia="宋体" w:cs="宋体"/>
                <w:color w:val="auto"/>
                <w:sz w:val="20"/>
                <w:szCs w:val="20"/>
                <w:highlight w:val="none"/>
                <w:lang w:val="zh-CN"/>
              </w:rPr>
              <w:t>。</w:t>
            </w:r>
          </w:p>
        </w:tc>
        <w:tc>
          <w:tcPr>
            <w:tcW w:w="803" w:type="dxa"/>
            <w:noWrap w:val="0"/>
            <w:vAlign w:val="center"/>
          </w:tcPr>
          <w:p w14:paraId="51862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700" w:type="dxa"/>
            <w:noWrap w:val="0"/>
            <w:vAlign w:val="center"/>
          </w:tcPr>
          <w:p w14:paraId="1A140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客观评审</w:t>
            </w:r>
          </w:p>
        </w:tc>
      </w:tr>
      <w:tr w14:paraId="545F3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99" w:type="dxa"/>
            <w:vMerge w:val="continue"/>
            <w:noWrap w:val="0"/>
            <w:vAlign w:val="center"/>
          </w:tcPr>
          <w:p w14:paraId="01DF7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continue"/>
            <w:noWrap w:val="0"/>
            <w:vAlign w:val="center"/>
          </w:tcPr>
          <w:p w14:paraId="28662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6772" w:type="dxa"/>
            <w:noWrap w:val="0"/>
            <w:vAlign w:val="center"/>
          </w:tcPr>
          <w:p w14:paraId="38DDB8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eastAsia="zh-CN"/>
              </w:rPr>
              <w:t>）</w:t>
            </w:r>
            <w:r>
              <w:rPr>
                <w:rFonts w:hint="eastAsia" w:ascii="宋体" w:hAnsi="宋体" w:eastAsia="宋体" w:cs="宋体"/>
                <w:color w:val="auto"/>
                <w:sz w:val="20"/>
                <w:szCs w:val="20"/>
                <w:highlight w:val="none"/>
                <w:lang w:val="zh-CN"/>
              </w:rPr>
              <w:t>售后服务内容承诺（</w:t>
            </w:r>
            <w:r>
              <w:rPr>
                <w:rFonts w:hint="eastAsia" w:ascii="宋体" w:hAnsi="宋体" w:eastAsia="宋体" w:cs="宋体"/>
                <w:color w:val="auto"/>
                <w:sz w:val="20"/>
                <w:szCs w:val="20"/>
                <w:highlight w:val="none"/>
                <w:lang w:val="en-US" w:eastAsia="zh-CN"/>
              </w:rPr>
              <w:t>3.5</w:t>
            </w:r>
            <w:r>
              <w:rPr>
                <w:rFonts w:hint="eastAsia" w:ascii="宋体" w:hAnsi="宋体" w:eastAsia="宋体" w:cs="宋体"/>
                <w:color w:val="auto"/>
                <w:sz w:val="20"/>
                <w:szCs w:val="20"/>
                <w:highlight w:val="none"/>
                <w:lang w:val="zh-CN"/>
              </w:rPr>
              <w:t>分）：</w:t>
            </w:r>
          </w:p>
          <w:p w14:paraId="70DEF7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①</w:t>
            </w:r>
            <w:r>
              <w:rPr>
                <w:rFonts w:hint="eastAsia" w:ascii="宋体" w:hAnsi="宋体" w:eastAsia="宋体" w:cs="宋体"/>
                <w:color w:val="auto"/>
                <w:sz w:val="20"/>
                <w:szCs w:val="20"/>
                <w:highlight w:val="none"/>
                <w:lang w:val="zh-CN"/>
              </w:rPr>
              <w:t>服务保障</w:t>
            </w:r>
            <w:r>
              <w:rPr>
                <w:rFonts w:hint="eastAsia" w:ascii="宋体" w:hAnsi="宋体" w:eastAsia="宋体" w:cs="宋体"/>
                <w:color w:val="auto"/>
                <w:sz w:val="20"/>
                <w:szCs w:val="20"/>
                <w:highlight w:val="none"/>
                <w:lang w:val="en-US" w:eastAsia="zh-CN"/>
              </w:rPr>
              <w:t>体系完备</w:t>
            </w:r>
            <w:r>
              <w:rPr>
                <w:rFonts w:hint="eastAsia" w:ascii="宋体" w:hAnsi="宋体" w:eastAsia="宋体" w:cs="宋体"/>
                <w:color w:val="auto"/>
                <w:sz w:val="20"/>
                <w:szCs w:val="20"/>
                <w:highlight w:val="none"/>
                <w:lang w:val="zh-CN"/>
              </w:rPr>
              <w:t>、服务内容具体、详细、</w:t>
            </w:r>
            <w:r>
              <w:rPr>
                <w:rFonts w:hint="eastAsia" w:ascii="宋体" w:hAnsi="宋体" w:eastAsia="宋体" w:cs="宋体"/>
                <w:color w:val="auto"/>
                <w:sz w:val="20"/>
                <w:szCs w:val="20"/>
                <w:highlight w:val="none"/>
                <w:lang w:val="en-US" w:eastAsia="zh-CN"/>
              </w:rPr>
              <w:t>服务质量有保障的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3.5</w:t>
            </w:r>
            <w:r>
              <w:rPr>
                <w:rFonts w:hint="eastAsia" w:ascii="宋体" w:hAnsi="宋体" w:eastAsia="宋体" w:cs="宋体"/>
                <w:color w:val="auto"/>
                <w:sz w:val="20"/>
                <w:szCs w:val="20"/>
                <w:highlight w:val="none"/>
                <w:lang w:val="zh-CN"/>
              </w:rPr>
              <w:t>分</w:t>
            </w:r>
            <w:r>
              <w:rPr>
                <w:rFonts w:hint="eastAsia" w:ascii="宋体" w:hAnsi="宋体" w:eastAsia="宋体" w:cs="宋体"/>
                <w:color w:val="auto"/>
                <w:sz w:val="20"/>
                <w:szCs w:val="20"/>
                <w:highlight w:val="none"/>
                <w:lang w:val="zh-CN" w:eastAsia="zh-CN"/>
              </w:rPr>
              <w:t>；</w:t>
            </w:r>
          </w:p>
          <w:p w14:paraId="34D350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②有服务保障体系但部分</w:t>
            </w:r>
            <w:r>
              <w:rPr>
                <w:rFonts w:hint="eastAsia" w:ascii="宋体" w:hAnsi="宋体" w:eastAsia="宋体" w:cs="宋体"/>
                <w:color w:val="auto"/>
                <w:sz w:val="20"/>
                <w:szCs w:val="20"/>
                <w:highlight w:val="none"/>
                <w:lang w:val="zh-CN"/>
              </w:rPr>
              <w:t>内容有欠缺、但尚不影响履约得</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lang w:val="zh-CN"/>
              </w:rPr>
              <w:t>分；</w:t>
            </w:r>
          </w:p>
          <w:p w14:paraId="20631A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③服务保障体系不完善或</w:t>
            </w:r>
            <w:r>
              <w:rPr>
                <w:rFonts w:hint="eastAsia" w:ascii="宋体" w:hAnsi="宋体" w:eastAsia="宋体" w:cs="宋体"/>
                <w:color w:val="auto"/>
                <w:sz w:val="20"/>
                <w:szCs w:val="20"/>
                <w:highlight w:val="none"/>
                <w:lang w:val="zh-CN"/>
              </w:rPr>
              <w:t>内容</w:t>
            </w:r>
            <w:r>
              <w:rPr>
                <w:rFonts w:hint="eastAsia" w:ascii="宋体" w:hAnsi="宋体" w:eastAsia="宋体" w:cs="宋体"/>
                <w:color w:val="auto"/>
                <w:sz w:val="20"/>
                <w:szCs w:val="20"/>
                <w:highlight w:val="none"/>
                <w:lang w:val="en-US" w:eastAsia="zh-CN"/>
              </w:rPr>
              <w:t>存在明显缺漏项</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zh-CN" w:eastAsia="zh-CN"/>
              </w:rPr>
              <w:t>保障明显不足</w:t>
            </w:r>
            <w:r>
              <w:rPr>
                <w:rFonts w:hint="eastAsia" w:ascii="宋体" w:hAnsi="宋体" w:eastAsia="宋体" w:cs="宋体"/>
                <w:color w:val="auto"/>
                <w:sz w:val="20"/>
                <w:szCs w:val="20"/>
                <w:highlight w:val="none"/>
                <w:lang w:val="en-US" w:eastAsia="zh-CN"/>
              </w:rPr>
              <w:t>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lang w:val="zh-CN"/>
              </w:rPr>
              <w:t>分。</w:t>
            </w:r>
          </w:p>
          <w:p w14:paraId="65D74E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未提供的不得分。</w:t>
            </w:r>
          </w:p>
        </w:tc>
        <w:tc>
          <w:tcPr>
            <w:tcW w:w="803" w:type="dxa"/>
            <w:noWrap w:val="0"/>
            <w:vAlign w:val="center"/>
          </w:tcPr>
          <w:p w14:paraId="16D546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w:t>
            </w:r>
          </w:p>
        </w:tc>
        <w:tc>
          <w:tcPr>
            <w:tcW w:w="700" w:type="dxa"/>
            <w:noWrap w:val="0"/>
            <w:vAlign w:val="center"/>
          </w:tcPr>
          <w:p w14:paraId="67E4D9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主观评审</w:t>
            </w:r>
          </w:p>
        </w:tc>
      </w:tr>
      <w:tr w14:paraId="787E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4CC60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noWrap w:val="0"/>
            <w:vAlign w:val="center"/>
          </w:tcPr>
          <w:p w14:paraId="05CE65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合理化建议</w:t>
            </w:r>
          </w:p>
          <w:p w14:paraId="37B8A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tc>
        <w:tc>
          <w:tcPr>
            <w:tcW w:w="6772" w:type="dxa"/>
            <w:noWrap w:val="0"/>
            <w:vAlign w:val="center"/>
          </w:tcPr>
          <w:p w14:paraId="45ACEF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对本项目提出</w:t>
            </w:r>
            <w:r>
              <w:rPr>
                <w:rFonts w:hint="eastAsia" w:ascii="宋体" w:hAnsi="宋体" w:eastAsia="宋体" w:cs="宋体"/>
                <w:color w:val="auto"/>
                <w:sz w:val="20"/>
                <w:szCs w:val="20"/>
                <w:highlight w:val="none"/>
                <w:lang w:val="zh-CN"/>
              </w:rPr>
              <w:t>的合理化建议进行</w:t>
            </w:r>
            <w:r>
              <w:rPr>
                <w:rFonts w:hint="eastAsia" w:ascii="宋体" w:hAnsi="宋体" w:eastAsia="宋体" w:cs="宋体"/>
                <w:color w:val="auto"/>
                <w:sz w:val="20"/>
                <w:szCs w:val="20"/>
                <w:highlight w:val="none"/>
                <w:lang w:val="en-US" w:eastAsia="zh-CN"/>
              </w:rPr>
              <w:t>进行评议（5分）：</w:t>
            </w:r>
          </w:p>
          <w:p w14:paraId="6FB047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①</w:t>
            </w:r>
            <w:r>
              <w:rPr>
                <w:rFonts w:hint="eastAsia" w:ascii="宋体" w:hAnsi="宋体" w:eastAsia="宋体" w:cs="宋体"/>
                <w:color w:val="auto"/>
                <w:sz w:val="20"/>
                <w:szCs w:val="20"/>
                <w:highlight w:val="none"/>
                <w:lang w:val="zh-CN"/>
              </w:rPr>
              <w:t>提供的合理化建议结合项目实际需求内容详细，考虑周全，对项目具有推动性意义的，得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分；</w:t>
            </w:r>
          </w:p>
          <w:p w14:paraId="14C306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②提供的合理化建议结合项目实际需求内容一般，考虑恰当，</w:t>
            </w:r>
            <w:r>
              <w:rPr>
                <w:rFonts w:hint="eastAsia" w:ascii="宋体" w:hAnsi="宋体" w:eastAsia="宋体" w:cs="宋体"/>
                <w:color w:val="auto"/>
                <w:sz w:val="20"/>
                <w:szCs w:val="20"/>
                <w:highlight w:val="none"/>
                <w:lang w:val="zh-CN" w:eastAsia="zh-CN"/>
              </w:rPr>
              <w:t>对项目推动有意义的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lang w:val="zh-CN"/>
              </w:rPr>
              <w:t>分；</w:t>
            </w:r>
          </w:p>
          <w:p w14:paraId="0A44A0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rPr>
              <w:t>③提供的合理化建议结合项目实际需求内容考虑不妥，不够恰当的，</w:t>
            </w:r>
            <w:r>
              <w:rPr>
                <w:rFonts w:hint="eastAsia" w:ascii="宋体" w:hAnsi="宋体" w:eastAsia="宋体" w:cs="宋体"/>
                <w:color w:val="auto"/>
                <w:sz w:val="20"/>
                <w:szCs w:val="20"/>
                <w:highlight w:val="none"/>
                <w:lang w:val="zh-CN" w:eastAsia="zh-CN"/>
              </w:rPr>
              <w:t>对项目推动较为困难的</w:t>
            </w:r>
            <w:r>
              <w:rPr>
                <w:rFonts w:hint="eastAsia" w:ascii="宋体" w:hAnsi="宋体" w:eastAsia="宋体" w:cs="宋体"/>
                <w:color w:val="auto"/>
                <w:sz w:val="20"/>
                <w:szCs w:val="20"/>
                <w:highlight w:val="none"/>
                <w:lang w:val="zh-CN"/>
              </w:rPr>
              <w:t>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分；</w:t>
            </w:r>
          </w:p>
          <w:p w14:paraId="3C9407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④提供的合理化建议结合项目实际需求内容欠缺，考虑欠妥的得，对项目推动可能存在困难的2分；</w:t>
            </w:r>
          </w:p>
          <w:p w14:paraId="34562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⑤提供的合理化建议结合项目明显难以推动项目进行的得1分。</w:t>
            </w:r>
          </w:p>
          <w:p w14:paraId="5FD818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未提供的不得分。</w:t>
            </w:r>
          </w:p>
        </w:tc>
        <w:tc>
          <w:tcPr>
            <w:tcW w:w="803" w:type="dxa"/>
            <w:noWrap w:val="0"/>
            <w:vAlign w:val="center"/>
          </w:tcPr>
          <w:p w14:paraId="3343F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700" w:type="dxa"/>
            <w:noWrap w:val="0"/>
            <w:vAlign w:val="center"/>
          </w:tcPr>
          <w:p w14:paraId="21C8E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主观评审</w:t>
            </w:r>
          </w:p>
        </w:tc>
      </w:tr>
      <w:tr w14:paraId="2611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99" w:type="dxa"/>
            <w:vMerge w:val="continue"/>
            <w:noWrap w:val="0"/>
            <w:vAlign w:val="center"/>
          </w:tcPr>
          <w:p w14:paraId="72FC4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p>
        </w:tc>
        <w:tc>
          <w:tcPr>
            <w:tcW w:w="941" w:type="dxa"/>
            <w:vMerge w:val="restart"/>
            <w:noWrap w:val="0"/>
            <w:vAlign w:val="center"/>
          </w:tcPr>
          <w:p w14:paraId="0EBCF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项目团队</w:t>
            </w:r>
          </w:p>
          <w:p w14:paraId="6D72A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zh-CN" w:eastAsia="zh-CN"/>
              </w:rPr>
              <w:t>6</w:t>
            </w:r>
            <w:r>
              <w:rPr>
                <w:rFonts w:hint="eastAsia" w:ascii="宋体" w:hAnsi="宋体" w:eastAsia="宋体" w:cs="宋体"/>
                <w:color w:val="auto"/>
                <w:sz w:val="20"/>
                <w:szCs w:val="20"/>
                <w:highlight w:val="none"/>
                <w:lang w:val="zh-CN"/>
              </w:rPr>
              <w:t>分）</w:t>
            </w:r>
          </w:p>
        </w:tc>
        <w:tc>
          <w:tcPr>
            <w:tcW w:w="6772" w:type="dxa"/>
            <w:noWrap w:val="0"/>
            <w:vAlign w:val="center"/>
          </w:tcPr>
          <w:p w14:paraId="39BE5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zh-CN" w:eastAsia="zh-CN"/>
              </w:rPr>
              <w:t>供应商拟派的</w:t>
            </w:r>
            <w:r>
              <w:rPr>
                <w:rFonts w:hint="eastAsia" w:ascii="宋体" w:hAnsi="宋体" w:eastAsia="宋体" w:cs="宋体"/>
                <w:color w:val="auto"/>
                <w:sz w:val="20"/>
                <w:szCs w:val="20"/>
                <w:highlight w:val="none"/>
                <w:lang w:val="zh-CN"/>
              </w:rPr>
              <w:t>项目负责人</w:t>
            </w:r>
            <w:r>
              <w:rPr>
                <w:rFonts w:hint="eastAsia" w:ascii="宋体" w:hAnsi="宋体" w:eastAsia="宋体" w:cs="宋体"/>
                <w:color w:val="auto"/>
                <w:sz w:val="20"/>
                <w:szCs w:val="20"/>
                <w:highlight w:val="none"/>
                <w:lang w:val="en-US" w:eastAsia="zh-CN"/>
              </w:rPr>
              <w:t xml:space="preserve">具备工程类专业中级职称证书的得1.5分具工程类专业中级以上职称证书的得3分，本项最多得3分。                   </w:t>
            </w:r>
          </w:p>
          <w:p w14:paraId="0A625E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注：须提供项目负责人有效期内的证书复印件、同供应商关联关系的证明材料（如2024年10月-2024年12月任意一月社保/合同/协议/提供的人员为供应商本单位人员的承诺函原件等）并加盖公章。提供有效的社保、合同、协议、承诺函等同投标人关联关系的证明材料之一即可，无需重复提供。</w:t>
            </w:r>
          </w:p>
        </w:tc>
        <w:tc>
          <w:tcPr>
            <w:tcW w:w="803" w:type="dxa"/>
            <w:noWrap w:val="0"/>
            <w:vAlign w:val="center"/>
          </w:tcPr>
          <w:p w14:paraId="387B6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700" w:type="dxa"/>
            <w:noWrap w:val="0"/>
            <w:vAlign w:val="center"/>
          </w:tcPr>
          <w:p w14:paraId="4E015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客观评审</w:t>
            </w:r>
          </w:p>
        </w:tc>
      </w:tr>
      <w:tr w14:paraId="514C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9" w:type="dxa"/>
            <w:vMerge w:val="continue"/>
            <w:noWrap w:val="0"/>
            <w:vAlign w:val="center"/>
          </w:tcPr>
          <w:p w14:paraId="4B0B0D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p>
        </w:tc>
        <w:tc>
          <w:tcPr>
            <w:tcW w:w="941" w:type="dxa"/>
            <w:vMerge w:val="continue"/>
            <w:noWrap w:val="0"/>
            <w:vAlign w:val="center"/>
          </w:tcPr>
          <w:p w14:paraId="349E27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p>
        </w:tc>
        <w:tc>
          <w:tcPr>
            <w:tcW w:w="6772" w:type="dxa"/>
            <w:noWrap w:val="0"/>
            <w:vAlign w:val="center"/>
          </w:tcPr>
          <w:p w14:paraId="3176A0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供应商拟派的技术负责人具备地质或岩土工程专业中级职称证书的得1.5分，拟派技术负责人具备地质或岩土工程专业中级以上职称证书的得3分，本项最多得3分。                   </w:t>
            </w:r>
          </w:p>
          <w:p w14:paraId="7E89F5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须提供技术负责人有效期内的证书复印件、同供应商关联关系的证明材料（如2024年10月-2024年12月任意一月社保/合同/协议/提供的人员为供应商本单位人员的承诺函原件等）并加盖公章。提供有效的社保、合同、协议、承诺函等同投标人关联关系的证明材料之一即可，无需重复提供。</w:t>
            </w:r>
          </w:p>
          <w:p w14:paraId="26751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未提供的不得分</w:t>
            </w:r>
            <w:r>
              <w:rPr>
                <w:rFonts w:hint="eastAsia" w:ascii="宋体" w:hAnsi="宋体" w:eastAsia="宋体" w:cs="宋体"/>
                <w:color w:val="auto"/>
                <w:sz w:val="20"/>
                <w:szCs w:val="20"/>
                <w:highlight w:val="none"/>
                <w:lang w:val="zh-CN"/>
              </w:rPr>
              <w:t>。</w:t>
            </w:r>
          </w:p>
        </w:tc>
        <w:tc>
          <w:tcPr>
            <w:tcW w:w="803" w:type="dxa"/>
            <w:noWrap w:val="0"/>
            <w:vAlign w:val="center"/>
          </w:tcPr>
          <w:p w14:paraId="10911E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3</w:t>
            </w:r>
          </w:p>
        </w:tc>
        <w:tc>
          <w:tcPr>
            <w:tcW w:w="700" w:type="dxa"/>
            <w:noWrap w:val="0"/>
            <w:vAlign w:val="center"/>
          </w:tcPr>
          <w:p w14:paraId="30DAC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en-US" w:eastAsia="zh-CN"/>
              </w:rPr>
              <w:t>客观评审</w:t>
            </w:r>
          </w:p>
        </w:tc>
      </w:tr>
      <w:tr w14:paraId="679B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noWrap w:val="0"/>
            <w:vAlign w:val="center"/>
          </w:tcPr>
          <w:p w14:paraId="4CC42762">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sz w:val="20"/>
                <w:szCs w:val="20"/>
                <w:lang w:val="en-US" w:eastAsia="zh-CN"/>
              </w:rPr>
            </w:pPr>
          </w:p>
        </w:tc>
        <w:tc>
          <w:tcPr>
            <w:tcW w:w="941" w:type="dxa"/>
            <w:shd w:val="clear" w:color="auto" w:fill="auto"/>
            <w:noWrap w:val="0"/>
            <w:vAlign w:val="center"/>
          </w:tcPr>
          <w:p w14:paraId="1FD62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业绩</w:t>
            </w:r>
          </w:p>
          <w:p w14:paraId="52B44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lang w:val="zh-CN"/>
              </w:rPr>
              <w:t>分）</w:t>
            </w:r>
          </w:p>
        </w:tc>
        <w:tc>
          <w:tcPr>
            <w:tcW w:w="6772" w:type="dxa"/>
            <w:shd w:val="clear" w:color="auto" w:fill="auto"/>
            <w:noWrap w:val="0"/>
            <w:vAlign w:val="center"/>
          </w:tcPr>
          <w:p w14:paraId="341C6ADB">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自202</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年</w:t>
            </w:r>
            <w:r>
              <w:rPr>
                <w:rFonts w:hint="eastAsia" w:ascii="宋体" w:hAnsi="宋体" w:eastAsia="宋体" w:cs="宋体"/>
                <w:color w:val="auto"/>
                <w:sz w:val="20"/>
                <w:szCs w:val="20"/>
                <w:highlight w:val="none"/>
                <w:lang w:val="en-US" w:eastAsia="zh-CN"/>
              </w:rPr>
              <w:t>01</w:t>
            </w:r>
            <w:r>
              <w:rPr>
                <w:rFonts w:hint="eastAsia" w:ascii="宋体" w:hAnsi="宋体" w:eastAsia="宋体" w:cs="宋体"/>
                <w:color w:val="auto"/>
                <w:sz w:val="20"/>
                <w:szCs w:val="20"/>
                <w:highlight w:val="none"/>
                <w:lang w:val="zh-CN"/>
              </w:rPr>
              <w:t>月01日至今（以合同签订日期为准），供应商具有类似项目业绩的，每个业绩得</w:t>
            </w:r>
            <w:r>
              <w:rPr>
                <w:rFonts w:hint="eastAsia" w:ascii="宋体" w:hAnsi="宋体" w:eastAsia="宋体" w:cs="宋体"/>
                <w:color w:val="auto"/>
                <w:sz w:val="20"/>
                <w:szCs w:val="20"/>
                <w:highlight w:val="none"/>
                <w:lang w:val="en-US" w:eastAsia="zh-CN"/>
              </w:rPr>
              <w:t>0.5</w:t>
            </w:r>
            <w:r>
              <w:rPr>
                <w:rFonts w:hint="eastAsia" w:ascii="宋体" w:hAnsi="宋体" w:eastAsia="宋体" w:cs="宋体"/>
                <w:color w:val="auto"/>
                <w:sz w:val="20"/>
                <w:szCs w:val="20"/>
                <w:highlight w:val="none"/>
                <w:lang w:val="zh-CN"/>
              </w:rPr>
              <w:t>分，最高得</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lang w:val="zh-CN"/>
              </w:rPr>
              <w:t>分。</w:t>
            </w:r>
          </w:p>
          <w:p w14:paraId="7F9BD63F">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kern w:val="2"/>
                <w:sz w:val="20"/>
                <w:szCs w:val="20"/>
                <w:highlight w:val="none"/>
                <w:lang w:val="zh-CN" w:eastAsia="zh-CN" w:bidi="ar-SA"/>
              </w:rPr>
            </w:pPr>
            <w:r>
              <w:rPr>
                <w:rFonts w:hint="eastAsia" w:ascii="宋体" w:hAnsi="宋体" w:eastAsia="宋体" w:cs="宋体"/>
                <w:color w:val="auto"/>
                <w:sz w:val="20"/>
                <w:szCs w:val="20"/>
                <w:highlight w:val="none"/>
                <w:lang w:val="zh-CN"/>
              </w:rPr>
              <w:t>注：同一轮招标周期内同一项目（标项）的合同只能按一个合同认定，不累计计算，投标文件中提供合同复印件并加盖公章。</w:t>
            </w:r>
          </w:p>
        </w:tc>
        <w:tc>
          <w:tcPr>
            <w:tcW w:w="803" w:type="dxa"/>
            <w:shd w:val="clear" w:color="auto" w:fill="auto"/>
            <w:noWrap w:val="0"/>
            <w:vAlign w:val="center"/>
          </w:tcPr>
          <w:p w14:paraId="11843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1.5</w:t>
            </w:r>
          </w:p>
        </w:tc>
        <w:tc>
          <w:tcPr>
            <w:tcW w:w="700" w:type="dxa"/>
            <w:shd w:val="clear" w:color="auto" w:fill="auto"/>
            <w:noWrap w:val="0"/>
            <w:vAlign w:val="center"/>
          </w:tcPr>
          <w:p w14:paraId="75AE3E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客观评审</w:t>
            </w:r>
          </w:p>
        </w:tc>
      </w:tr>
      <w:tr w14:paraId="1E8F4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0" w:type="dxa"/>
            <w:gridSpan w:val="2"/>
            <w:noWrap w:val="0"/>
            <w:vAlign w:val="center"/>
          </w:tcPr>
          <w:p w14:paraId="0D659D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商务报价部分</w:t>
            </w:r>
          </w:p>
          <w:p w14:paraId="22081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（30分）</w:t>
            </w:r>
          </w:p>
        </w:tc>
        <w:tc>
          <w:tcPr>
            <w:tcW w:w="6772" w:type="dxa"/>
            <w:noWrap w:val="0"/>
            <w:vAlign w:val="center"/>
          </w:tcPr>
          <w:p w14:paraId="122222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参与评审的价格＝</w:t>
            </w:r>
            <w:r>
              <w:rPr>
                <w:rFonts w:hint="eastAsia" w:ascii="宋体" w:hAnsi="宋体" w:eastAsia="宋体" w:cs="宋体"/>
                <w:sz w:val="20"/>
                <w:szCs w:val="20"/>
                <w:lang w:val="zh-TW" w:eastAsia="zh-TW"/>
              </w:rPr>
              <w:t>最终报价</w:t>
            </w:r>
          </w:p>
          <w:p w14:paraId="750576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参与评审的价格最低的为评标基准价，基准价得分为满分30分；</w:t>
            </w:r>
          </w:p>
          <w:p w14:paraId="14D32E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其他供应商的价格分按照下列公式计算：</w:t>
            </w:r>
          </w:p>
          <w:p w14:paraId="0D20EE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各供应商的价格得分＝（评标基准价/参与评审的价格）×30×100％</w:t>
            </w:r>
          </w:p>
        </w:tc>
        <w:tc>
          <w:tcPr>
            <w:tcW w:w="803" w:type="dxa"/>
            <w:noWrap w:val="0"/>
            <w:vAlign w:val="center"/>
          </w:tcPr>
          <w:p w14:paraId="4B2451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w:t>
            </w:r>
          </w:p>
        </w:tc>
        <w:tc>
          <w:tcPr>
            <w:tcW w:w="700" w:type="dxa"/>
            <w:noWrap w:val="0"/>
            <w:vAlign w:val="center"/>
          </w:tcPr>
          <w:p w14:paraId="7C42D2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客观评审</w:t>
            </w:r>
          </w:p>
        </w:tc>
      </w:tr>
    </w:tbl>
    <w:p w14:paraId="5E05E300">
      <w:pPr>
        <w:adjustRightInd/>
        <w:spacing w:line="360" w:lineRule="auto"/>
        <w:ind w:firstLine="440" w:firstLineChars="200"/>
        <w:rPr>
          <w:rFonts w:hint="eastAsia" w:ascii="宋体" w:hAnsi="宋体" w:cs="宋体"/>
          <w:bCs/>
          <w:sz w:val="22"/>
          <w:szCs w:val="22"/>
        </w:rPr>
      </w:pPr>
    </w:p>
    <w:p w14:paraId="5DB40A5B">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2ECA6270">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3EC3498A">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61AECC60">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58485708">
      <w:pPr>
        <w:rPr>
          <w:rFonts w:hint="eastAsia" w:ascii="宋体" w:hAnsi="宋体" w:cs="宋体"/>
          <w:b/>
          <w:sz w:val="32"/>
        </w:rPr>
      </w:pPr>
    </w:p>
    <w:p w14:paraId="64390E70">
      <w:pPr>
        <w:rPr>
          <w:rFonts w:hint="eastAsia" w:ascii="宋体" w:hAnsi="宋体" w:cs="宋体"/>
          <w:b/>
          <w:sz w:val="32"/>
        </w:rPr>
      </w:pPr>
      <w:r>
        <w:rPr>
          <w:rFonts w:hint="eastAsia" w:ascii="宋体" w:hAnsi="宋体" w:cs="宋体"/>
          <w:b/>
          <w:sz w:val="32"/>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7"/>
    <w:p w14:paraId="1A0BD6D3">
      <w:pPr>
        <w:numPr>
          <w:ilvl w:val="0"/>
          <w:numId w:val="12"/>
        </w:numPr>
        <w:spacing w:line="360" w:lineRule="auto"/>
        <w:jc w:val="center"/>
        <w:outlineLvl w:val="0"/>
        <w:rPr>
          <w:rFonts w:hint="eastAsia" w:ascii="宋体" w:hAnsi="宋体" w:cs="宋体"/>
          <w:b/>
          <w:sz w:val="36"/>
          <w:szCs w:val="36"/>
        </w:rPr>
      </w:pPr>
      <w:bookmarkStart w:id="78" w:name="_Toc230"/>
      <w:r>
        <w:rPr>
          <w:rFonts w:hint="eastAsia" w:ascii="宋体" w:hAnsi="宋体" w:cs="宋体"/>
          <w:b/>
          <w:sz w:val="36"/>
          <w:szCs w:val="36"/>
        </w:rPr>
        <w:t xml:space="preserve"> 拟签订的合同文本</w:t>
      </w:r>
      <w:bookmarkEnd w:id="78"/>
    </w:p>
    <w:p w14:paraId="64845A79">
      <w:pPr>
        <w:snapToGrid w:val="0"/>
        <w:spacing w:line="360" w:lineRule="auto"/>
        <w:ind w:firstLine="422" w:firstLineChars="200"/>
        <w:jc w:val="center"/>
        <w:rPr>
          <w:b/>
          <w:szCs w:val="21"/>
          <w:highlight w:val="none"/>
        </w:rPr>
      </w:pPr>
      <w:bookmarkStart w:id="79"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9"/>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80" w:name="第五部分"/>
      <w:bookmarkStart w:id="81" w:name="_Toc86217003"/>
    </w:p>
    <w:p w14:paraId="32158888">
      <w:pPr>
        <w:rPr>
          <w:rFonts w:hint="eastAsia"/>
          <w:b/>
          <w:sz w:val="24"/>
          <w:szCs w:val="24"/>
          <w:highlight w:val="none"/>
        </w:rPr>
      </w:pPr>
      <w:bookmarkStart w:id="82" w:name="_Toc8026"/>
      <w:r>
        <w:rPr>
          <w:rFonts w:hint="eastAsia" w:ascii="宋体" w:hAnsi="宋体" w:cs="宋体"/>
          <w:b/>
          <w:sz w:val="36"/>
          <w:szCs w:val="20"/>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4E328595">
      <w:pPr>
        <w:pStyle w:val="3"/>
        <w:numPr>
          <w:ilvl w:val="0"/>
          <w:numId w:val="2"/>
        </w:numPr>
        <w:jc w:val="center"/>
        <w:rPr>
          <w:rFonts w:ascii="黑体" w:hAnsi="华文中宋"/>
          <w:highlight w:val="none"/>
        </w:rPr>
        <w:sectPr>
          <w:footerReference r:id="rId7" w:type="first"/>
          <w:headerReference r:id="rId5" w:type="default"/>
          <w:footerReference r:id="rId6" w:type="default"/>
          <w:pgSz w:w="11906" w:h="16838"/>
          <w:pgMar w:top="1440" w:right="1440" w:bottom="1440" w:left="1440" w:header="851" w:footer="992" w:gutter="0"/>
          <w:pgNumType w:fmt="decimal"/>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宁海县强蛟镇人民政府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强蛟镇历史遗留矿山整治项目工程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3" w:name="_Toc386638593"/>
      <w:r>
        <w:rPr>
          <w:rFonts w:hint="eastAsia" w:ascii="宋体" w:hAnsi="宋体" w:eastAsia="宋体" w:cs="宋体"/>
          <w:b w:val="0"/>
          <w:color w:val="000000"/>
          <w:sz w:val="22"/>
          <w:szCs w:val="22"/>
          <w:highlight w:val="none"/>
        </w:rPr>
        <w:t>一、工程概况</w:t>
      </w:r>
      <w:bookmarkEnd w:id="83"/>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强蛟镇历史遗留矿山整治项目工程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位于宁海县强蛟镇</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4" w:name="_Toc386638594"/>
      <w:r>
        <w:rPr>
          <w:rFonts w:hint="eastAsia" w:ascii="宋体" w:hAnsi="宋体" w:eastAsia="宋体" w:cs="宋体"/>
          <w:color w:val="000000"/>
          <w:sz w:val="22"/>
          <w:szCs w:val="22"/>
          <w:highlight w:val="none"/>
        </w:rPr>
        <w:t>二、合同工期</w:t>
      </w:r>
      <w:bookmarkEnd w:id="84"/>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120日历天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5" w:name="_Toc386638595"/>
      <w:r>
        <w:rPr>
          <w:rFonts w:hint="eastAsia" w:ascii="宋体" w:hAnsi="宋体" w:eastAsia="宋体" w:cs="宋体"/>
          <w:b w:val="0"/>
          <w:color w:val="000000"/>
          <w:sz w:val="22"/>
          <w:szCs w:val="22"/>
          <w:highlight w:val="none"/>
        </w:rPr>
        <w:t>三、质量标准</w:t>
      </w:r>
      <w:bookmarkEnd w:id="85"/>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6"/>
      <w:r>
        <w:rPr>
          <w:rFonts w:hint="eastAsia" w:ascii="宋体" w:hAnsi="宋体" w:eastAsia="宋体" w:cs="宋体"/>
          <w:b w:val="0"/>
          <w:color w:val="000000"/>
          <w:sz w:val="22"/>
          <w:szCs w:val="22"/>
          <w:highlight w:val="none"/>
        </w:rPr>
        <w:t>四、签约合同价与合同价格形式</w:t>
      </w:r>
      <w:bookmarkEnd w:id="86"/>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597"/>
      <w:r>
        <w:rPr>
          <w:rFonts w:hint="eastAsia" w:ascii="宋体" w:hAnsi="宋体" w:eastAsia="宋体" w:cs="宋体"/>
          <w:b w:val="0"/>
          <w:color w:val="000000"/>
          <w:sz w:val="22"/>
          <w:szCs w:val="22"/>
          <w:highlight w:val="none"/>
        </w:rPr>
        <w:t>五、项目经理</w:t>
      </w:r>
      <w:bookmarkEnd w:id="87"/>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8" w:name="_Toc386638598"/>
      <w:r>
        <w:rPr>
          <w:rFonts w:hint="eastAsia" w:ascii="宋体" w:hAnsi="宋体" w:eastAsia="宋体" w:cs="宋体"/>
          <w:b w:val="0"/>
          <w:color w:val="000000"/>
          <w:sz w:val="22"/>
          <w:szCs w:val="22"/>
          <w:highlight w:val="none"/>
        </w:rPr>
        <w:t>六、合同文件构成</w:t>
      </w:r>
      <w:bookmarkEnd w:id="88"/>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9" w:name="_Toc386638599"/>
      <w:r>
        <w:rPr>
          <w:rFonts w:hint="eastAsia" w:ascii="宋体" w:hAnsi="宋体" w:eastAsia="宋体" w:cs="宋体"/>
          <w:b w:val="0"/>
          <w:color w:val="000000"/>
          <w:sz w:val="22"/>
          <w:szCs w:val="22"/>
          <w:highlight w:val="none"/>
        </w:rPr>
        <w:t>七、承诺</w:t>
      </w:r>
      <w:bookmarkEnd w:id="89"/>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90" w:name="_Toc386638600"/>
      <w:r>
        <w:rPr>
          <w:rFonts w:hint="eastAsia" w:ascii="宋体" w:hAnsi="宋体" w:eastAsia="宋体" w:cs="宋体"/>
          <w:b w:val="0"/>
          <w:color w:val="000000"/>
          <w:sz w:val="22"/>
          <w:szCs w:val="22"/>
          <w:highlight w:val="none"/>
        </w:rPr>
        <w:t>九、签订时间</w:t>
      </w:r>
      <w:bookmarkEnd w:id="90"/>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1"/>
      <w:r>
        <w:rPr>
          <w:rFonts w:hint="eastAsia" w:ascii="宋体" w:hAnsi="宋体" w:eastAsia="宋体" w:cs="宋体"/>
          <w:b w:val="0"/>
          <w:color w:val="000000"/>
          <w:sz w:val="22"/>
          <w:szCs w:val="22"/>
          <w:highlight w:val="none"/>
        </w:rPr>
        <w:t>十、签订地点</w:t>
      </w:r>
      <w:bookmarkEnd w:id="91"/>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宁海县强蛟镇人民政府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2" w:name="_Toc386638602"/>
      <w:r>
        <w:rPr>
          <w:rFonts w:hint="eastAsia" w:ascii="宋体" w:hAnsi="宋体" w:eastAsia="宋体" w:cs="宋体"/>
          <w:b w:val="0"/>
          <w:color w:val="000000"/>
          <w:sz w:val="22"/>
          <w:szCs w:val="22"/>
          <w:highlight w:val="none"/>
        </w:rPr>
        <w:t>十一、补充协议</w:t>
      </w:r>
      <w:bookmarkEnd w:id="92"/>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3" w:name="_Toc386638603"/>
      <w:r>
        <w:rPr>
          <w:rFonts w:hint="eastAsia" w:ascii="宋体" w:hAnsi="宋体" w:eastAsia="宋体" w:cs="宋体"/>
          <w:b w:val="0"/>
          <w:color w:val="000000"/>
          <w:sz w:val="22"/>
          <w:szCs w:val="22"/>
          <w:highlight w:val="none"/>
        </w:rPr>
        <w:t>十二、合同生效</w:t>
      </w:r>
      <w:bookmarkEnd w:id="93"/>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4" w:name="_Toc386638604"/>
      <w:r>
        <w:rPr>
          <w:rFonts w:hint="eastAsia" w:ascii="宋体" w:hAnsi="宋体" w:eastAsia="宋体" w:cs="宋体"/>
          <w:b w:val="0"/>
          <w:color w:val="000000"/>
          <w:sz w:val="22"/>
          <w:szCs w:val="22"/>
          <w:highlight w:val="none"/>
        </w:rPr>
        <w:t>十三、合同份数</w:t>
      </w:r>
      <w:bookmarkEnd w:id="94"/>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5"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5"/>
      <w:bookmarkStart w:id="96"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6"/>
    <w:p w14:paraId="346F16CA">
      <w:pPr>
        <w:spacing w:line="360" w:lineRule="auto"/>
        <w:jc w:val="center"/>
        <w:outlineLvl w:val="1"/>
        <w:rPr>
          <w:rFonts w:hint="eastAsia" w:eastAsia="黑体"/>
          <w:color w:val="000000"/>
          <w:sz w:val="32"/>
          <w:highlight w:val="none"/>
        </w:rPr>
      </w:pPr>
      <w:bookmarkStart w:id="97" w:name="_Toc411083384"/>
      <w:bookmarkStart w:id="98" w:name="_Toc296503163"/>
      <w:bookmarkStart w:id="99" w:name="_Toc296891203"/>
      <w:bookmarkStart w:id="100" w:name="_Toc297048349"/>
      <w:bookmarkStart w:id="101" w:name="_Toc297120463"/>
      <w:bookmarkStart w:id="102" w:name="_Toc296346664"/>
      <w:bookmarkStart w:id="103" w:name="_Toc296890991"/>
      <w:bookmarkStart w:id="104" w:name="_Toc296944502"/>
      <w:bookmarkStart w:id="105" w:name="_Toc296347162"/>
      <w:bookmarkStart w:id="106" w:name="_Toc292559872"/>
      <w:bookmarkStart w:id="107" w:name="_Toc292559367"/>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7"/>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8" w:name="_Toc351203633"/>
      <w:bookmarkStart w:id="109" w:name="_Toc386638607"/>
      <w:r>
        <w:rPr>
          <w:rFonts w:hint="eastAsia" w:ascii="宋体" w:hAnsi="宋体" w:eastAsia="宋体" w:cs="宋体"/>
          <w:b w:val="0"/>
          <w:color w:val="000000"/>
          <w:sz w:val="22"/>
          <w:szCs w:val="22"/>
          <w:highlight w:val="none"/>
        </w:rPr>
        <w:t>1</w:t>
      </w:r>
      <w:bookmarkStart w:id="110" w:name="_Toc296503156"/>
      <w:bookmarkStart w:id="111" w:name="_Toc296891196"/>
      <w:bookmarkStart w:id="112" w:name="_Toc296944495"/>
      <w:bookmarkStart w:id="113" w:name="_Toc292559361"/>
      <w:bookmarkStart w:id="114" w:name="_Toc297120456"/>
      <w:bookmarkStart w:id="115" w:name="_Toc296347155"/>
      <w:bookmarkStart w:id="116" w:name="_Toc296890984"/>
      <w:bookmarkStart w:id="117" w:name="_Toc292559866"/>
      <w:bookmarkStart w:id="118" w:name="_Toc297048342"/>
      <w:bookmarkStart w:id="119" w:name="_Toc296346657"/>
      <w:r>
        <w:rPr>
          <w:rFonts w:hint="eastAsia" w:ascii="宋体" w:hAnsi="宋体" w:eastAsia="宋体" w:cs="宋体"/>
          <w:b w:val="0"/>
          <w:color w:val="000000"/>
          <w:sz w:val="22"/>
          <w:szCs w:val="22"/>
          <w:highlight w:val="none"/>
        </w:rPr>
        <w:t>. 一般约定</w:t>
      </w:r>
      <w:bookmarkEnd w:id="108"/>
      <w:bookmarkEnd w:id="109"/>
    </w:p>
    <w:bookmarkEnd w:id="110"/>
    <w:bookmarkEnd w:id="111"/>
    <w:bookmarkEnd w:id="112"/>
    <w:bookmarkEnd w:id="113"/>
    <w:bookmarkEnd w:id="114"/>
    <w:bookmarkEnd w:id="115"/>
    <w:bookmarkEnd w:id="116"/>
    <w:bookmarkEnd w:id="117"/>
    <w:bookmarkEnd w:id="118"/>
    <w:bookmarkEnd w:id="119"/>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0" w:name="_Toc304295521"/>
      <w:bookmarkStart w:id="121" w:name="_Toc303539100"/>
      <w:bookmarkStart w:id="122" w:name="_Toc312677986"/>
      <w:bookmarkStart w:id="123" w:name="_Toc300934943"/>
      <w:bookmarkStart w:id="124" w:name="_Toc318581155"/>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20"/>
    <w:bookmarkEnd w:id="121"/>
    <w:bookmarkEnd w:id="122"/>
    <w:bookmarkEnd w:id="123"/>
    <w:bookmarkEnd w:id="124"/>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5" w:name="_Toc304295522"/>
      <w:bookmarkStart w:id="126" w:name="_Toc312677987"/>
      <w:bookmarkStart w:id="127" w:name="_Toc318581156"/>
      <w:bookmarkStart w:id="128" w:name="_Toc303539101"/>
      <w:bookmarkStart w:id="129" w:name="_Toc300934944"/>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5"/>
      <w:bookmarkEnd w:id="126"/>
      <w:bookmarkEnd w:id="127"/>
      <w:bookmarkEnd w:id="128"/>
      <w:bookmarkEnd w:id="129"/>
      <w:r>
        <w:rPr>
          <w:rFonts w:hint="eastAsia" w:ascii="宋体" w:hAnsi="宋体" w:eastAsia="宋体" w:cs="宋体"/>
          <w:color w:val="000000"/>
          <w:sz w:val="22"/>
          <w:szCs w:val="22"/>
          <w:highlight w:val="none"/>
        </w:rPr>
        <w:t xml:space="preserve">  </w:t>
      </w:r>
      <w:bookmarkStart w:id="130"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30"/>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31" w:name="_Toc351203634"/>
      <w:bookmarkStart w:id="132" w:name="_Toc386638608"/>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3" w:name="_Toc297048343"/>
      <w:bookmarkStart w:id="134" w:name="_Toc292559362"/>
      <w:bookmarkStart w:id="135" w:name="_Toc296503157"/>
      <w:bookmarkStart w:id="136" w:name="_Toc296347156"/>
      <w:bookmarkStart w:id="137" w:name="_Toc297120457"/>
      <w:bookmarkStart w:id="138" w:name="_Toc292559867"/>
      <w:bookmarkStart w:id="139" w:name="_Toc296346658"/>
      <w:bookmarkStart w:id="140" w:name="_Toc296890985"/>
      <w:bookmarkStart w:id="141" w:name="_Toc296891197"/>
      <w:bookmarkStart w:id="142" w:name="_Toc296944496"/>
      <w:r>
        <w:rPr>
          <w:rFonts w:hint="eastAsia" w:ascii="宋体" w:hAnsi="宋体" w:eastAsia="宋体" w:cs="宋体"/>
          <w:b w:val="0"/>
          <w:color w:val="000000"/>
          <w:sz w:val="22"/>
          <w:szCs w:val="22"/>
          <w:highlight w:val="none"/>
        </w:rPr>
        <w:t>. 发包人</w:t>
      </w:r>
      <w:bookmarkEnd w:id="131"/>
      <w:bookmarkEnd w:id="132"/>
    </w:p>
    <w:bookmarkEnd w:id="133"/>
    <w:bookmarkEnd w:id="134"/>
    <w:bookmarkEnd w:id="135"/>
    <w:bookmarkEnd w:id="136"/>
    <w:bookmarkEnd w:id="137"/>
    <w:bookmarkEnd w:id="138"/>
    <w:bookmarkEnd w:id="139"/>
    <w:bookmarkEnd w:id="140"/>
    <w:bookmarkEnd w:id="141"/>
    <w:bookmarkEnd w:id="142"/>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3" w:name="_Toc351203635"/>
      <w:bookmarkStart w:id="144" w:name="_Toc386638609"/>
      <w:r>
        <w:rPr>
          <w:rFonts w:hint="eastAsia" w:ascii="宋体" w:hAnsi="宋体" w:eastAsia="宋体" w:cs="宋体"/>
          <w:b w:val="0"/>
          <w:color w:val="000000"/>
          <w:sz w:val="22"/>
          <w:szCs w:val="22"/>
          <w:highlight w:val="none"/>
        </w:rPr>
        <w:t>3</w:t>
      </w:r>
      <w:bookmarkStart w:id="145" w:name="_Toc292559868"/>
      <w:bookmarkStart w:id="146" w:name="_Toc296503158"/>
      <w:bookmarkStart w:id="147" w:name="_Toc297120458"/>
      <w:bookmarkStart w:id="148" w:name="_Toc296347157"/>
      <w:bookmarkStart w:id="149" w:name="_Toc292559363"/>
      <w:bookmarkStart w:id="150" w:name="_Toc296944497"/>
      <w:bookmarkStart w:id="151" w:name="_Toc297048344"/>
      <w:bookmarkStart w:id="152" w:name="_Toc296891198"/>
      <w:bookmarkStart w:id="153" w:name="_Toc296890986"/>
      <w:bookmarkStart w:id="154" w:name="_Toc296346659"/>
      <w:r>
        <w:rPr>
          <w:rFonts w:hint="eastAsia" w:ascii="宋体" w:hAnsi="宋体" w:eastAsia="宋体" w:cs="宋体"/>
          <w:b w:val="0"/>
          <w:color w:val="000000"/>
          <w:sz w:val="22"/>
          <w:szCs w:val="22"/>
          <w:highlight w:val="none"/>
        </w:rPr>
        <w:t>. 承包人</w:t>
      </w:r>
      <w:bookmarkEnd w:id="143"/>
      <w:bookmarkEnd w:id="144"/>
    </w:p>
    <w:bookmarkEnd w:id="145"/>
    <w:bookmarkEnd w:id="146"/>
    <w:bookmarkEnd w:id="147"/>
    <w:bookmarkEnd w:id="148"/>
    <w:bookmarkEnd w:id="149"/>
    <w:bookmarkEnd w:id="150"/>
    <w:bookmarkEnd w:id="151"/>
    <w:bookmarkEnd w:id="152"/>
    <w:bookmarkEnd w:id="153"/>
    <w:bookmarkEnd w:id="154"/>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5" w:name="_Toc292559869"/>
      <w:bookmarkStart w:id="156" w:name="_Toc297048345"/>
      <w:bookmarkStart w:id="157" w:name="_Toc312677988"/>
      <w:bookmarkStart w:id="158" w:name="_Toc303539102"/>
      <w:bookmarkStart w:id="159" w:name="_Toc296944498"/>
      <w:bookmarkStart w:id="160" w:name="_Toc296346660"/>
      <w:bookmarkStart w:id="161" w:name="_Toc296503159"/>
      <w:bookmarkStart w:id="162" w:name="_Toc297216151"/>
      <w:bookmarkStart w:id="163" w:name="_Toc296347158"/>
      <w:bookmarkStart w:id="164" w:name="_Toc300934945"/>
      <w:bookmarkStart w:id="165" w:name="_Toc292559364"/>
      <w:bookmarkStart w:id="166" w:name="_Toc297123492"/>
      <w:bookmarkStart w:id="167" w:name="_Toc296891199"/>
      <w:bookmarkStart w:id="168" w:name="_Toc297120459"/>
      <w:bookmarkStart w:id="169" w:name="_Toc304295523"/>
      <w:bookmarkStart w:id="170" w:name="_Toc296890987"/>
      <w:r>
        <w:rPr>
          <w:rFonts w:hint="eastAsia" w:ascii="宋体" w:hAnsi="宋体" w:eastAsia="宋体" w:cs="宋体"/>
          <w:color w:val="000000"/>
          <w:sz w:val="22"/>
          <w:szCs w:val="22"/>
          <w:highlight w:val="none"/>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1" w:name="_Toc297120460"/>
      <w:bookmarkStart w:id="172" w:name="_Toc292559365"/>
      <w:bookmarkStart w:id="173" w:name="_Toc292559870"/>
      <w:bookmarkStart w:id="174" w:name="_Toc297216152"/>
      <w:bookmarkStart w:id="175" w:name="_Toc297048346"/>
      <w:bookmarkStart w:id="176" w:name="_Toc297123493"/>
      <w:bookmarkStart w:id="177" w:name="_Toc296891200"/>
      <w:bookmarkStart w:id="178" w:name="_Toc296890988"/>
      <w:bookmarkStart w:id="179" w:name="_Toc296347159"/>
      <w:bookmarkStart w:id="180" w:name="_Toc312677989"/>
      <w:bookmarkStart w:id="181" w:name="_Toc296346661"/>
      <w:bookmarkStart w:id="182" w:name="_Toc303539103"/>
      <w:bookmarkStart w:id="183" w:name="_Toc296503160"/>
      <w:bookmarkStart w:id="184" w:name="_Toc304295524"/>
      <w:bookmarkStart w:id="185" w:name="_Toc296944499"/>
      <w:bookmarkStart w:id="186" w:name="_Toc318581158"/>
      <w:bookmarkStart w:id="187" w:name="_Toc300934946"/>
      <w:r>
        <w:rPr>
          <w:rFonts w:hint="eastAsia" w:ascii="宋体" w:hAnsi="宋体" w:eastAsia="宋体" w:cs="宋体"/>
          <w:color w:val="000000"/>
          <w:sz w:val="22"/>
          <w:szCs w:val="22"/>
          <w:highlight w:val="none"/>
        </w:rPr>
        <w:t>.5.1 分包的一般约定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8" w:name="_Toc312677990"/>
      <w:bookmarkStart w:id="189"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8"/>
    <w:bookmarkEnd w:id="189"/>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90" w:name="_Toc351203636"/>
      <w:bookmarkStart w:id="191" w:name="_Toc386638610"/>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92" w:name="_Toc296346663"/>
      <w:bookmarkStart w:id="193" w:name="_Toc292559366"/>
      <w:bookmarkStart w:id="194" w:name="_Toc297120462"/>
      <w:bookmarkStart w:id="195" w:name="_Toc296503162"/>
      <w:bookmarkStart w:id="196" w:name="_Toc296890990"/>
      <w:bookmarkStart w:id="197" w:name="_Toc296944501"/>
      <w:bookmarkStart w:id="198" w:name="_Toc296347161"/>
      <w:bookmarkStart w:id="199" w:name="_Toc296891202"/>
      <w:bookmarkStart w:id="200" w:name="_Toc292559871"/>
      <w:bookmarkStart w:id="201" w:name="_Toc267251413"/>
      <w:bookmarkStart w:id="202" w:name="_Toc297048348"/>
      <w:r>
        <w:rPr>
          <w:rFonts w:hint="eastAsia" w:ascii="宋体" w:hAnsi="宋体" w:eastAsia="宋体" w:cs="宋体"/>
          <w:b w:val="0"/>
          <w:color w:val="000000"/>
          <w:sz w:val="22"/>
          <w:szCs w:val="22"/>
          <w:highlight w:val="none"/>
        </w:rPr>
        <w:t>. 监</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b w:val="0"/>
          <w:color w:val="000000"/>
          <w:sz w:val="22"/>
          <w:szCs w:val="22"/>
          <w:highlight w:val="none"/>
        </w:rPr>
        <w:t>理人</w:t>
      </w:r>
      <w:bookmarkEnd w:id="190"/>
      <w:bookmarkEnd w:id="191"/>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3" w:name="_Toc267251418"/>
      <w:bookmarkStart w:id="204" w:name="_Toc351203637"/>
      <w:bookmarkStart w:id="205" w:name="_Toc386638611"/>
      <w:r>
        <w:rPr>
          <w:rFonts w:hint="eastAsia" w:ascii="宋体" w:hAnsi="宋体" w:eastAsia="宋体" w:cs="宋体"/>
          <w:b w:val="0"/>
          <w:color w:val="000000"/>
          <w:sz w:val="22"/>
          <w:szCs w:val="22"/>
          <w:highlight w:val="none"/>
        </w:rPr>
        <w:t>5</w:t>
      </w:r>
      <w:bookmarkEnd w:id="203"/>
      <w:r>
        <w:rPr>
          <w:rFonts w:hint="eastAsia" w:ascii="宋体" w:hAnsi="宋体" w:eastAsia="宋体" w:cs="宋体"/>
          <w:b w:val="0"/>
          <w:color w:val="000000"/>
          <w:sz w:val="22"/>
          <w:szCs w:val="22"/>
          <w:highlight w:val="none"/>
        </w:rPr>
        <w:t>. 工程质量</w:t>
      </w:r>
      <w:bookmarkEnd w:id="204"/>
      <w:bookmarkEnd w:id="205"/>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6" w:name="_Toc318581164"/>
      <w:bookmarkStart w:id="207" w:name="_Toc297216155"/>
      <w:bookmarkStart w:id="208" w:name="_Toc297123496"/>
      <w:bookmarkStart w:id="209" w:name="_Toc300934949"/>
      <w:bookmarkStart w:id="210" w:name="_Toc312677997"/>
      <w:bookmarkStart w:id="211" w:name="_Toc303539106"/>
      <w:bookmarkStart w:id="212" w:name="_Toc304295527"/>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3" w:name="_Toc386638612"/>
      <w:bookmarkStart w:id="214" w:name="_Toc351203638"/>
      <w:r>
        <w:rPr>
          <w:rFonts w:hint="eastAsia" w:ascii="宋体" w:hAnsi="宋体" w:eastAsia="宋体" w:cs="宋体"/>
          <w:b w:val="0"/>
          <w:color w:val="000000"/>
          <w:sz w:val="22"/>
          <w:szCs w:val="22"/>
          <w:highlight w:val="none"/>
        </w:rPr>
        <w:t>6. 安全文明施工与环境保护</w:t>
      </w:r>
      <w:bookmarkEnd w:id="213"/>
      <w:bookmarkEnd w:id="214"/>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7个工作日内支付安全文明施工费总额的100%</w:t>
      </w:r>
      <w:r>
        <w:rPr>
          <w:rFonts w:hint="eastAsia" w:ascii="宋体" w:hAnsi="宋体" w:eastAsia="宋体" w:cs="宋体"/>
          <w:sz w:val="22"/>
          <w:szCs w:val="22"/>
          <w:highlight w:val="none"/>
          <w:u w:val="single"/>
        </w:rPr>
        <w:t>。</w:t>
      </w:r>
    </w:p>
    <w:bookmarkEnd w:id="206"/>
    <w:bookmarkEnd w:id="207"/>
    <w:bookmarkEnd w:id="208"/>
    <w:bookmarkEnd w:id="209"/>
    <w:bookmarkEnd w:id="210"/>
    <w:bookmarkEnd w:id="211"/>
    <w:bookmarkEnd w:id="212"/>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5" w:name="_Toc386638613"/>
      <w:bookmarkStart w:id="216" w:name="_Toc351203639"/>
      <w:r>
        <w:rPr>
          <w:rFonts w:hint="eastAsia" w:ascii="宋体" w:hAnsi="宋体" w:eastAsia="宋体" w:cs="宋体"/>
          <w:b w:val="0"/>
          <w:color w:val="000000"/>
          <w:sz w:val="22"/>
          <w:szCs w:val="22"/>
          <w:highlight w:val="none"/>
        </w:rPr>
        <w:t>7. 工期和进度</w:t>
      </w:r>
      <w:bookmarkEnd w:id="215"/>
      <w:bookmarkEnd w:id="216"/>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312677479"/>
      <w:bookmarkStart w:id="218" w:name="_Toc312678005"/>
      <w:bookmarkStart w:id="219" w:name="_Toc297216173"/>
      <w:bookmarkStart w:id="220" w:name="_Toc304295541"/>
      <w:bookmarkStart w:id="221" w:name="_Toc303539123"/>
      <w:bookmarkStart w:id="222" w:name="_Toc297123514"/>
      <w:bookmarkStart w:id="223" w:name="_Toc300934966"/>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7"/>
    <w:bookmarkEnd w:id="218"/>
    <w:bookmarkEnd w:id="219"/>
    <w:bookmarkEnd w:id="220"/>
    <w:bookmarkEnd w:id="221"/>
    <w:bookmarkEnd w:id="222"/>
    <w:bookmarkEnd w:id="223"/>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4" w:name="_Toc304295546"/>
      <w:bookmarkStart w:id="225" w:name="_Toc297216175"/>
      <w:bookmarkStart w:id="226" w:name="_Toc312677484"/>
      <w:bookmarkStart w:id="227" w:name="_Toc312678010"/>
      <w:bookmarkStart w:id="228" w:name="_Toc303539125"/>
      <w:bookmarkStart w:id="229" w:name="_Toc297123516"/>
      <w:bookmarkStart w:id="230" w:name="_Toc300934968"/>
      <w:r>
        <w:rPr>
          <w:rFonts w:hint="eastAsia" w:ascii="宋体" w:hAnsi="宋体" w:eastAsia="宋体" w:cs="宋体"/>
          <w:color w:val="000000"/>
          <w:sz w:val="22"/>
          <w:szCs w:val="22"/>
          <w:highlight w:val="none"/>
        </w:rPr>
        <w:t>.5 工期延误</w:t>
      </w:r>
    </w:p>
    <w:bookmarkEnd w:id="224"/>
    <w:bookmarkEnd w:id="225"/>
    <w:bookmarkEnd w:id="226"/>
    <w:bookmarkEnd w:id="227"/>
    <w:bookmarkEnd w:id="228"/>
    <w:bookmarkEnd w:id="229"/>
    <w:bookmarkEnd w:id="230"/>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1" w:name="_Toc312678012"/>
      <w:bookmarkStart w:id="232" w:name="_Toc312677486"/>
      <w:bookmarkStart w:id="233" w:name="_Toc318581169"/>
      <w:bookmarkStart w:id="234" w:name="_Toc304295548"/>
      <w:bookmarkStart w:id="235" w:name="_Toc303539127"/>
      <w:bookmarkStart w:id="236" w:name="_Toc300934970"/>
      <w:bookmarkStart w:id="237" w:name="_Toc297123518"/>
      <w:bookmarkStart w:id="238" w:name="_Toc297216177"/>
      <w:r>
        <w:rPr>
          <w:rFonts w:hint="eastAsia" w:ascii="宋体" w:hAnsi="宋体" w:eastAsia="宋体" w:cs="宋体"/>
          <w:color w:val="000000"/>
          <w:sz w:val="22"/>
          <w:szCs w:val="22"/>
          <w:highlight w:val="none"/>
        </w:rPr>
        <w:t>.5.2 因承包人原因导致工期延误</w:t>
      </w:r>
    </w:p>
    <w:bookmarkEnd w:id="231"/>
    <w:bookmarkEnd w:id="232"/>
    <w:bookmarkEnd w:id="233"/>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9" w:name="_Toc312677487"/>
      <w:bookmarkStart w:id="240" w:name="_Toc312678013"/>
      <w:bookmarkStart w:id="241"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4"/>
      <w:bookmarkEnd w:id="235"/>
      <w:bookmarkEnd w:id="236"/>
      <w:bookmarkEnd w:id="237"/>
      <w:bookmarkEnd w:id="238"/>
      <w:bookmarkEnd w:id="239"/>
      <w:bookmarkEnd w:id="240"/>
    </w:p>
    <w:bookmarkEnd w:id="241"/>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42" w:name="_Toc312678014"/>
      <w:bookmarkStart w:id="243"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42"/>
    <w:bookmarkEnd w:id="243"/>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4" w:name="_Toc303539128"/>
      <w:bookmarkStart w:id="245" w:name="_Toc312678015"/>
      <w:bookmarkStart w:id="246" w:name="_Toc300934971"/>
      <w:bookmarkStart w:id="247" w:name="_Toc297216178"/>
      <w:bookmarkStart w:id="248" w:name="_Toc297123519"/>
      <w:bookmarkStart w:id="249" w:name="_Toc304295549"/>
      <w:r>
        <w:rPr>
          <w:rFonts w:hint="eastAsia" w:ascii="宋体" w:hAnsi="宋体" w:eastAsia="宋体" w:cs="宋体"/>
          <w:color w:val="000000"/>
          <w:sz w:val="22"/>
          <w:szCs w:val="22"/>
          <w:highlight w:val="none"/>
        </w:rPr>
        <w:t>.6 不</w:t>
      </w:r>
      <w:bookmarkEnd w:id="244"/>
      <w:bookmarkEnd w:id="245"/>
      <w:bookmarkEnd w:id="246"/>
      <w:bookmarkEnd w:id="247"/>
      <w:bookmarkEnd w:id="248"/>
      <w:bookmarkEnd w:id="249"/>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50" w:name="_Toc303539129"/>
      <w:bookmarkStart w:id="251" w:name="_Toc297123520"/>
      <w:bookmarkStart w:id="252" w:name="_Toc297216179"/>
      <w:bookmarkStart w:id="253" w:name="_Toc300934972"/>
      <w:bookmarkStart w:id="254" w:name="_Toc312678016"/>
      <w:bookmarkStart w:id="255" w:name="_Toc318581172"/>
      <w:bookmarkStart w:id="256" w:name="_Toc304295550"/>
      <w:r>
        <w:rPr>
          <w:rFonts w:hint="eastAsia" w:ascii="宋体" w:hAnsi="宋体" w:eastAsia="宋体" w:cs="宋体"/>
          <w:color w:val="000000"/>
          <w:sz w:val="22"/>
          <w:szCs w:val="22"/>
          <w:highlight w:val="none"/>
        </w:rPr>
        <w:t>不利物质条件的其他情形和有关约定：</w:t>
      </w:r>
      <w:bookmarkEnd w:id="250"/>
      <w:bookmarkEnd w:id="251"/>
      <w:bookmarkEnd w:id="252"/>
      <w:bookmarkEnd w:id="253"/>
      <w:bookmarkEnd w:id="254"/>
      <w:bookmarkEnd w:id="255"/>
      <w:bookmarkEnd w:id="25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7" w:name="_Toc304295551"/>
      <w:bookmarkStart w:id="258" w:name="_Toc303539130"/>
      <w:bookmarkStart w:id="259" w:name="_Toc300934973"/>
      <w:bookmarkStart w:id="260" w:name="_Toc297123521"/>
      <w:bookmarkStart w:id="261" w:name="_Toc312678017"/>
      <w:bookmarkStart w:id="262" w:name="_Toc297216180"/>
      <w:r>
        <w:rPr>
          <w:rFonts w:hint="eastAsia" w:ascii="宋体" w:hAnsi="宋体" w:eastAsia="宋体" w:cs="宋体"/>
          <w:color w:val="000000"/>
          <w:sz w:val="22"/>
          <w:szCs w:val="22"/>
          <w:highlight w:val="none"/>
        </w:rPr>
        <w:t>.7异常恶劣的气候条件</w:t>
      </w:r>
      <w:bookmarkEnd w:id="257"/>
      <w:bookmarkEnd w:id="258"/>
      <w:bookmarkEnd w:id="259"/>
      <w:bookmarkEnd w:id="260"/>
      <w:bookmarkEnd w:id="261"/>
      <w:bookmarkEnd w:id="2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3" w:name="_Toc351203640"/>
      <w:bookmarkStart w:id="264" w:name="_Toc386638614"/>
      <w:r>
        <w:rPr>
          <w:rFonts w:hint="eastAsia" w:ascii="宋体" w:hAnsi="宋体" w:eastAsia="宋体" w:cs="宋体"/>
          <w:b w:val="0"/>
          <w:color w:val="000000"/>
          <w:sz w:val="22"/>
          <w:szCs w:val="22"/>
          <w:highlight w:val="none"/>
        </w:rPr>
        <w:t>8. 材料与设备</w:t>
      </w:r>
      <w:bookmarkEnd w:id="263"/>
      <w:bookmarkEnd w:id="264"/>
    </w:p>
    <w:bookmarkEnd w:id="98"/>
    <w:bookmarkEnd w:id="99"/>
    <w:bookmarkEnd w:id="100"/>
    <w:bookmarkEnd w:id="101"/>
    <w:bookmarkEnd w:id="102"/>
    <w:bookmarkEnd w:id="103"/>
    <w:bookmarkEnd w:id="104"/>
    <w:bookmarkEnd w:id="105"/>
    <w:bookmarkEnd w:id="106"/>
    <w:bookmarkEnd w:id="107"/>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5" w:name="_Toc296503167"/>
      <w:bookmarkStart w:id="266" w:name="_Toc296890995"/>
      <w:bookmarkStart w:id="267" w:name="_Toc297048353"/>
      <w:bookmarkStart w:id="268" w:name="_Toc303539136"/>
      <w:bookmarkStart w:id="269" w:name="_Toc297123527"/>
      <w:bookmarkStart w:id="270" w:name="_Toc300934979"/>
      <w:bookmarkStart w:id="271" w:name="_Toc312678019"/>
      <w:bookmarkStart w:id="272" w:name="_Toc292559372"/>
      <w:bookmarkStart w:id="273" w:name="_Toc296891207"/>
      <w:bookmarkStart w:id="274" w:name="_Toc297120467"/>
      <w:bookmarkStart w:id="275" w:name="_Toc304295556"/>
      <w:bookmarkStart w:id="276" w:name="_Toc296347166"/>
      <w:bookmarkStart w:id="277" w:name="_Toc297216186"/>
      <w:bookmarkStart w:id="278" w:name="_Toc296944506"/>
      <w:bookmarkStart w:id="279" w:name="_Toc312677493"/>
      <w:bookmarkStart w:id="280" w:name="_Toc296346668"/>
      <w:bookmarkStart w:id="281" w:name="_Toc280868654"/>
      <w:bookmarkStart w:id="282" w:name="_Toc292559877"/>
      <w:bookmarkStart w:id="283" w:name="_Toc267251424"/>
      <w:bookmarkStart w:id="284" w:name="_Toc280868656"/>
      <w:bookmarkStart w:id="285" w:name="_Toc280868655"/>
      <w:r>
        <w:rPr>
          <w:rFonts w:hint="eastAsia" w:ascii="宋体" w:hAnsi="宋体" w:eastAsia="宋体" w:cs="宋体"/>
          <w:color w:val="000000"/>
          <w:sz w:val="22"/>
          <w:szCs w:val="22"/>
          <w:highlight w:val="none"/>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22137B26">
      <w:pPr>
        <w:pStyle w:val="638"/>
        <w:spacing w:line="360" w:lineRule="auto"/>
        <w:ind w:firstLine="456" w:firstLineChars="190"/>
        <w:rPr>
          <w:rFonts w:hint="eastAsia" w:ascii="宋体" w:hAnsi="宋体" w:eastAsia="宋体" w:cs="宋体"/>
          <w:b w:val="0"/>
          <w:color w:val="auto"/>
          <w:kern w:val="0"/>
          <w:sz w:val="24"/>
          <w:szCs w:val="24"/>
          <w:highlight w:val="none"/>
          <w:u w:val="single"/>
        </w:rPr>
      </w:pPr>
      <w:bookmarkStart w:id="286" w:name="_Toc297216187"/>
      <w:bookmarkStart w:id="287" w:name="_Toc296503168"/>
      <w:bookmarkStart w:id="288" w:name="_Toc296891208"/>
      <w:bookmarkStart w:id="289" w:name="_Toc300934980"/>
      <w:bookmarkStart w:id="290" w:name="_Toc304295557"/>
      <w:bookmarkStart w:id="291" w:name="_Toc297120468"/>
      <w:bookmarkStart w:id="292" w:name="_Toc297123528"/>
      <w:bookmarkStart w:id="293" w:name="_Toc297048354"/>
      <w:bookmarkStart w:id="294" w:name="_Toc296346669"/>
      <w:bookmarkStart w:id="295" w:name="_Toc303539137"/>
      <w:bookmarkStart w:id="296" w:name="_Toc318581173"/>
      <w:bookmarkStart w:id="297" w:name="_Toc296347167"/>
      <w:bookmarkStart w:id="298" w:name="_Toc296890996"/>
      <w:bookmarkStart w:id="299" w:name="_Toc296944507"/>
      <w:bookmarkStart w:id="300" w:name="_Toc312677494"/>
      <w:bookmarkStart w:id="301" w:name="_Toc312678020"/>
      <w:r>
        <w:rPr>
          <w:rFonts w:hint="eastAsia" w:ascii="宋体" w:hAnsi="宋体" w:eastAsia="宋体" w:cs="宋体"/>
          <w:b w:val="0"/>
          <w:color w:val="auto"/>
          <w:kern w:val="0"/>
          <w:sz w:val="24"/>
          <w:szCs w:val="24"/>
          <w:highlight w:val="none"/>
          <w:u w:val="single"/>
        </w:rPr>
        <w:t>（1）承包人采购材料的约定：</w:t>
      </w:r>
    </w:p>
    <w:p w14:paraId="448F74FB">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所有材料、设备均由承包人自行采购。品牌材料采购时，承包人应采购投标时所响应的品牌。</w:t>
      </w:r>
    </w:p>
    <w:p w14:paraId="323E81B1">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1BFF78E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（2）承包人所采购的材料设备应与投标时注明的设备、材料、品牌、生产厂家、产地、规格、型号、性能等相符。</w:t>
      </w:r>
    </w:p>
    <w:p w14:paraId="11C5C06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5081088A">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（4）承包人未按要求采购设备材料，以次充好或使用假冒伪劣产品的，必须承担工程的返工损失和工期、质量的违约责任。</w:t>
      </w:r>
    </w:p>
    <w:p w14:paraId="17C10799">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4E65CB1C">
      <w:pPr>
        <w:spacing w:line="360" w:lineRule="auto"/>
        <w:ind w:firstLine="480" w:firstLineChars="200"/>
        <w:rPr>
          <w:rFonts w:hint="eastAsia" w:ascii="宋体" w:hAnsi="宋体" w:eastAsia="宋体" w:cs="宋体"/>
          <w:color w:val="000000"/>
          <w:sz w:val="22"/>
          <w:szCs w:val="22"/>
          <w:highlight w:val="none"/>
        </w:rPr>
      </w:pPr>
      <w:r>
        <w:rPr>
          <w:rFonts w:hint="eastAsia" w:ascii="宋体" w:hAnsi="宋体" w:eastAsia="宋体" w:cs="宋体"/>
          <w:color w:val="auto"/>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02" w:name="_Toc351203641"/>
      <w:bookmarkStart w:id="303" w:name="_Toc386638615"/>
      <w:r>
        <w:rPr>
          <w:rFonts w:hint="eastAsia" w:ascii="宋体" w:hAnsi="宋体" w:eastAsia="宋体" w:cs="宋体"/>
          <w:b w:val="0"/>
          <w:color w:val="000000"/>
          <w:sz w:val="22"/>
          <w:szCs w:val="22"/>
          <w:highlight w:val="none"/>
        </w:rPr>
        <w:t>9</w:t>
      </w:r>
      <w:bookmarkEnd w:id="283"/>
      <w:bookmarkEnd w:id="284"/>
      <w:bookmarkEnd w:id="285"/>
      <w:bookmarkStart w:id="304" w:name="_Toc312677495"/>
      <w:bookmarkStart w:id="305" w:name="_Toc303539139"/>
      <w:bookmarkStart w:id="306" w:name="_Toc304295559"/>
      <w:bookmarkStart w:id="307" w:name="_Toc297123533"/>
      <w:bookmarkStart w:id="308" w:name="_Toc300934982"/>
      <w:bookmarkStart w:id="309" w:name="_Toc312678021"/>
      <w:bookmarkStart w:id="310" w:name="_Toc297216192"/>
      <w:bookmarkStart w:id="311" w:name="_Toc296944512"/>
      <w:bookmarkStart w:id="312" w:name="_Toc292559883"/>
      <w:bookmarkStart w:id="313" w:name="_Toc292559378"/>
      <w:bookmarkStart w:id="314" w:name="_Toc296346674"/>
      <w:bookmarkStart w:id="315" w:name="_Toc267251428"/>
      <w:bookmarkStart w:id="316" w:name="_Toc267251427"/>
      <w:bookmarkStart w:id="317" w:name="_Toc296347172"/>
      <w:bookmarkStart w:id="318" w:name="_Toc296891001"/>
      <w:bookmarkStart w:id="319" w:name="_Toc296503173"/>
      <w:bookmarkStart w:id="320" w:name="_Toc297120473"/>
      <w:bookmarkStart w:id="321" w:name="_Toc297048359"/>
      <w:bookmarkStart w:id="322" w:name="_Toc296891213"/>
      <w:r>
        <w:rPr>
          <w:rFonts w:hint="eastAsia" w:ascii="宋体" w:hAnsi="宋体" w:eastAsia="宋体" w:cs="宋体"/>
          <w:b w:val="0"/>
          <w:color w:val="000000"/>
          <w:sz w:val="22"/>
          <w:szCs w:val="22"/>
          <w:highlight w:val="none"/>
        </w:rPr>
        <w:t>. 试验与检验</w:t>
      </w:r>
      <w:bookmarkEnd w:id="302"/>
      <w:bookmarkEnd w:id="303"/>
    </w:p>
    <w:bookmarkEnd w:id="304"/>
    <w:bookmarkEnd w:id="305"/>
    <w:bookmarkEnd w:id="306"/>
    <w:bookmarkEnd w:id="307"/>
    <w:bookmarkEnd w:id="308"/>
    <w:bookmarkEnd w:id="309"/>
    <w:bookmarkEnd w:id="310"/>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3" w:name="_Toc304295560"/>
      <w:bookmarkStart w:id="324" w:name="_Toc297123534"/>
      <w:bookmarkStart w:id="325" w:name="_Toc312677496"/>
      <w:bookmarkStart w:id="326" w:name="_Toc297216193"/>
      <w:bookmarkStart w:id="327" w:name="_Toc300934983"/>
      <w:bookmarkStart w:id="328" w:name="_Toc312678022"/>
      <w:bookmarkStart w:id="329" w:name="_Toc303539140"/>
      <w:r>
        <w:rPr>
          <w:rFonts w:hint="eastAsia" w:ascii="宋体" w:hAnsi="宋体" w:eastAsia="宋体" w:cs="宋体"/>
          <w:color w:val="000000"/>
          <w:sz w:val="22"/>
          <w:szCs w:val="22"/>
          <w:highlight w:val="none"/>
        </w:rPr>
        <w:t>.1试验设备与试验人员</w:t>
      </w:r>
    </w:p>
    <w:bookmarkEnd w:id="323"/>
    <w:bookmarkEnd w:id="324"/>
    <w:bookmarkEnd w:id="325"/>
    <w:bookmarkEnd w:id="326"/>
    <w:bookmarkEnd w:id="327"/>
    <w:bookmarkEnd w:id="328"/>
    <w:bookmarkEnd w:id="329"/>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30" w:name="_Toc303539141"/>
      <w:bookmarkStart w:id="331" w:name="_Toc297123535"/>
      <w:bookmarkStart w:id="332" w:name="_Toc312678023"/>
      <w:bookmarkStart w:id="333" w:name="_Toc312677497"/>
      <w:bookmarkStart w:id="334" w:name="_Toc297216194"/>
      <w:bookmarkStart w:id="335" w:name="_Toc300934984"/>
      <w:bookmarkStart w:id="336" w:name="_Toc304295561"/>
      <w:bookmarkStart w:id="337"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30"/>
      <w:bookmarkEnd w:id="331"/>
      <w:bookmarkEnd w:id="332"/>
      <w:bookmarkEnd w:id="333"/>
      <w:bookmarkEnd w:id="334"/>
      <w:bookmarkEnd w:id="335"/>
      <w:bookmarkEnd w:id="336"/>
      <w:bookmarkStart w:id="338" w:name="_Toc312677498"/>
      <w:bookmarkStart w:id="339" w:name="_Toc312678024"/>
      <w:bookmarkStart w:id="340" w:name="_Toc297123536"/>
      <w:bookmarkStart w:id="341" w:name="_Toc300934985"/>
      <w:bookmarkStart w:id="342" w:name="_Toc297216195"/>
      <w:bookmarkStart w:id="343" w:name="_Toc304295562"/>
      <w:bookmarkStart w:id="344" w:name="_Toc30353914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37"/>
    <w:bookmarkEnd w:id="338"/>
    <w:bookmarkEnd w:id="339"/>
    <w:bookmarkEnd w:id="340"/>
    <w:bookmarkEnd w:id="341"/>
    <w:bookmarkEnd w:id="342"/>
    <w:bookmarkEnd w:id="343"/>
    <w:bookmarkEnd w:id="344"/>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5" w:name="_Toc386638616"/>
      <w:bookmarkStart w:id="346" w:name="_Toc351203642"/>
      <w:bookmarkStart w:id="347" w:name="_Toc267251439"/>
      <w:bookmarkStart w:id="348" w:name="_Toc267251433"/>
      <w:bookmarkStart w:id="349" w:name="_Toc267251441"/>
      <w:bookmarkStart w:id="350" w:name="_Toc267251440"/>
      <w:bookmarkStart w:id="351" w:name="_Toc267251435"/>
      <w:bookmarkStart w:id="352" w:name="_Toc267251437"/>
      <w:bookmarkStart w:id="353" w:name="_Toc267251442"/>
      <w:r>
        <w:rPr>
          <w:rFonts w:hint="eastAsia" w:ascii="宋体" w:hAnsi="宋体" w:eastAsia="宋体" w:cs="宋体"/>
          <w:b w:val="0"/>
          <w:color w:val="000000"/>
          <w:sz w:val="22"/>
          <w:szCs w:val="22"/>
          <w:highlight w:val="none"/>
        </w:rPr>
        <w:t>1</w:t>
      </w:r>
      <w:bookmarkStart w:id="354" w:name="_Toc296891233"/>
      <w:bookmarkStart w:id="355" w:name="_Toc296891021"/>
      <w:bookmarkStart w:id="356" w:name="_Toc297120493"/>
      <w:bookmarkStart w:id="357" w:name="_Toc292559398"/>
      <w:bookmarkStart w:id="358" w:name="_Toc297048379"/>
      <w:bookmarkStart w:id="359" w:name="_Toc304295566"/>
      <w:bookmarkStart w:id="360" w:name="_Toc297216199"/>
      <w:bookmarkStart w:id="361" w:name="_Toc296347192"/>
      <w:bookmarkStart w:id="362" w:name="_Toc303539146"/>
      <w:bookmarkStart w:id="363" w:name="_Toc300934989"/>
      <w:bookmarkStart w:id="364" w:name="_Toc292559903"/>
      <w:bookmarkStart w:id="365" w:name="_Toc296503193"/>
      <w:bookmarkStart w:id="366" w:name="_Toc296346694"/>
      <w:bookmarkStart w:id="367" w:name="_Toc296944532"/>
      <w:bookmarkStart w:id="368" w:name="_Toc297123540"/>
      <w:bookmarkStart w:id="369" w:name="_Toc312678025"/>
      <w:bookmarkStart w:id="370" w:name="_Toc312677499"/>
      <w:r>
        <w:rPr>
          <w:rFonts w:hint="eastAsia" w:ascii="宋体" w:hAnsi="宋体" w:eastAsia="宋体" w:cs="宋体"/>
          <w:b w:val="0"/>
          <w:color w:val="000000"/>
          <w:sz w:val="22"/>
          <w:szCs w:val="22"/>
          <w:highlight w:val="none"/>
        </w:rPr>
        <w:t>0. 变更</w:t>
      </w:r>
      <w:bookmarkEnd w:id="345"/>
      <w:bookmarkEnd w:id="34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69"/>
    <w:bookmarkEnd w:id="370"/>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71" w:name="_Toc312678026"/>
      <w:bookmarkStart w:id="372" w:name="_Toc292559399"/>
      <w:bookmarkStart w:id="373" w:name="_Toc312677500"/>
      <w:bookmarkStart w:id="374" w:name="_Toc296891022"/>
      <w:bookmarkStart w:id="375" w:name="_Toc296944533"/>
      <w:bookmarkStart w:id="376" w:name="_Toc296347193"/>
      <w:bookmarkStart w:id="377" w:name="_Toc296346695"/>
      <w:bookmarkStart w:id="378" w:name="_Toc303539147"/>
      <w:bookmarkStart w:id="379" w:name="_Toc296503194"/>
      <w:bookmarkStart w:id="380" w:name="_Toc297123541"/>
      <w:bookmarkStart w:id="381" w:name="_Toc304295567"/>
      <w:bookmarkStart w:id="382" w:name="_Toc296891234"/>
      <w:bookmarkStart w:id="383" w:name="_Toc297048380"/>
      <w:bookmarkStart w:id="384" w:name="_Toc297216200"/>
      <w:bookmarkStart w:id="385" w:name="_Toc300934990"/>
      <w:bookmarkStart w:id="386" w:name="_Toc292559904"/>
      <w:bookmarkStart w:id="387" w:name="_Toc297120494"/>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7"/>
    <w:bookmarkEnd w:id="348"/>
    <w:bookmarkEnd w:id="349"/>
    <w:bookmarkEnd w:id="350"/>
    <w:bookmarkEnd w:id="351"/>
    <w:bookmarkEnd w:id="352"/>
    <w:bookmarkEnd w:id="3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59D524A7">
      <w:pPr>
        <w:spacing w:line="360" w:lineRule="auto"/>
        <w:ind w:firstLine="440" w:firstLineChars="200"/>
        <w:rPr>
          <w:rFonts w:hint="eastAsia" w:ascii="宋体" w:hAnsi="宋体" w:eastAsia="宋体" w:cs="宋体"/>
          <w:color w:val="000000"/>
          <w:sz w:val="22"/>
          <w:szCs w:val="22"/>
          <w:highlight w:val="none"/>
        </w:rPr>
      </w:pPr>
      <w:bookmarkStart w:id="388" w:name="_Toc351203645"/>
      <w:bookmarkStart w:id="389" w:name="_Toc386638619"/>
      <w:bookmarkStart w:id="390" w:name="_Toc296891259"/>
      <w:bookmarkStart w:id="391" w:name="_Toc297216223"/>
      <w:bookmarkStart w:id="392" w:name="_Toc304295593"/>
      <w:bookmarkStart w:id="393" w:name="_Toc303539172"/>
      <w:bookmarkStart w:id="394" w:name="_Toc297048405"/>
      <w:bookmarkStart w:id="395" w:name="_Toc297120519"/>
      <w:bookmarkStart w:id="396" w:name="_Toc292559929"/>
      <w:bookmarkStart w:id="397" w:name="_Toc296891047"/>
      <w:bookmarkStart w:id="398" w:name="_Toc300935015"/>
      <w:bookmarkStart w:id="399" w:name="_Toc296347218"/>
      <w:bookmarkStart w:id="400" w:name="_Toc296346720"/>
      <w:bookmarkStart w:id="401" w:name="_Toc292559424"/>
      <w:bookmarkStart w:id="402" w:name="_Toc296503219"/>
      <w:bookmarkStart w:id="403" w:name="_Toc296944558"/>
      <w:bookmarkStart w:id="404" w:name="_Toc297123564"/>
      <w:bookmarkStart w:id="405" w:name="_Toc312678053"/>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治理工程按道路、排水、河道护岸、水处理构筑物工程计取，绿化部分按单独绿化工程计取；安全生产责任险保险费按市建管[2024]12号文件计取。（2）组织措施费（安全文明施工费按非市区工程、冬雨季施工增加费计入，其中安全文明施工费按浙建建发[2022]37号文件增加疫情常态化防控和“智慧工地”增加费调整，其他费未计），规费按标准取费30%计算，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6E7A61C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color w:val="000000" w:themeColor="text1"/>
          <w:sz w:val="22"/>
          <w:szCs w:val="22"/>
          <w14:textFill>
            <w14:solidFill>
              <w14:schemeClr w14:val="tx1"/>
            </w14:solidFill>
          </w14:textFill>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治理工程按道路、排水、河道护岸、水处理构筑物工程计取，绿化部分按单独绿化工程计取；安全生产责任险保险费按市建管[2024]12号文件计取。（2）组织措施费（安全文明施工费按非市区工程、冬雨季施工增加费计入，其中安全文明施工费按浙建建发[2022]37号文件增加疫情常态化防控和“智慧工地”增加费调整，其他费未计），规费按标准取费30%计算，税金按建建发【2019】92号文件营改增税率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中标</w:t>
      </w:r>
      <w:r>
        <w:rPr>
          <w:rFonts w:hint="eastAsia" w:ascii="宋体" w:hAnsi="宋体" w:eastAsia="宋体" w:cs="宋体"/>
          <w:sz w:val="22"/>
          <w:szCs w:val="22"/>
          <w:highlight w:val="none"/>
          <w:lang w:eastAsia="zh-CN"/>
        </w:rPr>
        <w:t>价</w:t>
      </w:r>
      <w:r>
        <w:rPr>
          <w:rFonts w:hint="eastAsia" w:ascii="宋体" w:hAnsi="宋体" w:cs="宋体"/>
          <w:sz w:val="22"/>
          <w:szCs w:val="22"/>
          <w:highlight w:val="none"/>
          <w:lang w:val="en-US" w:eastAsia="zh-CN"/>
        </w:rPr>
        <w:t>-不可预见费）</w:t>
      </w:r>
      <w:r>
        <w:rPr>
          <w:rFonts w:hint="eastAsia" w:ascii="宋体" w:hAnsi="宋体" w:eastAsia="宋体" w:cs="宋体"/>
          <w:sz w:val="22"/>
          <w:szCs w:val="22"/>
          <w:highlight w:val="none"/>
        </w:rPr>
        <w:t>/</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w:t>
      </w:r>
      <w:r>
        <w:rPr>
          <w:rFonts w:hint="eastAsia" w:ascii="宋体" w:hAnsi="宋体" w:cs="宋体"/>
          <w:sz w:val="22"/>
          <w:szCs w:val="22"/>
          <w:highlight w:val="none"/>
          <w:lang w:val="en-US" w:eastAsia="zh-CN"/>
        </w:rPr>
        <w:t>-不可预见费）</w:t>
      </w:r>
      <w:r>
        <w:rPr>
          <w:rFonts w:hint="eastAsia" w:ascii="宋体" w:hAnsi="宋体" w:eastAsia="宋体" w:cs="宋体"/>
          <w:sz w:val="22"/>
          <w:szCs w:val="22"/>
          <w:highlight w:val="none"/>
        </w:rPr>
        <w:t>】*100%。</w:t>
      </w:r>
    </w:p>
    <w:p w14:paraId="16C9FA70">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 xml:space="preserve"> 2606840</w:t>
      </w:r>
      <w:r>
        <w:rPr>
          <w:rFonts w:hint="eastAsia" w:ascii="宋体" w:hAnsi="宋体" w:cs="宋体"/>
          <w:snapToGrid w:val="0"/>
          <w:color w:val="auto"/>
          <w:sz w:val="22"/>
          <w:szCs w:val="22"/>
          <w:u w:val="none"/>
          <w:lang w:val="en-US" w:eastAsia="zh-CN"/>
        </w:rPr>
        <w:t>元，其中不可预见费109000元（含税)。</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6" w:name="_Toc296891025"/>
      <w:bookmarkStart w:id="407" w:name="_Toc297216203"/>
      <w:bookmarkStart w:id="408" w:name="_Toc297123544"/>
      <w:bookmarkStart w:id="409" w:name="_Toc300934993"/>
      <w:bookmarkStart w:id="410" w:name="_Toc296346698"/>
      <w:bookmarkStart w:id="411" w:name="_Toc297048383"/>
      <w:bookmarkStart w:id="412" w:name="_Toc296891237"/>
      <w:bookmarkStart w:id="413" w:name="_Toc296944536"/>
      <w:bookmarkStart w:id="414" w:name="_Toc296503197"/>
      <w:bookmarkStart w:id="415" w:name="_Toc297120497"/>
      <w:bookmarkStart w:id="416" w:name="_Toc292559402"/>
      <w:bookmarkStart w:id="417" w:name="_Toc296347196"/>
      <w:bookmarkStart w:id="418" w:name="_Toc292559907"/>
      <w:bookmarkStart w:id="419" w:name="_Toc303539150"/>
      <w:bookmarkStart w:id="420" w:name="_Toc312677503"/>
      <w:bookmarkStart w:id="421" w:name="_Toc304295570"/>
      <w:bookmarkStart w:id="422" w:name="_Toc312678029"/>
      <w:r>
        <w:rPr>
          <w:rFonts w:hint="eastAsia" w:ascii="宋体" w:hAnsi="宋体" w:eastAsia="宋体" w:cs="宋体"/>
          <w:color w:val="000000"/>
          <w:sz w:val="22"/>
          <w:szCs w:val="22"/>
          <w:highlight w:val="none"/>
        </w:rPr>
        <w:t>0.5承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6346704"/>
      <w:bookmarkStart w:id="424" w:name="_Toc297120503"/>
      <w:bookmarkStart w:id="425" w:name="_Toc297216204"/>
      <w:bookmarkStart w:id="426" w:name="_Toc303539151"/>
      <w:bookmarkStart w:id="427" w:name="_Toc296503203"/>
      <w:bookmarkStart w:id="428" w:name="_Toc297123545"/>
      <w:bookmarkStart w:id="429" w:name="_Toc292559408"/>
      <w:bookmarkStart w:id="430" w:name="_Toc296944542"/>
      <w:bookmarkStart w:id="431" w:name="_Toc296891243"/>
      <w:bookmarkStart w:id="432" w:name="_Toc296347202"/>
      <w:bookmarkStart w:id="433" w:name="_Toc296891031"/>
      <w:bookmarkStart w:id="434" w:name="_Toc292559913"/>
      <w:bookmarkStart w:id="435" w:name="_Toc297048389"/>
      <w:bookmarkStart w:id="436" w:name="_Toc300934994"/>
      <w:r>
        <w:rPr>
          <w:rFonts w:hint="eastAsia" w:ascii="宋体" w:hAnsi="宋体" w:eastAsia="宋体" w:cs="宋体"/>
          <w:color w:val="000000"/>
          <w:sz w:val="22"/>
          <w:szCs w:val="22"/>
          <w:highlight w:val="none"/>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7" w:name="_Toc296944543"/>
      <w:bookmarkStart w:id="438" w:name="_Toc297048390"/>
      <w:bookmarkStart w:id="439" w:name="_Toc312678030"/>
      <w:bookmarkStart w:id="440" w:name="_Toc297216205"/>
      <w:bookmarkStart w:id="441" w:name="_Toc304295571"/>
      <w:bookmarkStart w:id="442" w:name="_Toc296347203"/>
      <w:bookmarkStart w:id="443" w:name="_Toc300934995"/>
      <w:bookmarkStart w:id="444" w:name="_Toc318581175"/>
      <w:bookmarkStart w:id="445" w:name="_Toc312677504"/>
      <w:bookmarkStart w:id="446" w:name="_Toc296891244"/>
      <w:bookmarkStart w:id="447" w:name="_Toc296891032"/>
      <w:bookmarkStart w:id="448" w:name="_Toc297120504"/>
      <w:bookmarkStart w:id="449" w:name="_Toc292559409"/>
      <w:bookmarkStart w:id="450" w:name="_Toc303539152"/>
      <w:bookmarkStart w:id="451" w:name="_Toc292559914"/>
      <w:bookmarkStart w:id="452" w:name="_Toc296346705"/>
      <w:bookmarkStart w:id="453" w:name="_Toc297123546"/>
      <w:bookmarkStart w:id="454" w:name="_Toc296503204"/>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7AF1957C">
      <w:pPr>
        <w:spacing w:line="360" w:lineRule="auto"/>
        <w:ind w:firstLine="440" w:firstLineChars="200"/>
        <w:rPr>
          <w:rFonts w:hint="eastAsia" w:ascii="宋体" w:hAnsi="宋体" w:eastAsia="宋体" w:cs="宋体"/>
          <w:color w:val="000000"/>
          <w:sz w:val="22"/>
          <w:szCs w:val="22"/>
          <w:highlight w:val="none"/>
        </w:rPr>
      </w:pPr>
      <w:bookmarkStart w:id="455" w:name="_Toc312677508"/>
      <w:bookmarkStart w:id="456" w:name="_Toc318581176"/>
      <w:bookmarkStart w:id="457" w:name="_Toc312678034"/>
      <w:r>
        <w:rPr>
          <w:rFonts w:hint="eastAsia" w:ascii="宋体" w:hAnsi="宋体" w:eastAsia="宋体" w:cs="宋体"/>
          <w:color w:val="000000"/>
          <w:sz w:val="22"/>
          <w:szCs w:val="22"/>
          <w:highlight w:val="none"/>
        </w:rPr>
        <w:t>1</w:t>
      </w:r>
      <w:bookmarkStart w:id="458" w:name="_Toc296891239"/>
      <w:bookmarkStart w:id="459" w:name="_Toc292559909"/>
      <w:bookmarkStart w:id="460" w:name="_Toc296346700"/>
      <w:bookmarkStart w:id="461" w:name="_Toc296944538"/>
      <w:bookmarkStart w:id="462" w:name="_Toc296891027"/>
      <w:bookmarkStart w:id="463" w:name="_Toc292559404"/>
      <w:bookmarkStart w:id="464" w:name="_Toc297048385"/>
      <w:bookmarkStart w:id="465" w:name="_Toc312677507"/>
      <w:bookmarkStart w:id="466" w:name="_Toc297216207"/>
      <w:bookmarkStart w:id="467" w:name="_Toc296503199"/>
      <w:bookmarkStart w:id="468" w:name="_Toc303539154"/>
      <w:bookmarkStart w:id="469" w:name="_Toc312678033"/>
      <w:bookmarkStart w:id="470" w:name="_Toc296347198"/>
      <w:bookmarkStart w:id="471" w:name="_Toc297123548"/>
      <w:bookmarkStart w:id="472" w:name="_Toc297120499"/>
      <w:bookmarkStart w:id="473" w:name="_Toc300934997"/>
      <w:bookmarkStart w:id="474" w:name="_Toc304295574"/>
      <w:r>
        <w:rPr>
          <w:rFonts w:hint="eastAsia" w:ascii="宋体" w:hAnsi="宋体" w:eastAsia="宋体" w:cs="宋体"/>
          <w:color w:val="000000"/>
          <w:sz w:val="22"/>
          <w:szCs w:val="22"/>
          <w:highlight w:val="none"/>
        </w:rPr>
        <w:t>0.7 暂估价</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5"/>
    <w:bookmarkEnd w:id="456"/>
    <w:bookmarkEnd w:id="457"/>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80" w:firstLineChars="20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                                  </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由发包人掌握使用，不得变动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5" w:name="_Toc386638617"/>
      <w:bookmarkStart w:id="476" w:name="_Toc351203643"/>
      <w:r>
        <w:rPr>
          <w:rFonts w:hint="eastAsia" w:ascii="宋体" w:hAnsi="宋体" w:eastAsia="宋体" w:cs="宋体"/>
          <w:b w:val="0"/>
          <w:color w:val="000000"/>
          <w:sz w:val="22"/>
          <w:szCs w:val="22"/>
          <w:highlight w:val="none"/>
        </w:rPr>
        <w:t>11. 价格调整</w:t>
      </w:r>
      <w:bookmarkEnd w:id="475"/>
      <w:bookmarkEnd w:id="476"/>
    </w:p>
    <w:p w14:paraId="629F39BD">
      <w:pPr>
        <w:spacing w:line="360" w:lineRule="auto"/>
        <w:ind w:firstLine="440" w:firstLineChars="200"/>
        <w:rPr>
          <w:rFonts w:hint="eastAsia" w:ascii="宋体" w:hAnsi="宋体" w:eastAsia="宋体" w:cs="宋体"/>
          <w:sz w:val="22"/>
          <w:szCs w:val="22"/>
          <w:highlight w:val="none"/>
        </w:rPr>
      </w:pPr>
      <w:bookmarkStart w:id="477" w:name="_Toc296891241"/>
      <w:bookmarkStart w:id="478" w:name="_Toc296347200"/>
      <w:bookmarkStart w:id="479" w:name="_Toc297048387"/>
      <w:bookmarkStart w:id="480" w:name="_Toc296503201"/>
      <w:bookmarkStart w:id="481" w:name="_Toc304295577"/>
      <w:bookmarkStart w:id="482" w:name="_Toc297120501"/>
      <w:bookmarkStart w:id="483" w:name="_Toc292559406"/>
      <w:bookmarkStart w:id="484" w:name="_Toc292559911"/>
      <w:bookmarkStart w:id="485" w:name="_Toc296944540"/>
      <w:bookmarkStart w:id="486" w:name="_Toc296346702"/>
      <w:bookmarkStart w:id="487" w:name="_Toc296891029"/>
      <w:bookmarkStart w:id="488" w:name="_Toc300935000"/>
      <w:bookmarkStart w:id="489" w:name="_Toc312678039"/>
      <w:bookmarkStart w:id="490" w:name="_Toc303539157"/>
      <w:bookmarkStart w:id="491" w:name="_Toc297123550"/>
      <w:bookmarkStart w:id="492" w:name="_Toc297216209"/>
      <w:r>
        <w:rPr>
          <w:rFonts w:hint="eastAsia" w:ascii="宋体" w:hAnsi="宋体" w:eastAsia="宋体" w:cs="宋体"/>
          <w:sz w:val="22"/>
          <w:szCs w:val="22"/>
          <w:highlight w:val="none"/>
        </w:rPr>
        <w:t>11.1 市场价格波动引起的调整</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3" w:name="_Toc296347204"/>
      <w:bookmarkStart w:id="494" w:name="_Toc296891245"/>
      <w:bookmarkStart w:id="495" w:name="_Toc292559915"/>
      <w:bookmarkStart w:id="496" w:name="_Toc296944544"/>
      <w:bookmarkStart w:id="497" w:name="_Toc292559410"/>
      <w:bookmarkStart w:id="498" w:name="_Toc297048391"/>
      <w:bookmarkStart w:id="499" w:name="_Toc296503205"/>
      <w:bookmarkStart w:id="500" w:name="_Toc297120505"/>
      <w:bookmarkStart w:id="501" w:name="_Toc296891033"/>
      <w:bookmarkStart w:id="502" w:name="_Toc296346706"/>
      <w:bookmarkStart w:id="503" w:name="_Toc351203644"/>
      <w:bookmarkStart w:id="504" w:name="_Toc386638618"/>
      <w:bookmarkStart w:id="505" w:name="_Toc300935002"/>
      <w:bookmarkStart w:id="506" w:name="_Toc304295579"/>
      <w:bookmarkStart w:id="507" w:name="_Toc297216211"/>
      <w:bookmarkStart w:id="508" w:name="_Toc303539159"/>
      <w:bookmarkStart w:id="509" w:name="_Toc312678040"/>
      <w:bookmarkStart w:id="510" w:name="_Toc297123552"/>
      <w:bookmarkStart w:id="511" w:name="_Toc297048393"/>
      <w:bookmarkStart w:id="512" w:name="_Toc296944546"/>
      <w:bookmarkStart w:id="513" w:name="_Toc300935004"/>
      <w:bookmarkStart w:id="514" w:name="_Toc297216213"/>
      <w:bookmarkStart w:id="515" w:name="_Toc292559412"/>
      <w:bookmarkStart w:id="516" w:name="_Toc312678042"/>
      <w:bookmarkStart w:id="517" w:name="_Toc297123554"/>
      <w:bookmarkStart w:id="518" w:name="_Toc296891247"/>
      <w:bookmarkStart w:id="519" w:name="_Toc297120507"/>
      <w:bookmarkStart w:id="520" w:name="_Toc296347206"/>
      <w:bookmarkStart w:id="521" w:name="_Toc292559917"/>
      <w:bookmarkStart w:id="522" w:name="_Toc296891035"/>
      <w:bookmarkStart w:id="523" w:name="_Toc304295581"/>
      <w:bookmarkStart w:id="524" w:name="_Toc303539161"/>
      <w:bookmarkStart w:id="525" w:name="_Toc296346708"/>
      <w:bookmarkStart w:id="526" w:name="_Toc296503207"/>
      <w:r>
        <w:rPr>
          <w:rFonts w:hint="eastAsia" w:ascii="宋体" w:hAnsi="宋体" w:eastAsia="宋体" w:cs="宋体"/>
          <w:b w:val="0"/>
          <w:sz w:val="22"/>
          <w:szCs w:val="22"/>
          <w:highlight w:val="none"/>
        </w:rPr>
        <w:t xml:space="preserve">12. </w:t>
      </w:r>
      <w:bookmarkEnd w:id="493"/>
      <w:bookmarkEnd w:id="494"/>
      <w:bookmarkEnd w:id="495"/>
      <w:bookmarkEnd w:id="496"/>
      <w:bookmarkEnd w:id="497"/>
      <w:bookmarkEnd w:id="498"/>
      <w:bookmarkEnd w:id="499"/>
      <w:bookmarkEnd w:id="500"/>
      <w:bookmarkEnd w:id="501"/>
      <w:bookmarkEnd w:id="502"/>
      <w:r>
        <w:rPr>
          <w:rFonts w:hint="eastAsia" w:ascii="宋体" w:hAnsi="宋体" w:eastAsia="宋体" w:cs="宋体"/>
          <w:b w:val="0"/>
          <w:sz w:val="22"/>
          <w:szCs w:val="22"/>
          <w:highlight w:val="none"/>
        </w:rPr>
        <w:t>合同价格、计量与支付</w:t>
      </w:r>
      <w:bookmarkEnd w:id="503"/>
      <w:bookmarkEnd w:id="504"/>
    </w:p>
    <w:bookmarkEnd w:id="505"/>
    <w:bookmarkEnd w:id="506"/>
    <w:bookmarkEnd w:id="507"/>
    <w:bookmarkEnd w:id="508"/>
    <w:bookmarkEnd w:id="509"/>
    <w:bookmarkEnd w:id="510"/>
    <w:p w14:paraId="105FFA8C">
      <w:pPr>
        <w:spacing w:line="360" w:lineRule="auto"/>
        <w:ind w:firstLine="440" w:firstLineChars="200"/>
        <w:rPr>
          <w:rFonts w:hint="eastAsia" w:ascii="宋体" w:hAnsi="宋体" w:eastAsia="宋体" w:cs="宋体"/>
          <w:sz w:val="22"/>
          <w:szCs w:val="22"/>
          <w:highlight w:val="none"/>
        </w:rPr>
      </w:pPr>
      <w:bookmarkStart w:id="527" w:name="_Toc292559411"/>
      <w:bookmarkStart w:id="528" w:name="_Toc292559916"/>
      <w:bookmarkStart w:id="529" w:name="_Toc267251461"/>
      <w:bookmarkStart w:id="530" w:name="_Toc296891034"/>
      <w:bookmarkStart w:id="531" w:name="_Toc296347205"/>
      <w:bookmarkStart w:id="532" w:name="_Toc297048392"/>
      <w:bookmarkStart w:id="533" w:name="_Toc297120506"/>
      <w:bookmarkStart w:id="534" w:name="_Toc296944545"/>
      <w:bookmarkStart w:id="535" w:name="_Toc296346707"/>
      <w:bookmarkStart w:id="536" w:name="_Toc296891246"/>
      <w:bookmarkStart w:id="537" w:name="_Toc296503206"/>
      <w:bookmarkStart w:id="538" w:name="_Toc304295580"/>
      <w:bookmarkStart w:id="539" w:name="_Toc297123553"/>
      <w:bookmarkStart w:id="540" w:name="_Toc312678041"/>
      <w:bookmarkStart w:id="541" w:name="_Toc297216212"/>
      <w:bookmarkStart w:id="542" w:name="_Toc303539160"/>
      <w:bookmarkStart w:id="543" w:name="_Toc300935003"/>
      <w:r>
        <w:rPr>
          <w:rFonts w:hint="eastAsia" w:ascii="宋体" w:hAnsi="宋体" w:eastAsia="宋体" w:cs="宋体"/>
          <w:sz w:val="22"/>
          <w:szCs w:val="22"/>
          <w:highlight w:val="none"/>
        </w:rPr>
        <w:t>12.1 合</w:t>
      </w:r>
      <w:bookmarkEnd w:id="527"/>
      <w:bookmarkEnd w:id="528"/>
      <w:bookmarkEnd w:id="529"/>
      <w:r>
        <w:rPr>
          <w:rFonts w:hint="eastAsia" w:ascii="宋体" w:hAnsi="宋体" w:eastAsia="宋体" w:cs="宋体"/>
          <w:sz w:val="22"/>
          <w:szCs w:val="22"/>
          <w:highlight w:val="none"/>
        </w:rPr>
        <w:t>同价</w:t>
      </w:r>
      <w:bookmarkEnd w:id="530"/>
      <w:bookmarkEnd w:id="531"/>
      <w:bookmarkEnd w:id="532"/>
      <w:bookmarkEnd w:id="533"/>
      <w:bookmarkEnd w:id="534"/>
      <w:bookmarkEnd w:id="535"/>
      <w:bookmarkEnd w:id="536"/>
      <w:bookmarkEnd w:id="537"/>
      <w:r>
        <w:rPr>
          <w:rFonts w:hint="eastAsia" w:ascii="宋体" w:hAnsi="宋体" w:eastAsia="宋体" w:cs="宋体"/>
          <w:sz w:val="22"/>
          <w:szCs w:val="22"/>
          <w:highlight w:val="none"/>
        </w:rPr>
        <w:t>格形式</w:t>
      </w:r>
    </w:p>
    <w:bookmarkEnd w:id="538"/>
    <w:bookmarkEnd w:id="539"/>
    <w:bookmarkEnd w:id="540"/>
    <w:bookmarkEnd w:id="541"/>
    <w:bookmarkEnd w:id="542"/>
    <w:bookmarkEnd w:id="543"/>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3B270458">
      <w:pPr>
        <w:tabs>
          <w:tab w:val="left" w:pos="900"/>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w:t>
      </w:r>
      <w:r>
        <w:rPr>
          <w:rFonts w:hint="eastAsia" w:ascii="宋体" w:hAnsi="宋体" w:eastAsia="宋体" w:cs="宋体"/>
          <w:sz w:val="22"/>
          <w:szCs w:val="22"/>
          <w:highlight w:val="none"/>
          <w:lang w:val="en-US" w:eastAsia="zh-CN"/>
        </w:rPr>
        <w:t>《浙江省建设工程计价规则(2018)版》、</w:t>
      </w:r>
      <w:r>
        <w:rPr>
          <w:rFonts w:hint="eastAsia" w:ascii="宋体" w:hAnsi="宋体" w:eastAsia="宋体" w:cs="宋体"/>
          <w:sz w:val="22"/>
          <w:szCs w:val="22"/>
          <w:highlight w:val="none"/>
        </w:rPr>
        <w:t>《浙江省市政工程预算定额（201</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）版》</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浙江省园林绿化及仿古建筑工程预算定额（</w:t>
      </w:r>
      <w:r>
        <w:rPr>
          <w:rFonts w:hint="eastAsia" w:ascii="宋体" w:hAnsi="宋体" w:eastAsia="宋体" w:cs="宋体"/>
          <w:sz w:val="22"/>
          <w:szCs w:val="22"/>
          <w:highlight w:val="none"/>
          <w:lang w:val="en-US" w:eastAsia="zh-CN"/>
        </w:rPr>
        <w:t>2018</w:t>
      </w:r>
      <w:r>
        <w:rPr>
          <w:rFonts w:hint="eastAsia" w:ascii="宋体" w:hAnsi="宋体" w:eastAsia="宋体" w:cs="宋体"/>
          <w:sz w:val="22"/>
          <w:szCs w:val="22"/>
          <w:highlight w:val="none"/>
          <w:lang w:eastAsia="zh-CN"/>
        </w:rPr>
        <w:t>）版</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、《浙江省建设工程施工费用定额（2018）版》、《建设工程工程量清单计价规范（GB50500-2013）》及相关(2018版）定额勘误表</w:t>
      </w:r>
      <w:r>
        <w:rPr>
          <w:rFonts w:hint="eastAsia" w:ascii="宋体" w:hAnsi="宋体" w:eastAsia="宋体" w:cs="宋体"/>
          <w:sz w:val="22"/>
          <w:szCs w:val="22"/>
          <w:highlight w:val="none"/>
        </w:rPr>
        <w:t>。</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324DFFF9">
      <w:pPr>
        <w:pStyle w:val="22"/>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r>
        <w:rPr>
          <w:rFonts w:hint="eastAsia" w:hAnsi="宋体" w:cs="宋体"/>
          <w:color w:val="000000"/>
          <w:kern w:val="2"/>
          <w:sz w:val="22"/>
          <w:szCs w:val="22"/>
          <w:highlight w:val="none"/>
          <w:lang w:val="en-US" w:eastAsia="zh-CN" w:bidi="ar-SA"/>
        </w:rPr>
        <w:t>（实际付款时间待上级资金到位后付款）</w:t>
      </w:r>
      <w:r>
        <w:rPr>
          <w:rFonts w:hint="eastAsia" w:ascii="宋体" w:hAnsi="宋体" w:eastAsia="宋体" w:cs="宋体"/>
          <w:sz w:val="22"/>
          <w:szCs w:val="22"/>
          <w:highlight w:val="none"/>
        </w:rPr>
        <w:t>。</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44" w:name="_Toc297120511"/>
      <w:bookmarkStart w:id="545" w:name="_Toc296347210"/>
      <w:bookmarkStart w:id="546" w:name="_Toc296944550"/>
      <w:bookmarkStart w:id="547" w:name="_Toc296891039"/>
      <w:bookmarkStart w:id="548" w:name="_Toc303539163"/>
      <w:bookmarkStart w:id="549" w:name="_Toc292559416"/>
      <w:bookmarkStart w:id="550" w:name="_Toc296503211"/>
      <w:bookmarkStart w:id="551" w:name="_Toc296346712"/>
      <w:bookmarkStart w:id="552" w:name="_Toc300935006"/>
      <w:bookmarkStart w:id="553" w:name="_Toc297123556"/>
      <w:bookmarkStart w:id="554" w:name="_Toc297216215"/>
      <w:bookmarkStart w:id="555" w:name="_Toc292559921"/>
      <w:bookmarkStart w:id="556" w:name="_Toc297048397"/>
      <w:bookmarkStart w:id="557" w:name="_Toc296891251"/>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实行按月审核支付，竣工后清算的办法</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58"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8"/>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8"/>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7ABF03BF">
      <w:pPr>
        <w:spacing w:line="360" w:lineRule="auto"/>
        <w:ind w:firstLine="440" w:firstLineChars="200"/>
        <w:rPr>
          <w:rFonts w:hint="eastAsia" w:ascii="宋体" w:hAnsi="宋体" w:eastAsia="宋体" w:cs="宋体"/>
          <w:sz w:val="22"/>
          <w:szCs w:val="22"/>
          <w:highlight w:val="none"/>
        </w:rPr>
      </w:pPr>
      <w:bookmarkStart w:id="559" w:name="_Toc296891263"/>
      <w:bookmarkStart w:id="560" w:name="_Toc296346724"/>
      <w:bookmarkStart w:id="561" w:name="_Toc300935016"/>
      <w:bookmarkStart w:id="562" w:name="_Toc296891051"/>
      <w:bookmarkStart w:id="563" w:name="_Toc292559428"/>
      <w:bookmarkStart w:id="564" w:name="_Toc304295596"/>
      <w:bookmarkStart w:id="565" w:name="_Toc296944562"/>
      <w:bookmarkStart w:id="566" w:name="_Toc297120523"/>
      <w:bookmarkStart w:id="567" w:name="_Toc312678056"/>
      <w:bookmarkStart w:id="568" w:name="_Toc292559933"/>
      <w:bookmarkStart w:id="569" w:name="_Toc303539173"/>
      <w:bookmarkStart w:id="570" w:name="_Toc297048409"/>
      <w:bookmarkStart w:id="571" w:name="_Toc297216224"/>
      <w:bookmarkStart w:id="572" w:name="_Toc296347222"/>
      <w:bookmarkStart w:id="573" w:name="_Toc296503223"/>
      <w:bookmarkStart w:id="574" w:name="_Toc297123565"/>
      <w:bookmarkStart w:id="575" w:name="_Toc351203646"/>
      <w:bookmarkStart w:id="576" w:name="_Toc386638620"/>
      <w:bookmarkStart w:id="577" w:name="_Toc386638621"/>
      <w:bookmarkStart w:id="578" w:name="_Toc351203647"/>
      <w:bookmarkStart w:id="579" w:name="_Toc267251483"/>
      <w:bookmarkStart w:id="580" w:name="_Toc267251482"/>
      <w:bookmarkStart w:id="581" w:name="_Toc267251484"/>
      <w:bookmarkStart w:id="582" w:name="_Toc267251485"/>
      <w:bookmarkStart w:id="583" w:name="_Toc267251489"/>
      <w:bookmarkStart w:id="584" w:name="_Toc267251490"/>
      <w:bookmarkStart w:id="585" w:name="_Toc267251488"/>
      <w:bookmarkStart w:id="586" w:name="_Toc267251486"/>
      <w:bookmarkStart w:id="587" w:name="_Toc267251503"/>
      <w:bookmarkStart w:id="588" w:name="_Toc267251493"/>
      <w:bookmarkStart w:id="589" w:name="_Toc267251495"/>
      <w:bookmarkStart w:id="590" w:name="_Toc267251491"/>
      <w:bookmarkStart w:id="591" w:name="_Toc267251492"/>
      <w:bookmarkStart w:id="592" w:name="_Toc267251502"/>
      <w:bookmarkStart w:id="593" w:name="_Toc267251496"/>
      <w:bookmarkStart w:id="594" w:name="_Toc267251501"/>
      <w:bookmarkStart w:id="595" w:name="_Toc267251494"/>
      <w:bookmarkStart w:id="596" w:name="_Toc267251499"/>
      <w:bookmarkStart w:id="597" w:name="_Toc267251498"/>
      <w:bookmarkStart w:id="598" w:name="_Toc267251497"/>
      <w:bookmarkStart w:id="599" w:name="_Toc267251514"/>
      <w:bookmarkStart w:id="600" w:name="_Toc267251509"/>
      <w:bookmarkStart w:id="601" w:name="_Toc267251515"/>
      <w:bookmarkStart w:id="602" w:name="_Toc267251508"/>
      <w:bookmarkStart w:id="603" w:name="_Toc267251506"/>
      <w:bookmarkStart w:id="604" w:name="_Toc267251510"/>
      <w:bookmarkStart w:id="605" w:name="_Toc267251511"/>
      <w:bookmarkStart w:id="606" w:name="_Toc267251504"/>
      <w:bookmarkStart w:id="607" w:name="_Toc267251507"/>
      <w:bookmarkStart w:id="608" w:name="_Toc267251513"/>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9" w:name="_Toc280868704"/>
      <w:bookmarkStart w:id="610" w:name="_Toc280868705"/>
      <w:bookmarkStart w:id="611" w:name="_Toc280868706"/>
      <w:bookmarkStart w:id="612" w:name="_Toc280868707"/>
      <w:bookmarkStart w:id="613" w:name="_Toc280868708"/>
      <w:r>
        <w:rPr>
          <w:rFonts w:hint="eastAsia" w:ascii="宋体" w:hAnsi="宋体" w:eastAsia="宋体" w:cs="宋体"/>
          <w:sz w:val="22"/>
          <w:szCs w:val="22"/>
          <w:highlight w:val="none"/>
        </w:rPr>
        <w:t>13.2.2竣工验收程序</w:t>
      </w:r>
    </w:p>
    <w:bookmarkEnd w:id="609"/>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10"/>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11"/>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12"/>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3"/>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5"/>
      <w:bookmarkEnd w:id="576"/>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天未提交竣工结算书及其完整的结算资料，支付违约金按1000元/天累计计算，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B2366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本工程的竣工结算由发包人核对后报</w:t>
      </w:r>
      <w:r>
        <w:rPr>
          <w:rFonts w:hint="eastAsia" w:ascii="宋体" w:hAnsi="宋体" w:cs="宋体"/>
          <w:color w:val="auto"/>
          <w:sz w:val="24"/>
          <w:szCs w:val="24"/>
          <w:lang w:eastAsia="zh-CN"/>
        </w:rPr>
        <w:t>宁海县强蛟镇</w:t>
      </w:r>
      <w:r>
        <w:rPr>
          <w:rFonts w:hint="eastAsia" w:ascii="宋体" w:hAnsi="宋体" w:eastAsia="宋体" w:cs="宋体"/>
          <w:color w:val="auto"/>
          <w:sz w:val="24"/>
          <w:szCs w:val="24"/>
        </w:rPr>
        <w:t>财政局审核，经</w:t>
      </w:r>
      <w:r>
        <w:rPr>
          <w:rFonts w:hint="eastAsia" w:ascii="宋体" w:hAnsi="宋体" w:cs="宋体"/>
          <w:color w:val="auto"/>
          <w:sz w:val="24"/>
          <w:szCs w:val="24"/>
          <w:lang w:eastAsia="zh-CN"/>
        </w:rPr>
        <w:t>宁海县强蛟镇</w:t>
      </w:r>
      <w:r>
        <w:rPr>
          <w:rFonts w:hint="eastAsia" w:ascii="宋体" w:hAnsi="宋体" w:eastAsia="宋体" w:cs="宋体"/>
          <w:color w:val="auto"/>
          <w:sz w:val="24"/>
          <w:szCs w:val="24"/>
        </w:rPr>
        <w:t>财政局审核后方可办理工程竣工结算手续，作为支付工程价款最终结算支付的依据。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7"/>
      <w:bookmarkEnd w:id="578"/>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9"/>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80"/>
    <w:bookmarkEnd w:id="581"/>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82"/>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3"/>
    <w:bookmarkEnd w:id="584"/>
    <w:bookmarkEnd w:id="585"/>
    <w:bookmarkEnd w:id="586"/>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4" w:name="_Toc386638622"/>
      <w:bookmarkStart w:id="615" w:name="_Toc351203648"/>
      <w:bookmarkStart w:id="616" w:name="_Toc280868717"/>
      <w:bookmarkStart w:id="617" w:name="_Toc280868718"/>
      <w:r>
        <w:rPr>
          <w:rFonts w:hint="eastAsia" w:ascii="宋体" w:hAnsi="宋体" w:eastAsia="宋体" w:cs="宋体"/>
          <w:b w:val="0"/>
          <w:color w:val="000000"/>
          <w:sz w:val="22"/>
          <w:szCs w:val="22"/>
          <w:highlight w:val="none"/>
        </w:rPr>
        <w:t>16. 违约</w:t>
      </w:r>
      <w:bookmarkEnd w:id="614"/>
      <w:bookmarkEnd w:id="615"/>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8" w:name="_Toc351203649"/>
      <w:bookmarkStart w:id="619" w:name="_Toc386638623"/>
      <w:r>
        <w:rPr>
          <w:rFonts w:hint="eastAsia" w:ascii="宋体" w:hAnsi="宋体" w:eastAsia="宋体" w:cs="宋体"/>
          <w:b w:val="0"/>
          <w:color w:val="000000"/>
          <w:sz w:val="22"/>
          <w:szCs w:val="22"/>
          <w:highlight w:val="none"/>
        </w:rPr>
        <w:t>17. 不可抗力</w:t>
      </w:r>
      <w:bookmarkEnd w:id="618"/>
      <w:bookmarkEnd w:id="619"/>
      <w:r>
        <w:rPr>
          <w:rFonts w:hint="eastAsia" w:ascii="宋体" w:hAnsi="宋体" w:eastAsia="宋体" w:cs="宋体"/>
          <w:b w:val="0"/>
          <w:color w:val="000000"/>
          <w:sz w:val="22"/>
          <w:szCs w:val="22"/>
          <w:highlight w:val="none"/>
        </w:rPr>
        <w:t xml:space="preserve"> </w:t>
      </w:r>
      <w:bookmarkEnd w:id="616"/>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20" w:name="_Toc351203650"/>
      <w:bookmarkStart w:id="621" w:name="_Toc386638624"/>
      <w:r>
        <w:rPr>
          <w:rFonts w:hint="eastAsia" w:ascii="宋体" w:hAnsi="宋体" w:eastAsia="宋体" w:cs="宋体"/>
          <w:b w:val="0"/>
          <w:color w:val="000000"/>
          <w:sz w:val="22"/>
          <w:szCs w:val="22"/>
          <w:highlight w:val="none"/>
        </w:rPr>
        <w:t>18. 保险</w:t>
      </w:r>
      <w:bookmarkEnd w:id="620"/>
      <w:bookmarkEnd w:id="621"/>
    </w:p>
    <w:bookmarkEnd w:id="587"/>
    <w:bookmarkEnd w:id="588"/>
    <w:bookmarkEnd w:id="589"/>
    <w:bookmarkEnd w:id="590"/>
    <w:bookmarkEnd w:id="591"/>
    <w:bookmarkEnd w:id="592"/>
    <w:bookmarkEnd w:id="593"/>
    <w:bookmarkEnd w:id="594"/>
    <w:bookmarkEnd w:id="595"/>
    <w:bookmarkEnd w:id="596"/>
    <w:bookmarkEnd w:id="597"/>
    <w:bookmarkEnd w:id="598"/>
    <w:bookmarkEnd w:id="617"/>
    <w:p w14:paraId="2FDE6E43">
      <w:pPr>
        <w:spacing w:line="360" w:lineRule="auto"/>
        <w:ind w:firstLine="440" w:firstLineChars="200"/>
        <w:rPr>
          <w:rFonts w:hint="eastAsia" w:ascii="宋体" w:hAnsi="宋体" w:eastAsia="宋体" w:cs="宋体"/>
          <w:sz w:val="22"/>
          <w:szCs w:val="22"/>
          <w:highlight w:val="none"/>
        </w:rPr>
      </w:pPr>
      <w:bookmarkStart w:id="622" w:name="_Toc386638625"/>
      <w:bookmarkStart w:id="623"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9"/>
    <w:bookmarkEnd w:id="600"/>
    <w:bookmarkEnd w:id="601"/>
    <w:bookmarkEnd w:id="602"/>
    <w:bookmarkEnd w:id="603"/>
    <w:bookmarkEnd w:id="604"/>
    <w:bookmarkEnd w:id="605"/>
    <w:bookmarkEnd w:id="606"/>
    <w:bookmarkEnd w:id="607"/>
    <w:bookmarkEnd w:id="608"/>
    <w:bookmarkEnd w:id="622"/>
    <w:bookmarkEnd w:id="623"/>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71"/>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F666B50">
      <w:pPr>
        <w:spacing w:line="360" w:lineRule="auto"/>
        <w:ind w:firstLine="440" w:firstLineChars="200"/>
        <w:jc w:val="left"/>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eastAsia="zh-CN"/>
        </w:rPr>
        <w:t>附件</w:t>
      </w:r>
      <w:r>
        <w:rPr>
          <w:rFonts w:hint="eastAsia" w:ascii="宋体" w:hAnsi="宋体" w:cs="宋体"/>
          <w:color w:val="000000"/>
          <w:sz w:val="22"/>
          <w:szCs w:val="22"/>
          <w:highlight w:val="none"/>
          <w:lang w:val="en-US" w:eastAsia="zh-CN"/>
        </w:rPr>
        <w:t>3：暂列金表</w:t>
      </w:r>
    </w:p>
    <w:p w14:paraId="22DB88C0">
      <w:pPr>
        <w:spacing w:line="360" w:lineRule="auto"/>
        <w:ind w:firstLine="440" w:firstLineChars="200"/>
        <w:jc w:val="left"/>
        <w:rPr>
          <w:rFonts w:hint="eastAsia" w:ascii="宋体" w:hAnsi="宋体" w:cs="宋体"/>
          <w:color w:val="000000"/>
          <w:sz w:val="22"/>
          <w:szCs w:val="22"/>
          <w:highlight w:val="none"/>
          <w:lang w:val="en-US" w:eastAsia="zh-CN"/>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：廉政建设责任书</w:t>
      </w: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4" w:name="_Toc411083385"/>
      <w:r>
        <w:rPr>
          <w:rFonts w:hint="eastAsia" w:ascii="宋体" w:hAnsi="宋体" w:eastAsia="宋体" w:cs="宋体"/>
          <w:b/>
          <w:color w:val="000000"/>
          <w:sz w:val="22"/>
          <w:szCs w:val="22"/>
          <w:highlight w:val="none"/>
        </w:rPr>
        <w:t>工程质量保修书</w:t>
      </w:r>
      <w:bookmarkEnd w:id="624"/>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5" w:name="_Toc296891055"/>
      <w:bookmarkStart w:id="626" w:name="_Toc296944566"/>
      <w:bookmarkStart w:id="627" w:name="_Toc296346728"/>
      <w:bookmarkStart w:id="628" w:name="_Toc296503227"/>
      <w:bookmarkStart w:id="629" w:name="_Toc296347226"/>
      <w:bookmarkStart w:id="630" w:name="_Toc267261698"/>
      <w:bookmarkStart w:id="631" w:name="_Toc296891267"/>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25"/>
    <w:bookmarkEnd w:id="626"/>
    <w:bookmarkEnd w:id="627"/>
    <w:bookmarkEnd w:id="628"/>
    <w:bookmarkEnd w:id="629"/>
    <w:bookmarkEnd w:id="630"/>
    <w:bookmarkEnd w:id="631"/>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5211C94B">
      <w:pPr>
        <w:spacing w:before="120" w:beforeLines="50" w:after="120" w:afterLines="50" w:line="440" w:lineRule="exact"/>
        <w:jc w:val="both"/>
        <w:rPr>
          <w:rFonts w:hint="default" w:ascii="宋体" w:hAnsi="宋体" w:eastAsia="宋体" w:cs="宋体"/>
          <w:color w:val="auto"/>
          <w:sz w:val="30"/>
          <w:szCs w:val="30"/>
          <w:lang w:val="en-US" w:eastAsia="zh-CN"/>
        </w:rPr>
      </w:pPr>
      <w:r>
        <w:rPr>
          <w:rFonts w:hint="eastAsia" w:ascii="宋体" w:hAnsi="宋体" w:cs="宋体"/>
          <w:color w:val="auto"/>
          <w:sz w:val="21"/>
          <w:szCs w:val="21"/>
          <w:lang w:eastAsia="zh-CN"/>
        </w:rPr>
        <w:t>附件</w:t>
      </w:r>
      <w:r>
        <w:rPr>
          <w:rFonts w:hint="eastAsia" w:ascii="宋体" w:hAnsi="宋体" w:cs="宋体"/>
          <w:color w:val="auto"/>
          <w:sz w:val="21"/>
          <w:szCs w:val="21"/>
          <w:lang w:val="en-US" w:eastAsia="zh-CN"/>
        </w:rPr>
        <w:t>3：</w:t>
      </w:r>
    </w:p>
    <w:p w14:paraId="022250EA">
      <w:pPr>
        <w:spacing w:before="120" w:beforeLines="50" w:after="120" w:afterLines="50" w:line="440" w:lineRule="exact"/>
        <w:ind w:firstLine="3600" w:firstLineChars="1200"/>
        <w:rPr>
          <w:rFonts w:hint="eastAsia" w:ascii="宋体" w:hAnsi="宋体" w:eastAsia="宋体" w:cs="宋体"/>
          <w:color w:val="auto"/>
          <w:sz w:val="30"/>
          <w:szCs w:val="30"/>
        </w:rPr>
      </w:pPr>
      <w:r>
        <w:rPr>
          <w:rFonts w:hint="eastAsia" w:ascii="宋体" w:hAnsi="宋体" w:eastAsia="宋体" w:cs="宋体"/>
          <w:color w:val="auto"/>
          <w:sz w:val="30"/>
          <w:szCs w:val="30"/>
        </w:rPr>
        <w:t>暂列金表</w:t>
      </w:r>
    </w:p>
    <w:tbl>
      <w:tblPr>
        <w:tblStyle w:val="60"/>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5"/>
        <w:gridCol w:w="2363"/>
        <w:gridCol w:w="799"/>
        <w:gridCol w:w="754"/>
        <w:gridCol w:w="1315"/>
        <w:gridCol w:w="1380"/>
        <w:gridCol w:w="1501"/>
      </w:tblGrid>
      <w:tr w14:paraId="5A1F8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531" w:type="pct"/>
            <w:tcBorders>
              <w:top w:val="single" w:color="auto" w:sz="12" w:space="0"/>
              <w:bottom w:val="double" w:color="auto" w:sz="6" w:space="0"/>
            </w:tcBorders>
            <w:noWrap w:val="0"/>
            <w:vAlign w:val="center"/>
          </w:tcPr>
          <w:p w14:paraId="7AB83AA7">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301" w:type="pct"/>
            <w:tcBorders>
              <w:top w:val="single" w:color="auto" w:sz="12" w:space="0"/>
              <w:bottom w:val="double" w:color="auto" w:sz="6" w:space="0"/>
            </w:tcBorders>
            <w:noWrap w:val="0"/>
            <w:vAlign w:val="center"/>
          </w:tcPr>
          <w:p w14:paraId="6C8F2D44">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440" w:type="pct"/>
            <w:tcBorders>
              <w:top w:val="single" w:color="auto" w:sz="12" w:space="0"/>
              <w:bottom w:val="double" w:color="auto" w:sz="6" w:space="0"/>
            </w:tcBorders>
            <w:noWrap w:val="0"/>
            <w:vAlign w:val="center"/>
          </w:tcPr>
          <w:p w14:paraId="6EF6A391">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w:t>
            </w:r>
          </w:p>
        </w:tc>
        <w:tc>
          <w:tcPr>
            <w:tcW w:w="415" w:type="pct"/>
            <w:tcBorders>
              <w:top w:val="single" w:color="auto" w:sz="12" w:space="0"/>
              <w:bottom w:val="double" w:color="auto" w:sz="6" w:space="0"/>
            </w:tcBorders>
            <w:noWrap w:val="0"/>
            <w:vAlign w:val="center"/>
          </w:tcPr>
          <w:p w14:paraId="03895482">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724" w:type="pct"/>
            <w:tcBorders>
              <w:top w:val="single" w:color="auto" w:sz="12" w:space="0"/>
              <w:bottom w:val="double" w:color="auto" w:sz="6" w:space="0"/>
            </w:tcBorders>
            <w:noWrap w:val="0"/>
            <w:vAlign w:val="center"/>
          </w:tcPr>
          <w:p w14:paraId="756B3358">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tc>
        <w:tc>
          <w:tcPr>
            <w:tcW w:w="760" w:type="pct"/>
            <w:tcBorders>
              <w:top w:val="single" w:color="auto" w:sz="12" w:space="0"/>
              <w:bottom w:val="double" w:color="auto" w:sz="6" w:space="0"/>
            </w:tcBorders>
            <w:noWrap w:val="0"/>
            <w:vAlign w:val="center"/>
          </w:tcPr>
          <w:p w14:paraId="77A9B398">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合价（元）</w:t>
            </w:r>
          </w:p>
        </w:tc>
        <w:tc>
          <w:tcPr>
            <w:tcW w:w="826" w:type="pct"/>
            <w:tcBorders>
              <w:top w:val="single" w:color="auto" w:sz="12" w:space="0"/>
              <w:bottom w:val="double" w:color="auto" w:sz="6" w:space="0"/>
            </w:tcBorders>
            <w:noWrap w:val="0"/>
            <w:vAlign w:val="center"/>
          </w:tcPr>
          <w:p w14:paraId="7196668A">
            <w:pPr>
              <w:ind w:left="63" w:right="63"/>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0DD22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tcBorders>
              <w:top w:val="double" w:color="auto" w:sz="6" w:space="0"/>
              <w:bottom w:val="single" w:color="auto" w:sz="6" w:space="0"/>
            </w:tcBorders>
            <w:noWrap w:val="0"/>
            <w:vAlign w:val="center"/>
          </w:tcPr>
          <w:p w14:paraId="509736D3">
            <w:pPr>
              <w:widowControl/>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1301" w:type="pct"/>
            <w:tcBorders>
              <w:top w:val="double" w:color="auto" w:sz="6" w:space="0"/>
              <w:bottom w:val="single" w:color="auto" w:sz="6" w:space="0"/>
            </w:tcBorders>
            <w:noWrap w:val="0"/>
            <w:vAlign w:val="center"/>
          </w:tcPr>
          <w:p w14:paraId="19C38CCA">
            <w:pPr>
              <w:widowControl/>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highlight w:val="none"/>
                <w:lang w:eastAsia="zh-CN"/>
              </w:rPr>
              <w:t>不可预见费</w:t>
            </w:r>
          </w:p>
        </w:tc>
        <w:tc>
          <w:tcPr>
            <w:tcW w:w="440" w:type="pct"/>
            <w:tcBorders>
              <w:top w:val="double" w:color="auto" w:sz="6" w:space="0"/>
              <w:bottom w:val="single" w:color="auto" w:sz="6" w:space="0"/>
            </w:tcBorders>
            <w:noWrap w:val="0"/>
            <w:vAlign w:val="center"/>
          </w:tcPr>
          <w:p w14:paraId="60C02AF0">
            <w:pPr>
              <w:widowControl/>
              <w:jc w:val="center"/>
              <w:textAlignment w:val="auto"/>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项</w:t>
            </w:r>
          </w:p>
        </w:tc>
        <w:tc>
          <w:tcPr>
            <w:tcW w:w="415" w:type="pct"/>
            <w:tcBorders>
              <w:top w:val="double" w:color="auto" w:sz="6" w:space="0"/>
              <w:bottom w:val="single" w:color="auto" w:sz="6" w:space="0"/>
            </w:tcBorders>
            <w:noWrap w:val="0"/>
            <w:vAlign w:val="center"/>
          </w:tcPr>
          <w:p w14:paraId="6FC668BD">
            <w:pPr>
              <w:widowControl/>
              <w:jc w:val="center"/>
              <w:textAlignment w:val="auto"/>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724" w:type="pct"/>
            <w:tcBorders>
              <w:top w:val="double" w:color="auto" w:sz="6" w:space="0"/>
              <w:bottom w:val="single" w:color="auto" w:sz="6" w:space="0"/>
            </w:tcBorders>
            <w:noWrap w:val="0"/>
            <w:vAlign w:val="center"/>
          </w:tcPr>
          <w:p w14:paraId="182C1162">
            <w:pPr>
              <w:widowControl/>
              <w:jc w:val="center"/>
              <w:textAlignment w:val="auto"/>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100000</w:t>
            </w:r>
          </w:p>
        </w:tc>
        <w:tc>
          <w:tcPr>
            <w:tcW w:w="760" w:type="pct"/>
            <w:tcBorders>
              <w:top w:val="double" w:color="auto" w:sz="6" w:space="0"/>
              <w:bottom w:val="single" w:color="auto" w:sz="6" w:space="0"/>
            </w:tcBorders>
            <w:noWrap w:val="0"/>
            <w:vAlign w:val="center"/>
          </w:tcPr>
          <w:p w14:paraId="7AAEAE43">
            <w:pPr>
              <w:widowControl/>
              <w:jc w:val="center"/>
              <w:textAlignment w:val="auto"/>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100000</w:t>
            </w:r>
          </w:p>
        </w:tc>
        <w:tc>
          <w:tcPr>
            <w:tcW w:w="826" w:type="pct"/>
            <w:tcBorders>
              <w:top w:val="double" w:color="auto" w:sz="6" w:space="0"/>
              <w:bottom w:val="single" w:color="auto" w:sz="6" w:space="0"/>
            </w:tcBorders>
            <w:noWrap w:val="0"/>
            <w:vAlign w:val="center"/>
          </w:tcPr>
          <w:p w14:paraId="3F20ADF3">
            <w:pPr>
              <w:jc w:val="center"/>
              <w:rPr>
                <w:rFonts w:hint="eastAsia" w:ascii="宋体" w:hAnsi="宋体" w:eastAsia="宋体" w:cs="宋体"/>
                <w:color w:val="auto"/>
                <w:sz w:val="22"/>
                <w:szCs w:val="22"/>
              </w:rPr>
            </w:pPr>
          </w:p>
        </w:tc>
      </w:tr>
      <w:tr w14:paraId="10014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tcBorders>
              <w:top w:val="nil"/>
            </w:tcBorders>
            <w:noWrap w:val="0"/>
            <w:vAlign w:val="center"/>
          </w:tcPr>
          <w:p w14:paraId="255A8136">
            <w:pPr>
              <w:widowControl/>
              <w:jc w:val="center"/>
              <w:rPr>
                <w:rFonts w:hint="eastAsia" w:ascii="宋体" w:hAnsi="宋体" w:eastAsia="宋体" w:cs="宋体"/>
                <w:color w:val="auto"/>
                <w:kern w:val="0"/>
                <w:sz w:val="21"/>
                <w:szCs w:val="21"/>
              </w:rPr>
            </w:pPr>
          </w:p>
        </w:tc>
        <w:tc>
          <w:tcPr>
            <w:tcW w:w="1301" w:type="pct"/>
            <w:tcBorders>
              <w:top w:val="nil"/>
            </w:tcBorders>
            <w:noWrap w:val="0"/>
            <w:vAlign w:val="center"/>
          </w:tcPr>
          <w:p w14:paraId="3631D935">
            <w:pPr>
              <w:widowControl/>
              <w:ind w:firstLine="420" w:firstLineChars="200"/>
              <w:rPr>
                <w:rFonts w:hint="eastAsia" w:ascii="宋体" w:hAnsi="宋体" w:eastAsia="宋体" w:cs="宋体"/>
                <w:color w:val="auto"/>
                <w:kern w:val="0"/>
                <w:sz w:val="21"/>
                <w:szCs w:val="21"/>
              </w:rPr>
            </w:pPr>
          </w:p>
        </w:tc>
        <w:tc>
          <w:tcPr>
            <w:tcW w:w="440" w:type="pct"/>
            <w:tcBorders>
              <w:top w:val="nil"/>
            </w:tcBorders>
            <w:noWrap w:val="0"/>
            <w:vAlign w:val="center"/>
          </w:tcPr>
          <w:p w14:paraId="306E0091">
            <w:pPr>
              <w:jc w:val="center"/>
              <w:rPr>
                <w:rFonts w:hint="eastAsia" w:ascii="宋体" w:hAnsi="宋体" w:eastAsia="宋体" w:cs="宋体"/>
                <w:color w:val="auto"/>
                <w:kern w:val="0"/>
                <w:sz w:val="21"/>
                <w:szCs w:val="21"/>
              </w:rPr>
            </w:pPr>
          </w:p>
        </w:tc>
        <w:tc>
          <w:tcPr>
            <w:tcW w:w="415" w:type="pct"/>
            <w:tcBorders>
              <w:top w:val="nil"/>
            </w:tcBorders>
            <w:noWrap w:val="0"/>
            <w:vAlign w:val="center"/>
          </w:tcPr>
          <w:p w14:paraId="5E2B639A">
            <w:pPr>
              <w:widowControl/>
              <w:jc w:val="center"/>
              <w:rPr>
                <w:rFonts w:hint="eastAsia" w:ascii="宋体" w:hAnsi="宋体" w:eastAsia="宋体" w:cs="宋体"/>
                <w:color w:val="auto"/>
                <w:kern w:val="0"/>
                <w:szCs w:val="21"/>
              </w:rPr>
            </w:pPr>
          </w:p>
        </w:tc>
        <w:tc>
          <w:tcPr>
            <w:tcW w:w="724" w:type="pct"/>
            <w:tcBorders>
              <w:top w:val="nil"/>
            </w:tcBorders>
            <w:noWrap w:val="0"/>
            <w:vAlign w:val="center"/>
          </w:tcPr>
          <w:p w14:paraId="234BD9FD">
            <w:pPr>
              <w:widowControl/>
              <w:jc w:val="center"/>
              <w:rPr>
                <w:rFonts w:hint="eastAsia" w:ascii="宋体" w:hAnsi="宋体" w:eastAsia="宋体" w:cs="宋体"/>
                <w:color w:val="auto"/>
                <w:kern w:val="0"/>
                <w:szCs w:val="21"/>
              </w:rPr>
            </w:pPr>
          </w:p>
        </w:tc>
        <w:tc>
          <w:tcPr>
            <w:tcW w:w="760" w:type="pct"/>
            <w:tcBorders>
              <w:top w:val="nil"/>
            </w:tcBorders>
            <w:noWrap w:val="0"/>
            <w:vAlign w:val="center"/>
          </w:tcPr>
          <w:p w14:paraId="20A9E879">
            <w:pPr>
              <w:widowControl/>
              <w:jc w:val="center"/>
              <w:rPr>
                <w:rFonts w:hint="eastAsia" w:ascii="宋体" w:hAnsi="宋体" w:eastAsia="宋体" w:cs="宋体"/>
                <w:color w:val="auto"/>
                <w:kern w:val="0"/>
                <w:szCs w:val="21"/>
              </w:rPr>
            </w:pPr>
          </w:p>
        </w:tc>
        <w:tc>
          <w:tcPr>
            <w:tcW w:w="826" w:type="pct"/>
            <w:tcBorders>
              <w:top w:val="nil"/>
            </w:tcBorders>
            <w:noWrap w:val="0"/>
            <w:vAlign w:val="center"/>
          </w:tcPr>
          <w:p w14:paraId="5A7F3917">
            <w:pPr>
              <w:ind w:left="63" w:right="63"/>
              <w:rPr>
                <w:rFonts w:hint="eastAsia" w:ascii="宋体" w:hAnsi="宋体" w:eastAsia="宋体" w:cs="宋体"/>
                <w:color w:val="auto"/>
                <w:sz w:val="21"/>
                <w:szCs w:val="21"/>
              </w:rPr>
            </w:pPr>
          </w:p>
        </w:tc>
      </w:tr>
      <w:tr w14:paraId="2B105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D8DFA3A">
            <w:pPr>
              <w:widowControl/>
              <w:jc w:val="center"/>
              <w:rPr>
                <w:rFonts w:hint="eastAsia" w:ascii="宋体" w:hAnsi="宋体" w:eastAsia="宋体" w:cs="宋体"/>
                <w:color w:val="auto"/>
                <w:kern w:val="0"/>
                <w:sz w:val="21"/>
                <w:szCs w:val="21"/>
              </w:rPr>
            </w:pPr>
          </w:p>
        </w:tc>
        <w:tc>
          <w:tcPr>
            <w:tcW w:w="1301" w:type="pct"/>
            <w:noWrap w:val="0"/>
            <w:vAlign w:val="center"/>
          </w:tcPr>
          <w:p w14:paraId="5C33F348">
            <w:pPr>
              <w:widowControl/>
              <w:rPr>
                <w:rFonts w:hint="eastAsia" w:ascii="宋体" w:hAnsi="宋体" w:eastAsia="宋体" w:cs="宋体"/>
                <w:color w:val="auto"/>
                <w:kern w:val="0"/>
                <w:sz w:val="21"/>
                <w:szCs w:val="21"/>
              </w:rPr>
            </w:pPr>
          </w:p>
        </w:tc>
        <w:tc>
          <w:tcPr>
            <w:tcW w:w="440" w:type="pct"/>
            <w:noWrap w:val="0"/>
            <w:vAlign w:val="center"/>
          </w:tcPr>
          <w:p w14:paraId="6424ADD5">
            <w:pPr>
              <w:jc w:val="center"/>
              <w:rPr>
                <w:rFonts w:hint="eastAsia" w:ascii="宋体" w:hAnsi="宋体" w:eastAsia="宋体" w:cs="宋体"/>
                <w:color w:val="auto"/>
                <w:kern w:val="0"/>
                <w:sz w:val="21"/>
                <w:szCs w:val="21"/>
              </w:rPr>
            </w:pPr>
          </w:p>
        </w:tc>
        <w:tc>
          <w:tcPr>
            <w:tcW w:w="415" w:type="pct"/>
            <w:noWrap w:val="0"/>
            <w:vAlign w:val="center"/>
          </w:tcPr>
          <w:p w14:paraId="08732C7B">
            <w:pPr>
              <w:jc w:val="center"/>
              <w:rPr>
                <w:rFonts w:hint="eastAsia" w:ascii="宋体" w:hAnsi="宋体" w:eastAsia="宋体" w:cs="宋体"/>
                <w:color w:val="auto"/>
                <w:kern w:val="0"/>
                <w:sz w:val="21"/>
                <w:szCs w:val="21"/>
              </w:rPr>
            </w:pPr>
          </w:p>
        </w:tc>
        <w:tc>
          <w:tcPr>
            <w:tcW w:w="724" w:type="pct"/>
            <w:noWrap w:val="0"/>
            <w:vAlign w:val="center"/>
          </w:tcPr>
          <w:p w14:paraId="2653ED41">
            <w:pPr>
              <w:widowControl/>
              <w:jc w:val="center"/>
              <w:rPr>
                <w:rFonts w:hint="eastAsia" w:ascii="宋体" w:hAnsi="宋体" w:eastAsia="宋体" w:cs="宋体"/>
                <w:color w:val="auto"/>
                <w:kern w:val="0"/>
                <w:sz w:val="21"/>
                <w:szCs w:val="21"/>
              </w:rPr>
            </w:pPr>
          </w:p>
        </w:tc>
        <w:tc>
          <w:tcPr>
            <w:tcW w:w="760" w:type="pct"/>
            <w:noWrap w:val="0"/>
            <w:vAlign w:val="center"/>
          </w:tcPr>
          <w:p w14:paraId="5D0CA644">
            <w:pPr>
              <w:widowControl/>
              <w:jc w:val="center"/>
              <w:rPr>
                <w:rFonts w:hint="eastAsia" w:ascii="宋体" w:hAnsi="宋体" w:eastAsia="宋体" w:cs="宋体"/>
                <w:color w:val="auto"/>
                <w:sz w:val="21"/>
                <w:szCs w:val="21"/>
              </w:rPr>
            </w:pPr>
          </w:p>
        </w:tc>
        <w:tc>
          <w:tcPr>
            <w:tcW w:w="826" w:type="pct"/>
            <w:noWrap w:val="0"/>
            <w:vAlign w:val="center"/>
          </w:tcPr>
          <w:p w14:paraId="5BE7769B">
            <w:pPr>
              <w:ind w:left="63" w:right="63"/>
              <w:rPr>
                <w:rFonts w:hint="eastAsia" w:ascii="宋体" w:hAnsi="宋体" w:eastAsia="宋体" w:cs="宋体"/>
                <w:color w:val="auto"/>
                <w:sz w:val="21"/>
                <w:szCs w:val="21"/>
              </w:rPr>
            </w:pPr>
          </w:p>
        </w:tc>
      </w:tr>
      <w:tr w14:paraId="36864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47C45BCC">
            <w:pPr>
              <w:widowControl/>
              <w:jc w:val="center"/>
              <w:rPr>
                <w:rFonts w:hint="eastAsia" w:ascii="宋体" w:hAnsi="宋体" w:eastAsia="宋体" w:cs="宋体"/>
                <w:color w:val="auto"/>
                <w:kern w:val="0"/>
                <w:sz w:val="21"/>
                <w:szCs w:val="21"/>
              </w:rPr>
            </w:pPr>
          </w:p>
        </w:tc>
        <w:tc>
          <w:tcPr>
            <w:tcW w:w="1301" w:type="pct"/>
            <w:noWrap w:val="0"/>
            <w:vAlign w:val="center"/>
          </w:tcPr>
          <w:p w14:paraId="301A84BD">
            <w:pPr>
              <w:widowControl/>
              <w:rPr>
                <w:rFonts w:hint="eastAsia" w:ascii="宋体" w:hAnsi="宋体" w:eastAsia="宋体" w:cs="宋体"/>
                <w:color w:val="auto"/>
                <w:kern w:val="0"/>
                <w:sz w:val="21"/>
                <w:szCs w:val="21"/>
              </w:rPr>
            </w:pPr>
          </w:p>
        </w:tc>
        <w:tc>
          <w:tcPr>
            <w:tcW w:w="440" w:type="pct"/>
            <w:noWrap w:val="0"/>
            <w:vAlign w:val="center"/>
          </w:tcPr>
          <w:p w14:paraId="633D9305">
            <w:pPr>
              <w:widowControl/>
              <w:jc w:val="center"/>
              <w:rPr>
                <w:rFonts w:hint="eastAsia" w:ascii="宋体" w:hAnsi="宋体" w:eastAsia="宋体" w:cs="宋体"/>
                <w:color w:val="auto"/>
                <w:kern w:val="0"/>
                <w:sz w:val="21"/>
                <w:szCs w:val="21"/>
              </w:rPr>
            </w:pPr>
          </w:p>
        </w:tc>
        <w:tc>
          <w:tcPr>
            <w:tcW w:w="415" w:type="pct"/>
            <w:noWrap w:val="0"/>
            <w:vAlign w:val="center"/>
          </w:tcPr>
          <w:p w14:paraId="5D050B1B">
            <w:pPr>
              <w:widowControl/>
              <w:jc w:val="center"/>
              <w:rPr>
                <w:rFonts w:hint="eastAsia" w:ascii="宋体" w:hAnsi="宋体" w:eastAsia="宋体" w:cs="宋体"/>
                <w:color w:val="auto"/>
                <w:kern w:val="0"/>
                <w:sz w:val="21"/>
                <w:szCs w:val="21"/>
              </w:rPr>
            </w:pPr>
          </w:p>
        </w:tc>
        <w:tc>
          <w:tcPr>
            <w:tcW w:w="724" w:type="pct"/>
            <w:noWrap w:val="0"/>
            <w:vAlign w:val="center"/>
          </w:tcPr>
          <w:p w14:paraId="275F2E54">
            <w:pPr>
              <w:widowControl/>
              <w:jc w:val="center"/>
              <w:rPr>
                <w:rFonts w:hint="eastAsia" w:ascii="宋体" w:hAnsi="宋体" w:eastAsia="宋体" w:cs="宋体"/>
                <w:color w:val="auto"/>
                <w:kern w:val="0"/>
                <w:sz w:val="21"/>
                <w:szCs w:val="21"/>
              </w:rPr>
            </w:pPr>
          </w:p>
        </w:tc>
        <w:tc>
          <w:tcPr>
            <w:tcW w:w="760" w:type="pct"/>
            <w:noWrap w:val="0"/>
            <w:vAlign w:val="center"/>
          </w:tcPr>
          <w:p w14:paraId="5BEA7F19">
            <w:pPr>
              <w:ind w:left="63" w:right="63"/>
              <w:rPr>
                <w:rFonts w:hint="eastAsia" w:ascii="宋体" w:hAnsi="宋体" w:eastAsia="宋体" w:cs="宋体"/>
                <w:color w:val="auto"/>
                <w:sz w:val="21"/>
                <w:szCs w:val="21"/>
              </w:rPr>
            </w:pPr>
          </w:p>
        </w:tc>
        <w:tc>
          <w:tcPr>
            <w:tcW w:w="826" w:type="pct"/>
            <w:noWrap w:val="0"/>
            <w:vAlign w:val="center"/>
          </w:tcPr>
          <w:p w14:paraId="1F52FD45">
            <w:pPr>
              <w:ind w:left="63" w:right="63"/>
              <w:rPr>
                <w:rFonts w:hint="eastAsia" w:ascii="宋体" w:hAnsi="宋体" w:eastAsia="宋体" w:cs="宋体"/>
                <w:color w:val="auto"/>
                <w:sz w:val="21"/>
                <w:szCs w:val="21"/>
              </w:rPr>
            </w:pPr>
          </w:p>
        </w:tc>
      </w:tr>
      <w:tr w14:paraId="3AF44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3EB6F25">
            <w:pPr>
              <w:widowControl/>
              <w:jc w:val="center"/>
              <w:rPr>
                <w:rFonts w:hint="eastAsia" w:ascii="宋体" w:hAnsi="宋体" w:eastAsia="宋体" w:cs="宋体"/>
                <w:color w:val="auto"/>
                <w:kern w:val="0"/>
                <w:sz w:val="21"/>
                <w:szCs w:val="21"/>
              </w:rPr>
            </w:pPr>
          </w:p>
        </w:tc>
        <w:tc>
          <w:tcPr>
            <w:tcW w:w="1301" w:type="pct"/>
            <w:noWrap w:val="0"/>
            <w:vAlign w:val="center"/>
          </w:tcPr>
          <w:p w14:paraId="3A0E5EB1">
            <w:pPr>
              <w:widowControl/>
              <w:rPr>
                <w:rFonts w:hint="eastAsia" w:ascii="宋体" w:hAnsi="宋体" w:eastAsia="宋体" w:cs="宋体"/>
                <w:color w:val="auto"/>
                <w:kern w:val="0"/>
                <w:sz w:val="21"/>
                <w:szCs w:val="21"/>
              </w:rPr>
            </w:pPr>
          </w:p>
        </w:tc>
        <w:tc>
          <w:tcPr>
            <w:tcW w:w="440" w:type="pct"/>
            <w:noWrap w:val="0"/>
            <w:vAlign w:val="center"/>
          </w:tcPr>
          <w:p w14:paraId="532CDF64">
            <w:pPr>
              <w:widowControl/>
              <w:jc w:val="center"/>
              <w:rPr>
                <w:rFonts w:hint="eastAsia" w:ascii="宋体" w:hAnsi="宋体" w:eastAsia="宋体" w:cs="宋体"/>
                <w:color w:val="auto"/>
                <w:kern w:val="0"/>
                <w:sz w:val="21"/>
                <w:szCs w:val="21"/>
              </w:rPr>
            </w:pPr>
          </w:p>
        </w:tc>
        <w:tc>
          <w:tcPr>
            <w:tcW w:w="415" w:type="pct"/>
            <w:noWrap w:val="0"/>
            <w:vAlign w:val="center"/>
          </w:tcPr>
          <w:p w14:paraId="48DE8FB5">
            <w:pPr>
              <w:widowControl/>
              <w:jc w:val="center"/>
              <w:rPr>
                <w:rFonts w:hint="eastAsia" w:ascii="宋体" w:hAnsi="宋体" w:eastAsia="宋体" w:cs="宋体"/>
                <w:color w:val="auto"/>
                <w:kern w:val="0"/>
                <w:sz w:val="21"/>
                <w:szCs w:val="21"/>
              </w:rPr>
            </w:pPr>
          </w:p>
        </w:tc>
        <w:tc>
          <w:tcPr>
            <w:tcW w:w="724" w:type="pct"/>
            <w:noWrap w:val="0"/>
            <w:vAlign w:val="center"/>
          </w:tcPr>
          <w:p w14:paraId="3974CB0E">
            <w:pPr>
              <w:widowControl/>
              <w:jc w:val="center"/>
              <w:rPr>
                <w:rFonts w:hint="eastAsia" w:ascii="宋体" w:hAnsi="宋体" w:eastAsia="宋体" w:cs="宋体"/>
                <w:color w:val="auto"/>
                <w:kern w:val="0"/>
                <w:sz w:val="21"/>
                <w:szCs w:val="21"/>
              </w:rPr>
            </w:pPr>
          </w:p>
        </w:tc>
        <w:tc>
          <w:tcPr>
            <w:tcW w:w="760" w:type="pct"/>
            <w:noWrap w:val="0"/>
            <w:vAlign w:val="center"/>
          </w:tcPr>
          <w:p w14:paraId="242A63F7">
            <w:pPr>
              <w:ind w:left="63" w:right="63"/>
              <w:rPr>
                <w:rFonts w:hint="eastAsia" w:ascii="宋体" w:hAnsi="宋体" w:eastAsia="宋体" w:cs="宋体"/>
                <w:color w:val="auto"/>
                <w:sz w:val="21"/>
                <w:szCs w:val="21"/>
              </w:rPr>
            </w:pPr>
          </w:p>
        </w:tc>
        <w:tc>
          <w:tcPr>
            <w:tcW w:w="826" w:type="pct"/>
            <w:noWrap w:val="0"/>
            <w:vAlign w:val="center"/>
          </w:tcPr>
          <w:p w14:paraId="258635BC">
            <w:pPr>
              <w:ind w:left="63" w:right="63"/>
              <w:rPr>
                <w:rFonts w:hint="eastAsia" w:ascii="宋体" w:hAnsi="宋体" w:eastAsia="宋体" w:cs="宋体"/>
                <w:color w:val="auto"/>
                <w:sz w:val="21"/>
                <w:szCs w:val="21"/>
              </w:rPr>
            </w:pPr>
          </w:p>
        </w:tc>
      </w:tr>
      <w:tr w14:paraId="54E0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E8A446C">
            <w:pPr>
              <w:widowControl/>
              <w:jc w:val="center"/>
              <w:rPr>
                <w:rFonts w:hint="eastAsia" w:ascii="宋体" w:hAnsi="宋体" w:eastAsia="宋体" w:cs="宋体"/>
                <w:color w:val="auto"/>
                <w:kern w:val="0"/>
                <w:sz w:val="21"/>
                <w:szCs w:val="21"/>
              </w:rPr>
            </w:pPr>
          </w:p>
        </w:tc>
        <w:tc>
          <w:tcPr>
            <w:tcW w:w="1301" w:type="pct"/>
            <w:noWrap w:val="0"/>
            <w:vAlign w:val="center"/>
          </w:tcPr>
          <w:p w14:paraId="47907ED9">
            <w:pPr>
              <w:widowControl/>
              <w:rPr>
                <w:rFonts w:hint="eastAsia" w:ascii="宋体" w:hAnsi="宋体" w:eastAsia="宋体" w:cs="宋体"/>
                <w:color w:val="auto"/>
                <w:kern w:val="0"/>
                <w:sz w:val="21"/>
                <w:szCs w:val="21"/>
              </w:rPr>
            </w:pPr>
          </w:p>
        </w:tc>
        <w:tc>
          <w:tcPr>
            <w:tcW w:w="440" w:type="pct"/>
            <w:noWrap w:val="0"/>
            <w:vAlign w:val="center"/>
          </w:tcPr>
          <w:p w14:paraId="748156E8">
            <w:pPr>
              <w:widowControl/>
              <w:jc w:val="center"/>
              <w:rPr>
                <w:rFonts w:hint="eastAsia" w:ascii="宋体" w:hAnsi="宋体" w:eastAsia="宋体" w:cs="宋体"/>
                <w:color w:val="auto"/>
                <w:kern w:val="0"/>
                <w:sz w:val="21"/>
                <w:szCs w:val="21"/>
              </w:rPr>
            </w:pPr>
          </w:p>
        </w:tc>
        <w:tc>
          <w:tcPr>
            <w:tcW w:w="415" w:type="pct"/>
            <w:noWrap w:val="0"/>
            <w:vAlign w:val="center"/>
          </w:tcPr>
          <w:p w14:paraId="44CC8A5F">
            <w:pPr>
              <w:widowControl/>
              <w:jc w:val="center"/>
              <w:rPr>
                <w:rFonts w:hint="eastAsia" w:ascii="宋体" w:hAnsi="宋体" w:eastAsia="宋体" w:cs="宋体"/>
                <w:color w:val="auto"/>
                <w:kern w:val="0"/>
                <w:sz w:val="21"/>
                <w:szCs w:val="21"/>
              </w:rPr>
            </w:pPr>
          </w:p>
        </w:tc>
        <w:tc>
          <w:tcPr>
            <w:tcW w:w="724" w:type="pct"/>
            <w:noWrap w:val="0"/>
            <w:vAlign w:val="center"/>
          </w:tcPr>
          <w:p w14:paraId="5F547EB9">
            <w:pPr>
              <w:widowControl/>
              <w:jc w:val="center"/>
              <w:rPr>
                <w:rFonts w:hint="eastAsia" w:ascii="宋体" w:hAnsi="宋体" w:eastAsia="宋体" w:cs="宋体"/>
                <w:color w:val="auto"/>
                <w:kern w:val="0"/>
                <w:sz w:val="21"/>
                <w:szCs w:val="21"/>
              </w:rPr>
            </w:pPr>
          </w:p>
        </w:tc>
        <w:tc>
          <w:tcPr>
            <w:tcW w:w="760" w:type="pct"/>
            <w:noWrap w:val="0"/>
            <w:vAlign w:val="center"/>
          </w:tcPr>
          <w:p w14:paraId="6C0ADEF6">
            <w:pPr>
              <w:ind w:left="63" w:right="63"/>
              <w:rPr>
                <w:rFonts w:hint="eastAsia" w:ascii="宋体" w:hAnsi="宋体" w:eastAsia="宋体" w:cs="宋体"/>
                <w:color w:val="auto"/>
                <w:sz w:val="21"/>
                <w:szCs w:val="21"/>
              </w:rPr>
            </w:pPr>
          </w:p>
        </w:tc>
        <w:tc>
          <w:tcPr>
            <w:tcW w:w="826" w:type="pct"/>
            <w:noWrap w:val="0"/>
            <w:vAlign w:val="center"/>
          </w:tcPr>
          <w:p w14:paraId="0DE0EAC9">
            <w:pPr>
              <w:ind w:left="63" w:right="63"/>
              <w:rPr>
                <w:rFonts w:hint="eastAsia" w:ascii="宋体" w:hAnsi="宋体" w:eastAsia="宋体" w:cs="宋体"/>
                <w:color w:val="auto"/>
                <w:sz w:val="21"/>
                <w:szCs w:val="21"/>
              </w:rPr>
            </w:pPr>
          </w:p>
        </w:tc>
      </w:tr>
      <w:tr w14:paraId="7D0A0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49A9AD3">
            <w:pPr>
              <w:widowControl/>
              <w:jc w:val="center"/>
              <w:rPr>
                <w:rFonts w:hint="eastAsia" w:ascii="宋体" w:hAnsi="宋体" w:eastAsia="宋体" w:cs="宋体"/>
                <w:color w:val="auto"/>
                <w:kern w:val="0"/>
                <w:sz w:val="21"/>
                <w:szCs w:val="21"/>
              </w:rPr>
            </w:pPr>
          </w:p>
        </w:tc>
        <w:tc>
          <w:tcPr>
            <w:tcW w:w="1301" w:type="pct"/>
            <w:noWrap w:val="0"/>
            <w:vAlign w:val="center"/>
          </w:tcPr>
          <w:p w14:paraId="141FED4E">
            <w:pPr>
              <w:widowControl/>
              <w:rPr>
                <w:rFonts w:hint="eastAsia" w:ascii="宋体" w:hAnsi="宋体" w:eastAsia="宋体" w:cs="宋体"/>
                <w:color w:val="auto"/>
                <w:kern w:val="0"/>
                <w:sz w:val="21"/>
                <w:szCs w:val="21"/>
              </w:rPr>
            </w:pPr>
          </w:p>
        </w:tc>
        <w:tc>
          <w:tcPr>
            <w:tcW w:w="440" w:type="pct"/>
            <w:noWrap w:val="0"/>
            <w:vAlign w:val="center"/>
          </w:tcPr>
          <w:p w14:paraId="784CD3C7">
            <w:pPr>
              <w:widowControl/>
              <w:jc w:val="center"/>
              <w:rPr>
                <w:rFonts w:hint="eastAsia" w:ascii="宋体" w:hAnsi="宋体" w:eastAsia="宋体" w:cs="宋体"/>
                <w:color w:val="auto"/>
                <w:kern w:val="0"/>
                <w:sz w:val="21"/>
                <w:szCs w:val="21"/>
              </w:rPr>
            </w:pPr>
          </w:p>
        </w:tc>
        <w:tc>
          <w:tcPr>
            <w:tcW w:w="415" w:type="pct"/>
            <w:noWrap w:val="0"/>
            <w:vAlign w:val="center"/>
          </w:tcPr>
          <w:p w14:paraId="4D08F27B">
            <w:pPr>
              <w:widowControl/>
              <w:jc w:val="center"/>
              <w:rPr>
                <w:rFonts w:hint="eastAsia" w:ascii="宋体" w:hAnsi="宋体" w:eastAsia="宋体" w:cs="宋体"/>
                <w:color w:val="auto"/>
                <w:kern w:val="0"/>
                <w:sz w:val="21"/>
                <w:szCs w:val="21"/>
              </w:rPr>
            </w:pPr>
          </w:p>
        </w:tc>
        <w:tc>
          <w:tcPr>
            <w:tcW w:w="724" w:type="pct"/>
            <w:noWrap w:val="0"/>
            <w:vAlign w:val="center"/>
          </w:tcPr>
          <w:p w14:paraId="23BF7983">
            <w:pPr>
              <w:widowControl/>
              <w:jc w:val="center"/>
              <w:rPr>
                <w:rFonts w:hint="eastAsia" w:ascii="宋体" w:hAnsi="宋体" w:eastAsia="宋体" w:cs="宋体"/>
                <w:color w:val="auto"/>
                <w:kern w:val="0"/>
                <w:sz w:val="21"/>
                <w:szCs w:val="21"/>
              </w:rPr>
            </w:pPr>
          </w:p>
        </w:tc>
        <w:tc>
          <w:tcPr>
            <w:tcW w:w="760" w:type="pct"/>
            <w:noWrap w:val="0"/>
            <w:vAlign w:val="center"/>
          </w:tcPr>
          <w:p w14:paraId="703056D0">
            <w:pPr>
              <w:ind w:left="63" w:right="63"/>
              <w:rPr>
                <w:rFonts w:hint="eastAsia" w:ascii="宋体" w:hAnsi="宋体" w:eastAsia="宋体" w:cs="宋体"/>
                <w:color w:val="auto"/>
                <w:sz w:val="21"/>
                <w:szCs w:val="21"/>
              </w:rPr>
            </w:pPr>
          </w:p>
        </w:tc>
        <w:tc>
          <w:tcPr>
            <w:tcW w:w="826" w:type="pct"/>
            <w:noWrap w:val="0"/>
            <w:vAlign w:val="center"/>
          </w:tcPr>
          <w:p w14:paraId="2B09ED23">
            <w:pPr>
              <w:ind w:left="63" w:right="63"/>
              <w:rPr>
                <w:rFonts w:hint="eastAsia" w:ascii="宋体" w:hAnsi="宋体" w:eastAsia="宋体" w:cs="宋体"/>
                <w:color w:val="auto"/>
                <w:sz w:val="21"/>
                <w:szCs w:val="21"/>
              </w:rPr>
            </w:pPr>
          </w:p>
        </w:tc>
      </w:tr>
      <w:tr w14:paraId="31229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FB718EC">
            <w:pPr>
              <w:widowControl/>
              <w:jc w:val="center"/>
              <w:rPr>
                <w:rFonts w:hint="eastAsia" w:ascii="宋体" w:hAnsi="宋体" w:eastAsia="宋体" w:cs="宋体"/>
                <w:color w:val="auto"/>
                <w:kern w:val="0"/>
                <w:sz w:val="21"/>
                <w:szCs w:val="21"/>
              </w:rPr>
            </w:pPr>
          </w:p>
        </w:tc>
        <w:tc>
          <w:tcPr>
            <w:tcW w:w="1301" w:type="pct"/>
            <w:noWrap w:val="0"/>
            <w:vAlign w:val="center"/>
          </w:tcPr>
          <w:p w14:paraId="0778AE47">
            <w:pPr>
              <w:widowControl/>
              <w:rPr>
                <w:rFonts w:hint="eastAsia" w:ascii="宋体" w:hAnsi="宋体" w:eastAsia="宋体" w:cs="宋体"/>
                <w:color w:val="auto"/>
                <w:kern w:val="0"/>
                <w:sz w:val="21"/>
                <w:szCs w:val="21"/>
              </w:rPr>
            </w:pPr>
          </w:p>
        </w:tc>
        <w:tc>
          <w:tcPr>
            <w:tcW w:w="440" w:type="pct"/>
            <w:noWrap w:val="0"/>
            <w:vAlign w:val="center"/>
          </w:tcPr>
          <w:p w14:paraId="34507571">
            <w:pPr>
              <w:widowControl/>
              <w:jc w:val="center"/>
              <w:rPr>
                <w:rFonts w:hint="eastAsia" w:ascii="宋体" w:hAnsi="宋体" w:eastAsia="宋体" w:cs="宋体"/>
                <w:color w:val="auto"/>
                <w:kern w:val="0"/>
                <w:sz w:val="21"/>
                <w:szCs w:val="21"/>
              </w:rPr>
            </w:pPr>
          </w:p>
        </w:tc>
        <w:tc>
          <w:tcPr>
            <w:tcW w:w="415" w:type="pct"/>
            <w:noWrap w:val="0"/>
            <w:vAlign w:val="center"/>
          </w:tcPr>
          <w:p w14:paraId="21542389">
            <w:pPr>
              <w:widowControl/>
              <w:jc w:val="center"/>
              <w:rPr>
                <w:rFonts w:hint="eastAsia" w:ascii="宋体" w:hAnsi="宋体" w:eastAsia="宋体" w:cs="宋体"/>
                <w:color w:val="auto"/>
                <w:kern w:val="0"/>
                <w:sz w:val="21"/>
                <w:szCs w:val="21"/>
              </w:rPr>
            </w:pPr>
          </w:p>
        </w:tc>
        <w:tc>
          <w:tcPr>
            <w:tcW w:w="724" w:type="pct"/>
            <w:noWrap w:val="0"/>
            <w:vAlign w:val="center"/>
          </w:tcPr>
          <w:p w14:paraId="5E54D937">
            <w:pPr>
              <w:widowControl/>
              <w:jc w:val="center"/>
              <w:rPr>
                <w:rFonts w:hint="eastAsia" w:ascii="宋体" w:hAnsi="宋体" w:eastAsia="宋体" w:cs="宋体"/>
                <w:color w:val="auto"/>
                <w:kern w:val="0"/>
                <w:sz w:val="21"/>
                <w:szCs w:val="21"/>
              </w:rPr>
            </w:pPr>
          </w:p>
        </w:tc>
        <w:tc>
          <w:tcPr>
            <w:tcW w:w="760" w:type="pct"/>
            <w:noWrap w:val="0"/>
            <w:vAlign w:val="center"/>
          </w:tcPr>
          <w:p w14:paraId="495E1315">
            <w:pPr>
              <w:ind w:left="63" w:right="63"/>
              <w:rPr>
                <w:rFonts w:hint="eastAsia" w:ascii="宋体" w:hAnsi="宋体" w:eastAsia="宋体" w:cs="宋体"/>
                <w:color w:val="auto"/>
                <w:sz w:val="21"/>
                <w:szCs w:val="21"/>
              </w:rPr>
            </w:pPr>
          </w:p>
        </w:tc>
        <w:tc>
          <w:tcPr>
            <w:tcW w:w="826" w:type="pct"/>
            <w:noWrap w:val="0"/>
            <w:vAlign w:val="center"/>
          </w:tcPr>
          <w:p w14:paraId="554CF94A">
            <w:pPr>
              <w:ind w:left="63" w:right="63"/>
              <w:rPr>
                <w:rFonts w:hint="eastAsia" w:ascii="宋体" w:hAnsi="宋体" w:eastAsia="宋体" w:cs="宋体"/>
                <w:color w:val="auto"/>
                <w:sz w:val="21"/>
                <w:szCs w:val="21"/>
              </w:rPr>
            </w:pPr>
          </w:p>
        </w:tc>
      </w:tr>
      <w:tr w14:paraId="3ED49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D21B591">
            <w:pPr>
              <w:widowControl/>
              <w:jc w:val="center"/>
              <w:rPr>
                <w:rFonts w:hint="eastAsia" w:ascii="宋体" w:hAnsi="宋体" w:eastAsia="宋体" w:cs="宋体"/>
                <w:color w:val="auto"/>
                <w:kern w:val="0"/>
                <w:sz w:val="21"/>
                <w:szCs w:val="21"/>
              </w:rPr>
            </w:pPr>
          </w:p>
        </w:tc>
        <w:tc>
          <w:tcPr>
            <w:tcW w:w="1301" w:type="pct"/>
            <w:noWrap w:val="0"/>
            <w:vAlign w:val="center"/>
          </w:tcPr>
          <w:p w14:paraId="12EB113E">
            <w:pPr>
              <w:widowControl/>
              <w:rPr>
                <w:rFonts w:hint="eastAsia" w:ascii="宋体" w:hAnsi="宋体" w:eastAsia="宋体" w:cs="宋体"/>
                <w:color w:val="auto"/>
                <w:kern w:val="0"/>
                <w:sz w:val="21"/>
                <w:szCs w:val="21"/>
              </w:rPr>
            </w:pPr>
          </w:p>
        </w:tc>
        <w:tc>
          <w:tcPr>
            <w:tcW w:w="440" w:type="pct"/>
            <w:noWrap w:val="0"/>
            <w:vAlign w:val="center"/>
          </w:tcPr>
          <w:p w14:paraId="2D3C1B43">
            <w:pPr>
              <w:widowControl/>
              <w:jc w:val="center"/>
              <w:rPr>
                <w:rFonts w:hint="eastAsia" w:ascii="宋体" w:hAnsi="宋体" w:eastAsia="宋体" w:cs="宋体"/>
                <w:color w:val="auto"/>
                <w:kern w:val="0"/>
                <w:sz w:val="21"/>
                <w:szCs w:val="21"/>
              </w:rPr>
            </w:pPr>
          </w:p>
        </w:tc>
        <w:tc>
          <w:tcPr>
            <w:tcW w:w="415" w:type="pct"/>
            <w:noWrap w:val="0"/>
            <w:vAlign w:val="center"/>
          </w:tcPr>
          <w:p w14:paraId="4FB699C8">
            <w:pPr>
              <w:widowControl/>
              <w:jc w:val="center"/>
              <w:rPr>
                <w:rFonts w:hint="eastAsia" w:ascii="宋体" w:hAnsi="宋体" w:eastAsia="宋体" w:cs="宋体"/>
                <w:color w:val="auto"/>
                <w:kern w:val="0"/>
                <w:sz w:val="21"/>
                <w:szCs w:val="21"/>
              </w:rPr>
            </w:pPr>
          </w:p>
        </w:tc>
        <w:tc>
          <w:tcPr>
            <w:tcW w:w="724" w:type="pct"/>
            <w:noWrap w:val="0"/>
            <w:vAlign w:val="center"/>
          </w:tcPr>
          <w:p w14:paraId="422FFDEA">
            <w:pPr>
              <w:widowControl/>
              <w:jc w:val="center"/>
              <w:rPr>
                <w:rFonts w:hint="eastAsia" w:ascii="宋体" w:hAnsi="宋体" w:eastAsia="宋体" w:cs="宋体"/>
                <w:color w:val="auto"/>
                <w:kern w:val="0"/>
                <w:sz w:val="21"/>
                <w:szCs w:val="21"/>
              </w:rPr>
            </w:pPr>
          </w:p>
        </w:tc>
        <w:tc>
          <w:tcPr>
            <w:tcW w:w="760" w:type="pct"/>
            <w:noWrap w:val="0"/>
            <w:vAlign w:val="center"/>
          </w:tcPr>
          <w:p w14:paraId="53B4CCFB">
            <w:pPr>
              <w:ind w:left="63" w:right="63"/>
              <w:rPr>
                <w:rFonts w:hint="eastAsia" w:ascii="宋体" w:hAnsi="宋体" w:eastAsia="宋体" w:cs="宋体"/>
                <w:color w:val="auto"/>
                <w:sz w:val="21"/>
                <w:szCs w:val="21"/>
              </w:rPr>
            </w:pPr>
          </w:p>
        </w:tc>
        <w:tc>
          <w:tcPr>
            <w:tcW w:w="826" w:type="pct"/>
            <w:noWrap w:val="0"/>
            <w:vAlign w:val="center"/>
          </w:tcPr>
          <w:p w14:paraId="7BB72CB8">
            <w:pPr>
              <w:ind w:left="63" w:right="63"/>
              <w:rPr>
                <w:rFonts w:hint="eastAsia" w:ascii="宋体" w:hAnsi="宋体" w:eastAsia="宋体" w:cs="宋体"/>
                <w:color w:val="auto"/>
                <w:sz w:val="21"/>
                <w:szCs w:val="21"/>
              </w:rPr>
            </w:pPr>
          </w:p>
        </w:tc>
      </w:tr>
      <w:tr w14:paraId="3F94C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33CE26C2">
            <w:pPr>
              <w:widowControl/>
              <w:jc w:val="center"/>
              <w:rPr>
                <w:rFonts w:hint="eastAsia" w:ascii="宋体" w:hAnsi="宋体" w:eastAsia="宋体" w:cs="宋体"/>
                <w:color w:val="auto"/>
                <w:kern w:val="0"/>
                <w:sz w:val="21"/>
                <w:szCs w:val="21"/>
              </w:rPr>
            </w:pPr>
          </w:p>
        </w:tc>
        <w:tc>
          <w:tcPr>
            <w:tcW w:w="1301" w:type="pct"/>
            <w:noWrap w:val="0"/>
            <w:vAlign w:val="center"/>
          </w:tcPr>
          <w:p w14:paraId="347A2D06">
            <w:pPr>
              <w:widowControl/>
              <w:rPr>
                <w:rFonts w:hint="eastAsia" w:ascii="宋体" w:hAnsi="宋体" w:eastAsia="宋体" w:cs="宋体"/>
                <w:color w:val="auto"/>
                <w:kern w:val="0"/>
                <w:sz w:val="21"/>
                <w:szCs w:val="21"/>
              </w:rPr>
            </w:pPr>
          </w:p>
        </w:tc>
        <w:tc>
          <w:tcPr>
            <w:tcW w:w="440" w:type="pct"/>
            <w:noWrap w:val="0"/>
            <w:vAlign w:val="center"/>
          </w:tcPr>
          <w:p w14:paraId="778DA90E">
            <w:pPr>
              <w:widowControl/>
              <w:jc w:val="center"/>
              <w:rPr>
                <w:rFonts w:hint="eastAsia" w:ascii="宋体" w:hAnsi="宋体" w:eastAsia="宋体" w:cs="宋体"/>
                <w:color w:val="auto"/>
                <w:kern w:val="0"/>
                <w:sz w:val="21"/>
                <w:szCs w:val="21"/>
              </w:rPr>
            </w:pPr>
          </w:p>
        </w:tc>
        <w:tc>
          <w:tcPr>
            <w:tcW w:w="415" w:type="pct"/>
            <w:noWrap w:val="0"/>
            <w:vAlign w:val="center"/>
          </w:tcPr>
          <w:p w14:paraId="09F59DE1">
            <w:pPr>
              <w:widowControl/>
              <w:jc w:val="center"/>
              <w:rPr>
                <w:rFonts w:hint="eastAsia" w:ascii="宋体" w:hAnsi="宋体" w:eastAsia="宋体" w:cs="宋体"/>
                <w:color w:val="auto"/>
                <w:kern w:val="0"/>
                <w:sz w:val="21"/>
                <w:szCs w:val="21"/>
              </w:rPr>
            </w:pPr>
          </w:p>
        </w:tc>
        <w:tc>
          <w:tcPr>
            <w:tcW w:w="724" w:type="pct"/>
            <w:noWrap w:val="0"/>
            <w:vAlign w:val="center"/>
          </w:tcPr>
          <w:p w14:paraId="5E3CA7B3">
            <w:pPr>
              <w:widowControl/>
              <w:jc w:val="center"/>
              <w:rPr>
                <w:rFonts w:hint="eastAsia" w:ascii="宋体" w:hAnsi="宋体" w:eastAsia="宋体" w:cs="宋体"/>
                <w:color w:val="auto"/>
                <w:kern w:val="0"/>
                <w:sz w:val="21"/>
                <w:szCs w:val="21"/>
              </w:rPr>
            </w:pPr>
          </w:p>
        </w:tc>
        <w:tc>
          <w:tcPr>
            <w:tcW w:w="760" w:type="pct"/>
            <w:noWrap w:val="0"/>
            <w:vAlign w:val="center"/>
          </w:tcPr>
          <w:p w14:paraId="4EE8055F">
            <w:pPr>
              <w:ind w:left="63" w:right="63"/>
              <w:rPr>
                <w:rFonts w:hint="eastAsia" w:ascii="宋体" w:hAnsi="宋体" w:eastAsia="宋体" w:cs="宋体"/>
                <w:color w:val="auto"/>
                <w:sz w:val="21"/>
                <w:szCs w:val="21"/>
              </w:rPr>
            </w:pPr>
          </w:p>
        </w:tc>
        <w:tc>
          <w:tcPr>
            <w:tcW w:w="826" w:type="pct"/>
            <w:noWrap w:val="0"/>
            <w:vAlign w:val="center"/>
          </w:tcPr>
          <w:p w14:paraId="7C7887FE">
            <w:pPr>
              <w:ind w:left="63" w:right="63"/>
              <w:rPr>
                <w:rFonts w:hint="eastAsia" w:ascii="宋体" w:hAnsi="宋体" w:eastAsia="宋体" w:cs="宋体"/>
                <w:color w:val="auto"/>
                <w:sz w:val="21"/>
                <w:szCs w:val="21"/>
              </w:rPr>
            </w:pPr>
          </w:p>
        </w:tc>
      </w:tr>
      <w:tr w14:paraId="70806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6C5024B">
            <w:pPr>
              <w:widowControl/>
              <w:jc w:val="center"/>
              <w:rPr>
                <w:rFonts w:hint="eastAsia" w:ascii="宋体" w:hAnsi="宋体" w:eastAsia="宋体" w:cs="宋体"/>
                <w:color w:val="auto"/>
                <w:kern w:val="0"/>
                <w:sz w:val="21"/>
                <w:szCs w:val="21"/>
              </w:rPr>
            </w:pPr>
          </w:p>
        </w:tc>
        <w:tc>
          <w:tcPr>
            <w:tcW w:w="1301" w:type="pct"/>
            <w:noWrap w:val="0"/>
            <w:vAlign w:val="center"/>
          </w:tcPr>
          <w:p w14:paraId="154DC8AC">
            <w:pPr>
              <w:widowControl/>
              <w:rPr>
                <w:rFonts w:hint="eastAsia" w:ascii="宋体" w:hAnsi="宋体" w:eastAsia="宋体" w:cs="宋体"/>
                <w:color w:val="auto"/>
                <w:kern w:val="0"/>
                <w:sz w:val="21"/>
                <w:szCs w:val="21"/>
              </w:rPr>
            </w:pPr>
          </w:p>
        </w:tc>
        <w:tc>
          <w:tcPr>
            <w:tcW w:w="440" w:type="pct"/>
            <w:noWrap w:val="0"/>
            <w:vAlign w:val="center"/>
          </w:tcPr>
          <w:p w14:paraId="231B8F5A">
            <w:pPr>
              <w:widowControl/>
              <w:jc w:val="center"/>
              <w:rPr>
                <w:rFonts w:hint="eastAsia" w:ascii="宋体" w:hAnsi="宋体" w:eastAsia="宋体" w:cs="宋体"/>
                <w:color w:val="auto"/>
                <w:kern w:val="0"/>
                <w:sz w:val="21"/>
                <w:szCs w:val="21"/>
              </w:rPr>
            </w:pPr>
          </w:p>
        </w:tc>
        <w:tc>
          <w:tcPr>
            <w:tcW w:w="415" w:type="pct"/>
            <w:noWrap w:val="0"/>
            <w:vAlign w:val="center"/>
          </w:tcPr>
          <w:p w14:paraId="09145403">
            <w:pPr>
              <w:widowControl/>
              <w:jc w:val="center"/>
              <w:rPr>
                <w:rFonts w:hint="eastAsia" w:ascii="宋体" w:hAnsi="宋体" w:eastAsia="宋体" w:cs="宋体"/>
                <w:color w:val="auto"/>
                <w:kern w:val="0"/>
                <w:sz w:val="21"/>
                <w:szCs w:val="21"/>
              </w:rPr>
            </w:pPr>
          </w:p>
        </w:tc>
        <w:tc>
          <w:tcPr>
            <w:tcW w:w="724" w:type="pct"/>
            <w:noWrap w:val="0"/>
            <w:vAlign w:val="center"/>
          </w:tcPr>
          <w:p w14:paraId="3BFA5E27">
            <w:pPr>
              <w:widowControl/>
              <w:jc w:val="center"/>
              <w:rPr>
                <w:rFonts w:hint="eastAsia" w:ascii="宋体" w:hAnsi="宋体" w:eastAsia="宋体" w:cs="宋体"/>
                <w:color w:val="auto"/>
                <w:kern w:val="0"/>
                <w:sz w:val="21"/>
                <w:szCs w:val="21"/>
              </w:rPr>
            </w:pPr>
          </w:p>
        </w:tc>
        <w:tc>
          <w:tcPr>
            <w:tcW w:w="760" w:type="pct"/>
            <w:noWrap w:val="0"/>
            <w:vAlign w:val="center"/>
          </w:tcPr>
          <w:p w14:paraId="2C201639">
            <w:pPr>
              <w:ind w:left="63" w:right="63"/>
              <w:rPr>
                <w:rFonts w:hint="eastAsia" w:ascii="宋体" w:hAnsi="宋体" w:eastAsia="宋体" w:cs="宋体"/>
                <w:color w:val="auto"/>
                <w:sz w:val="21"/>
                <w:szCs w:val="21"/>
              </w:rPr>
            </w:pPr>
          </w:p>
        </w:tc>
        <w:tc>
          <w:tcPr>
            <w:tcW w:w="826" w:type="pct"/>
            <w:noWrap w:val="0"/>
            <w:vAlign w:val="center"/>
          </w:tcPr>
          <w:p w14:paraId="032A9ABE">
            <w:pPr>
              <w:ind w:left="63" w:right="63"/>
              <w:rPr>
                <w:rFonts w:hint="eastAsia" w:ascii="宋体" w:hAnsi="宋体" w:eastAsia="宋体" w:cs="宋体"/>
                <w:color w:val="auto"/>
                <w:sz w:val="21"/>
                <w:szCs w:val="21"/>
              </w:rPr>
            </w:pPr>
          </w:p>
        </w:tc>
      </w:tr>
      <w:tr w14:paraId="3D18F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BF1081E">
            <w:pPr>
              <w:widowControl/>
              <w:jc w:val="center"/>
              <w:rPr>
                <w:rFonts w:hint="eastAsia" w:ascii="宋体" w:hAnsi="宋体" w:eastAsia="宋体" w:cs="宋体"/>
                <w:color w:val="auto"/>
                <w:kern w:val="0"/>
                <w:sz w:val="21"/>
                <w:szCs w:val="21"/>
              </w:rPr>
            </w:pPr>
          </w:p>
        </w:tc>
        <w:tc>
          <w:tcPr>
            <w:tcW w:w="1301" w:type="pct"/>
            <w:noWrap w:val="0"/>
            <w:vAlign w:val="center"/>
          </w:tcPr>
          <w:p w14:paraId="7F30381D">
            <w:pPr>
              <w:widowControl/>
              <w:rPr>
                <w:rFonts w:hint="eastAsia" w:ascii="宋体" w:hAnsi="宋体" w:eastAsia="宋体" w:cs="宋体"/>
                <w:color w:val="auto"/>
                <w:kern w:val="0"/>
                <w:sz w:val="21"/>
                <w:szCs w:val="21"/>
              </w:rPr>
            </w:pPr>
          </w:p>
        </w:tc>
        <w:tc>
          <w:tcPr>
            <w:tcW w:w="440" w:type="pct"/>
            <w:noWrap w:val="0"/>
            <w:vAlign w:val="center"/>
          </w:tcPr>
          <w:p w14:paraId="79A53E71">
            <w:pPr>
              <w:widowControl/>
              <w:jc w:val="center"/>
              <w:rPr>
                <w:rFonts w:hint="eastAsia" w:ascii="宋体" w:hAnsi="宋体" w:eastAsia="宋体" w:cs="宋体"/>
                <w:color w:val="auto"/>
                <w:kern w:val="0"/>
                <w:sz w:val="21"/>
                <w:szCs w:val="21"/>
              </w:rPr>
            </w:pPr>
          </w:p>
        </w:tc>
        <w:tc>
          <w:tcPr>
            <w:tcW w:w="415" w:type="pct"/>
            <w:noWrap w:val="0"/>
            <w:vAlign w:val="center"/>
          </w:tcPr>
          <w:p w14:paraId="735D36B1">
            <w:pPr>
              <w:widowControl/>
              <w:jc w:val="center"/>
              <w:rPr>
                <w:rFonts w:hint="eastAsia" w:ascii="宋体" w:hAnsi="宋体" w:eastAsia="宋体" w:cs="宋体"/>
                <w:color w:val="auto"/>
                <w:kern w:val="0"/>
                <w:sz w:val="21"/>
                <w:szCs w:val="21"/>
              </w:rPr>
            </w:pPr>
          </w:p>
        </w:tc>
        <w:tc>
          <w:tcPr>
            <w:tcW w:w="724" w:type="pct"/>
            <w:noWrap w:val="0"/>
            <w:vAlign w:val="center"/>
          </w:tcPr>
          <w:p w14:paraId="58CF30AA">
            <w:pPr>
              <w:widowControl/>
              <w:jc w:val="center"/>
              <w:rPr>
                <w:rFonts w:hint="eastAsia" w:ascii="宋体" w:hAnsi="宋体" w:eastAsia="宋体" w:cs="宋体"/>
                <w:color w:val="auto"/>
                <w:kern w:val="0"/>
                <w:sz w:val="21"/>
                <w:szCs w:val="21"/>
              </w:rPr>
            </w:pPr>
          </w:p>
        </w:tc>
        <w:tc>
          <w:tcPr>
            <w:tcW w:w="760" w:type="pct"/>
            <w:noWrap w:val="0"/>
            <w:vAlign w:val="center"/>
          </w:tcPr>
          <w:p w14:paraId="4706FD17">
            <w:pPr>
              <w:ind w:left="63" w:right="63"/>
              <w:rPr>
                <w:rFonts w:hint="eastAsia" w:ascii="宋体" w:hAnsi="宋体" w:eastAsia="宋体" w:cs="宋体"/>
                <w:color w:val="auto"/>
                <w:sz w:val="21"/>
                <w:szCs w:val="21"/>
              </w:rPr>
            </w:pPr>
          </w:p>
        </w:tc>
        <w:tc>
          <w:tcPr>
            <w:tcW w:w="826" w:type="pct"/>
            <w:noWrap w:val="0"/>
            <w:vAlign w:val="center"/>
          </w:tcPr>
          <w:p w14:paraId="764F9D93">
            <w:pPr>
              <w:ind w:left="63" w:right="63"/>
              <w:rPr>
                <w:rFonts w:hint="eastAsia" w:ascii="宋体" w:hAnsi="宋体" w:eastAsia="宋体" w:cs="宋体"/>
                <w:color w:val="auto"/>
                <w:sz w:val="21"/>
                <w:szCs w:val="21"/>
              </w:rPr>
            </w:pPr>
          </w:p>
        </w:tc>
      </w:tr>
      <w:tr w14:paraId="6F636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5FB1C865">
            <w:pPr>
              <w:widowControl/>
              <w:jc w:val="center"/>
              <w:rPr>
                <w:rFonts w:hint="eastAsia" w:ascii="宋体" w:hAnsi="宋体" w:eastAsia="宋体" w:cs="宋体"/>
                <w:color w:val="auto"/>
                <w:kern w:val="0"/>
                <w:sz w:val="21"/>
                <w:szCs w:val="21"/>
              </w:rPr>
            </w:pPr>
          </w:p>
        </w:tc>
        <w:tc>
          <w:tcPr>
            <w:tcW w:w="1301" w:type="pct"/>
            <w:noWrap w:val="0"/>
            <w:vAlign w:val="center"/>
          </w:tcPr>
          <w:p w14:paraId="7AEE5130">
            <w:pPr>
              <w:widowControl/>
              <w:rPr>
                <w:rFonts w:hint="eastAsia" w:ascii="宋体" w:hAnsi="宋体" w:eastAsia="宋体" w:cs="宋体"/>
                <w:color w:val="auto"/>
                <w:kern w:val="0"/>
                <w:sz w:val="21"/>
                <w:szCs w:val="21"/>
              </w:rPr>
            </w:pPr>
          </w:p>
        </w:tc>
        <w:tc>
          <w:tcPr>
            <w:tcW w:w="440" w:type="pct"/>
            <w:noWrap w:val="0"/>
            <w:vAlign w:val="center"/>
          </w:tcPr>
          <w:p w14:paraId="4737EEBB">
            <w:pPr>
              <w:widowControl/>
              <w:jc w:val="center"/>
              <w:rPr>
                <w:rFonts w:hint="eastAsia" w:ascii="宋体" w:hAnsi="宋体" w:eastAsia="宋体" w:cs="宋体"/>
                <w:color w:val="auto"/>
                <w:kern w:val="0"/>
                <w:sz w:val="21"/>
                <w:szCs w:val="21"/>
              </w:rPr>
            </w:pPr>
          </w:p>
        </w:tc>
        <w:tc>
          <w:tcPr>
            <w:tcW w:w="415" w:type="pct"/>
            <w:noWrap w:val="0"/>
            <w:vAlign w:val="center"/>
          </w:tcPr>
          <w:p w14:paraId="47A930B9">
            <w:pPr>
              <w:widowControl/>
              <w:jc w:val="center"/>
              <w:rPr>
                <w:rFonts w:hint="eastAsia" w:ascii="宋体" w:hAnsi="宋体" w:eastAsia="宋体" w:cs="宋体"/>
                <w:color w:val="auto"/>
                <w:kern w:val="0"/>
                <w:sz w:val="21"/>
                <w:szCs w:val="21"/>
              </w:rPr>
            </w:pPr>
          </w:p>
        </w:tc>
        <w:tc>
          <w:tcPr>
            <w:tcW w:w="724" w:type="pct"/>
            <w:noWrap w:val="0"/>
            <w:vAlign w:val="center"/>
          </w:tcPr>
          <w:p w14:paraId="5E10116A">
            <w:pPr>
              <w:widowControl/>
              <w:jc w:val="center"/>
              <w:rPr>
                <w:rFonts w:hint="eastAsia" w:ascii="宋体" w:hAnsi="宋体" w:eastAsia="宋体" w:cs="宋体"/>
                <w:color w:val="auto"/>
                <w:kern w:val="0"/>
                <w:sz w:val="21"/>
                <w:szCs w:val="21"/>
              </w:rPr>
            </w:pPr>
          </w:p>
        </w:tc>
        <w:tc>
          <w:tcPr>
            <w:tcW w:w="760" w:type="pct"/>
            <w:noWrap w:val="0"/>
            <w:vAlign w:val="center"/>
          </w:tcPr>
          <w:p w14:paraId="5DFF2C13">
            <w:pPr>
              <w:ind w:left="63" w:right="63"/>
              <w:rPr>
                <w:rFonts w:hint="eastAsia" w:ascii="宋体" w:hAnsi="宋体" w:eastAsia="宋体" w:cs="宋体"/>
                <w:color w:val="auto"/>
                <w:sz w:val="21"/>
                <w:szCs w:val="21"/>
              </w:rPr>
            </w:pPr>
          </w:p>
        </w:tc>
        <w:tc>
          <w:tcPr>
            <w:tcW w:w="826" w:type="pct"/>
            <w:noWrap w:val="0"/>
            <w:vAlign w:val="center"/>
          </w:tcPr>
          <w:p w14:paraId="33E9923E">
            <w:pPr>
              <w:ind w:left="63" w:right="63"/>
              <w:rPr>
                <w:rFonts w:hint="eastAsia" w:ascii="宋体" w:hAnsi="宋体" w:eastAsia="宋体" w:cs="宋体"/>
                <w:color w:val="auto"/>
                <w:sz w:val="21"/>
                <w:szCs w:val="21"/>
              </w:rPr>
            </w:pPr>
          </w:p>
        </w:tc>
      </w:tr>
      <w:tr w14:paraId="210AB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6B33284">
            <w:pPr>
              <w:widowControl/>
              <w:jc w:val="center"/>
              <w:rPr>
                <w:rFonts w:hint="eastAsia" w:ascii="宋体" w:hAnsi="宋体" w:eastAsia="宋体" w:cs="宋体"/>
                <w:color w:val="auto"/>
                <w:kern w:val="0"/>
                <w:sz w:val="21"/>
                <w:szCs w:val="21"/>
              </w:rPr>
            </w:pPr>
          </w:p>
        </w:tc>
        <w:tc>
          <w:tcPr>
            <w:tcW w:w="1301" w:type="pct"/>
            <w:noWrap w:val="0"/>
            <w:vAlign w:val="center"/>
          </w:tcPr>
          <w:p w14:paraId="700BC458">
            <w:pPr>
              <w:widowControl/>
              <w:rPr>
                <w:rFonts w:hint="eastAsia" w:ascii="宋体" w:hAnsi="宋体" w:eastAsia="宋体" w:cs="宋体"/>
                <w:color w:val="auto"/>
                <w:kern w:val="0"/>
                <w:sz w:val="21"/>
                <w:szCs w:val="21"/>
              </w:rPr>
            </w:pPr>
          </w:p>
        </w:tc>
        <w:tc>
          <w:tcPr>
            <w:tcW w:w="440" w:type="pct"/>
            <w:noWrap w:val="0"/>
            <w:vAlign w:val="center"/>
          </w:tcPr>
          <w:p w14:paraId="15DF92BB">
            <w:pPr>
              <w:widowControl/>
              <w:jc w:val="center"/>
              <w:rPr>
                <w:rFonts w:hint="eastAsia" w:ascii="宋体" w:hAnsi="宋体" w:eastAsia="宋体" w:cs="宋体"/>
                <w:color w:val="auto"/>
                <w:kern w:val="0"/>
                <w:sz w:val="21"/>
                <w:szCs w:val="21"/>
              </w:rPr>
            </w:pPr>
          </w:p>
        </w:tc>
        <w:tc>
          <w:tcPr>
            <w:tcW w:w="415" w:type="pct"/>
            <w:noWrap w:val="0"/>
            <w:vAlign w:val="center"/>
          </w:tcPr>
          <w:p w14:paraId="0C4865FE">
            <w:pPr>
              <w:widowControl/>
              <w:jc w:val="center"/>
              <w:rPr>
                <w:rFonts w:hint="eastAsia" w:ascii="宋体" w:hAnsi="宋体" w:eastAsia="宋体" w:cs="宋体"/>
                <w:color w:val="auto"/>
                <w:kern w:val="0"/>
                <w:sz w:val="21"/>
                <w:szCs w:val="21"/>
              </w:rPr>
            </w:pPr>
          </w:p>
        </w:tc>
        <w:tc>
          <w:tcPr>
            <w:tcW w:w="724" w:type="pct"/>
            <w:noWrap w:val="0"/>
            <w:vAlign w:val="center"/>
          </w:tcPr>
          <w:p w14:paraId="7D75E3C5">
            <w:pPr>
              <w:widowControl/>
              <w:jc w:val="center"/>
              <w:rPr>
                <w:rFonts w:hint="eastAsia" w:ascii="宋体" w:hAnsi="宋体" w:eastAsia="宋体" w:cs="宋体"/>
                <w:color w:val="auto"/>
                <w:kern w:val="0"/>
                <w:sz w:val="21"/>
                <w:szCs w:val="21"/>
              </w:rPr>
            </w:pPr>
          </w:p>
        </w:tc>
        <w:tc>
          <w:tcPr>
            <w:tcW w:w="760" w:type="pct"/>
            <w:noWrap w:val="0"/>
            <w:vAlign w:val="center"/>
          </w:tcPr>
          <w:p w14:paraId="6F7E277C">
            <w:pPr>
              <w:ind w:left="63" w:right="63"/>
              <w:rPr>
                <w:rFonts w:hint="eastAsia" w:ascii="宋体" w:hAnsi="宋体" w:eastAsia="宋体" w:cs="宋体"/>
                <w:color w:val="auto"/>
                <w:sz w:val="21"/>
                <w:szCs w:val="21"/>
              </w:rPr>
            </w:pPr>
          </w:p>
        </w:tc>
        <w:tc>
          <w:tcPr>
            <w:tcW w:w="826" w:type="pct"/>
            <w:noWrap w:val="0"/>
            <w:vAlign w:val="center"/>
          </w:tcPr>
          <w:p w14:paraId="197D03BA">
            <w:pPr>
              <w:ind w:left="63" w:right="63"/>
              <w:rPr>
                <w:rFonts w:hint="eastAsia" w:ascii="宋体" w:hAnsi="宋体" w:eastAsia="宋体" w:cs="宋体"/>
                <w:color w:val="auto"/>
                <w:sz w:val="21"/>
                <w:szCs w:val="21"/>
              </w:rPr>
            </w:pPr>
          </w:p>
        </w:tc>
      </w:tr>
      <w:tr w14:paraId="72EC7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AD4FCCF">
            <w:pPr>
              <w:widowControl/>
              <w:jc w:val="center"/>
              <w:rPr>
                <w:rFonts w:hint="eastAsia" w:ascii="宋体" w:hAnsi="宋体" w:eastAsia="宋体" w:cs="宋体"/>
                <w:color w:val="auto"/>
                <w:kern w:val="0"/>
                <w:sz w:val="21"/>
                <w:szCs w:val="21"/>
              </w:rPr>
            </w:pPr>
          </w:p>
        </w:tc>
        <w:tc>
          <w:tcPr>
            <w:tcW w:w="1301" w:type="pct"/>
            <w:noWrap w:val="0"/>
            <w:vAlign w:val="center"/>
          </w:tcPr>
          <w:p w14:paraId="152DA131">
            <w:pPr>
              <w:widowControl/>
              <w:rPr>
                <w:rFonts w:hint="eastAsia" w:ascii="宋体" w:hAnsi="宋体" w:eastAsia="宋体" w:cs="宋体"/>
                <w:color w:val="auto"/>
                <w:kern w:val="0"/>
                <w:sz w:val="21"/>
                <w:szCs w:val="21"/>
              </w:rPr>
            </w:pPr>
          </w:p>
        </w:tc>
        <w:tc>
          <w:tcPr>
            <w:tcW w:w="440" w:type="pct"/>
            <w:noWrap w:val="0"/>
            <w:vAlign w:val="center"/>
          </w:tcPr>
          <w:p w14:paraId="252632C8">
            <w:pPr>
              <w:widowControl/>
              <w:jc w:val="center"/>
              <w:rPr>
                <w:rFonts w:hint="eastAsia" w:ascii="宋体" w:hAnsi="宋体" w:eastAsia="宋体" w:cs="宋体"/>
                <w:color w:val="auto"/>
                <w:kern w:val="0"/>
                <w:sz w:val="21"/>
                <w:szCs w:val="21"/>
              </w:rPr>
            </w:pPr>
          </w:p>
        </w:tc>
        <w:tc>
          <w:tcPr>
            <w:tcW w:w="415" w:type="pct"/>
            <w:noWrap w:val="0"/>
            <w:vAlign w:val="center"/>
          </w:tcPr>
          <w:p w14:paraId="26F44B0C">
            <w:pPr>
              <w:widowControl/>
              <w:jc w:val="center"/>
              <w:rPr>
                <w:rFonts w:hint="eastAsia" w:ascii="宋体" w:hAnsi="宋体" w:eastAsia="宋体" w:cs="宋体"/>
                <w:color w:val="auto"/>
                <w:kern w:val="0"/>
                <w:sz w:val="21"/>
                <w:szCs w:val="21"/>
              </w:rPr>
            </w:pPr>
          </w:p>
        </w:tc>
        <w:tc>
          <w:tcPr>
            <w:tcW w:w="724" w:type="pct"/>
            <w:noWrap w:val="0"/>
            <w:vAlign w:val="center"/>
          </w:tcPr>
          <w:p w14:paraId="3B228815">
            <w:pPr>
              <w:widowControl/>
              <w:jc w:val="center"/>
              <w:rPr>
                <w:rFonts w:hint="eastAsia" w:ascii="宋体" w:hAnsi="宋体" w:eastAsia="宋体" w:cs="宋体"/>
                <w:color w:val="auto"/>
                <w:kern w:val="0"/>
                <w:sz w:val="21"/>
                <w:szCs w:val="21"/>
              </w:rPr>
            </w:pPr>
          </w:p>
        </w:tc>
        <w:tc>
          <w:tcPr>
            <w:tcW w:w="760" w:type="pct"/>
            <w:noWrap w:val="0"/>
            <w:vAlign w:val="center"/>
          </w:tcPr>
          <w:p w14:paraId="55CD79B8">
            <w:pPr>
              <w:ind w:left="63" w:right="63"/>
              <w:rPr>
                <w:rFonts w:hint="eastAsia" w:ascii="宋体" w:hAnsi="宋体" w:eastAsia="宋体" w:cs="宋体"/>
                <w:color w:val="auto"/>
                <w:sz w:val="21"/>
                <w:szCs w:val="21"/>
              </w:rPr>
            </w:pPr>
          </w:p>
        </w:tc>
        <w:tc>
          <w:tcPr>
            <w:tcW w:w="826" w:type="pct"/>
            <w:noWrap w:val="0"/>
            <w:vAlign w:val="center"/>
          </w:tcPr>
          <w:p w14:paraId="6F7377C9">
            <w:pPr>
              <w:ind w:left="63" w:right="63"/>
              <w:rPr>
                <w:rFonts w:hint="eastAsia" w:ascii="宋体" w:hAnsi="宋体" w:eastAsia="宋体" w:cs="宋体"/>
                <w:color w:val="auto"/>
                <w:sz w:val="21"/>
                <w:szCs w:val="21"/>
              </w:rPr>
            </w:pPr>
          </w:p>
        </w:tc>
      </w:tr>
      <w:tr w14:paraId="0F0F5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2144D231">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2E723FF1">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6DE5CBE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42196AA7">
            <w:pPr>
              <w:jc w:val="center"/>
              <w:rPr>
                <w:rFonts w:hint="eastAsia" w:ascii="宋体" w:hAnsi="宋体" w:eastAsia="宋体" w:cs="宋体"/>
                <w:color w:val="auto"/>
                <w:kern w:val="0"/>
                <w:sz w:val="21"/>
                <w:szCs w:val="21"/>
                <w:lang w:bidi="ar"/>
              </w:rPr>
            </w:pPr>
          </w:p>
        </w:tc>
        <w:tc>
          <w:tcPr>
            <w:tcW w:w="724" w:type="pct"/>
            <w:noWrap w:val="0"/>
            <w:vAlign w:val="center"/>
          </w:tcPr>
          <w:p w14:paraId="3033F6B8">
            <w:pPr>
              <w:jc w:val="center"/>
              <w:rPr>
                <w:rFonts w:hint="eastAsia" w:ascii="宋体" w:hAnsi="宋体" w:eastAsia="宋体" w:cs="宋体"/>
                <w:color w:val="auto"/>
                <w:kern w:val="0"/>
                <w:sz w:val="21"/>
                <w:szCs w:val="21"/>
                <w:lang w:bidi="ar"/>
              </w:rPr>
            </w:pPr>
          </w:p>
        </w:tc>
        <w:tc>
          <w:tcPr>
            <w:tcW w:w="760" w:type="pct"/>
            <w:noWrap w:val="0"/>
            <w:vAlign w:val="center"/>
          </w:tcPr>
          <w:p w14:paraId="412E0D04">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1E727E66">
            <w:pPr>
              <w:ind w:left="63" w:right="63"/>
              <w:rPr>
                <w:rFonts w:hint="eastAsia" w:ascii="宋体" w:hAnsi="宋体" w:eastAsia="宋体" w:cs="宋体"/>
                <w:color w:val="auto"/>
                <w:sz w:val="21"/>
                <w:szCs w:val="21"/>
              </w:rPr>
            </w:pPr>
          </w:p>
        </w:tc>
      </w:tr>
      <w:tr w14:paraId="3EFFC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2451D01">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0E129B0C">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56104F1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51E69B9B">
            <w:pPr>
              <w:jc w:val="center"/>
              <w:rPr>
                <w:rFonts w:hint="eastAsia" w:ascii="宋体" w:hAnsi="宋体" w:eastAsia="宋体" w:cs="宋体"/>
                <w:color w:val="auto"/>
                <w:kern w:val="0"/>
                <w:sz w:val="21"/>
                <w:szCs w:val="21"/>
                <w:lang w:bidi="ar"/>
              </w:rPr>
            </w:pPr>
          </w:p>
        </w:tc>
        <w:tc>
          <w:tcPr>
            <w:tcW w:w="724" w:type="pct"/>
            <w:noWrap w:val="0"/>
            <w:vAlign w:val="center"/>
          </w:tcPr>
          <w:p w14:paraId="0139674B">
            <w:pPr>
              <w:jc w:val="center"/>
              <w:rPr>
                <w:rFonts w:hint="eastAsia" w:ascii="宋体" w:hAnsi="宋体" w:eastAsia="宋体" w:cs="宋体"/>
                <w:color w:val="auto"/>
                <w:kern w:val="0"/>
                <w:sz w:val="21"/>
                <w:szCs w:val="21"/>
                <w:lang w:bidi="ar"/>
              </w:rPr>
            </w:pPr>
          </w:p>
        </w:tc>
        <w:tc>
          <w:tcPr>
            <w:tcW w:w="760" w:type="pct"/>
            <w:noWrap w:val="0"/>
            <w:vAlign w:val="center"/>
          </w:tcPr>
          <w:p w14:paraId="336141F2">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1A4A0B6E">
            <w:pPr>
              <w:ind w:left="63" w:right="63"/>
              <w:rPr>
                <w:rFonts w:hint="eastAsia" w:ascii="宋体" w:hAnsi="宋体" w:eastAsia="宋体" w:cs="宋体"/>
                <w:color w:val="auto"/>
                <w:sz w:val="21"/>
                <w:szCs w:val="21"/>
              </w:rPr>
            </w:pPr>
          </w:p>
        </w:tc>
      </w:tr>
      <w:tr w14:paraId="158E6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0EDAAD03">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12B37D6D">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6606325B">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51382C06">
            <w:pPr>
              <w:jc w:val="center"/>
              <w:rPr>
                <w:rFonts w:hint="eastAsia" w:ascii="宋体" w:hAnsi="宋体" w:eastAsia="宋体" w:cs="宋体"/>
                <w:color w:val="auto"/>
                <w:kern w:val="0"/>
                <w:sz w:val="21"/>
                <w:szCs w:val="21"/>
                <w:lang w:bidi="ar"/>
              </w:rPr>
            </w:pPr>
          </w:p>
        </w:tc>
        <w:tc>
          <w:tcPr>
            <w:tcW w:w="724" w:type="pct"/>
            <w:noWrap w:val="0"/>
            <w:vAlign w:val="center"/>
          </w:tcPr>
          <w:p w14:paraId="56C8E180">
            <w:pPr>
              <w:jc w:val="center"/>
              <w:rPr>
                <w:rFonts w:hint="eastAsia" w:ascii="宋体" w:hAnsi="宋体" w:eastAsia="宋体" w:cs="宋体"/>
                <w:color w:val="auto"/>
                <w:kern w:val="0"/>
                <w:sz w:val="21"/>
                <w:szCs w:val="21"/>
                <w:lang w:bidi="ar"/>
              </w:rPr>
            </w:pPr>
          </w:p>
        </w:tc>
        <w:tc>
          <w:tcPr>
            <w:tcW w:w="760" w:type="pct"/>
            <w:noWrap w:val="0"/>
            <w:vAlign w:val="center"/>
          </w:tcPr>
          <w:p w14:paraId="265D4497">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6C5674FE">
            <w:pPr>
              <w:ind w:left="63" w:right="63"/>
              <w:rPr>
                <w:rFonts w:hint="eastAsia" w:ascii="宋体" w:hAnsi="宋体" w:eastAsia="宋体" w:cs="宋体"/>
                <w:color w:val="auto"/>
                <w:sz w:val="21"/>
                <w:szCs w:val="21"/>
              </w:rPr>
            </w:pPr>
          </w:p>
        </w:tc>
      </w:tr>
      <w:tr w14:paraId="6D7C6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683357A">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0DFD6F26">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02D955D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10B4DDDA">
            <w:pPr>
              <w:jc w:val="center"/>
              <w:rPr>
                <w:rFonts w:hint="eastAsia" w:ascii="宋体" w:hAnsi="宋体" w:eastAsia="宋体" w:cs="宋体"/>
                <w:color w:val="auto"/>
                <w:kern w:val="0"/>
                <w:sz w:val="21"/>
                <w:szCs w:val="21"/>
                <w:lang w:bidi="ar"/>
              </w:rPr>
            </w:pPr>
          </w:p>
        </w:tc>
        <w:tc>
          <w:tcPr>
            <w:tcW w:w="724" w:type="pct"/>
            <w:noWrap w:val="0"/>
            <w:vAlign w:val="center"/>
          </w:tcPr>
          <w:p w14:paraId="735DDB7C">
            <w:pPr>
              <w:jc w:val="center"/>
              <w:rPr>
                <w:rFonts w:hint="eastAsia" w:ascii="宋体" w:hAnsi="宋体" w:eastAsia="宋体" w:cs="宋体"/>
                <w:color w:val="auto"/>
                <w:kern w:val="0"/>
                <w:sz w:val="21"/>
                <w:szCs w:val="21"/>
                <w:lang w:bidi="ar"/>
              </w:rPr>
            </w:pPr>
          </w:p>
        </w:tc>
        <w:tc>
          <w:tcPr>
            <w:tcW w:w="760" w:type="pct"/>
            <w:noWrap w:val="0"/>
            <w:vAlign w:val="center"/>
          </w:tcPr>
          <w:p w14:paraId="0B4FBD2C">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300C9B37">
            <w:pPr>
              <w:ind w:left="63" w:right="63"/>
              <w:rPr>
                <w:rFonts w:hint="eastAsia" w:ascii="宋体" w:hAnsi="宋体" w:eastAsia="宋体" w:cs="宋体"/>
                <w:color w:val="auto"/>
                <w:sz w:val="21"/>
                <w:szCs w:val="21"/>
              </w:rPr>
            </w:pPr>
          </w:p>
        </w:tc>
      </w:tr>
      <w:tr w14:paraId="06889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6BB5058E">
            <w:pPr>
              <w:widowControl/>
              <w:jc w:val="center"/>
              <w:textAlignment w:val="center"/>
              <w:rPr>
                <w:rFonts w:hint="eastAsia" w:ascii="宋体" w:hAnsi="宋体" w:eastAsia="宋体" w:cs="宋体"/>
                <w:color w:val="auto"/>
                <w:kern w:val="0"/>
                <w:sz w:val="21"/>
                <w:szCs w:val="21"/>
                <w:lang w:bidi="ar"/>
              </w:rPr>
            </w:pPr>
          </w:p>
        </w:tc>
        <w:tc>
          <w:tcPr>
            <w:tcW w:w="1301" w:type="pct"/>
            <w:noWrap w:val="0"/>
            <w:vAlign w:val="center"/>
          </w:tcPr>
          <w:p w14:paraId="129E014D">
            <w:pPr>
              <w:widowControl/>
              <w:jc w:val="center"/>
              <w:textAlignment w:val="center"/>
              <w:rPr>
                <w:rFonts w:hint="eastAsia" w:ascii="宋体" w:hAnsi="宋体" w:eastAsia="宋体" w:cs="宋体"/>
                <w:color w:val="auto"/>
                <w:kern w:val="0"/>
                <w:sz w:val="21"/>
                <w:szCs w:val="21"/>
                <w:lang w:bidi="ar"/>
              </w:rPr>
            </w:pPr>
          </w:p>
        </w:tc>
        <w:tc>
          <w:tcPr>
            <w:tcW w:w="440" w:type="pct"/>
            <w:noWrap w:val="0"/>
            <w:vAlign w:val="center"/>
          </w:tcPr>
          <w:p w14:paraId="550041A1">
            <w:pPr>
              <w:widowControl/>
              <w:jc w:val="center"/>
              <w:textAlignment w:val="center"/>
              <w:rPr>
                <w:rFonts w:hint="eastAsia" w:ascii="宋体" w:hAnsi="宋体" w:eastAsia="宋体" w:cs="宋体"/>
                <w:color w:val="auto"/>
                <w:kern w:val="0"/>
                <w:sz w:val="21"/>
                <w:szCs w:val="21"/>
                <w:lang w:bidi="ar"/>
              </w:rPr>
            </w:pPr>
          </w:p>
        </w:tc>
        <w:tc>
          <w:tcPr>
            <w:tcW w:w="415" w:type="pct"/>
            <w:noWrap w:val="0"/>
            <w:vAlign w:val="center"/>
          </w:tcPr>
          <w:p w14:paraId="14678768">
            <w:pPr>
              <w:jc w:val="center"/>
              <w:rPr>
                <w:rFonts w:hint="eastAsia" w:ascii="宋体" w:hAnsi="宋体" w:eastAsia="宋体" w:cs="宋体"/>
                <w:color w:val="auto"/>
                <w:kern w:val="0"/>
                <w:sz w:val="21"/>
                <w:szCs w:val="21"/>
                <w:lang w:bidi="ar"/>
              </w:rPr>
            </w:pPr>
          </w:p>
        </w:tc>
        <w:tc>
          <w:tcPr>
            <w:tcW w:w="724" w:type="pct"/>
            <w:noWrap w:val="0"/>
            <w:vAlign w:val="center"/>
          </w:tcPr>
          <w:p w14:paraId="28F3C4D2">
            <w:pPr>
              <w:jc w:val="center"/>
              <w:rPr>
                <w:rFonts w:hint="eastAsia" w:ascii="宋体" w:hAnsi="宋体" w:eastAsia="宋体" w:cs="宋体"/>
                <w:color w:val="auto"/>
                <w:kern w:val="0"/>
                <w:sz w:val="21"/>
                <w:szCs w:val="21"/>
                <w:lang w:bidi="ar"/>
              </w:rPr>
            </w:pPr>
          </w:p>
        </w:tc>
        <w:tc>
          <w:tcPr>
            <w:tcW w:w="760" w:type="pct"/>
            <w:noWrap w:val="0"/>
            <w:vAlign w:val="center"/>
          </w:tcPr>
          <w:p w14:paraId="6DFDDF07">
            <w:pPr>
              <w:widowControl/>
              <w:jc w:val="center"/>
              <w:textAlignment w:val="center"/>
              <w:rPr>
                <w:rFonts w:hint="eastAsia" w:ascii="宋体" w:hAnsi="宋体" w:eastAsia="宋体" w:cs="宋体"/>
                <w:color w:val="auto"/>
                <w:kern w:val="0"/>
                <w:sz w:val="21"/>
                <w:szCs w:val="21"/>
                <w:lang w:bidi="ar"/>
              </w:rPr>
            </w:pPr>
          </w:p>
        </w:tc>
        <w:tc>
          <w:tcPr>
            <w:tcW w:w="826" w:type="pct"/>
            <w:noWrap w:val="0"/>
            <w:vAlign w:val="center"/>
          </w:tcPr>
          <w:p w14:paraId="3C73E986">
            <w:pPr>
              <w:ind w:left="63" w:right="63"/>
              <w:rPr>
                <w:rFonts w:hint="eastAsia" w:ascii="宋体" w:hAnsi="宋体" w:eastAsia="宋体" w:cs="宋体"/>
                <w:color w:val="auto"/>
                <w:sz w:val="21"/>
                <w:szCs w:val="21"/>
              </w:rPr>
            </w:pPr>
          </w:p>
        </w:tc>
      </w:tr>
      <w:tr w14:paraId="441BA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531" w:type="pct"/>
            <w:noWrap w:val="0"/>
            <w:vAlign w:val="center"/>
          </w:tcPr>
          <w:p w14:paraId="71129927">
            <w:pPr>
              <w:widowControl/>
              <w:jc w:val="center"/>
              <w:textAlignment w:val="auto"/>
              <w:rPr>
                <w:rFonts w:hint="eastAsia" w:ascii="宋体" w:hAnsi="宋体" w:eastAsia="宋体" w:cs="宋体"/>
                <w:color w:val="auto"/>
                <w:kern w:val="0"/>
                <w:sz w:val="21"/>
                <w:szCs w:val="21"/>
                <w:lang w:bidi="ar"/>
              </w:rPr>
            </w:pPr>
          </w:p>
        </w:tc>
        <w:tc>
          <w:tcPr>
            <w:tcW w:w="1301" w:type="pct"/>
            <w:noWrap w:val="0"/>
            <w:vAlign w:val="center"/>
          </w:tcPr>
          <w:p w14:paraId="675D06A8">
            <w:pPr>
              <w:widowControl/>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小计</w:t>
            </w:r>
          </w:p>
        </w:tc>
        <w:tc>
          <w:tcPr>
            <w:tcW w:w="440" w:type="pct"/>
            <w:noWrap w:val="0"/>
            <w:vAlign w:val="center"/>
          </w:tcPr>
          <w:p w14:paraId="1B2FDD95">
            <w:pPr>
              <w:widowControl/>
              <w:jc w:val="center"/>
              <w:textAlignment w:val="auto"/>
              <w:rPr>
                <w:rFonts w:hint="eastAsia" w:ascii="宋体" w:hAnsi="宋体" w:eastAsia="宋体" w:cs="宋体"/>
                <w:color w:val="auto"/>
                <w:kern w:val="0"/>
                <w:sz w:val="21"/>
                <w:szCs w:val="21"/>
              </w:rPr>
            </w:pPr>
          </w:p>
        </w:tc>
        <w:tc>
          <w:tcPr>
            <w:tcW w:w="415" w:type="pct"/>
            <w:noWrap w:val="0"/>
            <w:vAlign w:val="center"/>
          </w:tcPr>
          <w:p w14:paraId="4C6ACD6D">
            <w:pPr>
              <w:widowControl/>
              <w:jc w:val="center"/>
              <w:rPr>
                <w:rFonts w:hint="eastAsia" w:ascii="宋体" w:hAnsi="宋体" w:eastAsia="宋体" w:cs="宋体"/>
                <w:color w:val="auto"/>
                <w:kern w:val="0"/>
                <w:sz w:val="21"/>
                <w:szCs w:val="21"/>
              </w:rPr>
            </w:pPr>
          </w:p>
        </w:tc>
        <w:tc>
          <w:tcPr>
            <w:tcW w:w="724" w:type="pct"/>
            <w:noWrap w:val="0"/>
            <w:vAlign w:val="center"/>
          </w:tcPr>
          <w:p w14:paraId="2445CB8B">
            <w:pPr>
              <w:widowControl/>
              <w:jc w:val="center"/>
              <w:rPr>
                <w:rFonts w:hint="eastAsia" w:ascii="宋体" w:hAnsi="宋体" w:eastAsia="宋体" w:cs="宋体"/>
                <w:color w:val="auto"/>
                <w:kern w:val="0"/>
                <w:sz w:val="21"/>
                <w:szCs w:val="21"/>
              </w:rPr>
            </w:pPr>
          </w:p>
        </w:tc>
        <w:tc>
          <w:tcPr>
            <w:tcW w:w="760" w:type="pct"/>
            <w:noWrap w:val="0"/>
            <w:vAlign w:val="center"/>
          </w:tcPr>
          <w:p w14:paraId="1AB45ABC">
            <w:pPr>
              <w:widowControl/>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Cs w:val="21"/>
                <w:lang w:val="en-US" w:eastAsia="zh-CN"/>
              </w:rPr>
              <w:t>100000</w:t>
            </w:r>
          </w:p>
        </w:tc>
        <w:tc>
          <w:tcPr>
            <w:tcW w:w="826" w:type="pct"/>
            <w:noWrap w:val="0"/>
            <w:vAlign w:val="center"/>
          </w:tcPr>
          <w:p w14:paraId="60610299">
            <w:pPr>
              <w:widowControl/>
              <w:ind w:left="0" w:right="0"/>
              <w:jc w:val="center"/>
              <w:rPr>
                <w:rFonts w:hint="eastAsia" w:ascii="宋体" w:hAnsi="宋体" w:eastAsia="宋体" w:cs="宋体"/>
                <w:color w:val="auto"/>
                <w:kern w:val="0"/>
                <w:sz w:val="21"/>
                <w:szCs w:val="21"/>
              </w:rPr>
            </w:pPr>
          </w:p>
        </w:tc>
      </w:tr>
    </w:tbl>
    <w:p w14:paraId="4153F0BD">
      <w:pPr>
        <w:rPr>
          <w:rFonts w:hint="eastAsia" w:ascii="宋体" w:hAnsi="宋体" w:eastAsia="宋体" w:cs="宋体"/>
          <w:color w:val="auto"/>
        </w:rPr>
      </w:pPr>
    </w:p>
    <w:p w14:paraId="2A330B39">
      <w:pPr>
        <w:rPr>
          <w:rFonts w:hint="eastAsia" w:ascii="宋体" w:hAnsi="宋体" w:eastAsia="宋体" w:cs="宋体"/>
          <w:color w:val="000000"/>
          <w:sz w:val="22"/>
          <w:szCs w:val="22"/>
          <w:highlight w:val="none"/>
        </w:rPr>
      </w:pPr>
      <w:r>
        <w:rPr>
          <w:rFonts w:hint="eastAsia" w:ascii="宋体" w:hAnsi="宋体" w:eastAsia="宋体" w:cs="宋体"/>
          <w:color w:val="auto"/>
        </w:rPr>
        <w:t>备注：本表中的价格未包括税金。</w:t>
      </w:r>
      <w:r>
        <w:rPr>
          <w:rFonts w:hint="eastAsia" w:ascii="宋体" w:hAnsi="宋体" w:eastAsia="宋体" w:cs="宋体"/>
          <w:color w:val="auto"/>
          <w:sz w:val="30"/>
          <w:szCs w:val="30"/>
        </w:rPr>
        <w:br w:type="page"/>
      </w: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01B1B9B8">
      <w:pPr>
        <w:rPr>
          <w:rFonts w:hint="eastAsia" w:ascii="宋体" w:hAnsi="宋体" w:cs="宋体"/>
          <w:b/>
          <w:sz w:val="36"/>
          <w:szCs w:val="20"/>
        </w:rPr>
      </w:pPr>
      <w:r>
        <w:rPr>
          <w:rFonts w:hint="eastAsia" w:ascii="宋体" w:hAnsi="宋体" w:eastAsia="宋体" w:cs="宋体"/>
          <w:color w:val="000000"/>
          <w:sz w:val="22"/>
          <w:szCs w:val="22"/>
          <w:highlight w:val="none"/>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80"/>
      <w:r>
        <w:rPr>
          <w:rFonts w:hint="eastAsia" w:ascii="宋体" w:hAnsi="宋体" w:cs="宋体"/>
          <w:b/>
          <w:sz w:val="36"/>
          <w:szCs w:val="20"/>
        </w:rPr>
        <w:t xml:space="preserve">  </w:t>
      </w:r>
      <w:bookmarkEnd w:id="81"/>
      <w:r>
        <w:rPr>
          <w:rFonts w:hint="eastAsia" w:ascii="宋体" w:hAnsi="宋体" w:cs="宋体"/>
          <w:b/>
          <w:sz w:val="36"/>
          <w:szCs w:val="20"/>
        </w:rPr>
        <w:t>应提交的有关格式范例</w:t>
      </w:r>
      <w:bookmarkEnd w:id="82"/>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强蛟镇历史遗留矿山整治项目工程</w:t>
      </w:r>
      <w:r>
        <w:rPr>
          <w:rFonts w:hint="eastAsia" w:ascii="宋体" w:hAnsi="宋体" w:cs="宋体"/>
          <w:sz w:val="24"/>
        </w:rPr>
        <w:t>【项目编号：</w:t>
      </w:r>
      <w:r>
        <w:rPr>
          <w:rFonts w:hint="eastAsia" w:ascii="宋体" w:hAnsi="宋体" w:cs="宋体"/>
          <w:sz w:val="24"/>
          <w:lang w:eastAsia="zh-CN"/>
        </w:rPr>
        <w:t>NBGJ2025-CG0075</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5BF1E3">
      <w:pPr>
        <w:snapToGrid w:val="0"/>
        <w:spacing w:line="360" w:lineRule="auto"/>
        <w:ind w:right="480"/>
        <w:jc w:val="center"/>
        <w:rPr>
          <w:rFonts w:ascii="宋体" w:hAnsi="宋体" w:cs="宋体"/>
          <w:b/>
          <w:kern w:val="0"/>
          <w:sz w:val="32"/>
          <w:szCs w:val="32"/>
        </w:rPr>
        <w:sectPr>
          <w:footerReference r:id="rId8" w:type="default"/>
          <w:pgSz w:w="11906" w:h="16838"/>
          <w:pgMar w:top="1440" w:right="1440" w:bottom="1440" w:left="1440" w:header="851" w:footer="992" w:gutter="0"/>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33BEE2B">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1D4770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强蛟镇历史遗留矿山整治项目工程</w:t>
      </w:r>
      <w:r>
        <w:rPr>
          <w:rFonts w:hint="eastAsia" w:ascii="宋体" w:hAnsi="宋体" w:cs="宋体"/>
          <w:sz w:val="24"/>
        </w:rPr>
        <w:t>【项目编号：</w:t>
      </w:r>
      <w:r>
        <w:rPr>
          <w:rFonts w:hint="eastAsia" w:ascii="宋体" w:hAnsi="宋体" w:cs="宋体"/>
          <w:sz w:val="24"/>
          <w:lang w:eastAsia="zh-CN"/>
        </w:rPr>
        <w:t>NBGJ2025-CG0075</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28FB46E7">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3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32"/>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7970B108">
      <w:pPr>
        <w:ind w:firstLine="1911" w:firstLineChars="595"/>
        <w:rPr>
          <w:rFonts w:ascii="宋体" w:hAnsi="宋体" w:cs="宋体"/>
          <w:b/>
          <w:bCs/>
          <w:sz w:val="32"/>
          <w:szCs w:val="32"/>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54ECD6D3">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3"/>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宁海县强蛟镇人民政府</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强蛟镇历史遗留矿山整治项目工程</w:t>
      </w:r>
      <w:r>
        <w:rPr>
          <w:rFonts w:hint="eastAsia" w:ascii="宋体" w:hAnsi="宋体" w:cs="宋体"/>
          <w:sz w:val="24"/>
        </w:rPr>
        <w:t>【项目编号：</w:t>
      </w:r>
      <w:r>
        <w:rPr>
          <w:rFonts w:hint="eastAsia" w:ascii="宋体" w:hAnsi="宋体" w:cs="宋体"/>
          <w:sz w:val="24"/>
          <w:lang w:eastAsia="zh-CN"/>
        </w:rPr>
        <w:t>NBGJ2025-CG0075</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33" w:name="_Hlk101259491"/>
      <w:r>
        <w:rPr>
          <w:rFonts w:hint="eastAsia" w:ascii="宋体" w:hAnsi="宋体" w:eastAsia="宋体" w:cs="宋体"/>
          <w:sz w:val="32"/>
          <w:szCs w:val="32"/>
        </w:rPr>
        <w:t>（如果有）</w:t>
      </w:r>
      <w:bookmarkEnd w:id="633"/>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34" w:name="_Toc465665161"/>
      <w:r>
        <w:rPr>
          <w:rFonts w:hint="eastAsia" w:ascii="宋体" w:hAnsi="宋体" w:cs="宋体"/>
        </w:rPr>
        <w:t>附件</w:t>
      </w:r>
      <w:bookmarkEnd w:id="634"/>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635" w:name="OLE_LINK13"/>
      <w:bookmarkStart w:id="636" w:name="OLE_LINK14"/>
      <w:r>
        <w:rPr>
          <w:rFonts w:hint="eastAsia" w:ascii="宋体" w:hAnsi="宋体" w:cs="宋体"/>
          <w:b/>
          <w:spacing w:val="6"/>
          <w:sz w:val="32"/>
          <w:szCs w:val="32"/>
        </w:rPr>
        <w:t>残疾人福利性单位声明函</w:t>
      </w:r>
    </w:p>
    <w:bookmarkEnd w:id="635"/>
    <w:bookmarkEnd w:id="636"/>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63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37"/>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48FDB7A8">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6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38"/>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D47AF3">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2" w:type="first"/>
      <w:footerReference r:id="rId14" w:type="first"/>
      <w:headerReference r:id="rId11" w:type="default"/>
      <w:footerReference r:id="rId13"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MS Gothic"/>
    <w:panose1 w:val="00000000000000000000"/>
    <w:charset w:val="00"/>
    <w:family w:val="swiss"/>
    <w:pitch w:val="default"/>
    <w:sig w:usb0="00000000"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0000000000000000000"/>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CB50">
    <w:pPr>
      <w:pStyle w:val="37"/>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3404">
    <w:pPr>
      <w:pStyle w:val="37"/>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05A6">
    <w:pPr>
      <w:pStyle w:val="3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Hr3o/zgEAAJk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3JFieUGJ37+8f388/f5&#10;1zeCPhSo91Bh3oPHzDi8dQOuzewHdCbeQxtM+iIjgnGU93SRVw6RiPRouSqLK0oEhsrrm+vVVUJh&#10;j499gPhOOkOSUdOA08ui8uMHiGPqnJJqWXevtM4T1PYfB2ImD0udjx0mKw67YaKzc80J2fQ4+Jpa&#10;3HNK9HuLuqYdmY0wG7vZOPig9l1eolQP/N0hYhO5t1RhhJ0K48Qyu2m70kr8fc9Zj3/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696P84BAACZAwAADgAAAAAAAAABACAAAAAgAQAAZHJz&#10;L2Uyb0RvYy54bWxQSwUGAAAAAAYABgBZAQAAYAUAAAAA&#10;">
              <v:fill on="f" focussize="0,0"/>
              <v:stroke on="f"/>
              <v:imagedata o:title=""/>
              <o:lock v:ext="edit" aspectratio="f"/>
              <v:textbox inset="0mm,0mm,0mm,0mm" style="mso-fit-shape-to-text:t;">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8DF">
    <w:pPr>
      <w:pStyle w:val="37"/>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B4B7F40A"/>
    <w:multiLevelType w:val="singleLevel"/>
    <w:tmpl w:val="B4B7F40A"/>
    <w:lvl w:ilvl="0" w:tentative="0">
      <w:start w:val="4"/>
      <w:numFmt w:val="chineseCounting"/>
      <w:suff w:val="space"/>
      <w:lvlText w:val="第%1部分"/>
      <w:lvlJc w:val="left"/>
      <w:rPr>
        <w:rFonts w:hint="eastAsia"/>
      </w:rPr>
    </w:lvl>
  </w:abstractNum>
  <w:abstractNum w:abstractNumId="3">
    <w:nsid w:val="DF7845BB"/>
    <w:multiLevelType w:val="singleLevel"/>
    <w:tmpl w:val="DF7845BB"/>
    <w:lvl w:ilvl="0" w:tentative="0">
      <w:start w:val="1"/>
      <w:numFmt w:val="decimal"/>
      <w:suff w:val="nothing"/>
      <w:lvlText w:val="%1、"/>
      <w:lvlJc w:val="left"/>
    </w:lvl>
  </w:abstractNum>
  <w:abstractNum w:abstractNumId="4">
    <w:nsid w:val="EE2899E7"/>
    <w:multiLevelType w:val="singleLevel"/>
    <w:tmpl w:val="EE2899E7"/>
    <w:lvl w:ilvl="0" w:tentative="0">
      <w:start w:val="8"/>
      <w:numFmt w:val="decimal"/>
      <w:suff w:val="nothing"/>
      <w:lvlText w:val="（%1）"/>
      <w:lvlJc w:val="left"/>
    </w:lvl>
  </w:abstractNum>
  <w:abstractNum w:abstractNumId="5">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130C610"/>
    <w:multiLevelType w:val="singleLevel"/>
    <w:tmpl w:val="0130C610"/>
    <w:lvl w:ilvl="0" w:tentative="0">
      <w:start w:val="2"/>
      <w:numFmt w:val="decimal"/>
      <w:suff w:val="nothing"/>
      <w:lvlText w:val="（%1）"/>
      <w:lvlJc w:val="left"/>
    </w:lvl>
  </w:abstractNum>
  <w:abstractNum w:abstractNumId="9">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0">
    <w:nsid w:val="1E6ACE17"/>
    <w:multiLevelType w:val="singleLevel"/>
    <w:tmpl w:val="1E6ACE17"/>
    <w:lvl w:ilvl="0" w:tentative="0">
      <w:start w:val="6"/>
      <w:numFmt w:val="chineseCounting"/>
      <w:suff w:val="space"/>
      <w:lvlText w:val="第%1部分"/>
      <w:lvlJc w:val="left"/>
      <w:rPr>
        <w:rFonts w:hint="eastAsia"/>
      </w:rPr>
    </w:lvl>
  </w:abstractNum>
  <w:abstractNum w:abstractNumId="11">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7"/>
  </w:num>
  <w:num w:numId="3">
    <w:abstractNumId w:val="5"/>
  </w:num>
  <w:num w:numId="4">
    <w:abstractNumId w:val="6"/>
  </w:num>
  <w:num w:numId="5">
    <w:abstractNumId w:val="11"/>
  </w:num>
  <w:num w:numId="6">
    <w:abstractNumId w:val="12"/>
  </w:num>
  <w:num w:numId="7">
    <w:abstractNumId w:val="1"/>
  </w:num>
  <w:num w:numId="8">
    <w:abstractNumId w:val="3"/>
  </w:num>
  <w:num w:numId="9">
    <w:abstractNumId w:val="2"/>
  </w:num>
  <w:num w:numId="10">
    <w:abstractNumId w:val="8"/>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3FB538C"/>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19E795C"/>
    <w:rsid w:val="120668A8"/>
    <w:rsid w:val="12497AAC"/>
    <w:rsid w:val="12506930"/>
    <w:rsid w:val="12751C80"/>
    <w:rsid w:val="127723A9"/>
    <w:rsid w:val="12AA235A"/>
    <w:rsid w:val="13072A44"/>
    <w:rsid w:val="139C6EA5"/>
    <w:rsid w:val="145044FA"/>
    <w:rsid w:val="148458D3"/>
    <w:rsid w:val="14CD18FF"/>
    <w:rsid w:val="15602773"/>
    <w:rsid w:val="15D07497"/>
    <w:rsid w:val="16A953C9"/>
    <w:rsid w:val="16B04D8F"/>
    <w:rsid w:val="16F577B6"/>
    <w:rsid w:val="17316C40"/>
    <w:rsid w:val="177C13BA"/>
    <w:rsid w:val="17D65ED4"/>
    <w:rsid w:val="181A1707"/>
    <w:rsid w:val="18936391"/>
    <w:rsid w:val="18A15CFE"/>
    <w:rsid w:val="19040D21"/>
    <w:rsid w:val="1A051425"/>
    <w:rsid w:val="1A1660DA"/>
    <w:rsid w:val="1A957899"/>
    <w:rsid w:val="1B2A271F"/>
    <w:rsid w:val="1B890139"/>
    <w:rsid w:val="1C7912FD"/>
    <w:rsid w:val="1CF94F5A"/>
    <w:rsid w:val="1D035828"/>
    <w:rsid w:val="1D266CE1"/>
    <w:rsid w:val="1D3963AF"/>
    <w:rsid w:val="1E714A66"/>
    <w:rsid w:val="1EDC60EE"/>
    <w:rsid w:val="1EEC32CA"/>
    <w:rsid w:val="1F86611C"/>
    <w:rsid w:val="1FBD76E1"/>
    <w:rsid w:val="1FE868A9"/>
    <w:rsid w:val="203E4089"/>
    <w:rsid w:val="209459C7"/>
    <w:rsid w:val="211801CB"/>
    <w:rsid w:val="211E26D6"/>
    <w:rsid w:val="21283D08"/>
    <w:rsid w:val="213170F5"/>
    <w:rsid w:val="22507B57"/>
    <w:rsid w:val="22E26EBD"/>
    <w:rsid w:val="23834AD2"/>
    <w:rsid w:val="23A229BA"/>
    <w:rsid w:val="2443398C"/>
    <w:rsid w:val="246C2851"/>
    <w:rsid w:val="25B440B3"/>
    <w:rsid w:val="262409C4"/>
    <w:rsid w:val="2674607E"/>
    <w:rsid w:val="272A7938"/>
    <w:rsid w:val="27D02A39"/>
    <w:rsid w:val="291E0523"/>
    <w:rsid w:val="297F5466"/>
    <w:rsid w:val="2A0D6C9F"/>
    <w:rsid w:val="2A9D64F9"/>
    <w:rsid w:val="2AA1365A"/>
    <w:rsid w:val="2AFE5E55"/>
    <w:rsid w:val="2B333696"/>
    <w:rsid w:val="2B5621F6"/>
    <w:rsid w:val="2B692C31"/>
    <w:rsid w:val="2B7D7783"/>
    <w:rsid w:val="2C212651"/>
    <w:rsid w:val="2CA23219"/>
    <w:rsid w:val="2D2B555B"/>
    <w:rsid w:val="2D6C18B0"/>
    <w:rsid w:val="2DD15014"/>
    <w:rsid w:val="2F236317"/>
    <w:rsid w:val="2F792957"/>
    <w:rsid w:val="2FD25781"/>
    <w:rsid w:val="301F52AD"/>
    <w:rsid w:val="319C6071"/>
    <w:rsid w:val="31C85C3C"/>
    <w:rsid w:val="31CE148A"/>
    <w:rsid w:val="320D678D"/>
    <w:rsid w:val="32326E2F"/>
    <w:rsid w:val="32BD0DAD"/>
    <w:rsid w:val="32DB72BE"/>
    <w:rsid w:val="33706DBE"/>
    <w:rsid w:val="337827D9"/>
    <w:rsid w:val="342E63AB"/>
    <w:rsid w:val="345D260B"/>
    <w:rsid w:val="348E08B5"/>
    <w:rsid w:val="34B31CDA"/>
    <w:rsid w:val="34E261BC"/>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DED132A"/>
    <w:rsid w:val="3E0730FC"/>
    <w:rsid w:val="3E6D50EE"/>
    <w:rsid w:val="3EAA6689"/>
    <w:rsid w:val="3EDB418E"/>
    <w:rsid w:val="3F5860E5"/>
    <w:rsid w:val="3F7B0026"/>
    <w:rsid w:val="3F7B737C"/>
    <w:rsid w:val="40F326A2"/>
    <w:rsid w:val="419657EA"/>
    <w:rsid w:val="41FC04CA"/>
    <w:rsid w:val="420A5691"/>
    <w:rsid w:val="42360FF0"/>
    <w:rsid w:val="42895C13"/>
    <w:rsid w:val="42B475B5"/>
    <w:rsid w:val="42C3550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D66421"/>
    <w:rsid w:val="4C60482B"/>
    <w:rsid w:val="4C6C7D99"/>
    <w:rsid w:val="4C77248A"/>
    <w:rsid w:val="4CC208D3"/>
    <w:rsid w:val="4D861CF6"/>
    <w:rsid w:val="4F146CCF"/>
    <w:rsid w:val="50151D6F"/>
    <w:rsid w:val="5032295C"/>
    <w:rsid w:val="519429B2"/>
    <w:rsid w:val="51A0432A"/>
    <w:rsid w:val="523B6299"/>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07BFB"/>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4A5803"/>
    <w:rsid w:val="65D97781"/>
    <w:rsid w:val="660B4B1B"/>
    <w:rsid w:val="662E75B1"/>
    <w:rsid w:val="66342C2E"/>
    <w:rsid w:val="663E784C"/>
    <w:rsid w:val="666F754F"/>
    <w:rsid w:val="677F73F7"/>
    <w:rsid w:val="67C021CA"/>
    <w:rsid w:val="67C30413"/>
    <w:rsid w:val="67F74E5D"/>
    <w:rsid w:val="6830791C"/>
    <w:rsid w:val="685867EC"/>
    <w:rsid w:val="689F32A2"/>
    <w:rsid w:val="68BE4518"/>
    <w:rsid w:val="68D93544"/>
    <w:rsid w:val="694A2FDF"/>
    <w:rsid w:val="69BB3AE8"/>
    <w:rsid w:val="6A3A5BDE"/>
    <w:rsid w:val="6A5A4B58"/>
    <w:rsid w:val="6A7E71B8"/>
    <w:rsid w:val="6B3E7F2E"/>
    <w:rsid w:val="6CA976D1"/>
    <w:rsid w:val="6D0E72AA"/>
    <w:rsid w:val="6D8838F4"/>
    <w:rsid w:val="6DA6322E"/>
    <w:rsid w:val="6DCF1A02"/>
    <w:rsid w:val="6DFF01C2"/>
    <w:rsid w:val="6E8E12EF"/>
    <w:rsid w:val="6F3E4AE1"/>
    <w:rsid w:val="6F84669D"/>
    <w:rsid w:val="6FEB29FA"/>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A0634E"/>
    <w:rsid w:val="74ED4E2A"/>
    <w:rsid w:val="75472BD8"/>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6"/>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6"/>
    <w:qFormat/>
    <w:uiPriority w:val="0"/>
    <w:pPr>
      <w:ind w:firstLine="420"/>
    </w:pPr>
    <w:rPr>
      <w:szCs w:val="20"/>
    </w:rPr>
  </w:style>
  <w:style w:type="paragraph" w:styleId="59">
    <w:name w:val="Body Text First Indent 2"/>
    <w:basedOn w:val="23"/>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6"/>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30606</Words>
  <Characters>32361</Characters>
  <Lines>340</Lines>
  <Paragraphs>95</Paragraphs>
  <TotalTime>0</TotalTime>
  <ScaleCrop>false</ScaleCrop>
  <LinksUpToDate>false</LinksUpToDate>
  <CharactersWithSpaces>34291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ACTIVE SIDELIGHTS</cp:lastModifiedBy>
  <cp:lastPrinted>2025-06-10T01:55:00Z</cp:lastPrinted>
  <dcterms:modified xsi:type="dcterms:W3CDTF">2025-06-23T03:02:06Z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E363B7D96EB34F089778DE3C3CD000BD_13</vt:lpwstr>
  </property>
  <property fmtid="{D5CDD505-2E9C-101B-9397-08002B2CF9AE}" pid="4" name="KSOTemplateDocerSaveRecord">
    <vt:lpwstr>eyJoZGlkIjoiYmM0MjNjODhlMmFmNWE2MDI2MDM4YTY5MWYzZTZhNTMiLCJ1c2VySWQiOiIyOTYzOTYwNTEifQ==</vt:lpwstr>
  </property>
</Properties>
</file>