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B5248">
      <w:pPr>
        <w:autoSpaceDE w:val="0"/>
        <w:autoSpaceDN w:val="0"/>
        <w:spacing w:line="360" w:lineRule="auto"/>
        <w:rPr>
          <w:rFonts w:hint="eastAsia" w:ascii="宋体" w:hAnsi="宋体"/>
          <w:b/>
        </w:rPr>
      </w:pPr>
      <w:r>
        <w:rPr>
          <w:rFonts w:hint="eastAsia" w:ascii="宋体" w:hAnsi="宋体" w:cs="Times New Roman"/>
          <w:b/>
          <w:bCs/>
          <w:lang w:eastAsia="zh-CN"/>
        </w:rPr>
        <w:t>一</w:t>
      </w:r>
      <w:r>
        <w:rPr>
          <w:rFonts w:hint="eastAsia" w:ascii="宋体" w:hAnsi="宋体" w:cs="Times New Roman"/>
          <w:b/>
          <w:bCs/>
        </w:rPr>
        <w:t>、电梯土建技术规格</w:t>
      </w:r>
    </w:p>
    <w:tbl>
      <w:tblPr>
        <w:tblStyle w:val="31"/>
        <w:tblpPr w:leftFromText="180" w:rightFromText="180" w:vertAnchor="page" w:horzAnchor="page" w:tblpX="1231" w:tblpY="1967"/>
        <w:tblOverlap w:val="never"/>
        <w:tblW w:w="16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7"/>
        <w:gridCol w:w="1598"/>
      </w:tblGrid>
      <w:tr w14:paraId="4DBF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pct"/>
            <w:vAlign w:val="center"/>
          </w:tcPr>
          <w:p w14:paraId="1570659B">
            <w:pPr>
              <w:adjustRightInd w:val="0"/>
              <w:snapToGrid w:val="0"/>
              <w:jc w:val="center"/>
              <w:rPr>
                <w:rFonts w:hint="eastAsia" w:ascii="宋体" w:hAnsi="宋体"/>
                <w:sz w:val="18"/>
                <w:szCs w:val="18"/>
              </w:rPr>
            </w:pPr>
            <w:r>
              <w:rPr>
                <w:rFonts w:hint="eastAsia" w:ascii="宋体" w:hAnsi="宋体"/>
                <w:sz w:val="18"/>
                <w:szCs w:val="18"/>
              </w:rPr>
              <w:t>梯号</w:t>
            </w:r>
          </w:p>
        </w:tc>
        <w:tc>
          <w:tcPr>
            <w:tcW w:w="1666" w:type="pct"/>
            <w:vAlign w:val="center"/>
          </w:tcPr>
          <w:p w14:paraId="13F6AFCC">
            <w:pPr>
              <w:jc w:val="center"/>
              <w:rPr>
                <w:rFonts w:hint="eastAsia" w:ascii="宋体" w:hAnsi="宋体"/>
                <w:sz w:val="22"/>
                <w:szCs w:val="22"/>
              </w:rPr>
            </w:pPr>
            <w:r>
              <w:rPr>
                <w:rFonts w:hint="eastAsia" w:ascii="宋体" w:hAnsi="宋体"/>
                <w:sz w:val="22"/>
                <w:szCs w:val="22"/>
              </w:rPr>
              <w:t>1#</w:t>
            </w:r>
          </w:p>
        </w:tc>
        <w:tc>
          <w:tcPr>
            <w:tcW w:w="1667" w:type="pct"/>
            <w:vAlign w:val="center"/>
          </w:tcPr>
          <w:p w14:paraId="79C2D955">
            <w:pPr>
              <w:jc w:val="center"/>
              <w:rPr>
                <w:rFonts w:hint="eastAsia" w:ascii="宋体" w:hAnsi="宋体"/>
                <w:sz w:val="22"/>
                <w:szCs w:val="22"/>
              </w:rPr>
            </w:pPr>
            <w:r>
              <w:rPr>
                <w:rFonts w:hint="eastAsia" w:ascii="宋体" w:hAnsi="宋体"/>
                <w:sz w:val="22"/>
                <w:szCs w:val="22"/>
              </w:rPr>
              <w:t>2#</w:t>
            </w:r>
          </w:p>
        </w:tc>
      </w:tr>
      <w:tr w14:paraId="218D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pct"/>
            <w:vAlign w:val="center"/>
          </w:tcPr>
          <w:p w14:paraId="3C919070">
            <w:pPr>
              <w:adjustRightInd w:val="0"/>
              <w:snapToGrid w:val="0"/>
              <w:jc w:val="center"/>
              <w:rPr>
                <w:rFonts w:hint="eastAsia" w:ascii="宋体" w:hAnsi="宋体"/>
                <w:sz w:val="18"/>
                <w:szCs w:val="18"/>
              </w:rPr>
            </w:pPr>
            <w:r>
              <w:rPr>
                <w:rFonts w:hint="eastAsia" w:ascii="宋体" w:hAnsi="宋体"/>
                <w:sz w:val="18"/>
                <w:szCs w:val="18"/>
              </w:rPr>
              <w:t>类型</w:t>
            </w:r>
          </w:p>
        </w:tc>
        <w:tc>
          <w:tcPr>
            <w:tcW w:w="1666" w:type="pct"/>
            <w:vAlign w:val="center"/>
          </w:tcPr>
          <w:p w14:paraId="375EFCF1">
            <w:pPr>
              <w:jc w:val="center"/>
              <w:rPr>
                <w:rFonts w:hint="eastAsia" w:ascii="宋体" w:hAnsi="宋体"/>
                <w:sz w:val="22"/>
                <w:szCs w:val="22"/>
              </w:rPr>
            </w:pPr>
            <w:r>
              <w:rPr>
                <w:rFonts w:hint="eastAsia" w:ascii="宋体" w:hAnsi="宋体"/>
                <w:sz w:val="22"/>
                <w:szCs w:val="22"/>
              </w:rPr>
              <w:t>客梯</w:t>
            </w:r>
          </w:p>
        </w:tc>
        <w:tc>
          <w:tcPr>
            <w:tcW w:w="1667" w:type="pct"/>
            <w:vAlign w:val="center"/>
          </w:tcPr>
          <w:p w14:paraId="521A84BD">
            <w:pPr>
              <w:jc w:val="center"/>
              <w:rPr>
                <w:rFonts w:hint="default" w:ascii="宋体" w:hAnsi="宋体" w:eastAsia="宋体"/>
                <w:sz w:val="22"/>
                <w:szCs w:val="22"/>
                <w:lang w:val="en-US" w:eastAsia="zh-CN"/>
              </w:rPr>
            </w:pPr>
            <w:r>
              <w:rPr>
                <w:rFonts w:hint="eastAsia" w:ascii="宋体" w:hAnsi="宋体"/>
                <w:sz w:val="22"/>
                <w:szCs w:val="22"/>
              </w:rPr>
              <w:t>客梯</w:t>
            </w:r>
          </w:p>
        </w:tc>
      </w:tr>
      <w:tr w14:paraId="6B72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pct"/>
            <w:vAlign w:val="center"/>
          </w:tcPr>
          <w:p w14:paraId="55949FCA">
            <w:pPr>
              <w:adjustRightInd w:val="0"/>
              <w:snapToGrid w:val="0"/>
              <w:jc w:val="center"/>
              <w:rPr>
                <w:rFonts w:hint="eastAsia" w:ascii="宋体" w:hAnsi="宋体"/>
                <w:sz w:val="18"/>
                <w:szCs w:val="18"/>
              </w:rPr>
            </w:pPr>
            <w:r>
              <w:rPr>
                <w:rFonts w:hint="eastAsia" w:ascii="宋体" w:hAnsi="宋体"/>
                <w:sz w:val="18"/>
                <w:szCs w:val="18"/>
              </w:rPr>
              <w:t>数量（台）</w:t>
            </w:r>
          </w:p>
        </w:tc>
        <w:tc>
          <w:tcPr>
            <w:tcW w:w="1666" w:type="pct"/>
            <w:vAlign w:val="center"/>
          </w:tcPr>
          <w:p w14:paraId="41C2F93A">
            <w:pPr>
              <w:adjustRightInd w:val="0"/>
              <w:snapToGrid w:val="0"/>
              <w:ind w:firstLine="180" w:firstLineChars="100"/>
              <w:jc w:val="center"/>
              <w:rPr>
                <w:rFonts w:hint="eastAsia" w:ascii="宋体" w:hAnsi="宋体"/>
                <w:sz w:val="18"/>
                <w:szCs w:val="18"/>
              </w:rPr>
            </w:pPr>
            <w:r>
              <w:rPr>
                <w:rFonts w:hint="eastAsia" w:ascii="宋体" w:hAnsi="宋体"/>
                <w:sz w:val="18"/>
                <w:szCs w:val="18"/>
              </w:rPr>
              <w:t>1</w:t>
            </w:r>
          </w:p>
        </w:tc>
        <w:tc>
          <w:tcPr>
            <w:tcW w:w="1667" w:type="pct"/>
            <w:vAlign w:val="center"/>
          </w:tcPr>
          <w:p w14:paraId="6FDFEEAC">
            <w:pPr>
              <w:adjustRightInd w:val="0"/>
              <w:snapToGrid w:val="0"/>
              <w:ind w:firstLine="180" w:firstLineChars="100"/>
              <w:jc w:val="center"/>
              <w:rPr>
                <w:rFonts w:hint="eastAsia" w:ascii="宋体" w:hAnsi="宋体"/>
                <w:sz w:val="18"/>
                <w:szCs w:val="18"/>
              </w:rPr>
            </w:pPr>
            <w:r>
              <w:rPr>
                <w:rFonts w:hint="eastAsia" w:ascii="宋体" w:hAnsi="宋体"/>
                <w:sz w:val="18"/>
                <w:szCs w:val="18"/>
              </w:rPr>
              <w:t>1</w:t>
            </w:r>
          </w:p>
        </w:tc>
      </w:tr>
      <w:tr w14:paraId="3AAA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5" w:type="pct"/>
            <w:vAlign w:val="center"/>
          </w:tcPr>
          <w:p w14:paraId="159B6CB8">
            <w:pPr>
              <w:adjustRightInd w:val="0"/>
              <w:snapToGrid w:val="0"/>
              <w:jc w:val="center"/>
              <w:rPr>
                <w:rFonts w:hint="eastAsia" w:ascii="宋体" w:hAnsi="宋体"/>
                <w:sz w:val="18"/>
                <w:szCs w:val="18"/>
              </w:rPr>
            </w:pPr>
            <w:r>
              <w:rPr>
                <w:rFonts w:hint="eastAsia" w:ascii="宋体" w:hAnsi="宋体"/>
                <w:sz w:val="18"/>
                <w:szCs w:val="18"/>
              </w:rPr>
              <w:t>控制方式</w:t>
            </w:r>
          </w:p>
        </w:tc>
        <w:tc>
          <w:tcPr>
            <w:tcW w:w="1666" w:type="pct"/>
            <w:vAlign w:val="center"/>
          </w:tcPr>
          <w:p w14:paraId="06A69D99">
            <w:pPr>
              <w:adjustRightInd w:val="0"/>
              <w:snapToGrid w:val="0"/>
              <w:ind w:firstLine="180" w:firstLineChars="100"/>
              <w:jc w:val="center"/>
              <w:rPr>
                <w:rFonts w:hint="default" w:ascii="宋体" w:hAnsi="宋体" w:eastAsia="宋体"/>
                <w:sz w:val="18"/>
                <w:szCs w:val="18"/>
                <w:lang w:val="en-US" w:eastAsia="zh-CN"/>
              </w:rPr>
            </w:pPr>
            <w:r>
              <w:rPr>
                <w:rFonts w:hint="eastAsia" w:ascii="宋体" w:hAnsi="宋体"/>
                <w:sz w:val="18"/>
                <w:szCs w:val="18"/>
                <w:lang w:val="en-US" w:eastAsia="zh-CN"/>
              </w:rPr>
              <w:t>单控</w:t>
            </w:r>
          </w:p>
        </w:tc>
        <w:tc>
          <w:tcPr>
            <w:tcW w:w="1667" w:type="pct"/>
            <w:vAlign w:val="center"/>
          </w:tcPr>
          <w:p w14:paraId="720E4B6E">
            <w:pPr>
              <w:adjustRightInd w:val="0"/>
              <w:snapToGrid w:val="0"/>
              <w:ind w:firstLine="180" w:firstLineChars="100"/>
              <w:jc w:val="center"/>
              <w:rPr>
                <w:rFonts w:hint="eastAsia" w:ascii="宋体" w:hAnsi="宋体" w:eastAsia="宋体"/>
                <w:sz w:val="18"/>
                <w:szCs w:val="18"/>
                <w:lang w:val="en-US" w:eastAsia="zh-CN"/>
              </w:rPr>
            </w:pPr>
            <w:r>
              <w:rPr>
                <w:rFonts w:hint="eastAsia" w:ascii="宋体" w:hAnsi="宋体"/>
                <w:sz w:val="18"/>
                <w:szCs w:val="18"/>
                <w:lang w:val="en-US" w:eastAsia="zh-CN"/>
              </w:rPr>
              <w:t>单控</w:t>
            </w:r>
          </w:p>
        </w:tc>
      </w:tr>
      <w:tr w14:paraId="78C4D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pct"/>
            <w:vAlign w:val="center"/>
          </w:tcPr>
          <w:p w14:paraId="2459F4F1">
            <w:pPr>
              <w:adjustRightInd w:val="0"/>
              <w:snapToGrid w:val="0"/>
              <w:jc w:val="center"/>
              <w:rPr>
                <w:rFonts w:hint="eastAsia" w:ascii="宋体" w:hAnsi="宋体"/>
                <w:sz w:val="18"/>
                <w:szCs w:val="18"/>
              </w:rPr>
            </w:pPr>
            <w:r>
              <w:rPr>
                <w:rFonts w:hint="eastAsia" w:ascii="宋体" w:hAnsi="宋体"/>
                <w:sz w:val="18"/>
                <w:szCs w:val="18"/>
              </w:rPr>
              <w:t>载重量（kg）</w:t>
            </w:r>
          </w:p>
        </w:tc>
        <w:tc>
          <w:tcPr>
            <w:tcW w:w="1666" w:type="pct"/>
            <w:vAlign w:val="center"/>
          </w:tcPr>
          <w:p w14:paraId="2A167A59">
            <w:pPr>
              <w:adjustRightInd w:val="0"/>
              <w:snapToGrid w:val="0"/>
              <w:jc w:val="center"/>
              <w:rPr>
                <w:rFonts w:hint="eastAsia" w:ascii="宋体" w:hAnsi="宋体"/>
                <w:sz w:val="18"/>
                <w:szCs w:val="18"/>
              </w:rPr>
            </w:pPr>
            <w:r>
              <w:rPr>
                <w:rFonts w:hint="eastAsia" w:ascii="宋体" w:hAnsi="宋体"/>
                <w:sz w:val="18"/>
                <w:szCs w:val="18"/>
              </w:rPr>
              <w:t>1000kg</w:t>
            </w:r>
          </w:p>
        </w:tc>
        <w:tc>
          <w:tcPr>
            <w:tcW w:w="1667" w:type="pct"/>
            <w:vAlign w:val="center"/>
          </w:tcPr>
          <w:p w14:paraId="3B607609">
            <w:pPr>
              <w:adjustRightInd w:val="0"/>
              <w:snapToGrid w:val="0"/>
              <w:jc w:val="center"/>
              <w:rPr>
                <w:rFonts w:hint="eastAsia" w:ascii="宋体" w:hAnsi="宋体"/>
                <w:sz w:val="18"/>
                <w:szCs w:val="18"/>
              </w:rPr>
            </w:pPr>
            <w:r>
              <w:rPr>
                <w:rFonts w:hint="eastAsia" w:ascii="宋体" w:hAnsi="宋体"/>
                <w:sz w:val="18"/>
                <w:szCs w:val="18"/>
              </w:rPr>
              <w:t>1000kg</w:t>
            </w:r>
          </w:p>
        </w:tc>
      </w:tr>
      <w:tr w14:paraId="5AE0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pct"/>
            <w:vAlign w:val="center"/>
          </w:tcPr>
          <w:p w14:paraId="330A35B9">
            <w:pPr>
              <w:adjustRightInd w:val="0"/>
              <w:snapToGrid w:val="0"/>
              <w:jc w:val="center"/>
              <w:rPr>
                <w:rFonts w:hint="eastAsia" w:ascii="宋体" w:hAnsi="宋体"/>
                <w:sz w:val="18"/>
                <w:szCs w:val="18"/>
              </w:rPr>
            </w:pPr>
            <w:r>
              <w:rPr>
                <w:rFonts w:hint="eastAsia" w:ascii="宋体" w:hAnsi="宋体"/>
                <w:sz w:val="18"/>
                <w:szCs w:val="18"/>
              </w:rPr>
              <w:t>速度（</w:t>
            </w:r>
            <w:r>
              <w:rPr>
                <w:rFonts w:hint="eastAsia"/>
                <w:sz w:val="18"/>
                <w:szCs w:val="18"/>
              </w:rPr>
              <w:t>m/s）</w:t>
            </w:r>
          </w:p>
        </w:tc>
        <w:tc>
          <w:tcPr>
            <w:tcW w:w="1666" w:type="pct"/>
            <w:vAlign w:val="center"/>
          </w:tcPr>
          <w:p w14:paraId="29BBD8D8">
            <w:pPr>
              <w:adjustRightInd w:val="0"/>
              <w:snapToGrid w:val="0"/>
              <w:jc w:val="center"/>
              <w:rPr>
                <w:rFonts w:hint="eastAsia" w:ascii="宋体" w:hAnsi="宋体" w:eastAsia="宋体"/>
                <w:sz w:val="18"/>
                <w:szCs w:val="18"/>
                <w:lang w:eastAsia="zh-CN"/>
              </w:rPr>
            </w:pPr>
            <w:r>
              <w:rPr>
                <w:rFonts w:hint="eastAsia" w:ascii="宋体" w:hAnsi="宋体"/>
                <w:sz w:val="18"/>
                <w:szCs w:val="18"/>
                <w:lang w:val="en-US" w:eastAsia="zh-CN"/>
              </w:rPr>
              <w:t>1</w:t>
            </w:r>
          </w:p>
        </w:tc>
        <w:tc>
          <w:tcPr>
            <w:tcW w:w="1667" w:type="pct"/>
            <w:vAlign w:val="center"/>
          </w:tcPr>
          <w:p w14:paraId="267A99C2">
            <w:pPr>
              <w:adjustRightInd w:val="0"/>
              <w:snapToGrid w:val="0"/>
              <w:jc w:val="center"/>
              <w:rPr>
                <w:rFonts w:hint="eastAsia" w:ascii="宋体" w:hAnsi="宋体" w:eastAsia="宋体"/>
                <w:sz w:val="18"/>
                <w:szCs w:val="18"/>
                <w:lang w:eastAsia="zh-CN"/>
              </w:rPr>
            </w:pPr>
            <w:r>
              <w:rPr>
                <w:rFonts w:hint="eastAsia" w:ascii="宋体" w:hAnsi="宋体"/>
                <w:sz w:val="18"/>
                <w:szCs w:val="18"/>
                <w:lang w:val="en-US" w:eastAsia="zh-CN"/>
              </w:rPr>
              <w:t>1</w:t>
            </w:r>
          </w:p>
        </w:tc>
      </w:tr>
      <w:tr w14:paraId="5144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665" w:type="pct"/>
            <w:vAlign w:val="center"/>
          </w:tcPr>
          <w:p w14:paraId="72B38177">
            <w:pPr>
              <w:adjustRightInd w:val="0"/>
              <w:snapToGrid w:val="0"/>
              <w:jc w:val="center"/>
              <w:rPr>
                <w:rFonts w:hint="eastAsia" w:ascii="宋体" w:hAnsi="宋体"/>
                <w:sz w:val="18"/>
                <w:szCs w:val="18"/>
              </w:rPr>
            </w:pPr>
            <w:r>
              <w:rPr>
                <w:rFonts w:hint="eastAsia" w:ascii="宋体" w:hAnsi="宋体"/>
                <w:sz w:val="18"/>
                <w:szCs w:val="18"/>
              </w:rPr>
              <w:t>行程M</w:t>
            </w:r>
          </w:p>
        </w:tc>
        <w:tc>
          <w:tcPr>
            <w:tcW w:w="1666" w:type="pct"/>
            <w:vAlign w:val="center"/>
          </w:tcPr>
          <w:p w14:paraId="6FE0E8A1">
            <w:pPr>
              <w:adjustRightInd w:val="0"/>
              <w:snapToGrid w:val="0"/>
              <w:spacing w:line="0" w:lineRule="atLeast"/>
              <w:jc w:val="center"/>
              <w:rPr>
                <w:rFonts w:hint="default" w:ascii="宋体" w:hAnsi="宋体" w:eastAsia="宋体"/>
                <w:sz w:val="18"/>
                <w:szCs w:val="18"/>
                <w:lang w:val="en-US" w:eastAsia="zh-CN"/>
              </w:rPr>
            </w:pPr>
            <w:r>
              <w:rPr>
                <w:rFonts w:hint="eastAsia" w:ascii="宋体" w:hAnsi="宋体"/>
                <w:sz w:val="18"/>
                <w:szCs w:val="18"/>
                <w:lang w:val="en-US" w:eastAsia="zh-CN"/>
              </w:rPr>
              <w:t>12</w:t>
            </w:r>
          </w:p>
        </w:tc>
        <w:tc>
          <w:tcPr>
            <w:tcW w:w="1667" w:type="pct"/>
            <w:vAlign w:val="center"/>
          </w:tcPr>
          <w:p w14:paraId="6B7AB308">
            <w:pPr>
              <w:adjustRightInd w:val="0"/>
              <w:snapToGrid w:val="0"/>
              <w:spacing w:line="0" w:lineRule="atLeast"/>
              <w:jc w:val="center"/>
              <w:rPr>
                <w:rFonts w:hint="default" w:ascii="宋体" w:hAnsi="宋体" w:eastAsia="宋体"/>
                <w:sz w:val="18"/>
                <w:szCs w:val="18"/>
                <w:lang w:val="en-US" w:eastAsia="zh-CN"/>
              </w:rPr>
            </w:pPr>
            <w:r>
              <w:rPr>
                <w:rFonts w:hint="eastAsia" w:ascii="宋体" w:hAnsi="宋体"/>
                <w:sz w:val="18"/>
                <w:szCs w:val="18"/>
                <w:lang w:val="en-US" w:eastAsia="zh-CN"/>
              </w:rPr>
              <w:t>6.4</w:t>
            </w:r>
          </w:p>
        </w:tc>
      </w:tr>
      <w:tr w14:paraId="2A11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65" w:type="pct"/>
            <w:vAlign w:val="center"/>
          </w:tcPr>
          <w:p w14:paraId="3C8DE897">
            <w:pPr>
              <w:adjustRightInd w:val="0"/>
              <w:snapToGrid w:val="0"/>
              <w:jc w:val="center"/>
              <w:rPr>
                <w:rFonts w:hint="eastAsia" w:ascii="宋体" w:hAnsi="宋体"/>
                <w:sz w:val="18"/>
                <w:szCs w:val="18"/>
              </w:rPr>
            </w:pPr>
            <w:r>
              <w:rPr>
                <w:rFonts w:hint="eastAsia" w:ascii="宋体" w:hAnsi="宋体"/>
                <w:sz w:val="18"/>
                <w:szCs w:val="18"/>
              </w:rPr>
              <w:t>层/站/门</w:t>
            </w:r>
          </w:p>
        </w:tc>
        <w:tc>
          <w:tcPr>
            <w:tcW w:w="1666" w:type="pct"/>
            <w:vAlign w:val="center"/>
          </w:tcPr>
          <w:p w14:paraId="70BDF26E">
            <w:pPr>
              <w:adjustRightInd w:val="0"/>
              <w:snapToGrid w:val="0"/>
              <w:spacing w:line="0" w:lineRule="atLeast"/>
              <w:jc w:val="center"/>
              <w:rPr>
                <w:rFonts w:hint="eastAsia" w:ascii="宋体" w:hAnsi="宋体" w:eastAsia="宋体"/>
                <w:sz w:val="18"/>
                <w:szCs w:val="18"/>
                <w:lang w:val="en-US" w:eastAsia="zh-CN"/>
              </w:rPr>
            </w:pPr>
            <w:r>
              <w:rPr>
                <w:rFonts w:hint="eastAsia" w:ascii="宋体" w:hAnsi="宋体"/>
                <w:sz w:val="18"/>
                <w:szCs w:val="18"/>
                <w:lang w:val="en-US" w:eastAsia="zh-CN"/>
              </w:rPr>
              <w:t>4</w:t>
            </w:r>
            <w:r>
              <w:rPr>
                <w:rFonts w:hint="eastAsia" w:ascii="宋体" w:hAnsi="宋体"/>
                <w:sz w:val="18"/>
                <w:szCs w:val="18"/>
              </w:rPr>
              <w:t>/</w:t>
            </w:r>
            <w:r>
              <w:rPr>
                <w:rFonts w:hint="eastAsia" w:ascii="宋体" w:hAnsi="宋体"/>
                <w:sz w:val="18"/>
                <w:szCs w:val="18"/>
                <w:lang w:val="en-US" w:eastAsia="zh-CN"/>
              </w:rPr>
              <w:t>4</w:t>
            </w:r>
            <w:r>
              <w:rPr>
                <w:rFonts w:hint="eastAsia" w:ascii="宋体" w:hAnsi="宋体"/>
                <w:sz w:val="18"/>
                <w:szCs w:val="18"/>
              </w:rPr>
              <w:t>/</w:t>
            </w:r>
            <w:r>
              <w:rPr>
                <w:rFonts w:hint="eastAsia" w:ascii="宋体" w:hAnsi="宋体"/>
                <w:sz w:val="18"/>
                <w:szCs w:val="18"/>
                <w:lang w:val="en-US" w:eastAsia="zh-CN"/>
              </w:rPr>
              <w:t>4</w:t>
            </w:r>
          </w:p>
        </w:tc>
        <w:tc>
          <w:tcPr>
            <w:tcW w:w="1667" w:type="pct"/>
            <w:vAlign w:val="center"/>
          </w:tcPr>
          <w:p w14:paraId="2B20C099">
            <w:pPr>
              <w:adjustRightInd w:val="0"/>
              <w:snapToGrid w:val="0"/>
              <w:spacing w:line="0" w:lineRule="atLeast"/>
              <w:jc w:val="center"/>
              <w:rPr>
                <w:rFonts w:hint="eastAsia" w:ascii="宋体" w:hAnsi="宋体" w:eastAsia="宋体"/>
                <w:sz w:val="18"/>
                <w:szCs w:val="18"/>
                <w:lang w:val="en-US" w:eastAsia="zh-CN"/>
              </w:rPr>
            </w:pPr>
            <w:r>
              <w:rPr>
                <w:rFonts w:hint="eastAsia" w:ascii="宋体" w:hAnsi="宋体"/>
                <w:sz w:val="18"/>
                <w:szCs w:val="18"/>
                <w:lang w:val="en-US" w:eastAsia="zh-CN"/>
              </w:rPr>
              <w:t>3</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w:t>
            </w:r>
            <w:r>
              <w:rPr>
                <w:rFonts w:hint="eastAsia" w:ascii="宋体" w:hAnsi="宋体"/>
                <w:sz w:val="18"/>
                <w:szCs w:val="18"/>
                <w:lang w:val="en-US" w:eastAsia="zh-CN"/>
              </w:rPr>
              <w:t>3</w:t>
            </w:r>
          </w:p>
        </w:tc>
      </w:tr>
      <w:tr w14:paraId="24FE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65" w:type="pct"/>
            <w:vAlign w:val="center"/>
          </w:tcPr>
          <w:p w14:paraId="75779A69">
            <w:pPr>
              <w:adjustRightInd w:val="0"/>
              <w:snapToGrid w:val="0"/>
              <w:jc w:val="center"/>
              <w:rPr>
                <w:rFonts w:hint="eastAsia" w:ascii="宋体" w:hAnsi="宋体"/>
                <w:sz w:val="18"/>
                <w:szCs w:val="18"/>
              </w:rPr>
            </w:pPr>
            <w:r>
              <w:rPr>
                <w:rFonts w:hint="eastAsia" w:ascii="宋体" w:hAnsi="宋体"/>
                <w:sz w:val="18"/>
                <w:szCs w:val="18"/>
              </w:rPr>
              <w:t>层高（M）</w:t>
            </w:r>
          </w:p>
        </w:tc>
        <w:tc>
          <w:tcPr>
            <w:tcW w:w="1666" w:type="pct"/>
            <w:vAlign w:val="center"/>
          </w:tcPr>
          <w:p w14:paraId="6B627C0B">
            <w:pPr>
              <w:adjustRightInd w:val="0"/>
              <w:snapToGrid w:val="0"/>
              <w:spacing w:line="0" w:lineRule="atLeast"/>
              <w:jc w:val="center"/>
              <w:rPr>
                <w:rFonts w:hint="eastAsia" w:ascii="宋体" w:hAnsi="宋体" w:eastAsia="宋体"/>
                <w:sz w:val="18"/>
                <w:szCs w:val="18"/>
                <w:lang w:val="en-US" w:eastAsia="zh-CN"/>
              </w:rPr>
            </w:pPr>
            <w:r>
              <w:rPr>
                <w:rFonts w:hint="eastAsia" w:ascii="宋体" w:hAnsi="宋体"/>
                <w:sz w:val="18"/>
                <w:szCs w:val="18"/>
              </w:rPr>
              <w:t>1F：4；2~</w:t>
            </w:r>
            <w:r>
              <w:rPr>
                <w:rFonts w:hint="eastAsia" w:ascii="宋体" w:hAnsi="宋体"/>
                <w:sz w:val="18"/>
                <w:szCs w:val="18"/>
                <w:lang w:val="en-US" w:eastAsia="zh-CN"/>
              </w:rPr>
              <w:t>3</w:t>
            </w:r>
            <w:r>
              <w:rPr>
                <w:rFonts w:hint="eastAsia" w:ascii="宋体" w:hAnsi="宋体"/>
                <w:sz w:val="18"/>
                <w:szCs w:val="18"/>
              </w:rPr>
              <w:t>F：</w:t>
            </w:r>
            <w:r>
              <w:rPr>
                <w:rFonts w:hint="eastAsia" w:ascii="宋体" w:hAnsi="宋体"/>
                <w:sz w:val="18"/>
                <w:szCs w:val="18"/>
                <w:lang w:val="en-US" w:eastAsia="zh-CN"/>
              </w:rPr>
              <w:t>4</w:t>
            </w:r>
            <w:r>
              <w:rPr>
                <w:rFonts w:hint="eastAsia" w:ascii="宋体" w:hAnsi="宋体"/>
                <w:sz w:val="18"/>
                <w:szCs w:val="18"/>
              </w:rPr>
              <w:t>；</w:t>
            </w:r>
            <w:r>
              <w:rPr>
                <w:rFonts w:hint="eastAsia" w:ascii="宋体" w:hAnsi="宋体"/>
                <w:sz w:val="18"/>
                <w:szCs w:val="18"/>
                <w:lang w:val="en-US" w:eastAsia="zh-CN"/>
              </w:rPr>
              <w:t>4</w:t>
            </w:r>
            <w:r>
              <w:rPr>
                <w:rFonts w:hint="eastAsia" w:ascii="宋体" w:hAnsi="宋体"/>
                <w:sz w:val="18"/>
                <w:szCs w:val="18"/>
              </w:rPr>
              <w:t>F：4.</w:t>
            </w:r>
            <w:r>
              <w:rPr>
                <w:rFonts w:hint="eastAsia" w:ascii="宋体" w:hAnsi="宋体"/>
                <w:sz w:val="18"/>
                <w:szCs w:val="18"/>
                <w:lang w:val="en-US" w:eastAsia="zh-CN"/>
              </w:rPr>
              <w:t>5</w:t>
            </w:r>
          </w:p>
        </w:tc>
        <w:tc>
          <w:tcPr>
            <w:tcW w:w="1667" w:type="pct"/>
            <w:vAlign w:val="center"/>
          </w:tcPr>
          <w:p w14:paraId="1099E06A">
            <w:pPr>
              <w:adjustRightInd w:val="0"/>
              <w:snapToGrid w:val="0"/>
              <w:spacing w:line="0" w:lineRule="atLeast"/>
              <w:jc w:val="center"/>
              <w:rPr>
                <w:rFonts w:hint="default" w:ascii="宋体" w:hAnsi="宋体" w:eastAsia="宋体"/>
                <w:sz w:val="18"/>
                <w:szCs w:val="18"/>
                <w:lang w:val="en-US" w:eastAsia="zh-CN"/>
              </w:rPr>
            </w:pPr>
            <w:r>
              <w:rPr>
                <w:rFonts w:hint="eastAsia" w:ascii="宋体" w:hAnsi="宋体"/>
                <w:sz w:val="18"/>
                <w:szCs w:val="18"/>
              </w:rPr>
              <w:t>1F：</w:t>
            </w:r>
            <w:r>
              <w:rPr>
                <w:rFonts w:hint="eastAsia" w:ascii="宋体" w:hAnsi="宋体"/>
                <w:sz w:val="18"/>
                <w:szCs w:val="18"/>
                <w:lang w:val="en-US" w:eastAsia="zh-CN"/>
              </w:rPr>
              <w:t>3.6</w:t>
            </w:r>
            <w:r>
              <w:rPr>
                <w:rFonts w:hint="eastAsia" w:ascii="宋体" w:hAnsi="宋体"/>
                <w:sz w:val="18"/>
                <w:szCs w:val="18"/>
              </w:rPr>
              <w:t>；2：3.</w:t>
            </w:r>
            <w:r>
              <w:rPr>
                <w:rFonts w:hint="eastAsia" w:ascii="宋体" w:hAnsi="宋体"/>
                <w:sz w:val="18"/>
                <w:szCs w:val="18"/>
                <w:lang w:val="en-US" w:eastAsia="zh-CN"/>
              </w:rPr>
              <w:t>6</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F：4</w:t>
            </w:r>
            <w:r>
              <w:rPr>
                <w:rFonts w:hint="eastAsia" w:ascii="宋体" w:hAnsi="宋体"/>
                <w:sz w:val="18"/>
                <w:szCs w:val="18"/>
                <w:lang w:val="en-US" w:eastAsia="zh-CN"/>
              </w:rPr>
              <w:t>.5</w:t>
            </w:r>
          </w:p>
        </w:tc>
      </w:tr>
      <w:tr w14:paraId="3972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65" w:type="pct"/>
            <w:vAlign w:val="center"/>
          </w:tcPr>
          <w:p w14:paraId="45A723E7">
            <w:pPr>
              <w:adjustRightInd w:val="0"/>
              <w:snapToGrid w:val="0"/>
              <w:jc w:val="center"/>
              <w:rPr>
                <w:rFonts w:hint="eastAsia" w:ascii="宋体" w:hAnsi="宋体"/>
                <w:sz w:val="18"/>
                <w:szCs w:val="18"/>
              </w:rPr>
            </w:pPr>
            <w:r>
              <w:rPr>
                <w:rFonts w:hint="eastAsia" w:ascii="宋体" w:hAnsi="宋体"/>
                <w:sz w:val="18"/>
                <w:szCs w:val="18"/>
              </w:rPr>
              <w:t>井道尺寸宽*深（MM）</w:t>
            </w:r>
          </w:p>
        </w:tc>
        <w:tc>
          <w:tcPr>
            <w:tcW w:w="1666" w:type="pct"/>
            <w:vAlign w:val="center"/>
          </w:tcPr>
          <w:p w14:paraId="3819222B">
            <w:pPr>
              <w:adjustRightInd w:val="0"/>
              <w:snapToGrid w:val="0"/>
              <w:spacing w:line="0" w:lineRule="atLeast"/>
              <w:jc w:val="center"/>
              <w:rPr>
                <w:rFonts w:hint="eastAsia" w:ascii="宋体" w:hAnsi="宋体"/>
                <w:sz w:val="18"/>
                <w:szCs w:val="18"/>
              </w:rPr>
            </w:pPr>
            <w:r>
              <w:rPr>
                <w:rFonts w:ascii="宋体" w:hAnsi="宋体"/>
                <w:sz w:val="18"/>
                <w:szCs w:val="18"/>
              </w:rPr>
              <w:t>2</w:t>
            </w:r>
            <w:r>
              <w:rPr>
                <w:rFonts w:hint="eastAsia" w:ascii="宋体" w:hAnsi="宋体"/>
                <w:sz w:val="18"/>
                <w:szCs w:val="18"/>
              </w:rPr>
              <w:t>2</w:t>
            </w:r>
            <w:r>
              <w:rPr>
                <w:rFonts w:hint="eastAsia" w:ascii="宋体" w:hAnsi="宋体"/>
                <w:sz w:val="18"/>
                <w:szCs w:val="18"/>
                <w:lang w:val="en-US" w:eastAsia="zh-CN"/>
              </w:rPr>
              <w:t>5</w:t>
            </w:r>
            <w:r>
              <w:rPr>
                <w:rFonts w:ascii="宋体" w:hAnsi="宋体"/>
                <w:sz w:val="18"/>
                <w:szCs w:val="18"/>
              </w:rPr>
              <w:t>0</w:t>
            </w:r>
            <w:r>
              <w:rPr>
                <w:rFonts w:hint="eastAsia" w:ascii="宋体" w:hAnsi="宋体"/>
                <w:sz w:val="18"/>
                <w:szCs w:val="18"/>
              </w:rPr>
              <w:t>*</w:t>
            </w:r>
            <w:r>
              <w:rPr>
                <w:rFonts w:hint="eastAsia" w:ascii="宋体" w:hAnsi="宋体"/>
                <w:sz w:val="18"/>
                <w:szCs w:val="18"/>
                <w:lang w:val="en-US" w:eastAsia="zh-CN"/>
              </w:rPr>
              <w:t>185</w:t>
            </w:r>
            <w:r>
              <w:rPr>
                <w:rFonts w:hint="eastAsia" w:ascii="宋体" w:hAnsi="宋体"/>
                <w:sz w:val="18"/>
                <w:szCs w:val="18"/>
              </w:rPr>
              <w:t>0</w:t>
            </w:r>
          </w:p>
        </w:tc>
        <w:tc>
          <w:tcPr>
            <w:tcW w:w="1598" w:type="dxa"/>
            <w:vAlign w:val="center"/>
          </w:tcPr>
          <w:p w14:paraId="3740AFE0">
            <w:pPr>
              <w:adjustRightInd w:val="0"/>
              <w:snapToGrid w:val="0"/>
              <w:spacing w:line="0" w:lineRule="atLeast"/>
              <w:jc w:val="center"/>
              <w:rPr>
                <w:rFonts w:hint="eastAsia" w:ascii="宋体" w:hAnsi="宋体"/>
                <w:sz w:val="18"/>
                <w:szCs w:val="18"/>
              </w:rPr>
            </w:pPr>
            <w:r>
              <w:rPr>
                <w:rFonts w:ascii="宋体" w:hAnsi="宋体"/>
                <w:sz w:val="18"/>
                <w:szCs w:val="18"/>
              </w:rPr>
              <w:t>2</w:t>
            </w:r>
            <w:r>
              <w:rPr>
                <w:rFonts w:hint="eastAsia" w:ascii="宋体" w:hAnsi="宋体"/>
                <w:sz w:val="18"/>
                <w:szCs w:val="18"/>
              </w:rPr>
              <w:t>2</w:t>
            </w:r>
            <w:r>
              <w:rPr>
                <w:rFonts w:hint="eastAsia" w:ascii="宋体" w:hAnsi="宋体"/>
                <w:sz w:val="18"/>
                <w:szCs w:val="18"/>
                <w:lang w:val="en-US" w:eastAsia="zh-CN"/>
              </w:rPr>
              <w:t>5</w:t>
            </w:r>
            <w:r>
              <w:rPr>
                <w:rFonts w:ascii="宋体" w:hAnsi="宋体"/>
                <w:sz w:val="18"/>
                <w:szCs w:val="18"/>
              </w:rPr>
              <w:t>0</w:t>
            </w:r>
            <w:r>
              <w:rPr>
                <w:rFonts w:hint="eastAsia" w:ascii="宋体" w:hAnsi="宋体"/>
                <w:sz w:val="18"/>
                <w:szCs w:val="18"/>
              </w:rPr>
              <w:t>*</w:t>
            </w:r>
            <w:r>
              <w:rPr>
                <w:rFonts w:hint="eastAsia" w:ascii="宋体" w:hAnsi="宋体"/>
                <w:sz w:val="18"/>
                <w:szCs w:val="18"/>
                <w:lang w:val="en-US" w:eastAsia="zh-CN"/>
              </w:rPr>
              <w:t>185</w:t>
            </w:r>
            <w:r>
              <w:rPr>
                <w:rFonts w:hint="eastAsia" w:ascii="宋体" w:hAnsi="宋体"/>
                <w:sz w:val="18"/>
                <w:szCs w:val="18"/>
              </w:rPr>
              <w:t>0</w:t>
            </w:r>
          </w:p>
        </w:tc>
      </w:tr>
      <w:tr w14:paraId="477C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665" w:type="pct"/>
            <w:vAlign w:val="center"/>
          </w:tcPr>
          <w:p w14:paraId="6A25663C">
            <w:pPr>
              <w:adjustRightInd w:val="0"/>
              <w:snapToGrid w:val="0"/>
              <w:jc w:val="center"/>
              <w:rPr>
                <w:rFonts w:hint="eastAsia" w:ascii="宋体" w:hAnsi="宋体"/>
                <w:sz w:val="18"/>
                <w:szCs w:val="18"/>
              </w:rPr>
            </w:pPr>
            <w:r>
              <w:rPr>
                <w:rFonts w:hint="eastAsia" w:ascii="宋体" w:hAnsi="宋体"/>
                <w:sz w:val="18"/>
                <w:szCs w:val="18"/>
              </w:rPr>
              <w:t>顶层高度（mm）</w:t>
            </w:r>
          </w:p>
        </w:tc>
        <w:tc>
          <w:tcPr>
            <w:tcW w:w="1666" w:type="pct"/>
            <w:vAlign w:val="center"/>
          </w:tcPr>
          <w:p w14:paraId="37D00E66">
            <w:pPr>
              <w:adjustRightInd w:val="0"/>
              <w:snapToGrid w:val="0"/>
              <w:jc w:val="center"/>
              <w:rPr>
                <w:rFonts w:hint="eastAsia" w:ascii="宋体" w:hAnsi="宋体"/>
                <w:sz w:val="18"/>
                <w:szCs w:val="18"/>
              </w:rPr>
            </w:pPr>
            <w:r>
              <w:rPr>
                <w:rFonts w:hint="eastAsia" w:ascii="宋体" w:hAnsi="宋体"/>
                <w:sz w:val="18"/>
                <w:szCs w:val="18"/>
                <w:lang w:val="en-US" w:eastAsia="zh-CN"/>
              </w:rPr>
              <w:t>45</w:t>
            </w:r>
            <w:r>
              <w:rPr>
                <w:rFonts w:hint="eastAsia" w:ascii="宋体" w:hAnsi="宋体"/>
                <w:sz w:val="18"/>
                <w:szCs w:val="18"/>
              </w:rPr>
              <w:t>00</w:t>
            </w:r>
          </w:p>
        </w:tc>
        <w:tc>
          <w:tcPr>
            <w:tcW w:w="1667" w:type="pct"/>
            <w:vAlign w:val="center"/>
          </w:tcPr>
          <w:p w14:paraId="43C52989">
            <w:pPr>
              <w:adjustRightInd w:val="0"/>
              <w:snapToGrid w:val="0"/>
              <w:jc w:val="center"/>
              <w:rPr>
                <w:rFonts w:hint="eastAsia" w:ascii="宋体" w:hAnsi="宋体"/>
                <w:sz w:val="18"/>
                <w:szCs w:val="18"/>
              </w:rPr>
            </w:pPr>
            <w:r>
              <w:rPr>
                <w:rFonts w:hint="eastAsia" w:ascii="宋体" w:hAnsi="宋体"/>
                <w:sz w:val="18"/>
                <w:szCs w:val="18"/>
                <w:lang w:val="en-US" w:eastAsia="zh-CN"/>
              </w:rPr>
              <w:t>45</w:t>
            </w:r>
            <w:r>
              <w:rPr>
                <w:rFonts w:hint="eastAsia" w:ascii="宋体" w:hAnsi="宋体"/>
                <w:sz w:val="18"/>
                <w:szCs w:val="18"/>
              </w:rPr>
              <w:t>00</w:t>
            </w:r>
          </w:p>
        </w:tc>
      </w:tr>
      <w:tr w14:paraId="7687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pct"/>
            <w:vAlign w:val="center"/>
          </w:tcPr>
          <w:p w14:paraId="03AAC6F3">
            <w:pPr>
              <w:adjustRightInd w:val="0"/>
              <w:snapToGrid w:val="0"/>
              <w:jc w:val="center"/>
              <w:rPr>
                <w:rFonts w:hint="eastAsia" w:ascii="宋体" w:hAnsi="宋体"/>
                <w:sz w:val="18"/>
                <w:szCs w:val="18"/>
              </w:rPr>
            </w:pPr>
            <w:r>
              <w:rPr>
                <w:rFonts w:hint="eastAsia" w:ascii="宋体" w:hAnsi="宋体"/>
                <w:sz w:val="18"/>
                <w:szCs w:val="18"/>
              </w:rPr>
              <w:t>底坑深度（M）</w:t>
            </w:r>
          </w:p>
        </w:tc>
        <w:tc>
          <w:tcPr>
            <w:tcW w:w="1666" w:type="pct"/>
            <w:vAlign w:val="center"/>
          </w:tcPr>
          <w:p w14:paraId="499F09F4">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1400</w:t>
            </w:r>
          </w:p>
        </w:tc>
        <w:tc>
          <w:tcPr>
            <w:tcW w:w="1667" w:type="pct"/>
            <w:vAlign w:val="center"/>
          </w:tcPr>
          <w:p w14:paraId="754DBFE3">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1400</w:t>
            </w:r>
          </w:p>
        </w:tc>
      </w:tr>
      <w:tr w14:paraId="1DB3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pct"/>
            <w:vAlign w:val="center"/>
          </w:tcPr>
          <w:p w14:paraId="3F45549A">
            <w:pPr>
              <w:adjustRightInd w:val="0"/>
              <w:snapToGrid w:val="0"/>
              <w:jc w:val="center"/>
              <w:rPr>
                <w:rFonts w:hint="eastAsia" w:ascii="宋体" w:hAnsi="宋体"/>
                <w:sz w:val="18"/>
                <w:szCs w:val="18"/>
              </w:rPr>
            </w:pPr>
            <w:r>
              <w:rPr>
                <w:rFonts w:hint="eastAsia" w:ascii="宋体" w:hAnsi="宋体"/>
                <w:sz w:val="18"/>
                <w:szCs w:val="18"/>
              </w:rPr>
              <w:t>开门方式</w:t>
            </w:r>
          </w:p>
        </w:tc>
        <w:tc>
          <w:tcPr>
            <w:tcW w:w="1666" w:type="pct"/>
            <w:vAlign w:val="center"/>
          </w:tcPr>
          <w:p w14:paraId="61CB7860">
            <w:pPr>
              <w:adjustRightInd w:val="0"/>
              <w:snapToGrid w:val="0"/>
              <w:jc w:val="center"/>
              <w:rPr>
                <w:rFonts w:hint="eastAsia" w:ascii="宋体" w:hAnsi="宋体"/>
                <w:sz w:val="18"/>
                <w:szCs w:val="18"/>
              </w:rPr>
            </w:pPr>
            <w:r>
              <w:rPr>
                <w:rFonts w:hint="eastAsia" w:ascii="宋体" w:hAnsi="宋体"/>
                <w:sz w:val="18"/>
                <w:szCs w:val="18"/>
              </w:rPr>
              <w:t>中分门</w:t>
            </w:r>
          </w:p>
        </w:tc>
        <w:tc>
          <w:tcPr>
            <w:tcW w:w="1667" w:type="pct"/>
            <w:vAlign w:val="center"/>
          </w:tcPr>
          <w:p w14:paraId="55D5F24F">
            <w:pPr>
              <w:adjustRightInd w:val="0"/>
              <w:snapToGrid w:val="0"/>
              <w:jc w:val="center"/>
              <w:rPr>
                <w:rFonts w:hint="eastAsia" w:ascii="宋体" w:hAnsi="宋体"/>
                <w:sz w:val="18"/>
                <w:szCs w:val="18"/>
              </w:rPr>
            </w:pPr>
            <w:r>
              <w:rPr>
                <w:rFonts w:hint="eastAsia" w:ascii="宋体" w:hAnsi="宋体"/>
                <w:sz w:val="18"/>
                <w:szCs w:val="18"/>
              </w:rPr>
              <w:t>中分门</w:t>
            </w:r>
          </w:p>
        </w:tc>
      </w:tr>
      <w:tr w14:paraId="75D1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pct"/>
            <w:vAlign w:val="center"/>
          </w:tcPr>
          <w:p w14:paraId="0AA0FB21">
            <w:pPr>
              <w:adjustRightInd w:val="0"/>
              <w:snapToGrid w:val="0"/>
              <w:jc w:val="center"/>
              <w:rPr>
                <w:rFonts w:hint="eastAsia" w:ascii="宋体" w:hAnsi="宋体"/>
                <w:sz w:val="18"/>
                <w:szCs w:val="18"/>
              </w:rPr>
            </w:pPr>
            <w:r>
              <w:rPr>
                <w:rFonts w:hint="eastAsia" w:ascii="宋体" w:hAnsi="宋体"/>
                <w:sz w:val="18"/>
                <w:szCs w:val="18"/>
              </w:rPr>
              <w:t>门洞尺寸（MM）</w:t>
            </w:r>
          </w:p>
        </w:tc>
        <w:tc>
          <w:tcPr>
            <w:tcW w:w="1666" w:type="pct"/>
            <w:vAlign w:val="center"/>
          </w:tcPr>
          <w:p w14:paraId="5CCEEA0B">
            <w:pPr>
              <w:adjustRightInd w:val="0"/>
              <w:snapToGrid w:val="0"/>
              <w:jc w:val="center"/>
              <w:rPr>
                <w:rFonts w:hint="eastAsia" w:ascii="宋体" w:hAnsi="宋体"/>
                <w:sz w:val="18"/>
                <w:szCs w:val="18"/>
              </w:rPr>
            </w:pPr>
            <w:r>
              <w:rPr>
                <w:rFonts w:hint="eastAsia" w:ascii="宋体" w:hAnsi="宋体"/>
                <w:sz w:val="18"/>
                <w:szCs w:val="18"/>
              </w:rPr>
              <w:t>11</w:t>
            </w:r>
            <w:r>
              <w:rPr>
                <w:rFonts w:ascii="宋体" w:hAnsi="宋体"/>
                <w:sz w:val="18"/>
                <w:szCs w:val="18"/>
              </w:rPr>
              <w:t>00*2</w:t>
            </w:r>
            <w:r>
              <w:rPr>
                <w:rFonts w:hint="eastAsia" w:ascii="宋体" w:hAnsi="宋体"/>
                <w:sz w:val="18"/>
                <w:szCs w:val="18"/>
              </w:rPr>
              <w:t>2</w:t>
            </w:r>
            <w:r>
              <w:rPr>
                <w:rFonts w:ascii="宋体" w:hAnsi="宋体"/>
                <w:sz w:val="18"/>
                <w:szCs w:val="18"/>
              </w:rPr>
              <w:t>00</w:t>
            </w:r>
          </w:p>
        </w:tc>
        <w:tc>
          <w:tcPr>
            <w:tcW w:w="1667" w:type="pct"/>
            <w:vAlign w:val="center"/>
          </w:tcPr>
          <w:p w14:paraId="08F585A9">
            <w:pPr>
              <w:adjustRightInd w:val="0"/>
              <w:snapToGrid w:val="0"/>
              <w:jc w:val="center"/>
              <w:rPr>
                <w:rFonts w:hint="eastAsia" w:ascii="宋体" w:hAnsi="宋体"/>
                <w:sz w:val="18"/>
                <w:szCs w:val="18"/>
              </w:rPr>
            </w:pPr>
            <w:r>
              <w:rPr>
                <w:rFonts w:hint="eastAsia" w:ascii="宋体" w:hAnsi="宋体"/>
                <w:sz w:val="18"/>
                <w:szCs w:val="18"/>
              </w:rPr>
              <w:t>11</w:t>
            </w:r>
            <w:r>
              <w:rPr>
                <w:rFonts w:ascii="宋体" w:hAnsi="宋体"/>
                <w:sz w:val="18"/>
                <w:szCs w:val="18"/>
              </w:rPr>
              <w:t>00*2</w:t>
            </w:r>
            <w:r>
              <w:rPr>
                <w:rFonts w:hint="eastAsia" w:ascii="宋体" w:hAnsi="宋体"/>
                <w:sz w:val="18"/>
                <w:szCs w:val="18"/>
              </w:rPr>
              <w:t>2</w:t>
            </w:r>
            <w:r>
              <w:rPr>
                <w:rFonts w:ascii="宋体" w:hAnsi="宋体"/>
                <w:sz w:val="18"/>
                <w:szCs w:val="18"/>
              </w:rPr>
              <w:t>00</w:t>
            </w:r>
          </w:p>
        </w:tc>
      </w:tr>
      <w:tr w14:paraId="7E90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pct"/>
            <w:vAlign w:val="center"/>
          </w:tcPr>
          <w:p w14:paraId="069ADE06">
            <w:pPr>
              <w:adjustRightInd w:val="0"/>
              <w:snapToGrid w:val="0"/>
              <w:jc w:val="center"/>
              <w:rPr>
                <w:rFonts w:hint="eastAsia" w:ascii="宋体" w:hAnsi="宋体"/>
                <w:sz w:val="18"/>
                <w:szCs w:val="18"/>
              </w:rPr>
            </w:pPr>
            <w:r>
              <w:rPr>
                <w:rFonts w:hint="eastAsia" w:ascii="宋体" w:hAnsi="宋体"/>
                <w:sz w:val="18"/>
                <w:szCs w:val="18"/>
              </w:rPr>
              <w:t>机房类型</w:t>
            </w:r>
          </w:p>
        </w:tc>
        <w:tc>
          <w:tcPr>
            <w:tcW w:w="1666" w:type="pct"/>
            <w:vAlign w:val="center"/>
          </w:tcPr>
          <w:p w14:paraId="7E445109">
            <w:pPr>
              <w:adjustRightInd w:val="0"/>
              <w:snapToGrid w:val="0"/>
              <w:jc w:val="center"/>
              <w:rPr>
                <w:rFonts w:hint="eastAsia" w:ascii="宋体" w:hAnsi="宋体"/>
                <w:sz w:val="18"/>
                <w:szCs w:val="18"/>
              </w:rPr>
            </w:pPr>
            <w:r>
              <w:rPr>
                <w:rFonts w:hint="eastAsia" w:ascii="宋体" w:hAnsi="宋体"/>
                <w:sz w:val="18"/>
                <w:szCs w:val="18"/>
                <w:lang w:val="en-US" w:eastAsia="zh-CN"/>
              </w:rPr>
              <w:t>无</w:t>
            </w:r>
            <w:r>
              <w:rPr>
                <w:rFonts w:hint="eastAsia" w:ascii="宋体" w:hAnsi="宋体"/>
                <w:sz w:val="18"/>
                <w:szCs w:val="18"/>
              </w:rPr>
              <w:t>机房</w:t>
            </w:r>
          </w:p>
        </w:tc>
        <w:tc>
          <w:tcPr>
            <w:tcW w:w="1667" w:type="pct"/>
            <w:vAlign w:val="center"/>
          </w:tcPr>
          <w:p w14:paraId="1DE5C3B4">
            <w:pPr>
              <w:adjustRightInd w:val="0"/>
              <w:snapToGrid w:val="0"/>
              <w:jc w:val="center"/>
              <w:rPr>
                <w:rFonts w:hint="eastAsia" w:ascii="宋体" w:hAnsi="宋体"/>
                <w:sz w:val="18"/>
                <w:szCs w:val="18"/>
              </w:rPr>
            </w:pPr>
            <w:r>
              <w:rPr>
                <w:rFonts w:hint="eastAsia" w:ascii="宋体" w:hAnsi="宋体"/>
                <w:sz w:val="18"/>
                <w:szCs w:val="18"/>
                <w:lang w:val="en-US" w:eastAsia="zh-CN"/>
              </w:rPr>
              <w:t>无</w:t>
            </w:r>
            <w:r>
              <w:rPr>
                <w:rFonts w:hint="eastAsia" w:ascii="宋体" w:hAnsi="宋体"/>
                <w:sz w:val="18"/>
                <w:szCs w:val="18"/>
              </w:rPr>
              <w:t>机房</w:t>
            </w:r>
          </w:p>
        </w:tc>
      </w:tr>
    </w:tbl>
    <w:p w14:paraId="1C5D96BA">
      <w:pPr>
        <w:pStyle w:val="30"/>
        <w:spacing w:after="0"/>
        <w:ind w:firstLine="0" w:firstLineChars="0"/>
        <w:rPr>
          <w:rFonts w:hint="eastAsia" w:ascii="宋体" w:hAnsi="宋体"/>
          <w:b/>
        </w:rPr>
      </w:pPr>
    </w:p>
    <w:p w14:paraId="6069E285">
      <w:pPr>
        <w:spacing w:line="288" w:lineRule="auto"/>
        <w:ind w:firstLine="420" w:firstLineChars="200"/>
        <w:jc w:val="left"/>
        <w:rPr>
          <w:rFonts w:hint="eastAsia" w:ascii="宋体" w:hAnsi="宋体" w:cs="仿宋"/>
        </w:rPr>
      </w:pPr>
    </w:p>
    <w:p w14:paraId="3E78135B">
      <w:pPr>
        <w:spacing w:line="288" w:lineRule="auto"/>
        <w:ind w:firstLine="420" w:firstLineChars="200"/>
        <w:jc w:val="left"/>
        <w:rPr>
          <w:rFonts w:hint="eastAsia" w:ascii="宋体" w:hAnsi="宋体" w:cs="仿宋"/>
        </w:rPr>
      </w:pPr>
    </w:p>
    <w:p w14:paraId="535883DE">
      <w:pPr>
        <w:spacing w:line="288" w:lineRule="auto"/>
        <w:ind w:firstLine="420" w:firstLineChars="200"/>
        <w:jc w:val="left"/>
        <w:rPr>
          <w:rFonts w:hint="eastAsia" w:ascii="宋体" w:hAnsi="宋体" w:cs="仿宋"/>
        </w:rPr>
      </w:pPr>
    </w:p>
    <w:p w14:paraId="6C7D0BC0">
      <w:pPr>
        <w:spacing w:line="288" w:lineRule="auto"/>
        <w:ind w:firstLine="420" w:firstLineChars="200"/>
        <w:jc w:val="left"/>
        <w:rPr>
          <w:rFonts w:hint="eastAsia" w:ascii="宋体" w:hAnsi="宋体" w:cs="仿宋"/>
        </w:rPr>
      </w:pPr>
    </w:p>
    <w:p w14:paraId="5DC8B7DD">
      <w:pPr>
        <w:spacing w:line="288" w:lineRule="auto"/>
        <w:ind w:firstLine="420" w:firstLineChars="200"/>
        <w:jc w:val="left"/>
        <w:rPr>
          <w:rFonts w:hint="eastAsia" w:ascii="宋体" w:hAnsi="宋体" w:cs="仿宋"/>
        </w:rPr>
      </w:pPr>
    </w:p>
    <w:p w14:paraId="0D5CFCCF">
      <w:pPr>
        <w:spacing w:line="288" w:lineRule="auto"/>
        <w:ind w:firstLine="420" w:firstLineChars="200"/>
        <w:jc w:val="left"/>
        <w:rPr>
          <w:rFonts w:hint="eastAsia" w:ascii="宋体" w:hAnsi="宋体" w:cs="仿宋"/>
        </w:rPr>
      </w:pPr>
    </w:p>
    <w:p w14:paraId="33476301">
      <w:pPr>
        <w:spacing w:line="288" w:lineRule="auto"/>
        <w:ind w:firstLine="420" w:firstLineChars="200"/>
        <w:jc w:val="left"/>
        <w:rPr>
          <w:rFonts w:hint="eastAsia" w:ascii="宋体" w:hAnsi="宋体" w:cs="仿宋"/>
        </w:rPr>
      </w:pPr>
    </w:p>
    <w:p w14:paraId="5458422E">
      <w:pPr>
        <w:spacing w:line="288" w:lineRule="auto"/>
        <w:ind w:firstLine="420" w:firstLineChars="200"/>
        <w:jc w:val="left"/>
        <w:rPr>
          <w:rFonts w:hint="eastAsia" w:ascii="宋体" w:hAnsi="宋体" w:cs="仿宋"/>
        </w:rPr>
      </w:pPr>
    </w:p>
    <w:p w14:paraId="6EBEED94">
      <w:pPr>
        <w:spacing w:line="288" w:lineRule="auto"/>
        <w:ind w:firstLine="420" w:firstLineChars="200"/>
        <w:jc w:val="left"/>
        <w:rPr>
          <w:rFonts w:hint="eastAsia" w:ascii="宋体" w:hAnsi="宋体" w:cs="仿宋"/>
        </w:rPr>
      </w:pPr>
    </w:p>
    <w:p w14:paraId="080A3A5F">
      <w:pPr>
        <w:spacing w:line="288" w:lineRule="auto"/>
        <w:ind w:firstLine="420" w:firstLineChars="200"/>
        <w:jc w:val="left"/>
        <w:rPr>
          <w:rFonts w:hint="eastAsia" w:ascii="宋体" w:hAnsi="宋体" w:cs="仿宋"/>
        </w:rPr>
      </w:pPr>
    </w:p>
    <w:p w14:paraId="62211038">
      <w:pPr>
        <w:spacing w:line="288" w:lineRule="auto"/>
        <w:ind w:firstLine="420" w:firstLineChars="200"/>
        <w:jc w:val="left"/>
        <w:rPr>
          <w:rFonts w:hint="eastAsia" w:ascii="宋体" w:hAnsi="宋体" w:cs="仿宋"/>
        </w:rPr>
      </w:pPr>
    </w:p>
    <w:p w14:paraId="73F79BD6">
      <w:pPr>
        <w:spacing w:line="288" w:lineRule="auto"/>
        <w:ind w:firstLine="420" w:firstLineChars="200"/>
        <w:jc w:val="left"/>
        <w:rPr>
          <w:rFonts w:hint="eastAsia" w:ascii="宋体" w:hAnsi="宋体" w:cs="仿宋"/>
        </w:rPr>
      </w:pPr>
    </w:p>
    <w:p w14:paraId="7B2B21C8">
      <w:pPr>
        <w:spacing w:line="288" w:lineRule="auto"/>
        <w:ind w:firstLine="420" w:firstLineChars="200"/>
        <w:jc w:val="left"/>
        <w:rPr>
          <w:rFonts w:hint="eastAsia" w:ascii="宋体" w:hAnsi="宋体" w:cs="仿宋"/>
        </w:rPr>
      </w:pPr>
    </w:p>
    <w:p w14:paraId="41447219">
      <w:pPr>
        <w:spacing w:line="288" w:lineRule="auto"/>
        <w:ind w:firstLine="420" w:firstLineChars="200"/>
        <w:jc w:val="left"/>
        <w:rPr>
          <w:rFonts w:hint="eastAsia" w:ascii="宋体" w:hAnsi="宋体" w:cs="仿宋"/>
        </w:rPr>
      </w:pPr>
    </w:p>
    <w:p w14:paraId="499C550B">
      <w:pPr>
        <w:spacing w:line="288" w:lineRule="auto"/>
        <w:ind w:firstLine="420" w:firstLineChars="200"/>
        <w:jc w:val="left"/>
        <w:rPr>
          <w:rFonts w:hint="eastAsia" w:ascii="宋体" w:hAnsi="宋体" w:cs="仿宋"/>
        </w:rPr>
      </w:pPr>
    </w:p>
    <w:p w14:paraId="548EAE18">
      <w:pPr>
        <w:spacing w:line="288" w:lineRule="auto"/>
        <w:ind w:firstLine="420" w:firstLineChars="200"/>
        <w:jc w:val="left"/>
        <w:rPr>
          <w:rFonts w:hint="eastAsia" w:ascii="宋体" w:hAnsi="宋体" w:cs="仿宋"/>
        </w:rPr>
      </w:pPr>
    </w:p>
    <w:p w14:paraId="05979D98">
      <w:pPr>
        <w:spacing w:line="288" w:lineRule="auto"/>
        <w:ind w:firstLine="420" w:firstLineChars="200"/>
        <w:jc w:val="left"/>
        <w:rPr>
          <w:rFonts w:hint="eastAsia" w:ascii="宋体" w:hAnsi="宋体" w:cs="仿宋"/>
        </w:rPr>
      </w:pPr>
    </w:p>
    <w:p w14:paraId="69C12B8C">
      <w:pPr>
        <w:spacing w:line="288" w:lineRule="auto"/>
        <w:ind w:firstLine="420" w:firstLineChars="200"/>
        <w:jc w:val="left"/>
        <w:rPr>
          <w:rFonts w:hint="eastAsia" w:ascii="宋体" w:hAnsi="宋体" w:cs="仿宋"/>
        </w:rPr>
      </w:pPr>
    </w:p>
    <w:p w14:paraId="52FD2075">
      <w:pPr>
        <w:spacing w:line="288" w:lineRule="auto"/>
        <w:ind w:firstLine="420" w:firstLineChars="200"/>
        <w:jc w:val="left"/>
        <w:rPr>
          <w:rFonts w:hint="eastAsia" w:ascii="宋体" w:hAnsi="宋体" w:cs="仿宋"/>
        </w:rPr>
      </w:pPr>
    </w:p>
    <w:p w14:paraId="715D4B50">
      <w:pPr>
        <w:spacing w:line="288" w:lineRule="auto"/>
        <w:ind w:firstLine="420" w:firstLineChars="200"/>
        <w:jc w:val="left"/>
        <w:rPr>
          <w:rFonts w:hint="eastAsia" w:ascii="宋体" w:hAnsi="宋体" w:cs="仿宋"/>
        </w:rPr>
      </w:pPr>
    </w:p>
    <w:p w14:paraId="39FFEE95">
      <w:pPr>
        <w:spacing w:line="288" w:lineRule="auto"/>
        <w:jc w:val="left"/>
        <w:rPr>
          <w:rFonts w:hint="eastAsia" w:ascii="宋体" w:hAnsi="宋体" w:cs="仿宋"/>
        </w:rPr>
      </w:pPr>
    </w:p>
    <w:p w14:paraId="48A0B7D2">
      <w:pPr>
        <w:spacing w:line="288" w:lineRule="auto"/>
        <w:ind w:firstLine="420" w:firstLineChars="200"/>
        <w:jc w:val="left"/>
        <w:rPr>
          <w:rFonts w:hint="eastAsia" w:ascii="宋体" w:hAnsi="宋体" w:cs="仿宋"/>
        </w:rPr>
        <w:sectPr>
          <w:headerReference r:id="rId3" w:type="first"/>
          <w:footerReference r:id="rId6" w:type="first"/>
          <w:footerReference r:id="rId4" w:type="default"/>
          <w:footerReference r:id="rId5" w:type="even"/>
          <w:pgSz w:w="16838" w:h="11906" w:orient="landscape"/>
          <w:pgMar w:top="1134" w:right="1559" w:bottom="1417" w:left="1134" w:header="851" w:footer="992" w:gutter="0"/>
          <w:pgNumType w:start="19"/>
          <w:cols w:space="720" w:num="1"/>
          <w:docGrid w:linePitch="312" w:charSpace="0"/>
        </w:sectPr>
      </w:pPr>
      <w:r>
        <w:rPr>
          <w:rFonts w:hint="eastAsia" w:ascii="宋体" w:hAnsi="宋体" w:cs="仿宋"/>
        </w:rPr>
        <w:t>注：</w:t>
      </w:r>
      <w:r>
        <w:rPr>
          <w:rFonts w:ascii="宋体" w:hAnsi="宋体" w:cs="仿宋"/>
        </w:rPr>
        <w:t>1</w:t>
      </w:r>
      <w:r>
        <w:rPr>
          <w:rFonts w:hint="eastAsia" w:ascii="宋体" w:hAnsi="宋体" w:cs="仿宋"/>
        </w:rPr>
        <w:t>、以上参数供参考，投标人需将上述数据与图纸自行核对。若与图纸不符，以图纸为准；若图纸上亦不明确，请投标人自行前往现场勘查，费用自理，如有费用增加，应含在投标报价内。电梯数量、电梯机房类型如与图纸有出入，请投标人提出异议，最终以图纸为准，投标单价不变，电梯数量按实。招标人保留调整部分参数或增减功能的权力，价格不变，投标人必须无条件接受。投标人提供的货物技术参数应包括但不仅限于表中所列，其推荐的其它合适功能或参数也可能被招标人接受。招标人在招标文件中规定的技术要求、技术参数（包括型号、规格等）是为了更好的描述产品的性能、规格等要求，并无指定某品牌、型号的意思表达，投标人应予以积极响应，也可以选择技术标准、技术参数不低于招标文件规定的产品。</w:t>
      </w:r>
    </w:p>
    <w:p w14:paraId="58B8D60B">
      <w:pPr>
        <w:spacing w:line="360" w:lineRule="auto"/>
        <w:ind w:firstLine="472" w:firstLineChars="196"/>
        <w:rPr>
          <w:rFonts w:hint="eastAsia" w:ascii="宋体" w:hAnsi="宋体" w:cs="Times New Roman"/>
          <w:b/>
          <w:bCs/>
          <w:sz w:val="24"/>
          <w:szCs w:val="24"/>
        </w:rPr>
      </w:pPr>
      <w:r>
        <w:rPr>
          <w:rFonts w:hint="eastAsia" w:ascii="宋体" w:hAnsi="宋体" w:cs="Times New Roman"/>
          <w:b/>
          <w:bCs/>
          <w:sz w:val="24"/>
          <w:szCs w:val="24"/>
          <w:lang w:eastAsia="zh-CN"/>
        </w:rPr>
        <w:t>二、</w:t>
      </w:r>
      <w:bookmarkStart w:id="0" w:name="_GoBack"/>
      <w:bookmarkEnd w:id="0"/>
      <w:r>
        <w:rPr>
          <w:rFonts w:hint="eastAsia" w:ascii="宋体" w:hAnsi="宋体" w:cs="Times New Roman"/>
          <w:b/>
          <w:bCs/>
          <w:sz w:val="24"/>
          <w:szCs w:val="24"/>
        </w:rPr>
        <w:t>电梯装饰要求：</w:t>
      </w:r>
    </w:p>
    <w:p w14:paraId="45F84D45">
      <w:pPr>
        <w:spacing w:line="360" w:lineRule="auto"/>
        <w:ind w:firstLine="480" w:firstLineChars="200"/>
        <w:rPr>
          <w:rFonts w:hint="eastAsia" w:ascii="宋体" w:hAnsi="宋体" w:cs="Times New Roman"/>
          <w:bCs/>
          <w:sz w:val="24"/>
          <w:szCs w:val="24"/>
        </w:rPr>
      </w:pPr>
      <w:r>
        <w:rPr>
          <w:rFonts w:hint="eastAsia" w:ascii="宋体" w:hAnsi="宋体" w:cs="Times New Roman"/>
          <w:bCs/>
          <w:sz w:val="24"/>
          <w:szCs w:val="24"/>
        </w:rPr>
        <w:t>轿厢和厅门入口(包括指示器和按钮) 装饰方案要求：</w:t>
      </w:r>
    </w:p>
    <w:p w14:paraId="61B931C5">
      <w:pPr>
        <w:spacing w:line="360" w:lineRule="auto"/>
        <w:ind w:firstLine="480" w:firstLineChars="200"/>
        <w:rPr>
          <w:rFonts w:hint="eastAsia" w:ascii="宋体" w:hAnsi="宋体" w:cs="Times New Roman"/>
          <w:bCs/>
          <w:sz w:val="24"/>
          <w:szCs w:val="24"/>
        </w:rPr>
      </w:pPr>
      <w:r>
        <w:rPr>
          <w:rFonts w:hint="eastAsia" w:ascii="宋体" w:hAnsi="宋体" w:cs="Times New Roman"/>
          <w:bCs/>
          <w:sz w:val="24"/>
          <w:szCs w:val="24"/>
        </w:rPr>
        <w:t>轿厢和厅门的装饰由投标人按下列要求进行,但投标人须在合同总价范围内,推荐3种及以上合适的布置方案供招标人选择,业主对方案不满意的，可另行选择其他厂家 ，但费用不作调整，最后布置方案须得到招标人认可。投标人须按下列提供:</w:t>
      </w:r>
    </w:p>
    <w:tbl>
      <w:tblPr>
        <w:tblStyle w:val="31"/>
        <w:tblW w:w="95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61"/>
        <w:gridCol w:w="4737"/>
        <w:gridCol w:w="2227"/>
      </w:tblGrid>
      <w:tr w14:paraId="49FF7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2561" w:type="dxa"/>
            <w:tcBorders>
              <w:tl2br w:val="single" w:color="auto" w:sz="12" w:space="0"/>
            </w:tcBorders>
            <w:vAlign w:val="center"/>
          </w:tcPr>
          <w:p w14:paraId="18B74D60">
            <w:pPr>
              <w:spacing w:line="360" w:lineRule="auto"/>
              <w:ind w:firstLine="1443" w:firstLineChars="599"/>
              <w:rPr>
                <w:rFonts w:hint="eastAsia" w:ascii="宋体" w:hAnsi="宋体" w:cs="Times New Roman"/>
                <w:b/>
                <w:bCs/>
                <w:sz w:val="24"/>
                <w:szCs w:val="24"/>
              </w:rPr>
            </w:pPr>
            <w:r>
              <w:rPr>
                <w:rFonts w:hint="eastAsia" w:ascii="宋体" w:hAnsi="宋体" w:cs="Times New Roman"/>
                <w:b/>
                <w:bCs/>
                <w:sz w:val="24"/>
                <w:szCs w:val="24"/>
              </w:rPr>
              <w:t>电梯类型</w:t>
            </w:r>
          </w:p>
          <w:p w14:paraId="4B202A8D">
            <w:pPr>
              <w:spacing w:line="360" w:lineRule="auto"/>
              <w:ind w:firstLine="118" w:firstLineChars="49"/>
              <w:rPr>
                <w:rFonts w:hint="eastAsia" w:ascii="宋体" w:hAnsi="宋体" w:cs="Times New Roman"/>
                <w:b/>
                <w:bCs/>
                <w:sz w:val="24"/>
                <w:szCs w:val="24"/>
              </w:rPr>
            </w:pPr>
            <w:r>
              <w:rPr>
                <w:rFonts w:hint="eastAsia" w:ascii="宋体" w:hAnsi="宋体" w:cs="Times New Roman"/>
                <w:b/>
                <w:bCs/>
                <w:sz w:val="24"/>
                <w:szCs w:val="24"/>
              </w:rPr>
              <w:t>项  目</w:t>
            </w:r>
          </w:p>
        </w:tc>
        <w:tc>
          <w:tcPr>
            <w:tcW w:w="4737" w:type="dxa"/>
            <w:vAlign w:val="center"/>
          </w:tcPr>
          <w:p w14:paraId="2C0D326C">
            <w:pPr>
              <w:spacing w:line="288" w:lineRule="auto"/>
              <w:jc w:val="center"/>
              <w:rPr>
                <w:rFonts w:hint="eastAsia" w:ascii="宋体" w:hAnsi="宋体" w:cs="Times New Roman"/>
                <w:b/>
                <w:bCs/>
                <w:sz w:val="24"/>
                <w:szCs w:val="24"/>
              </w:rPr>
            </w:pPr>
            <w:r>
              <w:rPr>
                <w:rFonts w:hint="eastAsia" w:ascii="宋体" w:hAnsi="宋体" w:cs="Times New Roman"/>
                <w:b/>
                <w:bCs/>
                <w:sz w:val="24"/>
                <w:szCs w:val="24"/>
              </w:rPr>
              <w:t>电梯</w:t>
            </w:r>
          </w:p>
        </w:tc>
        <w:tc>
          <w:tcPr>
            <w:tcW w:w="2227" w:type="dxa"/>
            <w:vAlign w:val="center"/>
          </w:tcPr>
          <w:p w14:paraId="115432DA">
            <w:pPr>
              <w:spacing w:line="360" w:lineRule="auto"/>
              <w:jc w:val="center"/>
              <w:rPr>
                <w:rFonts w:hint="eastAsia" w:ascii="宋体" w:hAnsi="宋体" w:cs="Times New Roman"/>
                <w:b/>
                <w:bCs/>
                <w:sz w:val="24"/>
                <w:szCs w:val="24"/>
              </w:rPr>
            </w:pPr>
            <w:r>
              <w:rPr>
                <w:rFonts w:hint="eastAsia" w:ascii="宋体" w:hAnsi="宋体" w:cs="Times New Roman"/>
                <w:b/>
                <w:bCs/>
                <w:sz w:val="24"/>
                <w:szCs w:val="24"/>
              </w:rPr>
              <w:t>投标文件</w:t>
            </w:r>
          </w:p>
          <w:p w14:paraId="662F91F6">
            <w:pPr>
              <w:spacing w:line="360" w:lineRule="auto"/>
              <w:jc w:val="center"/>
              <w:rPr>
                <w:rFonts w:hint="eastAsia" w:ascii="宋体" w:hAnsi="宋体" w:cs="Times New Roman"/>
                <w:b/>
                <w:bCs/>
                <w:sz w:val="24"/>
                <w:szCs w:val="24"/>
              </w:rPr>
            </w:pPr>
            <w:r>
              <w:rPr>
                <w:rFonts w:hint="eastAsia" w:ascii="宋体" w:hAnsi="宋体" w:cs="Times New Roman"/>
                <w:b/>
                <w:bCs/>
                <w:sz w:val="24"/>
                <w:szCs w:val="24"/>
              </w:rPr>
              <w:t>对应的规范</w:t>
            </w:r>
          </w:p>
        </w:tc>
      </w:tr>
      <w:tr w14:paraId="022C3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2561" w:type="dxa"/>
            <w:vAlign w:val="center"/>
          </w:tcPr>
          <w:p w14:paraId="677D225C">
            <w:pPr>
              <w:spacing w:line="360" w:lineRule="auto"/>
              <w:jc w:val="center"/>
              <w:rPr>
                <w:rFonts w:hint="eastAsia" w:ascii="宋体" w:hAnsi="宋体" w:cs="Times New Roman"/>
                <w:b/>
                <w:bCs/>
                <w:sz w:val="24"/>
                <w:szCs w:val="24"/>
              </w:rPr>
            </w:pPr>
            <w:r>
              <w:rPr>
                <w:rFonts w:hint="eastAsia" w:ascii="宋体" w:hAnsi="宋体" w:cs="Times New Roman"/>
                <w:b/>
                <w:bCs/>
                <w:sz w:val="24"/>
                <w:szCs w:val="24"/>
              </w:rPr>
              <w:t>轿 厢</w:t>
            </w:r>
          </w:p>
        </w:tc>
        <w:tc>
          <w:tcPr>
            <w:tcW w:w="4737" w:type="dxa"/>
            <w:vAlign w:val="center"/>
          </w:tcPr>
          <w:p w14:paraId="469C201A">
            <w:pPr>
              <w:spacing w:line="288" w:lineRule="auto"/>
              <w:rPr>
                <w:rFonts w:hint="eastAsia" w:ascii="宋体" w:hAnsi="宋体" w:cs="Times New Roman"/>
                <w:bCs/>
                <w:sz w:val="24"/>
                <w:szCs w:val="24"/>
              </w:rPr>
            </w:pPr>
            <w:r>
              <w:rPr>
                <w:rFonts w:hint="eastAsia" w:ascii="宋体" w:hAnsi="宋体" w:cs="Times New Roman"/>
                <w:bCs/>
                <w:sz w:val="24"/>
                <w:szCs w:val="24"/>
              </w:rPr>
              <w:t>采用</w:t>
            </w:r>
            <w:r>
              <w:rPr>
                <w:rFonts w:hint="eastAsia" w:ascii="宋体" w:hAnsi="宋体" w:cs="Times New Roman"/>
                <w:bCs/>
                <w:sz w:val="24"/>
                <w:szCs w:val="24"/>
                <w:lang w:val="en-US" w:eastAsia="zh-CN"/>
              </w:rPr>
              <w:t>304</w:t>
            </w:r>
            <w:r>
              <w:rPr>
                <w:rFonts w:hint="eastAsia" w:ascii="宋体" w:hAnsi="宋体" w:cs="Times New Roman"/>
                <w:bCs/>
                <w:sz w:val="24"/>
                <w:szCs w:val="24"/>
              </w:rPr>
              <w:t>不锈钢板（材质厚度≥1.</w:t>
            </w:r>
            <w:r>
              <w:rPr>
                <w:rFonts w:hint="eastAsia" w:ascii="宋体" w:hAnsi="宋体" w:cs="Times New Roman"/>
                <w:bCs/>
                <w:sz w:val="24"/>
                <w:szCs w:val="24"/>
                <w:lang w:val="en-US" w:eastAsia="zh-CN"/>
              </w:rPr>
              <w:t>5</w:t>
            </w:r>
            <w:r>
              <w:rPr>
                <w:rFonts w:hint="eastAsia" w:ascii="宋体" w:hAnsi="宋体" w:cs="Times New Roman"/>
                <w:bCs/>
                <w:sz w:val="24"/>
                <w:szCs w:val="24"/>
              </w:rPr>
              <w:t>mm）。</w:t>
            </w:r>
          </w:p>
        </w:tc>
        <w:tc>
          <w:tcPr>
            <w:tcW w:w="2227" w:type="dxa"/>
            <w:vAlign w:val="center"/>
          </w:tcPr>
          <w:p w14:paraId="6E8868DF">
            <w:pPr>
              <w:spacing w:line="360" w:lineRule="auto"/>
              <w:ind w:left="-9" w:leftChars="-83" w:hanging="165" w:hangingChars="69"/>
              <w:jc w:val="center"/>
              <w:rPr>
                <w:rFonts w:hint="eastAsia" w:ascii="宋体" w:hAnsi="宋体" w:cs="Times New Roman"/>
                <w:bCs/>
                <w:sz w:val="24"/>
                <w:szCs w:val="24"/>
              </w:rPr>
            </w:pPr>
          </w:p>
        </w:tc>
      </w:tr>
      <w:tr w14:paraId="61633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2561" w:type="dxa"/>
            <w:vAlign w:val="center"/>
          </w:tcPr>
          <w:p w14:paraId="74EC3458">
            <w:pPr>
              <w:spacing w:line="360" w:lineRule="auto"/>
              <w:jc w:val="center"/>
              <w:rPr>
                <w:rFonts w:hint="eastAsia" w:ascii="宋体" w:hAnsi="宋体" w:cs="Times New Roman"/>
                <w:b/>
                <w:bCs/>
                <w:sz w:val="24"/>
                <w:szCs w:val="24"/>
              </w:rPr>
            </w:pPr>
            <w:r>
              <w:rPr>
                <w:rFonts w:hint="eastAsia" w:ascii="宋体" w:hAnsi="宋体" w:cs="Times New Roman"/>
                <w:b/>
                <w:bCs/>
                <w:sz w:val="24"/>
                <w:szCs w:val="24"/>
              </w:rPr>
              <w:t>地  面</w:t>
            </w:r>
          </w:p>
        </w:tc>
        <w:tc>
          <w:tcPr>
            <w:tcW w:w="4737" w:type="dxa"/>
            <w:vAlign w:val="center"/>
          </w:tcPr>
          <w:p w14:paraId="24A0F9BA">
            <w:pPr>
              <w:spacing w:line="288" w:lineRule="auto"/>
              <w:rPr>
                <w:rFonts w:hint="eastAsia" w:ascii="宋体" w:hAnsi="宋体" w:cs="Times New Roman"/>
                <w:bCs/>
                <w:sz w:val="24"/>
                <w:szCs w:val="24"/>
              </w:rPr>
            </w:pPr>
            <w:r>
              <w:rPr>
                <w:rFonts w:hint="eastAsia" w:ascii="宋体" w:hAnsi="宋体" w:cs="Times New Roman"/>
                <w:bCs/>
                <w:sz w:val="24"/>
                <w:szCs w:val="24"/>
              </w:rPr>
              <w:t>地面采用</w:t>
            </w:r>
            <w:r>
              <w:rPr>
                <w:rFonts w:hint="eastAsia" w:ascii="宋体" w:hAnsi="宋体" w:cs="Times New Roman"/>
                <w:bCs/>
                <w:sz w:val="24"/>
                <w:szCs w:val="24"/>
                <w:lang w:val="en-US" w:eastAsia="zh-CN"/>
              </w:rPr>
              <w:t>人造大理石</w:t>
            </w:r>
            <w:r>
              <w:rPr>
                <w:rFonts w:hint="eastAsia" w:ascii="宋体" w:hAnsi="宋体" w:cs="Times New Roman"/>
                <w:bCs/>
                <w:sz w:val="24"/>
                <w:szCs w:val="24"/>
              </w:rPr>
              <w:t>。</w:t>
            </w:r>
          </w:p>
        </w:tc>
        <w:tc>
          <w:tcPr>
            <w:tcW w:w="2227" w:type="dxa"/>
            <w:vAlign w:val="center"/>
          </w:tcPr>
          <w:p w14:paraId="4E991263">
            <w:pPr>
              <w:spacing w:line="360" w:lineRule="auto"/>
              <w:rPr>
                <w:rFonts w:hint="eastAsia" w:ascii="宋体" w:hAnsi="宋体" w:cs="Times New Roman"/>
                <w:bCs/>
                <w:sz w:val="24"/>
                <w:szCs w:val="24"/>
              </w:rPr>
            </w:pPr>
          </w:p>
        </w:tc>
      </w:tr>
      <w:tr w14:paraId="0E3949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2561" w:type="dxa"/>
            <w:vAlign w:val="center"/>
          </w:tcPr>
          <w:p w14:paraId="35D5CF35">
            <w:pPr>
              <w:spacing w:line="360" w:lineRule="auto"/>
              <w:jc w:val="center"/>
              <w:rPr>
                <w:rFonts w:hint="eastAsia" w:ascii="宋体" w:hAnsi="宋体" w:cs="Times New Roman"/>
                <w:b/>
                <w:bCs/>
                <w:sz w:val="24"/>
                <w:szCs w:val="24"/>
              </w:rPr>
            </w:pPr>
            <w:r>
              <w:rPr>
                <w:rFonts w:hint="eastAsia" w:ascii="宋体" w:hAnsi="宋体" w:cs="Times New Roman"/>
                <w:b/>
                <w:bCs/>
                <w:sz w:val="24"/>
                <w:szCs w:val="24"/>
              </w:rPr>
              <w:t>轿厢顶</w:t>
            </w:r>
          </w:p>
        </w:tc>
        <w:tc>
          <w:tcPr>
            <w:tcW w:w="4737" w:type="dxa"/>
            <w:vAlign w:val="center"/>
          </w:tcPr>
          <w:p w14:paraId="667AFFD0">
            <w:pPr>
              <w:spacing w:line="288" w:lineRule="auto"/>
              <w:rPr>
                <w:rFonts w:hint="eastAsia" w:ascii="宋体" w:hAnsi="宋体" w:cs="Times New Roman"/>
                <w:bCs/>
                <w:sz w:val="24"/>
                <w:szCs w:val="24"/>
              </w:rPr>
            </w:pPr>
            <w:r>
              <w:rPr>
                <w:rFonts w:hint="eastAsia" w:ascii="宋体" w:hAnsi="宋体" w:cs="Times New Roman"/>
                <w:bCs/>
                <w:sz w:val="24"/>
                <w:szCs w:val="24"/>
              </w:rPr>
              <w:t>豪华装饰，含灯光和通风扇（手动及自动控制，轿厢内应配置无人自动关灯），轿厢顶部需留有摄像机孔，随行视频电缆为数字线，轿厢净高度≥2</w:t>
            </w:r>
            <w:r>
              <w:rPr>
                <w:rFonts w:ascii="宋体" w:hAnsi="宋体" w:cs="Times New Roman"/>
                <w:bCs/>
                <w:sz w:val="24"/>
                <w:szCs w:val="24"/>
              </w:rPr>
              <w:t>3</w:t>
            </w:r>
            <w:r>
              <w:rPr>
                <w:rFonts w:hint="eastAsia" w:ascii="宋体" w:hAnsi="宋体" w:cs="Times New Roman"/>
                <w:bCs/>
                <w:sz w:val="24"/>
                <w:szCs w:val="24"/>
              </w:rPr>
              <w:t>00mm。投标人自荐彩色单页详细样本供招标人选择，总价不变。</w:t>
            </w:r>
          </w:p>
        </w:tc>
        <w:tc>
          <w:tcPr>
            <w:tcW w:w="2227" w:type="dxa"/>
            <w:vAlign w:val="center"/>
          </w:tcPr>
          <w:p w14:paraId="17B4CD6B">
            <w:pPr>
              <w:spacing w:line="360" w:lineRule="auto"/>
              <w:rPr>
                <w:rFonts w:hint="eastAsia" w:ascii="宋体" w:hAnsi="宋体" w:cs="Times New Roman"/>
                <w:bCs/>
                <w:sz w:val="24"/>
                <w:szCs w:val="24"/>
              </w:rPr>
            </w:pPr>
          </w:p>
        </w:tc>
      </w:tr>
      <w:tr w14:paraId="4D9E9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561" w:type="dxa"/>
            <w:vAlign w:val="center"/>
          </w:tcPr>
          <w:p w14:paraId="46BA26BC">
            <w:pPr>
              <w:spacing w:line="360" w:lineRule="auto"/>
              <w:jc w:val="center"/>
              <w:rPr>
                <w:rFonts w:hint="eastAsia" w:ascii="宋体" w:hAnsi="宋体" w:cs="Times New Roman"/>
                <w:b/>
                <w:bCs/>
                <w:sz w:val="24"/>
                <w:szCs w:val="24"/>
              </w:rPr>
            </w:pPr>
            <w:r>
              <w:rPr>
                <w:rFonts w:hint="eastAsia" w:ascii="宋体" w:hAnsi="宋体" w:cs="Times New Roman"/>
                <w:b/>
                <w:bCs/>
                <w:sz w:val="24"/>
                <w:szCs w:val="24"/>
              </w:rPr>
              <w:t>轿  门</w:t>
            </w:r>
          </w:p>
        </w:tc>
        <w:tc>
          <w:tcPr>
            <w:tcW w:w="4737" w:type="dxa"/>
            <w:vAlign w:val="center"/>
          </w:tcPr>
          <w:p w14:paraId="6E6CC1C7">
            <w:pPr>
              <w:spacing w:line="288" w:lineRule="auto"/>
              <w:rPr>
                <w:rFonts w:hint="eastAsia" w:ascii="宋体" w:hAnsi="宋体" w:cs="Times New Roman"/>
                <w:bCs/>
                <w:sz w:val="24"/>
                <w:szCs w:val="24"/>
              </w:rPr>
            </w:pPr>
            <w:r>
              <w:rPr>
                <w:rFonts w:hint="eastAsia" w:ascii="宋体" w:hAnsi="宋体" w:cs="Times New Roman"/>
                <w:bCs/>
                <w:sz w:val="24"/>
                <w:szCs w:val="24"/>
              </w:rPr>
              <w:t>自动双扇中分门，采用</w:t>
            </w:r>
            <w:r>
              <w:rPr>
                <w:rFonts w:hint="eastAsia" w:ascii="宋体" w:hAnsi="宋体" w:cs="Times New Roman"/>
                <w:bCs/>
                <w:sz w:val="24"/>
                <w:szCs w:val="24"/>
                <w:lang w:val="en-US" w:eastAsia="zh-CN"/>
              </w:rPr>
              <w:t>304</w:t>
            </w:r>
            <w:r>
              <w:rPr>
                <w:rFonts w:hint="eastAsia" w:ascii="宋体" w:hAnsi="宋体" w:cs="Times New Roman"/>
                <w:bCs/>
                <w:sz w:val="24"/>
                <w:szCs w:val="24"/>
              </w:rPr>
              <w:t>不锈钢板（材质厚度≥1.</w:t>
            </w:r>
            <w:r>
              <w:rPr>
                <w:rFonts w:hint="eastAsia" w:ascii="宋体" w:hAnsi="宋体" w:cs="Times New Roman"/>
                <w:bCs/>
                <w:sz w:val="24"/>
                <w:szCs w:val="24"/>
                <w:lang w:val="en-US" w:eastAsia="zh-CN"/>
              </w:rPr>
              <w:t>5</w:t>
            </w:r>
            <w:r>
              <w:rPr>
                <w:rFonts w:hint="eastAsia" w:ascii="宋体" w:hAnsi="宋体" w:cs="Times New Roman"/>
                <w:bCs/>
                <w:sz w:val="24"/>
                <w:szCs w:val="24"/>
              </w:rPr>
              <w:t>mm）。</w:t>
            </w:r>
          </w:p>
        </w:tc>
        <w:tc>
          <w:tcPr>
            <w:tcW w:w="2227" w:type="dxa"/>
            <w:vAlign w:val="center"/>
          </w:tcPr>
          <w:p w14:paraId="5D52D412">
            <w:pPr>
              <w:spacing w:line="360" w:lineRule="auto"/>
              <w:rPr>
                <w:rFonts w:hint="eastAsia" w:ascii="宋体" w:hAnsi="宋体" w:cs="Times New Roman"/>
                <w:bCs/>
                <w:sz w:val="24"/>
                <w:szCs w:val="24"/>
              </w:rPr>
            </w:pPr>
          </w:p>
        </w:tc>
      </w:tr>
      <w:tr w14:paraId="5AD18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2561" w:type="dxa"/>
            <w:vAlign w:val="center"/>
          </w:tcPr>
          <w:p w14:paraId="58DBD67A">
            <w:pPr>
              <w:spacing w:line="360" w:lineRule="auto"/>
              <w:jc w:val="center"/>
              <w:rPr>
                <w:rFonts w:hint="eastAsia" w:ascii="宋体" w:hAnsi="宋体" w:cs="Times New Roman"/>
                <w:b/>
                <w:bCs/>
                <w:sz w:val="24"/>
                <w:szCs w:val="24"/>
              </w:rPr>
            </w:pPr>
            <w:r>
              <w:rPr>
                <w:rFonts w:hint="eastAsia" w:ascii="宋体" w:hAnsi="宋体" w:cs="Times New Roman"/>
                <w:b/>
                <w:bCs/>
                <w:sz w:val="24"/>
                <w:szCs w:val="24"/>
              </w:rPr>
              <w:t>轿厢操纵盘</w:t>
            </w:r>
          </w:p>
        </w:tc>
        <w:tc>
          <w:tcPr>
            <w:tcW w:w="4737" w:type="dxa"/>
            <w:vAlign w:val="center"/>
          </w:tcPr>
          <w:p w14:paraId="04BFE0C3">
            <w:pPr>
              <w:spacing w:line="288" w:lineRule="auto"/>
              <w:rPr>
                <w:rFonts w:hint="eastAsia" w:ascii="宋体" w:hAnsi="宋体" w:cs="Times New Roman"/>
                <w:bCs/>
                <w:sz w:val="24"/>
                <w:szCs w:val="24"/>
              </w:rPr>
            </w:pPr>
            <w:r>
              <w:rPr>
                <w:rFonts w:hint="eastAsia" w:ascii="宋体" w:hAnsi="宋体" w:cs="Times New Roman"/>
                <w:bCs/>
                <w:sz w:val="24"/>
                <w:szCs w:val="24"/>
              </w:rPr>
              <w:t>装有触摸式发光二极管照明的楼层按钮及楼层显示，担架电梯采用单侧一体式操纵盘，材质发纹不锈钢面板厚度≥1.</w:t>
            </w:r>
            <w:r>
              <w:rPr>
                <w:rFonts w:ascii="宋体" w:hAnsi="宋体" w:cs="Times New Roman"/>
                <w:bCs/>
                <w:sz w:val="24"/>
                <w:szCs w:val="24"/>
              </w:rPr>
              <w:t>2</w:t>
            </w:r>
            <w:r>
              <w:rPr>
                <w:rFonts w:hint="eastAsia" w:ascii="宋体" w:hAnsi="宋体" w:cs="Times New Roman"/>
                <w:bCs/>
                <w:sz w:val="24"/>
                <w:szCs w:val="24"/>
              </w:rPr>
              <w:t>mm。投标人自荐彩色单页详细样本供招标人选择，总价不变。</w:t>
            </w:r>
          </w:p>
          <w:p w14:paraId="501E5588">
            <w:pPr>
              <w:spacing w:line="288" w:lineRule="auto"/>
              <w:rPr>
                <w:rFonts w:hint="eastAsia" w:ascii="宋体" w:hAnsi="宋体" w:cs="Times New Roman"/>
                <w:bCs/>
                <w:sz w:val="24"/>
                <w:szCs w:val="24"/>
              </w:rPr>
            </w:pPr>
            <w:r>
              <w:rPr>
                <w:rFonts w:hint="eastAsia" w:ascii="宋体" w:hAnsi="宋体" w:cs="Times New Roman"/>
                <w:bCs/>
                <w:sz w:val="24"/>
                <w:szCs w:val="24"/>
              </w:rPr>
              <w:t>无障碍电梯另需配置无障碍操纵箱，盲文按钮，以满足无障碍电梯标准。</w:t>
            </w:r>
          </w:p>
        </w:tc>
        <w:tc>
          <w:tcPr>
            <w:tcW w:w="2227" w:type="dxa"/>
            <w:vAlign w:val="center"/>
          </w:tcPr>
          <w:p w14:paraId="36C42131">
            <w:pPr>
              <w:spacing w:line="360" w:lineRule="auto"/>
              <w:rPr>
                <w:rFonts w:hint="eastAsia" w:ascii="宋体" w:hAnsi="宋体" w:cs="Times New Roman"/>
                <w:bCs/>
                <w:sz w:val="24"/>
                <w:szCs w:val="24"/>
              </w:rPr>
            </w:pPr>
          </w:p>
          <w:p w14:paraId="1D3A2607">
            <w:pPr>
              <w:spacing w:line="360" w:lineRule="auto"/>
              <w:rPr>
                <w:rFonts w:hint="eastAsia" w:ascii="宋体" w:hAnsi="宋体" w:cs="Times New Roman"/>
                <w:bCs/>
                <w:sz w:val="24"/>
                <w:szCs w:val="24"/>
              </w:rPr>
            </w:pPr>
          </w:p>
        </w:tc>
      </w:tr>
      <w:tr w14:paraId="78018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2561" w:type="dxa"/>
            <w:vAlign w:val="center"/>
          </w:tcPr>
          <w:p w14:paraId="33ACAE37">
            <w:pPr>
              <w:spacing w:line="360" w:lineRule="auto"/>
              <w:jc w:val="center"/>
              <w:rPr>
                <w:rFonts w:hint="eastAsia" w:ascii="宋体" w:hAnsi="宋体" w:cs="Times New Roman"/>
                <w:b/>
                <w:bCs/>
                <w:sz w:val="24"/>
                <w:szCs w:val="24"/>
              </w:rPr>
            </w:pPr>
            <w:r>
              <w:rPr>
                <w:rFonts w:hint="eastAsia" w:ascii="宋体" w:hAnsi="宋体" w:cs="Times New Roman"/>
                <w:b/>
                <w:bCs/>
                <w:sz w:val="24"/>
                <w:szCs w:val="24"/>
              </w:rPr>
              <w:t>轿厢门坎</w:t>
            </w:r>
          </w:p>
        </w:tc>
        <w:tc>
          <w:tcPr>
            <w:tcW w:w="4737" w:type="dxa"/>
            <w:vAlign w:val="center"/>
          </w:tcPr>
          <w:p w14:paraId="02A43D7D">
            <w:pPr>
              <w:spacing w:line="288" w:lineRule="auto"/>
              <w:rPr>
                <w:rFonts w:hint="eastAsia" w:ascii="宋体" w:hAnsi="宋体" w:cs="Times New Roman"/>
                <w:bCs/>
                <w:sz w:val="24"/>
                <w:szCs w:val="24"/>
              </w:rPr>
            </w:pPr>
            <w:r>
              <w:rPr>
                <w:rFonts w:hint="eastAsia" w:ascii="宋体" w:hAnsi="宋体" w:cs="Times New Roman"/>
                <w:bCs/>
                <w:sz w:val="24"/>
                <w:szCs w:val="24"/>
              </w:rPr>
              <w:t>硬质铝合金</w:t>
            </w:r>
          </w:p>
        </w:tc>
        <w:tc>
          <w:tcPr>
            <w:tcW w:w="2227" w:type="dxa"/>
            <w:vAlign w:val="center"/>
          </w:tcPr>
          <w:p w14:paraId="71D79F27">
            <w:pPr>
              <w:spacing w:line="360" w:lineRule="auto"/>
              <w:rPr>
                <w:rFonts w:hint="eastAsia" w:ascii="宋体" w:hAnsi="宋体" w:cs="Times New Roman"/>
                <w:bCs/>
                <w:sz w:val="24"/>
                <w:szCs w:val="24"/>
              </w:rPr>
            </w:pPr>
          </w:p>
        </w:tc>
      </w:tr>
      <w:tr w14:paraId="46551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2561" w:type="dxa"/>
            <w:vAlign w:val="center"/>
          </w:tcPr>
          <w:p w14:paraId="6D489B80">
            <w:pPr>
              <w:spacing w:line="360" w:lineRule="auto"/>
              <w:jc w:val="center"/>
              <w:rPr>
                <w:rFonts w:hint="eastAsia" w:ascii="宋体" w:hAnsi="宋体" w:cs="Times New Roman"/>
                <w:b/>
                <w:bCs/>
                <w:sz w:val="24"/>
                <w:szCs w:val="24"/>
              </w:rPr>
            </w:pPr>
            <w:r>
              <w:rPr>
                <w:rFonts w:hint="eastAsia" w:ascii="宋体" w:hAnsi="宋体" w:cs="Times New Roman"/>
                <w:b/>
                <w:bCs/>
                <w:sz w:val="24"/>
                <w:szCs w:val="24"/>
              </w:rPr>
              <w:t>厅门坎</w:t>
            </w:r>
          </w:p>
        </w:tc>
        <w:tc>
          <w:tcPr>
            <w:tcW w:w="4737" w:type="dxa"/>
            <w:vAlign w:val="center"/>
          </w:tcPr>
          <w:p w14:paraId="15826714">
            <w:pPr>
              <w:spacing w:line="288" w:lineRule="auto"/>
              <w:rPr>
                <w:rFonts w:hint="eastAsia" w:ascii="宋体" w:hAnsi="宋体" w:cs="Times New Roman"/>
                <w:bCs/>
                <w:sz w:val="24"/>
                <w:szCs w:val="24"/>
              </w:rPr>
            </w:pPr>
            <w:r>
              <w:rPr>
                <w:rFonts w:hint="eastAsia" w:ascii="宋体" w:hAnsi="宋体" w:cs="Times New Roman"/>
                <w:bCs/>
                <w:sz w:val="24"/>
                <w:szCs w:val="24"/>
              </w:rPr>
              <w:t>硬质铝合金</w:t>
            </w:r>
          </w:p>
        </w:tc>
        <w:tc>
          <w:tcPr>
            <w:tcW w:w="2227" w:type="dxa"/>
            <w:vAlign w:val="center"/>
          </w:tcPr>
          <w:p w14:paraId="46B91B32">
            <w:pPr>
              <w:spacing w:line="360" w:lineRule="auto"/>
              <w:rPr>
                <w:rFonts w:hint="eastAsia" w:ascii="宋体" w:hAnsi="宋体" w:cs="Times New Roman"/>
                <w:bCs/>
                <w:sz w:val="24"/>
                <w:szCs w:val="24"/>
              </w:rPr>
            </w:pPr>
          </w:p>
        </w:tc>
      </w:tr>
      <w:tr w14:paraId="20232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561" w:type="dxa"/>
            <w:vAlign w:val="center"/>
          </w:tcPr>
          <w:p w14:paraId="498A1CC5">
            <w:pPr>
              <w:spacing w:line="360" w:lineRule="auto"/>
              <w:jc w:val="center"/>
              <w:rPr>
                <w:rFonts w:hint="eastAsia" w:ascii="宋体" w:hAnsi="宋体" w:cs="Times New Roman"/>
                <w:b/>
                <w:bCs/>
                <w:sz w:val="24"/>
                <w:szCs w:val="24"/>
              </w:rPr>
            </w:pPr>
            <w:r>
              <w:rPr>
                <w:rFonts w:hint="eastAsia" w:ascii="宋体" w:hAnsi="宋体" w:cs="Times New Roman"/>
                <w:b/>
                <w:bCs/>
                <w:sz w:val="24"/>
                <w:szCs w:val="24"/>
              </w:rPr>
              <w:t>厅  门</w:t>
            </w:r>
          </w:p>
        </w:tc>
        <w:tc>
          <w:tcPr>
            <w:tcW w:w="4737" w:type="dxa"/>
            <w:vAlign w:val="center"/>
          </w:tcPr>
          <w:p w14:paraId="527E996B">
            <w:pPr>
              <w:spacing w:line="288" w:lineRule="auto"/>
              <w:rPr>
                <w:rFonts w:hint="eastAsia" w:ascii="宋体" w:hAnsi="宋体" w:cs="Times New Roman"/>
                <w:bCs/>
                <w:sz w:val="24"/>
                <w:szCs w:val="24"/>
              </w:rPr>
            </w:pPr>
            <w:r>
              <w:rPr>
                <w:rFonts w:hint="eastAsia" w:ascii="宋体" w:hAnsi="宋体" w:cs="Times New Roman"/>
                <w:bCs/>
                <w:sz w:val="24"/>
                <w:szCs w:val="24"/>
              </w:rPr>
              <w:t>采用</w:t>
            </w:r>
            <w:r>
              <w:rPr>
                <w:rFonts w:hint="eastAsia" w:ascii="宋体" w:hAnsi="宋体" w:cs="Times New Roman"/>
                <w:bCs/>
                <w:sz w:val="24"/>
                <w:szCs w:val="24"/>
                <w:lang w:val="en-US" w:eastAsia="zh-CN"/>
              </w:rPr>
              <w:t>304</w:t>
            </w:r>
            <w:r>
              <w:rPr>
                <w:rFonts w:hint="eastAsia" w:ascii="宋体" w:hAnsi="宋体" w:cs="Times New Roman"/>
                <w:bCs/>
                <w:sz w:val="24"/>
                <w:szCs w:val="24"/>
              </w:rPr>
              <w:t>不锈钢板</w:t>
            </w:r>
            <w:r>
              <w:rPr>
                <w:rFonts w:hint="eastAsia" w:ascii="宋体" w:hAnsi="宋体"/>
                <w:sz w:val="24"/>
                <w:szCs w:val="24"/>
              </w:rPr>
              <w:t>（</w:t>
            </w:r>
            <w:r>
              <w:rPr>
                <w:rFonts w:hint="eastAsia" w:ascii="宋体" w:hAnsi="宋体"/>
                <w:kern w:val="0"/>
                <w:sz w:val="24"/>
                <w:szCs w:val="24"/>
              </w:rPr>
              <w:t>材质厚度≥1.</w:t>
            </w:r>
            <w:r>
              <w:rPr>
                <w:rFonts w:hint="eastAsia" w:ascii="宋体" w:hAnsi="宋体"/>
                <w:kern w:val="0"/>
                <w:sz w:val="24"/>
                <w:szCs w:val="24"/>
                <w:lang w:val="en-US" w:eastAsia="zh-CN"/>
              </w:rPr>
              <w:t>5</w:t>
            </w:r>
            <w:r>
              <w:rPr>
                <w:rFonts w:hint="eastAsia" w:ascii="宋体" w:hAnsi="宋体"/>
                <w:kern w:val="0"/>
                <w:sz w:val="24"/>
                <w:szCs w:val="24"/>
              </w:rPr>
              <w:t>mm</w:t>
            </w:r>
            <w:r>
              <w:rPr>
                <w:rFonts w:hint="eastAsia" w:ascii="宋体" w:hAnsi="宋体"/>
                <w:sz w:val="24"/>
                <w:szCs w:val="24"/>
              </w:rPr>
              <w:t>）厅门</w:t>
            </w:r>
            <w:r>
              <w:rPr>
                <w:rFonts w:hint="eastAsia" w:ascii="宋体" w:hAnsi="宋体" w:cs="Times New Roman"/>
                <w:bCs/>
                <w:sz w:val="24"/>
                <w:szCs w:val="24"/>
              </w:rPr>
              <w:t>。</w:t>
            </w:r>
          </w:p>
        </w:tc>
        <w:tc>
          <w:tcPr>
            <w:tcW w:w="2227" w:type="dxa"/>
            <w:vAlign w:val="center"/>
          </w:tcPr>
          <w:p w14:paraId="5DD06E45">
            <w:pPr>
              <w:spacing w:line="360" w:lineRule="auto"/>
              <w:rPr>
                <w:rFonts w:hint="eastAsia" w:ascii="宋体" w:hAnsi="宋体" w:cs="Times New Roman"/>
                <w:bCs/>
                <w:sz w:val="24"/>
                <w:szCs w:val="24"/>
              </w:rPr>
            </w:pPr>
          </w:p>
        </w:tc>
      </w:tr>
      <w:tr w14:paraId="40A94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561" w:type="dxa"/>
            <w:vAlign w:val="center"/>
          </w:tcPr>
          <w:p w14:paraId="7F05CA8C">
            <w:pPr>
              <w:spacing w:line="360" w:lineRule="auto"/>
              <w:jc w:val="center"/>
              <w:rPr>
                <w:rFonts w:hint="eastAsia" w:ascii="宋体" w:hAnsi="宋体" w:cs="Times New Roman"/>
                <w:b/>
                <w:bCs/>
                <w:sz w:val="24"/>
                <w:szCs w:val="24"/>
              </w:rPr>
            </w:pPr>
            <w:r>
              <w:rPr>
                <w:rFonts w:hint="eastAsia" w:ascii="宋体" w:hAnsi="宋体" w:cs="Times New Roman"/>
                <w:b/>
                <w:bCs/>
                <w:sz w:val="24"/>
                <w:szCs w:val="24"/>
              </w:rPr>
              <w:t>门  套</w:t>
            </w:r>
          </w:p>
        </w:tc>
        <w:tc>
          <w:tcPr>
            <w:tcW w:w="4737" w:type="dxa"/>
            <w:vAlign w:val="center"/>
          </w:tcPr>
          <w:p w14:paraId="1C38489C">
            <w:pPr>
              <w:spacing w:line="288" w:lineRule="auto"/>
              <w:rPr>
                <w:rFonts w:hint="eastAsia" w:ascii="宋体" w:hAnsi="宋体" w:cs="Times New Roman"/>
                <w:bCs/>
                <w:sz w:val="24"/>
                <w:szCs w:val="24"/>
              </w:rPr>
            </w:pPr>
            <w:r>
              <w:rPr>
                <w:rFonts w:hint="eastAsia" w:ascii="宋体" w:hAnsi="宋体" w:cs="Times New Roman"/>
                <w:bCs/>
                <w:sz w:val="24"/>
                <w:szCs w:val="24"/>
              </w:rPr>
              <w:t>采用</w:t>
            </w:r>
            <w:r>
              <w:rPr>
                <w:rFonts w:hint="eastAsia" w:ascii="宋体" w:hAnsi="宋体" w:cs="Times New Roman"/>
                <w:bCs/>
                <w:sz w:val="24"/>
                <w:szCs w:val="24"/>
                <w:lang w:val="en-US" w:eastAsia="zh-CN"/>
              </w:rPr>
              <w:t>304</w:t>
            </w:r>
            <w:r>
              <w:rPr>
                <w:rFonts w:hint="eastAsia" w:ascii="宋体" w:hAnsi="宋体" w:cs="Times New Roman"/>
                <w:bCs/>
                <w:sz w:val="24"/>
                <w:szCs w:val="24"/>
              </w:rPr>
              <w:t>不锈钢板</w:t>
            </w:r>
            <w:r>
              <w:rPr>
                <w:rFonts w:hint="eastAsia" w:ascii="宋体" w:hAnsi="宋体"/>
                <w:sz w:val="24"/>
                <w:szCs w:val="24"/>
              </w:rPr>
              <w:t>（</w:t>
            </w:r>
            <w:r>
              <w:rPr>
                <w:rFonts w:hint="eastAsia" w:ascii="宋体" w:hAnsi="宋体"/>
                <w:kern w:val="0"/>
                <w:sz w:val="24"/>
                <w:szCs w:val="24"/>
              </w:rPr>
              <w:t>材质厚度≥1.</w:t>
            </w:r>
            <w:r>
              <w:rPr>
                <w:rFonts w:hint="eastAsia" w:ascii="宋体" w:hAnsi="宋体"/>
                <w:kern w:val="0"/>
                <w:sz w:val="24"/>
                <w:szCs w:val="24"/>
                <w:lang w:val="en-US" w:eastAsia="zh-CN"/>
              </w:rPr>
              <w:t>5</w:t>
            </w:r>
            <w:r>
              <w:rPr>
                <w:rFonts w:hint="eastAsia" w:ascii="宋体" w:hAnsi="宋体"/>
                <w:kern w:val="0"/>
                <w:sz w:val="24"/>
                <w:szCs w:val="24"/>
              </w:rPr>
              <w:t>mm</w:t>
            </w:r>
            <w:r>
              <w:rPr>
                <w:rFonts w:hint="eastAsia" w:ascii="宋体" w:hAnsi="宋体"/>
                <w:sz w:val="24"/>
                <w:szCs w:val="24"/>
              </w:rPr>
              <w:t>）</w:t>
            </w:r>
            <w:r>
              <w:rPr>
                <w:rFonts w:hint="eastAsia" w:ascii="宋体" w:hAnsi="宋体" w:cs="Times New Roman"/>
                <w:bCs/>
                <w:sz w:val="24"/>
                <w:szCs w:val="24"/>
              </w:rPr>
              <w:t>标准小门套。</w:t>
            </w:r>
          </w:p>
        </w:tc>
        <w:tc>
          <w:tcPr>
            <w:tcW w:w="2227" w:type="dxa"/>
            <w:vAlign w:val="center"/>
          </w:tcPr>
          <w:p w14:paraId="364643F1">
            <w:pPr>
              <w:spacing w:line="360" w:lineRule="auto"/>
              <w:rPr>
                <w:rFonts w:hint="eastAsia" w:ascii="宋体" w:hAnsi="宋体" w:cs="Times New Roman"/>
                <w:bCs/>
                <w:sz w:val="24"/>
                <w:szCs w:val="24"/>
              </w:rPr>
            </w:pPr>
          </w:p>
        </w:tc>
      </w:tr>
      <w:tr w14:paraId="11BCB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561" w:type="dxa"/>
            <w:vAlign w:val="center"/>
          </w:tcPr>
          <w:p w14:paraId="3856D957">
            <w:pPr>
              <w:spacing w:line="360" w:lineRule="auto"/>
              <w:jc w:val="center"/>
              <w:rPr>
                <w:rFonts w:hint="eastAsia" w:ascii="宋体" w:hAnsi="宋体" w:cs="Times New Roman"/>
                <w:b/>
                <w:bCs/>
                <w:sz w:val="24"/>
                <w:szCs w:val="24"/>
              </w:rPr>
            </w:pPr>
            <w:r>
              <w:rPr>
                <w:rFonts w:hint="eastAsia" w:ascii="宋体" w:hAnsi="宋体" w:cs="Times New Roman"/>
                <w:b/>
                <w:bCs/>
                <w:sz w:val="24"/>
                <w:szCs w:val="24"/>
              </w:rPr>
              <w:t>门厅按钮及显示</w:t>
            </w:r>
          </w:p>
        </w:tc>
        <w:tc>
          <w:tcPr>
            <w:tcW w:w="4737" w:type="dxa"/>
            <w:vAlign w:val="center"/>
          </w:tcPr>
          <w:p w14:paraId="76DCAD6D">
            <w:pPr>
              <w:spacing w:line="288" w:lineRule="auto"/>
              <w:rPr>
                <w:rFonts w:hint="eastAsia" w:ascii="宋体" w:hAnsi="宋体" w:cs="Times New Roman"/>
                <w:bCs/>
                <w:sz w:val="24"/>
                <w:szCs w:val="24"/>
              </w:rPr>
            </w:pPr>
            <w:r>
              <w:rPr>
                <w:rFonts w:hint="eastAsia" w:ascii="宋体" w:hAnsi="宋体" w:cs="Times New Roman"/>
                <w:bCs/>
                <w:sz w:val="24"/>
                <w:szCs w:val="24"/>
              </w:rPr>
              <w:t>每层门厅均有楼层显示、运行方向显示、检修显示与按钮装在同一发纹不锈钢面板上（材质发纹不锈钢面板厚度≥1.</w:t>
            </w:r>
            <w:r>
              <w:rPr>
                <w:rFonts w:ascii="宋体" w:hAnsi="宋体" w:cs="Times New Roman"/>
                <w:bCs/>
                <w:sz w:val="24"/>
                <w:szCs w:val="24"/>
              </w:rPr>
              <w:t>2</w:t>
            </w:r>
            <w:r>
              <w:rPr>
                <w:rFonts w:hint="eastAsia" w:ascii="宋体" w:hAnsi="宋体" w:cs="Times New Roman"/>
                <w:bCs/>
                <w:sz w:val="24"/>
                <w:szCs w:val="24"/>
              </w:rPr>
              <w:t>mm），装有微动发光二极管照明的楼层按钮。投标人自荐彩色单页详细样本供招标人选择，总价不变。</w:t>
            </w:r>
          </w:p>
        </w:tc>
        <w:tc>
          <w:tcPr>
            <w:tcW w:w="2227" w:type="dxa"/>
            <w:vAlign w:val="center"/>
          </w:tcPr>
          <w:p w14:paraId="0AF6321A">
            <w:pPr>
              <w:spacing w:line="360" w:lineRule="auto"/>
              <w:rPr>
                <w:rFonts w:hint="eastAsia" w:ascii="宋体" w:hAnsi="宋体" w:cs="Times New Roman"/>
                <w:bCs/>
                <w:sz w:val="24"/>
                <w:szCs w:val="24"/>
              </w:rPr>
            </w:pPr>
          </w:p>
          <w:p w14:paraId="21ECBA88">
            <w:pPr>
              <w:spacing w:line="360" w:lineRule="auto"/>
              <w:rPr>
                <w:rFonts w:hint="eastAsia" w:ascii="宋体" w:hAnsi="宋体" w:cs="Times New Roman"/>
                <w:bCs/>
                <w:sz w:val="24"/>
                <w:szCs w:val="24"/>
              </w:rPr>
            </w:pPr>
          </w:p>
        </w:tc>
      </w:tr>
      <w:tr w14:paraId="605C7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561" w:type="dxa"/>
            <w:vAlign w:val="center"/>
          </w:tcPr>
          <w:p w14:paraId="0FE7806B">
            <w:pPr>
              <w:spacing w:line="360" w:lineRule="auto"/>
              <w:jc w:val="center"/>
              <w:rPr>
                <w:rFonts w:hint="eastAsia" w:ascii="宋体" w:hAnsi="宋体" w:cs="Times New Roman"/>
                <w:b/>
                <w:bCs/>
                <w:sz w:val="24"/>
                <w:szCs w:val="24"/>
              </w:rPr>
            </w:pPr>
            <w:r>
              <w:rPr>
                <w:rFonts w:hint="eastAsia" w:ascii="宋体" w:hAnsi="宋体" w:cs="Times New Roman"/>
                <w:b/>
                <w:bCs/>
                <w:sz w:val="24"/>
                <w:szCs w:val="24"/>
              </w:rPr>
              <w:t>产品保护</w:t>
            </w:r>
          </w:p>
        </w:tc>
        <w:tc>
          <w:tcPr>
            <w:tcW w:w="4737" w:type="dxa"/>
            <w:vAlign w:val="center"/>
          </w:tcPr>
          <w:p w14:paraId="3F365380">
            <w:pPr>
              <w:spacing w:line="288" w:lineRule="auto"/>
              <w:rPr>
                <w:rFonts w:hint="eastAsia" w:ascii="宋体" w:hAnsi="宋体" w:cs="Times New Roman"/>
                <w:bCs/>
                <w:sz w:val="24"/>
                <w:szCs w:val="24"/>
              </w:rPr>
            </w:pPr>
            <w:r>
              <w:rPr>
                <w:rFonts w:hint="eastAsia" w:ascii="宋体" w:hAnsi="宋体" w:cs="Times New Roman"/>
                <w:bCs/>
                <w:sz w:val="24"/>
                <w:szCs w:val="24"/>
              </w:rPr>
              <w:t>投标人必须做好电梯轿厢及其他设备的成品保护，相关费用应包含在投标报价中。</w:t>
            </w:r>
          </w:p>
        </w:tc>
        <w:tc>
          <w:tcPr>
            <w:tcW w:w="2227" w:type="dxa"/>
            <w:vAlign w:val="center"/>
          </w:tcPr>
          <w:p w14:paraId="222E2C0B">
            <w:pPr>
              <w:spacing w:line="360" w:lineRule="auto"/>
              <w:rPr>
                <w:rFonts w:hint="eastAsia" w:ascii="宋体" w:hAnsi="宋体" w:cs="Times New Roman"/>
                <w:bCs/>
                <w:sz w:val="24"/>
                <w:szCs w:val="24"/>
              </w:rPr>
            </w:pPr>
          </w:p>
        </w:tc>
      </w:tr>
      <w:tr w14:paraId="3F702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561" w:type="dxa"/>
            <w:vAlign w:val="center"/>
          </w:tcPr>
          <w:p w14:paraId="55D9BFFE">
            <w:pPr>
              <w:spacing w:line="360" w:lineRule="auto"/>
              <w:jc w:val="center"/>
              <w:rPr>
                <w:rFonts w:hint="eastAsia" w:ascii="宋体" w:hAnsi="宋体" w:cs="Times New Roman"/>
                <w:b/>
                <w:bCs/>
                <w:sz w:val="24"/>
                <w:szCs w:val="24"/>
              </w:rPr>
            </w:pPr>
            <w:r>
              <w:rPr>
                <w:rFonts w:hint="eastAsia" w:ascii="宋体" w:hAnsi="宋体" w:cs="Times New Roman"/>
                <w:b/>
                <w:bCs/>
                <w:sz w:val="24"/>
                <w:szCs w:val="24"/>
              </w:rPr>
              <w:t>扶手</w:t>
            </w:r>
          </w:p>
        </w:tc>
        <w:tc>
          <w:tcPr>
            <w:tcW w:w="4737" w:type="dxa"/>
            <w:vAlign w:val="center"/>
          </w:tcPr>
          <w:p w14:paraId="1DA75761">
            <w:pPr>
              <w:spacing w:line="288" w:lineRule="auto"/>
              <w:rPr>
                <w:rFonts w:hint="eastAsia" w:ascii="宋体" w:hAnsi="宋体" w:cs="Times New Roman"/>
                <w:bCs/>
                <w:sz w:val="24"/>
                <w:szCs w:val="24"/>
              </w:rPr>
            </w:pPr>
            <w:r>
              <w:rPr>
                <w:rFonts w:hint="eastAsia" w:ascii="宋体" w:hAnsi="宋体" w:cs="Times New Roman"/>
                <w:bCs/>
                <w:sz w:val="24"/>
                <w:szCs w:val="24"/>
              </w:rPr>
              <w:t>兼无障碍电梯轿厢内三侧须配置扶手（</w:t>
            </w:r>
            <w:r>
              <w:rPr>
                <w:rFonts w:hint="eastAsia" w:ascii="宋体" w:hAnsi="宋体"/>
                <w:sz w:val="24"/>
                <w:szCs w:val="24"/>
              </w:rPr>
              <w:t>电梯轿厢装饰的扶手由乙方提供式样图片，以由甲方选定为准</w:t>
            </w:r>
            <w:r>
              <w:rPr>
                <w:rFonts w:hint="eastAsia" w:ascii="宋体" w:hAnsi="宋体" w:cs="Times New Roman"/>
                <w:bCs/>
                <w:sz w:val="24"/>
                <w:szCs w:val="24"/>
              </w:rPr>
              <w:t>）</w:t>
            </w:r>
          </w:p>
        </w:tc>
        <w:tc>
          <w:tcPr>
            <w:tcW w:w="2227" w:type="dxa"/>
            <w:vAlign w:val="center"/>
          </w:tcPr>
          <w:p w14:paraId="37CFF17D">
            <w:pPr>
              <w:spacing w:line="360" w:lineRule="auto"/>
              <w:rPr>
                <w:rFonts w:hint="eastAsia" w:ascii="宋体" w:hAnsi="宋体" w:cs="Times New Roman"/>
                <w:bCs/>
                <w:sz w:val="24"/>
                <w:szCs w:val="24"/>
                <w:highlight w:val="yellow"/>
              </w:rPr>
            </w:pPr>
          </w:p>
        </w:tc>
      </w:tr>
      <w:tr w14:paraId="09FCF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561" w:type="dxa"/>
            <w:vAlign w:val="center"/>
          </w:tcPr>
          <w:p w14:paraId="4D6E50F2">
            <w:pPr>
              <w:spacing w:line="360" w:lineRule="auto"/>
              <w:jc w:val="center"/>
              <w:rPr>
                <w:rFonts w:hint="eastAsia" w:ascii="宋体" w:hAnsi="宋体" w:cs="Times New Roman"/>
                <w:b/>
                <w:bCs/>
                <w:sz w:val="24"/>
                <w:szCs w:val="24"/>
              </w:rPr>
            </w:pPr>
            <w:r>
              <w:rPr>
                <w:rFonts w:hint="eastAsia" w:ascii="宋体" w:hAnsi="宋体" w:cs="Times New Roman"/>
                <w:b/>
                <w:bCs/>
                <w:sz w:val="24"/>
                <w:szCs w:val="24"/>
              </w:rPr>
              <w:t>镜面不锈钢</w:t>
            </w:r>
          </w:p>
        </w:tc>
        <w:tc>
          <w:tcPr>
            <w:tcW w:w="4737" w:type="dxa"/>
            <w:vAlign w:val="center"/>
          </w:tcPr>
          <w:p w14:paraId="1C242FEE">
            <w:pPr>
              <w:spacing w:line="288" w:lineRule="auto"/>
              <w:rPr>
                <w:rFonts w:hint="eastAsia" w:ascii="宋体" w:hAnsi="宋体" w:cs="Times New Roman"/>
                <w:bCs/>
                <w:sz w:val="24"/>
                <w:szCs w:val="24"/>
              </w:rPr>
            </w:pPr>
            <w:r>
              <w:rPr>
                <w:rFonts w:hint="eastAsia" w:ascii="宋体" w:hAnsi="宋体" w:cs="Times New Roman"/>
                <w:bCs/>
                <w:sz w:val="24"/>
                <w:szCs w:val="24"/>
              </w:rPr>
              <w:t>所有无障碍电梯须配置镜面不锈钢</w:t>
            </w:r>
          </w:p>
        </w:tc>
        <w:tc>
          <w:tcPr>
            <w:tcW w:w="2227" w:type="dxa"/>
            <w:vAlign w:val="center"/>
          </w:tcPr>
          <w:p w14:paraId="334F7309">
            <w:pPr>
              <w:spacing w:line="360" w:lineRule="auto"/>
              <w:rPr>
                <w:rFonts w:hint="eastAsia" w:ascii="宋体" w:hAnsi="宋体" w:cs="Times New Roman"/>
                <w:bCs/>
                <w:sz w:val="24"/>
                <w:szCs w:val="24"/>
                <w:highlight w:val="yellow"/>
              </w:rPr>
            </w:pPr>
          </w:p>
        </w:tc>
      </w:tr>
      <w:tr w14:paraId="53271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561" w:type="dxa"/>
            <w:vAlign w:val="center"/>
          </w:tcPr>
          <w:p w14:paraId="4858FE40">
            <w:pPr>
              <w:spacing w:line="360" w:lineRule="auto"/>
              <w:jc w:val="center"/>
              <w:rPr>
                <w:rFonts w:hint="eastAsia" w:ascii="宋体" w:hAnsi="宋体" w:cs="Times New Roman"/>
                <w:b/>
                <w:bCs/>
                <w:sz w:val="24"/>
                <w:szCs w:val="24"/>
              </w:rPr>
            </w:pPr>
            <w:r>
              <w:rPr>
                <w:rFonts w:hint="eastAsia" w:ascii="宋体" w:hAnsi="宋体" w:cs="Times New Roman"/>
                <w:b/>
                <w:bCs/>
                <w:sz w:val="24"/>
                <w:szCs w:val="24"/>
              </w:rPr>
              <w:t>其他</w:t>
            </w:r>
          </w:p>
        </w:tc>
        <w:tc>
          <w:tcPr>
            <w:tcW w:w="4737" w:type="dxa"/>
            <w:vAlign w:val="center"/>
          </w:tcPr>
          <w:p w14:paraId="191EB5F8">
            <w:pPr>
              <w:spacing w:line="288" w:lineRule="auto"/>
              <w:rPr>
                <w:rFonts w:hint="eastAsia" w:ascii="宋体" w:hAnsi="宋体" w:cs="Times New Roman"/>
                <w:bCs/>
                <w:sz w:val="24"/>
                <w:szCs w:val="24"/>
              </w:rPr>
            </w:pPr>
            <w:r>
              <w:rPr>
                <w:rFonts w:hint="eastAsia" w:ascii="宋体" w:hAnsi="宋体" w:cs="Times New Roman"/>
                <w:bCs/>
                <w:sz w:val="24"/>
                <w:szCs w:val="24"/>
              </w:rPr>
              <w:t>业主有变更轿箱装饰要求的权力，中标人须在合同签订前提供多套轿厢装饰方案供招标人选择，业主在工厂排产前3天予以确认,相关费用应包含在投标报价中。</w:t>
            </w:r>
          </w:p>
        </w:tc>
        <w:tc>
          <w:tcPr>
            <w:tcW w:w="2227" w:type="dxa"/>
            <w:vAlign w:val="center"/>
          </w:tcPr>
          <w:p w14:paraId="4A37A0F8">
            <w:pPr>
              <w:spacing w:line="360" w:lineRule="auto"/>
              <w:rPr>
                <w:rFonts w:hint="eastAsia" w:ascii="宋体" w:hAnsi="宋体" w:cs="Times New Roman"/>
                <w:bCs/>
                <w:sz w:val="24"/>
                <w:szCs w:val="24"/>
              </w:rPr>
            </w:pPr>
          </w:p>
        </w:tc>
      </w:tr>
    </w:tbl>
    <w:p w14:paraId="31056AF1">
      <w:pPr>
        <w:spacing w:line="360" w:lineRule="auto"/>
        <w:ind w:firstLine="241" w:firstLineChars="100"/>
        <w:rPr>
          <w:rFonts w:hint="eastAsia" w:ascii="宋体" w:hAnsi="宋体" w:cs="Times New Roman"/>
          <w:b/>
          <w:bCs/>
          <w:sz w:val="24"/>
          <w:szCs w:val="24"/>
        </w:rPr>
      </w:pPr>
      <w:r>
        <w:rPr>
          <w:rFonts w:hint="eastAsia" w:ascii="宋体" w:hAnsi="宋体" w:cs="Times New Roman"/>
          <w:b/>
          <w:bCs/>
          <w:sz w:val="24"/>
          <w:szCs w:val="24"/>
        </w:rPr>
        <w:t>电梯技术要求：</w:t>
      </w:r>
    </w:p>
    <w:tbl>
      <w:tblPr>
        <w:tblStyle w:val="31"/>
        <w:tblW w:w="9498" w:type="dxa"/>
        <w:tblInd w:w="-12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35"/>
        <w:gridCol w:w="1930"/>
        <w:gridCol w:w="3881"/>
        <w:gridCol w:w="2552"/>
      </w:tblGrid>
      <w:tr w14:paraId="388A29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6946" w:type="dxa"/>
            <w:gridSpan w:val="3"/>
            <w:tcBorders>
              <w:bottom w:val="single" w:color="000000" w:sz="6" w:space="0"/>
              <w:right w:val="single" w:color="000000" w:sz="6" w:space="0"/>
            </w:tcBorders>
            <w:vAlign w:val="center"/>
          </w:tcPr>
          <w:p w14:paraId="37E46DB4">
            <w:pPr>
              <w:pStyle w:val="94"/>
              <w:jc w:val="center"/>
              <w:rPr>
                <w:rFonts w:hint="eastAsia"/>
                <w:b/>
                <w:sz w:val="24"/>
                <w:szCs w:val="24"/>
              </w:rPr>
            </w:pPr>
            <w:r>
              <w:rPr>
                <w:b/>
                <w:sz w:val="24"/>
                <w:szCs w:val="24"/>
              </w:rPr>
              <w:t>具体内容</w:t>
            </w:r>
          </w:p>
        </w:tc>
        <w:tc>
          <w:tcPr>
            <w:tcW w:w="2552" w:type="dxa"/>
            <w:tcBorders>
              <w:left w:val="single" w:color="000000" w:sz="6" w:space="0"/>
              <w:bottom w:val="single" w:color="000000" w:sz="6" w:space="0"/>
            </w:tcBorders>
            <w:vAlign w:val="center"/>
          </w:tcPr>
          <w:p w14:paraId="5151572D">
            <w:pPr>
              <w:pStyle w:val="94"/>
              <w:spacing w:before="199" w:line="235" w:lineRule="auto"/>
              <w:jc w:val="center"/>
              <w:rPr>
                <w:rFonts w:hint="eastAsia"/>
                <w:b/>
                <w:sz w:val="24"/>
                <w:szCs w:val="24"/>
              </w:rPr>
            </w:pPr>
            <w:r>
              <w:rPr>
                <w:b/>
                <w:sz w:val="24"/>
                <w:szCs w:val="24"/>
              </w:rPr>
              <w:t>投标文件对应规范</w:t>
            </w:r>
          </w:p>
        </w:tc>
      </w:tr>
      <w:tr w14:paraId="6D1E3E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5" w:hRule="atLeast"/>
        </w:trPr>
        <w:tc>
          <w:tcPr>
            <w:tcW w:w="1135" w:type="dxa"/>
            <w:vMerge w:val="restart"/>
            <w:tcBorders>
              <w:top w:val="single" w:color="000000" w:sz="6" w:space="0"/>
              <w:bottom w:val="single" w:color="000000" w:sz="6" w:space="0"/>
              <w:right w:val="single" w:color="000000" w:sz="6" w:space="0"/>
            </w:tcBorders>
          </w:tcPr>
          <w:p w14:paraId="2764DAEC">
            <w:pPr>
              <w:pStyle w:val="94"/>
              <w:rPr>
                <w:rFonts w:hint="eastAsia"/>
                <w:b/>
                <w:sz w:val="24"/>
                <w:szCs w:val="24"/>
              </w:rPr>
            </w:pPr>
          </w:p>
          <w:p w14:paraId="632F67C6">
            <w:pPr>
              <w:pStyle w:val="94"/>
              <w:rPr>
                <w:rFonts w:hint="eastAsia"/>
                <w:b/>
                <w:sz w:val="24"/>
                <w:szCs w:val="24"/>
              </w:rPr>
            </w:pPr>
          </w:p>
          <w:p w14:paraId="2CAD012E">
            <w:pPr>
              <w:pStyle w:val="94"/>
              <w:rPr>
                <w:rFonts w:hint="eastAsia"/>
                <w:b/>
                <w:sz w:val="24"/>
                <w:szCs w:val="24"/>
              </w:rPr>
            </w:pPr>
          </w:p>
          <w:p w14:paraId="04130AEB">
            <w:pPr>
              <w:pStyle w:val="94"/>
              <w:rPr>
                <w:rFonts w:hint="eastAsia"/>
                <w:b/>
                <w:sz w:val="24"/>
                <w:szCs w:val="24"/>
              </w:rPr>
            </w:pPr>
          </w:p>
          <w:p w14:paraId="69969E9A">
            <w:pPr>
              <w:pStyle w:val="94"/>
              <w:rPr>
                <w:rFonts w:hint="eastAsia"/>
                <w:b/>
                <w:sz w:val="24"/>
                <w:szCs w:val="24"/>
              </w:rPr>
            </w:pPr>
          </w:p>
          <w:p w14:paraId="524F73DA">
            <w:pPr>
              <w:pStyle w:val="94"/>
              <w:rPr>
                <w:rFonts w:hint="eastAsia"/>
                <w:b/>
                <w:sz w:val="24"/>
                <w:szCs w:val="24"/>
              </w:rPr>
            </w:pPr>
          </w:p>
          <w:p w14:paraId="4D1C6057">
            <w:pPr>
              <w:pStyle w:val="94"/>
              <w:rPr>
                <w:rFonts w:hint="eastAsia"/>
                <w:b/>
                <w:sz w:val="24"/>
                <w:szCs w:val="24"/>
              </w:rPr>
            </w:pPr>
          </w:p>
          <w:p w14:paraId="54A8C3E5">
            <w:pPr>
              <w:pStyle w:val="94"/>
              <w:rPr>
                <w:rFonts w:hint="eastAsia"/>
                <w:b/>
                <w:sz w:val="24"/>
                <w:szCs w:val="24"/>
              </w:rPr>
            </w:pPr>
          </w:p>
          <w:p w14:paraId="696FFD4F">
            <w:pPr>
              <w:pStyle w:val="94"/>
              <w:rPr>
                <w:rFonts w:hint="eastAsia"/>
                <w:b/>
                <w:sz w:val="24"/>
                <w:szCs w:val="24"/>
              </w:rPr>
            </w:pPr>
          </w:p>
          <w:p w14:paraId="0855A6BB">
            <w:pPr>
              <w:pStyle w:val="94"/>
              <w:rPr>
                <w:rFonts w:hint="eastAsia"/>
                <w:b/>
                <w:sz w:val="24"/>
                <w:szCs w:val="24"/>
              </w:rPr>
            </w:pPr>
          </w:p>
          <w:p w14:paraId="58E9FE0B">
            <w:pPr>
              <w:pStyle w:val="94"/>
              <w:rPr>
                <w:rFonts w:hint="eastAsia"/>
                <w:b/>
                <w:sz w:val="24"/>
                <w:szCs w:val="24"/>
              </w:rPr>
            </w:pPr>
          </w:p>
          <w:p w14:paraId="23C3C8FC">
            <w:pPr>
              <w:pStyle w:val="94"/>
              <w:spacing w:before="10"/>
              <w:rPr>
                <w:rFonts w:hint="eastAsia"/>
                <w:b/>
                <w:sz w:val="24"/>
                <w:szCs w:val="24"/>
              </w:rPr>
            </w:pPr>
          </w:p>
          <w:p w14:paraId="29022EFC">
            <w:pPr>
              <w:pStyle w:val="94"/>
              <w:spacing w:line="247" w:lineRule="auto"/>
              <w:ind w:left="105" w:right="31"/>
              <w:rPr>
                <w:rFonts w:hint="eastAsia"/>
                <w:sz w:val="24"/>
                <w:szCs w:val="24"/>
              </w:rPr>
            </w:pPr>
            <w:r>
              <w:rPr>
                <w:sz w:val="24"/>
                <w:szCs w:val="24"/>
              </w:rPr>
              <w:t>1、总体技术要求</w:t>
            </w:r>
          </w:p>
        </w:tc>
        <w:tc>
          <w:tcPr>
            <w:tcW w:w="5811" w:type="dxa"/>
            <w:gridSpan w:val="2"/>
            <w:tcBorders>
              <w:top w:val="single" w:color="000000" w:sz="6" w:space="0"/>
              <w:left w:val="single" w:color="000000" w:sz="6" w:space="0"/>
              <w:bottom w:val="single" w:color="000000" w:sz="6" w:space="0"/>
              <w:right w:val="single" w:color="000000" w:sz="6" w:space="0"/>
            </w:tcBorders>
          </w:tcPr>
          <w:p w14:paraId="53D13F4E">
            <w:pPr>
              <w:pStyle w:val="94"/>
              <w:spacing w:line="244" w:lineRule="auto"/>
              <w:ind w:left="119" w:right="37"/>
              <w:rPr>
                <w:rFonts w:hint="eastAsia"/>
                <w:sz w:val="24"/>
                <w:szCs w:val="24"/>
              </w:rPr>
            </w:pPr>
            <w:r>
              <w:rPr>
                <w:sz w:val="24"/>
                <w:szCs w:val="24"/>
              </w:rPr>
              <w:t>1.1 投标商所提供的电梯应保证是设计正确、机械、电气性能可靠、使用的原材料具有足够的强度、质量</w:t>
            </w:r>
          </w:p>
          <w:p w14:paraId="1D76714C">
            <w:pPr>
              <w:pStyle w:val="94"/>
              <w:spacing w:before="3" w:line="295" w:lineRule="exact"/>
              <w:ind w:left="119"/>
              <w:rPr>
                <w:rFonts w:hint="eastAsia"/>
                <w:sz w:val="24"/>
                <w:szCs w:val="24"/>
              </w:rPr>
            </w:pPr>
            <w:r>
              <w:rPr>
                <w:sz w:val="24"/>
                <w:szCs w:val="24"/>
              </w:rPr>
              <w:t>合格无缺陷、使用维护简单的产品。</w:t>
            </w:r>
          </w:p>
        </w:tc>
        <w:tc>
          <w:tcPr>
            <w:tcW w:w="2552" w:type="dxa"/>
            <w:tcBorders>
              <w:top w:val="single" w:color="000000" w:sz="6" w:space="0"/>
              <w:left w:val="single" w:color="000000" w:sz="6" w:space="0"/>
              <w:bottom w:val="single" w:color="000000" w:sz="6" w:space="0"/>
            </w:tcBorders>
          </w:tcPr>
          <w:p w14:paraId="63E541E8">
            <w:pPr>
              <w:pStyle w:val="94"/>
              <w:rPr>
                <w:rFonts w:hint="eastAsia"/>
                <w:sz w:val="24"/>
                <w:szCs w:val="24"/>
              </w:rPr>
            </w:pPr>
          </w:p>
        </w:tc>
      </w:tr>
      <w:tr w14:paraId="3F827C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trPr>
        <w:tc>
          <w:tcPr>
            <w:tcW w:w="1135" w:type="dxa"/>
            <w:vMerge w:val="continue"/>
            <w:tcBorders>
              <w:top w:val="nil"/>
              <w:bottom w:val="single" w:color="000000" w:sz="6" w:space="0"/>
              <w:right w:val="single" w:color="000000" w:sz="6" w:space="0"/>
            </w:tcBorders>
          </w:tcPr>
          <w:p w14:paraId="3C44C0A2">
            <w:pPr>
              <w:rPr>
                <w:rFonts w:hint="eastAsia" w:ascii="宋体" w:hAnsi="宋体"/>
                <w:sz w:val="24"/>
                <w:szCs w:val="24"/>
              </w:rPr>
            </w:pPr>
          </w:p>
        </w:tc>
        <w:tc>
          <w:tcPr>
            <w:tcW w:w="5811" w:type="dxa"/>
            <w:gridSpan w:val="2"/>
            <w:tcBorders>
              <w:top w:val="single" w:color="000000" w:sz="6" w:space="0"/>
              <w:left w:val="single" w:color="000000" w:sz="6" w:space="0"/>
              <w:bottom w:val="single" w:color="000000" w:sz="6" w:space="0"/>
              <w:right w:val="single" w:color="000000" w:sz="6" w:space="0"/>
            </w:tcBorders>
          </w:tcPr>
          <w:p w14:paraId="349ED0CF">
            <w:pPr>
              <w:pStyle w:val="94"/>
              <w:spacing w:line="304" w:lineRule="exact"/>
              <w:ind w:left="119"/>
              <w:rPr>
                <w:rFonts w:hint="eastAsia"/>
                <w:sz w:val="24"/>
                <w:szCs w:val="24"/>
              </w:rPr>
            </w:pPr>
            <w:r>
              <w:rPr>
                <w:sz w:val="24"/>
                <w:szCs w:val="24"/>
              </w:rPr>
              <w:t>1.2 电梯的制造与安装均须符合上述提到的国家标准</w:t>
            </w:r>
          </w:p>
          <w:p w14:paraId="4BBD5364">
            <w:pPr>
              <w:pStyle w:val="94"/>
              <w:spacing w:line="292" w:lineRule="exact"/>
              <w:ind w:left="119"/>
              <w:rPr>
                <w:rFonts w:hint="eastAsia"/>
                <w:sz w:val="24"/>
                <w:szCs w:val="24"/>
              </w:rPr>
            </w:pPr>
            <w:r>
              <w:rPr>
                <w:sz w:val="24"/>
                <w:szCs w:val="24"/>
              </w:rPr>
              <w:t>和规范，并考虑防火性能的要求。</w:t>
            </w:r>
          </w:p>
        </w:tc>
        <w:tc>
          <w:tcPr>
            <w:tcW w:w="2552" w:type="dxa"/>
            <w:tcBorders>
              <w:top w:val="single" w:color="000000" w:sz="6" w:space="0"/>
              <w:left w:val="single" w:color="000000" w:sz="6" w:space="0"/>
              <w:bottom w:val="single" w:color="000000" w:sz="6" w:space="0"/>
            </w:tcBorders>
          </w:tcPr>
          <w:p w14:paraId="3934F407">
            <w:pPr>
              <w:pStyle w:val="94"/>
              <w:rPr>
                <w:rFonts w:hint="eastAsia"/>
                <w:sz w:val="24"/>
                <w:szCs w:val="24"/>
              </w:rPr>
            </w:pPr>
          </w:p>
        </w:tc>
      </w:tr>
      <w:tr w14:paraId="7328FE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0" w:hRule="atLeast"/>
        </w:trPr>
        <w:tc>
          <w:tcPr>
            <w:tcW w:w="1135" w:type="dxa"/>
            <w:vMerge w:val="continue"/>
            <w:tcBorders>
              <w:top w:val="nil"/>
              <w:bottom w:val="single" w:color="000000" w:sz="6" w:space="0"/>
              <w:right w:val="single" w:color="000000" w:sz="6" w:space="0"/>
            </w:tcBorders>
          </w:tcPr>
          <w:p w14:paraId="0BDE9BFA">
            <w:pPr>
              <w:rPr>
                <w:rFonts w:hint="eastAsia" w:ascii="宋体" w:hAnsi="宋体"/>
                <w:sz w:val="24"/>
                <w:szCs w:val="24"/>
              </w:rPr>
            </w:pPr>
          </w:p>
        </w:tc>
        <w:tc>
          <w:tcPr>
            <w:tcW w:w="5811" w:type="dxa"/>
            <w:gridSpan w:val="2"/>
            <w:tcBorders>
              <w:top w:val="single" w:color="000000" w:sz="6" w:space="0"/>
              <w:left w:val="single" w:color="000000" w:sz="6" w:space="0"/>
              <w:bottom w:val="single" w:color="000000" w:sz="6" w:space="0"/>
              <w:right w:val="single" w:color="000000" w:sz="6" w:space="0"/>
            </w:tcBorders>
          </w:tcPr>
          <w:p w14:paraId="76128CB3">
            <w:pPr>
              <w:pStyle w:val="94"/>
              <w:spacing w:line="244" w:lineRule="auto"/>
              <w:ind w:left="119" w:right="34"/>
              <w:rPr>
                <w:rFonts w:hint="eastAsia"/>
                <w:sz w:val="24"/>
                <w:szCs w:val="24"/>
              </w:rPr>
            </w:pPr>
            <w:r>
              <w:rPr>
                <w:sz w:val="24"/>
                <w:szCs w:val="24"/>
              </w:rPr>
              <w:t>1.3 本次招标电梯包括轿厢和轿厢门均采用交流变频变压（VVVF）控制。从低速到高速运行无级调速，高</w:t>
            </w:r>
          </w:p>
          <w:p w14:paraId="40ACA8C9">
            <w:pPr>
              <w:pStyle w:val="94"/>
              <w:spacing w:before="3" w:line="280" w:lineRule="exact"/>
              <w:ind w:left="119"/>
              <w:rPr>
                <w:rFonts w:hint="eastAsia"/>
                <w:sz w:val="24"/>
                <w:szCs w:val="24"/>
              </w:rPr>
            </w:pPr>
            <w:r>
              <w:rPr>
                <w:sz w:val="24"/>
                <w:szCs w:val="24"/>
              </w:rPr>
              <w:t>精度运行，并具有功率因数高、能耗低等特点。</w:t>
            </w:r>
          </w:p>
        </w:tc>
        <w:tc>
          <w:tcPr>
            <w:tcW w:w="2552" w:type="dxa"/>
            <w:tcBorders>
              <w:top w:val="single" w:color="000000" w:sz="6" w:space="0"/>
              <w:left w:val="single" w:color="000000" w:sz="6" w:space="0"/>
              <w:bottom w:val="single" w:color="000000" w:sz="6" w:space="0"/>
            </w:tcBorders>
          </w:tcPr>
          <w:p w14:paraId="3AD4074E">
            <w:pPr>
              <w:pStyle w:val="94"/>
              <w:rPr>
                <w:rFonts w:hint="eastAsia"/>
                <w:sz w:val="24"/>
                <w:szCs w:val="24"/>
              </w:rPr>
            </w:pPr>
          </w:p>
        </w:tc>
      </w:tr>
      <w:tr w14:paraId="49CABB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0" w:hRule="atLeast"/>
        </w:trPr>
        <w:tc>
          <w:tcPr>
            <w:tcW w:w="1135" w:type="dxa"/>
            <w:vMerge w:val="continue"/>
            <w:tcBorders>
              <w:top w:val="nil"/>
              <w:bottom w:val="single" w:color="000000" w:sz="6" w:space="0"/>
              <w:right w:val="single" w:color="000000" w:sz="6" w:space="0"/>
            </w:tcBorders>
          </w:tcPr>
          <w:p w14:paraId="06B73836">
            <w:pPr>
              <w:rPr>
                <w:rFonts w:hint="eastAsia" w:ascii="宋体" w:hAnsi="宋体"/>
                <w:sz w:val="24"/>
                <w:szCs w:val="24"/>
              </w:rPr>
            </w:pPr>
          </w:p>
        </w:tc>
        <w:tc>
          <w:tcPr>
            <w:tcW w:w="5811" w:type="dxa"/>
            <w:gridSpan w:val="2"/>
            <w:tcBorders>
              <w:top w:val="single" w:color="000000" w:sz="6" w:space="0"/>
              <w:left w:val="single" w:color="000000" w:sz="6" w:space="0"/>
              <w:bottom w:val="single" w:color="000000" w:sz="6" w:space="0"/>
              <w:right w:val="single" w:color="000000" w:sz="6" w:space="0"/>
            </w:tcBorders>
          </w:tcPr>
          <w:p w14:paraId="25B10B80">
            <w:pPr>
              <w:pStyle w:val="94"/>
              <w:ind w:left="119"/>
              <w:rPr>
                <w:rFonts w:hint="eastAsia"/>
                <w:sz w:val="24"/>
                <w:szCs w:val="24"/>
              </w:rPr>
            </w:pPr>
            <w:r>
              <w:rPr>
                <w:sz w:val="24"/>
                <w:szCs w:val="24"/>
              </w:rPr>
              <w:t>1.4 投标商所提供的电梯运行曲线应平滑，启、制动</w:t>
            </w:r>
          </w:p>
          <w:p w14:paraId="574CBFE9">
            <w:pPr>
              <w:pStyle w:val="94"/>
              <w:spacing w:before="8" w:line="295" w:lineRule="exact"/>
              <w:ind w:left="119"/>
              <w:rPr>
                <w:rFonts w:hint="eastAsia"/>
                <w:sz w:val="24"/>
                <w:szCs w:val="24"/>
              </w:rPr>
            </w:pPr>
            <w:r>
              <w:rPr>
                <w:sz w:val="24"/>
                <w:szCs w:val="24"/>
              </w:rPr>
              <w:t>及运行时应平稳舒适，无抖动、冲击的感觉。</w:t>
            </w:r>
          </w:p>
        </w:tc>
        <w:tc>
          <w:tcPr>
            <w:tcW w:w="2552" w:type="dxa"/>
            <w:tcBorders>
              <w:top w:val="single" w:color="000000" w:sz="6" w:space="0"/>
              <w:left w:val="single" w:color="000000" w:sz="6" w:space="0"/>
              <w:bottom w:val="single" w:color="000000" w:sz="6" w:space="0"/>
            </w:tcBorders>
          </w:tcPr>
          <w:p w14:paraId="366B3486">
            <w:pPr>
              <w:pStyle w:val="94"/>
              <w:rPr>
                <w:rFonts w:hint="eastAsia"/>
                <w:sz w:val="24"/>
                <w:szCs w:val="24"/>
              </w:rPr>
            </w:pPr>
          </w:p>
        </w:tc>
      </w:tr>
      <w:tr w14:paraId="099D0A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trPr>
        <w:tc>
          <w:tcPr>
            <w:tcW w:w="1135" w:type="dxa"/>
            <w:vMerge w:val="continue"/>
            <w:tcBorders>
              <w:top w:val="nil"/>
              <w:bottom w:val="single" w:color="000000" w:sz="6" w:space="0"/>
              <w:right w:val="single" w:color="000000" w:sz="6" w:space="0"/>
            </w:tcBorders>
          </w:tcPr>
          <w:p w14:paraId="017D1236">
            <w:pPr>
              <w:rPr>
                <w:rFonts w:hint="eastAsia" w:ascii="宋体" w:hAnsi="宋体"/>
                <w:sz w:val="24"/>
                <w:szCs w:val="24"/>
              </w:rPr>
            </w:pPr>
          </w:p>
        </w:tc>
        <w:tc>
          <w:tcPr>
            <w:tcW w:w="5811" w:type="dxa"/>
            <w:gridSpan w:val="2"/>
            <w:tcBorders>
              <w:top w:val="single" w:color="000000" w:sz="6" w:space="0"/>
              <w:left w:val="single" w:color="000000" w:sz="6" w:space="0"/>
              <w:bottom w:val="single" w:color="000000" w:sz="6" w:space="0"/>
              <w:right w:val="single" w:color="000000" w:sz="6" w:space="0"/>
            </w:tcBorders>
          </w:tcPr>
          <w:p w14:paraId="3630644E">
            <w:pPr>
              <w:pStyle w:val="94"/>
              <w:ind w:left="119"/>
              <w:rPr>
                <w:rFonts w:hint="eastAsia"/>
                <w:sz w:val="24"/>
                <w:szCs w:val="24"/>
              </w:rPr>
            </w:pPr>
            <w:r>
              <w:rPr>
                <w:sz w:val="24"/>
                <w:szCs w:val="24"/>
              </w:rPr>
              <w:t>1.5 投标商所提供的电梯应具备电源容量小、经济性</w:t>
            </w:r>
          </w:p>
          <w:p w14:paraId="7984D123">
            <w:pPr>
              <w:pStyle w:val="94"/>
              <w:spacing w:before="8" w:line="280" w:lineRule="exact"/>
              <w:ind w:left="119"/>
              <w:rPr>
                <w:rFonts w:hint="eastAsia"/>
                <w:sz w:val="24"/>
                <w:szCs w:val="24"/>
              </w:rPr>
            </w:pPr>
            <w:r>
              <w:rPr>
                <w:sz w:val="24"/>
                <w:szCs w:val="24"/>
              </w:rPr>
              <w:t>好、技术先进、维护简单的特性。</w:t>
            </w:r>
          </w:p>
        </w:tc>
        <w:tc>
          <w:tcPr>
            <w:tcW w:w="2552" w:type="dxa"/>
            <w:tcBorders>
              <w:top w:val="single" w:color="000000" w:sz="6" w:space="0"/>
              <w:left w:val="single" w:color="000000" w:sz="6" w:space="0"/>
              <w:bottom w:val="single" w:color="000000" w:sz="6" w:space="0"/>
            </w:tcBorders>
          </w:tcPr>
          <w:p w14:paraId="775817FC">
            <w:pPr>
              <w:pStyle w:val="94"/>
              <w:rPr>
                <w:rFonts w:hint="eastAsia"/>
                <w:sz w:val="24"/>
                <w:szCs w:val="24"/>
              </w:rPr>
            </w:pPr>
          </w:p>
        </w:tc>
      </w:tr>
      <w:tr w14:paraId="77ACB3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0" w:hRule="atLeast"/>
        </w:trPr>
        <w:tc>
          <w:tcPr>
            <w:tcW w:w="1135" w:type="dxa"/>
            <w:vMerge w:val="continue"/>
            <w:tcBorders>
              <w:top w:val="nil"/>
              <w:bottom w:val="single" w:color="000000" w:sz="6" w:space="0"/>
              <w:right w:val="single" w:color="000000" w:sz="6" w:space="0"/>
            </w:tcBorders>
          </w:tcPr>
          <w:p w14:paraId="68A9606A">
            <w:pPr>
              <w:rPr>
                <w:rFonts w:hint="eastAsia" w:ascii="宋体" w:hAnsi="宋体"/>
                <w:sz w:val="24"/>
                <w:szCs w:val="24"/>
              </w:rPr>
            </w:pPr>
          </w:p>
        </w:tc>
        <w:tc>
          <w:tcPr>
            <w:tcW w:w="5811" w:type="dxa"/>
            <w:gridSpan w:val="2"/>
            <w:tcBorders>
              <w:top w:val="single" w:color="000000" w:sz="6" w:space="0"/>
              <w:left w:val="single" w:color="000000" w:sz="6" w:space="0"/>
              <w:bottom w:val="single" w:color="000000" w:sz="6" w:space="0"/>
              <w:right w:val="single" w:color="000000" w:sz="6" w:space="0"/>
            </w:tcBorders>
          </w:tcPr>
          <w:p w14:paraId="44E4A304">
            <w:pPr>
              <w:pStyle w:val="94"/>
              <w:ind w:left="119"/>
              <w:rPr>
                <w:rFonts w:hint="eastAsia"/>
                <w:sz w:val="24"/>
                <w:szCs w:val="24"/>
              </w:rPr>
            </w:pPr>
            <w:r>
              <w:rPr>
                <w:sz w:val="24"/>
                <w:szCs w:val="24"/>
              </w:rPr>
              <w:t>1.6 投标商所提供的电梯应运行效率高、噪音低、平</w:t>
            </w:r>
          </w:p>
          <w:p w14:paraId="124EA87F">
            <w:pPr>
              <w:pStyle w:val="94"/>
              <w:spacing w:before="8" w:line="295" w:lineRule="exact"/>
              <w:ind w:left="119"/>
              <w:rPr>
                <w:rFonts w:hint="eastAsia"/>
                <w:sz w:val="24"/>
                <w:szCs w:val="24"/>
              </w:rPr>
            </w:pPr>
            <w:r>
              <w:rPr>
                <w:sz w:val="24"/>
                <w:szCs w:val="24"/>
              </w:rPr>
              <w:t>层精确、安全可靠性高。</w:t>
            </w:r>
          </w:p>
        </w:tc>
        <w:tc>
          <w:tcPr>
            <w:tcW w:w="2552" w:type="dxa"/>
            <w:tcBorders>
              <w:top w:val="single" w:color="000000" w:sz="6" w:space="0"/>
              <w:left w:val="single" w:color="000000" w:sz="6" w:space="0"/>
              <w:bottom w:val="single" w:color="000000" w:sz="6" w:space="0"/>
            </w:tcBorders>
          </w:tcPr>
          <w:p w14:paraId="6EA2D405">
            <w:pPr>
              <w:pStyle w:val="94"/>
              <w:rPr>
                <w:rFonts w:hint="eastAsia"/>
                <w:sz w:val="24"/>
                <w:szCs w:val="24"/>
              </w:rPr>
            </w:pPr>
          </w:p>
        </w:tc>
      </w:tr>
      <w:tr w14:paraId="04764F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3" w:hRule="atLeast"/>
        </w:trPr>
        <w:tc>
          <w:tcPr>
            <w:tcW w:w="1135" w:type="dxa"/>
            <w:vMerge w:val="continue"/>
            <w:tcBorders>
              <w:top w:val="nil"/>
              <w:bottom w:val="single" w:color="000000" w:sz="6" w:space="0"/>
              <w:right w:val="single" w:color="000000" w:sz="6" w:space="0"/>
            </w:tcBorders>
          </w:tcPr>
          <w:p w14:paraId="376AA246">
            <w:pPr>
              <w:rPr>
                <w:rFonts w:hint="eastAsia" w:ascii="宋体" w:hAnsi="宋体"/>
                <w:sz w:val="24"/>
                <w:szCs w:val="24"/>
              </w:rPr>
            </w:pPr>
          </w:p>
        </w:tc>
        <w:tc>
          <w:tcPr>
            <w:tcW w:w="5811" w:type="dxa"/>
            <w:gridSpan w:val="2"/>
            <w:tcBorders>
              <w:top w:val="single" w:color="000000" w:sz="6" w:space="0"/>
              <w:left w:val="single" w:color="000000" w:sz="6" w:space="0"/>
              <w:bottom w:val="single" w:color="000000" w:sz="6" w:space="0"/>
              <w:right w:val="single" w:color="000000" w:sz="6" w:space="0"/>
            </w:tcBorders>
            <w:vAlign w:val="center"/>
          </w:tcPr>
          <w:p w14:paraId="10E03205">
            <w:pPr>
              <w:pStyle w:val="94"/>
              <w:ind w:left="119"/>
              <w:rPr>
                <w:rFonts w:hint="eastAsia"/>
                <w:sz w:val="24"/>
                <w:szCs w:val="24"/>
              </w:rPr>
            </w:pPr>
            <w:r>
              <w:rPr>
                <w:rFonts w:hint="eastAsia"/>
                <w:sz w:val="24"/>
                <w:szCs w:val="24"/>
                <w:highlight w:val="yellow"/>
              </w:rPr>
              <w:t>1.7</w:t>
            </w:r>
            <w:r>
              <w:rPr>
                <w:sz w:val="24"/>
                <w:szCs w:val="24"/>
                <w:highlight w:val="yellow"/>
              </w:rPr>
              <w:t>投标商所提供的电梯</w:t>
            </w:r>
            <w:r>
              <w:rPr>
                <w:rFonts w:hint="eastAsia"/>
                <w:sz w:val="24"/>
                <w:szCs w:val="24"/>
                <w:highlight w:val="yellow"/>
              </w:rPr>
              <w:t>门机系统进行550万次完全循环操作仍能正常工作。（提供相关证明文件复印件加盖公章）</w:t>
            </w:r>
          </w:p>
        </w:tc>
        <w:tc>
          <w:tcPr>
            <w:tcW w:w="2552" w:type="dxa"/>
            <w:tcBorders>
              <w:top w:val="single" w:color="000000" w:sz="6" w:space="0"/>
              <w:left w:val="single" w:color="000000" w:sz="6" w:space="0"/>
              <w:bottom w:val="single" w:color="000000" w:sz="6" w:space="0"/>
            </w:tcBorders>
          </w:tcPr>
          <w:p w14:paraId="03EBB473">
            <w:pPr>
              <w:pStyle w:val="94"/>
              <w:rPr>
                <w:rFonts w:hint="eastAsia"/>
                <w:sz w:val="24"/>
                <w:szCs w:val="24"/>
              </w:rPr>
            </w:pPr>
          </w:p>
        </w:tc>
      </w:tr>
      <w:tr w14:paraId="5D6869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6" w:hRule="atLeast"/>
        </w:trPr>
        <w:tc>
          <w:tcPr>
            <w:tcW w:w="1135" w:type="dxa"/>
            <w:vMerge w:val="continue"/>
            <w:tcBorders>
              <w:top w:val="nil"/>
              <w:bottom w:val="single" w:color="000000" w:sz="6" w:space="0"/>
              <w:right w:val="single" w:color="000000" w:sz="6" w:space="0"/>
            </w:tcBorders>
          </w:tcPr>
          <w:p w14:paraId="49E63BFA">
            <w:pPr>
              <w:rPr>
                <w:rFonts w:hint="eastAsia" w:ascii="宋体" w:hAnsi="宋体"/>
                <w:sz w:val="24"/>
                <w:szCs w:val="24"/>
              </w:rPr>
            </w:pPr>
          </w:p>
        </w:tc>
        <w:tc>
          <w:tcPr>
            <w:tcW w:w="5811" w:type="dxa"/>
            <w:gridSpan w:val="2"/>
            <w:tcBorders>
              <w:top w:val="single" w:color="000000" w:sz="6" w:space="0"/>
              <w:left w:val="single" w:color="000000" w:sz="6" w:space="0"/>
              <w:bottom w:val="single" w:color="000000" w:sz="6" w:space="0"/>
              <w:right w:val="single" w:color="000000" w:sz="6" w:space="0"/>
            </w:tcBorders>
          </w:tcPr>
          <w:p w14:paraId="2097B4B9">
            <w:pPr>
              <w:pStyle w:val="94"/>
              <w:ind w:left="119" w:right="86"/>
              <w:jc w:val="both"/>
              <w:rPr>
                <w:rFonts w:hint="eastAsia"/>
                <w:sz w:val="24"/>
                <w:szCs w:val="24"/>
              </w:rPr>
            </w:pPr>
            <w:r>
              <w:rPr>
                <w:sz w:val="24"/>
                <w:szCs w:val="24"/>
              </w:rPr>
              <w:t>1.8</w:t>
            </w:r>
            <w:r>
              <w:rPr>
                <w:spacing w:val="-6"/>
                <w:sz w:val="24"/>
                <w:szCs w:val="24"/>
              </w:rPr>
              <w:t xml:space="preserve"> 噪声除满足设计方提供的技术参数要求外，请各</w:t>
            </w:r>
            <w:r>
              <w:rPr>
                <w:spacing w:val="-8"/>
                <w:sz w:val="24"/>
                <w:szCs w:val="24"/>
              </w:rPr>
              <w:t>投标商提出降低电梯井道、轿厢内、开关门噪声的具</w:t>
            </w:r>
            <w:r>
              <w:rPr>
                <w:spacing w:val="-10"/>
                <w:sz w:val="24"/>
                <w:szCs w:val="24"/>
              </w:rPr>
              <w:t>体措施和设备安装完毕后的噪声控制值。</w:t>
            </w:r>
          </w:p>
        </w:tc>
        <w:tc>
          <w:tcPr>
            <w:tcW w:w="2552" w:type="dxa"/>
            <w:tcBorders>
              <w:top w:val="single" w:color="000000" w:sz="6" w:space="0"/>
              <w:left w:val="single" w:color="000000" w:sz="6" w:space="0"/>
              <w:bottom w:val="single" w:color="000000" w:sz="6" w:space="0"/>
            </w:tcBorders>
          </w:tcPr>
          <w:p w14:paraId="76FCDAF2">
            <w:pPr>
              <w:pStyle w:val="94"/>
              <w:rPr>
                <w:rFonts w:hint="eastAsia"/>
                <w:sz w:val="24"/>
                <w:szCs w:val="24"/>
              </w:rPr>
            </w:pPr>
          </w:p>
        </w:tc>
      </w:tr>
      <w:tr w14:paraId="36A1C9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trPr>
        <w:tc>
          <w:tcPr>
            <w:tcW w:w="1135" w:type="dxa"/>
            <w:vMerge w:val="continue"/>
            <w:tcBorders>
              <w:top w:val="nil"/>
              <w:bottom w:val="single" w:color="000000" w:sz="6" w:space="0"/>
              <w:right w:val="single" w:color="000000" w:sz="6" w:space="0"/>
            </w:tcBorders>
          </w:tcPr>
          <w:p w14:paraId="09A54460">
            <w:pPr>
              <w:rPr>
                <w:rFonts w:hint="eastAsia" w:ascii="宋体" w:hAnsi="宋体"/>
                <w:sz w:val="24"/>
                <w:szCs w:val="24"/>
              </w:rPr>
            </w:pPr>
          </w:p>
        </w:tc>
        <w:tc>
          <w:tcPr>
            <w:tcW w:w="5811" w:type="dxa"/>
            <w:gridSpan w:val="2"/>
            <w:tcBorders>
              <w:top w:val="single" w:color="000000" w:sz="6" w:space="0"/>
              <w:left w:val="single" w:color="000000" w:sz="6" w:space="0"/>
              <w:bottom w:val="single" w:color="000000" w:sz="6" w:space="0"/>
              <w:right w:val="single" w:color="000000" w:sz="6" w:space="0"/>
            </w:tcBorders>
          </w:tcPr>
          <w:p w14:paraId="243CD2AB">
            <w:pPr>
              <w:pStyle w:val="94"/>
              <w:spacing w:line="300" w:lineRule="exact"/>
              <w:ind w:left="119" w:right="104"/>
              <w:rPr>
                <w:rFonts w:hint="eastAsia"/>
                <w:sz w:val="24"/>
                <w:szCs w:val="24"/>
              </w:rPr>
            </w:pPr>
            <w:r>
              <w:rPr>
                <w:sz w:val="24"/>
                <w:szCs w:val="24"/>
              </w:rPr>
              <w:t>1.9 电梯平层精度误差≦±3mm。称重装置误差≦± 1%。</w:t>
            </w:r>
          </w:p>
        </w:tc>
        <w:tc>
          <w:tcPr>
            <w:tcW w:w="2552" w:type="dxa"/>
            <w:tcBorders>
              <w:top w:val="single" w:color="000000" w:sz="6" w:space="0"/>
              <w:left w:val="single" w:color="000000" w:sz="6" w:space="0"/>
              <w:bottom w:val="single" w:color="000000" w:sz="6" w:space="0"/>
            </w:tcBorders>
          </w:tcPr>
          <w:p w14:paraId="4C6AC203">
            <w:pPr>
              <w:pStyle w:val="94"/>
              <w:rPr>
                <w:rFonts w:hint="eastAsia"/>
                <w:sz w:val="24"/>
                <w:szCs w:val="24"/>
              </w:rPr>
            </w:pPr>
          </w:p>
        </w:tc>
      </w:tr>
      <w:tr w14:paraId="50F2FB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135" w:type="dxa"/>
            <w:vMerge w:val="continue"/>
            <w:tcBorders>
              <w:top w:val="nil"/>
              <w:bottom w:val="single" w:color="000000" w:sz="6" w:space="0"/>
              <w:right w:val="single" w:color="000000" w:sz="6" w:space="0"/>
            </w:tcBorders>
          </w:tcPr>
          <w:p w14:paraId="77B845DD">
            <w:pPr>
              <w:rPr>
                <w:rFonts w:hint="eastAsia" w:ascii="宋体" w:hAnsi="宋体"/>
                <w:sz w:val="24"/>
                <w:szCs w:val="24"/>
              </w:rPr>
            </w:pPr>
          </w:p>
        </w:tc>
        <w:tc>
          <w:tcPr>
            <w:tcW w:w="5811" w:type="dxa"/>
            <w:gridSpan w:val="2"/>
            <w:tcBorders>
              <w:top w:val="single" w:color="000000" w:sz="6" w:space="0"/>
              <w:left w:val="single" w:color="000000" w:sz="6" w:space="0"/>
              <w:bottom w:val="single" w:color="000000" w:sz="6" w:space="0"/>
              <w:right w:val="single" w:color="000000" w:sz="6" w:space="0"/>
            </w:tcBorders>
          </w:tcPr>
          <w:p w14:paraId="735D1A21">
            <w:pPr>
              <w:pStyle w:val="94"/>
              <w:spacing w:line="295" w:lineRule="exact"/>
              <w:ind w:left="119"/>
              <w:rPr>
                <w:rFonts w:hint="eastAsia"/>
                <w:sz w:val="24"/>
                <w:szCs w:val="24"/>
              </w:rPr>
            </w:pPr>
            <w:r>
              <w:rPr>
                <w:sz w:val="24"/>
                <w:szCs w:val="24"/>
              </w:rPr>
              <w:t>1.10 平均故障次数≤5/60000 次</w:t>
            </w:r>
          </w:p>
        </w:tc>
        <w:tc>
          <w:tcPr>
            <w:tcW w:w="2552" w:type="dxa"/>
            <w:tcBorders>
              <w:top w:val="single" w:color="000000" w:sz="6" w:space="0"/>
              <w:left w:val="single" w:color="000000" w:sz="6" w:space="0"/>
              <w:bottom w:val="single" w:color="000000" w:sz="6" w:space="0"/>
            </w:tcBorders>
          </w:tcPr>
          <w:p w14:paraId="55C06517">
            <w:pPr>
              <w:pStyle w:val="94"/>
              <w:rPr>
                <w:rFonts w:hint="eastAsia"/>
                <w:sz w:val="24"/>
                <w:szCs w:val="24"/>
              </w:rPr>
            </w:pPr>
          </w:p>
        </w:tc>
      </w:tr>
      <w:tr w14:paraId="32F45F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135" w:type="dxa"/>
            <w:vMerge w:val="continue"/>
            <w:tcBorders>
              <w:top w:val="nil"/>
              <w:bottom w:val="single" w:color="000000" w:sz="6" w:space="0"/>
              <w:right w:val="single" w:color="000000" w:sz="6" w:space="0"/>
            </w:tcBorders>
          </w:tcPr>
          <w:p w14:paraId="14BA3AE8">
            <w:pPr>
              <w:rPr>
                <w:rFonts w:hint="eastAsia" w:ascii="宋体" w:hAnsi="宋体"/>
                <w:sz w:val="24"/>
                <w:szCs w:val="24"/>
              </w:rPr>
            </w:pPr>
          </w:p>
        </w:tc>
        <w:tc>
          <w:tcPr>
            <w:tcW w:w="5811" w:type="dxa"/>
            <w:gridSpan w:val="2"/>
            <w:tcBorders>
              <w:top w:val="single" w:color="000000" w:sz="6" w:space="0"/>
              <w:left w:val="single" w:color="000000" w:sz="6" w:space="0"/>
              <w:bottom w:val="single" w:color="000000" w:sz="6" w:space="0"/>
              <w:right w:val="single" w:color="000000" w:sz="6" w:space="0"/>
            </w:tcBorders>
          </w:tcPr>
          <w:p w14:paraId="4772A4E2">
            <w:pPr>
              <w:pStyle w:val="94"/>
              <w:spacing w:line="295" w:lineRule="exact"/>
              <w:ind w:left="119"/>
              <w:rPr>
                <w:rFonts w:hint="eastAsia"/>
                <w:sz w:val="24"/>
                <w:szCs w:val="24"/>
              </w:rPr>
            </w:pPr>
            <w:r>
              <w:rPr>
                <w:sz w:val="24"/>
                <w:szCs w:val="24"/>
              </w:rPr>
              <w:t>1.11 请投标人明确电梯的设计使用年限</w:t>
            </w:r>
            <w:r>
              <w:rPr>
                <w:rFonts w:hint="eastAsia"/>
                <w:sz w:val="24"/>
                <w:szCs w:val="24"/>
              </w:rPr>
              <w:t>，可靠性要求：</w:t>
            </w:r>
          </w:p>
          <w:p w14:paraId="142C3A56">
            <w:pPr>
              <w:pStyle w:val="94"/>
              <w:spacing w:line="295" w:lineRule="exact"/>
              <w:ind w:left="119"/>
              <w:rPr>
                <w:rFonts w:hint="eastAsia"/>
                <w:sz w:val="24"/>
                <w:szCs w:val="24"/>
              </w:rPr>
            </w:pPr>
            <w:r>
              <w:rPr>
                <w:rFonts w:hint="eastAsia"/>
                <w:sz w:val="24"/>
                <w:szCs w:val="24"/>
              </w:rPr>
              <w:t>1、要求连续工作每天20小时，全年365天。</w:t>
            </w:r>
          </w:p>
          <w:p w14:paraId="7FC6AC9C">
            <w:pPr>
              <w:pStyle w:val="94"/>
              <w:spacing w:line="295" w:lineRule="exact"/>
              <w:ind w:left="119"/>
              <w:rPr>
                <w:rFonts w:hint="eastAsia"/>
                <w:sz w:val="24"/>
                <w:szCs w:val="24"/>
              </w:rPr>
            </w:pPr>
            <w:r>
              <w:rPr>
                <w:rFonts w:hint="eastAsia"/>
                <w:sz w:val="24"/>
                <w:szCs w:val="24"/>
              </w:rPr>
              <w:t>2、正常使用寿命期要求10万小时以上。</w:t>
            </w:r>
          </w:p>
        </w:tc>
        <w:tc>
          <w:tcPr>
            <w:tcW w:w="2552" w:type="dxa"/>
            <w:tcBorders>
              <w:top w:val="single" w:color="000000" w:sz="6" w:space="0"/>
              <w:left w:val="single" w:color="000000" w:sz="6" w:space="0"/>
              <w:bottom w:val="single" w:color="000000" w:sz="6" w:space="0"/>
            </w:tcBorders>
          </w:tcPr>
          <w:p w14:paraId="03D8E5CB">
            <w:pPr>
              <w:pStyle w:val="94"/>
              <w:rPr>
                <w:rFonts w:hint="eastAsia"/>
                <w:sz w:val="24"/>
                <w:szCs w:val="24"/>
              </w:rPr>
            </w:pPr>
          </w:p>
        </w:tc>
      </w:tr>
      <w:tr w14:paraId="645FB8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3" w:hRule="atLeast"/>
        </w:trPr>
        <w:tc>
          <w:tcPr>
            <w:tcW w:w="1135" w:type="dxa"/>
            <w:vMerge w:val="continue"/>
            <w:tcBorders>
              <w:top w:val="nil"/>
              <w:bottom w:val="single" w:color="000000" w:sz="6" w:space="0"/>
              <w:right w:val="single" w:color="000000" w:sz="6" w:space="0"/>
            </w:tcBorders>
          </w:tcPr>
          <w:p w14:paraId="640C517A">
            <w:pPr>
              <w:rPr>
                <w:rFonts w:hint="eastAsia" w:ascii="宋体" w:hAnsi="宋体"/>
                <w:sz w:val="24"/>
                <w:szCs w:val="24"/>
              </w:rPr>
            </w:pPr>
          </w:p>
        </w:tc>
        <w:tc>
          <w:tcPr>
            <w:tcW w:w="5811" w:type="dxa"/>
            <w:gridSpan w:val="2"/>
            <w:tcBorders>
              <w:top w:val="single" w:color="000000" w:sz="6" w:space="0"/>
              <w:left w:val="single" w:color="000000" w:sz="6" w:space="0"/>
              <w:bottom w:val="single" w:color="000000" w:sz="6" w:space="0"/>
              <w:right w:val="single" w:color="000000" w:sz="6" w:space="0"/>
            </w:tcBorders>
          </w:tcPr>
          <w:p w14:paraId="479EA7E3">
            <w:pPr>
              <w:pStyle w:val="94"/>
              <w:spacing w:before="75"/>
              <w:ind w:left="119"/>
              <w:rPr>
                <w:rFonts w:hint="eastAsia"/>
                <w:sz w:val="24"/>
                <w:szCs w:val="24"/>
              </w:rPr>
            </w:pPr>
            <w:r>
              <w:rPr>
                <w:rFonts w:hint="eastAsia" w:cs="仿宋"/>
                <w:sz w:val="24"/>
                <w:szCs w:val="24"/>
              </w:rPr>
              <w:t>★</w:t>
            </w:r>
            <w:r>
              <w:rPr>
                <w:sz w:val="24"/>
                <w:szCs w:val="24"/>
              </w:rPr>
              <w:t>1.1</w:t>
            </w:r>
            <w:r>
              <w:rPr>
                <w:rFonts w:hint="eastAsia"/>
                <w:sz w:val="24"/>
                <w:szCs w:val="24"/>
                <w:lang w:val="en-US"/>
              </w:rPr>
              <w:t>2</w:t>
            </w:r>
            <w:r>
              <w:rPr>
                <w:sz w:val="24"/>
                <w:szCs w:val="24"/>
              </w:rPr>
              <w:t xml:space="preserve"> 曳引机：</w:t>
            </w:r>
            <w:r>
              <w:rPr>
                <w:rFonts w:hint="eastAsia" w:cs="Times New Roman"/>
                <w:b/>
                <w:bCs/>
                <w:sz w:val="24"/>
                <w:szCs w:val="24"/>
              </w:rPr>
              <w:t>整机</w:t>
            </w:r>
            <w:r>
              <w:rPr>
                <w:rFonts w:hint="eastAsia" w:cs="Times New Roman"/>
                <w:b/>
                <w:bCs/>
                <w:sz w:val="24"/>
                <w:szCs w:val="24"/>
                <w:lang w:val="en-US"/>
              </w:rPr>
              <w:t>与</w:t>
            </w:r>
            <w:r>
              <w:rPr>
                <w:rFonts w:hint="eastAsia" w:cs="Times New Roman"/>
                <w:b/>
                <w:bCs/>
                <w:sz w:val="24"/>
                <w:szCs w:val="24"/>
              </w:rPr>
              <w:t>电梯同品牌</w:t>
            </w:r>
            <w:r>
              <w:rPr>
                <w:rFonts w:hint="eastAsia" w:cs="Times New Roman"/>
                <w:b/>
                <w:bCs/>
                <w:sz w:val="24"/>
                <w:szCs w:val="24"/>
                <w:lang w:val="en-US" w:eastAsia="zh-CN"/>
              </w:rPr>
              <w:t>并满足</w:t>
            </w:r>
            <w:r>
              <w:rPr>
                <w:rFonts w:hint="eastAsia" w:ascii="宋体" w:hAnsi="宋体" w:cs="宋体"/>
                <w:color w:val="000000"/>
                <w:sz w:val="21"/>
                <w:szCs w:val="21"/>
                <w:highlight w:val="yellow"/>
              </w:rPr>
              <w:t>电梯驱动主机制动器总成进行至少1800万次的动作试验，且试验过程中噪音值不大于50dB，满足需求的得</w:t>
            </w:r>
            <w:r>
              <w:rPr>
                <w:rFonts w:ascii="宋体" w:hAnsi="宋体" w:cs="宋体"/>
                <w:color w:val="000000"/>
                <w:sz w:val="21"/>
                <w:szCs w:val="21"/>
                <w:highlight w:val="yellow"/>
              </w:rPr>
              <w:t>10</w:t>
            </w:r>
            <w:r>
              <w:rPr>
                <w:rFonts w:hint="eastAsia" w:ascii="宋体" w:hAnsi="宋体" w:cs="宋体"/>
                <w:color w:val="000000"/>
                <w:sz w:val="21"/>
                <w:szCs w:val="21"/>
                <w:highlight w:val="yellow"/>
              </w:rPr>
              <w:t>分，需提供省级及以上第三方检验机构出具的材料。</w:t>
            </w:r>
          </w:p>
        </w:tc>
        <w:tc>
          <w:tcPr>
            <w:tcW w:w="2552" w:type="dxa"/>
            <w:tcBorders>
              <w:top w:val="single" w:color="000000" w:sz="6" w:space="0"/>
              <w:left w:val="single" w:color="000000" w:sz="6" w:space="0"/>
              <w:bottom w:val="single" w:color="000000" w:sz="6" w:space="0"/>
            </w:tcBorders>
          </w:tcPr>
          <w:p w14:paraId="2C9B7EE4">
            <w:pPr>
              <w:pStyle w:val="94"/>
              <w:rPr>
                <w:rFonts w:hint="eastAsia"/>
                <w:sz w:val="24"/>
                <w:szCs w:val="24"/>
              </w:rPr>
            </w:pPr>
          </w:p>
        </w:tc>
      </w:tr>
      <w:tr w14:paraId="33AD06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1135" w:type="dxa"/>
            <w:vMerge w:val="continue"/>
            <w:tcBorders>
              <w:top w:val="nil"/>
              <w:bottom w:val="single" w:color="000000" w:sz="6" w:space="0"/>
              <w:right w:val="single" w:color="000000" w:sz="6" w:space="0"/>
            </w:tcBorders>
          </w:tcPr>
          <w:p w14:paraId="47487250">
            <w:pPr>
              <w:rPr>
                <w:rFonts w:hint="eastAsia" w:ascii="宋体" w:hAnsi="宋体"/>
                <w:sz w:val="24"/>
                <w:szCs w:val="24"/>
              </w:rPr>
            </w:pPr>
          </w:p>
        </w:tc>
        <w:tc>
          <w:tcPr>
            <w:tcW w:w="5811" w:type="dxa"/>
            <w:gridSpan w:val="2"/>
            <w:tcBorders>
              <w:top w:val="single" w:color="000000" w:sz="6" w:space="0"/>
              <w:left w:val="single" w:color="000000" w:sz="6" w:space="0"/>
              <w:bottom w:val="single" w:color="000000" w:sz="6" w:space="0"/>
              <w:right w:val="single" w:color="000000" w:sz="6" w:space="0"/>
            </w:tcBorders>
          </w:tcPr>
          <w:p w14:paraId="41564DF0">
            <w:pPr>
              <w:pStyle w:val="94"/>
              <w:spacing w:before="75"/>
              <w:ind w:left="119"/>
              <w:rPr>
                <w:rFonts w:hint="eastAsia" w:eastAsia="宋体"/>
                <w:sz w:val="24"/>
                <w:szCs w:val="24"/>
                <w:lang w:eastAsia="zh-CN"/>
              </w:rPr>
            </w:pPr>
            <w:r>
              <w:rPr>
                <w:rFonts w:hint="eastAsia" w:cs="仿宋"/>
                <w:sz w:val="24"/>
                <w:szCs w:val="24"/>
              </w:rPr>
              <w:t>★</w:t>
            </w:r>
            <w:r>
              <w:rPr>
                <w:sz w:val="24"/>
                <w:szCs w:val="24"/>
              </w:rPr>
              <w:t>1.1</w:t>
            </w:r>
            <w:r>
              <w:rPr>
                <w:rFonts w:hint="eastAsia"/>
                <w:sz w:val="24"/>
                <w:szCs w:val="24"/>
                <w:lang w:val="en-US"/>
              </w:rPr>
              <w:t>3</w:t>
            </w:r>
            <w:r>
              <w:rPr>
                <w:sz w:val="24"/>
                <w:szCs w:val="24"/>
              </w:rPr>
              <w:t xml:space="preserve"> 门机：</w:t>
            </w:r>
            <w:r>
              <w:rPr>
                <w:rFonts w:hint="eastAsia" w:cs="Times New Roman"/>
                <w:b/>
                <w:bCs/>
                <w:sz w:val="24"/>
                <w:szCs w:val="24"/>
              </w:rPr>
              <w:t>整机</w:t>
            </w:r>
            <w:r>
              <w:rPr>
                <w:rFonts w:hint="eastAsia" w:cs="Times New Roman"/>
                <w:b/>
                <w:bCs/>
                <w:sz w:val="24"/>
                <w:szCs w:val="24"/>
                <w:lang w:val="en-US"/>
              </w:rPr>
              <w:t>与</w:t>
            </w:r>
            <w:r>
              <w:rPr>
                <w:rFonts w:hint="eastAsia" w:cs="Times New Roman"/>
                <w:b/>
                <w:bCs/>
                <w:sz w:val="24"/>
                <w:szCs w:val="24"/>
              </w:rPr>
              <w:t>电梯同品牌</w:t>
            </w:r>
            <w:r>
              <w:rPr>
                <w:rFonts w:hint="eastAsia"/>
                <w:lang w:eastAsia="zh-CN"/>
              </w:rPr>
              <w:t>，</w:t>
            </w:r>
            <w:r>
              <w:rPr>
                <w:rFonts w:hint="eastAsia" w:ascii="宋体" w:hAnsi="宋体"/>
                <w:spacing w:val="-18"/>
              </w:rPr>
              <w:t>防水防尘等级为IP65</w:t>
            </w:r>
          </w:p>
        </w:tc>
        <w:tc>
          <w:tcPr>
            <w:tcW w:w="2552" w:type="dxa"/>
            <w:tcBorders>
              <w:top w:val="single" w:color="000000" w:sz="6" w:space="0"/>
              <w:left w:val="single" w:color="000000" w:sz="6" w:space="0"/>
              <w:bottom w:val="single" w:color="000000" w:sz="6" w:space="0"/>
            </w:tcBorders>
          </w:tcPr>
          <w:p w14:paraId="26F8D917">
            <w:pPr>
              <w:pStyle w:val="94"/>
              <w:rPr>
                <w:rFonts w:hint="eastAsia"/>
                <w:sz w:val="24"/>
                <w:szCs w:val="24"/>
              </w:rPr>
            </w:pPr>
          </w:p>
        </w:tc>
      </w:tr>
      <w:tr w14:paraId="1618A9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3" w:hRule="atLeast"/>
        </w:trPr>
        <w:tc>
          <w:tcPr>
            <w:tcW w:w="1135" w:type="dxa"/>
            <w:vMerge w:val="continue"/>
            <w:tcBorders>
              <w:top w:val="nil"/>
              <w:bottom w:val="single" w:color="000000" w:sz="6" w:space="0"/>
              <w:right w:val="single" w:color="000000" w:sz="6" w:space="0"/>
            </w:tcBorders>
          </w:tcPr>
          <w:p w14:paraId="0FD47B65">
            <w:pPr>
              <w:rPr>
                <w:rFonts w:hint="eastAsia" w:ascii="宋体" w:hAnsi="宋体"/>
                <w:sz w:val="24"/>
                <w:szCs w:val="24"/>
              </w:rPr>
            </w:pPr>
          </w:p>
        </w:tc>
        <w:tc>
          <w:tcPr>
            <w:tcW w:w="5811" w:type="dxa"/>
            <w:gridSpan w:val="2"/>
            <w:tcBorders>
              <w:top w:val="single" w:color="000000" w:sz="6" w:space="0"/>
              <w:left w:val="single" w:color="000000" w:sz="6" w:space="0"/>
              <w:bottom w:val="single" w:color="000000" w:sz="6" w:space="0"/>
              <w:right w:val="single" w:color="000000" w:sz="6" w:space="0"/>
            </w:tcBorders>
            <w:vAlign w:val="center"/>
          </w:tcPr>
          <w:p w14:paraId="658E9E7E">
            <w:pPr>
              <w:pStyle w:val="94"/>
              <w:spacing w:before="8" w:line="280" w:lineRule="exact"/>
              <w:ind w:left="119"/>
              <w:jc w:val="both"/>
              <w:rPr>
                <w:rFonts w:hint="eastAsia"/>
                <w:sz w:val="24"/>
                <w:szCs w:val="24"/>
              </w:rPr>
            </w:pPr>
            <w:r>
              <w:rPr>
                <w:rFonts w:hint="eastAsia" w:cs="仿宋"/>
                <w:sz w:val="24"/>
                <w:szCs w:val="24"/>
              </w:rPr>
              <w:t>★</w:t>
            </w:r>
            <w:r>
              <w:rPr>
                <w:sz w:val="24"/>
                <w:szCs w:val="24"/>
              </w:rPr>
              <w:t>1.1</w:t>
            </w:r>
            <w:r>
              <w:rPr>
                <w:rFonts w:hint="eastAsia"/>
                <w:sz w:val="24"/>
                <w:szCs w:val="24"/>
                <w:lang w:val="en-US"/>
              </w:rPr>
              <w:t>4</w:t>
            </w:r>
            <w:r>
              <w:rPr>
                <w:spacing w:val="-8"/>
                <w:sz w:val="24"/>
                <w:szCs w:val="24"/>
              </w:rPr>
              <w:t xml:space="preserve"> </w:t>
            </w:r>
            <w:r>
              <w:rPr>
                <w:rFonts w:hint="eastAsia"/>
                <w:sz w:val="24"/>
                <w:szCs w:val="24"/>
              </w:rPr>
              <w:t>控制柜：</w:t>
            </w:r>
            <w:r>
              <w:rPr>
                <w:rFonts w:hint="eastAsia" w:cs="Times New Roman"/>
                <w:b/>
                <w:bCs/>
                <w:sz w:val="24"/>
                <w:szCs w:val="24"/>
              </w:rPr>
              <w:t>整机</w:t>
            </w:r>
            <w:r>
              <w:rPr>
                <w:rFonts w:hint="eastAsia" w:cs="Times New Roman"/>
                <w:b/>
                <w:bCs/>
                <w:sz w:val="24"/>
                <w:szCs w:val="24"/>
                <w:lang w:val="en-US"/>
              </w:rPr>
              <w:t>与</w:t>
            </w:r>
            <w:r>
              <w:rPr>
                <w:rFonts w:hint="eastAsia" w:cs="Times New Roman"/>
                <w:b/>
                <w:bCs/>
                <w:sz w:val="24"/>
                <w:szCs w:val="24"/>
              </w:rPr>
              <w:t>电梯同品牌</w:t>
            </w:r>
          </w:p>
        </w:tc>
        <w:tc>
          <w:tcPr>
            <w:tcW w:w="2552" w:type="dxa"/>
            <w:tcBorders>
              <w:top w:val="single" w:color="000000" w:sz="6" w:space="0"/>
              <w:left w:val="single" w:color="000000" w:sz="6" w:space="0"/>
              <w:bottom w:val="single" w:color="000000" w:sz="6" w:space="0"/>
            </w:tcBorders>
          </w:tcPr>
          <w:p w14:paraId="2B632895">
            <w:pPr>
              <w:pStyle w:val="94"/>
              <w:rPr>
                <w:rFonts w:hint="eastAsia"/>
                <w:sz w:val="24"/>
                <w:szCs w:val="24"/>
              </w:rPr>
            </w:pPr>
          </w:p>
        </w:tc>
      </w:tr>
      <w:tr w14:paraId="57ADADA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1135" w:type="dxa"/>
            <w:vMerge w:val="continue"/>
            <w:tcBorders>
              <w:top w:val="nil"/>
              <w:bottom w:val="single" w:color="000000" w:sz="6" w:space="0"/>
              <w:right w:val="single" w:color="000000" w:sz="6" w:space="0"/>
            </w:tcBorders>
          </w:tcPr>
          <w:p w14:paraId="4B3251FA">
            <w:pPr>
              <w:rPr>
                <w:rFonts w:hint="eastAsia" w:ascii="宋体" w:hAnsi="宋体"/>
                <w:sz w:val="24"/>
                <w:szCs w:val="24"/>
              </w:rPr>
            </w:pPr>
          </w:p>
        </w:tc>
        <w:tc>
          <w:tcPr>
            <w:tcW w:w="5811" w:type="dxa"/>
            <w:gridSpan w:val="2"/>
            <w:tcBorders>
              <w:top w:val="single" w:color="000000" w:sz="6" w:space="0"/>
              <w:left w:val="single" w:color="000000" w:sz="6" w:space="0"/>
              <w:bottom w:val="single" w:color="000000" w:sz="6" w:space="0"/>
              <w:right w:val="single" w:color="000000" w:sz="6" w:space="0"/>
            </w:tcBorders>
          </w:tcPr>
          <w:p w14:paraId="647FAE86">
            <w:pPr>
              <w:pStyle w:val="94"/>
              <w:spacing w:before="60"/>
              <w:ind w:left="119"/>
              <w:rPr>
                <w:rFonts w:hint="eastAsia"/>
                <w:sz w:val="24"/>
                <w:szCs w:val="24"/>
              </w:rPr>
            </w:pPr>
            <w:r>
              <w:rPr>
                <w:rFonts w:hint="eastAsia" w:cs="仿宋"/>
                <w:sz w:val="24"/>
                <w:szCs w:val="24"/>
              </w:rPr>
              <w:t>★</w:t>
            </w:r>
            <w:r>
              <w:rPr>
                <w:sz w:val="24"/>
                <w:szCs w:val="24"/>
                <w:highlight w:val="yellow"/>
              </w:rPr>
              <w:t>1.1</w:t>
            </w:r>
            <w:r>
              <w:rPr>
                <w:rFonts w:hint="eastAsia"/>
                <w:sz w:val="24"/>
                <w:szCs w:val="24"/>
                <w:highlight w:val="yellow"/>
              </w:rPr>
              <w:t>5</w:t>
            </w:r>
            <w:r>
              <w:rPr>
                <w:rFonts w:hint="eastAsia"/>
                <w:bCs/>
                <w:highlight w:val="yellow"/>
              </w:rPr>
              <w:t>门保护：</w:t>
            </w:r>
            <w:r>
              <w:rPr>
                <w:rFonts w:hint="eastAsia"/>
                <w:szCs w:val="28"/>
                <w:highlight w:val="yellow"/>
              </w:rPr>
              <w:t>采用原厂原品牌且外壳防护等级IP65及以上且光幕≥154束</w:t>
            </w:r>
            <w:r>
              <w:rPr>
                <w:rFonts w:hint="eastAsia"/>
                <w:szCs w:val="21"/>
                <w:highlight w:val="yellow"/>
              </w:rPr>
              <w:t>，且不得有盲区。</w:t>
            </w:r>
            <w:r>
              <w:rPr>
                <w:rFonts w:hint="eastAsia"/>
                <w:szCs w:val="28"/>
                <w:highlight w:val="yellow"/>
              </w:rPr>
              <w:t>提供第三方权威机构检验报并加盖制造商公章；</w:t>
            </w:r>
          </w:p>
        </w:tc>
        <w:tc>
          <w:tcPr>
            <w:tcW w:w="2552" w:type="dxa"/>
            <w:tcBorders>
              <w:top w:val="single" w:color="000000" w:sz="6" w:space="0"/>
              <w:left w:val="single" w:color="000000" w:sz="6" w:space="0"/>
              <w:bottom w:val="single" w:color="000000" w:sz="6" w:space="0"/>
            </w:tcBorders>
          </w:tcPr>
          <w:p w14:paraId="11572832">
            <w:pPr>
              <w:pStyle w:val="94"/>
              <w:rPr>
                <w:rFonts w:hint="eastAsia"/>
                <w:sz w:val="24"/>
                <w:szCs w:val="24"/>
              </w:rPr>
            </w:pPr>
          </w:p>
        </w:tc>
      </w:tr>
      <w:tr w14:paraId="5CD33E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5" w:hRule="atLeast"/>
        </w:trPr>
        <w:tc>
          <w:tcPr>
            <w:tcW w:w="1135" w:type="dxa"/>
            <w:vMerge w:val="continue"/>
            <w:tcBorders>
              <w:top w:val="nil"/>
              <w:bottom w:val="single" w:color="000000" w:sz="6" w:space="0"/>
              <w:right w:val="single" w:color="000000" w:sz="6" w:space="0"/>
            </w:tcBorders>
          </w:tcPr>
          <w:p w14:paraId="3CEBAEF1">
            <w:pPr>
              <w:rPr>
                <w:rFonts w:hint="eastAsia" w:ascii="宋体" w:hAnsi="宋体"/>
                <w:sz w:val="24"/>
                <w:szCs w:val="24"/>
              </w:rPr>
            </w:pPr>
          </w:p>
        </w:tc>
        <w:tc>
          <w:tcPr>
            <w:tcW w:w="5811" w:type="dxa"/>
            <w:gridSpan w:val="2"/>
            <w:tcBorders>
              <w:top w:val="single" w:color="000000" w:sz="6" w:space="0"/>
              <w:left w:val="single" w:color="000000" w:sz="6" w:space="0"/>
              <w:bottom w:val="single" w:color="000000" w:sz="6" w:space="0"/>
              <w:right w:val="single" w:color="000000" w:sz="6" w:space="0"/>
            </w:tcBorders>
          </w:tcPr>
          <w:p w14:paraId="38A33422">
            <w:pPr>
              <w:pStyle w:val="94"/>
              <w:spacing w:line="247" w:lineRule="auto"/>
              <w:ind w:left="119" w:right="73"/>
              <w:rPr>
                <w:rFonts w:hint="eastAsia"/>
                <w:b/>
                <w:sz w:val="24"/>
                <w:szCs w:val="24"/>
              </w:rPr>
            </w:pPr>
            <w:r>
              <w:rPr>
                <w:b/>
                <w:sz w:val="24"/>
                <w:szCs w:val="24"/>
              </w:rPr>
              <w:t>★1.1</w:t>
            </w:r>
            <w:r>
              <w:rPr>
                <w:rFonts w:hint="eastAsia"/>
                <w:b/>
                <w:sz w:val="24"/>
                <w:szCs w:val="24"/>
              </w:rPr>
              <w:t>6</w:t>
            </w:r>
            <w:r>
              <w:rPr>
                <w:b/>
                <w:spacing w:val="-13"/>
                <w:sz w:val="24"/>
                <w:szCs w:val="24"/>
              </w:rPr>
              <w:t xml:space="preserve"> 符合宁波市人民政府第 </w:t>
            </w:r>
            <w:r>
              <w:rPr>
                <w:b/>
                <w:sz w:val="24"/>
                <w:szCs w:val="24"/>
              </w:rPr>
              <w:t>224</w:t>
            </w:r>
            <w:r>
              <w:rPr>
                <w:b/>
                <w:spacing w:val="-21"/>
                <w:sz w:val="24"/>
                <w:szCs w:val="24"/>
              </w:rPr>
              <w:t xml:space="preserve"> 号令《宁波市电梯</w:t>
            </w:r>
            <w:r>
              <w:rPr>
                <w:b/>
                <w:spacing w:val="4"/>
                <w:w w:val="95"/>
                <w:sz w:val="24"/>
                <w:szCs w:val="24"/>
              </w:rPr>
              <w:t>安全管理办法》和宁波市市场监督管理局甬质特发</w:t>
            </w:r>
            <w:r>
              <w:rPr>
                <w:b/>
                <w:sz w:val="24"/>
                <w:szCs w:val="24"/>
              </w:rPr>
              <w:t>《</w:t>
            </w:r>
            <w:r>
              <w:rPr>
                <w:b/>
                <w:spacing w:val="3"/>
                <w:sz w:val="24"/>
                <w:szCs w:val="24"/>
              </w:rPr>
              <w:t>2016</w:t>
            </w:r>
            <w:r>
              <w:rPr>
                <w:b/>
                <w:spacing w:val="-60"/>
                <w:sz w:val="24"/>
                <w:szCs w:val="24"/>
              </w:rPr>
              <w:t>》</w:t>
            </w:r>
            <w:r>
              <w:rPr>
                <w:b/>
                <w:sz w:val="24"/>
                <w:szCs w:val="24"/>
              </w:rPr>
              <w:t>21</w:t>
            </w:r>
            <w:r>
              <w:rPr>
                <w:b/>
                <w:spacing w:val="-12"/>
                <w:sz w:val="24"/>
                <w:szCs w:val="24"/>
              </w:rPr>
              <w:t xml:space="preserve"> 号《市质监局关于推进电梯远程监测系统</w:t>
            </w:r>
            <w:r>
              <w:rPr>
                <w:b/>
                <w:sz w:val="24"/>
                <w:szCs w:val="24"/>
              </w:rPr>
              <w:t>建设的指导意见》要求。</w:t>
            </w:r>
          </w:p>
        </w:tc>
        <w:tc>
          <w:tcPr>
            <w:tcW w:w="2552" w:type="dxa"/>
            <w:tcBorders>
              <w:top w:val="single" w:color="000000" w:sz="6" w:space="0"/>
              <w:left w:val="single" w:color="000000" w:sz="6" w:space="0"/>
              <w:bottom w:val="single" w:color="000000" w:sz="6" w:space="0"/>
            </w:tcBorders>
          </w:tcPr>
          <w:p w14:paraId="6813DB5C">
            <w:pPr>
              <w:pStyle w:val="94"/>
              <w:rPr>
                <w:rFonts w:hint="eastAsia"/>
                <w:sz w:val="24"/>
                <w:szCs w:val="24"/>
              </w:rPr>
            </w:pPr>
          </w:p>
        </w:tc>
      </w:tr>
      <w:tr w14:paraId="52E344E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0" w:hRule="atLeast"/>
        </w:trPr>
        <w:tc>
          <w:tcPr>
            <w:tcW w:w="1135" w:type="dxa"/>
            <w:vMerge w:val="restart"/>
            <w:tcBorders>
              <w:top w:val="single" w:color="000000" w:sz="6" w:space="0"/>
              <w:right w:val="single" w:color="000000" w:sz="6" w:space="0"/>
            </w:tcBorders>
          </w:tcPr>
          <w:p w14:paraId="2F1370CE">
            <w:pPr>
              <w:pStyle w:val="94"/>
              <w:rPr>
                <w:rFonts w:hint="eastAsia"/>
                <w:sz w:val="24"/>
                <w:szCs w:val="24"/>
              </w:rPr>
            </w:pPr>
            <w:r>
              <w:rPr>
                <w:sz w:val="24"/>
                <w:szCs w:val="24"/>
              </w:rPr>
              <w:t>2、控制系统要求</w:t>
            </w:r>
          </w:p>
        </w:tc>
        <w:tc>
          <w:tcPr>
            <w:tcW w:w="5811" w:type="dxa"/>
            <w:gridSpan w:val="2"/>
            <w:tcBorders>
              <w:top w:val="single" w:color="000000" w:sz="6" w:space="0"/>
              <w:left w:val="single" w:color="000000" w:sz="6" w:space="0"/>
              <w:bottom w:val="single" w:color="000000" w:sz="6" w:space="0"/>
              <w:right w:val="single" w:color="000000" w:sz="6" w:space="0"/>
            </w:tcBorders>
          </w:tcPr>
          <w:p w14:paraId="17DB508D">
            <w:pPr>
              <w:pStyle w:val="94"/>
              <w:rPr>
                <w:rFonts w:hint="eastAsia"/>
                <w:sz w:val="24"/>
                <w:szCs w:val="24"/>
              </w:rPr>
            </w:pPr>
            <w:r>
              <w:rPr>
                <w:sz w:val="24"/>
                <w:szCs w:val="24"/>
              </w:rPr>
              <w:t>2.1</w:t>
            </w:r>
            <w:r>
              <w:rPr>
                <w:spacing w:val="-18"/>
                <w:sz w:val="24"/>
                <w:szCs w:val="24"/>
              </w:rPr>
              <w:t xml:space="preserve"> 开门机系统：采用 </w:t>
            </w:r>
            <w:r>
              <w:rPr>
                <w:sz w:val="24"/>
                <w:szCs w:val="24"/>
              </w:rPr>
              <w:t>VVVF</w:t>
            </w:r>
            <w:r>
              <w:rPr>
                <w:spacing w:val="-11"/>
                <w:sz w:val="24"/>
                <w:szCs w:val="24"/>
              </w:rPr>
              <w:t xml:space="preserve"> 门机控制系统，红外线光</w:t>
            </w:r>
            <w:r>
              <w:rPr>
                <w:sz w:val="24"/>
                <w:szCs w:val="24"/>
              </w:rPr>
              <w:t>幕保护。</w:t>
            </w:r>
          </w:p>
        </w:tc>
        <w:tc>
          <w:tcPr>
            <w:tcW w:w="2552" w:type="dxa"/>
            <w:tcBorders>
              <w:top w:val="single" w:color="000000" w:sz="6" w:space="0"/>
              <w:left w:val="single" w:color="000000" w:sz="6" w:space="0"/>
              <w:bottom w:val="single" w:color="000000" w:sz="6" w:space="0"/>
            </w:tcBorders>
          </w:tcPr>
          <w:p w14:paraId="53ADF029">
            <w:pPr>
              <w:pStyle w:val="94"/>
              <w:rPr>
                <w:rFonts w:hint="eastAsia"/>
                <w:sz w:val="24"/>
                <w:szCs w:val="24"/>
              </w:rPr>
            </w:pPr>
          </w:p>
        </w:tc>
      </w:tr>
      <w:tr w14:paraId="3316FF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73D78DAF">
            <w:pPr>
              <w:rPr>
                <w:rFonts w:hint="eastAsia" w:ascii="宋体" w:hAnsi="宋体"/>
                <w:sz w:val="24"/>
                <w:szCs w:val="24"/>
              </w:rPr>
            </w:pPr>
          </w:p>
        </w:tc>
        <w:tc>
          <w:tcPr>
            <w:tcW w:w="5811" w:type="dxa"/>
            <w:gridSpan w:val="2"/>
            <w:tcBorders>
              <w:top w:val="single" w:color="000000" w:sz="6" w:space="0"/>
              <w:left w:val="single" w:color="000000" w:sz="6" w:space="0"/>
              <w:right w:val="single" w:color="000000" w:sz="6" w:space="0"/>
            </w:tcBorders>
          </w:tcPr>
          <w:p w14:paraId="2F637A1F">
            <w:pPr>
              <w:pStyle w:val="94"/>
              <w:spacing w:before="8"/>
              <w:rPr>
                <w:rFonts w:hint="eastAsia"/>
                <w:sz w:val="24"/>
                <w:szCs w:val="24"/>
              </w:rPr>
            </w:pPr>
            <w:r>
              <w:rPr>
                <w:sz w:val="24"/>
                <w:szCs w:val="24"/>
              </w:rPr>
              <w:t>2.2 驱动系统：交流变频变压控制系统（VVVF）。</w:t>
            </w:r>
          </w:p>
        </w:tc>
        <w:tc>
          <w:tcPr>
            <w:tcW w:w="2552" w:type="dxa"/>
            <w:tcBorders>
              <w:top w:val="single" w:color="000000" w:sz="6" w:space="0"/>
              <w:left w:val="single" w:color="000000" w:sz="6" w:space="0"/>
            </w:tcBorders>
          </w:tcPr>
          <w:p w14:paraId="1650C15E">
            <w:pPr>
              <w:pStyle w:val="94"/>
              <w:rPr>
                <w:rFonts w:hint="eastAsia"/>
                <w:sz w:val="24"/>
                <w:szCs w:val="24"/>
              </w:rPr>
            </w:pPr>
          </w:p>
        </w:tc>
      </w:tr>
      <w:tr w14:paraId="3585BF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restart"/>
            <w:tcBorders>
              <w:top w:val="nil"/>
              <w:right w:val="single" w:color="000000" w:sz="6" w:space="0"/>
            </w:tcBorders>
          </w:tcPr>
          <w:p w14:paraId="144C0F40">
            <w:pPr>
              <w:pStyle w:val="94"/>
              <w:spacing w:line="247" w:lineRule="auto"/>
              <w:ind w:left="105" w:right="31"/>
              <w:rPr>
                <w:rFonts w:hint="eastAsia"/>
                <w:sz w:val="24"/>
                <w:szCs w:val="24"/>
              </w:rPr>
            </w:pPr>
            <w:r>
              <w:rPr>
                <w:sz w:val="24"/>
                <w:szCs w:val="24"/>
              </w:rPr>
              <w:t>2、控制系统要求</w:t>
            </w:r>
          </w:p>
        </w:tc>
        <w:tc>
          <w:tcPr>
            <w:tcW w:w="5811" w:type="dxa"/>
            <w:gridSpan w:val="2"/>
            <w:tcBorders>
              <w:top w:val="single" w:color="000000" w:sz="6" w:space="0"/>
              <w:left w:val="single" w:color="000000" w:sz="6" w:space="0"/>
              <w:bottom w:val="single" w:color="000000" w:sz="12" w:space="0"/>
              <w:right w:val="single" w:color="000000" w:sz="6" w:space="0"/>
            </w:tcBorders>
          </w:tcPr>
          <w:p w14:paraId="44F1D687">
            <w:pPr>
              <w:pStyle w:val="94"/>
              <w:rPr>
                <w:rFonts w:hint="eastAsia"/>
                <w:sz w:val="24"/>
                <w:szCs w:val="24"/>
              </w:rPr>
            </w:pPr>
            <w:r>
              <w:rPr>
                <w:sz w:val="24"/>
                <w:szCs w:val="24"/>
              </w:rPr>
              <w:t>2.3 控制系统：多微机网络控制（即轿厢本身、轿厢操作盘、各层站呼梯指示器上均备有微电脑与控制柜主电脑一起构成网络控制系统）（或采用双 32 位 CPU微机）</w:t>
            </w:r>
          </w:p>
        </w:tc>
        <w:tc>
          <w:tcPr>
            <w:tcW w:w="2552" w:type="dxa"/>
            <w:tcBorders>
              <w:top w:val="single" w:color="000000" w:sz="6" w:space="0"/>
              <w:left w:val="single" w:color="000000" w:sz="6" w:space="0"/>
              <w:bottom w:val="single" w:color="000000" w:sz="12" w:space="0"/>
              <w:right w:val="single" w:color="000000" w:sz="12" w:space="0"/>
            </w:tcBorders>
          </w:tcPr>
          <w:p w14:paraId="0CBFCF70">
            <w:pPr>
              <w:pStyle w:val="94"/>
              <w:ind w:left="119"/>
              <w:rPr>
                <w:rFonts w:hint="eastAsia"/>
                <w:sz w:val="24"/>
                <w:szCs w:val="24"/>
              </w:rPr>
            </w:pPr>
          </w:p>
        </w:tc>
      </w:tr>
      <w:tr w14:paraId="3F0C22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bottom w:val="single" w:color="auto" w:sz="4" w:space="0"/>
              <w:right w:val="single" w:color="000000" w:sz="6" w:space="0"/>
            </w:tcBorders>
          </w:tcPr>
          <w:p w14:paraId="6718F359">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433C80B0">
            <w:pPr>
              <w:pStyle w:val="94"/>
              <w:rPr>
                <w:rFonts w:hint="eastAsia"/>
                <w:sz w:val="24"/>
                <w:szCs w:val="24"/>
              </w:rPr>
            </w:pPr>
            <w:r>
              <w:rPr>
                <w:sz w:val="24"/>
                <w:szCs w:val="24"/>
              </w:rPr>
              <w:t>2.4 门机系统通过微处理器及逆变器自动调节门速和转矩，使门的开启和关闭轻柔、稳定、可靠和灵敏。</w:t>
            </w:r>
          </w:p>
        </w:tc>
        <w:tc>
          <w:tcPr>
            <w:tcW w:w="2552" w:type="dxa"/>
            <w:tcBorders>
              <w:top w:val="single" w:color="000000" w:sz="6" w:space="0"/>
              <w:left w:val="single" w:color="000000" w:sz="6" w:space="0"/>
              <w:bottom w:val="single" w:color="000000" w:sz="12" w:space="0"/>
              <w:right w:val="single" w:color="000000" w:sz="12" w:space="0"/>
            </w:tcBorders>
          </w:tcPr>
          <w:p w14:paraId="0321B43C">
            <w:pPr>
              <w:pStyle w:val="94"/>
              <w:ind w:left="119"/>
              <w:rPr>
                <w:rFonts w:hint="eastAsia"/>
                <w:sz w:val="24"/>
                <w:szCs w:val="24"/>
              </w:rPr>
            </w:pPr>
          </w:p>
        </w:tc>
      </w:tr>
      <w:tr w14:paraId="424DA4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restart"/>
            <w:tcBorders>
              <w:top w:val="single" w:color="auto" w:sz="4" w:space="0"/>
              <w:right w:val="single" w:color="000000" w:sz="6" w:space="0"/>
            </w:tcBorders>
          </w:tcPr>
          <w:p w14:paraId="4F95B936">
            <w:pPr>
              <w:pStyle w:val="94"/>
              <w:rPr>
                <w:rFonts w:hint="eastAsia"/>
                <w:sz w:val="24"/>
                <w:szCs w:val="24"/>
              </w:rPr>
            </w:pPr>
          </w:p>
          <w:p w14:paraId="3DEF3C7C">
            <w:pPr>
              <w:pStyle w:val="94"/>
              <w:rPr>
                <w:rFonts w:hint="eastAsia"/>
                <w:sz w:val="24"/>
                <w:szCs w:val="24"/>
              </w:rPr>
            </w:pPr>
          </w:p>
          <w:p w14:paraId="1DF04228">
            <w:pPr>
              <w:pStyle w:val="94"/>
              <w:rPr>
                <w:rFonts w:hint="eastAsia"/>
                <w:sz w:val="24"/>
                <w:szCs w:val="24"/>
              </w:rPr>
            </w:pPr>
          </w:p>
          <w:p w14:paraId="2526BB98">
            <w:pPr>
              <w:pStyle w:val="94"/>
              <w:rPr>
                <w:rFonts w:hint="eastAsia"/>
                <w:sz w:val="24"/>
                <w:szCs w:val="24"/>
              </w:rPr>
            </w:pPr>
          </w:p>
          <w:p w14:paraId="59F77F7F">
            <w:pPr>
              <w:pStyle w:val="94"/>
              <w:rPr>
                <w:rFonts w:hint="eastAsia"/>
                <w:sz w:val="24"/>
                <w:szCs w:val="24"/>
              </w:rPr>
            </w:pPr>
          </w:p>
          <w:p w14:paraId="06E31DB5">
            <w:pPr>
              <w:pStyle w:val="94"/>
              <w:rPr>
                <w:rFonts w:hint="eastAsia"/>
                <w:sz w:val="24"/>
                <w:szCs w:val="24"/>
              </w:rPr>
            </w:pPr>
          </w:p>
          <w:p w14:paraId="51F751D0">
            <w:pPr>
              <w:pStyle w:val="94"/>
              <w:rPr>
                <w:rFonts w:hint="eastAsia"/>
                <w:sz w:val="24"/>
                <w:szCs w:val="24"/>
              </w:rPr>
            </w:pPr>
          </w:p>
          <w:p w14:paraId="180A8716">
            <w:pPr>
              <w:pStyle w:val="94"/>
              <w:rPr>
                <w:rFonts w:hint="eastAsia"/>
                <w:sz w:val="24"/>
                <w:szCs w:val="24"/>
              </w:rPr>
            </w:pPr>
          </w:p>
          <w:p w14:paraId="66ED0765">
            <w:pPr>
              <w:pStyle w:val="94"/>
              <w:spacing w:before="8"/>
              <w:rPr>
                <w:rFonts w:hint="eastAsia"/>
                <w:sz w:val="24"/>
                <w:szCs w:val="24"/>
              </w:rPr>
            </w:pPr>
          </w:p>
          <w:p w14:paraId="2E419492">
            <w:pPr>
              <w:pStyle w:val="94"/>
              <w:spacing w:before="1"/>
              <w:ind w:left="105" w:right="28"/>
              <w:jc w:val="both"/>
              <w:rPr>
                <w:rFonts w:hint="eastAsia"/>
                <w:sz w:val="24"/>
                <w:szCs w:val="24"/>
              </w:rPr>
            </w:pPr>
            <w:r>
              <w:rPr>
                <w:sz w:val="24"/>
                <w:szCs w:val="24"/>
              </w:rPr>
              <w:t>3、电梯基本功能及选配功能</w:t>
            </w:r>
          </w:p>
        </w:tc>
        <w:tc>
          <w:tcPr>
            <w:tcW w:w="5811" w:type="dxa"/>
            <w:gridSpan w:val="2"/>
            <w:tcBorders>
              <w:top w:val="single" w:color="000000" w:sz="6" w:space="0"/>
              <w:left w:val="single" w:color="000000" w:sz="6" w:space="0"/>
              <w:bottom w:val="single" w:color="000000" w:sz="12" w:space="0"/>
              <w:right w:val="single" w:color="000000" w:sz="6" w:space="0"/>
            </w:tcBorders>
          </w:tcPr>
          <w:p w14:paraId="24ED6794">
            <w:pPr>
              <w:pStyle w:val="94"/>
              <w:rPr>
                <w:rFonts w:hint="eastAsia"/>
                <w:sz w:val="24"/>
                <w:szCs w:val="24"/>
              </w:rPr>
            </w:pPr>
            <w:r>
              <w:rPr>
                <w:sz w:val="24"/>
                <w:szCs w:val="24"/>
              </w:rPr>
              <w:t>3.1 按预先设定的运行方式调度轿厢。</w:t>
            </w:r>
          </w:p>
        </w:tc>
        <w:tc>
          <w:tcPr>
            <w:tcW w:w="2552" w:type="dxa"/>
            <w:tcBorders>
              <w:top w:val="single" w:color="000000" w:sz="6" w:space="0"/>
              <w:left w:val="single" w:color="000000" w:sz="6" w:space="0"/>
              <w:bottom w:val="single" w:color="000000" w:sz="12" w:space="0"/>
              <w:right w:val="single" w:color="000000" w:sz="12" w:space="0"/>
            </w:tcBorders>
          </w:tcPr>
          <w:p w14:paraId="42AB57A1">
            <w:pPr>
              <w:pStyle w:val="94"/>
              <w:ind w:left="119"/>
              <w:rPr>
                <w:rFonts w:hint="eastAsia"/>
                <w:sz w:val="24"/>
                <w:szCs w:val="24"/>
              </w:rPr>
            </w:pPr>
          </w:p>
        </w:tc>
      </w:tr>
      <w:tr w14:paraId="6ECACC2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37AE0EEF">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2B7FC7A2">
            <w:pPr>
              <w:pStyle w:val="94"/>
              <w:rPr>
                <w:rFonts w:hint="eastAsia"/>
                <w:sz w:val="24"/>
                <w:szCs w:val="24"/>
              </w:rPr>
            </w:pPr>
            <w:r>
              <w:rPr>
                <w:sz w:val="24"/>
                <w:szCs w:val="24"/>
              </w:rPr>
              <w:t>3.2 轿厢操作和候梯厅的上下召唤的登记、应答、消号。</w:t>
            </w:r>
          </w:p>
        </w:tc>
        <w:tc>
          <w:tcPr>
            <w:tcW w:w="2552" w:type="dxa"/>
            <w:tcBorders>
              <w:top w:val="single" w:color="000000" w:sz="6" w:space="0"/>
              <w:left w:val="single" w:color="000000" w:sz="6" w:space="0"/>
              <w:bottom w:val="single" w:color="000000" w:sz="12" w:space="0"/>
              <w:right w:val="single" w:color="000000" w:sz="12" w:space="0"/>
            </w:tcBorders>
          </w:tcPr>
          <w:p w14:paraId="601A5F67">
            <w:pPr>
              <w:pStyle w:val="94"/>
              <w:ind w:left="119"/>
              <w:rPr>
                <w:rFonts w:hint="eastAsia"/>
                <w:sz w:val="24"/>
                <w:szCs w:val="24"/>
              </w:rPr>
            </w:pPr>
          </w:p>
        </w:tc>
      </w:tr>
      <w:tr w14:paraId="6CFC10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7507F1C6">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4CD33CE1">
            <w:pPr>
              <w:pStyle w:val="94"/>
              <w:rPr>
                <w:rFonts w:hint="eastAsia"/>
                <w:sz w:val="24"/>
                <w:szCs w:val="24"/>
              </w:rPr>
            </w:pPr>
            <w:r>
              <w:rPr>
                <w:sz w:val="24"/>
                <w:szCs w:val="24"/>
              </w:rPr>
              <w:t>3.3 开关门控制。</w:t>
            </w:r>
          </w:p>
        </w:tc>
        <w:tc>
          <w:tcPr>
            <w:tcW w:w="2552" w:type="dxa"/>
            <w:tcBorders>
              <w:top w:val="single" w:color="000000" w:sz="6" w:space="0"/>
              <w:left w:val="single" w:color="000000" w:sz="6" w:space="0"/>
              <w:bottom w:val="single" w:color="000000" w:sz="12" w:space="0"/>
              <w:right w:val="single" w:color="000000" w:sz="12" w:space="0"/>
            </w:tcBorders>
          </w:tcPr>
          <w:p w14:paraId="5ED358A1">
            <w:pPr>
              <w:pStyle w:val="94"/>
              <w:ind w:left="119"/>
              <w:rPr>
                <w:rFonts w:hint="eastAsia"/>
                <w:sz w:val="24"/>
                <w:szCs w:val="24"/>
              </w:rPr>
            </w:pPr>
          </w:p>
        </w:tc>
      </w:tr>
      <w:tr w14:paraId="524371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1D23FD4C">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08B90230">
            <w:pPr>
              <w:pStyle w:val="94"/>
              <w:rPr>
                <w:rFonts w:hint="eastAsia"/>
                <w:sz w:val="24"/>
                <w:szCs w:val="24"/>
              </w:rPr>
            </w:pPr>
            <w:r>
              <w:rPr>
                <w:sz w:val="24"/>
                <w:szCs w:val="24"/>
              </w:rPr>
              <w:t>3.4 轿内楼层上下方向指示功能。</w:t>
            </w:r>
          </w:p>
        </w:tc>
        <w:tc>
          <w:tcPr>
            <w:tcW w:w="2552" w:type="dxa"/>
            <w:tcBorders>
              <w:top w:val="single" w:color="000000" w:sz="6" w:space="0"/>
              <w:left w:val="single" w:color="000000" w:sz="6" w:space="0"/>
              <w:bottom w:val="single" w:color="000000" w:sz="12" w:space="0"/>
              <w:right w:val="single" w:color="000000" w:sz="12" w:space="0"/>
            </w:tcBorders>
          </w:tcPr>
          <w:p w14:paraId="3C959A0B">
            <w:pPr>
              <w:pStyle w:val="94"/>
              <w:ind w:left="119"/>
              <w:rPr>
                <w:rFonts w:hint="eastAsia"/>
                <w:sz w:val="24"/>
                <w:szCs w:val="24"/>
              </w:rPr>
            </w:pPr>
          </w:p>
        </w:tc>
      </w:tr>
      <w:tr w14:paraId="5FA8FD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005631B6">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05BDC8FF">
            <w:pPr>
              <w:pStyle w:val="94"/>
              <w:rPr>
                <w:rFonts w:hint="eastAsia"/>
                <w:sz w:val="24"/>
                <w:szCs w:val="24"/>
              </w:rPr>
            </w:pPr>
            <w:r>
              <w:rPr>
                <w:sz w:val="24"/>
                <w:szCs w:val="24"/>
              </w:rPr>
              <w:t>3.5 轿厢位置应能够在厢内和门厅分别显示，显示内容清晰、自然。</w:t>
            </w:r>
          </w:p>
        </w:tc>
        <w:tc>
          <w:tcPr>
            <w:tcW w:w="2552" w:type="dxa"/>
            <w:tcBorders>
              <w:top w:val="single" w:color="000000" w:sz="6" w:space="0"/>
              <w:left w:val="single" w:color="000000" w:sz="6" w:space="0"/>
              <w:bottom w:val="single" w:color="000000" w:sz="12" w:space="0"/>
              <w:right w:val="single" w:color="000000" w:sz="12" w:space="0"/>
            </w:tcBorders>
          </w:tcPr>
          <w:p w14:paraId="5CD482C1">
            <w:pPr>
              <w:pStyle w:val="94"/>
              <w:ind w:left="119"/>
              <w:rPr>
                <w:rFonts w:hint="eastAsia"/>
                <w:sz w:val="24"/>
                <w:szCs w:val="24"/>
              </w:rPr>
            </w:pPr>
          </w:p>
        </w:tc>
      </w:tr>
      <w:tr w14:paraId="5D2173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71024048">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7E68FDB1">
            <w:pPr>
              <w:pStyle w:val="94"/>
              <w:rPr>
                <w:rFonts w:hint="eastAsia"/>
                <w:sz w:val="24"/>
                <w:szCs w:val="24"/>
              </w:rPr>
            </w:pPr>
            <w:r>
              <w:rPr>
                <w:sz w:val="24"/>
                <w:szCs w:val="24"/>
              </w:rPr>
              <w:t>3.6 轿厢、机房、轿顶、基坑及</w:t>
            </w:r>
            <w:r>
              <w:rPr>
                <w:rFonts w:hint="eastAsia"/>
                <w:sz w:val="24"/>
                <w:szCs w:val="24"/>
              </w:rPr>
              <w:t>消控中心</w:t>
            </w:r>
            <w:r>
              <w:rPr>
                <w:sz w:val="24"/>
                <w:szCs w:val="24"/>
              </w:rPr>
              <w:t>实现五方对讲通话</w:t>
            </w:r>
            <w:r>
              <w:rPr>
                <w:rFonts w:hint="eastAsia"/>
                <w:sz w:val="24"/>
                <w:szCs w:val="24"/>
              </w:rPr>
              <w:t>（消控中心至电梯机房的管线由智能化单位负责，电梯中标单位提供图纸并配合调试）</w:t>
            </w:r>
            <w:r>
              <w:rPr>
                <w:sz w:val="24"/>
                <w:szCs w:val="24"/>
              </w:rPr>
              <w:t>。</w:t>
            </w:r>
          </w:p>
        </w:tc>
        <w:tc>
          <w:tcPr>
            <w:tcW w:w="2552" w:type="dxa"/>
            <w:tcBorders>
              <w:top w:val="single" w:color="000000" w:sz="6" w:space="0"/>
              <w:left w:val="single" w:color="000000" w:sz="6" w:space="0"/>
              <w:bottom w:val="single" w:color="000000" w:sz="12" w:space="0"/>
              <w:right w:val="single" w:color="000000" w:sz="12" w:space="0"/>
            </w:tcBorders>
          </w:tcPr>
          <w:p w14:paraId="1CD9731A">
            <w:pPr>
              <w:pStyle w:val="94"/>
              <w:ind w:left="119"/>
              <w:rPr>
                <w:rFonts w:hint="eastAsia"/>
                <w:sz w:val="24"/>
                <w:szCs w:val="24"/>
              </w:rPr>
            </w:pPr>
          </w:p>
        </w:tc>
      </w:tr>
      <w:tr w14:paraId="65064E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675510C8">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4571A4BE">
            <w:pPr>
              <w:pStyle w:val="94"/>
              <w:rPr>
                <w:rFonts w:hint="eastAsia"/>
                <w:sz w:val="24"/>
                <w:szCs w:val="24"/>
              </w:rPr>
            </w:pPr>
            <w:r>
              <w:rPr>
                <w:sz w:val="24"/>
                <w:szCs w:val="24"/>
              </w:rPr>
              <w:t>3.7 自动平层（到站自动精确平层）。</w:t>
            </w:r>
          </w:p>
        </w:tc>
        <w:tc>
          <w:tcPr>
            <w:tcW w:w="2552" w:type="dxa"/>
            <w:tcBorders>
              <w:top w:val="single" w:color="000000" w:sz="6" w:space="0"/>
              <w:left w:val="single" w:color="000000" w:sz="6" w:space="0"/>
              <w:bottom w:val="single" w:color="000000" w:sz="12" w:space="0"/>
              <w:right w:val="single" w:color="000000" w:sz="12" w:space="0"/>
            </w:tcBorders>
          </w:tcPr>
          <w:p w14:paraId="33C9EFEE">
            <w:pPr>
              <w:pStyle w:val="94"/>
              <w:ind w:left="119"/>
              <w:rPr>
                <w:rFonts w:hint="eastAsia"/>
                <w:sz w:val="24"/>
                <w:szCs w:val="24"/>
              </w:rPr>
            </w:pPr>
          </w:p>
        </w:tc>
      </w:tr>
      <w:tr w14:paraId="545C9B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3DF7062A">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48B44E73">
            <w:pPr>
              <w:pStyle w:val="94"/>
              <w:rPr>
                <w:rFonts w:hint="eastAsia"/>
                <w:sz w:val="24"/>
                <w:szCs w:val="24"/>
              </w:rPr>
            </w:pPr>
            <w:r>
              <w:rPr>
                <w:sz w:val="24"/>
                <w:szCs w:val="24"/>
              </w:rPr>
              <w:t>3.8 微动平层功能（根据轿厢载荷的多少，自动保持平层精度）。</w:t>
            </w:r>
          </w:p>
        </w:tc>
        <w:tc>
          <w:tcPr>
            <w:tcW w:w="2552" w:type="dxa"/>
            <w:tcBorders>
              <w:top w:val="single" w:color="000000" w:sz="6" w:space="0"/>
              <w:left w:val="single" w:color="000000" w:sz="6" w:space="0"/>
              <w:bottom w:val="single" w:color="000000" w:sz="12" w:space="0"/>
              <w:right w:val="single" w:color="000000" w:sz="12" w:space="0"/>
            </w:tcBorders>
          </w:tcPr>
          <w:p w14:paraId="48327FC6">
            <w:pPr>
              <w:pStyle w:val="94"/>
              <w:ind w:left="119"/>
              <w:rPr>
                <w:rFonts w:hint="eastAsia"/>
                <w:sz w:val="24"/>
                <w:szCs w:val="24"/>
              </w:rPr>
            </w:pPr>
          </w:p>
        </w:tc>
      </w:tr>
      <w:tr w14:paraId="11ECCBF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7FBDF683">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35A70C3B">
            <w:pPr>
              <w:pStyle w:val="94"/>
              <w:rPr>
                <w:rFonts w:hint="eastAsia"/>
                <w:sz w:val="24"/>
                <w:szCs w:val="24"/>
              </w:rPr>
            </w:pPr>
            <w:r>
              <w:rPr>
                <w:sz w:val="24"/>
                <w:szCs w:val="24"/>
              </w:rPr>
              <w:t>3.9 启动自动补偿。</w:t>
            </w:r>
          </w:p>
        </w:tc>
        <w:tc>
          <w:tcPr>
            <w:tcW w:w="2552" w:type="dxa"/>
            <w:tcBorders>
              <w:top w:val="single" w:color="000000" w:sz="6" w:space="0"/>
              <w:left w:val="single" w:color="000000" w:sz="6" w:space="0"/>
              <w:bottom w:val="single" w:color="000000" w:sz="12" w:space="0"/>
              <w:right w:val="single" w:color="000000" w:sz="12" w:space="0"/>
            </w:tcBorders>
          </w:tcPr>
          <w:p w14:paraId="648D0B06">
            <w:pPr>
              <w:pStyle w:val="94"/>
              <w:ind w:left="119"/>
              <w:rPr>
                <w:rFonts w:hint="eastAsia"/>
                <w:sz w:val="24"/>
                <w:szCs w:val="24"/>
              </w:rPr>
            </w:pPr>
          </w:p>
        </w:tc>
      </w:tr>
      <w:tr w14:paraId="5948CF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445A3E1D">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550DC7E2">
            <w:pPr>
              <w:pStyle w:val="94"/>
              <w:rPr>
                <w:rFonts w:hint="eastAsia"/>
                <w:sz w:val="24"/>
                <w:szCs w:val="24"/>
              </w:rPr>
            </w:pPr>
            <w:r>
              <w:rPr>
                <w:sz w:val="24"/>
                <w:szCs w:val="24"/>
              </w:rPr>
              <w:t>3.10 平层自动补偿。</w:t>
            </w:r>
          </w:p>
        </w:tc>
        <w:tc>
          <w:tcPr>
            <w:tcW w:w="2552" w:type="dxa"/>
            <w:tcBorders>
              <w:top w:val="single" w:color="000000" w:sz="6" w:space="0"/>
              <w:left w:val="single" w:color="000000" w:sz="6" w:space="0"/>
              <w:bottom w:val="single" w:color="000000" w:sz="12" w:space="0"/>
              <w:right w:val="single" w:color="000000" w:sz="12" w:space="0"/>
            </w:tcBorders>
          </w:tcPr>
          <w:p w14:paraId="0CBA11C8">
            <w:pPr>
              <w:pStyle w:val="94"/>
              <w:ind w:left="119"/>
              <w:rPr>
                <w:rFonts w:hint="eastAsia"/>
                <w:sz w:val="24"/>
                <w:szCs w:val="24"/>
              </w:rPr>
            </w:pPr>
          </w:p>
        </w:tc>
      </w:tr>
      <w:tr w14:paraId="6F9F699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5951AF72">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2DC49A75">
            <w:pPr>
              <w:pStyle w:val="94"/>
              <w:rPr>
                <w:rFonts w:hint="eastAsia"/>
                <w:sz w:val="24"/>
                <w:szCs w:val="24"/>
              </w:rPr>
            </w:pPr>
            <w:r>
              <w:rPr>
                <w:sz w:val="24"/>
                <w:szCs w:val="24"/>
              </w:rPr>
              <w:t>3.11 控制强迫换向、强迫减速功能。</w:t>
            </w:r>
          </w:p>
        </w:tc>
        <w:tc>
          <w:tcPr>
            <w:tcW w:w="2552" w:type="dxa"/>
            <w:tcBorders>
              <w:top w:val="single" w:color="000000" w:sz="6" w:space="0"/>
              <w:left w:val="single" w:color="000000" w:sz="6" w:space="0"/>
              <w:bottom w:val="single" w:color="000000" w:sz="12" w:space="0"/>
              <w:right w:val="single" w:color="000000" w:sz="12" w:space="0"/>
            </w:tcBorders>
          </w:tcPr>
          <w:p w14:paraId="6A663F83">
            <w:pPr>
              <w:pStyle w:val="94"/>
              <w:ind w:left="119"/>
              <w:rPr>
                <w:rFonts w:hint="eastAsia"/>
                <w:sz w:val="24"/>
                <w:szCs w:val="24"/>
              </w:rPr>
            </w:pPr>
          </w:p>
        </w:tc>
      </w:tr>
      <w:tr w14:paraId="7F126C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51A2C05D">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6BBA8906">
            <w:pPr>
              <w:pStyle w:val="94"/>
              <w:rPr>
                <w:rFonts w:hint="eastAsia"/>
                <w:sz w:val="24"/>
                <w:szCs w:val="24"/>
              </w:rPr>
            </w:pPr>
            <w:r>
              <w:rPr>
                <w:sz w:val="24"/>
                <w:szCs w:val="24"/>
              </w:rPr>
              <w:t>3.12 开关门时间自动调整：按照召唤是层站召唤、轿厢召唤或安全装置动作的区别、自动调整开门保持的时间。</w:t>
            </w:r>
          </w:p>
        </w:tc>
        <w:tc>
          <w:tcPr>
            <w:tcW w:w="2552" w:type="dxa"/>
            <w:tcBorders>
              <w:top w:val="single" w:color="000000" w:sz="6" w:space="0"/>
              <w:left w:val="single" w:color="000000" w:sz="6" w:space="0"/>
              <w:bottom w:val="single" w:color="000000" w:sz="12" w:space="0"/>
              <w:right w:val="single" w:color="000000" w:sz="12" w:space="0"/>
            </w:tcBorders>
          </w:tcPr>
          <w:p w14:paraId="6E2791D4">
            <w:pPr>
              <w:pStyle w:val="94"/>
              <w:ind w:left="119"/>
              <w:rPr>
                <w:rFonts w:hint="eastAsia"/>
                <w:sz w:val="24"/>
                <w:szCs w:val="24"/>
              </w:rPr>
            </w:pPr>
          </w:p>
        </w:tc>
      </w:tr>
      <w:tr w14:paraId="672AEB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00DA29EC">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4C870319">
            <w:pPr>
              <w:pStyle w:val="94"/>
              <w:rPr>
                <w:rFonts w:hint="eastAsia"/>
                <w:sz w:val="24"/>
                <w:szCs w:val="24"/>
              </w:rPr>
            </w:pPr>
            <w:r>
              <w:rPr>
                <w:sz w:val="24"/>
                <w:szCs w:val="24"/>
              </w:rPr>
              <w:t>3.13 防捣乱功能、误操作修正功能（双击按钮取消错误召唤）、无乘客或载重很小但操作盘上多数楼层信号被登记，微机则自动取消已被登记信号。</w:t>
            </w:r>
          </w:p>
        </w:tc>
        <w:tc>
          <w:tcPr>
            <w:tcW w:w="2552" w:type="dxa"/>
            <w:tcBorders>
              <w:top w:val="single" w:color="000000" w:sz="6" w:space="0"/>
              <w:left w:val="single" w:color="000000" w:sz="6" w:space="0"/>
              <w:bottom w:val="single" w:color="000000" w:sz="12" w:space="0"/>
              <w:right w:val="single" w:color="000000" w:sz="12" w:space="0"/>
            </w:tcBorders>
          </w:tcPr>
          <w:p w14:paraId="728EB10B">
            <w:pPr>
              <w:pStyle w:val="94"/>
              <w:ind w:left="119"/>
              <w:rPr>
                <w:rFonts w:hint="eastAsia"/>
                <w:sz w:val="24"/>
                <w:szCs w:val="24"/>
              </w:rPr>
            </w:pPr>
          </w:p>
        </w:tc>
      </w:tr>
      <w:tr w14:paraId="6DCB25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74A9E9E4">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357EC744">
            <w:pPr>
              <w:pStyle w:val="94"/>
              <w:rPr>
                <w:rFonts w:hint="eastAsia"/>
                <w:sz w:val="24"/>
                <w:szCs w:val="24"/>
              </w:rPr>
            </w:pPr>
            <w:r>
              <w:rPr>
                <w:sz w:val="24"/>
                <w:szCs w:val="24"/>
              </w:rPr>
              <w:t>3.14 基站待机：返回基站后，自动开门（或关门）待机。</w:t>
            </w:r>
          </w:p>
        </w:tc>
        <w:tc>
          <w:tcPr>
            <w:tcW w:w="2552" w:type="dxa"/>
            <w:tcBorders>
              <w:top w:val="single" w:color="000000" w:sz="6" w:space="0"/>
              <w:left w:val="single" w:color="000000" w:sz="6" w:space="0"/>
              <w:bottom w:val="single" w:color="000000" w:sz="12" w:space="0"/>
              <w:right w:val="single" w:color="000000" w:sz="12" w:space="0"/>
            </w:tcBorders>
          </w:tcPr>
          <w:p w14:paraId="5BAF43DC">
            <w:pPr>
              <w:pStyle w:val="94"/>
              <w:ind w:left="119"/>
              <w:rPr>
                <w:rFonts w:hint="eastAsia"/>
                <w:sz w:val="24"/>
                <w:szCs w:val="24"/>
              </w:rPr>
            </w:pPr>
          </w:p>
        </w:tc>
      </w:tr>
      <w:tr w14:paraId="20FAF6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2571B7D1">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16A58F8A">
            <w:pPr>
              <w:pStyle w:val="94"/>
              <w:rPr>
                <w:rFonts w:hint="eastAsia"/>
                <w:sz w:val="24"/>
                <w:szCs w:val="24"/>
              </w:rPr>
            </w:pPr>
            <w:r>
              <w:rPr>
                <w:sz w:val="24"/>
                <w:szCs w:val="24"/>
              </w:rPr>
              <w:t>3.15 基站返回：应答最后呼叫后，在设定的时间内， 没有其他呼叫时或在并联状态基站上没有其他轿厢停靠时，轿厢会自动返回基站。</w:t>
            </w:r>
          </w:p>
        </w:tc>
        <w:tc>
          <w:tcPr>
            <w:tcW w:w="2552" w:type="dxa"/>
            <w:tcBorders>
              <w:top w:val="single" w:color="000000" w:sz="6" w:space="0"/>
              <w:left w:val="single" w:color="000000" w:sz="6" w:space="0"/>
              <w:bottom w:val="single" w:color="000000" w:sz="12" w:space="0"/>
              <w:right w:val="single" w:color="000000" w:sz="12" w:space="0"/>
            </w:tcBorders>
          </w:tcPr>
          <w:p w14:paraId="688066F7">
            <w:pPr>
              <w:pStyle w:val="94"/>
              <w:ind w:left="119"/>
              <w:rPr>
                <w:rFonts w:hint="eastAsia"/>
                <w:sz w:val="24"/>
                <w:szCs w:val="24"/>
              </w:rPr>
            </w:pPr>
          </w:p>
        </w:tc>
      </w:tr>
      <w:tr w14:paraId="4232E1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56D57E92">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57658453">
            <w:pPr>
              <w:pStyle w:val="94"/>
              <w:rPr>
                <w:rFonts w:hint="eastAsia"/>
                <w:sz w:val="24"/>
                <w:szCs w:val="24"/>
              </w:rPr>
            </w:pPr>
            <w:r>
              <w:rPr>
                <w:sz w:val="24"/>
                <w:szCs w:val="24"/>
              </w:rPr>
              <w:t>3.16 轿厢照明、风扇自动关闭：在规定的时间内，没有召唤信号登记，轿厢内的照明灯、风扇会自动关停，以节约能源。</w:t>
            </w:r>
          </w:p>
        </w:tc>
        <w:tc>
          <w:tcPr>
            <w:tcW w:w="2552" w:type="dxa"/>
            <w:tcBorders>
              <w:top w:val="single" w:color="000000" w:sz="6" w:space="0"/>
              <w:left w:val="single" w:color="000000" w:sz="6" w:space="0"/>
              <w:bottom w:val="single" w:color="000000" w:sz="12" w:space="0"/>
              <w:right w:val="single" w:color="000000" w:sz="12" w:space="0"/>
            </w:tcBorders>
          </w:tcPr>
          <w:p w14:paraId="6C924375">
            <w:pPr>
              <w:pStyle w:val="94"/>
              <w:ind w:left="119"/>
              <w:rPr>
                <w:rFonts w:hint="eastAsia"/>
                <w:sz w:val="24"/>
                <w:szCs w:val="24"/>
              </w:rPr>
            </w:pPr>
          </w:p>
        </w:tc>
      </w:tr>
      <w:tr w14:paraId="0F5F45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3501F166">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2696A03C">
            <w:pPr>
              <w:pStyle w:val="94"/>
              <w:rPr>
                <w:rFonts w:hint="eastAsia"/>
                <w:sz w:val="24"/>
                <w:szCs w:val="24"/>
              </w:rPr>
            </w:pPr>
            <w:r>
              <w:rPr>
                <w:sz w:val="24"/>
                <w:szCs w:val="24"/>
              </w:rPr>
              <w:t>3.17 满载直驶。</w:t>
            </w:r>
          </w:p>
        </w:tc>
        <w:tc>
          <w:tcPr>
            <w:tcW w:w="2552" w:type="dxa"/>
            <w:tcBorders>
              <w:top w:val="single" w:color="000000" w:sz="6" w:space="0"/>
              <w:left w:val="single" w:color="000000" w:sz="6" w:space="0"/>
              <w:bottom w:val="single" w:color="000000" w:sz="12" w:space="0"/>
              <w:right w:val="single" w:color="000000" w:sz="12" w:space="0"/>
            </w:tcBorders>
          </w:tcPr>
          <w:p w14:paraId="7B8DF0E4">
            <w:pPr>
              <w:pStyle w:val="94"/>
              <w:ind w:left="119"/>
              <w:rPr>
                <w:rFonts w:hint="eastAsia"/>
                <w:sz w:val="24"/>
                <w:szCs w:val="24"/>
              </w:rPr>
            </w:pPr>
          </w:p>
        </w:tc>
      </w:tr>
      <w:tr w14:paraId="417C65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54FB18B2">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3FEF3789">
            <w:pPr>
              <w:pStyle w:val="94"/>
              <w:rPr>
                <w:rFonts w:hint="eastAsia"/>
                <w:sz w:val="24"/>
                <w:szCs w:val="24"/>
              </w:rPr>
            </w:pPr>
            <w:r>
              <w:rPr>
                <w:sz w:val="24"/>
                <w:szCs w:val="24"/>
              </w:rPr>
              <w:t>3.18 超重报警：轿厢超载时，蜂鸣器发出警告声，并停止于该层。</w:t>
            </w:r>
          </w:p>
        </w:tc>
        <w:tc>
          <w:tcPr>
            <w:tcW w:w="2552" w:type="dxa"/>
            <w:tcBorders>
              <w:top w:val="single" w:color="000000" w:sz="6" w:space="0"/>
              <w:left w:val="single" w:color="000000" w:sz="6" w:space="0"/>
              <w:bottom w:val="single" w:color="000000" w:sz="12" w:space="0"/>
              <w:right w:val="single" w:color="000000" w:sz="12" w:space="0"/>
            </w:tcBorders>
          </w:tcPr>
          <w:p w14:paraId="57325890">
            <w:pPr>
              <w:pStyle w:val="94"/>
              <w:ind w:left="119"/>
              <w:rPr>
                <w:rFonts w:hint="eastAsia"/>
                <w:sz w:val="24"/>
                <w:szCs w:val="24"/>
              </w:rPr>
            </w:pPr>
          </w:p>
        </w:tc>
      </w:tr>
      <w:tr w14:paraId="5B7424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5C481943">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54FDFFB2">
            <w:pPr>
              <w:pStyle w:val="94"/>
              <w:rPr>
                <w:rFonts w:hint="eastAsia"/>
                <w:sz w:val="24"/>
                <w:szCs w:val="24"/>
              </w:rPr>
            </w:pPr>
            <w:r>
              <w:rPr>
                <w:sz w:val="24"/>
                <w:szCs w:val="24"/>
              </w:rPr>
              <w:t>3.19 有/无司机服务：通过轿厢操纵箱上的开关、可使电梯操作方式有（或无）司机操作。</w:t>
            </w:r>
          </w:p>
        </w:tc>
        <w:tc>
          <w:tcPr>
            <w:tcW w:w="2552" w:type="dxa"/>
            <w:tcBorders>
              <w:top w:val="single" w:color="000000" w:sz="6" w:space="0"/>
              <w:left w:val="single" w:color="000000" w:sz="6" w:space="0"/>
              <w:bottom w:val="single" w:color="000000" w:sz="12" w:space="0"/>
              <w:right w:val="single" w:color="000000" w:sz="12" w:space="0"/>
            </w:tcBorders>
          </w:tcPr>
          <w:p w14:paraId="2F474022">
            <w:pPr>
              <w:pStyle w:val="94"/>
              <w:ind w:left="119"/>
              <w:rPr>
                <w:rFonts w:hint="eastAsia"/>
                <w:sz w:val="24"/>
                <w:szCs w:val="24"/>
              </w:rPr>
            </w:pPr>
          </w:p>
        </w:tc>
      </w:tr>
      <w:tr w14:paraId="44090B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11A84B24">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0057705C">
            <w:pPr>
              <w:pStyle w:val="94"/>
              <w:rPr>
                <w:rFonts w:hint="eastAsia"/>
                <w:sz w:val="24"/>
                <w:szCs w:val="24"/>
              </w:rPr>
            </w:pPr>
            <w:r>
              <w:rPr>
                <w:sz w:val="24"/>
                <w:szCs w:val="24"/>
              </w:rPr>
              <w:t>3.20 检修操作（通过操纵板上的开关，使电梯进入检修状态，不接受其他呼叫）。</w:t>
            </w:r>
          </w:p>
        </w:tc>
        <w:tc>
          <w:tcPr>
            <w:tcW w:w="2552" w:type="dxa"/>
            <w:tcBorders>
              <w:top w:val="single" w:color="000000" w:sz="6" w:space="0"/>
              <w:left w:val="single" w:color="000000" w:sz="6" w:space="0"/>
              <w:bottom w:val="single" w:color="000000" w:sz="12" w:space="0"/>
              <w:right w:val="single" w:color="000000" w:sz="12" w:space="0"/>
            </w:tcBorders>
          </w:tcPr>
          <w:p w14:paraId="357E2974">
            <w:pPr>
              <w:pStyle w:val="94"/>
              <w:ind w:left="119"/>
              <w:rPr>
                <w:rFonts w:hint="eastAsia"/>
                <w:sz w:val="24"/>
                <w:szCs w:val="24"/>
              </w:rPr>
            </w:pPr>
          </w:p>
        </w:tc>
      </w:tr>
      <w:tr w14:paraId="6D548F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6" w:hRule="atLeast"/>
        </w:trPr>
        <w:tc>
          <w:tcPr>
            <w:tcW w:w="1135" w:type="dxa"/>
            <w:vMerge w:val="continue"/>
            <w:tcBorders>
              <w:top w:val="nil"/>
              <w:right w:val="single" w:color="000000" w:sz="6" w:space="0"/>
            </w:tcBorders>
          </w:tcPr>
          <w:p w14:paraId="29FEA2E1">
            <w:pPr>
              <w:rPr>
                <w:rFonts w:hint="eastAsia" w:ascii="宋体" w:hAnsi="宋体"/>
                <w:sz w:val="24"/>
                <w:szCs w:val="24"/>
              </w:rPr>
            </w:pPr>
          </w:p>
        </w:tc>
        <w:tc>
          <w:tcPr>
            <w:tcW w:w="5811" w:type="dxa"/>
            <w:gridSpan w:val="2"/>
            <w:tcBorders>
              <w:top w:val="single" w:color="000000" w:sz="6" w:space="0"/>
              <w:left w:val="single" w:color="000000" w:sz="6" w:space="0"/>
              <w:right w:val="single" w:color="000000" w:sz="6" w:space="0"/>
            </w:tcBorders>
          </w:tcPr>
          <w:p w14:paraId="28BB49F0">
            <w:pPr>
              <w:pStyle w:val="94"/>
              <w:rPr>
                <w:rFonts w:hint="eastAsia"/>
                <w:sz w:val="24"/>
                <w:szCs w:val="24"/>
              </w:rPr>
            </w:pPr>
            <w:r>
              <w:rPr>
                <w:sz w:val="24"/>
                <w:szCs w:val="24"/>
              </w:rPr>
              <w:t>3.21 安全停靠：如果电梯发生故障并停在楼层之间、或电梯到达目的楼层后，门不能完全打开，控制器将执行诊断检查，保证电梯安全系统正常后，将电梯门自行关闭、并驶往最近的楼层，将乘客放出。</w:t>
            </w:r>
          </w:p>
        </w:tc>
        <w:tc>
          <w:tcPr>
            <w:tcW w:w="2552" w:type="dxa"/>
            <w:tcBorders>
              <w:top w:val="single" w:color="000000" w:sz="6" w:space="0"/>
              <w:left w:val="single" w:color="000000" w:sz="6" w:space="0"/>
              <w:right w:val="single" w:color="000000" w:sz="12" w:space="0"/>
            </w:tcBorders>
          </w:tcPr>
          <w:p w14:paraId="34103881">
            <w:pPr>
              <w:pStyle w:val="94"/>
              <w:ind w:left="119"/>
              <w:rPr>
                <w:rFonts w:hint="eastAsia"/>
                <w:sz w:val="24"/>
                <w:szCs w:val="24"/>
              </w:rPr>
            </w:pPr>
          </w:p>
        </w:tc>
      </w:tr>
      <w:tr w14:paraId="504E2E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60054A72">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4605F1EC">
            <w:pPr>
              <w:pStyle w:val="94"/>
              <w:rPr>
                <w:rFonts w:hint="eastAsia"/>
                <w:sz w:val="24"/>
                <w:szCs w:val="24"/>
              </w:rPr>
            </w:pPr>
            <w:r>
              <w:rPr>
                <w:sz w:val="24"/>
                <w:szCs w:val="24"/>
              </w:rPr>
              <w:t>3.22 门异常检查装置：如果轿厢门在预定时间内应开而未开或未能完全开启、轿厢门会自动关闭、再应答其他呼叫、如果轿厢门在预定时间内应关而未能关闭时、将会重复关闭以便清除门槛上的障碍物。</w:t>
            </w:r>
          </w:p>
        </w:tc>
        <w:tc>
          <w:tcPr>
            <w:tcW w:w="2552" w:type="dxa"/>
            <w:tcBorders>
              <w:top w:val="single" w:color="000000" w:sz="6" w:space="0"/>
              <w:left w:val="single" w:color="000000" w:sz="6" w:space="0"/>
              <w:bottom w:val="single" w:color="000000" w:sz="12" w:space="0"/>
              <w:right w:val="single" w:color="000000" w:sz="12" w:space="0"/>
            </w:tcBorders>
          </w:tcPr>
          <w:p w14:paraId="6D1EC3E6">
            <w:pPr>
              <w:pStyle w:val="94"/>
              <w:ind w:left="119"/>
              <w:rPr>
                <w:rFonts w:hint="eastAsia"/>
                <w:sz w:val="24"/>
                <w:szCs w:val="24"/>
              </w:rPr>
            </w:pPr>
          </w:p>
        </w:tc>
      </w:tr>
      <w:tr w14:paraId="61D1DB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6250B259">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4CD6F884">
            <w:pPr>
              <w:pStyle w:val="94"/>
              <w:rPr>
                <w:rFonts w:hint="eastAsia"/>
                <w:sz w:val="24"/>
                <w:szCs w:val="24"/>
              </w:rPr>
            </w:pPr>
            <w:r>
              <w:rPr>
                <w:sz w:val="24"/>
                <w:szCs w:val="24"/>
              </w:rPr>
              <w:t>3.23 门故障就近层停靠（由于某种原因，电梯在到达目的楼层后，厅门、轿门不能完全打开，电梯将会把门关闭，驶往最近的楼层，将乘客放出）。</w:t>
            </w:r>
          </w:p>
        </w:tc>
        <w:tc>
          <w:tcPr>
            <w:tcW w:w="2552" w:type="dxa"/>
            <w:tcBorders>
              <w:top w:val="single" w:color="000000" w:sz="6" w:space="0"/>
              <w:left w:val="single" w:color="000000" w:sz="6" w:space="0"/>
              <w:bottom w:val="single" w:color="000000" w:sz="12" w:space="0"/>
              <w:right w:val="single" w:color="000000" w:sz="12" w:space="0"/>
            </w:tcBorders>
          </w:tcPr>
          <w:p w14:paraId="6E08C747">
            <w:pPr>
              <w:pStyle w:val="94"/>
              <w:ind w:left="119"/>
              <w:rPr>
                <w:rFonts w:hint="eastAsia"/>
                <w:sz w:val="24"/>
                <w:szCs w:val="24"/>
              </w:rPr>
            </w:pPr>
          </w:p>
        </w:tc>
      </w:tr>
      <w:tr w14:paraId="655AB5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4AD0C0BB">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457E98CE">
            <w:pPr>
              <w:pStyle w:val="94"/>
              <w:rPr>
                <w:rFonts w:hint="eastAsia"/>
                <w:sz w:val="24"/>
                <w:szCs w:val="24"/>
              </w:rPr>
            </w:pPr>
            <w:r>
              <w:rPr>
                <w:sz w:val="24"/>
                <w:szCs w:val="24"/>
              </w:rPr>
              <w:t>3.24 轿厢应急照明：停电时，充电式电池立即给应急灯供电。</w:t>
            </w:r>
          </w:p>
        </w:tc>
        <w:tc>
          <w:tcPr>
            <w:tcW w:w="2552" w:type="dxa"/>
            <w:tcBorders>
              <w:top w:val="single" w:color="000000" w:sz="6" w:space="0"/>
              <w:left w:val="single" w:color="000000" w:sz="6" w:space="0"/>
              <w:bottom w:val="single" w:color="000000" w:sz="12" w:space="0"/>
              <w:right w:val="single" w:color="000000" w:sz="12" w:space="0"/>
            </w:tcBorders>
          </w:tcPr>
          <w:p w14:paraId="24B8ECA1">
            <w:pPr>
              <w:pStyle w:val="94"/>
              <w:ind w:left="119"/>
              <w:rPr>
                <w:rFonts w:hint="eastAsia"/>
                <w:sz w:val="24"/>
                <w:szCs w:val="24"/>
              </w:rPr>
            </w:pPr>
          </w:p>
        </w:tc>
      </w:tr>
      <w:tr w14:paraId="6A55B4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63F1E79C">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524F2C07">
            <w:pPr>
              <w:pStyle w:val="94"/>
              <w:rPr>
                <w:rFonts w:hint="eastAsia"/>
                <w:sz w:val="24"/>
                <w:szCs w:val="24"/>
              </w:rPr>
            </w:pPr>
            <w:r>
              <w:rPr>
                <w:sz w:val="24"/>
                <w:szCs w:val="24"/>
              </w:rPr>
              <w:t>3.25 轿厢顶部须预留监控摄像头接口（配专用视屏线</w:t>
            </w:r>
            <w:r>
              <w:rPr>
                <w:rFonts w:hint="eastAsia"/>
                <w:sz w:val="24"/>
                <w:szCs w:val="24"/>
              </w:rPr>
              <w:t>、</w:t>
            </w:r>
            <w:r>
              <w:rPr>
                <w:sz w:val="24"/>
                <w:szCs w:val="24"/>
              </w:rPr>
              <w:t>电源线</w:t>
            </w:r>
            <w:r>
              <w:rPr>
                <w:rFonts w:hint="eastAsia"/>
                <w:sz w:val="24"/>
                <w:szCs w:val="24"/>
              </w:rPr>
              <w:t>及数字网线</w:t>
            </w:r>
            <w:r>
              <w:rPr>
                <w:sz w:val="24"/>
                <w:szCs w:val="24"/>
              </w:rPr>
              <w:t>），随行电缆中应带有音视频电缆和电话线。摄像头的线由电梯安装单位安装，摄像头另行招标。</w:t>
            </w:r>
          </w:p>
        </w:tc>
        <w:tc>
          <w:tcPr>
            <w:tcW w:w="2552" w:type="dxa"/>
            <w:tcBorders>
              <w:top w:val="single" w:color="000000" w:sz="6" w:space="0"/>
              <w:left w:val="single" w:color="000000" w:sz="6" w:space="0"/>
              <w:bottom w:val="single" w:color="000000" w:sz="12" w:space="0"/>
              <w:right w:val="single" w:color="000000" w:sz="12" w:space="0"/>
            </w:tcBorders>
          </w:tcPr>
          <w:p w14:paraId="4258F903">
            <w:pPr>
              <w:pStyle w:val="94"/>
              <w:ind w:left="119"/>
              <w:rPr>
                <w:rFonts w:hint="eastAsia"/>
                <w:sz w:val="24"/>
                <w:szCs w:val="24"/>
              </w:rPr>
            </w:pPr>
          </w:p>
        </w:tc>
      </w:tr>
      <w:tr w14:paraId="392A2F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74EF90CC">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2592D4C0">
            <w:pPr>
              <w:pStyle w:val="94"/>
              <w:rPr>
                <w:rFonts w:hint="eastAsia"/>
                <w:sz w:val="24"/>
                <w:szCs w:val="24"/>
              </w:rPr>
            </w:pPr>
            <w:r>
              <w:rPr>
                <w:sz w:val="24"/>
                <w:szCs w:val="24"/>
              </w:rPr>
              <w:t>3.26 火灾时运转管制：每台电梯配有消防功能，消防开关启用后、所有的召唤即被取消、指定的电梯立即返回指定层站，停止运转。</w:t>
            </w:r>
          </w:p>
        </w:tc>
        <w:tc>
          <w:tcPr>
            <w:tcW w:w="2552" w:type="dxa"/>
            <w:tcBorders>
              <w:top w:val="single" w:color="000000" w:sz="6" w:space="0"/>
              <w:left w:val="single" w:color="000000" w:sz="6" w:space="0"/>
              <w:bottom w:val="single" w:color="000000" w:sz="12" w:space="0"/>
              <w:right w:val="single" w:color="000000" w:sz="12" w:space="0"/>
            </w:tcBorders>
          </w:tcPr>
          <w:p w14:paraId="0CF8A04C">
            <w:pPr>
              <w:pStyle w:val="94"/>
              <w:ind w:left="119"/>
              <w:rPr>
                <w:rFonts w:hint="eastAsia"/>
                <w:sz w:val="24"/>
                <w:szCs w:val="24"/>
              </w:rPr>
            </w:pPr>
          </w:p>
        </w:tc>
      </w:tr>
      <w:tr w14:paraId="0DBCCB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2262463F">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2F2D9CA1">
            <w:pPr>
              <w:pStyle w:val="94"/>
              <w:rPr>
                <w:rFonts w:hint="eastAsia"/>
                <w:sz w:val="24"/>
                <w:szCs w:val="24"/>
              </w:rPr>
            </w:pPr>
            <w:r>
              <w:rPr>
                <w:sz w:val="24"/>
                <w:szCs w:val="24"/>
              </w:rPr>
              <w:t>3.27 无障碍电梯（若有）须配备功能：配置残疾人操作盘、语音报站、后壁圆形不锈钢扶手等设计规范要求配置；消防梯须按国家规范配置功能。</w:t>
            </w:r>
          </w:p>
        </w:tc>
        <w:tc>
          <w:tcPr>
            <w:tcW w:w="2552" w:type="dxa"/>
            <w:tcBorders>
              <w:top w:val="single" w:color="000000" w:sz="6" w:space="0"/>
              <w:left w:val="single" w:color="000000" w:sz="6" w:space="0"/>
              <w:bottom w:val="single" w:color="000000" w:sz="12" w:space="0"/>
              <w:right w:val="single" w:color="000000" w:sz="12" w:space="0"/>
            </w:tcBorders>
          </w:tcPr>
          <w:p w14:paraId="03DE99BE">
            <w:pPr>
              <w:pStyle w:val="94"/>
              <w:ind w:left="119"/>
              <w:rPr>
                <w:rFonts w:hint="eastAsia"/>
                <w:sz w:val="24"/>
                <w:szCs w:val="24"/>
              </w:rPr>
            </w:pPr>
          </w:p>
        </w:tc>
      </w:tr>
      <w:tr w14:paraId="529DB8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1EE7AB33">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389F792D">
            <w:pPr>
              <w:pStyle w:val="94"/>
              <w:rPr>
                <w:rFonts w:hint="eastAsia"/>
                <w:sz w:val="24"/>
                <w:szCs w:val="24"/>
              </w:rPr>
            </w:pPr>
            <w:r>
              <w:rPr>
                <w:sz w:val="24"/>
                <w:szCs w:val="24"/>
              </w:rPr>
              <w:t>3.28 故障自测功能。</w:t>
            </w:r>
          </w:p>
        </w:tc>
        <w:tc>
          <w:tcPr>
            <w:tcW w:w="2552" w:type="dxa"/>
            <w:tcBorders>
              <w:top w:val="single" w:color="000000" w:sz="6" w:space="0"/>
              <w:left w:val="single" w:color="000000" w:sz="6" w:space="0"/>
              <w:bottom w:val="single" w:color="000000" w:sz="12" w:space="0"/>
              <w:right w:val="single" w:color="000000" w:sz="12" w:space="0"/>
            </w:tcBorders>
          </w:tcPr>
          <w:p w14:paraId="58F88F49">
            <w:pPr>
              <w:pStyle w:val="94"/>
              <w:ind w:left="119"/>
              <w:rPr>
                <w:rFonts w:hint="eastAsia"/>
                <w:sz w:val="24"/>
                <w:szCs w:val="24"/>
              </w:rPr>
            </w:pPr>
          </w:p>
        </w:tc>
      </w:tr>
      <w:tr w14:paraId="54F53B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07BB6C81">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3C3E4337">
            <w:pPr>
              <w:pStyle w:val="94"/>
              <w:rPr>
                <w:rFonts w:hint="eastAsia"/>
                <w:sz w:val="24"/>
                <w:szCs w:val="24"/>
              </w:rPr>
            </w:pPr>
            <w:r>
              <w:rPr>
                <w:sz w:val="24"/>
                <w:szCs w:val="24"/>
              </w:rPr>
              <w:t>3.29 具有到站钟。</w:t>
            </w:r>
          </w:p>
        </w:tc>
        <w:tc>
          <w:tcPr>
            <w:tcW w:w="2552" w:type="dxa"/>
            <w:tcBorders>
              <w:top w:val="single" w:color="000000" w:sz="6" w:space="0"/>
              <w:left w:val="single" w:color="000000" w:sz="6" w:space="0"/>
              <w:bottom w:val="single" w:color="000000" w:sz="12" w:space="0"/>
              <w:right w:val="single" w:color="000000" w:sz="12" w:space="0"/>
            </w:tcBorders>
          </w:tcPr>
          <w:p w14:paraId="3BA57138">
            <w:pPr>
              <w:pStyle w:val="94"/>
              <w:ind w:left="119"/>
              <w:rPr>
                <w:rFonts w:hint="eastAsia"/>
                <w:sz w:val="24"/>
                <w:szCs w:val="24"/>
              </w:rPr>
            </w:pPr>
          </w:p>
        </w:tc>
      </w:tr>
      <w:tr w14:paraId="36B77FB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5F04D642">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579C7C30">
            <w:pPr>
              <w:rPr>
                <w:rFonts w:hint="eastAsia" w:ascii="宋体" w:hAnsi="宋体" w:cs="Times New Roman"/>
                <w:bCs/>
                <w:sz w:val="24"/>
                <w:szCs w:val="24"/>
              </w:rPr>
            </w:pPr>
            <w:r>
              <w:rPr>
                <w:rFonts w:hint="eastAsia" w:ascii="宋体" w:hAnsi="宋体" w:cs="Times New Roman"/>
                <w:bCs/>
                <w:sz w:val="24"/>
                <w:szCs w:val="24"/>
              </w:rPr>
              <w:t>3.30无障碍电梯须配备功能：按设计规范要求配置。</w:t>
            </w:r>
          </w:p>
          <w:p w14:paraId="295531F4">
            <w:pPr>
              <w:pStyle w:val="94"/>
              <w:rPr>
                <w:rFonts w:hint="eastAsia"/>
                <w:sz w:val="24"/>
                <w:szCs w:val="24"/>
              </w:rPr>
            </w:pPr>
            <w:r>
              <w:rPr>
                <w:rFonts w:hint="eastAsia" w:cs="Times New Roman"/>
                <w:bCs/>
                <w:sz w:val="24"/>
                <w:szCs w:val="24"/>
              </w:rPr>
              <w:t>侯梯厅内呼叫按钮高度为0.9~1.10m;电梯门洞的净宽≥900mm;候梯厅内应设电梯运行状态显示装置和抵达音响装置。轿厢门开启后的净宽≥800mm，门开闭的时间间隔不应小于15s，门扇关闭时应有光幕感应安全措施；轿厢侧壁上应设高0.9~1.10m且带盲文的选层按钮，盲文宜设于按钮旁；轿厢正面和侧面壁上应设高850~900mm的扶手，且应符合《宁波市城市无障碍设施设计导则》（2012甬ZJ-02）第18.8节的有关规定；轿厢内应设电梯运行显示装置和报层音响；在轿厢正面高900mm处至顶部应安装镜子或采用有镜面效果的材料；轿厢的最小尺寸1600mmX1400mm；电梯位置应设无障碍标志，且应符合《宁波市城市无障碍设施设计导则》（2012甬ZJ-02）第9章的有关规定。</w:t>
            </w:r>
          </w:p>
        </w:tc>
        <w:tc>
          <w:tcPr>
            <w:tcW w:w="2552" w:type="dxa"/>
            <w:tcBorders>
              <w:top w:val="single" w:color="000000" w:sz="6" w:space="0"/>
              <w:left w:val="single" w:color="000000" w:sz="6" w:space="0"/>
              <w:bottom w:val="single" w:color="000000" w:sz="12" w:space="0"/>
              <w:right w:val="single" w:color="000000" w:sz="12" w:space="0"/>
            </w:tcBorders>
          </w:tcPr>
          <w:p w14:paraId="446A226D">
            <w:pPr>
              <w:pStyle w:val="94"/>
              <w:ind w:left="119"/>
              <w:rPr>
                <w:rFonts w:hint="eastAsia"/>
                <w:sz w:val="24"/>
                <w:szCs w:val="24"/>
              </w:rPr>
            </w:pPr>
          </w:p>
        </w:tc>
      </w:tr>
      <w:tr w14:paraId="2CCA35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38AAB02C">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07356007">
            <w:pPr>
              <w:pStyle w:val="94"/>
              <w:rPr>
                <w:rFonts w:hint="eastAsia"/>
                <w:sz w:val="24"/>
                <w:szCs w:val="24"/>
              </w:rPr>
            </w:pPr>
            <w:r>
              <w:rPr>
                <w:sz w:val="24"/>
                <w:szCs w:val="24"/>
              </w:rPr>
              <w:t>3.3</w:t>
            </w:r>
            <w:r>
              <w:rPr>
                <w:rFonts w:hint="eastAsia"/>
                <w:sz w:val="24"/>
                <w:szCs w:val="24"/>
              </w:rPr>
              <w:t>1</w:t>
            </w:r>
            <w:r>
              <w:rPr>
                <w:sz w:val="24"/>
                <w:szCs w:val="24"/>
              </w:rPr>
              <w:t xml:space="preserve"> 消防梯（若有）须具备相应的消防功能，火灾时， 消防梯由消防员打开消防开关，只应答消防员操作，不接受其他呼梯信号。</w:t>
            </w:r>
          </w:p>
        </w:tc>
        <w:tc>
          <w:tcPr>
            <w:tcW w:w="2552" w:type="dxa"/>
            <w:tcBorders>
              <w:top w:val="single" w:color="000000" w:sz="6" w:space="0"/>
              <w:left w:val="single" w:color="000000" w:sz="6" w:space="0"/>
              <w:bottom w:val="single" w:color="000000" w:sz="12" w:space="0"/>
              <w:right w:val="single" w:color="000000" w:sz="12" w:space="0"/>
            </w:tcBorders>
          </w:tcPr>
          <w:p w14:paraId="25B1B06E">
            <w:pPr>
              <w:pStyle w:val="94"/>
              <w:ind w:left="119"/>
              <w:rPr>
                <w:rFonts w:hint="eastAsia"/>
                <w:sz w:val="24"/>
                <w:szCs w:val="24"/>
              </w:rPr>
            </w:pPr>
          </w:p>
        </w:tc>
      </w:tr>
      <w:tr w14:paraId="2C3202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646677DA">
            <w:pPr>
              <w:rPr>
                <w:rFonts w:hint="eastAsia" w:ascii="宋体" w:hAnsi="宋体"/>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4A10E01A">
            <w:pPr>
              <w:pStyle w:val="94"/>
              <w:rPr>
                <w:rFonts w:hint="eastAsia"/>
                <w:sz w:val="24"/>
                <w:szCs w:val="24"/>
              </w:rPr>
            </w:pPr>
            <w:r>
              <w:rPr>
                <w:rFonts w:hint="eastAsia"/>
                <w:sz w:val="24"/>
                <w:szCs w:val="24"/>
              </w:rPr>
              <w:t>3.32电梯须配备BA接口并开放协议</w:t>
            </w:r>
          </w:p>
        </w:tc>
        <w:tc>
          <w:tcPr>
            <w:tcW w:w="2552" w:type="dxa"/>
            <w:tcBorders>
              <w:top w:val="single" w:color="000000" w:sz="6" w:space="0"/>
              <w:left w:val="single" w:color="000000" w:sz="6" w:space="0"/>
              <w:bottom w:val="single" w:color="000000" w:sz="12" w:space="0"/>
              <w:right w:val="single" w:color="000000" w:sz="12" w:space="0"/>
            </w:tcBorders>
          </w:tcPr>
          <w:p w14:paraId="04723398">
            <w:pPr>
              <w:pStyle w:val="94"/>
              <w:ind w:left="119"/>
              <w:rPr>
                <w:rFonts w:hint="eastAsia"/>
                <w:sz w:val="24"/>
                <w:szCs w:val="24"/>
              </w:rPr>
            </w:pPr>
          </w:p>
        </w:tc>
      </w:tr>
      <w:tr w14:paraId="3ADB5B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135" w:type="dxa"/>
            <w:vMerge w:val="continue"/>
            <w:tcBorders>
              <w:top w:val="nil"/>
              <w:right w:val="single" w:color="000000" w:sz="6" w:space="0"/>
            </w:tcBorders>
          </w:tcPr>
          <w:p w14:paraId="15891A90">
            <w:pPr>
              <w:pStyle w:val="94"/>
              <w:rPr>
                <w:rFonts w:hint="eastAsia"/>
                <w:sz w:val="24"/>
                <w:szCs w:val="24"/>
              </w:rPr>
            </w:pPr>
          </w:p>
        </w:tc>
        <w:tc>
          <w:tcPr>
            <w:tcW w:w="5811" w:type="dxa"/>
            <w:gridSpan w:val="2"/>
            <w:tcBorders>
              <w:top w:val="single" w:color="000000" w:sz="6" w:space="0"/>
              <w:left w:val="single" w:color="000000" w:sz="6" w:space="0"/>
              <w:bottom w:val="single" w:color="000000" w:sz="12" w:space="0"/>
              <w:right w:val="single" w:color="000000" w:sz="6" w:space="0"/>
            </w:tcBorders>
          </w:tcPr>
          <w:p w14:paraId="47CCC6FA">
            <w:pPr>
              <w:pStyle w:val="94"/>
              <w:rPr>
                <w:rFonts w:hint="eastAsia"/>
                <w:sz w:val="24"/>
                <w:szCs w:val="24"/>
              </w:rPr>
            </w:pPr>
            <w:r>
              <w:rPr>
                <w:sz w:val="24"/>
                <w:szCs w:val="24"/>
              </w:rPr>
              <w:t>3.3</w:t>
            </w:r>
            <w:r>
              <w:rPr>
                <w:rFonts w:hint="eastAsia"/>
                <w:sz w:val="24"/>
                <w:szCs w:val="24"/>
              </w:rPr>
              <w:t>3</w:t>
            </w:r>
            <w:r>
              <w:rPr>
                <w:sz w:val="24"/>
                <w:szCs w:val="24"/>
              </w:rPr>
              <w:t>投标人认为有必要提供的其他功能。</w:t>
            </w:r>
          </w:p>
        </w:tc>
        <w:tc>
          <w:tcPr>
            <w:tcW w:w="2552" w:type="dxa"/>
            <w:tcBorders>
              <w:top w:val="single" w:color="000000" w:sz="6" w:space="0"/>
              <w:left w:val="single" w:color="000000" w:sz="6" w:space="0"/>
              <w:bottom w:val="single" w:color="000000" w:sz="12" w:space="0"/>
              <w:right w:val="single" w:color="000000" w:sz="12" w:space="0"/>
            </w:tcBorders>
          </w:tcPr>
          <w:p w14:paraId="15FA354C">
            <w:pPr>
              <w:pStyle w:val="94"/>
              <w:ind w:left="119"/>
              <w:rPr>
                <w:rFonts w:hint="eastAsia"/>
                <w:sz w:val="24"/>
                <w:szCs w:val="24"/>
              </w:rPr>
            </w:pPr>
          </w:p>
        </w:tc>
      </w:tr>
      <w:tr w14:paraId="6328CA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135" w:type="dxa"/>
            <w:vMerge w:val="restart"/>
            <w:tcBorders>
              <w:top w:val="single" w:color="000000" w:sz="6" w:space="0"/>
              <w:bottom w:val="single" w:color="000000" w:sz="6" w:space="0"/>
              <w:right w:val="single" w:color="000000" w:sz="6" w:space="0"/>
            </w:tcBorders>
          </w:tcPr>
          <w:p w14:paraId="0C47D03C">
            <w:pPr>
              <w:pStyle w:val="94"/>
              <w:rPr>
                <w:rFonts w:hint="eastAsia"/>
                <w:sz w:val="24"/>
                <w:szCs w:val="24"/>
              </w:rPr>
            </w:pPr>
          </w:p>
          <w:p w14:paraId="3A0C538E">
            <w:pPr>
              <w:pStyle w:val="94"/>
              <w:rPr>
                <w:rFonts w:hint="eastAsia"/>
                <w:sz w:val="24"/>
                <w:szCs w:val="24"/>
              </w:rPr>
            </w:pPr>
          </w:p>
          <w:p w14:paraId="05EE4C8D">
            <w:pPr>
              <w:pStyle w:val="94"/>
              <w:rPr>
                <w:rFonts w:hint="eastAsia"/>
                <w:sz w:val="24"/>
                <w:szCs w:val="24"/>
              </w:rPr>
            </w:pPr>
          </w:p>
          <w:p w14:paraId="21FB6829">
            <w:pPr>
              <w:pStyle w:val="94"/>
              <w:rPr>
                <w:rFonts w:hint="eastAsia"/>
                <w:sz w:val="24"/>
                <w:szCs w:val="24"/>
              </w:rPr>
            </w:pPr>
          </w:p>
          <w:p w14:paraId="44D7A371">
            <w:pPr>
              <w:pStyle w:val="94"/>
              <w:spacing w:before="142" w:line="247" w:lineRule="auto"/>
              <w:ind w:left="105" w:right="28"/>
              <w:jc w:val="both"/>
              <w:rPr>
                <w:rFonts w:hint="eastAsia"/>
                <w:sz w:val="24"/>
                <w:szCs w:val="24"/>
              </w:rPr>
            </w:pPr>
            <w:r>
              <w:rPr>
                <w:sz w:val="24"/>
                <w:szCs w:val="24"/>
              </w:rPr>
              <w:t>4、电梯具备的安全装置要求</w:t>
            </w:r>
          </w:p>
        </w:tc>
        <w:tc>
          <w:tcPr>
            <w:tcW w:w="1930" w:type="dxa"/>
            <w:vMerge w:val="restart"/>
            <w:tcBorders>
              <w:top w:val="single" w:color="000000" w:sz="6" w:space="0"/>
              <w:left w:val="single" w:color="000000" w:sz="6" w:space="0"/>
              <w:bottom w:val="single" w:color="000000" w:sz="6" w:space="0"/>
              <w:right w:val="single" w:color="000000" w:sz="6" w:space="0"/>
            </w:tcBorders>
          </w:tcPr>
          <w:p w14:paraId="1FA608E2">
            <w:pPr>
              <w:pStyle w:val="94"/>
              <w:rPr>
                <w:rFonts w:hint="eastAsia"/>
                <w:sz w:val="24"/>
                <w:szCs w:val="24"/>
              </w:rPr>
            </w:pPr>
          </w:p>
          <w:p w14:paraId="3FAF8FFB">
            <w:pPr>
              <w:pStyle w:val="94"/>
              <w:rPr>
                <w:rFonts w:hint="eastAsia"/>
                <w:sz w:val="24"/>
                <w:szCs w:val="24"/>
              </w:rPr>
            </w:pPr>
          </w:p>
          <w:p w14:paraId="4D336DC5">
            <w:pPr>
              <w:pStyle w:val="94"/>
              <w:rPr>
                <w:rFonts w:hint="eastAsia"/>
                <w:sz w:val="24"/>
                <w:szCs w:val="24"/>
              </w:rPr>
            </w:pPr>
          </w:p>
          <w:p w14:paraId="4906F363">
            <w:pPr>
              <w:pStyle w:val="94"/>
              <w:rPr>
                <w:rFonts w:hint="eastAsia"/>
                <w:sz w:val="24"/>
                <w:szCs w:val="24"/>
              </w:rPr>
            </w:pPr>
          </w:p>
          <w:p w14:paraId="2AB3E81F">
            <w:pPr>
              <w:pStyle w:val="94"/>
              <w:rPr>
                <w:rFonts w:hint="eastAsia"/>
                <w:sz w:val="24"/>
                <w:szCs w:val="24"/>
              </w:rPr>
            </w:pPr>
          </w:p>
          <w:p w14:paraId="52DCA7DB">
            <w:pPr>
              <w:pStyle w:val="94"/>
              <w:spacing w:before="182" w:line="244" w:lineRule="auto"/>
              <w:ind w:left="119" w:right="74"/>
              <w:rPr>
                <w:rFonts w:hint="eastAsia"/>
                <w:sz w:val="24"/>
                <w:szCs w:val="24"/>
              </w:rPr>
            </w:pPr>
            <w:r>
              <w:rPr>
                <w:sz w:val="24"/>
                <w:szCs w:val="24"/>
              </w:rPr>
              <w:t>4.1 电气安全装置</w:t>
            </w:r>
          </w:p>
        </w:tc>
        <w:tc>
          <w:tcPr>
            <w:tcW w:w="3881" w:type="dxa"/>
            <w:tcBorders>
              <w:top w:val="single" w:color="000000" w:sz="6" w:space="0"/>
              <w:left w:val="single" w:color="000000" w:sz="6" w:space="0"/>
              <w:bottom w:val="single" w:color="000000" w:sz="6" w:space="0"/>
              <w:right w:val="single" w:color="000000" w:sz="6" w:space="0"/>
            </w:tcBorders>
          </w:tcPr>
          <w:p w14:paraId="7620580B">
            <w:pPr>
              <w:pStyle w:val="94"/>
              <w:spacing w:line="295" w:lineRule="exact"/>
              <w:ind w:left="104"/>
              <w:rPr>
                <w:rFonts w:hint="eastAsia"/>
                <w:sz w:val="24"/>
                <w:szCs w:val="24"/>
              </w:rPr>
            </w:pPr>
            <w:r>
              <w:rPr>
                <w:sz w:val="24"/>
                <w:szCs w:val="24"/>
              </w:rPr>
              <w:t>4.1.1 电磁制动器。</w:t>
            </w:r>
          </w:p>
        </w:tc>
        <w:tc>
          <w:tcPr>
            <w:tcW w:w="2552" w:type="dxa"/>
            <w:tcBorders>
              <w:top w:val="single" w:color="000000" w:sz="6" w:space="0"/>
              <w:left w:val="single" w:color="000000" w:sz="6" w:space="0"/>
              <w:bottom w:val="single" w:color="000000" w:sz="6" w:space="0"/>
            </w:tcBorders>
          </w:tcPr>
          <w:p w14:paraId="51DE95E1">
            <w:pPr>
              <w:pStyle w:val="94"/>
              <w:rPr>
                <w:rFonts w:hint="eastAsia"/>
                <w:sz w:val="24"/>
                <w:szCs w:val="24"/>
              </w:rPr>
            </w:pPr>
          </w:p>
        </w:tc>
      </w:tr>
      <w:tr w14:paraId="01999A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135" w:type="dxa"/>
            <w:vMerge w:val="continue"/>
            <w:tcBorders>
              <w:top w:val="nil"/>
              <w:bottom w:val="single" w:color="000000" w:sz="6" w:space="0"/>
              <w:right w:val="single" w:color="000000" w:sz="6" w:space="0"/>
            </w:tcBorders>
          </w:tcPr>
          <w:p w14:paraId="2EEF800E">
            <w:pPr>
              <w:rPr>
                <w:rFonts w:hint="eastAsia" w:ascii="宋体" w:hAnsi="宋体"/>
                <w:sz w:val="24"/>
                <w:szCs w:val="24"/>
              </w:rPr>
            </w:pPr>
          </w:p>
        </w:tc>
        <w:tc>
          <w:tcPr>
            <w:tcW w:w="1930" w:type="dxa"/>
            <w:vMerge w:val="continue"/>
            <w:tcBorders>
              <w:top w:val="nil"/>
              <w:left w:val="single" w:color="000000" w:sz="6" w:space="0"/>
              <w:bottom w:val="single" w:color="000000" w:sz="6" w:space="0"/>
              <w:right w:val="single" w:color="000000" w:sz="6" w:space="0"/>
            </w:tcBorders>
          </w:tcPr>
          <w:p w14:paraId="35106417">
            <w:pPr>
              <w:rPr>
                <w:rFonts w:hint="eastAsia" w:ascii="宋体" w:hAnsi="宋体"/>
                <w:sz w:val="24"/>
                <w:szCs w:val="24"/>
              </w:rPr>
            </w:pPr>
          </w:p>
        </w:tc>
        <w:tc>
          <w:tcPr>
            <w:tcW w:w="3881" w:type="dxa"/>
            <w:tcBorders>
              <w:top w:val="single" w:color="000000" w:sz="6" w:space="0"/>
              <w:left w:val="single" w:color="000000" w:sz="6" w:space="0"/>
              <w:bottom w:val="single" w:color="000000" w:sz="6" w:space="0"/>
              <w:right w:val="single" w:color="000000" w:sz="6" w:space="0"/>
            </w:tcBorders>
          </w:tcPr>
          <w:p w14:paraId="50DC9960">
            <w:pPr>
              <w:pStyle w:val="94"/>
              <w:spacing w:line="296" w:lineRule="exact"/>
              <w:ind w:left="104"/>
              <w:rPr>
                <w:rFonts w:hint="eastAsia"/>
                <w:sz w:val="24"/>
                <w:szCs w:val="24"/>
              </w:rPr>
            </w:pPr>
            <w:r>
              <w:rPr>
                <w:sz w:val="24"/>
                <w:szCs w:val="24"/>
              </w:rPr>
              <w:t>4.1.2 强迫减速开关。</w:t>
            </w:r>
          </w:p>
        </w:tc>
        <w:tc>
          <w:tcPr>
            <w:tcW w:w="2552" w:type="dxa"/>
            <w:tcBorders>
              <w:top w:val="single" w:color="000000" w:sz="6" w:space="0"/>
              <w:left w:val="single" w:color="000000" w:sz="6" w:space="0"/>
              <w:bottom w:val="single" w:color="000000" w:sz="6" w:space="0"/>
            </w:tcBorders>
          </w:tcPr>
          <w:p w14:paraId="39F4DB9B">
            <w:pPr>
              <w:pStyle w:val="94"/>
              <w:rPr>
                <w:rFonts w:hint="eastAsia"/>
                <w:sz w:val="24"/>
                <w:szCs w:val="24"/>
              </w:rPr>
            </w:pPr>
          </w:p>
        </w:tc>
      </w:tr>
      <w:tr w14:paraId="5441FA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0" w:hRule="atLeast"/>
        </w:trPr>
        <w:tc>
          <w:tcPr>
            <w:tcW w:w="1135" w:type="dxa"/>
            <w:vMerge w:val="continue"/>
            <w:tcBorders>
              <w:top w:val="nil"/>
              <w:bottom w:val="single" w:color="000000" w:sz="6" w:space="0"/>
              <w:right w:val="single" w:color="000000" w:sz="6" w:space="0"/>
            </w:tcBorders>
          </w:tcPr>
          <w:p w14:paraId="7CB8EA1F">
            <w:pPr>
              <w:rPr>
                <w:rFonts w:hint="eastAsia" w:ascii="宋体" w:hAnsi="宋体"/>
                <w:sz w:val="24"/>
                <w:szCs w:val="24"/>
              </w:rPr>
            </w:pPr>
          </w:p>
        </w:tc>
        <w:tc>
          <w:tcPr>
            <w:tcW w:w="1930" w:type="dxa"/>
            <w:vMerge w:val="continue"/>
            <w:tcBorders>
              <w:top w:val="nil"/>
              <w:left w:val="single" w:color="000000" w:sz="6" w:space="0"/>
              <w:bottom w:val="single" w:color="000000" w:sz="6" w:space="0"/>
              <w:right w:val="single" w:color="000000" w:sz="6" w:space="0"/>
            </w:tcBorders>
          </w:tcPr>
          <w:p w14:paraId="5CFAA6F0">
            <w:pPr>
              <w:rPr>
                <w:rFonts w:hint="eastAsia" w:ascii="宋体" w:hAnsi="宋体"/>
                <w:sz w:val="24"/>
                <w:szCs w:val="24"/>
              </w:rPr>
            </w:pPr>
          </w:p>
        </w:tc>
        <w:tc>
          <w:tcPr>
            <w:tcW w:w="3881" w:type="dxa"/>
            <w:tcBorders>
              <w:top w:val="single" w:color="000000" w:sz="6" w:space="0"/>
              <w:left w:val="single" w:color="000000" w:sz="6" w:space="0"/>
              <w:bottom w:val="single" w:color="000000" w:sz="6" w:space="0"/>
              <w:right w:val="single" w:color="000000" w:sz="6" w:space="0"/>
            </w:tcBorders>
          </w:tcPr>
          <w:p w14:paraId="16E33E59">
            <w:pPr>
              <w:pStyle w:val="94"/>
              <w:spacing w:line="280" w:lineRule="exact"/>
              <w:ind w:left="104"/>
              <w:rPr>
                <w:rFonts w:hint="eastAsia"/>
                <w:sz w:val="24"/>
                <w:szCs w:val="24"/>
              </w:rPr>
            </w:pPr>
            <w:r>
              <w:rPr>
                <w:sz w:val="24"/>
                <w:szCs w:val="24"/>
              </w:rPr>
              <w:t>4.1.3 限位开关。</w:t>
            </w:r>
          </w:p>
        </w:tc>
        <w:tc>
          <w:tcPr>
            <w:tcW w:w="2552" w:type="dxa"/>
            <w:tcBorders>
              <w:top w:val="single" w:color="000000" w:sz="6" w:space="0"/>
              <w:left w:val="single" w:color="000000" w:sz="6" w:space="0"/>
              <w:bottom w:val="single" w:color="000000" w:sz="6" w:space="0"/>
            </w:tcBorders>
          </w:tcPr>
          <w:p w14:paraId="26DBAB29">
            <w:pPr>
              <w:pStyle w:val="94"/>
              <w:rPr>
                <w:rFonts w:hint="eastAsia"/>
                <w:sz w:val="24"/>
                <w:szCs w:val="24"/>
              </w:rPr>
            </w:pPr>
          </w:p>
        </w:tc>
      </w:tr>
      <w:tr w14:paraId="06AFB44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135" w:type="dxa"/>
            <w:vMerge w:val="continue"/>
            <w:tcBorders>
              <w:top w:val="nil"/>
              <w:bottom w:val="single" w:color="000000" w:sz="6" w:space="0"/>
              <w:right w:val="single" w:color="000000" w:sz="6" w:space="0"/>
            </w:tcBorders>
          </w:tcPr>
          <w:p w14:paraId="023A437F">
            <w:pPr>
              <w:rPr>
                <w:rFonts w:hint="eastAsia" w:ascii="宋体" w:hAnsi="宋体"/>
                <w:sz w:val="24"/>
                <w:szCs w:val="24"/>
              </w:rPr>
            </w:pPr>
          </w:p>
        </w:tc>
        <w:tc>
          <w:tcPr>
            <w:tcW w:w="1930" w:type="dxa"/>
            <w:vMerge w:val="continue"/>
            <w:tcBorders>
              <w:top w:val="nil"/>
              <w:left w:val="single" w:color="000000" w:sz="6" w:space="0"/>
              <w:bottom w:val="single" w:color="000000" w:sz="6" w:space="0"/>
              <w:right w:val="single" w:color="000000" w:sz="6" w:space="0"/>
            </w:tcBorders>
          </w:tcPr>
          <w:p w14:paraId="103C1CA8">
            <w:pPr>
              <w:rPr>
                <w:rFonts w:hint="eastAsia" w:ascii="宋体" w:hAnsi="宋体"/>
                <w:sz w:val="24"/>
                <w:szCs w:val="24"/>
              </w:rPr>
            </w:pPr>
          </w:p>
        </w:tc>
        <w:tc>
          <w:tcPr>
            <w:tcW w:w="3881" w:type="dxa"/>
            <w:tcBorders>
              <w:top w:val="single" w:color="000000" w:sz="6" w:space="0"/>
              <w:left w:val="single" w:color="000000" w:sz="6" w:space="0"/>
              <w:bottom w:val="single" w:color="000000" w:sz="6" w:space="0"/>
              <w:right w:val="single" w:color="000000" w:sz="6" w:space="0"/>
            </w:tcBorders>
          </w:tcPr>
          <w:p w14:paraId="6D241161">
            <w:pPr>
              <w:pStyle w:val="94"/>
              <w:spacing w:line="295" w:lineRule="exact"/>
              <w:ind w:left="104"/>
              <w:rPr>
                <w:rFonts w:hint="eastAsia"/>
                <w:sz w:val="24"/>
                <w:szCs w:val="24"/>
              </w:rPr>
            </w:pPr>
            <w:r>
              <w:rPr>
                <w:sz w:val="24"/>
                <w:szCs w:val="24"/>
              </w:rPr>
              <w:t>4.1.4 行程极限开关。</w:t>
            </w:r>
          </w:p>
        </w:tc>
        <w:tc>
          <w:tcPr>
            <w:tcW w:w="2552" w:type="dxa"/>
            <w:tcBorders>
              <w:top w:val="single" w:color="000000" w:sz="6" w:space="0"/>
              <w:left w:val="single" w:color="000000" w:sz="6" w:space="0"/>
              <w:bottom w:val="single" w:color="000000" w:sz="6" w:space="0"/>
            </w:tcBorders>
          </w:tcPr>
          <w:p w14:paraId="1BBB977F">
            <w:pPr>
              <w:pStyle w:val="94"/>
              <w:rPr>
                <w:rFonts w:hint="eastAsia"/>
                <w:sz w:val="24"/>
                <w:szCs w:val="24"/>
              </w:rPr>
            </w:pPr>
          </w:p>
        </w:tc>
      </w:tr>
      <w:tr w14:paraId="3A6B2F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135" w:type="dxa"/>
            <w:vMerge w:val="continue"/>
            <w:tcBorders>
              <w:top w:val="nil"/>
              <w:bottom w:val="single" w:color="000000" w:sz="6" w:space="0"/>
              <w:right w:val="single" w:color="000000" w:sz="6" w:space="0"/>
            </w:tcBorders>
          </w:tcPr>
          <w:p w14:paraId="1DA4237F">
            <w:pPr>
              <w:rPr>
                <w:rFonts w:hint="eastAsia" w:ascii="宋体" w:hAnsi="宋体"/>
                <w:sz w:val="24"/>
                <w:szCs w:val="24"/>
              </w:rPr>
            </w:pPr>
          </w:p>
        </w:tc>
        <w:tc>
          <w:tcPr>
            <w:tcW w:w="1930" w:type="dxa"/>
            <w:vMerge w:val="continue"/>
            <w:tcBorders>
              <w:top w:val="nil"/>
              <w:left w:val="single" w:color="000000" w:sz="6" w:space="0"/>
              <w:bottom w:val="single" w:color="000000" w:sz="6" w:space="0"/>
              <w:right w:val="single" w:color="000000" w:sz="6" w:space="0"/>
            </w:tcBorders>
          </w:tcPr>
          <w:p w14:paraId="3CF283D9">
            <w:pPr>
              <w:rPr>
                <w:rFonts w:hint="eastAsia" w:ascii="宋体" w:hAnsi="宋体"/>
                <w:sz w:val="24"/>
                <w:szCs w:val="24"/>
              </w:rPr>
            </w:pPr>
          </w:p>
        </w:tc>
        <w:tc>
          <w:tcPr>
            <w:tcW w:w="3881" w:type="dxa"/>
            <w:tcBorders>
              <w:top w:val="single" w:color="000000" w:sz="6" w:space="0"/>
              <w:left w:val="single" w:color="000000" w:sz="6" w:space="0"/>
              <w:bottom w:val="single" w:color="000000" w:sz="6" w:space="0"/>
              <w:right w:val="single" w:color="000000" w:sz="6" w:space="0"/>
            </w:tcBorders>
          </w:tcPr>
          <w:p w14:paraId="3EB8E4F6">
            <w:pPr>
              <w:pStyle w:val="94"/>
              <w:spacing w:line="295" w:lineRule="exact"/>
              <w:ind w:left="104"/>
              <w:rPr>
                <w:rFonts w:hint="eastAsia"/>
                <w:sz w:val="24"/>
                <w:szCs w:val="24"/>
              </w:rPr>
            </w:pPr>
            <w:r>
              <w:rPr>
                <w:sz w:val="24"/>
                <w:szCs w:val="24"/>
              </w:rPr>
              <w:t>4.1.5 超速保护电路。</w:t>
            </w:r>
          </w:p>
        </w:tc>
        <w:tc>
          <w:tcPr>
            <w:tcW w:w="2552" w:type="dxa"/>
            <w:tcBorders>
              <w:top w:val="single" w:color="000000" w:sz="6" w:space="0"/>
              <w:left w:val="single" w:color="000000" w:sz="6" w:space="0"/>
              <w:bottom w:val="single" w:color="000000" w:sz="6" w:space="0"/>
            </w:tcBorders>
          </w:tcPr>
          <w:p w14:paraId="563495FF">
            <w:pPr>
              <w:pStyle w:val="94"/>
              <w:rPr>
                <w:rFonts w:hint="eastAsia"/>
                <w:sz w:val="24"/>
                <w:szCs w:val="24"/>
              </w:rPr>
            </w:pPr>
          </w:p>
        </w:tc>
      </w:tr>
      <w:tr w14:paraId="1244C6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135" w:type="dxa"/>
            <w:vMerge w:val="continue"/>
            <w:tcBorders>
              <w:top w:val="nil"/>
              <w:bottom w:val="single" w:color="000000" w:sz="6" w:space="0"/>
              <w:right w:val="single" w:color="000000" w:sz="6" w:space="0"/>
            </w:tcBorders>
          </w:tcPr>
          <w:p w14:paraId="3D028ABE">
            <w:pPr>
              <w:rPr>
                <w:rFonts w:hint="eastAsia" w:ascii="宋体" w:hAnsi="宋体"/>
                <w:sz w:val="24"/>
                <w:szCs w:val="24"/>
              </w:rPr>
            </w:pPr>
          </w:p>
        </w:tc>
        <w:tc>
          <w:tcPr>
            <w:tcW w:w="1930" w:type="dxa"/>
            <w:vMerge w:val="continue"/>
            <w:tcBorders>
              <w:top w:val="nil"/>
              <w:left w:val="single" w:color="000000" w:sz="6" w:space="0"/>
              <w:bottom w:val="single" w:color="000000" w:sz="6" w:space="0"/>
              <w:right w:val="single" w:color="000000" w:sz="6" w:space="0"/>
            </w:tcBorders>
          </w:tcPr>
          <w:p w14:paraId="259178D6">
            <w:pPr>
              <w:rPr>
                <w:rFonts w:hint="eastAsia" w:ascii="宋体" w:hAnsi="宋体"/>
                <w:sz w:val="24"/>
                <w:szCs w:val="24"/>
              </w:rPr>
            </w:pPr>
          </w:p>
        </w:tc>
        <w:tc>
          <w:tcPr>
            <w:tcW w:w="3881" w:type="dxa"/>
            <w:tcBorders>
              <w:top w:val="single" w:color="000000" w:sz="6" w:space="0"/>
              <w:left w:val="single" w:color="000000" w:sz="6" w:space="0"/>
              <w:bottom w:val="single" w:color="000000" w:sz="6" w:space="0"/>
              <w:right w:val="single" w:color="000000" w:sz="6" w:space="0"/>
            </w:tcBorders>
          </w:tcPr>
          <w:p w14:paraId="58D56D1A">
            <w:pPr>
              <w:pStyle w:val="94"/>
              <w:spacing w:line="295" w:lineRule="exact"/>
              <w:ind w:left="104"/>
              <w:rPr>
                <w:rFonts w:hint="eastAsia"/>
                <w:sz w:val="24"/>
                <w:szCs w:val="24"/>
              </w:rPr>
            </w:pPr>
            <w:r>
              <w:rPr>
                <w:sz w:val="24"/>
                <w:szCs w:val="24"/>
              </w:rPr>
              <w:t>4.1.6 测速发电机组断带保护。</w:t>
            </w:r>
          </w:p>
        </w:tc>
        <w:tc>
          <w:tcPr>
            <w:tcW w:w="2552" w:type="dxa"/>
            <w:tcBorders>
              <w:top w:val="single" w:color="000000" w:sz="6" w:space="0"/>
              <w:left w:val="single" w:color="000000" w:sz="6" w:space="0"/>
              <w:bottom w:val="single" w:color="000000" w:sz="6" w:space="0"/>
            </w:tcBorders>
          </w:tcPr>
          <w:p w14:paraId="0EC7639A">
            <w:pPr>
              <w:pStyle w:val="94"/>
              <w:rPr>
                <w:rFonts w:hint="eastAsia"/>
                <w:sz w:val="24"/>
                <w:szCs w:val="24"/>
              </w:rPr>
            </w:pPr>
          </w:p>
        </w:tc>
      </w:tr>
      <w:tr w14:paraId="267998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0" w:hRule="atLeast"/>
        </w:trPr>
        <w:tc>
          <w:tcPr>
            <w:tcW w:w="1135" w:type="dxa"/>
            <w:vMerge w:val="continue"/>
            <w:tcBorders>
              <w:top w:val="nil"/>
              <w:bottom w:val="single" w:color="000000" w:sz="6" w:space="0"/>
              <w:right w:val="single" w:color="000000" w:sz="6" w:space="0"/>
            </w:tcBorders>
          </w:tcPr>
          <w:p w14:paraId="738638AD">
            <w:pPr>
              <w:rPr>
                <w:rFonts w:hint="eastAsia" w:ascii="宋体" w:hAnsi="宋体"/>
                <w:sz w:val="24"/>
                <w:szCs w:val="24"/>
              </w:rPr>
            </w:pPr>
          </w:p>
        </w:tc>
        <w:tc>
          <w:tcPr>
            <w:tcW w:w="1930" w:type="dxa"/>
            <w:vMerge w:val="continue"/>
            <w:tcBorders>
              <w:top w:val="nil"/>
              <w:left w:val="single" w:color="000000" w:sz="6" w:space="0"/>
              <w:bottom w:val="single" w:color="000000" w:sz="6" w:space="0"/>
              <w:right w:val="single" w:color="000000" w:sz="6" w:space="0"/>
            </w:tcBorders>
          </w:tcPr>
          <w:p w14:paraId="7F394BA4">
            <w:pPr>
              <w:rPr>
                <w:rFonts w:hint="eastAsia" w:ascii="宋体" w:hAnsi="宋体"/>
                <w:sz w:val="24"/>
                <w:szCs w:val="24"/>
              </w:rPr>
            </w:pPr>
          </w:p>
        </w:tc>
        <w:tc>
          <w:tcPr>
            <w:tcW w:w="3881" w:type="dxa"/>
            <w:tcBorders>
              <w:top w:val="single" w:color="000000" w:sz="6" w:space="0"/>
              <w:left w:val="single" w:color="000000" w:sz="6" w:space="0"/>
              <w:bottom w:val="single" w:color="000000" w:sz="6" w:space="0"/>
              <w:right w:val="single" w:color="000000" w:sz="6" w:space="0"/>
            </w:tcBorders>
          </w:tcPr>
          <w:p w14:paraId="5417CA16">
            <w:pPr>
              <w:pStyle w:val="94"/>
              <w:spacing w:line="280" w:lineRule="exact"/>
              <w:ind w:left="104"/>
              <w:rPr>
                <w:rFonts w:hint="eastAsia"/>
                <w:sz w:val="24"/>
                <w:szCs w:val="24"/>
              </w:rPr>
            </w:pPr>
            <w:r>
              <w:rPr>
                <w:sz w:val="24"/>
                <w:szCs w:val="24"/>
              </w:rPr>
              <w:t>4.1.7 电机过电流保护。</w:t>
            </w:r>
          </w:p>
        </w:tc>
        <w:tc>
          <w:tcPr>
            <w:tcW w:w="2552" w:type="dxa"/>
            <w:tcBorders>
              <w:top w:val="single" w:color="000000" w:sz="6" w:space="0"/>
              <w:left w:val="single" w:color="000000" w:sz="6" w:space="0"/>
              <w:bottom w:val="single" w:color="000000" w:sz="6" w:space="0"/>
            </w:tcBorders>
          </w:tcPr>
          <w:p w14:paraId="2FB0A368">
            <w:pPr>
              <w:pStyle w:val="94"/>
              <w:rPr>
                <w:rFonts w:hint="eastAsia"/>
                <w:sz w:val="24"/>
                <w:szCs w:val="24"/>
              </w:rPr>
            </w:pPr>
          </w:p>
        </w:tc>
      </w:tr>
      <w:tr w14:paraId="7DEA95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135" w:type="dxa"/>
            <w:vMerge w:val="continue"/>
            <w:tcBorders>
              <w:top w:val="nil"/>
              <w:bottom w:val="single" w:color="000000" w:sz="6" w:space="0"/>
              <w:right w:val="single" w:color="000000" w:sz="6" w:space="0"/>
            </w:tcBorders>
          </w:tcPr>
          <w:p w14:paraId="21DAABE1">
            <w:pPr>
              <w:rPr>
                <w:rFonts w:hint="eastAsia" w:ascii="宋体" w:hAnsi="宋体"/>
                <w:sz w:val="24"/>
                <w:szCs w:val="24"/>
              </w:rPr>
            </w:pPr>
          </w:p>
        </w:tc>
        <w:tc>
          <w:tcPr>
            <w:tcW w:w="1930" w:type="dxa"/>
            <w:vMerge w:val="continue"/>
            <w:tcBorders>
              <w:top w:val="nil"/>
              <w:left w:val="single" w:color="000000" w:sz="6" w:space="0"/>
              <w:bottom w:val="single" w:color="000000" w:sz="6" w:space="0"/>
              <w:right w:val="single" w:color="000000" w:sz="6" w:space="0"/>
            </w:tcBorders>
          </w:tcPr>
          <w:p w14:paraId="5D009560">
            <w:pPr>
              <w:rPr>
                <w:rFonts w:hint="eastAsia" w:ascii="宋体" w:hAnsi="宋体"/>
                <w:sz w:val="24"/>
                <w:szCs w:val="24"/>
              </w:rPr>
            </w:pPr>
          </w:p>
        </w:tc>
        <w:tc>
          <w:tcPr>
            <w:tcW w:w="3881" w:type="dxa"/>
            <w:tcBorders>
              <w:top w:val="single" w:color="000000" w:sz="6" w:space="0"/>
              <w:left w:val="single" w:color="000000" w:sz="6" w:space="0"/>
              <w:bottom w:val="single" w:color="000000" w:sz="6" w:space="0"/>
              <w:right w:val="single" w:color="000000" w:sz="6" w:space="0"/>
            </w:tcBorders>
          </w:tcPr>
          <w:p w14:paraId="7A6F7E61">
            <w:pPr>
              <w:pStyle w:val="94"/>
              <w:spacing w:line="295" w:lineRule="exact"/>
              <w:ind w:left="104"/>
              <w:rPr>
                <w:rFonts w:hint="eastAsia"/>
                <w:sz w:val="24"/>
                <w:szCs w:val="24"/>
              </w:rPr>
            </w:pPr>
            <w:r>
              <w:rPr>
                <w:sz w:val="24"/>
                <w:szCs w:val="24"/>
              </w:rPr>
              <w:t>4.1.8 电机长期过载，热继电器保护。</w:t>
            </w:r>
          </w:p>
        </w:tc>
        <w:tc>
          <w:tcPr>
            <w:tcW w:w="2552" w:type="dxa"/>
            <w:tcBorders>
              <w:top w:val="single" w:color="000000" w:sz="6" w:space="0"/>
              <w:left w:val="single" w:color="000000" w:sz="6" w:space="0"/>
              <w:bottom w:val="single" w:color="000000" w:sz="6" w:space="0"/>
            </w:tcBorders>
          </w:tcPr>
          <w:p w14:paraId="22504EC5">
            <w:pPr>
              <w:pStyle w:val="94"/>
              <w:rPr>
                <w:rFonts w:hint="eastAsia"/>
                <w:sz w:val="24"/>
                <w:szCs w:val="24"/>
              </w:rPr>
            </w:pPr>
          </w:p>
        </w:tc>
      </w:tr>
      <w:tr w14:paraId="5B95FF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135" w:type="dxa"/>
            <w:vMerge w:val="continue"/>
            <w:tcBorders>
              <w:top w:val="nil"/>
              <w:bottom w:val="single" w:color="000000" w:sz="6" w:space="0"/>
              <w:right w:val="single" w:color="000000" w:sz="6" w:space="0"/>
            </w:tcBorders>
          </w:tcPr>
          <w:p w14:paraId="2B646053">
            <w:pPr>
              <w:rPr>
                <w:rFonts w:hint="eastAsia" w:ascii="宋体" w:hAnsi="宋体"/>
                <w:sz w:val="24"/>
                <w:szCs w:val="24"/>
              </w:rPr>
            </w:pPr>
          </w:p>
        </w:tc>
        <w:tc>
          <w:tcPr>
            <w:tcW w:w="1930" w:type="dxa"/>
            <w:vMerge w:val="continue"/>
            <w:tcBorders>
              <w:top w:val="nil"/>
              <w:left w:val="single" w:color="000000" w:sz="6" w:space="0"/>
              <w:bottom w:val="single" w:color="000000" w:sz="6" w:space="0"/>
              <w:right w:val="single" w:color="000000" w:sz="6" w:space="0"/>
            </w:tcBorders>
          </w:tcPr>
          <w:p w14:paraId="44D012EA">
            <w:pPr>
              <w:rPr>
                <w:rFonts w:hint="eastAsia" w:ascii="宋体" w:hAnsi="宋体"/>
                <w:sz w:val="24"/>
                <w:szCs w:val="24"/>
              </w:rPr>
            </w:pPr>
          </w:p>
        </w:tc>
        <w:tc>
          <w:tcPr>
            <w:tcW w:w="3881" w:type="dxa"/>
            <w:tcBorders>
              <w:top w:val="single" w:color="000000" w:sz="6" w:space="0"/>
              <w:left w:val="single" w:color="000000" w:sz="6" w:space="0"/>
              <w:bottom w:val="single" w:color="000000" w:sz="6" w:space="0"/>
              <w:right w:val="single" w:color="000000" w:sz="6" w:space="0"/>
            </w:tcBorders>
          </w:tcPr>
          <w:p w14:paraId="7D726EC6">
            <w:pPr>
              <w:pStyle w:val="94"/>
              <w:spacing w:line="295" w:lineRule="exact"/>
              <w:ind w:left="104"/>
              <w:rPr>
                <w:rFonts w:hint="eastAsia"/>
                <w:sz w:val="24"/>
                <w:szCs w:val="24"/>
              </w:rPr>
            </w:pPr>
            <w:r>
              <w:rPr>
                <w:sz w:val="24"/>
                <w:szCs w:val="24"/>
              </w:rPr>
              <w:t>4.1.9 超载保护开关。</w:t>
            </w:r>
          </w:p>
        </w:tc>
        <w:tc>
          <w:tcPr>
            <w:tcW w:w="2552" w:type="dxa"/>
            <w:tcBorders>
              <w:top w:val="single" w:color="000000" w:sz="6" w:space="0"/>
              <w:left w:val="single" w:color="000000" w:sz="6" w:space="0"/>
              <w:bottom w:val="single" w:color="000000" w:sz="6" w:space="0"/>
            </w:tcBorders>
          </w:tcPr>
          <w:p w14:paraId="2A10A4FB">
            <w:pPr>
              <w:pStyle w:val="94"/>
              <w:rPr>
                <w:rFonts w:hint="eastAsia"/>
                <w:sz w:val="24"/>
                <w:szCs w:val="24"/>
              </w:rPr>
            </w:pPr>
          </w:p>
        </w:tc>
      </w:tr>
      <w:tr w14:paraId="2C5346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135" w:type="dxa"/>
            <w:vMerge w:val="continue"/>
            <w:tcBorders>
              <w:top w:val="nil"/>
              <w:bottom w:val="single" w:color="000000" w:sz="6" w:space="0"/>
              <w:right w:val="single" w:color="000000" w:sz="6" w:space="0"/>
            </w:tcBorders>
          </w:tcPr>
          <w:p w14:paraId="246B8B49">
            <w:pPr>
              <w:rPr>
                <w:rFonts w:hint="eastAsia" w:ascii="宋体" w:hAnsi="宋体"/>
                <w:sz w:val="24"/>
                <w:szCs w:val="24"/>
              </w:rPr>
            </w:pPr>
          </w:p>
        </w:tc>
        <w:tc>
          <w:tcPr>
            <w:tcW w:w="1930" w:type="dxa"/>
            <w:vMerge w:val="continue"/>
            <w:tcBorders>
              <w:top w:val="nil"/>
              <w:left w:val="single" w:color="000000" w:sz="6" w:space="0"/>
              <w:bottom w:val="single" w:color="000000" w:sz="6" w:space="0"/>
              <w:right w:val="single" w:color="000000" w:sz="6" w:space="0"/>
            </w:tcBorders>
          </w:tcPr>
          <w:p w14:paraId="4CCB47DC">
            <w:pPr>
              <w:rPr>
                <w:rFonts w:hint="eastAsia" w:ascii="宋体" w:hAnsi="宋体"/>
                <w:sz w:val="24"/>
                <w:szCs w:val="24"/>
              </w:rPr>
            </w:pPr>
          </w:p>
        </w:tc>
        <w:tc>
          <w:tcPr>
            <w:tcW w:w="3881" w:type="dxa"/>
            <w:tcBorders>
              <w:top w:val="single" w:color="000000" w:sz="6" w:space="0"/>
              <w:left w:val="single" w:color="000000" w:sz="6" w:space="0"/>
              <w:bottom w:val="single" w:color="000000" w:sz="6" w:space="0"/>
              <w:right w:val="single" w:color="000000" w:sz="6" w:space="0"/>
            </w:tcBorders>
          </w:tcPr>
          <w:p w14:paraId="2D90A2AF">
            <w:pPr>
              <w:pStyle w:val="94"/>
              <w:spacing w:line="295" w:lineRule="exact"/>
              <w:ind w:left="104"/>
              <w:rPr>
                <w:rFonts w:hint="eastAsia"/>
                <w:sz w:val="24"/>
                <w:szCs w:val="24"/>
              </w:rPr>
            </w:pPr>
            <w:r>
              <w:rPr>
                <w:sz w:val="24"/>
                <w:szCs w:val="24"/>
              </w:rPr>
              <w:t>4.1.10 关门安全开关。</w:t>
            </w:r>
          </w:p>
        </w:tc>
        <w:tc>
          <w:tcPr>
            <w:tcW w:w="2552" w:type="dxa"/>
            <w:tcBorders>
              <w:top w:val="single" w:color="000000" w:sz="6" w:space="0"/>
              <w:left w:val="single" w:color="000000" w:sz="6" w:space="0"/>
              <w:bottom w:val="single" w:color="000000" w:sz="6" w:space="0"/>
            </w:tcBorders>
          </w:tcPr>
          <w:p w14:paraId="20BDCC4C">
            <w:pPr>
              <w:pStyle w:val="94"/>
              <w:rPr>
                <w:rFonts w:hint="eastAsia"/>
                <w:sz w:val="24"/>
                <w:szCs w:val="24"/>
              </w:rPr>
            </w:pPr>
          </w:p>
        </w:tc>
      </w:tr>
      <w:tr w14:paraId="7D8393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0" w:hRule="atLeast"/>
        </w:trPr>
        <w:tc>
          <w:tcPr>
            <w:tcW w:w="1135" w:type="dxa"/>
            <w:vMerge w:val="continue"/>
            <w:tcBorders>
              <w:top w:val="nil"/>
              <w:bottom w:val="single" w:color="000000" w:sz="6" w:space="0"/>
              <w:right w:val="single" w:color="000000" w:sz="6" w:space="0"/>
            </w:tcBorders>
          </w:tcPr>
          <w:p w14:paraId="11BE636E">
            <w:pPr>
              <w:rPr>
                <w:rFonts w:hint="eastAsia" w:ascii="宋体" w:hAnsi="宋体"/>
                <w:sz w:val="24"/>
                <w:szCs w:val="24"/>
              </w:rPr>
            </w:pPr>
          </w:p>
        </w:tc>
        <w:tc>
          <w:tcPr>
            <w:tcW w:w="1930" w:type="dxa"/>
            <w:vMerge w:val="continue"/>
            <w:tcBorders>
              <w:top w:val="nil"/>
              <w:left w:val="single" w:color="000000" w:sz="6" w:space="0"/>
              <w:bottom w:val="single" w:color="000000" w:sz="6" w:space="0"/>
              <w:right w:val="single" w:color="000000" w:sz="6" w:space="0"/>
            </w:tcBorders>
          </w:tcPr>
          <w:p w14:paraId="4FF9350C">
            <w:pPr>
              <w:rPr>
                <w:rFonts w:hint="eastAsia" w:ascii="宋体" w:hAnsi="宋体"/>
                <w:sz w:val="24"/>
                <w:szCs w:val="24"/>
              </w:rPr>
            </w:pPr>
          </w:p>
        </w:tc>
        <w:tc>
          <w:tcPr>
            <w:tcW w:w="3881" w:type="dxa"/>
            <w:tcBorders>
              <w:top w:val="single" w:color="000000" w:sz="6" w:space="0"/>
              <w:left w:val="single" w:color="000000" w:sz="6" w:space="0"/>
              <w:bottom w:val="single" w:color="000000" w:sz="6" w:space="0"/>
              <w:right w:val="single" w:color="000000" w:sz="6" w:space="0"/>
            </w:tcBorders>
          </w:tcPr>
          <w:p w14:paraId="2674EF25">
            <w:pPr>
              <w:pStyle w:val="94"/>
              <w:spacing w:line="280" w:lineRule="exact"/>
              <w:ind w:left="104"/>
              <w:rPr>
                <w:rFonts w:hint="eastAsia"/>
                <w:sz w:val="24"/>
                <w:szCs w:val="24"/>
              </w:rPr>
            </w:pPr>
            <w:r>
              <w:rPr>
                <w:sz w:val="24"/>
                <w:szCs w:val="24"/>
              </w:rPr>
              <w:t>4.1.11 厅门开关联锁。</w:t>
            </w:r>
          </w:p>
        </w:tc>
        <w:tc>
          <w:tcPr>
            <w:tcW w:w="2552" w:type="dxa"/>
            <w:tcBorders>
              <w:top w:val="single" w:color="000000" w:sz="6" w:space="0"/>
              <w:left w:val="single" w:color="000000" w:sz="6" w:space="0"/>
              <w:bottom w:val="single" w:color="000000" w:sz="6" w:space="0"/>
            </w:tcBorders>
          </w:tcPr>
          <w:p w14:paraId="6F07137D">
            <w:pPr>
              <w:pStyle w:val="94"/>
              <w:rPr>
                <w:rFonts w:hint="eastAsia"/>
                <w:sz w:val="24"/>
                <w:szCs w:val="24"/>
              </w:rPr>
            </w:pPr>
          </w:p>
        </w:tc>
      </w:tr>
      <w:tr w14:paraId="77CAA3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135" w:type="dxa"/>
            <w:vMerge w:val="continue"/>
            <w:tcBorders>
              <w:top w:val="nil"/>
              <w:bottom w:val="single" w:color="000000" w:sz="6" w:space="0"/>
              <w:right w:val="single" w:color="000000" w:sz="6" w:space="0"/>
            </w:tcBorders>
          </w:tcPr>
          <w:p w14:paraId="3BB7CD2A">
            <w:pPr>
              <w:rPr>
                <w:rFonts w:hint="eastAsia" w:ascii="宋体" w:hAnsi="宋体"/>
                <w:sz w:val="24"/>
                <w:szCs w:val="24"/>
              </w:rPr>
            </w:pPr>
          </w:p>
        </w:tc>
        <w:tc>
          <w:tcPr>
            <w:tcW w:w="1930" w:type="dxa"/>
            <w:vMerge w:val="continue"/>
            <w:tcBorders>
              <w:top w:val="nil"/>
              <w:left w:val="single" w:color="000000" w:sz="6" w:space="0"/>
              <w:bottom w:val="single" w:color="000000" w:sz="6" w:space="0"/>
              <w:right w:val="single" w:color="000000" w:sz="6" w:space="0"/>
            </w:tcBorders>
          </w:tcPr>
          <w:p w14:paraId="1546A166">
            <w:pPr>
              <w:rPr>
                <w:rFonts w:hint="eastAsia" w:ascii="宋体" w:hAnsi="宋体"/>
                <w:sz w:val="24"/>
                <w:szCs w:val="24"/>
              </w:rPr>
            </w:pPr>
          </w:p>
        </w:tc>
        <w:tc>
          <w:tcPr>
            <w:tcW w:w="3881" w:type="dxa"/>
            <w:tcBorders>
              <w:top w:val="single" w:color="000000" w:sz="6" w:space="0"/>
              <w:left w:val="single" w:color="000000" w:sz="6" w:space="0"/>
              <w:bottom w:val="single" w:color="000000" w:sz="6" w:space="0"/>
              <w:right w:val="single" w:color="000000" w:sz="6" w:space="0"/>
            </w:tcBorders>
          </w:tcPr>
          <w:p w14:paraId="51AA7110">
            <w:pPr>
              <w:pStyle w:val="94"/>
              <w:spacing w:line="295" w:lineRule="exact"/>
              <w:ind w:left="104"/>
              <w:rPr>
                <w:rFonts w:hint="eastAsia"/>
                <w:sz w:val="24"/>
                <w:szCs w:val="24"/>
              </w:rPr>
            </w:pPr>
            <w:r>
              <w:rPr>
                <w:sz w:val="24"/>
                <w:szCs w:val="24"/>
              </w:rPr>
              <w:t>4.1.12 钢带轮断带保护。</w:t>
            </w:r>
          </w:p>
        </w:tc>
        <w:tc>
          <w:tcPr>
            <w:tcW w:w="2552" w:type="dxa"/>
            <w:tcBorders>
              <w:top w:val="single" w:color="000000" w:sz="6" w:space="0"/>
              <w:left w:val="single" w:color="000000" w:sz="6" w:space="0"/>
              <w:bottom w:val="single" w:color="000000" w:sz="6" w:space="0"/>
            </w:tcBorders>
          </w:tcPr>
          <w:p w14:paraId="12C056B2">
            <w:pPr>
              <w:pStyle w:val="94"/>
              <w:rPr>
                <w:rFonts w:hint="eastAsia"/>
                <w:sz w:val="24"/>
                <w:szCs w:val="24"/>
              </w:rPr>
            </w:pPr>
          </w:p>
        </w:tc>
      </w:tr>
      <w:tr w14:paraId="15CE19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135" w:type="dxa"/>
            <w:vMerge w:val="continue"/>
            <w:tcBorders>
              <w:top w:val="nil"/>
              <w:bottom w:val="single" w:color="000000" w:sz="6" w:space="0"/>
              <w:right w:val="single" w:color="000000" w:sz="6" w:space="0"/>
            </w:tcBorders>
          </w:tcPr>
          <w:p w14:paraId="33DC7458">
            <w:pPr>
              <w:rPr>
                <w:rFonts w:hint="eastAsia" w:ascii="宋体" w:hAnsi="宋体"/>
                <w:sz w:val="24"/>
                <w:szCs w:val="24"/>
              </w:rPr>
            </w:pPr>
          </w:p>
        </w:tc>
        <w:tc>
          <w:tcPr>
            <w:tcW w:w="1930" w:type="dxa"/>
            <w:vMerge w:val="continue"/>
            <w:tcBorders>
              <w:top w:val="nil"/>
              <w:left w:val="single" w:color="000000" w:sz="6" w:space="0"/>
              <w:bottom w:val="single" w:color="000000" w:sz="6" w:space="0"/>
              <w:right w:val="single" w:color="000000" w:sz="6" w:space="0"/>
            </w:tcBorders>
          </w:tcPr>
          <w:p w14:paraId="2B682E1C">
            <w:pPr>
              <w:rPr>
                <w:rFonts w:hint="eastAsia" w:ascii="宋体" w:hAnsi="宋体"/>
                <w:sz w:val="24"/>
                <w:szCs w:val="24"/>
              </w:rPr>
            </w:pPr>
          </w:p>
        </w:tc>
        <w:tc>
          <w:tcPr>
            <w:tcW w:w="3881" w:type="dxa"/>
            <w:tcBorders>
              <w:top w:val="single" w:color="000000" w:sz="6" w:space="0"/>
              <w:left w:val="single" w:color="000000" w:sz="6" w:space="0"/>
              <w:bottom w:val="single" w:color="000000" w:sz="6" w:space="0"/>
              <w:right w:val="single" w:color="000000" w:sz="6" w:space="0"/>
            </w:tcBorders>
          </w:tcPr>
          <w:p w14:paraId="56BDAF5A">
            <w:pPr>
              <w:pStyle w:val="94"/>
              <w:spacing w:line="295" w:lineRule="exact"/>
              <w:ind w:left="104"/>
              <w:rPr>
                <w:rFonts w:hint="eastAsia"/>
                <w:sz w:val="24"/>
                <w:szCs w:val="24"/>
              </w:rPr>
            </w:pPr>
            <w:r>
              <w:rPr>
                <w:sz w:val="24"/>
                <w:szCs w:val="24"/>
              </w:rPr>
              <w:t>4.1.13 限速器开关。</w:t>
            </w:r>
          </w:p>
        </w:tc>
        <w:tc>
          <w:tcPr>
            <w:tcW w:w="2552" w:type="dxa"/>
            <w:tcBorders>
              <w:top w:val="single" w:color="000000" w:sz="6" w:space="0"/>
              <w:left w:val="single" w:color="000000" w:sz="6" w:space="0"/>
              <w:bottom w:val="single" w:color="000000" w:sz="6" w:space="0"/>
            </w:tcBorders>
          </w:tcPr>
          <w:p w14:paraId="45FCFEF7">
            <w:pPr>
              <w:pStyle w:val="94"/>
              <w:rPr>
                <w:rFonts w:hint="eastAsia"/>
                <w:sz w:val="24"/>
                <w:szCs w:val="24"/>
              </w:rPr>
            </w:pPr>
          </w:p>
        </w:tc>
      </w:tr>
      <w:tr w14:paraId="00A0D2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135" w:type="dxa"/>
            <w:vMerge w:val="continue"/>
            <w:tcBorders>
              <w:top w:val="nil"/>
              <w:bottom w:val="single" w:color="000000" w:sz="6" w:space="0"/>
              <w:right w:val="single" w:color="000000" w:sz="6" w:space="0"/>
            </w:tcBorders>
          </w:tcPr>
          <w:p w14:paraId="1EB35B2C">
            <w:pPr>
              <w:rPr>
                <w:rFonts w:hint="eastAsia" w:ascii="宋体" w:hAnsi="宋体"/>
                <w:sz w:val="24"/>
                <w:szCs w:val="24"/>
              </w:rPr>
            </w:pPr>
          </w:p>
        </w:tc>
        <w:tc>
          <w:tcPr>
            <w:tcW w:w="1930" w:type="dxa"/>
            <w:vMerge w:val="continue"/>
            <w:tcBorders>
              <w:top w:val="nil"/>
              <w:left w:val="single" w:color="000000" w:sz="6" w:space="0"/>
              <w:bottom w:val="single" w:color="000000" w:sz="6" w:space="0"/>
              <w:right w:val="single" w:color="000000" w:sz="6" w:space="0"/>
            </w:tcBorders>
          </w:tcPr>
          <w:p w14:paraId="61BD6D44">
            <w:pPr>
              <w:rPr>
                <w:rFonts w:hint="eastAsia" w:ascii="宋体" w:hAnsi="宋体"/>
                <w:sz w:val="24"/>
                <w:szCs w:val="24"/>
              </w:rPr>
            </w:pPr>
          </w:p>
        </w:tc>
        <w:tc>
          <w:tcPr>
            <w:tcW w:w="3881" w:type="dxa"/>
            <w:tcBorders>
              <w:top w:val="single" w:color="000000" w:sz="6" w:space="0"/>
              <w:left w:val="single" w:color="000000" w:sz="6" w:space="0"/>
              <w:bottom w:val="single" w:color="000000" w:sz="6" w:space="0"/>
              <w:right w:val="single" w:color="000000" w:sz="6" w:space="0"/>
            </w:tcBorders>
          </w:tcPr>
          <w:p w14:paraId="3B15B214">
            <w:pPr>
              <w:pStyle w:val="94"/>
              <w:spacing w:line="295" w:lineRule="exact"/>
              <w:ind w:left="104"/>
              <w:rPr>
                <w:rFonts w:hint="eastAsia"/>
                <w:sz w:val="24"/>
                <w:szCs w:val="24"/>
              </w:rPr>
            </w:pPr>
            <w:r>
              <w:rPr>
                <w:sz w:val="24"/>
                <w:szCs w:val="24"/>
              </w:rPr>
              <w:t>4.1.14 紧急停止按钮。</w:t>
            </w:r>
          </w:p>
        </w:tc>
        <w:tc>
          <w:tcPr>
            <w:tcW w:w="2552" w:type="dxa"/>
            <w:tcBorders>
              <w:top w:val="single" w:color="000000" w:sz="6" w:space="0"/>
              <w:left w:val="single" w:color="000000" w:sz="6" w:space="0"/>
              <w:bottom w:val="single" w:color="000000" w:sz="6" w:space="0"/>
            </w:tcBorders>
          </w:tcPr>
          <w:p w14:paraId="4A5D8414">
            <w:pPr>
              <w:pStyle w:val="94"/>
              <w:rPr>
                <w:rFonts w:hint="eastAsia"/>
                <w:sz w:val="24"/>
                <w:szCs w:val="24"/>
              </w:rPr>
            </w:pPr>
          </w:p>
        </w:tc>
      </w:tr>
      <w:tr w14:paraId="69C696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0" w:hRule="atLeast"/>
        </w:trPr>
        <w:tc>
          <w:tcPr>
            <w:tcW w:w="1135" w:type="dxa"/>
            <w:vMerge w:val="continue"/>
            <w:tcBorders>
              <w:top w:val="nil"/>
              <w:bottom w:val="single" w:color="000000" w:sz="6" w:space="0"/>
              <w:right w:val="single" w:color="000000" w:sz="6" w:space="0"/>
            </w:tcBorders>
          </w:tcPr>
          <w:p w14:paraId="34C3CCA7">
            <w:pPr>
              <w:rPr>
                <w:rFonts w:hint="eastAsia" w:ascii="宋体" w:hAnsi="宋体"/>
                <w:sz w:val="24"/>
                <w:szCs w:val="24"/>
              </w:rPr>
            </w:pPr>
          </w:p>
        </w:tc>
        <w:tc>
          <w:tcPr>
            <w:tcW w:w="1930" w:type="dxa"/>
            <w:vMerge w:val="continue"/>
            <w:tcBorders>
              <w:top w:val="nil"/>
              <w:left w:val="single" w:color="000000" w:sz="6" w:space="0"/>
              <w:bottom w:val="single" w:color="000000" w:sz="6" w:space="0"/>
              <w:right w:val="single" w:color="000000" w:sz="6" w:space="0"/>
            </w:tcBorders>
          </w:tcPr>
          <w:p w14:paraId="568EF5C3">
            <w:pPr>
              <w:rPr>
                <w:rFonts w:hint="eastAsia" w:ascii="宋体" w:hAnsi="宋体"/>
                <w:sz w:val="24"/>
                <w:szCs w:val="24"/>
              </w:rPr>
            </w:pPr>
          </w:p>
        </w:tc>
        <w:tc>
          <w:tcPr>
            <w:tcW w:w="3881" w:type="dxa"/>
            <w:tcBorders>
              <w:top w:val="single" w:color="000000" w:sz="6" w:space="0"/>
              <w:left w:val="single" w:color="000000" w:sz="6" w:space="0"/>
              <w:bottom w:val="single" w:color="000000" w:sz="6" w:space="0"/>
              <w:right w:val="single" w:color="000000" w:sz="6" w:space="0"/>
            </w:tcBorders>
          </w:tcPr>
          <w:p w14:paraId="4577300A">
            <w:pPr>
              <w:pStyle w:val="94"/>
              <w:spacing w:line="280" w:lineRule="exact"/>
              <w:ind w:left="104"/>
              <w:rPr>
                <w:rFonts w:hint="eastAsia"/>
                <w:sz w:val="24"/>
                <w:szCs w:val="24"/>
              </w:rPr>
            </w:pPr>
            <w:r>
              <w:rPr>
                <w:sz w:val="24"/>
                <w:szCs w:val="24"/>
              </w:rPr>
              <w:t>4.1.15 安全窗户。</w:t>
            </w:r>
          </w:p>
        </w:tc>
        <w:tc>
          <w:tcPr>
            <w:tcW w:w="2552" w:type="dxa"/>
            <w:tcBorders>
              <w:top w:val="single" w:color="000000" w:sz="6" w:space="0"/>
              <w:left w:val="single" w:color="000000" w:sz="6" w:space="0"/>
              <w:bottom w:val="single" w:color="000000" w:sz="6" w:space="0"/>
            </w:tcBorders>
          </w:tcPr>
          <w:p w14:paraId="087ACAE6">
            <w:pPr>
              <w:pStyle w:val="94"/>
              <w:rPr>
                <w:rFonts w:hint="eastAsia"/>
                <w:sz w:val="24"/>
                <w:szCs w:val="24"/>
              </w:rPr>
            </w:pPr>
          </w:p>
        </w:tc>
      </w:tr>
      <w:tr w14:paraId="5E49DD6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135" w:type="dxa"/>
            <w:vMerge w:val="continue"/>
            <w:tcBorders>
              <w:top w:val="nil"/>
              <w:bottom w:val="single" w:color="000000" w:sz="6" w:space="0"/>
              <w:right w:val="single" w:color="000000" w:sz="6" w:space="0"/>
            </w:tcBorders>
          </w:tcPr>
          <w:p w14:paraId="027BEDCE">
            <w:pPr>
              <w:rPr>
                <w:rFonts w:hint="eastAsia" w:ascii="宋体" w:hAnsi="宋体"/>
                <w:sz w:val="24"/>
                <w:szCs w:val="24"/>
              </w:rPr>
            </w:pPr>
          </w:p>
        </w:tc>
        <w:tc>
          <w:tcPr>
            <w:tcW w:w="1930" w:type="dxa"/>
            <w:vMerge w:val="restart"/>
            <w:tcBorders>
              <w:top w:val="single" w:color="000000" w:sz="6" w:space="0"/>
              <w:left w:val="single" w:color="000000" w:sz="6" w:space="0"/>
              <w:bottom w:val="single" w:color="000000" w:sz="6" w:space="0"/>
              <w:right w:val="single" w:color="000000" w:sz="6" w:space="0"/>
            </w:tcBorders>
          </w:tcPr>
          <w:p w14:paraId="675EA6D0">
            <w:pPr>
              <w:pStyle w:val="94"/>
              <w:spacing w:before="1" w:line="244" w:lineRule="auto"/>
              <w:ind w:left="119" w:right="43"/>
              <w:rPr>
                <w:rFonts w:hint="eastAsia"/>
                <w:sz w:val="24"/>
                <w:szCs w:val="24"/>
              </w:rPr>
            </w:pPr>
            <w:r>
              <w:rPr>
                <w:sz w:val="24"/>
                <w:szCs w:val="24"/>
              </w:rPr>
              <w:t>4.2 机械安全装置</w:t>
            </w:r>
          </w:p>
          <w:p w14:paraId="3532757F">
            <w:pPr>
              <w:pStyle w:val="94"/>
              <w:spacing w:before="3" w:line="280" w:lineRule="exact"/>
              <w:ind w:left="119"/>
              <w:rPr>
                <w:rFonts w:hint="eastAsia"/>
                <w:sz w:val="24"/>
                <w:szCs w:val="24"/>
              </w:rPr>
            </w:pPr>
            <w:r>
              <w:rPr>
                <w:sz w:val="24"/>
                <w:szCs w:val="24"/>
              </w:rPr>
              <w:t>要 求</w:t>
            </w:r>
          </w:p>
        </w:tc>
        <w:tc>
          <w:tcPr>
            <w:tcW w:w="3881" w:type="dxa"/>
            <w:tcBorders>
              <w:top w:val="single" w:color="000000" w:sz="6" w:space="0"/>
              <w:left w:val="single" w:color="000000" w:sz="6" w:space="0"/>
              <w:bottom w:val="single" w:color="000000" w:sz="6" w:space="0"/>
              <w:right w:val="single" w:color="000000" w:sz="6" w:space="0"/>
            </w:tcBorders>
          </w:tcPr>
          <w:p w14:paraId="6BD2643F">
            <w:pPr>
              <w:pStyle w:val="94"/>
              <w:spacing w:line="296" w:lineRule="exact"/>
              <w:ind w:left="104"/>
              <w:rPr>
                <w:rFonts w:hint="eastAsia"/>
                <w:sz w:val="24"/>
                <w:szCs w:val="24"/>
              </w:rPr>
            </w:pPr>
            <w:r>
              <w:rPr>
                <w:sz w:val="24"/>
                <w:szCs w:val="24"/>
              </w:rPr>
              <w:t>4.2.1 缓冲器。</w:t>
            </w:r>
          </w:p>
        </w:tc>
        <w:tc>
          <w:tcPr>
            <w:tcW w:w="2552" w:type="dxa"/>
            <w:tcBorders>
              <w:top w:val="single" w:color="000000" w:sz="6" w:space="0"/>
              <w:left w:val="single" w:color="000000" w:sz="6" w:space="0"/>
              <w:bottom w:val="single" w:color="000000" w:sz="6" w:space="0"/>
            </w:tcBorders>
          </w:tcPr>
          <w:p w14:paraId="015CC04C">
            <w:pPr>
              <w:pStyle w:val="94"/>
              <w:rPr>
                <w:rFonts w:hint="eastAsia"/>
                <w:sz w:val="24"/>
                <w:szCs w:val="24"/>
              </w:rPr>
            </w:pPr>
          </w:p>
        </w:tc>
      </w:tr>
      <w:tr w14:paraId="62CCFF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135" w:type="dxa"/>
            <w:vMerge w:val="continue"/>
            <w:tcBorders>
              <w:top w:val="nil"/>
              <w:bottom w:val="single" w:color="000000" w:sz="6" w:space="0"/>
              <w:right w:val="single" w:color="000000" w:sz="6" w:space="0"/>
            </w:tcBorders>
          </w:tcPr>
          <w:p w14:paraId="52BEADCD">
            <w:pPr>
              <w:rPr>
                <w:rFonts w:hint="eastAsia" w:ascii="宋体" w:hAnsi="宋体"/>
                <w:sz w:val="24"/>
                <w:szCs w:val="24"/>
              </w:rPr>
            </w:pPr>
          </w:p>
        </w:tc>
        <w:tc>
          <w:tcPr>
            <w:tcW w:w="1930" w:type="dxa"/>
            <w:vMerge w:val="continue"/>
            <w:tcBorders>
              <w:top w:val="nil"/>
              <w:left w:val="single" w:color="000000" w:sz="6" w:space="0"/>
              <w:bottom w:val="single" w:color="000000" w:sz="6" w:space="0"/>
              <w:right w:val="single" w:color="000000" w:sz="6" w:space="0"/>
            </w:tcBorders>
          </w:tcPr>
          <w:p w14:paraId="781E756D">
            <w:pPr>
              <w:rPr>
                <w:rFonts w:hint="eastAsia" w:ascii="宋体" w:hAnsi="宋体"/>
                <w:sz w:val="24"/>
                <w:szCs w:val="24"/>
              </w:rPr>
            </w:pPr>
          </w:p>
        </w:tc>
        <w:tc>
          <w:tcPr>
            <w:tcW w:w="3881" w:type="dxa"/>
            <w:tcBorders>
              <w:top w:val="single" w:color="000000" w:sz="6" w:space="0"/>
              <w:left w:val="single" w:color="000000" w:sz="6" w:space="0"/>
              <w:bottom w:val="single" w:color="000000" w:sz="6" w:space="0"/>
              <w:right w:val="single" w:color="000000" w:sz="6" w:space="0"/>
            </w:tcBorders>
          </w:tcPr>
          <w:p w14:paraId="438BBC47">
            <w:pPr>
              <w:pStyle w:val="94"/>
              <w:spacing w:line="295" w:lineRule="exact"/>
              <w:ind w:left="104"/>
              <w:rPr>
                <w:rFonts w:hint="eastAsia"/>
                <w:sz w:val="24"/>
                <w:szCs w:val="24"/>
              </w:rPr>
            </w:pPr>
            <w:r>
              <w:rPr>
                <w:sz w:val="24"/>
                <w:szCs w:val="24"/>
              </w:rPr>
              <w:t>4.2.2 安全钳。</w:t>
            </w:r>
          </w:p>
        </w:tc>
        <w:tc>
          <w:tcPr>
            <w:tcW w:w="2552" w:type="dxa"/>
            <w:tcBorders>
              <w:top w:val="single" w:color="000000" w:sz="6" w:space="0"/>
              <w:left w:val="single" w:color="000000" w:sz="6" w:space="0"/>
              <w:bottom w:val="single" w:color="000000" w:sz="6" w:space="0"/>
            </w:tcBorders>
          </w:tcPr>
          <w:p w14:paraId="62C2B600">
            <w:pPr>
              <w:pStyle w:val="94"/>
              <w:rPr>
                <w:rFonts w:hint="eastAsia"/>
                <w:sz w:val="24"/>
                <w:szCs w:val="24"/>
              </w:rPr>
            </w:pPr>
          </w:p>
        </w:tc>
      </w:tr>
      <w:tr w14:paraId="5326846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1135" w:type="dxa"/>
            <w:vMerge w:val="continue"/>
            <w:tcBorders>
              <w:top w:val="nil"/>
              <w:bottom w:val="single" w:color="000000" w:sz="6" w:space="0"/>
              <w:right w:val="single" w:color="000000" w:sz="6" w:space="0"/>
            </w:tcBorders>
          </w:tcPr>
          <w:p w14:paraId="6D6F17B7">
            <w:pPr>
              <w:rPr>
                <w:rFonts w:hint="eastAsia" w:ascii="宋体" w:hAnsi="宋体"/>
                <w:sz w:val="24"/>
                <w:szCs w:val="24"/>
              </w:rPr>
            </w:pPr>
          </w:p>
        </w:tc>
        <w:tc>
          <w:tcPr>
            <w:tcW w:w="1930" w:type="dxa"/>
            <w:vMerge w:val="continue"/>
            <w:tcBorders>
              <w:top w:val="nil"/>
              <w:left w:val="single" w:color="000000" w:sz="6" w:space="0"/>
              <w:bottom w:val="single" w:color="000000" w:sz="6" w:space="0"/>
              <w:right w:val="single" w:color="000000" w:sz="6" w:space="0"/>
            </w:tcBorders>
          </w:tcPr>
          <w:p w14:paraId="59EDA6A3">
            <w:pPr>
              <w:rPr>
                <w:rFonts w:hint="eastAsia" w:ascii="宋体" w:hAnsi="宋体"/>
                <w:sz w:val="24"/>
                <w:szCs w:val="24"/>
              </w:rPr>
            </w:pPr>
          </w:p>
        </w:tc>
        <w:tc>
          <w:tcPr>
            <w:tcW w:w="3881" w:type="dxa"/>
            <w:tcBorders>
              <w:top w:val="single" w:color="000000" w:sz="6" w:space="0"/>
              <w:left w:val="single" w:color="000000" w:sz="6" w:space="0"/>
              <w:bottom w:val="single" w:color="000000" w:sz="6" w:space="0"/>
              <w:right w:val="single" w:color="000000" w:sz="6" w:space="0"/>
            </w:tcBorders>
          </w:tcPr>
          <w:p w14:paraId="0D1EAF6F">
            <w:pPr>
              <w:pStyle w:val="94"/>
              <w:spacing w:before="135"/>
              <w:ind w:left="104"/>
              <w:rPr>
                <w:rFonts w:hint="eastAsia"/>
                <w:sz w:val="24"/>
                <w:szCs w:val="24"/>
              </w:rPr>
            </w:pPr>
            <w:r>
              <w:rPr>
                <w:sz w:val="24"/>
                <w:szCs w:val="24"/>
              </w:rPr>
              <w:t>4.2.3 紧急停止按钮</w:t>
            </w:r>
          </w:p>
        </w:tc>
        <w:tc>
          <w:tcPr>
            <w:tcW w:w="2552" w:type="dxa"/>
            <w:tcBorders>
              <w:top w:val="single" w:color="000000" w:sz="6" w:space="0"/>
              <w:left w:val="single" w:color="000000" w:sz="6" w:space="0"/>
              <w:bottom w:val="single" w:color="000000" w:sz="6" w:space="0"/>
            </w:tcBorders>
          </w:tcPr>
          <w:p w14:paraId="6D3CDE3C">
            <w:pPr>
              <w:pStyle w:val="94"/>
              <w:rPr>
                <w:rFonts w:hint="eastAsia"/>
                <w:sz w:val="24"/>
                <w:szCs w:val="24"/>
              </w:rPr>
            </w:pPr>
          </w:p>
        </w:tc>
      </w:tr>
      <w:tr w14:paraId="5EA055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8" w:hRule="atLeast"/>
        </w:trPr>
        <w:tc>
          <w:tcPr>
            <w:tcW w:w="3065" w:type="dxa"/>
            <w:gridSpan w:val="2"/>
            <w:vMerge w:val="restart"/>
            <w:tcBorders>
              <w:top w:val="single" w:color="000000" w:sz="6" w:space="0"/>
              <w:right w:val="single" w:color="000000" w:sz="6" w:space="0"/>
            </w:tcBorders>
          </w:tcPr>
          <w:p w14:paraId="07B15C53">
            <w:pPr>
              <w:pStyle w:val="94"/>
              <w:spacing w:before="5"/>
              <w:rPr>
                <w:rFonts w:hint="eastAsia"/>
                <w:sz w:val="24"/>
                <w:szCs w:val="24"/>
              </w:rPr>
            </w:pPr>
          </w:p>
          <w:p w14:paraId="3A2FA2E3">
            <w:pPr>
              <w:pStyle w:val="94"/>
              <w:spacing w:line="247" w:lineRule="auto"/>
              <w:ind w:left="105" w:right="105"/>
              <w:rPr>
                <w:rFonts w:hint="eastAsia"/>
                <w:sz w:val="24"/>
                <w:szCs w:val="24"/>
              </w:rPr>
            </w:pPr>
            <w:r>
              <w:rPr>
                <w:sz w:val="24"/>
                <w:szCs w:val="24"/>
              </w:rPr>
              <w:t>5、电梯具备的安全保护功能要求</w:t>
            </w:r>
          </w:p>
        </w:tc>
        <w:tc>
          <w:tcPr>
            <w:tcW w:w="3881" w:type="dxa"/>
            <w:tcBorders>
              <w:top w:val="single" w:color="000000" w:sz="6" w:space="0"/>
              <w:left w:val="single" w:color="000000" w:sz="6" w:space="0"/>
              <w:bottom w:val="single" w:color="000000" w:sz="6" w:space="0"/>
              <w:right w:val="single" w:color="000000" w:sz="6" w:space="0"/>
            </w:tcBorders>
          </w:tcPr>
          <w:p w14:paraId="5088A3EC">
            <w:pPr>
              <w:pStyle w:val="94"/>
              <w:spacing w:line="288" w:lineRule="exact"/>
              <w:ind w:left="104"/>
              <w:rPr>
                <w:rFonts w:hint="eastAsia"/>
                <w:sz w:val="24"/>
                <w:szCs w:val="24"/>
              </w:rPr>
            </w:pPr>
            <w:r>
              <w:rPr>
                <w:sz w:val="24"/>
                <w:szCs w:val="24"/>
              </w:rPr>
              <w:t>5.1 故障自我诊断、报警、预报功能。</w:t>
            </w:r>
          </w:p>
        </w:tc>
        <w:tc>
          <w:tcPr>
            <w:tcW w:w="2552" w:type="dxa"/>
            <w:tcBorders>
              <w:top w:val="single" w:color="000000" w:sz="6" w:space="0"/>
              <w:left w:val="single" w:color="000000" w:sz="6" w:space="0"/>
              <w:bottom w:val="single" w:color="000000" w:sz="6" w:space="0"/>
            </w:tcBorders>
          </w:tcPr>
          <w:p w14:paraId="25057D30">
            <w:pPr>
              <w:pStyle w:val="94"/>
              <w:rPr>
                <w:rFonts w:hint="eastAsia"/>
                <w:sz w:val="24"/>
                <w:szCs w:val="24"/>
              </w:rPr>
            </w:pPr>
          </w:p>
        </w:tc>
      </w:tr>
      <w:tr w14:paraId="41663D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0" w:hRule="atLeast"/>
        </w:trPr>
        <w:tc>
          <w:tcPr>
            <w:tcW w:w="3065" w:type="dxa"/>
            <w:gridSpan w:val="2"/>
            <w:vMerge w:val="continue"/>
            <w:tcBorders>
              <w:top w:val="nil"/>
              <w:right w:val="single" w:color="000000" w:sz="6" w:space="0"/>
            </w:tcBorders>
          </w:tcPr>
          <w:p w14:paraId="480A8DF9">
            <w:pPr>
              <w:rPr>
                <w:rFonts w:hint="eastAsia" w:ascii="宋体" w:hAnsi="宋体"/>
                <w:sz w:val="24"/>
                <w:szCs w:val="24"/>
              </w:rPr>
            </w:pPr>
          </w:p>
        </w:tc>
        <w:tc>
          <w:tcPr>
            <w:tcW w:w="3881" w:type="dxa"/>
            <w:tcBorders>
              <w:top w:val="single" w:color="000000" w:sz="6" w:space="0"/>
              <w:left w:val="single" w:color="000000" w:sz="6" w:space="0"/>
              <w:bottom w:val="single" w:color="000000" w:sz="6" w:space="0"/>
              <w:right w:val="single" w:color="000000" w:sz="6" w:space="0"/>
            </w:tcBorders>
          </w:tcPr>
          <w:p w14:paraId="57F55402">
            <w:pPr>
              <w:pStyle w:val="94"/>
              <w:spacing w:line="280" w:lineRule="exact"/>
              <w:ind w:left="104"/>
              <w:rPr>
                <w:rFonts w:hint="eastAsia"/>
                <w:sz w:val="24"/>
                <w:szCs w:val="24"/>
              </w:rPr>
            </w:pPr>
            <w:r>
              <w:rPr>
                <w:sz w:val="24"/>
                <w:szCs w:val="24"/>
              </w:rPr>
              <w:t>5.2 关门保护采用光幕保护装置。</w:t>
            </w:r>
          </w:p>
        </w:tc>
        <w:tc>
          <w:tcPr>
            <w:tcW w:w="2552" w:type="dxa"/>
            <w:tcBorders>
              <w:top w:val="single" w:color="000000" w:sz="6" w:space="0"/>
              <w:left w:val="single" w:color="000000" w:sz="6" w:space="0"/>
              <w:bottom w:val="single" w:color="000000" w:sz="6" w:space="0"/>
            </w:tcBorders>
          </w:tcPr>
          <w:p w14:paraId="79A4C6A9">
            <w:pPr>
              <w:pStyle w:val="94"/>
              <w:rPr>
                <w:rFonts w:hint="eastAsia"/>
                <w:sz w:val="24"/>
                <w:szCs w:val="24"/>
              </w:rPr>
            </w:pPr>
          </w:p>
        </w:tc>
      </w:tr>
      <w:tr w14:paraId="38B6AB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0" w:hRule="atLeast"/>
        </w:trPr>
        <w:tc>
          <w:tcPr>
            <w:tcW w:w="3065" w:type="dxa"/>
            <w:gridSpan w:val="2"/>
            <w:vMerge w:val="continue"/>
            <w:tcBorders>
              <w:top w:val="nil"/>
              <w:right w:val="single" w:color="000000" w:sz="6" w:space="0"/>
            </w:tcBorders>
          </w:tcPr>
          <w:p w14:paraId="0A5FA2CC">
            <w:pPr>
              <w:rPr>
                <w:rFonts w:hint="eastAsia" w:ascii="宋体" w:hAnsi="宋体"/>
                <w:sz w:val="24"/>
                <w:szCs w:val="24"/>
              </w:rPr>
            </w:pPr>
          </w:p>
        </w:tc>
        <w:tc>
          <w:tcPr>
            <w:tcW w:w="3881" w:type="dxa"/>
            <w:tcBorders>
              <w:top w:val="single" w:color="000000" w:sz="6" w:space="0"/>
              <w:left w:val="single" w:color="000000" w:sz="6" w:space="0"/>
              <w:bottom w:val="single" w:color="000000" w:sz="6" w:space="0"/>
              <w:right w:val="single" w:color="000000" w:sz="6" w:space="0"/>
            </w:tcBorders>
          </w:tcPr>
          <w:p w14:paraId="11F53458">
            <w:pPr>
              <w:pStyle w:val="94"/>
              <w:spacing w:line="280" w:lineRule="exact"/>
              <w:ind w:left="104"/>
              <w:rPr>
                <w:rFonts w:hint="eastAsia"/>
                <w:sz w:val="24"/>
                <w:szCs w:val="24"/>
              </w:rPr>
            </w:pPr>
            <w:r>
              <w:rPr>
                <w:sz w:val="24"/>
                <w:szCs w:val="24"/>
              </w:rPr>
              <w:t>5.3 超/失速保护。</w:t>
            </w:r>
          </w:p>
        </w:tc>
        <w:tc>
          <w:tcPr>
            <w:tcW w:w="2552" w:type="dxa"/>
            <w:tcBorders>
              <w:top w:val="single" w:color="000000" w:sz="6" w:space="0"/>
              <w:left w:val="single" w:color="000000" w:sz="6" w:space="0"/>
              <w:bottom w:val="single" w:color="000000" w:sz="6" w:space="0"/>
            </w:tcBorders>
          </w:tcPr>
          <w:p w14:paraId="06E5CB58">
            <w:pPr>
              <w:pStyle w:val="94"/>
              <w:rPr>
                <w:rFonts w:hint="eastAsia"/>
                <w:sz w:val="24"/>
                <w:szCs w:val="24"/>
              </w:rPr>
            </w:pPr>
          </w:p>
        </w:tc>
      </w:tr>
      <w:tr w14:paraId="34CEE8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0" w:hRule="atLeast"/>
        </w:trPr>
        <w:tc>
          <w:tcPr>
            <w:tcW w:w="3065" w:type="dxa"/>
            <w:gridSpan w:val="2"/>
            <w:vMerge w:val="continue"/>
            <w:tcBorders>
              <w:top w:val="nil"/>
              <w:right w:val="single" w:color="000000" w:sz="6" w:space="0"/>
            </w:tcBorders>
          </w:tcPr>
          <w:p w14:paraId="52D8D1B2">
            <w:pPr>
              <w:rPr>
                <w:rFonts w:hint="eastAsia" w:ascii="宋体" w:hAnsi="宋体"/>
                <w:sz w:val="24"/>
                <w:szCs w:val="24"/>
              </w:rPr>
            </w:pPr>
          </w:p>
        </w:tc>
        <w:tc>
          <w:tcPr>
            <w:tcW w:w="3881" w:type="dxa"/>
            <w:tcBorders>
              <w:top w:val="single" w:color="000000" w:sz="6" w:space="0"/>
              <w:left w:val="single" w:color="000000" w:sz="6" w:space="0"/>
              <w:bottom w:val="single" w:color="000000" w:sz="6" w:space="0"/>
              <w:right w:val="single" w:color="000000" w:sz="6" w:space="0"/>
            </w:tcBorders>
          </w:tcPr>
          <w:p w14:paraId="62F17B5E">
            <w:pPr>
              <w:pStyle w:val="94"/>
              <w:spacing w:line="280" w:lineRule="exact"/>
              <w:ind w:left="104"/>
              <w:rPr>
                <w:rFonts w:hint="eastAsia"/>
                <w:sz w:val="24"/>
                <w:szCs w:val="24"/>
              </w:rPr>
            </w:pPr>
            <w:r>
              <w:rPr>
                <w:sz w:val="24"/>
                <w:szCs w:val="24"/>
              </w:rPr>
              <w:t>5.4 轿厢警铃。</w:t>
            </w:r>
          </w:p>
        </w:tc>
        <w:tc>
          <w:tcPr>
            <w:tcW w:w="2552" w:type="dxa"/>
            <w:tcBorders>
              <w:top w:val="single" w:color="000000" w:sz="6" w:space="0"/>
              <w:left w:val="single" w:color="000000" w:sz="6" w:space="0"/>
              <w:bottom w:val="single" w:color="000000" w:sz="6" w:space="0"/>
            </w:tcBorders>
          </w:tcPr>
          <w:p w14:paraId="6516BFF4">
            <w:pPr>
              <w:pStyle w:val="94"/>
              <w:rPr>
                <w:rFonts w:hint="eastAsia"/>
                <w:sz w:val="24"/>
                <w:szCs w:val="24"/>
              </w:rPr>
            </w:pPr>
          </w:p>
        </w:tc>
      </w:tr>
      <w:tr w14:paraId="4CC7FB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3" w:hRule="atLeast"/>
        </w:trPr>
        <w:tc>
          <w:tcPr>
            <w:tcW w:w="3065" w:type="dxa"/>
            <w:gridSpan w:val="2"/>
            <w:vMerge w:val="continue"/>
            <w:tcBorders>
              <w:top w:val="nil"/>
              <w:right w:val="single" w:color="000000" w:sz="6" w:space="0"/>
            </w:tcBorders>
          </w:tcPr>
          <w:p w14:paraId="00C12A6A">
            <w:pPr>
              <w:rPr>
                <w:rFonts w:hint="eastAsia" w:ascii="宋体" w:hAnsi="宋体"/>
                <w:sz w:val="24"/>
                <w:szCs w:val="24"/>
              </w:rPr>
            </w:pPr>
          </w:p>
        </w:tc>
        <w:tc>
          <w:tcPr>
            <w:tcW w:w="3881" w:type="dxa"/>
            <w:tcBorders>
              <w:top w:val="single" w:color="000000" w:sz="6" w:space="0"/>
              <w:left w:val="single" w:color="000000" w:sz="6" w:space="0"/>
              <w:right w:val="single" w:color="000000" w:sz="6" w:space="0"/>
            </w:tcBorders>
          </w:tcPr>
          <w:p w14:paraId="0D84D7C3">
            <w:pPr>
              <w:pStyle w:val="94"/>
              <w:spacing w:line="273" w:lineRule="exact"/>
              <w:ind w:left="104"/>
              <w:rPr>
                <w:rFonts w:hint="eastAsia"/>
                <w:sz w:val="24"/>
                <w:szCs w:val="24"/>
              </w:rPr>
            </w:pPr>
            <w:r>
              <w:rPr>
                <w:sz w:val="24"/>
                <w:szCs w:val="24"/>
              </w:rPr>
              <w:t>5.5 轿顶检修安全保护。</w:t>
            </w:r>
          </w:p>
        </w:tc>
        <w:tc>
          <w:tcPr>
            <w:tcW w:w="2552" w:type="dxa"/>
            <w:tcBorders>
              <w:top w:val="single" w:color="000000" w:sz="6" w:space="0"/>
              <w:left w:val="single" w:color="000000" w:sz="6" w:space="0"/>
            </w:tcBorders>
          </w:tcPr>
          <w:p w14:paraId="3C56109C">
            <w:pPr>
              <w:pStyle w:val="94"/>
              <w:rPr>
                <w:rFonts w:hint="eastAsia"/>
                <w:sz w:val="24"/>
                <w:szCs w:val="24"/>
              </w:rPr>
            </w:pPr>
          </w:p>
        </w:tc>
      </w:tr>
    </w:tbl>
    <w:p w14:paraId="26B081A6">
      <w:pPr>
        <w:spacing w:line="360" w:lineRule="auto"/>
        <w:rPr>
          <w:rFonts w:hint="eastAsia" w:hAnsi="宋体" w:cs="仿宋"/>
        </w:rPr>
      </w:pPr>
    </w:p>
    <w:sectPr>
      <w:headerReference r:id="rId7" w:type="default"/>
      <w:footerReference r:id="rId8" w:type="default"/>
      <w:pgSz w:w="11906" w:h="16838"/>
      <w:pgMar w:top="1134" w:right="1134" w:bottom="1134" w:left="1559" w:header="851" w:footer="992" w:gutter="0"/>
      <w:pgNumType w:start="7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2DCBC">
    <w:pPr>
      <w:pStyle w:val="21"/>
      <w:framePr w:wrap="around" w:vAnchor="text" w:hAnchor="margin" w:xAlign="center" w:y="1"/>
      <w:rPr>
        <w:rStyle w:val="35"/>
      </w:rPr>
    </w:pPr>
    <w:r>
      <w:fldChar w:fldCharType="begin"/>
    </w:r>
    <w:r>
      <w:rPr>
        <w:rStyle w:val="35"/>
      </w:rPr>
      <w:instrText xml:space="preserve">PAGE  </w:instrText>
    </w:r>
    <w:r>
      <w:fldChar w:fldCharType="separate"/>
    </w:r>
    <w:r>
      <w:rPr>
        <w:rStyle w:val="35"/>
      </w:rPr>
      <w:t>20</w:t>
    </w:r>
    <w:r>
      <w:fldChar w:fldCharType="end"/>
    </w:r>
  </w:p>
  <w:p w14:paraId="55FB070A">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80D3B">
    <w:pPr>
      <w:pStyle w:val="21"/>
      <w:framePr w:wrap="around" w:vAnchor="text" w:hAnchor="margin" w:xAlign="center" w:y="1"/>
      <w:rPr>
        <w:rStyle w:val="35"/>
      </w:rPr>
    </w:pPr>
    <w:r>
      <w:fldChar w:fldCharType="begin"/>
    </w:r>
    <w:r>
      <w:rPr>
        <w:rStyle w:val="35"/>
      </w:rPr>
      <w:instrText xml:space="preserve">PAGE  </w:instrText>
    </w:r>
    <w:r>
      <w:fldChar w:fldCharType="separate"/>
    </w:r>
    <w:r>
      <w:rPr>
        <w:rStyle w:val="35"/>
      </w:rPr>
      <w:t>45</w:t>
    </w:r>
    <w:r>
      <w:fldChar w:fldCharType="end"/>
    </w:r>
  </w:p>
  <w:p w14:paraId="5D40616E">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36AA1">
    <w:pPr>
      <w:pStyle w:val="21"/>
      <w:jc w:val="right"/>
    </w:pPr>
    <w:r>
      <w:fldChar w:fldCharType="begin"/>
    </w:r>
    <w:r>
      <w:rPr>
        <w:rStyle w:val="35"/>
      </w:rPr>
      <w:instrText xml:space="preserve"> PAGE </w:instrText>
    </w:r>
    <w:r>
      <w:fldChar w:fldCharType="separate"/>
    </w:r>
    <w:r>
      <w:rPr>
        <w:rStyle w:val="35"/>
      </w:rPr>
      <w:t>53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5AE9E">
    <w:pPr>
      <w:pStyle w:val="21"/>
      <w:framePr w:wrap="around" w:vAnchor="text" w:hAnchor="margin" w:xAlign="center" w:y="1"/>
      <w:rPr>
        <w:rStyle w:val="35"/>
      </w:rPr>
    </w:pPr>
    <w:r>
      <w:fldChar w:fldCharType="begin"/>
    </w:r>
    <w:r>
      <w:rPr>
        <w:rStyle w:val="35"/>
      </w:rPr>
      <w:instrText xml:space="preserve">PAGE  </w:instrText>
    </w:r>
    <w:r>
      <w:fldChar w:fldCharType="separate"/>
    </w:r>
    <w:r>
      <w:rPr>
        <w:rStyle w:val="35"/>
      </w:rPr>
      <w:t>73</w:t>
    </w:r>
    <w:r>
      <w:fldChar w:fldCharType="end"/>
    </w:r>
  </w:p>
  <w:p w14:paraId="32C8CBED">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0A898">
    <w:pPr>
      <w:pStyle w:val="22"/>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F0FEB">
    <w:pPr>
      <w:pStyle w:val="2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51"/>
    <w:rsid w:val="0000075F"/>
    <w:rsid w:val="00000CF0"/>
    <w:rsid w:val="00001A00"/>
    <w:rsid w:val="0000359D"/>
    <w:rsid w:val="00004942"/>
    <w:rsid w:val="00005BA0"/>
    <w:rsid w:val="00005D98"/>
    <w:rsid w:val="00006C8C"/>
    <w:rsid w:val="00007D9B"/>
    <w:rsid w:val="00007EBC"/>
    <w:rsid w:val="00011796"/>
    <w:rsid w:val="00011C82"/>
    <w:rsid w:val="0001247F"/>
    <w:rsid w:val="00012507"/>
    <w:rsid w:val="000144C4"/>
    <w:rsid w:val="000147E8"/>
    <w:rsid w:val="000149BC"/>
    <w:rsid w:val="00015E4E"/>
    <w:rsid w:val="00016ED7"/>
    <w:rsid w:val="00017527"/>
    <w:rsid w:val="00020126"/>
    <w:rsid w:val="00022CCE"/>
    <w:rsid w:val="0002343A"/>
    <w:rsid w:val="00023A88"/>
    <w:rsid w:val="00024B80"/>
    <w:rsid w:val="00025199"/>
    <w:rsid w:val="000256E2"/>
    <w:rsid w:val="00026079"/>
    <w:rsid w:val="000268F7"/>
    <w:rsid w:val="00026C4C"/>
    <w:rsid w:val="0002783C"/>
    <w:rsid w:val="0003053A"/>
    <w:rsid w:val="00031106"/>
    <w:rsid w:val="0003153C"/>
    <w:rsid w:val="00031661"/>
    <w:rsid w:val="00031690"/>
    <w:rsid w:val="00031BDF"/>
    <w:rsid w:val="000329EC"/>
    <w:rsid w:val="00032D31"/>
    <w:rsid w:val="00033153"/>
    <w:rsid w:val="000343B7"/>
    <w:rsid w:val="00034C7B"/>
    <w:rsid w:val="00034DCA"/>
    <w:rsid w:val="00034F7B"/>
    <w:rsid w:val="0003586C"/>
    <w:rsid w:val="00036216"/>
    <w:rsid w:val="00037399"/>
    <w:rsid w:val="000374B1"/>
    <w:rsid w:val="000412F8"/>
    <w:rsid w:val="00041416"/>
    <w:rsid w:val="000416B0"/>
    <w:rsid w:val="00042029"/>
    <w:rsid w:val="000423B8"/>
    <w:rsid w:val="000442A7"/>
    <w:rsid w:val="000445DB"/>
    <w:rsid w:val="00046D14"/>
    <w:rsid w:val="00052674"/>
    <w:rsid w:val="000529F0"/>
    <w:rsid w:val="00052E45"/>
    <w:rsid w:val="000531E5"/>
    <w:rsid w:val="000533B2"/>
    <w:rsid w:val="00053593"/>
    <w:rsid w:val="00054A00"/>
    <w:rsid w:val="00054BFC"/>
    <w:rsid w:val="00054DDC"/>
    <w:rsid w:val="00055074"/>
    <w:rsid w:val="00057974"/>
    <w:rsid w:val="00057A31"/>
    <w:rsid w:val="00060256"/>
    <w:rsid w:val="00060BF3"/>
    <w:rsid w:val="000629C3"/>
    <w:rsid w:val="00062AD1"/>
    <w:rsid w:val="000647E3"/>
    <w:rsid w:val="00064821"/>
    <w:rsid w:val="000649DF"/>
    <w:rsid w:val="000665BB"/>
    <w:rsid w:val="00067C7B"/>
    <w:rsid w:val="00071877"/>
    <w:rsid w:val="000719DD"/>
    <w:rsid w:val="00071A75"/>
    <w:rsid w:val="0007245B"/>
    <w:rsid w:val="00072988"/>
    <w:rsid w:val="00073DCA"/>
    <w:rsid w:val="000742DB"/>
    <w:rsid w:val="000757FF"/>
    <w:rsid w:val="00075832"/>
    <w:rsid w:val="00075C21"/>
    <w:rsid w:val="000761E8"/>
    <w:rsid w:val="00076A56"/>
    <w:rsid w:val="00076C90"/>
    <w:rsid w:val="000773F2"/>
    <w:rsid w:val="00077917"/>
    <w:rsid w:val="000818A1"/>
    <w:rsid w:val="00083A34"/>
    <w:rsid w:val="0008442B"/>
    <w:rsid w:val="0008518C"/>
    <w:rsid w:val="00085264"/>
    <w:rsid w:val="00085318"/>
    <w:rsid w:val="00085EE5"/>
    <w:rsid w:val="00090F85"/>
    <w:rsid w:val="00092944"/>
    <w:rsid w:val="00092A94"/>
    <w:rsid w:val="00094C55"/>
    <w:rsid w:val="000954A6"/>
    <w:rsid w:val="0009583D"/>
    <w:rsid w:val="0009684C"/>
    <w:rsid w:val="00096942"/>
    <w:rsid w:val="00097BF4"/>
    <w:rsid w:val="000A052B"/>
    <w:rsid w:val="000A0840"/>
    <w:rsid w:val="000A0CE7"/>
    <w:rsid w:val="000A1557"/>
    <w:rsid w:val="000A1862"/>
    <w:rsid w:val="000A26A4"/>
    <w:rsid w:val="000A2E93"/>
    <w:rsid w:val="000A30B7"/>
    <w:rsid w:val="000A365B"/>
    <w:rsid w:val="000A40B3"/>
    <w:rsid w:val="000A4A93"/>
    <w:rsid w:val="000A64B3"/>
    <w:rsid w:val="000A6A5A"/>
    <w:rsid w:val="000A6D27"/>
    <w:rsid w:val="000A754A"/>
    <w:rsid w:val="000A7FEC"/>
    <w:rsid w:val="000B10AE"/>
    <w:rsid w:val="000B1597"/>
    <w:rsid w:val="000B31FD"/>
    <w:rsid w:val="000B4A79"/>
    <w:rsid w:val="000B513F"/>
    <w:rsid w:val="000B5DB3"/>
    <w:rsid w:val="000B7B61"/>
    <w:rsid w:val="000B7DB1"/>
    <w:rsid w:val="000C15AB"/>
    <w:rsid w:val="000C264D"/>
    <w:rsid w:val="000C2694"/>
    <w:rsid w:val="000C2D8F"/>
    <w:rsid w:val="000C3478"/>
    <w:rsid w:val="000C4C57"/>
    <w:rsid w:val="000C61FB"/>
    <w:rsid w:val="000C62A3"/>
    <w:rsid w:val="000C6F28"/>
    <w:rsid w:val="000C6FF1"/>
    <w:rsid w:val="000C7049"/>
    <w:rsid w:val="000D0701"/>
    <w:rsid w:val="000D0827"/>
    <w:rsid w:val="000D0A32"/>
    <w:rsid w:val="000D0D49"/>
    <w:rsid w:val="000D23CE"/>
    <w:rsid w:val="000D30D9"/>
    <w:rsid w:val="000D30EF"/>
    <w:rsid w:val="000D380D"/>
    <w:rsid w:val="000D38B3"/>
    <w:rsid w:val="000D42F9"/>
    <w:rsid w:val="000D4D0A"/>
    <w:rsid w:val="000D5F2A"/>
    <w:rsid w:val="000D6237"/>
    <w:rsid w:val="000D6D67"/>
    <w:rsid w:val="000D6E17"/>
    <w:rsid w:val="000E0276"/>
    <w:rsid w:val="000E0301"/>
    <w:rsid w:val="000E19FC"/>
    <w:rsid w:val="000E286F"/>
    <w:rsid w:val="000E369C"/>
    <w:rsid w:val="000E37AD"/>
    <w:rsid w:val="000E4341"/>
    <w:rsid w:val="000E533C"/>
    <w:rsid w:val="000E55FB"/>
    <w:rsid w:val="000E6023"/>
    <w:rsid w:val="000E6947"/>
    <w:rsid w:val="000E6C3E"/>
    <w:rsid w:val="000E7169"/>
    <w:rsid w:val="000E77D5"/>
    <w:rsid w:val="000F15F9"/>
    <w:rsid w:val="000F3619"/>
    <w:rsid w:val="000F3F88"/>
    <w:rsid w:val="000F43DD"/>
    <w:rsid w:val="000F607F"/>
    <w:rsid w:val="000F7499"/>
    <w:rsid w:val="000F74AC"/>
    <w:rsid w:val="00100612"/>
    <w:rsid w:val="00100A7D"/>
    <w:rsid w:val="00102EA9"/>
    <w:rsid w:val="00103337"/>
    <w:rsid w:val="00104BE7"/>
    <w:rsid w:val="0010513B"/>
    <w:rsid w:val="0010548C"/>
    <w:rsid w:val="00105E1B"/>
    <w:rsid w:val="00105FE6"/>
    <w:rsid w:val="001072D9"/>
    <w:rsid w:val="001073EF"/>
    <w:rsid w:val="0010770E"/>
    <w:rsid w:val="001102AE"/>
    <w:rsid w:val="00110C59"/>
    <w:rsid w:val="00111561"/>
    <w:rsid w:val="00111EB9"/>
    <w:rsid w:val="00111EE4"/>
    <w:rsid w:val="001143DC"/>
    <w:rsid w:val="00114542"/>
    <w:rsid w:val="00115160"/>
    <w:rsid w:val="001153CA"/>
    <w:rsid w:val="00115B4A"/>
    <w:rsid w:val="00116049"/>
    <w:rsid w:val="00116622"/>
    <w:rsid w:val="00117440"/>
    <w:rsid w:val="001222BC"/>
    <w:rsid w:val="00123B17"/>
    <w:rsid w:val="001242D4"/>
    <w:rsid w:val="00124463"/>
    <w:rsid w:val="0012477A"/>
    <w:rsid w:val="00124F77"/>
    <w:rsid w:val="0012599E"/>
    <w:rsid w:val="001261C5"/>
    <w:rsid w:val="0012659A"/>
    <w:rsid w:val="00126DF5"/>
    <w:rsid w:val="00130ED9"/>
    <w:rsid w:val="00131BED"/>
    <w:rsid w:val="001322D0"/>
    <w:rsid w:val="001343C6"/>
    <w:rsid w:val="0013555C"/>
    <w:rsid w:val="00135BE8"/>
    <w:rsid w:val="0013610D"/>
    <w:rsid w:val="00136362"/>
    <w:rsid w:val="001370DC"/>
    <w:rsid w:val="00137CA0"/>
    <w:rsid w:val="00140CBE"/>
    <w:rsid w:val="0014101F"/>
    <w:rsid w:val="001412C4"/>
    <w:rsid w:val="00142804"/>
    <w:rsid w:val="00142D6F"/>
    <w:rsid w:val="00143605"/>
    <w:rsid w:val="001437FE"/>
    <w:rsid w:val="00143A12"/>
    <w:rsid w:val="00144B75"/>
    <w:rsid w:val="00145A63"/>
    <w:rsid w:val="00145C71"/>
    <w:rsid w:val="001468FE"/>
    <w:rsid w:val="00146C2F"/>
    <w:rsid w:val="00150713"/>
    <w:rsid w:val="001513BC"/>
    <w:rsid w:val="00152441"/>
    <w:rsid w:val="0015266D"/>
    <w:rsid w:val="0015281F"/>
    <w:rsid w:val="001534C2"/>
    <w:rsid w:val="001536D9"/>
    <w:rsid w:val="00153CAC"/>
    <w:rsid w:val="00153F03"/>
    <w:rsid w:val="001547D4"/>
    <w:rsid w:val="00154F89"/>
    <w:rsid w:val="00155A2B"/>
    <w:rsid w:val="0015614A"/>
    <w:rsid w:val="0015693A"/>
    <w:rsid w:val="00157780"/>
    <w:rsid w:val="00157E36"/>
    <w:rsid w:val="001601E3"/>
    <w:rsid w:val="00160327"/>
    <w:rsid w:val="001608F5"/>
    <w:rsid w:val="001609A4"/>
    <w:rsid w:val="00163395"/>
    <w:rsid w:val="00164160"/>
    <w:rsid w:val="0016463C"/>
    <w:rsid w:val="0016472E"/>
    <w:rsid w:val="00165BB2"/>
    <w:rsid w:val="00165C9D"/>
    <w:rsid w:val="00165E84"/>
    <w:rsid w:val="00165EB2"/>
    <w:rsid w:val="00167402"/>
    <w:rsid w:val="00167ECB"/>
    <w:rsid w:val="00170647"/>
    <w:rsid w:val="00171350"/>
    <w:rsid w:val="0017182B"/>
    <w:rsid w:val="00171AC8"/>
    <w:rsid w:val="0017202F"/>
    <w:rsid w:val="001728C3"/>
    <w:rsid w:val="00172A07"/>
    <w:rsid w:val="00173BF9"/>
    <w:rsid w:val="00173C5F"/>
    <w:rsid w:val="0017492C"/>
    <w:rsid w:val="00174BDE"/>
    <w:rsid w:val="00175A64"/>
    <w:rsid w:val="001800B1"/>
    <w:rsid w:val="001818B0"/>
    <w:rsid w:val="0018233A"/>
    <w:rsid w:val="00182A74"/>
    <w:rsid w:val="00184143"/>
    <w:rsid w:val="0018420D"/>
    <w:rsid w:val="00184706"/>
    <w:rsid w:val="001851C8"/>
    <w:rsid w:val="001857F3"/>
    <w:rsid w:val="00185A19"/>
    <w:rsid w:val="00185A88"/>
    <w:rsid w:val="00185E8D"/>
    <w:rsid w:val="001861F2"/>
    <w:rsid w:val="00186AB7"/>
    <w:rsid w:val="00187B1E"/>
    <w:rsid w:val="00190444"/>
    <w:rsid w:val="00190655"/>
    <w:rsid w:val="00190B72"/>
    <w:rsid w:val="001911E0"/>
    <w:rsid w:val="00191A49"/>
    <w:rsid w:val="00192F01"/>
    <w:rsid w:val="001933CB"/>
    <w:rsid w:val="00193D61"/>
    <w:rsid w:val="00193DB8"/>
    <w:rsid w:val="00193F1F"/>
    <w:rsid w:val="00194CCF"/>
    <w:rsid w:val="00195A66"/>
    <w:rsid w:val="001972AC"/>
    <w:rsid w:val="001974E1"/>
    <w:rsid w:val="001A0541"/>
    <w:rsid w:val="001A0CF0"/>
    <w:rsid w:val="001A1612"/>
    <w:rsid w:val="001A23AC"/>
    <w:rsid w:val="001A3D5D"/>
    <w:rsid w:val="001A4E27"/>
    <w:rsid w:val="001A5907"/>
    <w:rsid w:val="001A639A"/>
    <w:rsid w:val="001A6506"/>
    <w:rsid w:val="001A68BA"/>
    <w:rsid w:val="001B0163"/>
    <w:rsid w:val="001B06A6"/>
    <w:rsid w:val="001B0B96"/>
    <w:rsid w:val="001B0DAD"/>
    <w:rsid w:val="001B1E22"/>
    <w:rsid w:val="001B465C"/>
    <w:rsid w:val="001B5177"/>
    <w:rsid w:val="001B5F1A"/>
    <w:rsid w:val="001B64FD"/>
    <w:rsid w:val="001B725A"/>
    <w:rsid w:val="001B7B36"/>
    <w:rsid w:val="001C098D"/>
    <w:rsid w:val="001C0C6F"/>
    <w:rsid w:val="001C11D8"/>
    <w:rsid w:val="001C25DC"/>
    <w:rsid w:val="001C33FA"/>
    <w:rsid w:val="001C4F31"/>
    <w:rsid w:val="001C6849"/>
    <w:rsid w:val="001C6A42"/>
    <w:rsid w:val="001C6F68"/>
    <w:rsid w:val="001D033A"/>
    <w:rsid w:val="001D0E71"/>
    <w:rsid w:val="001D0FA9"/>
    <w:rsid w:val="001D1FA0"/>
    <w:rsid w:val="001D3371"/>
    <w:rsid w:val="001D3D02"/>
    <w:rsid w:val="001D3D88"/>
    <w:rsid w:val="001D4637"/>
    <w:rsid w:val="001D4AF7"/>
    <w:rsid w:val="001D51DE"/>
    <w:rsid w:val="001D5A22"/>
    <w:rsid w:val="001D5EBA"/>
    <w:rsid w:val="001D6A24"/>
    <w:rsid w:val="001D772E"/>
    <w:rsid w:val="001D7A3A"/>
    <w:rsid w:val="001E2433"/>
    <w:rsid w:val="001E2485"/>
    <w:rsid w:val="001E3B4D"/>
    <w:rsid w:val="001E4365"/>
    <w:rsid w:val="001E4919"/>
    <w:rsid w:val="001E4D28"/>
    <w:rsid w:val="001E51EB"/>
    <w:rsid w:val="001E552A"/>
    <w:rsid w:val="001E5E40"/>
    <w:rsid w:val="001E60FA"/>
    <w:rsid w:val="001E616F"/>
    <w:rsid w:val="001E6FAA"/>
    <w:rsid w:val="001E74B2"/>
    <w:rsid w:val="001E7637"/>
    <w:rsid w:val="001F0188"/>
    <w:rsid w:val="001F070B"/>
    <w:rsid w:val="001F14BF"/>
    <w:rsid w:val="001F1AF5"/>
    <w:rsid w:val="001F1E99"/>
    <w:rsid w:val="001F2704"/>
    <w:rsid w:val="001F30AA"/>
    <w:rsid w:val="001F4EB3"/>
    <w:rsid w:val="001F6C28"/>
    <w:rsid w:val="001F74F0"/>
    <w:rsid w:val="002000FB"/>
    <w:rsid w:val="002019DC"/>
    <w:rsid w:val="002025D0"/>
    <w:rsid w:val="00202A4B"/>
    <w:rsid w:val="002048B3"/>
    <w:rsid w:val="00205E52"/>
    <w:rsid w:val="00206DC5"/>
    <w:rsid w:val="002100F6"/>
    <w:rsid w:val="002116A2"/>
    <w:rsid w:val="00211BC9"/>
    <w:rsid w:val="0021263A"/>
    <w:rsid w:val="002126BC"/>
    <w:rsid w:val="002129C1"/>
    <w:rsid w:val="00213BF2"/>
    <w:rsid w:val="00213FBA"/>
    <w:rsid w:val="0021525D"/>
    <w:rsid w:val="002157A3"/>
    <w:rsid w:val="00215D73"/>
    <w:rsid w:val="00216058"/>
    <w:rsid w:val="002200B3"/>
    <w:rsid w:val="00220860"/>
    <w:rsid w:val="0022093C"/>
    <w:rsid w:val="0022094E"/>
    <w:rsid w:val="0022103F"/>
    <w:rsid w:val="00223214"/>
    <w:rsid w:val="002232D0"/>
    <w:rsid w:val="00224DCC"/>
    <w:rsid w:val="0022521B"/>
    <w:rsid w:val="002257EA"/>
    <w:rsid w:val="002267D3"/>
    <w:rsid w:val="00226D05"/>
    <w:rsid w:val="00227072"/>
    <w:rsid w:val="002278DC"/>
    <w:rsid w:val="00227E00"/>
    <w:rsid w:val="00230B79"/>
    <w:rsid w:val="00232423"/>
    <w:rsid w:val="00232CE2"/>
    <w:rsid w:val="002336CB"/>
    <w:rsid w:val="00233D00"/>
    <w:rsid w:val="00234E31"/>
    <w:rsid w:val="0023604D"/>
    <w:rsid w:val="00236723"/>
    <w:rsid w:val="00236E16"/>
    <w:rsid w:val="0023792C"/>
    <w:rsid w:val="0024076A"/>
    <w:rsid w:val="00241116"/>
    <w:rsid w:val="00241292"/>
    <w:rsid w:val="002413AA"/>
    <w:rsid w:val="00242A9B"/>
    <w:rsid w:val="002431E8"/>
    <w:rsid w:val="00244C60"/>
    <w:rsid w:val="002458F8"/>
    <w:rsid w:val="00246BF8"/>
    <w:rsid w:val="00246F7B"/>
    <w:rsid w:val="0025066F"/>
    <w:rsid w:val="00250D69"/>
    <w:rsid w:val="00251F56"/>
    <w:rsid w:val="0025260C"/>
    <w:rsid w:val="002536F3"/>
    <w:rsid w:val="00254175"/>
    <w:rsid w:val="00254349"/>
    <w:rsid w:val="00254CAC"/>
    <w:rsid w:val="002558AD"/>
    <w:rsid w:val="0025680F"/>
    <w:rsid w:val="0025767C"/>
    <w:rsid w:val="0025790B"/>
    <w:rsid w:val="00257E20"/>
    <w:rsid w:val="00260840"/>
    <w:rsid w:val="00260E3A"/>
    <w:rsid w:val="002614BD"/>
    <w:rsid w:val="00261C47"/>
    <w:rsid w:val="00261F56"/>
    <w:rsid w:val="00265D33"/>
    <w:rsid w:val="00266587"/>
    <w:rsid w:val="00266817"/>
    <w:rsid w:val="00266B68"/>
    <w:rsid w:val="002718A3"/>
    <w:rsid w:val="0027271D"/>
    <w:rsid w:val="00272E24"/>
    <w:rsid w:val="00273133"/>
    <w:rsid w:val="00274298"/>
    <w:rsid w:val="002746BD"/>
    <w:rsid w:val="00274E65"/>
    <w:rsid w:val="002756F7"/>
    <w:rsid w:val="00276E52"/>
    <w:rsid w:val="00277A3C"/>
    <w:rsid w:val="00277B22"/>
    <w:rsid w:val="00277FD4"/>
    <w:rsid w:val="0028055D"/>
    <w:rsid w:val="00281387"/>
    <w:rsid w:val="00283203"/>
    <w:rsid w:val="00283BCD"/>
    <w:rsid w:val="0028576B"/>
    <w:rsid w:val="002862A8"/>
    <w:rsid w:val="00286DDB"/>
    <w:rsid w:val="00287A59"/>
    <w:rsid w:val="00287CE5"/>
    <w:rsid w:val="0029076D"/>
    <w:rsid w:val="002927AA"/>
    <w:rsid w:val="002933EC"/>
    <w:rsid w:val="00293FDE"/>
    <w:rsid w:val="002946E3"/>
    <w:rsid w:val="00294AA7"/>
    <w:rsid w:val="00294BAE"/>
    <w:rsid w:val="00294BCE"/>
    <w:rsid w:val="00294F29"/>
    <w:rsid w:val="00295B38"/>
    <w:rsid w:val="00296EB5"/>
    <w:rsid w:val="00297312"/>
    <w:rsid w:val="00297D09"/>
    <w:rsid w:val="002A06C0"/>
    <w:rsid w:val="002A0D4A"/>
    <w:rsid w:val="002A112B"/>
    <w:rsid w:val="002A27FA"/>
    <w:rsid w:val="002A3DFE"/>
    <w:rsid w:val="002A46DA"/>
    <w:rsid w:val="002A52CB"/>
    <w:rsid w:val="002A5E7C"/>
    <w:rsid w:val="002B067A"/>
    <w:rsid w:val="002B0DA4"/>
    <w:rsid w:val="002B0E81"/>
    <w:rsid w:val="002B7169"/>
    <w:rsid w:val="002B7644"/>
    <w:rsid w:val="002C0B14"/>
    <w:rsid w:val="002C2B15"/>
    <w:rsid w:val="002C45F7"/>
    <w:rsid w:val="002C6290"/>
    <w:rsid w:val="002C68F7"/>
    <w:rsid w:val="002C7514"/>
    <w:rsid w:val="002D0621"/>
    <w:rsid w:val="002D125A"/>
    <w:rsid w:val="002D1B54"/>
    <w:rsid w:val="002D2232"/>
    <w:rsid w:val="002D25B8"/>
    <w:rsid w:val="002D27B3"/>
    <w:rsid w:val="002D3235"/>
    <w:rsid w:val="002D3814"/>
    <w:rsid w:val="002D3B36"/>
    <w:rsid w:val="002D3EE2"/>
    <w:rsid w:val="002D4490"/>
    <w:rsid w:val="002D692E"/>
    <w:rsid w:val="002D71D6"/>
    <w:rsid w:val="002E0078"/>
    <w:rsid w:val="002E02DC"/>
    <w:rsid w:val="002E075E"/>
    <w:rsid w:val="002E0823"/>
    <w:rsid w:val="002E09B8"/>
    <w:rsid w:val="002E2834"/>
    <w:rsid w:val="002E2EAF"/>
    <w:rsid w:val="002E3B2D"/>
    <w:rsid w:val="002E3B33"/>
    <w:rsid w:val="002E4731"/>
    <w:rsid w:val="002E5966"/>
    <w:rsid w:val="002E6DA7"/>
    <w:rsid w:val="002E7014"/>
    <w:rsid w:val="002E73CC"/>
    <w:rsid w:val="002E7D86"/>
    <w:rsid w:val="002F0722"/>
    <w:rsid w:val="002F1241"/>
    <w:rsid w:val="002F1E9B"/>
    <w:rsid w:val="002F21D0"/>
    <w:rsid w:val="002F2403"/>
    <w:rsid w:val="002F249C"/>
    <w:rsid w:val="002F29D5"/>
    <w:rsid w:val="002F2A2C"/>
    <w:rsid w:val="002F3437"/>
    <w:rsid w:val="002F42D4"/>
    <w:rsid w:val="002F44AF"/>
    <w:rsid w:val="002F46C5"/>
    <w:rsid w:val="002F4D56"/>
    <w:rsid w:val="002F5EF4"/>
    <w:rsid w:val="002F68EC"/>
    <w:rsid w:val="002F7262"/>
    <w:rsid w:val="002F7C91"/>
    <w:rsid w:val="002F7DD2"/>
    <w:rsid w:val="00301EE1"/>
    <w:rsid w:val="003038C0"/>
    <w:rsid w:val="003110FD"/>
    <w:rsid w:val="00311759"/>
    <w:rsid w:val="00311AF1"/>
    <w:rsid w:val="00311E95"/>
    <w:rsid w:val="00311F44"/>
    <w:rsid w:val="00312419"/>
    <w:rsid w:val="003133C4"/>
    <w:rsid w:val="00313A64"/>
    <w:rsid w:val="00314E68"/>
    <w:rsid w:val="0031525C"/>
    <w:rsid w:val="00316404"/>
    <w:rsid w:val="0031770D"/>
    <w:rsid w:val="00323019"/>
    <w:rsid w:val="00323560"/>
    <w:rsid w:val="00323E0D"/>
    <w:rsid w:val="00323E35"/>
    <w:rsid w:val="00323FA8"/>
    <w:rsid w:val="0032424E"/>
    <w:rsid w:val="003256F2"/>
    <w:rsid w:val="00326CE7"/>
    <w:rsid w:val="00327401"/>
    <w:rsid w:val="00327D42"/>
    <w:rsid w:val="003319B8"/>
    <w:rsid w:val="00331A8D"/>
    <w:rsid w:val="00332F8F"/>
    <w:rsid w:val="00333C1F"/>
    <w:rsid w:val="0033407E"/>
    <w:rsid w:val="0033443E"/>
    <w:rsid w:val="00334ED7"/>
    <w:rsid w:val="003354B9"/>
    <w:rsid w:val="003354EE"/>
    <w:rsid w:val="0033573A"/>
    <w:rsid w:val="00335807"/>
    <w:rsid w:val="003367E8"/>
    <w:rsid w:val="00337148"/>
    <w:rsid w:val="00340458"/>
    <w:rsid w:val="00340D94"/>
    <w:rsid w:val="003411CE"/>
    <w:rsid w:val="00341CDD"/>
    <w:rsid w:val="003441C4"/>
    <w:rsid w:val="0034426B"/>
    <w:rsid w:val="00344371"/>
    <w:rsid w:val="00345A89"/>
    <w:rsid w:val="00346580"/>
    <w:rsid w:val="00346D10"/>
    <w:rsid w:val="003470C1"/>
    <w:rsid w:val="003503DD"/>
    <w:rsid w:val="00350911"/>
    <w:rsid w:val="0035102B"/>
    <w:rsid w:val="00351183"/>
    <w:rsid w:val="00351764"/>
    <w:rsid w:val="00351EC2"/>
    <w:rsid w:val="00354F8C"/>
    <w:rsid w:val="0035513E"/>
    <w:rsid w:val="003558B7"/>
    <w:rsid w:val="00357BA8"/>
    <w:rsid w:val="00357CF6"/>
    <w:rsid w:val="00360045"/>
    <w:rsid w:val="00363FB4"/>
    <w:rsid w:val="00364D11"/>
    <w:rsid w:val="00364FA7"/>
    <w:rsid w:val="00366459"/>
    <w:rsid w:val="00366B8A"/>
    <w:rsid w:val="00366E28"/>
    <w:rsid w:val="003674BB"/>
    <w:rsid w:val="00372A5F"/>
    <w:rsid w:val="00373A46"/>
    <w:rsid w:val="00375016"/>
    <w:rsid w:val="00375299"/>
    <w:rsid w:val="003777D0"/>
    <w:rsid w:val="00377B06"/>
    <w:rsid w:val="003803D6"/>
    <w:rsid w:val="00381198"/>
    <w:rsid w:val="0038203C"/>
    <w:rsid w:val="00382323"/>
    <w:rsid w:val="003833C9"/>
    <w:rsid w:val="00384447"/>
    <w:rsid w:val="00384761"/>
    <w:rsid w:val="00385973"/>
    <w:rsid w:val="00385F1B"/>
    <w:rsid w:val="0038653C"/>
    <w:rsid w:val="003870A5"/>
    <w:rsid w:val="00387DA0"/>
    <w:rsid w:val="00390D79"/>
    <w:rsid w:val="0039197A"/>
    <w:rsid w:val="00391C90"/>
    <w:rsid w:val="003924B2"/>
    <w:rsid w:val="003943B7"/>
    <w:rsid w:val="0039447B"/>
    <w:rsid w:val="003944AB"/>
    <w:rsid w:val="00395668"/>
    <w:rsid w:val="00397F07"/>
    <w:rsid w:val="003A1027"/>
    <w:rsid w:val="003A174B"/>
    <w:rsid w:val="003A1C9B"/>
    <w:rsid w:val="003A1ECF"/>
    <w:rsid w:val="003A2814"/>
    <w:rsid w:val="003A4835"/>
    <w:rsid w:val="003A498B"/>
    <w:rsid w:val="003A5AA7"/>
    <w:rsid w:val="003A6588"/>
    <w:rsid w:val="003A6C41"/>
    <w:rsid w:val="003A6FCB"/>
    <w:rsid w:val="003B086F"/>
    <w:rsid w:val="003B128D"/>
    <w:rsid w:val="003B1721"/>
    <w:rsid w:val="003B2A5D"/>
    <w:rsid w:val="003B592A"/>
    <w:rsid w:val="003B611E"/>
    <w:rsid w:val="003B7296"/>
    <w:rsid w:val="003B758B"/>
    <w:rsid w:val="003B7C8F"/>
    <w:rsid w:val="003C16F3"/>
    <w:rsid w:val="003C1C2D"/>
    <w:rsid w:val="003C255A"/>
    <w:rsid w:val="003C53D2"/>
    <w:rsid w:val="003C58DD"/>
    <w:rsid w:val="003C6592"/>
    <w:rsid w:val="003C69F7"/>
    <w:rsid w:val="003C6A52"/>
    <w:rsid w:val="003C6AD8"/>
    <w:rsid w:val="003C6C9C"/>
    <w:rsid w:val="003D078F"/>
    <w:rsid w:val="003D2639"/>
    <w:rsid w:val="003D5311"/>
    <w:rsid w:val="003D7735"/>
    <w:rsid w:val="003D79B9"/>
    <w:rsid w:val="003D7DA7"/>
    <w:rsid w:val="003E0009"/>
    <w:rsid w:val="003E0683"/>
    <w:rsid w:val="003E0AF4"/>
    <w:rsid w:val="003E1821"/>
    <w:rsid w:val="003E20B5"/>
    <w:rsid w:val="003E3568"/>
    <w:rsid w:val="003E3815"/>
    <w:rsid w:val="003E4E6E"/>
    <w:rsid w:val="003E58FD"/>
    <w:rsid w:val="003E5D0D"/>
    <w:rsid w:val="003E62AD"/>
    <w:rsid w:val="003E7AE9"/>
    <w:rsid w:val="003F017D"/>
    <w:rsid w:val="003F04DA"/>
    <w:rsid w:val="003F1961"/>
    <w:rsid w:val="003F28AB"/>
    <w:rsid w:val="003F440D"/>
    <w:rsid w:val="003F4733"/>
    <w:rsid w:val="003F499B"/>
    <w:rsid w:val="003F4E83"/>
    <w:rsid w:val="003F6BBC"/>
    <w:rsid w:val="003F75E0"/>
    <w:rsid w:val="003F76F8"/>
    <w:rsid w:val="003F7A92"/>
    <w:rsid w:val="003F7D32"/>
    <w:rsid w:val="00400BD9"/>
    <w:rsid w:val="004014AF"/>
    <w:rsid w:val="00401B38"/>
    <w:rsid w:val="004028E6"/>
    <w:rsid w:val="00403AD5"/>
    <w:rsid w:val="00405CA1"/>
    <w:rsid w:val="00406276"/>
    <w:rsid w:val="004077DF"/>
    <w:rsid w:val="00407D8F"/>
    <w:rsid w:val="00410190"/>
    <w:rsid w:val="00410340"/>
    <w:rsid w:val="004106AF"/>
    <w:rsid w:val="0041086B"/>
    <w:rsid w:val="00410895"/>
    <w:rsid w:val="004108A8"/>
    <w:rsid w:val="00411CE3"/>
    <w:rsid w:val="00412E33"/>
    <w:rsid w:val="0041350A"/>
    <w:rsid w:val="00413A96"/>
    <w:rsid w:val="00415CE2"/>
    <w:rsid w:val="00415DFD"/>
    <w:rsid w:val="004172C8"/>
    <w:rsid w:val="00420861"/>
    <w:rsid w:val="00422A68"/>
    <w:rsid w:val="00423596"/>
    <w:rsid w:val="00424AC7"/>
    <w:rsid w:val="0042577D"/>
    <w:rsid w:val="00426430"/>
    <w:rsid w:val="00427467"/>
    <w:rsid w:val="00427590"/>
    <w:rsid w:val="00427917"/>
    <w:rsid w:val="00427CA5"/>
    <w:rsid w:val="0043048C"/>
    <w:rsid w:val="00431610"/>
    <w:rsid w:val="00431A23"/>
    <w:rsid w:val="004320A1"/>
    <w:rsid w:val="004330A4"/>
    <w:rsid w:val="00433853"/>
    <w:rsid w:val="00433D22"/>
    <w:rsid w:val="0043493A"/>
    <w:rsid w:val="00435458"/>
    <w:rsid w:val="00436547"/>
    <w:rsid w:val="0044088A"/>
    <w:rsid w:val="004412E8"/>
    <w:rsid w:val="0044289B"/>
    <w:rsid w:val="00443775"/>
    <w:rsid w:val="004445AA"/>
    <w:rsid w:val="00444634"/>
    <w:rsid w:val="00444FF6"/>
    <w:rsid w:val="00447122"/>
    <w:rsid w:val="0044743A"/>
    <w:rsid w:val="00447AB4"/>
    <w:rsid w:val="0045035A"/>
    <w:rsid w:val="00450834"/>
    <w:rsid w:val="00451BEE"/>
    <w:rsid w:val="00452740"/>
    <w:rsid w:val="00453AC6"/>
    <w:rsid w:val="00454B3C"/>
    <w:rsid w:val="00454B65"/>
    <w:rsid w:val="00454CA1"/>
    <w:rsid w:val="0045511B"/>
    <w:rsid w:val="004561FE"/>
    <w:rsid w:val="004570B8"/>
    <w:rsid w:val="00457156"/>
    <w:rsid w:val="004600EE"/>
    <w:rsid w:val="00460BC1"/>
    <w:rsid w:val="00461061"/>
    <w:rsid w:val="00462F0E"/>
    <w:rsid w:val="0046305C"/>
    <w:rsid w:val="00463179"/>
    <w:rsid w:val="00463F65"/>
    <w:rsid w:val="00464D07"/>
    <w:rsid w:val="004654D3"/>
    <w:rsid w:val="00465C76"/>
    <w:rsid w:val="0046631C"/>
    <w:rsid w:val="004664FF"/>
    <w:rsid w:val="00467D7C"/>
    <w:rsid w:val="00471333"/>
    <w:rsid w:val="004719D8"/>
    <w:rsid w:val="00472DAF"/>
    <w:rsid w:val="00475D41"/>
    <w:rsid w:val="00475EED"/>
    <w:rsid w:val="00476672"/>
    <w:rsid w:val="00476E2E"/>
    <w:rsid w:val="00476F9A"/>
    <w:rsid w:val="00477283"/>
    <w:rsid w:val="00480586"/>
    <w:rsid w:val="00481645"/>
    <w:rsid w:val="004831A3"/>
    <w:rsid w:val="0048325B"/>
    <w:rsid w:val="00483D8B"/>
    <w:rsid w:val="00484179"/>
    <w:rsid w:val="00484B7E"/>
    <w:rsid w:val="00485564"/>
    <w:rsid w:val="00486739"/>
    <w:rsid w:val="00487B49"/>
    <w:rsid w:val="00490F07"/>
    <w:rsid w:val="00491CDE"/>
    <w:rsid w:val="00492B31"/>
    <w:rsid w:val="00494757"/>
    <w:rsid w:val="00494BBD"/>
    <w:rsid w:val="00494C54"/>
    <w:rsid w:val="00495E94"/>
    <w:rsid w:val="004966D9"/>
    <w:rsid w:val="004970CE"/>
    <w:rsid w:val="004A0346"/>
    <w:rsid w:val="004A0597"/>
    <w:rsid w:val="004A0980"/>
    <w:rsid w:val="004A0ABA"/>
    <w:rsid w:val="004A0CB6"/>
    <w:rsid w:val="004A11EB"/>
    <w:rsid w:val="004A1704"/>
    <w:rsid w:val="004A1895"/>
    <w:rsid w:val="004A1AC7"/>
    <w:rsid w:val="004A1C6E"/>
    <w:rsid w:val="004A1E5A"/>
    <w:rsid w:val="004A2D5A"/>
    <w:rsid w:val="004A2FEB"/>
    <w:rsid w:val="004A42EA"/>
    <w:rsid w:val="004A468A"/>
    <w:rsid w:val="004A6918"/>
    <w:rsid w:val="004B0CF2"/>
    <w:rsid w:val="004B147B"/>
    <w:rsid w:val="004B2AA0"/>
    <w:rsid w:val="004B2C50"/>
    <w:rsid w:val="004B3632"/>
    <w:rsid w:val="004B3D66"/>
    <w:rsid w:val="004B427D"/>
    <w:rsid w:val="004B4F2C"/>
    <w:rsid w:val="004B73CA"/>
    <w:rsid w:val="004C0634"/>
    <w:rsid w:val="004C1472"/>
    <w:rsid w:val="004C167C"/>
    <w:rsid w:val="004C1BB5"/>
    <w:rsid w:val="004C1E64"/>
    <w:rsid w:val="004C1FA6"/>
    <w:rsid w:val="004C204F"/>
    <w:rsid w:val="004C2166"/>
    <w:rsid w:val="004C4158"/>
    <w:rsid w:val="004C4C4F"/>
    <w:rsid w:val="004C5B2E"/>
    <w:rsid w:val="004C5CCC"/>
    <w:rsid w:val="004C5D59"/>
    <w:rsid w:val="004D0097"/>
    <w:rsid w:val="004D0B9C"/>
    <w:rsid w:val="004D0D6A"/>
    <w:rsid w:val="004D1B26"/>
    <w:rsid w:val="004D1BC6"/>
    <w:rsid w:val="004D274D"/>
    <w:rsid w:val="004D4643"/>
    <w:rsid w:val="004D483D"/>
    <w:rsid w:val="004D4B5B"/>
    <w:rsid w:val="004D6392"/>
    <w:rsid w:val="004D6551"/>
    <w:rsid w:val="004D6C99"/>
    <w:rsid w:val="004D7D6D"/>
    <w:rsid w:val="004E05FD"/>
    <w:rsid w:val="004E064C"/>
    <w:rsid w:val="004E0FB0"/>
    <w:rsid w:val="004E17FD"/>
    <w:rsid w:val="004E4EFC"/>
    <w:rsid w:val="004E4FEB"/>
    <w:rsid w:val="004E507D"/>
    <w:rsid w:val="004E563B"/>
    <w:rsid w:val="004E60AD"/>
    <w:rsid w:val="004E6321"/>
    <w:rsid w:val="004E71B4"/>
    <w:rsid w:val="004F16A4"/>
    <w:rsid w:val="004F282C"/>
    <w:rsid w:val="004F2E09"/>
    <w:rsid w:val="004F4FBB"/>
    <w:rsid w:val="004F5224"/>
    <w:rsid w:val="004F5CF8"/>
    <w:rsid w:val="004F5FBF"/>
    <w:rsid w:val="004F6062"/>
    <w:rsid w:val="004F622D"/>
    <w:rsid w:val="004F7D91"/>
    <w:rsid w:val="00500812"/>
    <w:rsid w:val="0050208F"/>
    <w:rsid w:val="005022AF"/>
    <w:rsid w:val="0050233C"/>
    <w:rsid w:val="0050401C"/>
    <w:rsid w:val="0050454F"/>
    <w:rsid w:val="00505296"/>
    <w:rsid w:val="00505CDB"/>
    <w:rsid w:val="0050685A"/>
    <w:rsid w:val="00507196"/>
    <w:rsid w:val="00507727"/>
    <w:rsid w:val="00507D9D"/>
    <w:rsid w:val="005103EF"/>
    <w:rsid w:val="00510A1C"/>
    <w:rsid w:val="005119B3"/>
    <w:rsid w:val="00511FFF"/>
    <w:rsid w:val="00512707"/>
    <w:rsid w:val="00514165"/>
    <w:rsid w:val="0051431B"/>
    <w:rsid w:val="00514931"/>
    <w:rsid w:val="00514A8F"/>
    <w:rsid w:val="0052021E"/>
    <w:rsid w:val="005235DC"/>
    <w:rsid w:val="00523BC0"/>
    <w:rsid w:val="00524314"/>
    <w:rsid w:val="0052433C"/>
    <w:rsid w:val="00524654"/>
    <w:rsid w:val="00524D8E"/>
    <w:rsid w:val="00524F1D"/>
    <w:rsid w:val="0052551C"/>
    <w:rsid w:val="005275BA"/>
    <w:rsid w:val="00530B10"/>
    <w:rsid w:val="0053166E"/>
    <w:rsid w:val="0053243F"/>
    <w:rsid w:val="005324FA"/>
    <w:rsid w:val="00533EA2"/>
    <w:rsid w:val="00534CD0"/>
    <w:rsid w:val="00535E58"/>
    <w:rsid w:val="00536CE2"/>
    <w:rsid w:val="00537206"/>
    <w:rsid w:val="00537306"/>
    <w:rsid w:val="00537C2D"/>
    <w:rsid w:val="0054014B"/>
    <w:rsid w:val="00541F54"/>
    <w:rsid w:val="005429B4"/>
    <w:rsid w:val="00542BF4"/>
    <w:rsid w:val="005436E5"/>
    <w:rsid w:val="005438E9"/>
    <w:rsid w:val="00544CA0"/>
    <w:rsid w:val="0054767B"/>
    <w:rsid w:val="0054769D"/>
    <w:rsid w:val="00551609"/>
    <w:rsid w:val="00552572"/>
    <w:rsid w:val="0055350F"/>
    <w:rsid w:val="00553F24"/>
    <w:rsid w:val="005545E1"/>
    <w:rsid w:val="00555DF5"/>
    <w:rsid w:val="00556266"/>
    <w:rsid w:val="00556870"/>
    <w:rsid w:val="00557786"/>
    <w:rsid w:val="00557968"/>
    <w:rsid w:val="00560BF6"/>
    <w:rsid w:val="00561527"/>
    <w:rsid w:val="00562213"/>
    <w:rsid w:val="0056276B"/>
    <w:rsid w:val="00562D13"/>
    <w:rsid w:val="00562EF2"/>
    <w:rsid w:val="0056692E"/>
    <w:rsid w:val="00567880"/>
    <w:rsid w:val="00570DEA"/>
    <w:rsid w:val="00570E58"/>
    <w:rsid w:val="005714F9"/>
    <w:rsid w:val="00572015"/>
    <w:rsid w:val="00572EB4"/>
    <w:rsid w:val="00572FF1"/>
    <w:rsid w:val="005733DD"/>
    <w:rsid w:val="005752B3"/>
    <w:rsid w:val="00575660"/>
    <w:rsid w:val="00575BE7"/>
    <w:rsid w:val="005764A4"/>
    <w:rsid w:val="005775FA"/>
    <w:rsid w:val="0058021B"/>
    <w:rsid w:val="0058033F"/>
    <w:rsid w:val="005815D8"/>
    <w:rsid w:val="00582327"/>
    <w:rsid w:val="0058324E"/>
    <w:rsid w:val="00583AFD"/>
    <w:rsid w:val="00584E47"/>
    <w:rsid w:val="0058528E"/>
    <w:rsid w:val="005862D1"/>
    <w:rsid w:val="00587440"/>
    <w:rsid w:val="00587B5B"/>
    <w:rsid w:val="00587FAF"/>
    <w:rsid w:val="00590AD6"/>
    <w:rsid w:val="00592013"/>
    <w:rsid w:val="00592A11"/>
    <w:rsid w:val="00592C7B"/>
    <w:rsid w:val="00593E59"/>
    <w:rsid w:val="00595420"/>
    <w:rsid w:val="00595F7E"/>
    <w:rsid w:val="0059656D"/>
    <w:rsid w:val="00596AFA"/>
    <w:rsid w:val="005A0411"/>
    <w:rsid w:val="005A27C6"/>
    <w:rsid w:val="005A31E1"/>
    <w:rsid w:val="005A3501"/>
    <w:rsid w:val="005A3935"/>
    <w:rsid w:val="005A6D5F"/>
    <w:rsid w:val="005A74D9"/>
    <w:rsid w:val="005A786F"/>
    <w:rsid w:val="005A7F15"/>
    <w:rsid w:val="005A7F98"/>
    <w:rsid w:val="005B032E"/>
    <w:rsid w:val="005B1702"/>
    <w:rsid w:val="005B1BAC"/>
    <w:rsid w:val="005B1BC5"/>
    <w:rsid w:val="005B20D6"/>
    <w:rsid w:val="005B29D4"/>
    <w:rsid w:val="005B3446"/>
    <w:rsid w:val="005B4C45"/>
    <w:rsid w:val="005B560F"/>
    <w:rsid w:val="005B62F2"/>
    <w:rsid w:val="005B661A"/>
    <w:rsid w:val="005B7148"/>
    <w:rsid w:val="005C08AF"/>
    <w:rsid w:val="005C0945"/>
    <w:rsid w:val="005C1215"/>
    <w:rsid w:val="005C12DD"/>
    <w:rsid w:val="005C1ACF"/>
    <w:rsid w:val="005C36E5"/>
    <w:rsid w:val="005C45F5"/>
    <w:rsid w:val="005C4B3E"/>
    <w:rsid w:val="005C50C8"/>
    <w:rsid w:val="005C6787"/>
    <w:rsid w:val="005C7E82"/>
    <w:rsid w:val="005D0165"/>
    <w:rsid w:val="005D064B"/>
    <w:rsid w:val="005D0BAC"/>
    <w:rsid w:val="005D320A"/>
    <w:rsid w:val="005D4F02"/>
    <w:rsid w:val="005D52AE"/>
    <w:rsid w:val="005D5528"/>
    <w:rsid w:val="005D6387"/>
    <w:rsid w:val="005D736A"/>
    <w:rsid w:val="005D74DF"/>
    <w:rsid w:val="005D7AA6"/>
    <w:rsid w:val="005E09A3"/>
    <w:rsid w:val="005E169B"/>
    <w:rsid w:val="005E16C3"/>
    <w:rsid w:val="005E1B3E"/>
    <w:rsid w:val="005E1C71"/>
    <w:rsid w:val="005E21DD"/>
    <w:rsid w:val="005E2808"/>
    <w:rsid w:val="005E3877"/>
    <w:rsid w:val="005E3EBD"/>
    <w:rsid w:val="005E4D70"/>
    <w:rsid w:val="005E4F11"/>
    <w:rsid w:val="005E4F3B"/>
    <w:rsid w:val="005E4F54"/>
    <w:rsid w:val="005E52E9"/>
    <w:rsid w:val="005E5D0F"/>
    <w:rsid w:val="005E62F5"/>
    <w:rsid w:val="005E7360"/>
    <w:rsid w:val="005E7C77"/>
    <w:rsid w:val="005F0A76"/>
    <w:rsid w:val="005F0B8C"/>
    <w:rsid w:val="005F1A1C"/>
    <w:rsid w:val="005F21AF"/>
    <w:rsid w:val="005F21BF"/>
    <w:rsid w:val="005F2CCE"/>
    <w:rsid w:val="005F2D85"/>
    <w:rsid w:val="005F456A"/>
    <w:rsid w:val="005F4872"/>
    <w:rsid w:val="005F56D2"/>
    <w:rsid w:val="005F7455"/>
    <w:rsid w:val="00600327"/>
    <w:rsid w:val="0060054A"/>
    <w:rsid w:val="00601249"/>
    <w:rsid w:val="00601645"/>
    <w:rsid w:val="00601FA8"/>
    <w:rsid w:val="006021D8"/>
    <w:rsid w:val="00602DBE"/>
    <w:rsid w:val="00602FC6"/>
    <w:rsid w:val="00603807"/>
    <w:rsid w:val="00603D73"/>
    <w:rsid w:val="00604314"/>
    <w:rsid w:val="00604A6D"/>
    <w:rsid w:val="00604D7E"/>
    <w:rsid w:val="0060515D"/>
    <w:rsid w:val="0060621C"/>
    <w:rsid w:val="00606ED1"/>
    <w:rsid w:val="00607DD2"/>
    <w:rsid w:val="006102D9"/>
    <w:rsid w:val="00610403"/>
    <w:rsid w:val="00610558"/>
    <w:rsid w:val="00610AB2"/>
    <w:rsid w:val="00610C95"/>
    <w:rsid w:val="00610FE7"/>
    <w:rsid w:val="00612563"/>
    <w:rsid w:val="0061263B"/>
    <w:rsid w:val="006128F5"/>
    <w:rsid w:val="00613179"/>
    <w:rsid w:val="0061332F"/>
    <w:rsid w:val="006143EF"/>
    <w:rsid w:val="006144D7"/>
    <w:rsid w:val="00617BC8"/>
    <w:rsid w:val="00620671"/>
    <w:rsid w:val="00620B41"/>
    <w:rsid w:val="00622B5E"/>
    <w:rsid w:val="00622C87"/>
    <w:rsid w:val="00624912"/>
    <w:rsid w:val="0062528C"/>
    <w:rsid w:val="006264F5"/>
    <w:rsid w:val="00626E9B"/>
    <w:rsid w:val="00627F8C"/>
    <w:rsid w:val="00630108"/>
    <w:rsid w:val="006303F8"/>
    <w:rsid w:val="006305BF"/>
    <w:rsid w:val="00630E2F"/>
    <w:rsid w:val="00631392"/>
    <w:rsid w:val="006318CD"/>
    <w:rsid w:val="00631C84"/>
    <w:rsid w:val="006336A2"/>
    <w:rsid w:val="0063457D"/>
    <w:rsid w:val="00634E8A"/>
    <w:rsid w:val="00634F67"/>
    <w:rsid w:val="00636B9C"/>
    <w:rsid w:val="006375B0"/>
    <w:rsid w:val="00637D6F"/>
    <w:rsid w:val="00640219"/>
    <w:rsid w:val="006402A9"/>
    <w:rsid w:val="00640E7C"/>
    <w:rsid w:val="006419A3"/>
    <w:rsid w:val="00641C3A"/>
    <w:rsid w:val="00643184"/>
    <w:rsid w:val="0064320E"/>
    <w:rsid w:val="00643E57"/>
    <w:rsid w:val="00644FDD"/>
    <w:rsid w:val="0064516B"/>
    <w:rsid w:val="0064551D"/>
    <w:rsid w:val="0064612F"/>
    <w:rsid w:val="006467F4"/>
    <w:rsid w:val="00646A0D"/>
    <w:rsid w:val="00646E0C"/>
    <w:rsid w:val="00650E39"/>
    <w:rsid w:val="006512FB"/>
    <w:rsid w:val="0065195E"/>
    <w:rsid w:val="00651F64"/>
    <w:rsid w:val="00652463"/>
    <w:rsid w:val="006545AC"/>
    <w:rsid w:val="00655390"/>
    <w:rsid w:val="006568B7"/>
    <w:rsid w:val="00656CC7"/>
    <w:rsid w:val="00657F7E"/>
    <w:rsid w:val="006609A1"/>
    <w:rsid w:val="00661814"/>
    <w:rsid w:val="00662E63"/>
    <w:rsid w:val="00663081"/>
    <w:rsid w:val="00663CC7"/>
    <w:rsid w:val="006640E7"/>
    <w:rsid w:val="00664D9C"/>
    <w:rsid w:val="00664FA3"/>
    <w:rsid w:val="0066540E"/>
    <w:rsid w:val="006657A5"/>
    <w:rsid w:val="00670042"/>
    <w:rsid w:val="006703B8"/>
    <w:rsid w:val="006703C3"/>
    <w:rsid w:val="006733F3"/>
    <w:rsid w:val="006735D8"/>
    <w:rsid w:val="006744A4"/>
    <w:rsid w:val="00675A0F"/>
    <w:rsid w:val="00675FE1"/>
    <w:rsid w:val="00676310"/>
    <w:rsid w:val="00676CD1"/>
    <w:rsid w:val="0067721B"/>
    <w:rsid w:val="006806E6"/>
    <w:rsid w:val="00680814"/>
    <w:rsid w:val="00680B64"/>
    <w:rsid w:val="006821E2"/>
    <w:rsid w:val="006841FE"/>
    <w:rsid w:val="0068473D"/>
    <w:rsid w:val="00685165"/>
    <w:rsid w:val="00686441"/>
    <w:rsid w:val="00687953"/>
    <w:rsid w:val="00687BD5"/>
    <w:rsid w:val="00687E92"/>
    <w:rsid w:val="006908AA"/>
    <w:rsid w:val="006911C4"/>
    <w:rsid w:val="00691666"/>
    <w:rsid w:val="00692801"/>
    <w:rsid w:val="00692C1A"/>
    <w:rsid w:val="006932E6"/>
    <w:rsid w:val="006934FF"/>
    <w:rsid w:val="00693CD2"/>
    <w:rsid w:val="00694177"/>
    <w:rsid w:val="00694D29"/>
    <w:rsid w:val="00695268"/>
    <w:rsid w:val="006959D3"/>
    <w:rsid w:val="00696643"/>
    <w:rsid w:val="00696D33"/>
    <w:rsid w:val="006A0315"/>
    <w:rsid w:val="006A0866"/>
    <w:rsid w:val="006A33BE"/>
    <w:rsid w:val="006A38BA"/>
    <w:rsid w:val="006A497E"/>
    <w:rsid w:val="006A4A5F"/>
    <w:rsid w:val="006A51C2"/>
    <w:rsid w:val="006A5725"/>
    <w:rsid w:val="006A65D4"/>
    <w:rsid w:val="006A7988"/>
    <w:rsid w:val="006A7C00"/>
    <w:rsid w:val="006B049C"/>
    <w:rsid w:val="006B0646"/>
    <w:rsid w:val="006B0657"/>
    <w:rsid w:val="006B0884"/>
    <w:rsid w:val="006B0EA6"/>
    <w:rsid w:val="006B1A8E"/>
    <w:rsid w:val="006B4900"/>
    <w:rsid w:val="006B53AF"/>
    <w:rsid w:val="006B5445"/>
    <w:rsid w:val="006B5EE7"/>
    <w:rsid w:val="006B6C38"/>
    <w:rsid w:val="006B769D"/>
    <w:rsid w:val="006B76A4"/>
    <w:rsid w:val="006B780C"/>
    <w:rsid w:val="006B79B6"/>
    <w:rsid w:val="006C2362"/>
    <w:rsid w:val="006C23B1"/>
    <w:rsid w:val="006C393F"/>
    <w:rsid w:val="006C41AD"/>
    <w:rsid w:val="006C459F"/>
    <w:rsid w:val="006C5DB3"/>
    <w:rsid w:val="006C5DED"/>
    <w:rsid w:val="006C62F0"/>
    <w:rsid w:val="006C6CD9"/>
    <w:rsid w:val="006C6FF0"/>
    <w:rsid w:val="006D087E"/>
    <w:rsid w:val="006D22EE"/>
    <w:rsid w:val="006D22F0"/>
    <w:rsid w:val="006D29F2"/>
    <w:rsid w:val="006D2F9E"/>
    <w:rsid w:val="006D3F7C"/>
    <w:rsid w:val="006D43AF"/>
    <w:rsid w:val="006D4E01"/>
    <w:rsid w:val="006D518D"/>
    <w:rsid w:val="006D5AD2"/>
    <w:rsid w:val="006D6028"/>
    <w:rsid w:val="006D6B9E"/>
    <w:rsid w:val="006E0EC1"/>
    <w:rsid w:val="006E12D2"/>
    <w:rsid w:val="006E1E06"/>
    <w:rsid w:val="006E381F"/>
    <w:rsid w:val="006E5563"/>
    <w:rsid w:val="006E59D0"/>
    <w:rsid w:val="006E5E3C"/>
    <w:rsid w:val="006E75CC"/>
    <w:rsid w:val="006E7954"/>
    <w:rsid w:val="006F0801"/>
    <w:rsid w:val="006F0B67"/>
    <w:rsid w:val="006F1B7E"/>
    <w:rsid w:val="006F2E53"/>
    <w:rsid w:val="006F3EC6"/>
    <w:rsid w:val="006F3F30"/>
    <w:rsid w:val="006F4293"/>
    <w:rsid w:val="006F4BD5"/>
    <w:rsid w:val="006F4F37"/>
    <w:rsid w:val="006F595E"/>
    <w:rsid w:val="006F6776"/>
    <w:rsid w:val="006F7301"/>
    <w:rsid w:val="006F771A"/>
    <w:rsid w:val="006F7C82"/>
    <w:rsid w:val="007002C1"/>
    <w:rsid w:val="00700653"/>
    <w:rsid w:val="00700760"/>
    <w:rsid w:val="00700951"/>
    <w:rsid w:val="00700E0F"/>
    <w:rsid w:val="007037C8"/>
    <w:rsid w:val="00704A80"/>
    <w:rsid w:val="00704DD0"/>
    <w:rsid w:val="0070527B"/>
    <w:rsid w:val="00705A91"/>
    <w:rsid w:val="00707384"/>
    <w:rsid w:val="00707DBF"/>
    <w:rsid w:val="007104A5"/>
    <w:rsid w:val="007104C2"/>
    <w:rsid w:val="007106C9"/>
    <w:rsid w:val="007111D7"/>
    <w:rsid w:val="007120EB"/>
    <w:rsid w:val="0071291B"/>
    <w:rsid w:val="00716034"/>
    <w:rsid w:val="00716149"/>
    <w:rsid w:val="00717019"/>
    <w:rsid w:val="00717060"/>
    <w:rsid w:val="00720320"/>
    <w:rsid w:val="00720FA6"/>
    <w:rsid w:val="007212AD"/>
    <w:rsid w:val="007213FE"/>
    <w:rsid w:val="00722579"/>
    <w:rsid w:val="007231E4"/>
    <w:rsid w:val="00723B53"/>
    <w:rsid w:val="00724C65"/>
    <w:rsid w:val="00725317"/>
    <w:rsid w:val="0072565A"/>
    <w:rsid w:val="00730039"/>
    <w:rsid w:val="00730E52"/>
    <w:rsid w:val="00731505"/>
    <w:rsid w:val="0073171B"/>
    <w:rsid w:val="0073217E"/>
    <w:rsid w:val="007330A5"/>
    <w:rsid w:val="0073334E"/>
    <w:rsid w:val="00733AA9"/>
    <w:rsid w:val="00734F1E"/>
    <w:rsid w:val="007355BE"/>
    <w:rsid w:val="007356F4"/>
    <w:rsid w:val="00740902"/>
    <w:rsid w:val="00744117"/>
    <w:rsid w:val="00745647"/>
    <w:rsid w:val="007458F8"/>
    <w:rsid w:val="00745A17"/>
    <w:rsid w:val="00745DDE"/>
    <w:rsid w:val="00747408"/>
    <w:rsid w:val="0075008F"/>
    <w:rsid w:val="007506BB"/>
    <w:rsid w:val="00750963"/>
    <w:rsid w:val="00751372"/>
    <w:rsid w:val="00752657"/>
    <w:rsid w:val="0075342C"/>
    <w:rsid w:val="007609AC"/>
    <w:rsid w:val="007615EF"/>
    <w:rsid w:val="007615FB"/>
    <w:rsid w:val="00766678"/>
    <w:rsid w:val="007675FA"/>
    <w:rsid w:val="0077051C"/>
    <w:rsid w:val="00770D9E"/>
    <w:rsid w:val="007713A3"/>
    <w:rsid w:val="0077174E"/>
    <w:rsid w:val="00771C19"/>
    <w:rsid w:val="007724CF"/>
    <w:rsid w:val="00773ECC"/>
    <w:rsid w:val="00773FF6"/>
    <w:rsid w:val="007740F4"/>
    <w:rsid w:val="00774C98"/>
    <w:rsid w:val="00775153"/>
    <w:rsid w:val="00775A41"/>
    <w:rsid w:val="00775E30"/>
    <w:rsid w:val="00776458"/>
    <w:rsid w:val="00776509"/>
    <w:rsid w:val="007769DB"/>
    <w:rsid w:val="00776B6D"/>
    <w:rsid w:val="007771BF"/>
    <w:rsid w:val="00777766"/>
    <w:rsid w:val="00777885"/>
    <w:rsid w:val="00777973"/>
    <w:rsid w:val="0078178A"/>
    <w:rsid w:val="00781F08"/>
    <w:rsid w:val="007822C6"/>
    <w:rsid w:val="007832D6"/>
    <w:rsid w:val="00783B1B"/>
    <w:rsid w:val="00784861"/>
    <w:rsid w:val="00786AC7"/>
    <w:rsid w:val="007902AF"/>
    <w:rsid w:val="00791931"/>
    <w:rsid w:val="0079221D"/>
    <w:rsid w:val="00792941"/>
    <w:rsid w:val="00792C4C"/>
    <w:rsid w:val="00792F33"/>
    <w:rsid w:val="00792F51"/>
    <w:rsid w:val="007933A3"/>
    <w:rsid w:val="00794648"/>
    <w:rsid w:val="007948CD"/>
    <w:rsid w:val="00794D5E"/>
    <w:rsid w:val="0079521A"/>
    <w:rsid w:val="0079548C"/>
    <w:rsid w:val="00795B13"/>
    <w:rsid w:val="00795F94"/>
    <w:rsid w:val="007961B3"/>
    <w:rsid w:val="00796A30"/>
    <w:rsid w:val="00796FBA"/>
    <w:rsid w:val="007976B4"/>
    <w:rsid w:val="007978B4"/>
    <w:rsid w:val="00797B78"/>
    <w:rsid w:val="007A1126"/>
    <w:rsid w:val="007A164D"/>
    <w:rsid w:val="007A166A"/>
    <w:rsid w:val="007A1A96"/>
    <w:rsid w:val="007A1AC2"/>
    <w:rsid w:val="007A2134"/>
    <w:rsid w:val="007A25D4"/>
    <w:rsid w:val="007A2D7C"/>
    <w:rsid w:val="007A36D2"/>
    <w:rsid w:val="007A4626"/>
    <w:rsid w:val="007A4E39"/>
    <w:rsid w:val="007A74A7"/>
    <w:rsid w:val="007A7BFF"/>
    <w:rsid w:val="007B09D2"/>
    <w:rsid w:val="007B1130"/>
    <w:rsid w:val="007B1D8E"/>
    <w:rsid w:val="007B2132"/>
    <w:rsid w:val="007B2605"/>
    <w:rsid w:val="007B30D8"/>
    <w:rsid w:val="007B3B26"/>
    <w:rsid w:val="007B3FDC"/>
    <w:rsid w:val="007B40B8"/>
    <w:rsid w:val="007B5823"/>
    <w:rsid w:val="007B6D75"/>
    <w:rsid w:val="007B7FC9"/>
    <w:rsid w:val="007C078B"/>
    <w:rsid w:val="007C321C"/>
    <w:rsid w:val="007C34C6"/>
    <w:rsid w:val="007C3874"/>
    <w:rsid w:val="007C4013"/>
    <w:rsid w:val="007C44C0"/>
    <w:rsid w:val="007C54A9"/>
    <w:rsid w:val="007D03DE"/>
    <w:rsid w:val="007D0649"/>
    <w:rsid w:val="007D11CA"/>
    <w:rsid w:val="007D12E5"/>
    <w:rsid w:val="007D16CA"/>
    <w:rsid w:val="007D1E98"/>
    <w:rsid w:val="007D2184"/>
    <w:rsid w:val="007D221B"/>
    <w:rsid w:val="007D2610"/>
    <w:rsid w:val="007D28DE"/>
    <w:rsid w:val="007D2BC3"/>
    <w:rsid w:val="007D38E5"/>
    <w:rsid w:val="007D3946"/>
    <w:rsid w:val="007D3BF3"/>
    <w:rsid w:val="007D4485"/>
    <w:rsid w:val="007D4F29"/>
    <w:rsid w:val="007D5FE2"/>
    <w:rsid w:val="007D6050"/>
    <w:rsid w:val="007D6E51"/>
    <w:rsid w:val="007D7E6E"/>
    <w:rsid w:val="007E0026"/>
    <w:rsid w:val="007E1C94"/>
    <w:rsid w:val="007E1F82"/>
    <w:rsid w:val="007E358E"/>
    <w:rsid w:val="007E3E7A"/>
    <w:rsid w:val="007E4578"/>
    <w:rsid w:val="007E5273"/>
    <w:rsid w:val="007E5326"/>
    <w:rsid w:val="007E5533"/>
    <w:rsid w:val="007E5666"/>
    <w:rsid w:val="007E56A4"/>
    <w:rsid w:val="007E5D51"/>
    <w:rsid w:val="007E5F3C"/>
    <w:rsid w:val="007E62B4"/>
    <w:rsid w:val="007E74B8"/>
    <w:rsid w:val="007F0918"/>
    <w:rsid w:val="007F0A28"/>
    <w:rsid w:val="007F0BB9"/>
    <w:rsid w:val="007F2346"/>
    <w:rsid w:val="007F2422"/>
    <w:rsid w:val="007F27A2"/>
    <w:rsid w:val="007F311D"/>
    <w:rsid w:val="007F47A3"/>
    <w:rsid w:val="007F623C"/>
    <w:rsid w:val="007F6BA4"/>
    <w:rsid w:val="007F7196"/>
    <w:rsid w:val="007F7866"/>
    <w:rsid w:val="00800E49"/>
    <w:rsid w:val="0080239C"/>
    <w:rsid w:val="008040F0"/>
    <w:rsid w:val="0080454A"/>
    <w:rsid w:val="00805071"/>
    <w:rsid w:val="00806AAF"/>
    <w:rsid w:val="00806B1C"/>
    <w:rsid w:val="00806F93"/>
    <w:rsid w:val="00807897"/>
    <w:rsid w:val="008101ED"/>
    <w:rsid w:val="008105B4"/>
    <w:rsid w:val="008108D2"/>
    <w:rsid w:val="00811763"/>
    <w:rsid w:val="00811938"/>
    <w:rsid w:val="00811DE8"/>
    <w:rsid w:val="00813095"/>
    <w:rsid w:val="00813C6B"/>
    <w:rsid w:val="00814C42"/>
    <w:rsid w:val="00815038"/>
    <w:rsid w:val="00815D8B"/>
    <w:rsid w:val="008169D9"/>
    <w:rsid w:val="0081715C"/>
    <w:rsid w:val="00817971"/>
    <w:rsid w:val="00820808"/>
    <w:rsid w:val="00821FF5"/>
    <w:rsid w:val="008222F7"/>
    <w:rsid w:val="00822A25"/>
    <w:rsid w:val="00822F3B"/>
    <w:rsid w:val="008230B4"/>
    <w:rsid w:val="008236ED"/>
    <w:rsid w:val="00823CFB"/>
    <w:rsid w:val="00824396"/>
    <w:rsid w:val="0082445B"/>
    <w:rsid w:val="00824E87"/>
    <w:rsid w:val="00825177"/>
    <w:rsid w:val="00826540"/>
    <w:rsid w:val="00826BFA"/>
    <w:rsid w:val="00826EE4"/>
    <w:rsid w:val="00827058"/>
    <w:rsid w:val="00830DBC"/>
    <w:rsid w:val="00831637"/>
    <w:rsid w:val="008319B1"/>
    <w:rsid w:val="00831E35"/>
    <w:rsid w:val="00832788"/>
    <w:rsid w:val="008328E0"/>
    <w:rsid w:val="00833132"/>
    <w:rsid w:val="008332A0"/>
    <w:rsid w:val="00833BF1"/>
    <w:rsid w:val="00833C32"/>
    <w:rsid w:val="008353DB"/>
    <w:rsid w:val="00835641"/>
    <w:rsid w:val="00836944"/>
    <w:rsid w:val="00836E1F"/>
    <w:rsid w:val="00837217"/>
    <w:rsid w:val="00837666"/>
    <w:rsid w:val="00837FF4"/>
    <w:rsid w:val="00840952"/>
    <w:rsid w:val="00841743"/>
    <w:rsid w:val="008420EE"/>
    <w:rsid w:val="0084309A"/>
    <w:rsid w:val="00843702"/>
    <w:rsid w:val="008442A7"/>
    <w:rsid w:val="00844794"/>
    <w:rsid w:val="0084499F"/>
    <w:rsid w:val="00845FCE"/>
    <w:rsid w:val="0084661B"/>
    <w:rsid w:val="008469BE"/>
    <w:rsid w:val="00846BF2"/>
    <w:rsid w:val="00846F41"/>
    <w:rsid w:val="0084726F"/>
    <w:rsid w:val="00850706"/>
    <w:rsid w:val="008510EF"/>
    <w:rsid w:val="00853494"/>
    <w:rsid w:val="00853727"/>
    <w:rsid w:val="008550EA"/>
    <w:rsid w:val="00855513"/>
    <w:rsid w:val="00855F44"/>
    <w:rsid w:val="0085656A"/>
    <w:rsid w:val="00856696"/>
    <w:rsid w:val="008568FF"/>
    <w:rsid w:val="00856E84"/>
    <w:rsid w:val="00857093"/>
    <w:rsid w:val="00857B7B"/>
    <w:rsid w:val="008601AC"/>
    <w:rsid w:val="00861649"/>
    <w:rsid w:val="00861AF3"/>
    <w:rsid w:val="00862825"/>
    <w:rsid w:val="00862A06"/>
    <w:rsid w:val="008638E4"/>
    <w:rsid w:val="00863B28"/>
    <w:rsid w:val="00864F3B"/>
    <w:rsid w:val="0086550C"/>
    <w:rsid w:val="00865B9C"/>
    <w:rsid w:val="00865C40"/>
    <w:rsid w:val="00865EC1"/>
    <w:rsid w:val="00866896"/>
    <w:rsid w:val="008668AF"/>
    <w:rsid w:val="00867019"/>
    <w:rsid w:val="00867421"/>
    <w:rsid w:val="008709A4"/>
    <w:rsid w:val="00870CF2"/>
    <w:rsid w:val="008717EE"/>
    <w:rsid w:val="00871E6C"/>
    <w:rsid w:val="00872374"/>
    <w:rsid w:val="008723A3"/>
    <w:rsid w:val="008725C4"/>
    <w:rsid w:val="00872C84"/>
    <w:rsid w:val="00873099"/>
    <w:rsid w:val="008732C4"/>
    <w:rsid w:val="00874036"/>
    <w:rsid w:val="008753F6"/>
    <w:rsid w:val="00875A4F"/>
    <w:rsid w:val="008764EF"/>
    <w:rsid w:val="00877346"/>
    <w:rsid w:val="00877AAC"/>
    <w:rsid w:val="00880F39"/>
    <w:rsid w:val="00881810"/>
    <w:rsid w:val="00881DBB"/>
    <w:rsid w:val="00883A6A"/>
    <w:rsid w:val="00883DC0"/>
    <w:rsid w:val="00884A40"/>
    <w:rsid w:val="00884DE8"/>
    <w:rsid w:val="00885372"/>
    <w:rsid w:val="008858A0"/>
    <w:rsid w:val="00885AE4"/>
    <w:rsid w:val="00887EA2"/>
    <w:rsid w:val="00890D9C"/>
    <w:rsid w:val="00892098"/>
    <w:rsid w:val="00892B78"/>
    <w:rsid w:val="00893B55"/>
    <w:rsid w:val="00893E1A"/>
    <w:rsid w:val="0089481D"/>
    <w:rsid w:val="008949F4"/>
    <w:rsid w:val="0089528E"/>
    <w:rsid w:val="0089629B"/>
    <w:rsid w:val="008962D3"/>
    <w:rsid w:val="0089697A"/>
    <w:rsid w:val="00897AF1"/>
    <w:rsid w:val="008A0E68"/>
    <w:rsid w:val="008A0FB3"/>
    <w:rsid w:val="008A193A"/>
    <w:rsid w:val="008A2416"/>
    <w:rsid w:val="008A59B0"/>
    <w:rsid w:val="008A6DEF"/>
    <w:rsid w:val="008B036B"/>
    <w:rsid w:val="008B14F9"/>
    <w:rsid w:val="008B3BB2"/>
    <w:rsid w:val="008B4095"/>
    <w:rsid w:val="008B4B4B"/>
    <w:rsid w:val="008B4B4E"/>
    <w:rsid w:val="008B4D50"/>
    <w:rsid w:val="008B5FFE"/>
    <w:rsid w:val="008B7057"/>
    <w:rsid w:val="008B73E1"/>
    <w:rsid w:val="008B76A2"/>
    <w:rsid w:val="008B78B2"/>
    <w:rsid w:val="008C0320"/>
    <w:rsid w:val="008C13EC"/>
    <w:rsid w:val="008C14E7"/>
    <w:rsid w:val="008C2410"/>
    <w:rsid w:val="008C2DC8"/>
    <w:rsid w:val="008C381E"/>
    <w:rsid w:val="008C3C9D"/>
    <w:rsid w:val="008C4EC2"/>
    <w:rsid w:val="008C5CE7"/>
    <w:rsid w:val="008C64F1"/>
    <w:rsid w:val="008C7228"/>
    <w:rsid w:val="008D01D9"/>
    <w:rsid w:val="008D04F2"/>
    <w:rsid w:val="008D10AA"/>
    <w:rsid w:val="008D10BC"/>
    <w:rsid w:val="008D1895"/>
    <w:rsid w:val="008D18D7"/>
    <w:rsid w:val="008D2D26"/>
    <w:rsid w:val="008D3160"/>
    <w:rsid w:val="008D5876"/>
    <w:rsid w:val="008D5F33"/>
    <w:rsid w:val="008D772A"/>
    <w:rsid w:val="008D7BD1"/>
    <w:rsid w:val="008E0803"/>
    <w:rsid w:val="008E0CE0"/>
    <w:rsid w:val="008E1636"/>
    <w:rsid w:val="008E166C"/>
    <w:rsid w:val="008E1756"/>
    <w:rsid w:val="008E21E0"/>
    <w:rsid w:val="008E2BDE"/>
    <w:rsid w:val="008E38BA"/>
    <w:rsid w:val="008E3E22"/>
    <w:rsid w:val="008E5818"/>
    <w:rsid w:val="008E5FB6"/>
    <w:rsid w:val="008E73A4"/>
    <w:rsid w:val="008F0898"/>
    <w:rsid w:val="008F0FF0"/>
    <w:rsid w:val="008F240C"/>
    <w:rsid w:val="008F314C"/>
    <w:rsid w:val="008F3A28"/>
    <w:rsid w:val="008F3DB9"/>
    <w:rsid w:val="008F5916"/>
    <w:rsid w:val="008F6E9D"/>
    <w:rsid w:val="008F7181"/>
    <w:rsid w:val="00900AFF"/>
    <w:rsid w:val="009013F8"/>
    <w:rsid w:val="00901BC6"/>
    <w:rsid w:val="00902942"/>
    <w:rsid w:val="00902F12"/>
    <w:rsid w:val="00903638"/>
    <w:rsid w:val="00903E62"/>
    <w:rsid w:val="00904102"/>
    <w:rsid w:val="00904A35"/>
    <w:rsid w:val="00905297"/>
    <w:rsid w:val="00905EE4"/>
    <w:rsid w:val="0090691B"/>
    <w:rsid w:val="00906B93"/>
    <w:rsid w:val="0090715F"/>
    <w:rsid w:val="00907345"/>
    <w:rsid w:val="00911061"/>
    <w:rsid w:val="00912F81"/>
    <w:rsid w:val="00912FFD"/>
    <w:rsid w:val="00913FA9"/>
    <w:rsid w:val="00914118"/>
    <w:rsid w:val="00914700"/>
    <w:rsid w:val="009161B2"/>
    <w:rsid w:val="00921024"/>
    <w:rsid w:val="00921884"/>
    <w:rsid w:val="00921DE4"/>
    <w:rsid w:val="009228DE"/>
    <w:rsid w:val="00923212"/>
    <w:rsid w:val="00927F43"/>
    <w:rsid w:val="00927F4A"/>
    <w:rsid w:val="00930129"/>
    <w:rsid w:val="009303B2"/>
    <w:rsid w:val="0093061B"/>
    <w:rsid w:val="00930731"/>
    <w:rsid w:val="00930C3F"/>
    <w:rsid w:val="0093167E"/>
    <w:rsid w:val="00931BAF"/>
    <w:rsid w:val="00932AB1"/>
    <w:rsid w:val="00933128"/>
    <w:rsid w:val="00933ACD"/>
    <w:rsid w:val="0093461A"/>
    <w:rsid w:val="00934C48"/>
    <w:rsid w:val="00934C7C"/>
    <w:rsid w:val="0093559C"/>
    <w:rsid w:val="009369ED"/>
    <w:rsid w:val="00937698"/>
    <w:rsid w:val="009418C3"/>
    <w:rsid w:val="009422CB"/>
    <w:rsid w:val="00942DCA"/>
    <w:rsid w:val="00943B94"/>
    <w:rsid w:val="00943D04"/>
    <w:rsid w:val="00943F8F"/>
    <w:rsid w:val="00945F31"/>
    <w:rsid w:val="009479BA"/>
    <w:rsid w:val="00947BAD"/>
    <w:rsid w:val="0095031A"/>
    <w:rsid w:val="0095060E"/>
    <w:rsid w:val="00950D99"/>
    <w:rsid w:val="00951048"/>
    <w:rsid w:val="009514AA"/>
    <w:rsid w:val="009519A0"/>
    <w:rsid w:val="00953836"/>
    <w:rsid w:val="00953C9F"/>
    <w:rsid w:val="009556AF"/>
    <w:rsid w:val="009568C6"/>
    <w:rsid w:val="009577B3"/>
    <w:rsid w:val="00957BE6"/>
    <w:rsid w:val="00960DA5"/>
    <w:rsid w:val="00961216"/>
    <w:rsid w:val="00962F33"/>
    <w:rsid w:val="00963C7D"/>
    <w:rsid w:val="00963F34"/>
    <w:rsid w:val="00964037"/>
    <w:rsid w:val="00967246"/>
    <w:rsid w:val="00967A84"/>
    <w:rsid w:val="00970CD6"/>
    <w:rsid w:val="00970DA5"/>
    <w:rsid w:val="0097367E"/>
    <w:rsid w:val="00975744"/>
    <w:rsid w:val="00981501"/>
    <w:rsid w:val="00981FDA"/>
    <w:rsid w:val="00982CAC"/>
    <w:rsid w:val="00982D97"/>
    <w:rsid w:val="00984C9A"/>
    <w:rsid w:val="00985E2D"/>
    <w:rsid w:val="00986BD9"/>
    <w:rsid w:val="00986FD9"/>
    <w:rsid w:val="00987860"/>
    <w:rsid w:val="00990CEB"/>
    <w:rsid w:val="00991099"/>
    <w:rsid w:val="0099161D"/>
    <w:rsid w:val="00992105"/>
    <w:rsid w:val="0099295A"/>
    <w:rsid w:val="00992D28"/>
    <w:rsid w:val="00993CF8"/>
    <w:rsid w:val="0099442D"/>
    <w:rsid w:val="00994552"/>
    <w:rsid w:val="00994B75"/>
    <w:rsid w:val="009950B3"/>
    <w:rsid w:val="00995240"/>
    <w:rsid w:val="009952BC"/>
    <w:rsid w:val="00995540"/>
    <w:rsid w:val="009966F1"/>
    <w:rsid w:val="0099722C"/>
    <w:rsid w:val="009A02E9"/>
    <w:rsid w:val="009A0C0C"/>
    <w:rsid w:val="009A3EE5"/>
    <w:rsid w:val="009A3F1D"/>
    <w:rsid w:val="009A5A63"/>
    <w:rsid w:val="009A72A0"/>
    <w:rsid w:val="009A72AB"/>
    <w:rsid w:val="009B4485"/>
    <w:rsid w:val="009B4831"/>
    <w:rsid w:val="009B53C9"/>
    <w:rsid w:val="009B5CED"/>
    <w:rsid w:val="009B62D8"/>
    <w:rsid w:val="009B65CD"/>
    <w:rsid w:val="009B67ED"/>
    <w:rsid w:val="009B7889"/>
    <w:rsid w:val="009C035D"/>
    <w:rsid w:val="009C2082"/>
    <w:rsid w:val="009C21EB"/>
    <w:rsid w:val="009C519A"/>
    <w:rsid w:val="009C5FA3"/>
    <w:rsid w:val="009D07E2"/>
    <w:rsid w:val="009D0F0D"/>
    <w:rsid w:val="009D1626"/>
    <w:rsid w:val="009D2383"/>
    <w:rsid w:val="009D435E"/>
    <w:rsid w:val="009D4E5B"/>
    <w:rsid w:val="009D5044"/>
    <w:rsid w:val="009D5314"/>
    <w:rsid w:val="009D53BE"/>
    <w:rsid w:val="009E0A6B"/>
    <w:rsid w:val="009E0D0E"/>
    <w:rsid w:val="009E0FF9"/>
    <w:rsid w:val="009E1043"/>
    <w:rsid w:val="009E1901"/>
    <w:rsid w:val="009E2D55"/>
    <w:rsid w:val="009E2FB6"/>
    <w:rsid w:val="009E35D2"/>
    <w:rsid w:val="009E3F7D"/>
    <w:rsid w:val="009E47F4"/>
    <w:rsid w:val="009E7055"/>
    <w:rsid w:val="009E7264"/>
    <w:rsid w:val="009F1CBF"/>
    <w:rsid w:val="009F262A"/>
    <w:rsid w:val="009F330C"/>
    <w:rsid w:val="009F5415"/>
    <w:rsid w:val="009F5C74"/>
    <w:rsid w:val="009F7D5B"/>
    <w:rsid w:val="009F7EF4"/>
    <w:rsid w:val="00A01827"/>
    <w:rsid w:val="00A01DF6"/>
    <w:rsid w:val="00A02170"/>
    <w:rsid w:val="00A02402"/>
    <w:rsid w:val="00A02B64"/>
    <w:rsid w:val="00A04DC6"/>
    <w:rsid w:val="00A0564D"/>
    <w:rsid w:val="00A0691C"/>
    <w:rsid w:val="00A07011"/>
    <w:rsid w:val="00A07809"/>
    <w:rsid w:val="00A0792B"/>
    <w:rsid w:val="00A07C82"/>
    <w:rsid w:val="00A11ABD"/>
    <w:rsid w:val="00A12212"/>
    <w:rsid w:val="00A123E1"/>
    <w:rsid w:val="00A1294E"/>
    <w:rsid w:val="00A12AFB"/>
    <w:rsid w:val="00A1340C"/>
    <w:rsid w:val="00A142F5"/>
    <w:rsid w:val="00A14499"/>
    <w:rsid w:val="00A15B45"/>
    <w:rsid w:val="00A169AE"/>
    <w:rsid w:val="00A175F9"/>
    <w:rsid w:val="00A17609"/>
    <w:rsid w:val="00A1799B"/>
    <w:rsid w:val="00A209EF"/>
    <w:rsid w:val="00A21180"/>
    <w:rsid w:val="00A21533"/>
    <w:rsid w:val="00A218FB"/>
    <w:rsid w:val="00A21D7F"/>
    <w:rsid w:val="00A226EF"/>
    <w:rsid w:val="00A22C93"/>
    <w:rsid w:val="00A25F63"/>
    <w:rsid w:val="00A267C5"/>
    <w:rsid w:val="00A27042"/>
    <w:rsid w:val="00A30887"/>
    <w:rsid w:val="00A30EF7"/>
    <w:rsid w:val="00A31D22"/>
    <w:rsid w:val="00A34106"/>
    <w:rsid w:val="00A3648F"/>
    <w:rsid w:val="00A368F4"/>
    <w:rsid w:val="00A37B65"/>
    <w:rsid w:val="00A37B6C"/>
    <w:rsid w:val="00A37C24"/>
    <w:rsid w:val="00A37DE8"/>
    <w:rsid w:val="00A409A1"/>
    <w:rsid w:val="00A40EBA"/>
    <w:rsid w:val="00A41872"/>
    <w:rsid w:val="00A425EF"/>
    <w:rsid w:val="00A429C3"/>
    <w:rsid w:val="00A437FB"/>
    <w:rsid w:val="00A45737"/>
    <w:rsid w:val="00A45B3A"/>
    <w:rsid w:val="00A45F88"/>
    <w:rsid w:val="00A463E9"/>
    <w:rsid w:val="00A46A2C"/>
    <w:rsid w:val="00A50B51"/>
    <w:rsid w:val="00A511EA"/>
    <w:rsid w:val="00A5253B"/>
    <w:rsid w:val="00A53640"/>
    <w:rsid w:val="00A53D33"/>
    <w:rsid w:val="00A552AC"/>
    <w:rsid w:val="00A559F8"/>
    <w:rsid w:val="00A56B0C"/>
    <w:rsid w:val="00A6048E"/>
    <w:rsid w:val="00A60C6F"/>
    <w:rsid w:val="00A61127"/>
    <w:rsid w:val="00A62007"/>
    <w:rsid w:val="00A62615"/>
    <w:rsid w:val="00A630F9"/>
    <w:rsid w:val="00A63A08"/>
    <w:rsid w:val="00A63C2F"/>
    <w:rsid w:val="00A6408B"/>
    <w:rsid w:val="00A6517A"/>
    <w:rsid w:val="00A66168"/>
    <w:rsid w:val="00A661E5"/>
    <w:rsid w:val="00A6698D"/>
    <w:rsid w:val="00A670B9"/>
    <w:rsid w:val="00A677AC"/>
    <w:rsid w:val="00A70BC0"/>
    <w:rsid w:val="00A70C0E"/>
    <w:rsid w:val="00A71290"/>
    <w:rsid w:val="00A71DA3"/>
    <w:rsid w:val="00A7244F"/>
    <w:rsid w:val="00A73945"/>
    <w:rsid w:val="00A75494"/>
    <w:rsid w:val="00A756DB"/>
    <w:rsid w:val="00A757CA"/>
    <w:rsid w:val="00A75D38"/>
    <w:rsid w:val="00A77C50"/>
    <w:rsid w:val="00A8179C"/>
    <w:rsid w:val="00A81F59"/>
    <w:rsid w:val="00A81F9B"/>
    <w:rsid w:val="00A8263A"/>
    <w:rsid w:val="00A82695"/>
    <w:rsid w:val="00A82B2E"/>
    <w:rsid w:val="00A82B9E"/>
    <w:rsid w:val="00A82EF8"/>
    <w:rsid w:val="00A83A7D"/>
    <w:rsid w:val="00A84DFA"/>
    <w:rsid w:val="00A85099"/>
    <w:rsid w:val="00A85456"/>
    <w:rsid w:val="00A85CD8"/>
    <w:rsid w:val="00A866F8"/>
    <w:rsid w:val="00A87897"/>
    <w:rsid w:val="00A910F2"/>
    <w:rsid w:val="00A932E9"/>
    <w:rsid w:val="00A9411A"/>
    <w:rsid w:val="00A94398"/>
    <w:rsid w:val="00A94795"/>
    <w:rsid w:val="00A95755"/>
    <w:rsid w:val="00A97502"/>
    <w:rsid w:val="00AA04C2"/>
    <w:rsid w:val="00AA0598"/>
    <w:rsid w:val="00AA182D"/>
    <w:rsid w:val="00AA29CA"/>
    <w:rsid w:val="00AA29F2"/>
    <w:rsid w:val="00AA384E"/>
    <w:rsid w:val="00AA4711"/>
    <w:rsid w:val="00AA59D8"/>
    <w:rsid w:val="00AA5F5C"/>
    <w:rsid w:val="00AA64AD"/>
    <w:rsid w:val="00AA71F2"/>
    <w:rsid w:val="00AA7358"/>
    <w:rsid w:val="00AB02E9"/>
    <w:rsid w:val="00AB0353"/>
    <w:rsid w:val="00AB0C3E"/>
    <w:rsid w:val="00AB3E39"/>
    <w:rsid w:val="00AB507E"/>
    <w:rsid w:val="00AC0A7B"/>
    <w:rsid w:val="00AC130C"/>
    <w:rsid w:val="00AC1628"/>
    <w:rsid w:val="00AC18E2"/>
    <w:rsid w:val="00AC1B3A"/>
    <w:rsid w:val="00AC2C79"/>
    <w:rsid w:val="00AC40E7"/>
    <w:rsid w:val="00AC469F"/>
    <w:rsid w:val="00AC4E72"/>
    <w:rsid w:val="00AC4FCB"/>
    <w:rsid w:val="00AC55B4"/>
    <w:rsid w:val="00AC585D"/>
    <w:rsid w:val="00AC5F07"/>
    <w:rsid w:val="00AD01B6"/>
    <w:rsid w:val="00AD179F"/>
    <w:rsid w:val="00AD1866"/>
    <w:rsid w:val="00AD1E52"/>
    <w:rsid w:val="00AD332C"/>
    <w:rsid w:val="00AD4F79"/>
    <w:rsid w:val="00AD53DD"/>
    <w:rsid w:val="00AD5702"/>
    <w:rsid w:val="00AD5BC7"/>
    <w:rsid w:val="00AD5D6C"/>
    <w:rsid w:val="00AD7AAA"/>
    <w:rsid w:val="00AE2171"/>
    <w:rsid w:val="00AE26C0"/>
    <w:rsid w:val="00AE2F2C"/>
    <w:rsid w:val="00AE3076"/>
    <w:rsid w:val="00AE542E"/>
    <w:rsid w:val="00AE5DA2"/>
    <w:rsid w:val="00AE6465"/>
    <w:rsid w:val="00AE6649"/>
    <w:rsid w:val="00AE6F9D"/>
    <w:rsid w:val="00AE777B"/>
    <w:rsid w:val="00AF0460"/>
    <w:rsid w:val="00AF06CA"/>
    <w:rsid w:val="00AF0A3A"/>
    <w:rsid w:val="00AF18F8"/>
    <w:rsid w:val="00AF1B5F"/>
    <w:rsid w:val="00AF26FD"/>
    <w:rsid w:val="00AF28B6"/>
    <w:rsid w:val="00AF40F2"/>
    <w:rsid w:val="00AF5750"/>
    <w:rsid w:val="00AF5924"/>
    <w:rsid w:val="00AF5B06"/>
    <w:rsid w:val="00AF5FD7"/>
    <w:rsid w:val="00AF6C95"/>
    <w:rsid w:val="00AF7798"/>
    <w:rsid w:val="00B011D5"/>
    <w:rsid w:val="00B01AD1"/>
    <w:rsid w:val="00B02179"/>
    <w:rsid w:val="00B02838"/>
    <w:rsid w:val="00B03D6B"/>
    <w:rsid w:val="00B05A01"/>
    <w:rsid w:val="00B06299"/>
    <w:rsid w:val="00B07146"/>
    <w:rsid w:val="00B07349"/>
    <w:rsid w:val="00B10AAD"/>
    <w:rsid w:val="00B10E92"/>
    <w:rsid w:val="00B11B91"/>
    <w:rsid w:val="00B11EB9"/>
    <w:rsid w:val="00B123EF"/>
    <w:rsid w:val="00B12F8C"/>
    <w:rsid w:val="00B12FE6"/>
    <w:rsid w:val="00B13492"/>
    <w:rsid w:val="00B13889"/>
    <w:rsid w:val="00B13B06"/>
    <w:rsid w:val="00B15406"/>
    <w:rsid w:val="00B15DE9"/>
    <w:rsid w:val="00B16AAF"/>
    <w:rsid w:val="00B17A24"/>
    <w:rsid w:val="00B17F73"/>
    <w:rsid w:val="00B2094D"/>
    <w:rsid w:val="00B20B89"/>
    <w:rsid w:val="00B23762"/>
    <w:rsid w:val="00B23BE8"/>
    <w:rsid w:val="00B24765"/>
    <w:rsid w:val="00B24B28"/>
    <w:rsid w:val="00B24B7C"/>
    <w:rsid w:val="00B25DC4"/>
    <w:rsid w:val="00B30205"/>
    <w:rsid w:val="00B30932"/>
    <w:rsid w:val="00B31555"/>
    <w:rsid w:val="00B31D83"/>
    <w:rsid w:val="00B31FB8"/>
    <w:rsid w:val="00B330C9"/>
    <w:rsid w:val="00B3565D"/>
    <w:rsid w:val="00B36D99"/>
    <w:rsid w:val="00B40274"/>
    <w:rsid w:val="00B41561"/>
    <w:rsid w:val="00B41706"/>
    <w:rsid w:val="00B41774"/>
    <w:rsid w:val="00B43AB0"/>
    <w:rsid w:val="00B447D0"/>
    <w:rsid w:val="00B4494C"/>
    <w:rsid w:val="00B45E7E"/>
    <w:rsid w:val="00B45F77"/>
    <w:rsid w:val="00B510FB"/>
    <w:rsid w:val="00B51460"/>
    <w:rsid w:val="00B51661"/>
    <w:rsid w:val="00B516C2"/>
    <w:rsid w:val="00B51D32"/>
    <w:rsid w:val="00B52483"/>
    <w:rsid w:val="00B5274F"/>
    <w:rsid w:val="00B529DB"/>
    <w:rsid w:val="00B52E6C"/>
    <w:rsid w:val="00B53AFD"/>
    <w:rsid w:val="00B53EE2"/>
    <w:rsid w:val="00B53F1A"/>
    <w:rsid w:val="00B54319"/>
    <w:rsid w:val="00B54406"/>
    <w:rsid w:val="00B5442F"/>
    <w:rsid w:val="00B5469D"/>
    <w:rsid w:val="00B55B35"/>
    <w:rsid w:val="00B5623F"/>
    <w:rsid w:val="00B5652D"/>
    <w:rsid w:val="00B601FE"/>
    <w:rsid w:val="00B61698"/>
    <w:rsid w:val="00B6213B"/>
    <w:rsid w:val="00B62906"/>
    <w:rsid w:val="00B62962"/>
    <w:rsid w:val="00B6296F"/>
    <w:rsid w:val="00B63E18"/>
    <w:rsid w:val="00B640AD"/>
    <w:rsid w:val="00B648F1"/>
    <w:rsid w:val="00B64A87"/>
    <w:rsid w:val="00B64D41"/>
    <w:rsid w:val="00B65E26"/>
    <w:rsid w:val="00B65EE5"/>
    <w:rsid w:val="00B661CA"/>
    <w:rsid w:val="00B67A75"/>
    <w:rsid w:val="00B67D27"/>
    <w:rsid w:val="00B70AF0"/>
    <w:rsid w:val="00B71312"/>
    <w:rsid w:val="00B7143E"/>
    <w:rsid w:val="00B714E7"/>
    <w:rsid w:val="00B727F1"/>
    <w:rsid w:val="00B72DDE"/>
    <w:rsid w:val="00B7340B"/>
    <w:rsid w:val="00B735CC"/>
    <w:rsid w:val="00B7377E"/>
    <w:rsid w:val="00B73BC8"/>
    <w:rsid w:val="00B7452F"/>
    <w:rsid w:val="00B7526A"/>
    <w:rsid w:val="00B753CB"/>
    <w:rsid w:val="00B754F6"/>
    <w:rsid w:val="00B75AAB"/>
    <w:rsid w:val="00B777A5"/>
    <w:rsid w:val="00B81F00"/>
    <w:rsid w:val="00B833C9"/>
    <w:rsid w:val="00B84833"/>
    <w:rsid w:val="00B84875"/>
    <w:rsid w:val="00B84D85"/>
    <w:rsid w:val="00B86488"/>
    <w:rsid w:val="00B865C9"/>
    <w:rsid w:val="00B86A38"/>
    <w:rsid w:val="00B87870"/>
    <w:rsid w:val="00B87AE5"/>
    <w:rsid w:val="00B905DD"/>
    <w:rsid w:val="00B909FC"/>
    <w:rsid w:val="00B91A93"/>
    <w:rsid w:val="00B921A9"/>
    <w:rsid w:val="00B922C4"/>
    <w:rsid w:val="00B93051"/>
    <w:rsid w:val="00B949E4"/>
    <w:rsid w:val="00B95431"/>
    <w:rsid w:val="00B9569B"/>
    <w:rsid w:val="00B958E0"/>
    <w:rsid w:val="00B95DA6"/>
    <w:rsid w:val="00B97BA6"/>
    <w:rsid w:val="00B97ECC"/>
    <w:rsid w:val="00BA0BE4"/>
    <w:rsid w:val="00BA1050"/>
    <w:rsid w:val="00BA29A5"/>
    <w:rsid w:val="00BA3C4D"/>
    <w:rsid w:val="00BA41A9"/>
    <w:rsid w:val="00BA46C6"/>
    <w:rsid w:val="00BA546F"/>
    <w:rsid w:val="00BA5F02"/>
    <w:rsid w:val="00BA661B"/>
    <w:rsid w:val="00BA6953"/>
    <w:rsid w:val="00BA7981"/>
    <w:rsid w:val="00BB03C6"/>
    <w:rsid w:val="00BB09AF"/>
    <w:rsid w:val="00BB1911"/>
    <w:rsid w:val="00BB1BB1"/>
    <w:rsid w:val="00BB21D6"/>
    <w:rsid w:val="00BB26E0"/>
    <w:rsid w:val="00BB2736"/>
    <w:rsid w:val="00BB2A92"/>
    <w:rsid w:val="00BB3CE9"/>
    <w:rsid w:val="00BB6011"/>
    <w:rsid w:val="00BB617B"/>
    <w:rsid w:val="00BB6FF5"/>
    <w:rsid w:val="00BC0A43"/>
    <w:rsid w:val="00BC1475"/>
    <w:rsid w:val="00BC17E3"/>
    <w:rsid w:val="00BC1827"/>
    <w:rsid w:val="00BC2A61"/>
    <w:rsid w:val="00BC377A"/>
    <w:rsid w:val="00BC3A37"/>
    <w:rsid w:val="00BC4138"/>
    <w:rsid w:val="00BC55E5"/>
    <w:rsid w:val="00BC5F0E"/>
    <w:rsid w:val="00BC7053"/>
    <w:rsid w:val="00BC770A"/>
    <w:rsid w:val="00BC7FEC"/>
    <w:rsid w:val="00BD00A5"/>
    <w:rsid w:val="00BD0B21"/>
    <w:rsid w:val="00BD0F12"/>
    <w:rsid w:val="00BD1CE1"/>
    <w:rsid w:val="00BD23A7"/>
    <w:rsid w:val="00BD2516"/>
    <w:rsid w:val="00BD3B2C"/>
    <w:rsid w:val="00BD3DA8"/>
    <w:rsid w:val="00BD44FC"/>
    <w:rsid w:val="00BD526F"/>
    <w:rsid w:val="00BD6318"/>
    <w:rsid w:val="00BD65F2"/>
    <w:rsid w:val="00BD6956"/>
    <w:rsid w:val="00BD71F1"/>
    <w:rsid w:val="00BE2E60"/>
    <w:rsid w:val="00BE2F52"/>
    <w:rsid w:val="00BE2FE9"/>
    <w:rsid w:val="00BE35D5"/>
    <w:rsid w:val="00BE35F3"/>
    <w:rsid w:val="00BE4475"/>
    <w:rsid w:val="00BE4798"/>
    <w:rsid w:val="00BE54D4"/>
    <w:rsid w:val="00BE5D06"/>
    <w:rsid w:val="00BE6706"/>
    <w:rsid w:val="00BE71EA"/>
    <w:rsid w:val="00BE76F5"/>
    <w:rsid w:val="00BE77F8"/>
    <w:rsid w:val="00BE78C1"/>
    <w:rsid w:val="00BE7BBC"/>
    <w:rsid w:val="00BF096A"/>
    <w:rsid w:val="00BF1116"/>
    <w:rsid w:val="00BF1E6A"/>
    <w:rsid w:val="00BF3B1D"/>
    <w:rsid w:val="00BF3E3D"/>
    <w:rsid w:val="00BF3EA0"/>
    <w:rsid w:val="00BF407E"/>
    <w:rsid w:val="00BF4A68"/>
    <w:rsid w:val="00BF586D"/>
    <w:rsid w:val="00BF5B1C"/>
    <w:rsid w:val="00BF5B97"/>
    <w:rsid w:val="00BF65A6"/>
    <w:rsid w:val="00BF66A4"/>
    <w:rsid w:val="00BF6FBB"/>
    <w:rsid w:val="00BF75DD"/>
    <w:rsid w:val="00C036ED"/>
    <w:rsid w:val="00C04D54"/>
    <w:rsid w:val="00C0536C"/>
    <w:rsid w:val="00C057B3"/>
    <w:rsid w:val="00C068A0"/>
    <w:rsid w:val="00C07867"/>
    <w:rsid w:val="00C106B9"/>
    <w:rsid w:val="00C12AE0"/>
    <w:rsid w:val="00C13399"/>
    <w:rsid w:val="00C16551"/>
    <w:rsid w:val="00C20768"/>
    <w:rsid w:val="00C20AD3"/>
    <w:rsid w:val="00C20B85"/>
    <w:rsid w:val="00C23ED0"/>
    <w:rsid w:val="00C24650"/>
    <w:rsid w:val="00C24E02"/>
    <w:rsid w:val="00C2564C"/>
    <w:rsid w:val="00C2663F"/>
    <w:rsid w:val="00C26AEE"/>
    <w:rsid w:val="00C26E33"/>
    <w:rsid w:val="00C3062D"/>
    <w:rsid w:val="00C30A1C"/>
    <w:rsid w:val="00C324B0"/>
    <w:rsid w:val="00C32603"/>
    <w:rsid w:val="00C332AF"/>
    <w:rsid w:val="00C33A1E"/>
    <w:rsid w:val="00C33E3B"/>
    <w:rsid w:val="00C342E8"/>
    <w:rsid w:val="00C3636F"/>
    <w:rsid w:val="00C36737"/>
    <w:rsid w:val="00C3707D"/>
    <w:rsid w:val="00C3731B"/>
    <w:rsid w:val="00C4033C"/>
    <w:rsid w:val="00C41381"/>
    <w:rsid w:val="00C41459"/>
    <w:rsid w:val="00C43B7B"/>
    <w:rsid w:val="00C43BE3"/>
    <w:rsid w:val="00C43F43"/>
    <w:rsid w:val="00C43F99"/>
    <w:rsid w:val="00C453C1"/>
    <w:rsid w:val="00C455A0"/>
    <w:rsid w:val="00C4597F"/>
    <w:rsid w:val="00C4703F"/>
    <w:rsid w:val="00C47322"/>
    <w:rsid w:val="00C47323"/>
    <w:rsid w:val="00C509FC"/>
    <w:rsid w:val="00C53F2E"/>
    <w:rsid w:val="00C543FD"/>
    <w:rsid w:val="00C55228"/>
    <w:rsid w:val="00C557B0"/>
    <w:rsid w:val="00C567C6"/>
    <w:rsid w:val="00C57016"/>
    <w:rsid w:val="00C57FC1"/>
    <w:rsid w:val="00C66120"/>
    <w:rsid w:val="00C66755"/>
    <w:rsid w:val="00C66EAF"/>
    <w:rsid w:val="00C671E5"/>
    <w:rsid w:val="00C67E5F"/>
    <w:rsid w:val="00C70CD9"/>
    <w:rsid w:val="00C70E82"/>
    <w:rsid w:val="00C71EBB"/>
    <w:rsid w:val="00C71F16"/>
    <w:rsid w:val="00C76674"/>
    <w:rsid w:val="00C77BDE"/>
    <w:rsid w:val="00C80296"/>
    <w:rsid w:val="00C81021"/>
    <w:rsid w:val="00C81411"/>
    <w:rsid w:val="00C81BBC"/>
    <w:rsid w:val="00C821BE"/>
    <w:rsid w:val="00C826A1"/>
    <w:rsid w:val="00C82851"/>
    <w:rsid w:val="00C830AA"/>
    <w:rsid w:val="00C83EE9"/>
    <w:rsid w:val="00C84554"/>
    <w:rsid w:val="00C8455B"/>
    <w:rsid w:val="00C8568B"/>
    <w:rsid w:val="00C85CE3"/>
    <w:rsid w:val="00C8672E"/>
    <w:rsid w:val="00C86AE0"/>
    <w:rsid w:val="00C8715F"/>
    <w:rsid w:val="00C8726E"/>
    <w:rsid w:val="00C874B5"/>
    <w:rsid w:val="00C87A31"/>
    <w:rsid w:val="00C87CC2"/>
    <w:rsid w:val="00C910ED"/>
    <w:rsid w:val="00C93882"/>
    <w:rsid w:val="00C951EF"/>
    <w:rsid w:val="00C95464"/>
    <w:rsid w:val="00C96357"/>
    <w:rsid w:val="00C964C8"/>
    <w:rsid w:val="00C969DC"/>
    <w:rsid w:val="00CA07FF"/>
    <w:rsid w:val="00CA41A5"/>
    <w:rsid w:val="00CA42E3"/>
    <w:rsid w:val="00CA4942"/>
    <w:rsid w:val="00CA56F6"/>
    <w:rsid w:val="00CA57A3"/>
    <w:rsid w:val="00CA5EB6"/>
    <w:rsid w:val="00CA631E"/>
    <w:rsid w:val="00CA6E31"/>
    <w:rsid w:val="00CA77D8"/>
    <w:rsid w:val="00CA7A39"/>
    <w:rsid w:val="00CB0351"/>
    <w:rsid w:val="00CB19EC"/>
    <w:rsid w:val="00CB1DAD"/>
    <w:rsid w:val="00CB1E7B"/>
    <w:rsid w:val="00CB1F5F"/>
    <w:rsid w:val="00CB3756"/>
    <w:rsid w:val="00CB4085"/>
    <w:rsid w:val="00CB5552"/>
    <w:rsid w:val="00CB5578"/>
    <w:rsid w:val="00CB57EE"/>
    <w:rsid w:val="00CB5AA4"/>
    <w:rsid w:val="00CB61B3"/>
    <w:rsid w:val="00CB6C18"/>
    <w:rsid w:val="00CB6D24"/>
    <w:rsid w:val="00CC42FB"/>
    <w:rsid w:val="00CC58F4"/>
    <w:rsid w:val="00CC5EDC"/>
    <w:rsid w:val="00CC727D"/>
    <w:rsid w:val="00CC72AC"/>
    <w:rsid w:val="00CC78CA"/>
    <w:rsid w:val="00CC7C02"/>
    <w:rsid w:val="00CD0CF3"/>
    <w:rsid w:val="00CD156B"/>
    <w:rsid w:val="00CD1E5C"/>
    <w:rsid w:val="00CD2591"/>
    <w:rsid w:val="00CD2D61"/>
    <w:rsid w:val="00CD321A"/>
    <w:rsid w:val="00CD33B7"/>
    <w:rsid w:val="00CD508A"/>
    <w:rsid w:val="00CD5264"/>
    <w:rsid w:val="00CD5E8D"/>
    <w:rsid w:val="00CD5EF4"/>
    <w:rsid w:val="00CD6F7E"/>
    <w:rsid w:val="00CE0628"/>
    <w:rsid w:val="00CE0BBB"/>
    <w:rsid w:val="00CE0D8A"/>
    <w:rsid w:val="00CE157E"/>
    <w:rsid w:val="00CE2C79"/>
    <w:rsid w:val="00CE5F0F"/>
    <w:rsid w:val="00CE656B"/>
    <w:rsid w:val="00CE6DC5"/>
    <w:rsid w:val="00CE7452"/>
    <w:rsid w:val="00CF0166"/>
    <w:rsid w:val="00CF0904"/>
    <w:rsid w:val="00CF10AD"/>
    <w:rsid w:val="00CF2037"/>
    <w:rsid w:val="00CF2110"/>
    <w:rsid w:val="00CF3003"/>
    <w:rsid w:val="00CF3B21"/>
    <w:rsid w:val="00CF3C17"/>
    <w:rsid w:val="00CF55D7"/>
    <w:rsid w:val="00CF5ACC"/>
    <w:rsid w:val="00CF5D51"/>
    <w:rsid w:val="00CF6232"/>
    <w:rsid w:val="00CF72B1"/>
    <w:rsid w:val="00D002BB"/>
    <w:rsid w:val="00D00B32"/>
    <w:rsid w:val="00D00E08"/>
    <w:rsid w:val="00D00F4D"/>
    <w:rsid w:val="00D01504"/>
    <w:rsid w:val="00D01DA0"/>
    <w:rsid w:val="00D035A5"/>
    <w:rsid w:val="00D0411F"/>
    <w:rsid w:val="00D05E65"/>
    <w:rsid w:val="00D06ED8"/>
    <w:rsid w:val="00D07682"/>
    <w:rsid w:val="00D079AC"/>
    <w:rsid w:val="00D079CE"/>
    <w:rsid w:val="00D100D3"/>
    <w:rsid w:val="00D134BB"/>
    <w:rsid w:val="00D13994"/>
    <w:rsid w:val="00D143A2"/>
    <w:rsid w:val="00D146FA"/>
    <w:rsid w:val="00D14B0F"/>
    <w:rsid w:val="00D14BE9"/>
    <w:rsid w:val="00D14DA4"/>
    <w:rsid w:val="00D16522"/>
    <w:rsid w:val="00D166E8"/>
    <w:rsid w:val="00D16965"/>
    <w:rsid w:val="00D16BBC"/>
    <w:rsid w:val="00D16E1B"/>
    <w:rsid w:val="00D17BCD"/>
    <w:rsid w:val="00D17C92"/>
    <w:rsid w:val="00D20282"/>
    <w:rsid w:val="00D21B3B"/>
    <w:rsid w:val="00D221C1"/>
    <w:rsid w:val="00D2225D"/>
    <w:rsid w:val="00D22924"/>
    <w:rsid w:val="00D22E9B"/>
    <w:rsid w:val="00D23037"/>
    <w:rsid w:val="00D2381B"/>
    <w:rsid w:val="00D24145"/>
    <w:rsid w:val="00D241BE"/>
    <w:rsid w:val="00D26BFB"/>
    <w:rsid w:val="00D2742C"/>
    <w:rsid w:val="00D2767C"/>
    <w:rsid w:val="00D27734"/>
    <w:rsid w:val="00D27F0B"/>
    <w:rsid w:val="00D27F6E"/>
    <w:rsid w:val="00D30411"/>
    <w:rsid w:val="00D317B7"/>
    <w:rsid w:val="00D317BB"/>
    <w:rsid w:val="00D32A54"/>
    <w:rsid w:val="00D32E70"/>
    <w:rsid w:val="00D33017"/>
    <w:rsid w:val="00D3597A"/>
    <w:rsid w:val="00D35F3B"/>
    <w:rsid w:val="00D36E94"/>
    <w:rsid w:val="00D372E7"/>
    <w:rsid w:val="00D40560"/>
    <w:rsid w:val="00D40894"/>
    <w:rsid w:val="00D41755"/>
    <w:rsid w:val="00D42D28"/>
    <w:rsid w:val="00D42F3B"/>
    <w:rsid w:val="00D441B5"/>
    <w:rsid w:val="00D45478"/>
    <w:rsid w:val="00D45510"/>
    <w:rsid w:val="00D459CF"/>
    <w:rsid w:val="00D47450"/>
    <w:rsid w:val="00D530D5"/>
    <w:rsid w:val="00D53AD3"/>
    <w:rsid w:val="00D541C5"/>
    <w:rsid w:val="00D54A3C"/>
    <w:rsid w:val="00D566CD"/>
    <w:rsid w:val="00D56C3C"/>
    <w:rsid w:val="00D575C3"/>
    <w:rsid w:val="00D57970"/>
    <w:rsid w:val="00D6013C"/>
    <w:rsid w:val="00D60462"/>
    <w:rsid w:val="00D61342"/>
    <w:rsid w:val="00D614C7"/>
    <w:rsid w:val="00D61D57"/>
    <w:rsid w:val="00D61E30"/>
    <w:rsid w:val="00D6291C"/>
    <w:rsid w:val="00D62A06"/>
    <w:rsid w:val="00D62DA4"/>
    <w:rsid w:val="00D6307C"/>
    <w:rsid w:val="00D630B4"/>
    <w:rsid w:val="00D6341A"/>
    <w:rsid w:val="00D6414F"/>
    <w:rsid w:val="00D643A6"/>
    <w:rsid w:val="00D646A8"/>
    <w:rsid w:val="00D65B82"/>
    <w:rsid w:val="00D664E7"/>
    <w:rsid w:val="00D71D14"/>
    <w:rsid w:val="00D71D28"/>
    <w:rsid w:val="00D72F2C"/>
    <w:rsid w:val="00D737FD"/>
    <w:rsid w:val="00D741BB"/>
    <w:rsid w:val="00D74964"/>
    <w:rsid w:val="00D74CF1"/>
    <w:rsid w:val="00D74E18"/>
    <w:rsid w:val="00D7509B"/>
    <w:rsid w:val="00D76470"/>
    <w:rsid w:val="00D76758"/>
    <w:rsid w:val="00D775A6"/>
    <w:rsid w:val="00D77988"/>
    <w:rsid w:val="00D81013"/>
    <w:rsid w:val="00D810AB"/>
    <w:rsid w:val="00D83592"/>
    <w:rsid w:val="00D83814"/>
    <w:rsid w:val="00D845BB"/>
    <w:rsid w:val="00D84D80"/>
    <w:rsid w:val="00D856DC"/>
    <w:rsid w:val="00D85AC1"/>
    <w:rsid w:val="00D8600D"/>
    <w:rsid w:val="00D864C7"/>
    <w:rsid w:val="00D868B1"/>
    <w:rsid w:val="00D86FF4"/>
    <w:rsid w:val="00D8705C"/>
    <w:rsid w:val="00D87E86"/>
    <w:rsid w:val="00D913B5"/>
    <w:rsid w:val="00D922E9"/>
    <w:rsid w:val="00D92508"/>
    <w:rsid w:val="00D93C13"/>
    <w:rsid w:val="00D93EAC"/>
    <w:rsid w:val="00D94358"/>
    <w:rsid w:val="00D946B5"/>
    <w:rsid w:val="00D95882"/>
    <w:rsid w:val="00D961E0"/>
    <w:rsid w:val="00D965EB"/>
    <w:rsid w:val="00D9753A"/>
    <w:rsid w:val="00D97CB0"/>
    <w:rsid w:val="00D97EA1"/>
    <w:rsid w:val="00DA0510"/>
    <w:rsid w:val="00DA0774"/>
    <w:rsid w:val="00DA0D3C"/>
    <w:rsid w:val="00DA114B"/>
    <w:rsid w:val="00DA1B8F"/>
    <w:rsid w:val="00DA2E74"/>
    <w:rsid w:val="00DA321F"/>
    <w:rsid w:val="00DA4DEF"/>
    <w:rsid w:val="00DA5542"/>
    <w:rsid w:val="00DA5DA2"/>
    <w:rsid w:val="00DA6280"/>
    <w:rsid w:val="00DA6C2A"/>
    <w:rsid w:val="00DA6EA0"/>
    <w:rsid w:val="00DA7541"/>
    <w:rsid w:val="00DA76BA"/>
    <w:rsid w:val="00DA772B"/>
    <w:rsid w:val="00DB05D3"/>
    <w:rsid w:val="00DB12F5"/>
    <w:rsid w:val="00DB2667"/>
    <w:rsid w:val="00DB2AF7"/>
    <w:rsid w:val="00DB2E0D"/>
    <w:rsid w:val="00DB537D"/>
    <w:rsid w:val="00DB6CE3"/>
    <w:rsid w:val="00DB74D4"/>
    <w:rsid w:val="00DC0388"/>
    <w:rsid w:val="00DC20F5"/>
    <w:rsid w:val="00DC23F7"/>
    <w:rsid w:val="00DC269C"/>
    <w:rsid w:val="00DC2B4C"/>
    <w:rsid w:val="00DC41E8"/>
    <w:rsid w:val="00DC5C4E"/>
    <w:rsid w:val="00DC5E12"/>
    <w:rsid w:val="00DC6A0D"/>
    <w:rsid w:val="00DC6B00"/>
    <w:rsid w:val="00DC74BF"/>
    <w:rsid w:val="00DC74EF"/>
    <w:rsid w:val="00DC7E31"/>
    <w:rsid w:val="00DD04BC"/>
    <w:rsid w:val="00DD0AA7"/>
    <w:rsid w:val="00DD1591"/>
    <w:rsid w:val="00DD1BBA"/>
    <w:rsid w:val="00DD2495"/>
    <w:rsid w:val="00DD2693"/>
    <w:rsid w:val="00DD324F"/>
    <w:rsid w:val="00DD49FF"/>
    <w:rsid w:val="00DD50F1"/>
    <w:rsid w:val="00DD6CC9"/>
    <w:rsid w:val="00DD74EB"/>
    <w:rsid w:val="00DD7B57"/>
    <w:rsid w:val="00DE0336"/>
    <w:rsid w:val="00DE05A2"/>
    <w:rsid w:val="00DE083B"/>
    <w:rsid w:val="00DE09C1"/>
    <w:rsid w:val="00DE0AC1"/>
    <w:rsid w:val="00DE10F6"/>
    <w:rsid w:val="00DE176D"/>
    <w:rsid w:val="00DE2A31"/>
    <w:rsid w:val="00DE31AE"/>
    <w:rsid w:val="00DE3242"/>
    <w:rsid w:val="00DE3291"/>
    <w:rsid w:val="00DE3DE8"/>
    <w:rsid w:val="00DE48AE"/>
    <w:rsid w:val="00DE58F9"/>
    <w:rsid w:val="00DE663A"/>
    <w:rsid w:val="00DE69E4"/>
    <w:rsid w:val="00DE69F5"/>
    <w:rsid w:val="00DE709E"/>
    <w:rsid w:val="00DE7CFA"/>
    <w:rsid w:val="00DE7EC8"/>
    <w:rsid w:val="00DE7F26"/>
    <w:rsid w:val="00DF004E"/>
    <w:rsid w:val="00DF153C"/>
    <w:rsid w:val="00DF1865"/>
    <w:rsid w:val="00DF23E1"/>
    <w:rsid w:val="00DF2C25"/>
    <w:rsid w:val="00DF3DCF"/>
    <w:rsid w:val="00DF3E86"/>
    <w:rsid w:val="00DF50D3"/>
    <w:rsid w:val="00DF58F3"/>
    <w:rsid w:val="00DF6A62"/>
    <w:rsid w:val="00DF7DDF"/>
    <w:rsid w:val="00E01450"/>
    <w:rsid w:val="00E02BB8"/>
    <w:rsid w:val="00E0358F"/>
    <w:rsid w:val="00E03860"/>
    <w:rsid w:val="00E0429B"/>
    <w:rsid w:val="00E043BA"/>
    <w:rsid w:val="00E05E37"/>
    <w:rsid w:val="00E067D1"/>
    <w:rsid w:val="00E067EA"/>
    <w:rsid w:val="00E07AE7"/>
    <w:rsid w:val="00E102DD"/>
    <w:rsid w:val="00E10A65"/>
    <w:rsid w:val="00E11C75"/>
    <w:rsid w:val="00E11ECD"/>
    <w:rsid w:val="00E1265E"/>
    <w:rsid w:val="00E12673"/>
    <w:rsid w:val="00E1282C"/>
    <w:rsid w:val="00E13223"/>
    <w:rsid w:val="00E1329C"/>
    <w:rsid w:val="00E138A3"/>
    <w:rsid w:val="00E14129"/>
    <w:rsid w:val="00E1415A"/>
    <w:rsid w:val="00E14C22"/>
    <w:rsid w:val="00E14ECC"/>
    <w:rsid w:val="00E15218"/>
    <w:rsid w:val="00E15527"/>
    <w:rsid w:val="00E159E5"/>
    <w:rsid w:val="00E15A03"/>
    <w:rsid w:val="00E15BF4"/>
    <w:rsid w:val="00E16E11"/>
    <w:rsid w:val="00E2056A"/>
    <w:rsid w:val="00E21B41"/>
    <w:rsid w:val="00E23240"/>
    <w:rsid w:val="00E23947"/>
    <w:rsid w:val="00E241F3"/>
    <w:rsid w:val="00E245EC"/>
    <w:rsid w:val="00E248FD"/>
    <w:rsid w:val="00E26317"/>
    <w:rsid w:val="00E26538"/>
    <w:rsid w:val="00E26BCA"/>
    <w:rsid w:val="00E26EEE"/>
    <w:rsid w:val="00E27208"/>
    <w:rsid w:val="00E308B8"/>
    <w:rsid w:val="00E30CA8"/>
    <w:rsid w:val="00E3118F"/>
    <w:rsid w:val="00E316E2"/>
    <w:rsid w:val="00E31A3C"/>
    <w:rsid w:val="00E326A2"/>
    <w:rsid w:val="00E3335B"/>
    <w:rsid w:val="00E342A7"/>
    <w:rsid w:val="00E34472"/>
    <w:rsid w:val="00E35A2A"/>
    <w:rsid w:val="00E35DAA"/>
    <w:rsid w:val="00E3673F"/>
    <w:rsid w:val="00E36D29"/>
    <w:rsid w:val="00E371C4"/>
    <w:rsid w:val="00E37645"/>
    <w:rsid w:val="00E37716"/>
    <w:rsid w:val="00E40CD8"/>
    <w:rsid w:val="00E425B5"/>
    <w:rsid w:val="00E425CB"/>
    <w:rsid w:val="00E43057"/>
    <w:rsid w:val="00E43B36"/>
    <w:rsid w:val="00E4508F"/>
    <w:rsid w:val="00E45662"/>
    <w:rsid w:val="00E466F8"/>
    <w:rsid w:val="00E468EF"/>
    <w:rsid w:val="00E46C61"/>
    <w:rsid w:val="00E47F5A"/>
    <w:rsid w:val="00E51AA3"/>
    <w:rsid w:val="00E51AF4"/>
    <w:rsid w:val="00E52B88"/>
    <w:rsid w:val="00E53121"/>
    <w:rsid w:val="00E5485D"/>
    <w:rsid w:val="00E5560E"/>
    <w:rsid w:val="00E565B8"/>
    <w:rsid w:val="00E56E4F"/>
    <w:rsid w:val="00E57209"/>
    <w:rsid w:val="00E57BC7"/>
    <w:rsid w:val="00E60CAB"/>
    <w:rsid w:val="00E60E7B"/>
    <w:rsid w:val="00E617BC"/>
    <w:rsid w:val="00E6245F"/>
    <w:rsid w:val="00E62B2F"/>
    <w:rsid w:val="00E62D6F"/>
    <w:rsid w:val="00E6314B"/>
    <w:rsid w:val="00E64418"/>
    <w:rsid w:val="00E64934"/>
    <w:rsid w:val="00E64D40"/>
    <w:rsid w:val="00E64FB8"/>
    <w:rsid w:val="00E65193"/>
    <w:rsid w:val="00E65206"/>
    <w:rsid w:val="00E65969"/>
    <w:rsid w:val="00E65DA9"/>
    <w:rsid w:val="00E661FA"/>
    <w:rsid w:val="00E66913"/>
    <w:rsid w:val="00E66948"/>
    <w:rsid w:val="00E66F1F"/>
    <w:rsid w:val="00E67B2C"/>
    <w:rsid w:val="00E72434"/>
    <w:rsid w:val="00E72CAE"/>
    <w:rsid w:val="00E733FC"/>
    <w:rsid w:val="00E736FC"/>
    <w:rsid w:val="00E74516"/>
    <w:rsid w:val="00E74C59"/>
    <w:rsid w:val="00E75129"/>
    <w:rsid w:val="00E75445"/>
    <w:rsid w:val="00E77145"/>
    <w:rsid w:val="00E77B05"/>
    <w:rsid w:val="00E77EC5"/>
    <w:rsid w:val="00E80E73"/>
    <w:rsid w:val="00E80F24"/>
    <w:rsid w:val="00E8261C"/>
    <w:rsid w:val="00E842FB"/>
    <w:rsid w:val="00E84F7C"/>
    <w:rsid w:val="00E8523A"/>
    <w:rsid w:val="00E85240"/>
    <w:rsid w:val="00E85450"/>
    <w:rsid w:val="00E8585A"/>
    <w:rsid w:val="00E85951"/>
    <w:rsid w:val="00E87AEC"/>
    <w:rsid w:val="00E91529"/>
    <w:rsid w:val="00E92CD2"/>
    <w:rsid w:val="00E9309D"/>
    <w:rsid w:val="00E93286"/>
    <w:rsid w:val="00E94973"/>
    <w:rsid w:val="00E951CD"/>
    <w:rsid w:val="00E95336"/>
    <w:rsid w:val="00E95CA3"/>
    <w:rsid w:val="00E969EA"/>
    <w:rsid w:val="00E96FA5"/>
    <w:rsid w:val="00E97D11"/>
    <w:rsid w:val="00EA020C"/>
    <w:rsid w:val="00EA04E4"/>
    <w:rsid w:val="00EA181F"/>
    <w:rsid w:val="00EA1D6D"/>
    <w:rsid w:val="00EA2309"/>
    <w:rsid w:val="00EA2CC7"/>
    <w:rsid w:val="00EA4064"/>
    <w:rsid w:val="00EA4AFE"/>
    <w:rsid w:val="00EA784D"/>
    <w:rsid w:val="00EB0526"/>
    <w:rsid w:val="00EB09E3"/>
    <w:rsid w:val="00EB244E"/>
    <w:rsid w:val="00EB39FF"/>
    <w:rsid w:val="00EB42F0"/>
    <w:rsid w:val="00EB4418"/>
    <w:rsid w:val="00EB5CBF"/>
    <w:rsid w:val="00EB6948"/>
    <w:rsid w:val="00EB6D70"/>
    <w:rsid w:val="00EC0140"/>
    <w:rsid w:val="00EC20E9"/>
    <w:rsid w:val="00EC2A74"/>
    <w:rsid w:val="00EC4EAF"/>
    <w:rsid w:val="00EC501D"/>
    <w:rsid w:val="00EC54A1"/>
    <w:rsid w:val="00EC5D12"/>
    <w:rsid w:val="00ED001F"/>
    <w:rsid w:val="00ED0115"/>
    <w:rsid w:val="00ED1B35"/>
    <w:rsid w:val="00ED26EE"/>
    <w:rsid w:val="00ED38B7"/>
    <w:rsid w:val="00ED3F2C"/>
    <w:rsid w:val="00ED4261"/>
    <w:rsid w:val="00ED5CBB"/>
    <w:rsid w:val="00ED680C"/>
    <w:rsid w:val="00ED6A10"/>
    <w:rsid w:val="00EE2EE3"/>
    <w:rsid w:val="00EE3015"/>
    <w:rsid w:val="00EE34E0"/>
    <w:rsid w:val="00EE379F"/>
    <w:rsid w:val="00EE3D49"/>
    <w:rsid w:val="00EE4309"/>
    <w:rsid w:val="00EE5270"/>
    <w:rsid w:val="00EE6C37"/>
    <w:rsid w:val="00EE7D7D"/>
    <w:rsid w:val="00EE7F81"/>
    <w:rsid w:val="00EF09DC"/>
    <w:rsid w:val="00EF12F6"/>
    <w:rsid w:val="00EF2FF8"/>
    <w:rsid w:val="00EF5513"/>
    <w:rsid w:val="00EF5B46"/>
    <w:rsid w:val="00EF62E7"/>
    <w:rsid w:val="00EF727D"/>
    <w:rsid w:val="00F00B79"/>
    <w:rsid w:val="00F00CCE"/>
    <w:rsid w:val="00F01F5C"/>
    <w:rsid w:val="00F024F5"/>
    <w:rsid w:val="00F032A7"/>
    <w:rsid w:val="00F042D1"/>
    <w:rsid w:val="00F04D8E"/>
    <w:rsid w:val="00F101E4"/>
    <w:rsid w:val="00F10E40"/>
    <w:rsid w:val="00F114C1"/>
    <w:rsid w:val="00F11D77"/>
    <w:rsid w:val="00F12022"/>
    <w:rsid w:val="00F12F1E"/>
    <w:rsid w:val="00F139D7"/>
    <w:rsid w:val="00F1423D"/>
    <w:rsid w:val="00F1433B"/>
    <w:rsid w:val="00F15232"/>
    <w:rsid w:val="00F1667F"/>
    <w:rsid w:val="00F169B7"/>
    <w:rsid w:val="00F171EA"/>
    <w:rsid w:val="00F17EE9"/>
    <w:rsid w:val="00F20C9A"/>
    <w:rsid w:val="00F2157F"/>
    <w:rsid w:val="00F21796"/>
    <w:rsid w:val="00F21FFB"/>
    <w:rsid w:val="00F22308"/>
    <w:rsid w:val="00F223BD"/>
    <w:rsid w:val="00F2391C"/>
    <w:rsid w:val="00F2416B"/>
    <w:rsid w:val="00F242B8"/>
    <w:rsid w:val="00F26093"/>
    <w:rsid w:val="00F26259"/>
    <w:rsid w:val="00F262A7"/>
    <w:rsid w:val="00F268BA"/>
    <w:rsid w:val="00F27378"/>
    <w:rsid w:val="00F30067"/>
    <w:rsid w:val="00F31559"/>
    <w:rsid w:val="00F324BE"/>
    <w:rsid w:val="00F3256F"/>
    <w:rsid w:val="00F32BBC"/>
    <w:rsid w:val="00F32C4E"/>
    <w:rsid w:val="00F3336F"/>
    <w:rsid w:val="00F3400C"/>
    <w:rsid w:val="00F3454A"/>
    <w:rsid w:val="00F3560D"/>
    <w:rsid w:val="00F36A85"/>
    <w:rsid w:val="00F37530"/>
    <w:rsid w:val="00F400EC"/>
    <w:rsid w:val="00F405EB"/>
    <w:rsid w:val="00F409B0"/>
    <w:rsid w:val="00F4105A"/>
    <w:rsid w:val="00F410ED"/>
    <w:rsid w:val="00F41A85"/>
    <w:rsid w:val="00F42110"/>
    <w:rsid w:val="00F426C1"/>
    <w:rsid w:val="00F429B3"/>
    <w:rsid w:val="00F43106"/>
    <w:rsid w:val="00F4360A"/>
    <w:rsid w:val="00F43975"/>
    <w:rsid w:val="00F43A32"/>
    <w:rsid w:val="00F44BAF"/>
    <w:rsid w:val="00F44EF5"/>
    <w:rsid w:val="00F45CC6"/>
    <w:rsid w:val="00F461E5"/>
    <w:rsid w:val="00F4675E"/>
    <w:rsid w:val="00F46D17"/>
    <w:rsid w:val="00F474EB"/>
    <w:rsid w:val="00F4795A"/>
    <w:rsid w:val="00F47A0D"/>
    <w:rsid w:val="00F50192"/>
    <w:rsid w:val="00F522D3"/>
    <w:rsid w:val="00F52D0C"/>
    <w:rsid w:val="00F52F97"/>
    <w:rsid w:val="00F5312E"/>
    <w:rsid w:val="00F53F65"/>
    <w:rsid w:val="00F54321"/>
    <w:rsid w:val="00F54D40"/>
    <w:rsid w:val="00F55C02"/>
    <w:rsid w:val="00F56103"/>
    <w:rsid w:val="00F57629"/>
    <w:rsid w:val="00F6086A"/>
    <w:rsid w:val="00F61A3F"/>
    <w:rsid w:val="00F61B38"/>
    <w:rsid w:val="00F61B7A"/>
    <w:rsid w:val="00F61B84"/>
    <w:rsid w:val="00F62486"/>
    <w:rsid w:val="00F631B8"/>
    <w:rsid w:val="00F6368F"/>
    <w:rsid w:val="00F6439E"/>
    <w:rsid w:val="00F650CD"/>
    <w:rsid w:val="00F653E1"/>
    <w:rsid w:val="00F65772"/>
    <w:rsid w:val="00F676AA"/>
    <w:rsid w:val="00F677C4"/>
    <w:rsid w:val="00F67A00"/>
    <w:rsid w:val="00F67E82"/>
    <w:rsid w:val="00F70EA7"/>
    <w:rsid w:val="00F71AC7"/>
    <w:rsid w:val="00F72114"/>
    <w:rsid w:val="00F72D03"/>
    <w:rsid w:val="00F75258"/>
    <w:rsid w:val="00F75689"/>
    <w:rsid w:val="00F762A8"/>
    <w:rsid w:val="00F7660E"/>
    <w:rsid w:val="00F76CFC"/>
    <w:rsid w:val="00F77028"/>
    <w:rsid w:val="00F7719A"/>
    <w:rsid w:val="00F80353"/>
    <w:rsid w:val="00F806B6"/>
    <w:rsid w:val="00F80C6C"/>
    <w:rsid w:val="00F8101F"/>
    <w:rsid w:val="00F81651"/>
    <w:rsid w:val="00F81E60"/>
    <w:rsid w:val="00F82747"/>
    <w:rsid w:val="00F82EF0"/>
    <w:rsid w:val="00F831F0"/>
    <w:rsid w:val="00F83F3A"/>
    <w:rsid w:val="00F84841"/>
    <w:rsid w:val="00F849F2"/>
    <w:rsid w:val="00F84BBA"/>
    <w:rsid w:val="00F85718"/>
    <w:rsid w:val="00F87047"/>
    <w:rsid w:val="00F870B0"/>
    <w:rsid w:val="00F9024B"/>
    <w:rsid w:val="00F90953"/>
    <w:rsid w:val="00F90CDE"/>
    <w:rsid w:val="00F90E86"/>
    <w:rsid w:val="00F926BB"/>
    <w:rsid w:val="00F935D9"/>
    <w:rsid w:val="00F9463D"/>
    <w:rsid w:val="00F96346"/>
    <w:rsid w:val="00F96F17"/>
    <w:rsid w:val="00F9701A"/>
    <w:rsid w:val="00F97AEF"/>
    <w:rsid w:val="00FA11AE"/>
    <w:rsid w:val="00FA153E"/>
    <w:rsid w:val="00FA1AE0"/>
    <w:rsid w:val="00FA21FD"/>
    <w:rsid w:val="00FA2315"/>
    <w:rsid w:val="00FA3BDA"/>
    <w:rsid w:val="00FA3CF7"/>
    <w:rsid w:val="00FB158F"/>
    <w:rsid w:val="00FB1670"/>
    <w:rsid w:val="00FB1A25"/>
    <w:rsid w:val="00FB259D"/>
    <w:rsid w:val="00FB271D"/>
    <w:rsid w:val="00FB2EE6"/>
    <w:rsid w:val="00FB3218"/>
    <w:rsid w:val="00FB54D0"/>
    <w:rsid w:val="00FB5C71"/>
    <w:rsid w:val="00FB75F6"/>
    <w:rsid w:val="00FB75FE"/>
    <w:rsid w:val="00FC0959"/>
    <w:rsid w:val="00FC4C49"/>
    <w:rsid w:val="00FC50D1"/>
    <w:rsid w:val="00FC59A8"/>
    <w:rsid w:val="00FC5EBA"/>
    <w:rsid w:val="00FD0692"/>
    <w:rsid w:val="00FD08BF"/>
    <w:rsid w:val="00FD13E9"/>
    <w:rsid w:val="00FD1696"/>
    <w:rsid w:val="00FD2913"/>
    <w:rsid w:val="00FD2A7C"/>
    <w:rsid w:val="00FD2E43"/>
    <w:rsid w:val="00FD30C9"/>
    <w:rsid w:val="00FD3529"/>
    <w:rsid w:val="00FD35C5"/>
    <w:rsid w:val="00FD4891"/>
    <w:rsid w:val="00FD4BC4"/>
    <w:rsid w:val="00FD5662"/>
    <w:rsid w:val="00FD629F"/>
    <w:rsid w:val="00FD66F9"/>
    <w:rsid w:val="00FD6C7F"/>
    <w:rsid w:val="00FD719F"/>
    <w:rsid w:val="00FD7EC6"/>
    <w:rsid w:val="00FD7ECF"/>
    <w:rsid w:val="00FE3A62"/>
    <w:rsid w:val="00FE5AFC"/>
    <w:rsid w:val="00FE63AA"/>
    <w:rsid w:val="00FE63DC"/>
    <w:rsid w:val="00FE7147"/>
    <w:rsid w:val="00FF251F"/>
    <w:rsid w:val="00FF35FB"/>
    <w:rsid w:val="00FF489B"/>
    <w:rsid w:val="00FF52FA"/>
    <w:rsid w:val="00FF54C0"/>
    <w:rsid w:val="00FF62E0"/>
    <w:rsid w:val="00FF636A"/>
    <w:rsid w:val="00FF69E6"/>
    <w:rsid w:val="00FF71D2"/>
    <w:rsid w:val="00FF785A"/>
    <w:rsid w:val="03C33012"/>
    <w:rsid w:val="048D201C"/>
    <w:rsid w:val="072F29F7"/>
    <w:rsid w:val="093B1668"/>
    <w:rsid w:val="0A2F21EB"/>
    <w:rsid w:val="0E433575"/>
    <w:rsid w:val="0E631ACE"/>
    <w:rsid w:val="10840E7D"/>
    <w:rsid w:val="109D3214"/>
    <w:rsid w:val="10F07934"/>
    <w:rsid w:val="122E0901"/>
    <w:rsid w:val="12745646"/>
    <w:rsid w:val="164471C8"/>
    <w:rsid w:val="194E734F"/>
    <w:rsid w:val="19EA7791"/>
    <w:rsid w:val="1B4D4054"/>
    <w:rsid w:val="1B6218D0"/>
    <w:rsid w:val="1BB4215D"/>
    <w:rsid w:val="1D0A483F"/>
    <w:rsid w:val="1DF421E4"/>
    <w:rsid w:val="1E106574"/>
    <w:rsid w:val="1E1C3111"/>
    <w:rsid w:val="1F1C7BC3"/>
    <w:rsid w:val="1FC9302C"/>
    <w:rsid w:val="1FD95F12"/>
    <w:rsid w:val="234F62FF"/>
    <w:rsid w:val="23BA6285"/>
    <w:rsid w:val="24F16A9B"/>
    <w:rsid w:val="25A40624"/>
    <w:rsid w:val="28CB7720"/>
    <w:rsid w:val="2F950047"/>
    <w:rsid w:val="2FE930A4"/>
    <w:rsid w:val="30115B29"/>
    <w:rsid w:val="307C7DB2"/>
    <w:rsid w:val="32864C7C"/>
    <w:rsid w:val="3466620E"/>
    <w:rsid w:val="34BB5B9A"/>
    <w:rsid w:val="3D444152"/>
    <w:rsid w:val="3F0B1D3C"/>
    <w:rsid w:val="48782604"/>
    <w:rsid w:val="50C87FF2"/>
    <w:rsid w:val="50DD6F47"/>
    <w:rsid w:val="513B692F"/>
    <w:rsid w:val="52783ED8"/>
    <w:rsid w:val="55265EE4"/>
    <w:rsid w:val="56382216"/>
    <w:rsid w:val="56575C2B"/>
    <w:rsid w:val="57A57653"/>
    <w:rsid w:val="59E81360"/>
    <w:rsid w:val="5B217745"/>
    <w:rsid w:val="61212EED"/>
    <w:rsid w:val="619A6818"/>
    <w:rsid w:val="650B6BBA"/>
    <w:rsid w:val="66905817"/>
    <w:rsid w:val="68C422E1"/>
    <w:rsid w:val="68E622A6"/>
    <w:rsid w:val="698E4985"/>
    <w:rsid w:val="6C582D17"/>
    <w:rsid w:val="6D191622"/>
    <w:rsid w:val="6DB13729"/>
    <w:rsid w:val="6F047A4D"/>
    <w:rsid w:val="6F7642F1"/>
    <w:rsid w:val="6FA97F60"/>
    <w:rsid w:val="704C4083"/>
    <w:rsid w:val="73F15E7F"/>
    <w:rsid w:val="75B20C27"/>
    <w:rsid w:val="75C8468E"/>
    <w:rsid w:val="763728CF"/>
    <w:rsid w:val="77295BBF"/>
    <w:rsid w:val="79155BF4"/>
    <w:rsid w:val="79F56C6B"/>
    <w:rsid w:val="7B700B12"/>
    <w:rsid w:val="7C6508AD"/>
    <w:rsid w:val="7CE13183"/>
    <w:rsid w:val="7E32590C"/>
    <w:rsid w:val="7E916E9A"/>
    <w:rsid w:val="7EB83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1"/>
      <w:lang w:val="en-US" w:eastAsia="zh-CN" w:bidi="ar-SA"/>
    </w:rPr>
  </w:style>
  <w:style w:type="paragraph" w:styleId="2">
    <w:name w:val="heading 1"/>
    <w:basedOn w:val="1"/>
    <w:next w:val="1"/>
    <w:link w:val="39"/>
    <w:qFormat/>
    <w:uiPriority w:val="0"/>
    <w:pPr>
      <w:keepNext/>
      <w:keepLines/>
      <w:spacing w:before="340" w:after="330" w:line="576" w:lineRule="auto"/>
      <w:outlineLvl w:val="0"/>
    </w:pPr>
    <w:rPr>
      <w:rFonts w:cs="Times New Roman"/>
      <w:b/>
      <w:kern w:val="44"/>
      <w:sz w:val="44"/>
      <w:szCs w:val="20"/>
    </w:rPr>
  </w:style>
  <w:style w:type="paragraph" w:styleId="3">
    <w:name w:val="heading 2"/>
    <w:basedOn w:val="4"/>
    <w:next w:val="5"/>
    <w:link w:val="40"/>
    <w:qFormat/>
    <w:uiPriority w:val="0"/>
    <w:pPr>
      <w:tabs>
        <w:tab w:val="left" w:pos="2159"/>
      </w:tabs>
      <w:spacing w:before="360" w:afterLines="50" w:line="320" w:lineRule="exact"/>
      <w:ind w:left="2159" w:hanging="1320"/>
      <w:jc w:val="center"/>
      <w:outlineLvl w:val="1"/>
    </w:pPr>
    <w:rPr>
      <w:rFonts w:eastAsia="黑体"/>
      <w:b/>
      <w:sz w:val="32"/>
    </w:rPr>
  </w:style>
  <w:style w:type="paragraph" w:styleId="6">
    <w:name w:val="heading 3"/>
    <w:basedOn w:val="1"/>
    <w:next w:val="1"/>
    <w:link w:val="42"/>
    <w:qFormat/>
    <w:uiPriority w:val="0"/>
    <w:pPr>
      <w:keepNext/>
      <w:keepLines/>
      <w:spacing w:before="260" w:after="260" w:line="416" w:lineRule="auto"/>
      <w:outlineLvl w:val="2"/>
    </w:pPr>
    <w:rPr>
      <w:rFonts w:cs="Times New Roman"/>
      <w:b/>
      <w:bCs/>
      <w:sz w:val="32"/>
      <w:szCs w:val="32"/>
    </w:rPr>
  </w:style>
  <w:style w:type="paragraph" w:styleId="7">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cs="Arial"/>
      <w:sz w:val="24"/>
      <w:szCs w:val="24"/>
    </w:rPr>
  </w:style>
  <w:style w:type="paragraph" w:styleId="5">
    <w:name w:val="Title"/>
    <w:basedOn w:val="1"/>
    <w:link w:val="41"/>
    <w:qFormat/>
    <w:uiPriority w:val="0"/>
    <w:pPr>
      <w:spacing w:before="240" w:after="60"/>
      <w:jc w:val="center"/>
      <w:outlineLvl w:val="0"/>
    </w:pPr>
    <w:rPr>
      <w:rFonts w:ascii="Arial" w:hAnsi="Arial" w:cs="Times New Roman"/>
      <w:b/>
      <w:bCs/>
      <w:kern w:val="0"/>
      <w:sz w:val="32"/>
      <w:szCs w:val="32"/>
    </w:rPr>
  </w:style>
  <w:style w:type="paragraph" w:styleId="8">
    <w:name w:val="toc 7"/>
    <w:basedOn w:val="1"/>
    <w:next w:val="1"/>
    <w:unhideWhenUsed/>
    <w:qFormat/>
    <w:uiPriority w:val="0"/>
    <w:pPr>
      <w:ind w:left="2520" w:leftChars="1200"/>
    </w:pPr>
    <w:rPr>
      <w:rFonts w:ascii="Calibri" w:hAnsi="Calibri" w:cs="Times New Roman"/>
      <w:szCs w:val="22"/>
    </w:rPr>
  </w:style>
  <w:style w:type="paragraph" w:styleId="9">
    <w:name w:val="Normal Indent"/>
    <w:basedOn w:val="1"/>
    <w:qFormat/>
    <w:uiPriority w:val="0"/>
    <w:pPr>
      <w:ind w:firstLine="420"/>
    </w:pPr>
    <w:rPr>
      <w:rFonts w:cs="Times New Roman"/>
      <w:szCs w:val="20"/>
    </w:rPr>
  </w:style>
  <w:style w:type="paragraph" w:styleId="10">
    <w:name w:val="annotation text"/>
    <w:basedOn w:val="1"/>
    <w:link w:val="44"/>
    <w:qFormat/>
    <w:uiPriority w:val="0"/>
    <w:pPr>
      <w:jc w:val="left"/>
    </w:pPr>
    <w:rPr>
      <w:rFonts w:cs="Times New Roman"/>
    </w:rPr>
  </w:style>
  <w:style w:type="paragraph" w:styleId="11">
    <w:name w:val="Body Text"/>
    <w:basedOn w:val="1"/>
    <w:link w:val="45"/>
    <w:qFormat/>
    <w:uiPriority w:val="0"/>
    <w:pPr>
      <w:spacing w:line="440" w:lineRule="atLeast"/>
      <w:jc w:val="right"/>
    </w:pPr>
    <w:rPr>
      <w:rFonts w:ascii="宋体" w:hAnsi="宋体" w:cs="Times New Roman"/>
      <w:sz w:val="24"/>
      <w:szCs w:val="24"/>
    </w:rPr>
  </w:style>
  <w:style w:type="paragraph" w:styleId="12">
    <w:name w:val="Body Text Indent"/>
    <w:basedOn w:val="1"/>
    <w:link w:val="46"/>
    <w:qFormat/>
    <w:uiPriority w:val="0"/>
    <w:pPr>
      <w:widowControl/>
      <w:spacing w:line="500" w:lineRule="atLeast"/>
      <w:ind w:firstLine="915"/>
    </w:pPr>
    <w:rPr>
      <w:rFonts w:ascii="宋体" w:cs="Times New Roman"/>
      <w:kern w:val="0"/>
      <w:sz w:val="24"/>
      <w:szCs w:val="24"/>
    </w:rPr>
  </w:style>
  <w:style w:type="paragraph" w:styleId="13">
    <w:name w:val="Block Text"/>
    <w:basedOn w:val="1"/>
    <w:qFormat/>
    <w:uiPriority w:val="0"/>
    <w:pPr>
      <w:adjustRightInd w:val="0"/>
      <w:snapToGrid w:val="0"/>
      <w:spacing w:before="100" w:beforeAutospacing="1" w:after="100" w:afterAutospacing="1" w:line="360" w:lineRule="auto"/>
      <w:ind w:left="270" w:leftChars="270" w:right="-150" w:rightChars="-150" w:firstLine="480" w:firstLineChars="200"/>
    </w:pPr>
    <w:rPr>
      <w:rFonts w:ascii="宋体" w:cs="Times New Roman"/>
      <w:sz w:val="24"/>
      <w:szCs w:val="24"/>
    </w:rPr>
  </w:style>
  <w:style w:type="paragraph" w:styleId="14">
    <w:name w:val="toc 5"/>
    <w:basedOn w:val="1"/>
    <w:next w:val="1"/>
    <w:unhideWhenUsed/>
    <w:qFormat/>
    <w:uiPriority w:val="0"/>
    <w:pPr>
      <w:ind w:left="1680" w:leftChars="800"/>
    </w:pPr>
    <w:rPr>
      <w:rFonts w:ascii="Calibri" w:hAnsi="Calibri" w:cs="Times New Roman"/>
      <w:szCs w:val="22"/>
    </w:rPr>
  </w:style>
  <w:style w:type="paragraph" w:styleId="15">
    <w:name w:val="toc 3"/>
    <w:basedOn w:val="1"/>
    <w:next w:val="1"/>
    <w:qFormat/>
    <w:uiPriority w:val="0"/>
    <w:pPr>
      <w:ind w:left="840" w:leftChars="400"/>
    </w:pPr>
    <w:rPr>
      <w:rFonts w:cs="Times New Roman"/>
      <w:szCs w:val="24"/>
    </w:rPr>
  </w:style>
  <w:style w:type="paragraph" w:styleId="16">
    <w:name w:val="Plain Text"/>
    <w:basedOn w:val="1"/>
    <w:link w:val="47"/>
    <w:qFormat/>
    <w:uiPriority w:val="0"/>
    <w:rPr>
      <w:rFonts w:ascii="宋体" w:hAnsi="Courier New" w:cs="Times New Roman"/>
    </w:rPr>
  </w:style>
  <w:style w:type="paragraph" w:styleId="17">
    <w:name w:val="toc 8"/>
    <w:basedOn w:val="1"/>
    <w:next w:val="1"/>
    <w:unhideWhenUsed/>
    <w:qFormat/>
    <w:uiPriority w:val="0"/>
    <w:pPr>
      <w:ind w:left="2940" w:leftChars="1400"/>
    </w:pPr>
    <w:rPr>
      <w:rFonts w:ascii="Calibri" w:hAnsi="Calibri" w:cs="Times New Roman"/>
      <w:szCs w:val="22"/>
    </w:rPr>
  </w:style>
  <w:style w:type="paragraph" w:styleId="18">
    <w:name w:val="Date"/>
    <w:basedOn w:val="1"/>
    <w:next w:val="1"/>
    <w:link w:val="48"/>
    <w:qFormat/>
    <w:uiPriority w:val="0"/>
    <w:pPr>
      <w:adjustRightInd w:val="0"/>
      <w:jc w:val="right"/>
      <w:textAlignment w:val="baseline"/>
    </w:pPr>
    <w:rPr>
      <w:rFonts w:eastAsia="仿宋_GB2312" w:cs="Times New Roman"/>
      <w:b/>
      <w:kern w:val="0"/>
      <w:sz w:val="28"/>
      <w:szCs w:val="20"/>
    </w:rPr>
  </w:style>
  <w:style w:type="paragraph" w:styleId="19">
    <w:name w:val="Body Text Indent 2"/>
    <w:basedOn w:val="1"/>
    <w:link w:val="49"/>
    <w:qFormat/>
    <w:uiPriority w:val="0"/>
    <w:pPr>
      <w:spacing w:before="100" w:beforeAutospacing="1" w:line="480" w:lineRule="auto"/>
      <w:ind w:left="200" w:leftChars="200"/>
    </w:pPr>
    <w:rPr>
      <w:rFonts w:cs="Times New Roman"/>
    </w:rPr>
  </w:style>
  <w:style w:type="paragraph" w:styleId="20">
    <w:name w:val="Balloon Text"/>
    <w:basedOn w:val="1"/>
    <w:link w:val="50"/>
    <w:qFormat/>
    <w:uiPriority w:val="0"/>
    <w:pPr>
      <w:widowControl/>
      <w:jc w:val="left"/>
    </w:pPr>
    <w:rPr>
      <w:rFonts w:cs="Times New Roman"/>
      <w:kern w:val="0"/>
      <w:sz w:val="18"/>
      <w:szCs w:val="18"/>
    </w:rPr>
  </w:style>
  <w:style w:type="paragraph" w:styleId="21">
    <w:name w:val="footer"/>
    <w:basedOn w:val="1"/>
    <w:link w:val="51"/>
    <w:qFormat/>
    <w:uiPriority w:val="0"/>
    <w:pPr>
      <w:tabs>
        <w:tab w:val="center" w:pos="4153"/>
        <w:tab w:val="right" w:pos="8306"/>
      </w:tabs>
      <w:snapToGrid w:val="0"/>
      <w:jc w:val="left"/>
    </w:pPr>
    <w:rPr>
      <w:sz w:val="18"/>
      <w:szCs w:val="18"/>
    </w:rPr>
  </w:style>
  <w:style w:type="paragraph" w:styleId="22">
    <w:name w:val="header"/>
    <w:basedOn w:val="1"/>
    <w:link w:val="52"/>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23">
    <w:name w:val="toc 1"/>
    <w:basedOn w:val="1"/>
    <w:next w:val="1"/>
    <w:qFormat/>
    <w:uiPriority w:val="0"/>
    <w:rPr>
      <w:rFonts w:eastAsia="黑体" w:cs="Times New Roman"/>
      <w:sz w:val="32"/>
      <w:szCs w:val="20"/>
    </w:rPr>
  </w:style>
  <w:style w:type="paragraph" w:styleId="24">
    <w:name w:val="toc 4"/>
    <w:basedOn w:val="1"/>
    <w:next w:val="1"/>
    <w:unhideWhenUsed/>
    <w:qFormat/>
    <w:uiPriority w:val="0"/>
    <w:pPr>
      <w:ind w:left="1260" w:leftChars="600"/>
    </w:pPr>
    <w:rPr>
      <w:rFonts w:ascii="Calibri" w:hAnsi="Calibri" w:cs="Times New Roman"/>
      <w:szCs w:val="22"/>
    </w:rPr>
  </w:style>
  <w:style w:type="paragraph" w:styleId="25">
    <w:name w:val="Subtitle"/>
    <w:basedOn w:val="1"/>
    <w:next w:val="1"/>
    <w:qFormat/>
    <w:uiPriority w:val="0"/>
    <w:pPr>
      <w:spacing w:before="240" w:after="60" w:line="312" w:lineRule="auto"/>
      <w:jc w:val="center"/>
      <w:outlineLvl w:val="1"/>
    </w:pPr>
    <w:rPr>
      <w:rFonts w:cs="Times New Roman"/>
      <w:sz w:val="18"/>
      <w:szCs w:val="18"/>
    </w:rPr>
  </w:style>
  <w:style w:type="paragraph" w:styleId="26">
    <w:name w:val="toc 6"/>
    <w:basedOn w:val="1"/>
    <w:next w:val="1"/>
    <w:unhideWhenUsed/>
    <w:qFormat/>
    <w:uiPriority w:val="0"/>
    <w:pPr>
      <w:ind w:left="2100" w:leftChars="1000"/>
    </w:pPr>
    <w:rPr>
      <w:rFonts w:ascii="Calibri" w:hAnsi="Calibri" w:cs="Times New Roman"/>
      <w:szCs w:val="22"/>
    </w:rPr>
  </w:style>
  <w:style w:type="paragraph" w:styleId="27">
    <w:name w:val="toc 2"/>
    <w:basedOn w:val="1"/>
    <w:next w:val="1"/>
    <w:qFormat/>
    <w:uiPriority w:val="0"/>
    <w:pPr>
      <w:ind w:left="420" w:leftChars="200"/>
    </w:pPr>
    <w:rPr>
      <w:rFonts w:eastAsia="黑体" w:cs="Times New Roman"/>
      <w:sz w:val="32"/>
      <w:szCs w:val="20"/>
    </w:rPr>
  </w:style>
  <w:style w:type="paragraph" w:styleId="28">
    <w:name w:val="toc 9"/>
    <w:basedOn w:val="1"/>
    <w:next w:val="1"/>
    <w:unhideWhenUsed/>
    <w:qFormat/>
    <w:uiPriority w:val="0"/>
    <w:pPr>
      <w:ind w:left="3360" w:leftChars="1600"/>
    </w:pPr>
    <w:rPr>
      <w:rFonts w:ascii="Calibri" w:hAnsi="Calibri" w:cs="Times New Roman"/>
      <w:szCs w:val="22"/>
    </w:rPr>
  </w:style>
  <w:style w:type="paragraph" w:styleId="29">
    <w:name w:val="annotation subject"/>
    <w:basedOn w:val="10"/>
    <w:next w:val="10"/>
    <w:link w:val="53"/>
    <w:unhideWhenUsed/>
    <w:qFormat/>
    <w:uiPriority w:val="0"/>
    <w:rPr>
      <w:b/>
      <w:bCs/>
      <w:kern w:val="0"/>
      <w:sz w:val="20"/>
      <w:szCs w:val="20"/>
    </w:rPr>
  </w:style>
  <w:style w:type="paragraph" w:styleId="30">
    <w:name w:val="Body Text First Indent"/>
    <w:basedOn w:val="11"/>
    <w:link w:val="131"/>
    <w:qFormat/>
    <w:uiPriority w:val="0"/>
    <w:pPr>
      <w:spacing w:after="120" w:line="240" w:lineRule="auto"/>
      <w:ind w:firstLine="420" w:firstLineChars="100"/>
      <w:jc w:val="both"/>
    </w:pPr>
    <w:rPr>
      <w:rFonts w:ascii="Times New Roman" w:hAnsi="Times New Roman" w:cs="黑体"/>
      <w:sz w:val="21"/>
      <w:szCs w:val="21"/>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qFormat/>
    <w:uiPriority w:val="0"/>
  </w:style>
  <w:style w:type="character" w:styleId="36">
    <w:name w:val="FollowedHyperlink"/>
    <w:qFormat/>
    <w:uiPriority w:val="0"/>
    <w:rPr>
      <w:color w:val="0000FF"/>
      <w:u w:val="single"/>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标题 1 字符"/>
    <w:link w:val="2"/>
    <w:qFormat/>
    <w:uiPriority w:val="0"/>
    <w:rPr>
      <w:rFonts w:eastAsia="宋体"/>
      <w:b/>
      <w:kern w:val="44"/>
      <w:sz w:val="44"/>
      <w:lang w:val="en-US" w:eastAsia="zh-CN" w:bidi="ar-SA"/>
    </w:rPr>
  </w:style>
  <w:style w:type="character" w:customStyle="1" w:styleId="40">
    <w:name w:val="标题 2 字符"/>
    <w:link w:val="3"/>
    <w:qFormat/>
    <w:uiPriority w:val="0"/>
    <w:rPr>
      <w:rFonts w:ascii="Arial" w:hAnsi="Arial" w:eastAsia="黑体" w:cs="Arial"/>
      <w:b/>
      <w:kern w:val="2"/>
      <w:sz w:val="32"/>
      <w:szCs w:val="24"/>
      <w:lang w:val="en-US" w:eastAsia="zh-CN" w:bidi="ar-SA"/>
    </w:rPr>
  </w:style>
  <w:style w:type="character" w:customStyle="1" w:styleId="41">
    <w:name w:val="标题 字符"/>
    <w:link w:val="5"/>
    <w:qFormat/>
    <w:uiPriority w:val="0"/>
    <w:rPr>
      <w:rFonts w:ascii="Arial" w:hAnsi="Arial" w:eastAsia="宋体"/>
      <w:b/>
      <w:bCs/>
      <w:sz w:val="32"/>
      <w:szCs w:val="32"/>
      <w:lang w:bidi="ar-SA"/>
    </w:rPr>
  </w:style>
  <w:style w:type="character" w:customStyle="1" w:styleId="42">
    <w:name w:val="标题 3 字符"/>
    <w:link w:val="6"/>
    <w:qFormat/>
    <w:uiPriority w:val="0"/>
    <w:rPr>
      <w:rFonts w:eastAsia="宋体"/>
      <w:b/>
      <w:bCs/>
      <w:kern w:val="2"/>
      <w:sz w:val="32"/>
      <w:szCs w:val="32"/>
      <w:lang w:val="en-US" w:eastAsia="zh-CN" w:bidi="ar-SA"/>
    </w:rPr>
  </w:style>
  <w:style w:type="character" w:customStyle="1" w:styleId="43">
    <w:name w:val="标题 4 字符"/>
    <w:link w:val="7"/>
    <w:qFormat/>
    <w:uiPriority w:val="0"/>
    <w:rPr>
      <w:rFonts w:ascii="Arial" w:hAnsi="Arial" w:eastAsia="黑体"/>
      <w:b/>
      <w:bCs/>
      <w:kern w:val="2"/>
      <w:sz w:val="28"/>
      <w:szCs w:val="28"/>
      <w:lang w:val="en-US" w:eastAsia="zh-CN" w:bidi="ar-SA"/>
    </w:rPr>
  </w:style>
  <w:style w:type="character" w:customStyle="1" w:styleId="44">
    <w:name w:val="批注文字 字符"/>
    <w:link w:val="10"/>
    <w:qFormat/>
    <w:uiPriority w:val="0"/>
    <w:rPr>
      <w:rFonts w:eastAsia="宋体"/>
      <w:kern w:val="2"/>
      <w:sz w:val="21"/>
      <w:szCs w:val="21"/>
      <w:lang w:val="en-US" w:eastAsia="zh-CN" w:bidi="ar-SA"/>
    </w:rPr>
  </w:style>
  <w:style w:type="character" w:customStyle="1" w:styleId="45">
    <w:name w:val="正文文本 字符"/>
    <w:link w:val="11"/>
    <w:qFormat/>
    <w:uiPriority w:val="0"/>
    <w:rPr>
      <w:rFonts w:ascii="宋体" w:hAnsi="宋体" w:eastAsia="宋体"/>
      <w:kern w:val="2"/>
      <w:sz w:val="24"/>
      <w:szCs w:val="24"/>
      <w:lang w:val="en-US" w:eastAsia="zh-CN" w:bidi="ar-SA"/>
    </w:rPr>
  </w:style>
  <w:style w:type="character" w:customStyle="1" w:styleId="46">
    <w:name w:val="正文文本缩进 字符"/>
    <w:link w:val="12"/>
    <w:qFormat/>
    <w:uiPriority w:val="0"/>
    <w:rPr>
      <w:rFonts w:ascii="宋体" w:eastAsia="宋体"/>
      <w:sz w:val="24"/>
      <w:szCs w:val="24"/>
      <w:lang w:val="en-US" w:eastAsia="zh-CN" w:bidi="ar-SA"/>
    </w:rPr>
  </w:style>
  <w:style w:type="character" w:customStyle="1" w:styleId="47">
    <w:name w:val="纯文本 字符"/>
    <w:link w:val="16"/>
    <w:qFormat/>
    <w:uiPriority w:val="0"/>
    <w:rPr>
      <w:rFonts w:ascii="宋体" w:hAnsi="Courier New" w:eastAsia="宋体"/>
      <w:kern w:val="2"/>
      <w:sz w:val="21"/>
      <w:szCs w:val="21"/>
      <w:lang w:val="en-US" w:eastAsia="zh-CN" w:bidi="ar-SA"/>
    </w:rPr>
  </w:style>
  <w:style w:type="character" w:customStyle="1" w:styleId="48">
    <w:name w:val="日期 字符"/>
    <w:link w:val="18"/>
    <w:qFormat/>
    <w:uiPriority w:val="0"/>
    <w:rPr>
      <w:rFonts w:eastAsia="仿宋_GB2312"/>
      <w:b/>
      <w:sz w:val="28"/>
      <w:lang w:bidi="ar-SA"/>
    </w:rPr>
  </w:style>
  <w:style w:type="character" w:customStyle="1" w:styleId="49">
    <w:name w:val="正文文本缩进 2 字符"/>
    <w:link w:val="19"/>
    <w:qFormat/>
    <w:uiPriority w:val="0"/>
    <w:rPr>
      <w:rFonts w:eastAsia="宋体"/>
      <w:kern w:val="2"/>
      <w:sz w:val="21"/>
      <w:szCs w:val="21"/>
      <w:lang w:val="en-US" w:eastAsia="zh-CN" w:bidi="ar-SA"/>
    </w:rPr>
  </w:style>
  <w:style w:type="character" w:customStyle="1" w:styleId="50">
    <w:name w:val="批注框文本 字符"/>
    <w:link w:val="20"/>
    <w:qFormat/>
    <w:uiPriority w:val="0"/>
    <w:rPr>
      <w:rFonts w:eastAsia="宋体"/>
      <w:sz w:val="18"/>
      <w:szCs w:val="18"/>
      <w:lang w:bidi="ar-SA"/>
    </w:rPr>
  </w:style>
  <w:style w:type="character" w:customStyle="1" w:styleId="51">
    <w:name w:val="页脚 字符"/>
    <w:link w:val="21"/>
    <w:qFormat/>
    <w:uiPriority w:val="0"/>
    <w:rPr>
      <w:rFonts w:eastAsia="宋体" w:cs="黑体"/>
      <w:kern w:val="2"/>
      <w:sz w:val="18"/>
      <w:szCs w:val="18"/>
      <w:lang w:val="en-US" w:eastAsia="zh-CN" w:bidi="ar-SA"/>
    </w:rPr>
  </w:style>
  <w:style w:type="character" w:customStyle="1" w:styleId="52">
    <w:name w:val="页眉 字符"/>
    <w:link w:val="22"/>
    <w:qFormat/>
    <w:uiPriority w:val="0"/>
    <w:rPr>
      <w:rFonts w:cs="黑体"/>
      <w:kern w:val="2"/>
      <w:sz w:val="18"/>
      <w:szCs w:val="18"/>
    </w:rPr>
  </w:style>
  <w:style w:type="character" w:customStyle="1" w:styleId="53">
    <w:name w:val="批注主题 字符"/>
    <w:link w:val="29"/>
    <w:semiHidden/>
    <w:qFormat/>
    <w:uiPriority w:val="0"/>
    <w:rPr>
      <w:rFonts w:eastAsia="宋体"/>
      <w:b/>
      <w:bCs/>
      <w:lang w:bidi="ar-SA"/>
    </w:rPr>
  </w:style>
  <w:style w:type="character" w:customStyle="1" w:styleId="54">
    <w:name w:val="公告正文 Char Char"/>
    <w:link w:val="55"/>
    <w:qFormat/>
    <w:uiPriority w:val="0"/>
    <w:rPr>
      <w:rFonts w:ascii="宋体" w:hAnsi="宋体"/>
      <w:sz w:val="24"/>
      <w:szCs w:val="24"/>
      <w:lang w:bidi="ar-SA"/>
    </w:rPr>
  </w:style>
  <w:style w:type="paragraph" w:customStyle="1" w:styleId="55">
    <w:name w:val="公告正文"/>
    <w:basedOn w:val="1"/>
    <w:link w:val="54"/>
    <w:qFormat/>
    <w:uiPriority w:val="0"/>
    <w:pPr>
      <w:spacing w:line="400" w:lineRule="atLeast"/>
      <w:ind w:firstLine="437"/>
    </w:pPr>
    <w:rPr>
      <w:rFonts w:ascii="宋体" w:hAnsi="宋体" w:cs="Times New Roman"/>
      <w:kern w:val="0"/>
      <w:sz w:val="24"/>
      <w:szCs w:val="24"/>
    </w:rPr>
  </w:style>
  <w:style w:type="character" w:customStyle="1" w:styleId="56">
    <w:name w:val="纯文本 Char"/>
    <w:qFormat/>
    <w:uiPriority w:val="0"/>
    <w:rPr>
      <w:rFonts w:ascii="宋体" w:hAnsi="Courier New" w:eastAsia="宋体" w:cs="Times New Roman"/>
      <w:szCs w:val="20"/>
    </w:rPr>
  </w:style>
  <w:style w:type="character" w:customStyle="1" w:styleId="57">
    <w:name w:val="批注文字 Char"/>
    <w:qFormat/>
    <w:uiPriority w:val="0"/>
    <w:rPr>
      <w:rFonts w:ascii="Times New Roman" w:hAnsi="Times New Roman" w:eastAsia="宋体" w:cs="Times New Roman"/>
      <w:szCs w:val="20"/>
    </w:rPr>
  </w:style>
  <w:style w:type="character" w:customStyle="1" w:styleId="58">
    <w:name w:val="正文文本缩进 2 Char"/>
    <w:qFormat/>
    <w:uiPriority w:val="0"/>
    <w:rPr>
      <w:rFonts w:ascii="Times New Roman" w:hAnsi="Times New Roman" w:eastAsia="宋体" w:cs="Times New Roman"/>
      <w:szCs w:val="20"/>
    </w:rPr>
  </w:style>
  <w:style w:type="character" w:customStyle="1" w:styleId="59">
    <w:name w:val="font11"/>
    <w:qFormat/>
    <w:uiPriority w:val="0"/>
    <w:rPr>
      <w:rFonts w:hint="eastAsia" w:ascii="宋体" w:hAnsi="宋体" w:eastAsia="宋体"/>
      <w:color w:val="000000"/>
      <w:sz w:val="20"/>
      <w:szCs w:val="20"/>
      <w:u w:val="none"/>
    </w:rPr>
  </w:style>
  <w:style w:type="character" w:customStyle="1" w:styleId="60">
    <w:name w:val="font01"/>
    <w:qFormat/>
    <w:uiPriority w:val="0"/>
    <w:rPr>
      <w:rFonts w:hint="eastAsia" w:ascii="宋体" w:hAnsi="宋体" w:eastAsia="宋体" w:cs="宋体"/>
      <w:color w:val="000000"/>
      <w:sz w:val="18"/>
      <w:szCs w:val="18"/>
      <w:u w:val="none"/>
    </w:rPr>
  </w:style>
  <w:style w:type="character" w:customStyle="1" w:styleId="61">
    <w:name w:val="页眉 Char"/>
    <w:qFormat/>
    <w:uiPriority w:val="0"/>
    <w:rPr>
      <w:rFonts w:ascii="Times New Roman" w:hAnsi="Times New Roman" w:eastAsia="宋体" w:cs="Times New Roman"/>
      <w:sz w:val="18"/>
      <w:szCs w:val="20"/>
    </w:rPr>
  </w:style>
  <w:style w:type="character" w:customStyle="1" w:styleId="62">
    <w:name w:val="Char Char12"/>
    <w:qFormat/>
    <w:uiPriority w:val="0"/>
    <w:rPr>
      <w:rFonts w:ascii="Times New Roman" w:hAnsi="Times New Roman"/>
      <w:kern w:val="2"/>
      <w:sz w:val="21"/>
      <w:szCs w:val="24"/>
    </w:rPr>
  </w:style>
  <w:style w:type="character" w:customStyle="1" w:styleId="63">
    <w:name w:val="日期 Char"/>
    <w:qFormat/>
    <w:uiPriority w:val="0"/>
    <w:rPr>
      <w:rFonts w:ascii="Times New Roman" w:hAnsi="Times New Roman" w:eastAsia="仿宋_GB2312" w:cs="Times New Roman"/>
      <w:b/>
      <w:kern w:val="0"/>
      <w:sz w:val="28"/>
      <w:szCs w:val="20"/>
    </w:rPr>
  </w:style>
  <w:style w:type="character" w:customStyle="1" w:styleId="64">
    <w:name w:val="批注框文本 Char"/>
    <w:qFormat/>
    <w:uiPriority w:val="0"/>
    <w:rPr>
      <w:rFonts w:ascii="Times New Roman" w:hAnsi="Times New Roman" w:eastAsia="宋体" w:cs="Times New Roman"/>
      <w:kern w:val="0"/>
      <w:sz w:val="18"/>
      <w:szCs w:val="18"/>
    </w:rPr>
  </w:style>
  <w:style w:type="character" w:customStyle="1" w:styleId="65">
    <w:name w:val="apple-converted-space"/>
    <w:qFormat/>
    <w:uiPriority w:val="0"/>
  </w:style>
  <w:style w:type="character" w:customStyle="1" w:styleId="66">
    <w:name w:val="正文文本缩进 Char"/>
    <w:qFormat/>
    <w:uiPriority w:val="0"/>
    <w:rPr>
      <w:rFonts w:ascii="宋体" w:hAnsi="Times New Roman" w:eastAsia="宋体" w:cs="Times New Roman"/>
      <w:kern w:val="0"/>
      <w:sz w:val="24"/>
      <w:szCs w:val="20"/>
    </w:rPr>
  </w:style>
  <w:style w:type="character" w:customStyle="1" w:styleId="67">
    <w:name w:val="font41"/>
    <w:qFormat/>
    <w:uiPriority w:val="0"/>
    <w:rPr>
      <w:rFonts w:hint="eastAsia" w:ascii="宋体" w:hAnsi="宋体" w:eastAsia="宋体"/>
      <w:color w:val="000000"/>
      <w:sz w:val="20"/>
      <w:szCs w:val="20"/>
      <w:u w:val="none"/>
    </w:rPr>
  </w:style>
  <w:style w:type="character" w:customStyle="1" w:styleId="68">
    <w:name w:val="Char Char11"/>
    <w:semiHidden/>
    <w:qFormat/>
    <w:locked/>
    <w:uiPriority w:val="0"/>
    <w:rPr>
      <w:rFonts w:ascii="宋体" w:eastAsia="宋体"/>
      <w:lang w:val="en-US" w:eastAsia="zh-CN" w:bidi="ar-SA"/>
    </w:rPr>
  </w:style>
  <w:style w:type="character" w:customStyle="1" w:styleId="69">
    <w:name w:val="页眉 Char1"/>
    <w:qFormat/>
    <w:uiPriority w:val="0"/>
    <w:rPr>
      <w:rFonts w:ascii="Times New Roman" w:hAnsi="Times New Roman" w:eastAsia="宋体" w:cs="Times New Roman"/>
      <w:sz w:val="18"/>
      <w:szCs w:val="20"/>
    </w:rPr>
  </w:style>
  <w:style w:type="character" w:customStyle="1" w:styleId="70">
    <w:name w:val="普通文字 Char Char1"/>
    <w:qFormat/>
    <w:uiPriority w:val="0"/>
    <w:rPr>
      <w:rFonts w:ascii="宋体" w:hAnsi="Courier New" w:eastAsia="宋体"/>
      <w:kern w:val="2"/>
      <w:sz w:val="21"/>
      <w:lang w:val="en-US" w:eastAsia="zh-CN" w:bidi="ar-SA"/>
    </w:rPr>
  </w:style>
  <w:style w:type="character" w:customStyle="1" w:styleId="71">
    <w:name w:val="Char Char5"/>
    <w:qFormat/>
    <w:uiPriority w:val="0"/>
    <w:rPr>
      <w:rFonts w:eastAsia="宋体"/>
      <w:kern w:val="2"/>
      <w:sz w:val="21"/>
      <w:szCs w:val="21"/>
      <w:lang w:val="en-US" w:eastAsia="zh-CN" w:bidi="ar-SA"/>
    </w:rPr>
  </w:style>
  <w:style w:type="character" w:customStyle="1" w:styleId="72">
    <w:name w:val="普通文字 Char Char Char"/>
    <w:qFormat/>
    <w:uiPriority w:val="0"/>
    <w:rPr>
      <w:rFonts w:ascii="宋体" w:hAnsi="Courier New" w:eastAsia="宋体"/>
      <w:kern w:val="2"/>
      <w:sz w:val="21"/>
      <w:lang w:val="en-US" w:eastAsia="zh-CN" w:bidi="ar-SA"/>
    </w:rPr>
  </w:style>
  <w:style w:type="character" w:customStyle="1" w:styleId="73">
    <w:name w:val="页脚 Char"/>
    <w:qFormat/>
    <w:uiPriority w:val="0"/>
    <w:rPr>
      <w:sz w:val="18"/>
    </w:rPr>
  </w:style>
  <w:style w:type="character" w:customStyle="1" w:styleId="74">
    <w:name w:val="标题 2 Char"/>
    <w:qFormat/>
    <w:uiPriority w:val="0"/>
    <w:rPr>
      <w:rFonts w:ascii="Arial" w:hAnsi="Arial" w:eastAsia="黑体" w:cs="Arial"/>
      <w:b/>
      <w:sz w:val="32"/>
      <w:szCs w:val="24"/>
    </w:rPr>
  </w:style>
  <w:style w:type="character" w:customStyle="1" w:styleId="75">
    <w:name w:val="apple-style-span"/>
    <w:qFormat/>
    <w:uiPriority w:val="0"/>
  </w:style>
  <w:style w:type="character" w:customStyle="1" w:styleId="76">
    <w:name w:val="Char Char16"/>
    <w:qFormat/>
    <w:uiPriority w:val="0"/>
    <w:rPr>
      <w:rFonts w:ascii="Times New Roman" w:hAnsi="Times New Roman"/>
      <w:b/>
      <w:kern w:val="44"/>
      <w:sz w:val="44"/>
    </w:rPr>
  </w:style>
  <w:style w:type="character" w:customStyle="1" w:styleId="77">
    <w:name w:val="Char Char8"/>
    <w:qFormat/>
    <w:uiPriority w:val="0"/>
    <w:rPr>
      <w:rFonts w:ascii="宋体" w:hAnsi="宋体" w:eastAsia="宋体"/>
      <w:kern w:val="2"/>
      <w:sz w:val="24"/>
      <w:szCs w:val="24"/>
      <w:lang w:val="en-US" w:eastAsia="zh-CN" w:bidi="ar-SA"/>
    </w:rPr>
  </w:style>
  <w:style w:type="character" w:customStyle="1" w:styleId="78">
    <w:name w:val="标题 Char"/>
    <w:qFormat/>
    <w:uiPriority w:val="0"/>
    <w:rPr>
      <w:rFonts w:ascii="Arial" w:hAnsi="Arial" w:eastAsia="宋体" w:cs="Arial"/>
      <w:b/>
      <w:bCs/>
      <w:sz w:val="32"/>
      <w:szCs w:val="32"/>
    </w:rPr>
  </w:style>
  <w:style w:type="character" w:customStyle="1" w:styleId="79">
    <w:name w:val="Char Char15"/>
    <w:qFormat/>
    <w:uiPriority w:val="0"/>
    <w:rPr>
      <w:rFonts w:ascii="Arial" w:hAnsi="Arial" w:eastAsia="黑体"/>
      <w:b/>
      <w:bCs/>
      <w:kern w:val="2"/>
      <w:sz w:val="32"/>
      <w:szCs w:val="32"/>
    </w:rPr>
  </w:style>
  <w:style w:type="character" w:customStyle="1" w:styleId="80">
    <w:name w:val="Footer-Even Char1"/>
    <w:qFormat/>
    <w:uiPriority w:val="0"/>
    <w:rPr>
      <w:rFonts w:eastAsia="宋体"/>
      <w:kern w:val="2"/>
      <w:sz w:val="18"/>
      <w:szCs w:val="18"/>
      <w:lang w:val="en-US" w:eastAsia="zh-CN" w:bidi="ar-SA"/>
    </w:rPr>
  </w:style>
  <w:style w:type="character" w:customStyle="1" w:styleId="81">
    <w:name w:val="正文文本 Char"/>
    <w:qFormat/>
    <w:uiPriority w:val="0"/>
    <w:rPr>
      <w:rFonts w:ascii="宋体" w:hAnsi="宋体" w:eastAsia="宋体" w:cs="Times New Roman"/>
      <w:sz w:val="24"/>
      <w:szCs w:val="24"/>
    </w:rPr>
  </w:style>
  <w:style w:type="character" w:customStyle="1" w:styleId="82">
    <w:name w:val="15"/>
    <w:qFormat/>
    <w:uiPriority w:val="0"/>
    <w:rPr>
      <w:rFonts w:hint="default" w:ascii="Times New Roman" w:hAnsi="Times New Roman" w:cs="Times New Roman"/>
      <w:sz w:val="20"/>
      <w:szCs w:val="20"/>
    </w:rPr>
  </w:style>
  <w:style w:type="paragraph" w:customStyle="1" w:styleId="83">
    <w:name w:val="Char Char Char Char Char Char Char Char Char Char Char Char"/>
    <w:basedOn w:val="1"/>
    <w:qFormat/>
    <w:uiPriority w:val="0"/>
    <w:pPr>
      <w:widowControl/>
      <w:spacing w:after="160" w:line="240" w:lineRule="exact"/>
      <w:jc w:val="left"/>
    </w:pPr>
    <w:rPr>
      <w:rFonts w:cs="Times New Roman"/>
      <w:szCs w:val="24"/>
    </w:rPr>
  </w:style>
  <w:style w:type="paragraph" w:customStyle="1" w:styleId="84">
    <w:name w:val="xl27"/>
    <w:basedOn w:val="1"/>
    <w:qFormat/>
    <w:uiPriority w:val="0"/>
    <w:pPr>
      <w:widowControl/>
      <w:shd w:val="clear" w:color="auto" w:fill="FFFFFF"/>
      <w:spacing w:before="100" w:beforeAutospacing="1" w:after="100" w:afterAutospacing="1"/>
      <w:jc w:val="right"/>
      <w:textAlignment w:val="bottom"/>
    </w:pPr>
    <w:rPr>
      <w:rFonts w:ascii="宋体" w:hAnsi="宋体" w:cs="宋体"/>
      <w:color w:val="000000"/>
      <w:kern w:val="0"/>
      <w:sz w:val="18"/>
      <w:szCs w:val="18"/>
    </w:rPr>
  </w:style>
  <w:style w:type="paragraph" w:customStyle="1" w:styleId="85">
    <w:name w:val="xl2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kern w:val="0"/>
      <w:sz w:val="18"/>
      <w:szCs w:val="18"/>
    </w:rPr>
  </w:style>
  <w:style w:type="paragraph" w:customStyle="1" w:styleId="86">
    <w:name w:val="Blockquote"/>
    <w:basedOn w:val="1"/>
    <w:qFormat/>
    <w:uiPriority w:val="0"/>
    <w:pPr>
      <w:ind w:left="360" w:right="360"/>
    </w:pPr>
    <w:rPr>
      <w:rFonts w:cs="Times New Roman"/>
      <w:szCs w:val="20"/>
    </w:rPr>
  </w:style>
  <w:style w:type="paragraph" w:customStyle="1" w:styleId="87">
    <w:name w:val="Char Char2 Char Char"/>
    <w:basedOn w:val="1"/>
    <w:qFormat/>
    <w:uiPriority w:val="0"/>
    <w:pPr>
      <w:adjustRightInd w:val="0"/>
      <w:spacing w:line="312" w:lineRule="atLeast"/>
      <w:textAlignment w:val="baseline"/>
    </w:pPr>
    <w:rPr>
      <w:rFonts w:ascii="Tahoma" w:hAnsi="Tahoma" w:eastAsia="楷体" w:cs="Times New Roman"/>
      <w:b/>
      <w:kern w:val="0"/>
      <w:sz w:val="24"/>
      <w:szCs w:val="20"/>
    </w:rPr>
  </w:style>
  <w:style w:type="paragraph" w:customStyle="1" w:styleId="88">
    <w:name w:val="Char Char Char1 Char Char Char Char Char Char Char Char Char Char Char Char Char Char Char Char Char Char Char Char Char Char Char Char Char"/>
    <w:basedOn w:val="1"/>
    <w:qFormat/>
    <w:uiPriority w:val="0"/>
    <w:pPr>
      <w:adjustRightInd w:val="0"/>
      <w:spacing w:line="312" w:lineRule="atLeast"/>
      <w:textAlignment w:val="baseline"/>
    </w:pPr>
    <w:rPr>
      <w:rFonts w:ascii="Tahoma" w:hAnsi="Tahoma" w:eastAsia="楷体" w:cs="Times New Roman"/>
      <w:b/>
      <w:kern w:val="0"/>
      <w:sz w:val="24"/>
      <w:szCs w:val="20"/>
    </w:rPr>
  </w:style>
  <w:style w:type="paragraph" w:customStyle="1" w:styleId="89">
    <w:name w:val="列出段落1"/>
    <w:basedOn w:val="1"/>
    <w:qFormat/>
    <w:uiPriority w:val="0"/>
    <w:pPr>
      <w:ind w:firstLine="200" w:firstLineChars="200"/>
    </w:pPr>
    <w:rPr>
      <w:rFonts w:cs="Times New Roman"/>
      <w:szCs w:val="24"/>
    </w:rPr>
  </w:style>
  <w:style w:type="paragraph" w:customStyle="1" w:styleId="90">
    <w:name w:val="Char1"/>
    <w:basedOn w:val="1"/>
    <w:qFormat/>
    <w:uiPriority w:val="0"/>
    <w:rPr>
      <w:rFonts w:ascii="仿宋_GB2312" w:eastAsia="仿宋_GB2312" w:cs="Times New Roman"/>
      <w:b/>
      <w:sz w:val="32"/>
      <w:szCs w:val="32"/>
    </w:rPr>
  </w:style>
  <w:style w:type="paragraph" w:customStyle="1" w:styleId="91">
    <w:name w:val="xl33"/>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92">
    <w:name w:val="Char Char1 Char"/>
    <w:basedOn w:val="1"/>
    <w:qFormat/>
    <w:uiPriority w:val="0"/>
    <w:pPr>
      <w:widowControl/>
      <w:spacing w:after="160" w:line="240" w:lineRule="exact"/>
      <w:jc w:val="left"/>
    </w:pPr>
    <w:rPr>
      <w:rFonts w:cs="Times New Roman"/>
      <w:szCs w:val="24"/>
    </w:rPr>
  </w:style>
  <w:style w:type="paragraph" w:customStyle="1" w:styleId="93">
    <w:name w:val="ÕýÎÄ"/>
    <w:qFormat/>
    <w:uiPriority w:val="0"/>
    <w:pPr>
      <w:widowControl w:val="0"/>
      <w:overflowPunct w:val="0"/>
      <w:autoSpaceDE w:val="0"/>
      <w:autoSpaceDN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94">
    <w:name w:val="Table Paragraph"/>
    <w:basedOn w:val="1"/>
    <w:qFormat/>
    <w:uiPriority w:val="99"/>
    <w:pPr>
      <w:autoSpaceDE w:val="0"/>
      <w:autoSpaceDN w:val="0"/>
      <w:jc w:val="left"/>
    </w:pPr>
    <w:rPr>
      <w:rFonts w:ascii="宋体" w:hAnsi="宋体" w:cs="宋体"/>
      <w:kern w:val="0"/>
      <w:sz w:val="22"/>
      <w:szCs w:val="22"/>
      <w:lang w:val="zh-CN" w:bidi="zh-CN"/>
    </w:rPr>
  </w:style>
  <w:style w:type="paragraph" w:customStyle="1" w:styleId="95">
    <w:name w:val="xl3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Arial" w:hAnsi="Arial" w:cs="Arial"/>
      <w:color w:val="000000"/>
      <w:kern w:val="0"/>
      <w:sz w:val="18"/>
      <w:szCs w:val="18"/>
    </w:rPr>
  </w:style>
  <w:style w:type="paragraph" w:customStyle="1" w:styleId="96">
    <w:name w:val="Char11"/>
    <w:basedOn w:val="1"/>
    <w:qFormat/>
    <w:uiPriority w:val="0"/>
    <w:pPr>
      <w:jc w:val="center"/>
    </w:pPr>
    <w:rPr>
      <w:rFonts w:ascii="仿宋_GB2312" w:eastAsia="仿宋_GB2312" w:cs="Times New Roman"/>
      <w:b/>
      <w:kern w:val="0"/>
      <w:sz w:val="32"/>
      <w:szCs w:val="32"/>
      <w:lang w:val="en-GB"/>
    </w:rPr>
  </w:style>
  <w:style w:type="paragraph" w:customStyle="1" w:styleId="97">
    <w:name w:val="缺省文本"/>
    <w:basedOn w:val="1"/>
    <w:qFormat/>
    <w:uiPriority w:val="0"/>
    <w:pPr>
      <w:autoSpaceDE w:val="0"/>
      <w:autoSpaceDN w:val="0"/>
      <w:adjustRightInd w:val="0"/>
      <w:jc w:val="left"/>
    </w:pPr>
    <w:rPr>
      <w:rFonts w:cs="Times New Roman"/>
      <w:kern w:val="0"/>
      <w:sz w:val="24"/>
      <w:szCs w:val="24"/>
    </w:rPr>
  </w:style>
  <w:style w:type="paragraph" w:customStyle="1" w:styleId="98">
    <w:name w:val="xl2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99">
    <w:name w:val="样式2"/>
    <w:basedOn w:val="2"/>
    <w:qFormat/>
    <w:uiPriority w:val="0"/>
    <w:pPr>
      <w:tabs>
        <w:tab w:val="left" w:pos="-3600"/>
        <w:tab w:val="left" w:pos="1455"/>
      </w:tabs>
      <w:spacing w:before="0" w:after="0" w:line="340" w:lineRule="exact"/>
      <w:ind w:left="1455" w:hanging="1455"/>
      <w:jc w:val="center"/>
    </w:pPr>
    <w:rPr>
      <w:color w:val="000000"/>
      <w:sz w:val="36"/>
    </w:rPr>
  </w:style>
  <w:style w:type="paragraph" w:customStyle="1" w:styleId="100">
    <w:name w:val="样式 标题 2 + Times New Roman 四号 非加粗 段前: 5 磅 段后: 0 磅 行距: 固定值 20..."/>
    <w:basedOn w:val="3"/>
    <w:qFormat/>
    <w:uiPriority w:val="0"/>
    <w:pPr>
      <w:keepNext/>
      <w:keepLines/>
      <w:tabs>
        <w:tab w:val="clear" w:pos="2159"/>
      </w:tabs>
      <w:spacing w:before="100" w:afterLines="0" w:line="400" w:lineRule="exact"/>
      <w:ind w:left="0" w:firstLine="0"/>
      <w:jc w:val="both"/>
    </w:pPr>
    <w:rPr>
      <w:rFonts w:ascii="Times New Roman" w:hAnsi="Times New Roman" w:cs="宋体"/>
      <w:b w:val="0"/>
      <w:sz w:val="28"/>
      <w:szCs w:val="20"/>
    </w:rPr>
  </w:style>
  <w:style w:type="paragraph" w:customStyle="1" w:styleId="101">
    <w:name w:val="Char Char Char Char Char Char Char Char Char Char1"/>
    <w:basedOn w:val="1"/>
    <w:qFormat/>
    <w:uiPriority w:val="0"/>
    <w:pPr>
      <w:tabs>
        <w:tab w:val="left" w:pos="425"/>
      </w:tabs>
      <w:ind w:left="425" w:hanging="425"/>
    </w:pPr>
    <w:rPr>
      <w:rFonts w:ascii="Arial" w:hAnsi="Arial" w:eastAsia="黑体" w:cs="宋体"/>
      <w:b/>
      <w:bCs/>
      <w:sz w:val="32"/>
      <w:szCs w:val="32"/>
    </w:rPr>
  </w:style>
  <w:style w:type="paragraph" w:customStyle="1" w:styleId="102">
    <w:name w:val="正文文字格式"/>
    <w:basedOn w:val="1"/>
    <w:qFormat/>
    <w:uiPriority w:val="0"/>
    <w:pPr>
      <w:spacing w:line="460" w:lineRule="exact"/>
      <w:ind w:firstLine="505"/>
      <w:jc w:val="left"/>
    </w:pPr>
    <w:rPr>
      <w:rFonts w:ascii="宋体" w:cs="Times New Roman"/>
      <w:kern w:val="24"/>
      <w:sz w:val="24"/>
      <w:szCs w:val="20"/>
    </w:rPr>
  </w:style>
  <w:style w:type="paragraph" w:customStyle="1" w:styleId="103">
    <w:name w:val="Char"/>
    <w:basedOn w:val="1"/>
    <w:qFormat/>
    <w:uiPriority w:val="0"/>
    <w:pPr>
      <w:ind w:firstLine="200" w:firstLineChars="200"/>
    </w:pPr>
    <w:rPr>
      <w:rFonts w:ascii="Tahoma" w:hAnsi="Tahoma" w:cs="Times New Roman"/>
      <w:sz w:val="24"/>
      <w:szCs w:val="20"/>
    </w:rPr>
  </w:style>
  <w:style w:type="paragraph" w:customStyle="1" w:styleId="104">
    <w:name w:val="_Style 21"/>
    <w:basedOn w:val="1"/>
    <w:qFormat/>
    <w:uiPriority w:val="0"/>
    <w:pPr>
      <w:widowControl/>
      <w:spacing w:after="160" w:line="240" w:lineRule="exact"/>
      <w:jc w:val="left"/>
    </w:pPr>
    <w:rPr>
      <w:rFonts w:cs="Times New Roman"/>
      <w:szCs w:val="24"/>
    </w:rPr>
  </w:style>
  <w:style w:type="paragraph" w:customStyle="1" w:styleId="105">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106">
    <w:name w:val="A"/>
    <w:basedOn w:val="1"/>
    <w:qFormat/>
    <w:uiPriority w:val="0"/>
    <w:pPr>
      <w:tabs>
        <w:tab w:val="left" w:pos="312"/>
        <w:tab w:val="left" w:pos="660"/>
        <w:tab w:val="left" w:pos="720"/>
      </w:tabs>
      <w:spacing w:line="336" w:lineRule="auto"/>
    </w:pPr>
    <w:rPr>
      <w:rFonts w:ascii="宋体" w:cs="Times New Roman"/>
      <w:sz w:val="24"/>
      <w:szCs w:val="24"/>
    </w:rPr>
  </w:style>
  <w:style w:type="paragraph" w:customStyle="1" w:styleId="107">
    <w:name w:val="Char Char Char Char"/>
    <w:basedOn w:val="1"/>
    <w:qFormat/>
    <w:uiPriority w:val="0"/>
    <w:rPr>
      <w:rFonts w:ascii="Tahoma" w:hAnsi="Tahoma" w:cs="Times New Roman"/>
      <w:sz w:val="24"/>
      <w:szCs w:val="20"/>
    </w:rPr>
  </w:style>
  <w:style w:type="paragraph" w:customStyle="1" w:styleId="108">
    <w:name w:val="xl34"/>
    <w:basedOn w:val="1"/>
    <w:qFormat/>
    <w:uiPriority w:val="0"/>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109">
    <w:name w:val="xl29"/>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1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1">
    <w:name w:val="xl30"/>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styleId="112">
    <w:name w:val="List Paragraph"/>
    <w:basedOn w:val="1"/>
    <w:qFormat/>
    <w:uiPriority w:val="34"/>
    <w:pPr>
      <w:ind w:firstLine="420" w:firstLineChars="200"/>
    </w:pPr>
    <w:rPr>
      <w:rFonts w:ascii="Calibri" w:hAnsi="Calibri" w:cs="Times New Roman"/>
      <w:szCs w:val="22"/>
    </w:rPr>
  </w:style>
  <w:style w:type="paragraph" w:customStyle="1" w:styleId="113">
    <w:name w:val="样式1"/>
    <w:basedOn w:val="1"/>
    <w:qFormat/>
    <w:uiPriority w:val="0"/>
    <w:pPr>
      <w:spacing w:line="360" w:lineRule="auto"/>
      <w:jc w:val="center"/>
      <w:outlineLvl w:val="0"/>
    </w:pPr>
    <w:rPr>
      <w:rFonts w:ascii="宋体" w:hAnsi="宋体" w:cs="Times New Roman"/>
      <w:b/>
      <w:sz w:val="32"/>
      <w:szCs w:val="32"/>
    </w:rPr>
  </w:style>
  <w:style w:type="paragraph" w:customStyle="1" w:styleId="114">
    <w:name w:val="xl31"/>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115">
    <w:name w:val="xl3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kern w:val="0"/>
      <w:sz w:val="18"/>
      <w:szCs w:val="18"/>
    </w:rPr>
  </w:style>
  <w:style w:type="paragraph" w:customStyle="1" w:styleId="116">
    <w:name w:val="条目2"/>
    <w:basedOn w:val="1"/>
    <w:qFormat/>
    <w:uiPriority w:val="0"/>
    <w:pPr>
      <w:overflowPunct w:val="0"/>
      <w:autoSpaceDE w:val="0"/>
      <w:autoSpaceDN w:val="0"/>
      <w:adjustRightInd w:val="0"/>
      <w:snapToGrid w:val="0"/>
      <w:spacing w:line="360" w:lineRule="auto"/>
      <w:ind w:firstLine="480" w:firstLineChars="200"/>
      <w:jc w:val="center"/>
    </w:pPr>
    <w:rPr>
      <w:rFonts w:ascii="宋体" w:hAnsi="宋体" w:cs="Times New Roman"/>
      <w:color w:val="000000"/>
      <w:kern w:val="0"/>
      <w:sz w:val="24"/>
      <w:szCs w:val="22"/>
      <w:lang w:val="fr-FR"/>
    </w:rPr>
  </w:style>
  <w:style w:type="paragraph" w:customStyle="1" w:styleId="117">
    <w:name w:val="xl3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kern w:val="0"/>
      <w:sz w:val="18"/>
      <w:szCs w:val="18"/>
    </w:rPr>
  </w:style>
  <w:style w:type="paragraph" w:customStyle="1" w:styleId="118">
    <w:name w:val="xl32"/>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119">
    <w:name w:val="p0"/>
    <w:basedOn w:val="1"/>
    <w:qFormat/>
    <w:uiPriority w:val="0"/>
    <w:pPr>
      <w:widowControl/>
    </w:pPr>
    <w:rPr>
      <w:rFonts w:ascii="Calibri" w:hAnsi="Calibri" w:cs="宋体"/>
      <w:kern w:val="0"/>
    </w:rPr>
  </w:style>
  <w:style w:type="paragraph" w:customStyle="1" w:styleId="120">
    <w:name w:val="Char2"/>
    <w:basedOn w:val="1"/>
    <w:qFormat/>
    <w:uiPriority w:val="0"/>
    <w:rPr>
      <w:rFonts w:cs="Times New Roman"/>
      <w:szCs w:val="20"/>
    </w:rPr>
  </w:style>
  <w:style w:type="paragraph" w:customStyle="1" w:styleId="121">
    <w:name w:val="xl4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b/>
      <w:bCs/>
      <w:color w:val="000000"/>
      <w:kern w:val="0"/>
      <w:sz w:val="18"/>
      <w:szCs w:val="18"/>
    </w:rPr>
  </w:style>
  <w:style w:type="paragraph" w:customStyle="1" w:styleId="122">
    <w:name w:val="xl3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123">
    <w:name w:val="Char Char1 Char11"/>
    <w:basedOn w:val="1"/>
    <w:qFormat/>
    <w:uiPriority w:val="0"/>
    <w:pPr>
      <w:widowControl/>
      <w:spacing w:after="160" w:line="240" w:lineRule="exact"/>
      <w:jc w:val="left"/>
    </w:pPr>
    <w:rPr>
      <w:rFonts w:ascii="Verdana" w:hAnsi="Verdana" w:eastAsia="Times New Roman" w:cs="Times New Roman"/>
      <w:kern w:val="0"/>
      <w:sz w:val="24"/>
      <w:szCs w:val="20"/>
      <w:lang w:eastAsia="en-US"/>
    </w:rPr>
  </w:style>
  <w:style w:type="paragraph" w:customStyle="1" w:styleId="124">
    <w:name w:val="xl2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25">
    <w:name w:val="Char Char1 Char1"/>
    <w:basedOn w:val="1"/>
    <w:qFormat/>
    <w:uiPriority w:val="0"/>
    <w:pPr>
      <w:widowControl/>
      <w:spacing w:after="160" w:line="240" w:lineRule="exact"/>
      <w:jc w:val="left"/>
    </w:pPr>
    <w:rPr>
      <w:rFonts w:ascii="Verdana" w:hAnsi="Verdana" w:eastAsia="Times New Roman" w:cs="Times New Roman"/>
      <w:kern w:val="0"/>
      <w:sz w:val="24"/>
      <w:szCs w:val="20"/>
      <w:lang w:eastAsia="en-US"/>
    </w:rPr>
  </w:style>
  <w:style w:type="paragraph" w:customStyle="1" w:styleId="126">
    <w:name w:val="xl3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127">
    <w:name w:val="xl28"/>
    <w:basedOn w:val="1"/>
    <w:qFormat/>
    <w:uiPriority w:val="0"/>
    <w:pPr>
      <w:widowControl/>
      <w:shd w:val="clear" w:color="auto" w:fill="FFFFFF"/>
      <w:spacing w:before="100" w:beforeAutospacing="1" w:after="100" w:afterAutospacing="1"/>
      <w:jc w:val="left"/>
      <w:textAlignment w:val="bottom"/>
    </w:pPr>
    <w:rPr>
      <w:rFonts w:ascii="宋体" w:hAnsi="宋体" w:cs="宋体"/>
      <w:color w:val="000000"/>
      <w:kern w:val="0"/>
      <w:sz w:val="18"/>
      <w:szCs w:val="18"/>
    </w:rPr>
  </w:style>
  <w:style w:type="paragraph" w:customStyle="1" w:styleId="128">
    <w:name w:val="style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9">
    <w:name w:val="xl2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130">
    <w:name w:val="xl22"/>
    <w:basedOn w:val="1"/>
    <w:qFormat/>
    <w:uiPriority w:val="0"/>
    <w:pPr>
      <w:widowControl/>
      <w:shd w:val="clear" w:color="auto" w:fill="FFFFFF"/>
      <w:spacing w:before="100" w:beforeAutospacing="1" w:after="100" w:afterAutospacing="1"/>
      <w:jc w:val="center"/>
    </w:pPr>
    <w:rPr>
      <w:rFonts w:ascii="黑体" w:hAnsi="宋体" w:eastAsia="黑体" w:cs="宋体"/>
      <w:b/>
      <w:bCs/>
      <w:color w:val="000000"/>
      <w:kern w:val="0"/>
      <w:sz w:val="36"/>
      <w:szCs w:val="36"/>
    </w:rPr>
  </w:style>
  <w:style w:type="character" w:customStyle="1" w:styleId="131">
    <w:name w:val="正文文本首行缩进 字符"/>
    <w:basedOn w:val="45"/>
    <w:link w:val="30"/>
    <w:qFormat/>
    <w:uiPriority w:val="0"/>
    <w:rPr>
      <w:rFonts w:ascii="宋体" w:hAnsi="宋体" w:eastAsia="宋体" w:cs="黑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5982</Words>
  <Characters>6537</Characters>
  <Lines>55</Lines>
  <Paragraphs>15</Paragraphs>
  <TotalTime>6</TotalTime>
  <ScaleCrop>false</ScaleCrop>
  <LinksUpToDate>false</LinksUpToDate>
  <CharactersWithSpaces>6637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2020-08-10T08:41:00Z</dcterms:created>
  <dc:creator>win</dc:creator>
  <cp:lastModifiedBy>韩建孟</cp:lastModifiedBy>
  <cp:lastPrinted>2022-08-02T09:18:00Z</cp:lastPrinted>
  <dcterms:modified xsi:type="dcterms:W3CDTF">2025-06-13T08:35:59Z</dcterms:modified>
  <dc:title>余姚市档案馆基础设施PPP项目</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A7F19792A4944F6E96D38172872612FA_13</vt:lpwstr>
  </property>
  <property fmtid="{D5CDD505-2E9C-101B-9397-08002B2CF9AE}" pid="4" name="KSOTemplateDocerSaveRecord">
    <vt:lpwstr>eyJoZGlkIjoiYWYwMTIxYjdlMmU1MDhiNmRmZGNkOGM4MDkwNzAwODIiLCJ1c2VySWQiOiI0NTk5NzQ0MjcifQ==</vt:lpwstr>
  </property>
</Properties>
</file>