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5DAA4">
      <w:pPr>
        <w:snapToGrid w:val="0"/>
        <w:spacing w:line="360" w:lineRule="auto"/>
        <w:ind w:left="-1" w:leftChars="0" w:firstLine="0" w:firstLineChars="0"/>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采购需求</w:t>
      </w:r>
    </w:p>
    <w:p w14:paraId="2088EAD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cs="宋体"/>
          <w:b/>
          <w:sz w:val="24"/>
          <w:szCs w:val="24"/>
          <w:highlight w:val="none"/>
          <w:lang w:val="en-US" w:eastAsia="zh-CN"/>
        </w:rPr>
      </w:pPr>
      <w:r>
        <w:rPr>
          <w:rFonts w:hint="eastAsia" w:ascii="宋体" w:hAnsi="宋体" w:cs="宋体"/>
          <w:b/>
          <w:sz w:val="24"/>
          <w:szCs w:val="24"/>
          <w:highlight w:val="none"/>
          <w:lang w:val="en-US" w:eastAsia="zh-CN"/>
        </w:rPr>
        <w:t>一、项目概况</w:t>
      </w:r>
    </w:p>
    <w:p w14:paraId="205E9C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根据宁波市农业农村局《关于同意由宁波市病害动物无害化处理厂承接奉化区病死动物无害化处理的函》、《宁波市奉化区人民政府办公室关于印发奉化区病死畜禽及病害畜禽产品无害化处理运营管理办法》(奉政办发〔2022〕14 号)文件精神，拟将2025年至2027年病死畜禽及病害畜禽产品（以下简称病死动物及产品）运输至北仑环保固废处置有限公司的服务，采用公开招标方式由符合要求的供应商承接。</w:t>
      </w:r>
    </w:p>
    <w:p w14:paraId="6963BA1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服务内容及要求</w:t>
      </w:r>
    </w:p>
    <w:p w14:paraId="53192256">
      <w:pPr>
        <w:pStyle w:val="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u w:val="none"/>
          <w:lang w:val="en-US" w:eastAsia="zh-CN" w:bidi="ar-SA"/>
        </w:rPr>
      </w:pPr>
      <w:bookmarkStart w:id="0" w:name="_Toc3622"/>
      <w:bookmarkStart w:id="1" w:name="_Toc460325523"/>
      <w:r>
        <w:rPr>
          <w:rFonts w:hint="eastAsia" w:ascii="宋体" w:hAnsi="宋体" w:eastAsia="宋体" w:cs="宋体"/>
          <w:color w:val="auto"/>
          <w:kern w:val="2"/>
          <w:sz w:val="24"/>
          <w:szCs w:val="24"/>
          <w:highlight w:val="none"/>
          <w:lang w:val="en-US" w:eastAsia="zh-CN" w:bidi="ar-SA"/>
        </w:rPr>
        <w:t>1、</w:t>
      </w:r>
      <w:r>
        <w:rPr>
          <w:rFonts w:hint="eastAsia" w:ascii="宋体" w:hAnsi="宋体" w:cs="宋体"/>
          <w:b/>
          <w:sz w:val="24"/>
          <w:szCs w:val="24"/>
          <w:highlight w:val="none"/>
          <w:lang w:val="en-US" w:eastAsia="zh-CN"/>
        </w:rPr>
        <w:t>服务内容</w:t>
      </w:r>
    </w:p>
    <w:p w14:paraId="68CBF2F4">
      <w:pPr>
        <w:pStyle w:val="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将我区2025年8月-2028年7月各镇街道病死动物收集点和规模场暂存点的病死畜禽及病害畜禽产品转运至宁波市北仑环保固废处置有限公司。</w:t>
      </w:r>
    </w:p>
    <w:p w14:paraId="331D5F64">
      <w:pPr>
        <w:pStyle w:val="8"/>
        <w:keepNext w:val="0"/>
        <w:keepLines w:val="0"/>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eastAsia" w:ascii="宋体" w:hAnsi="宋体" w:cs="宋体"/>
          <w:b/>
          <w:sz w:val="24"/>
          <w:szCs w:val="24"/>
          <w:highlight w:val="none"/>
          <w:lang w:val="en-US" w:eastAsia="zh-CN"/>
        </w:rPr>
      </w:pPr>
      <w:r>
        <w:rPr>
          <w:rFonts w:hint="eastAsia" w:ascii="宋体" w:hAnsi="宋体" w:eastAsia="宋体" w:cs="宋体"/>
          <w:b/>
          <w:kern w:val="2"/>
          <w:sz w:val="24"/>
          <w:szCs w:val="24"/>
          <w:highlight w:val="none"/>
          <w:lang w:val="en-US" w:eastAsia="zh-CN" w:bidi="ar-SA"/>
        </w:rPr>
        <w:t>2、</w:t>
      </w:r>
      <w:r>
        <w:rPr>
          <w:rFonts w:hint="eastAsia" w:ascii="宋体" w:hAnsi="宋体" w:cs="宋体"/>
          <w:b/>
          <w:sz w:val="24"/>
          <w:szCs w:val="24"/>
          <w:highlight w:val="none"/>
          <w:lang w:val="en-US" w:eastAsia="zh-CN"/>
        </w:rPr>
        <w:t>运输对象</w:t>
      </w:r>
    </w:p>
    <w:p w14:paraId="452E0FF6">
      <w:pPr>
        <w:pStyle w:val="8"/>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收集区域内镇（街道）收集点和规模养殖场暂存点的病死畜禽及病害畜禽产品（以下简称病死动物及产品），包括畜禽饲养、屠宰、经营、隔离、运输等过程中的病死动物及产品和综合执法部门处置的动物及产品。</w:t>
      </w:r>
    </w:p>
    <w:p w14:paraId="2AB2ACB0">
      <w:pPr>
        <w:pStyle w:val="8"/>
        <w:keepNext w:val="0"/>
        <w:keepLines w:val="0"/>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kern w:val="2"/>
          <w:sz w:val="24"/>
          <w:szCs w:val="24"/>
          <w:highlight w:val="none"/>
          <w:lang w:val="en-US" w:eastAsia="zh-CN" w:bidi="ar-SA"/>
        </w:rPr>
        <w:t>3、</w:t>
      </w:r>
      <w:r>
        <w:rPr>
          <w:rFonts w:hint="eastAsia" w:ascii="宋体" w:hAnsi="宋体" w:eastAsia="宋体" w:cs="宋体"/>
          <w:b/>
          <w:sz w:val="24"/>
          <w:szCs w:val="24"/>
          <w:highlight w:val="none"/>
          <w:lang w:val="en-US" w:eastAsia="zh-CN"/>
        </w:rPr>
        <w:t>收集区域</w:t>
      </w:r>
    </w:p>
    <w:p w14:paraId="5B73A30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3.1收集点设置名单</w:t>
      </w:r>
    </w:p>
    <w:tbl>
      <w:tblPr>
        <w:tblStyle w:val="10"/>
        <w:tblW w:w="929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784"/>
      </w:tblGrid>
      <w:tr w14:paraId="555A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515" w:type="dxa"/>
            <w:noWrap w:val="0"/>
            <w:vAlign w:val="top"/>
          </w:tcPr>
          <w:p w14:paraId="6AA0B286">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序号</w:t>
            </w:r>
          </w:p>
        </w:tc>
        <w:tc>
          <w:tcPr>
            <w:tcW w:w="7784" w:type="dxa"/>
            <w:noWrap w:val="0"/>
            <w:vAlign w:val="top"/>
          </w:tcPr>
          <w:p w14:paraId="4CA38742">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收集点名称</w:t>
            </w:r>
          </w:p>
        </w:tc>
      </w:tr>
      <w:tr w14:paraId="18D2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515" w:type="dxa"/>
            <w:noWrap w:val="0"/>
            <w:vAlign w:val="top"/>
          </w:tcPr>
          <w:p w14:paraId="32EB6880">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1</w:t>
            </w:r>
          </w:p>
        </w:tc>
        <w:tc>
          <w:tcPr>
            <w:tcW w:w="7784" w:type="dxa"/>
            <w:noWrap w:val="0"/>
            <w:vAlign w:val="top"/>
          </w:tcPr>
          <w:p w14:paraId="28A3131D">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奉化区溪口镇病死动物收集点</w:t>
            </w:r>
          </w:p>
        </w:tc>
      </w:tr>
      <w:tr w14:paraId="137A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515" w:type="dxa"/>
            <w:noWrap w:val="0"/>
            <w:vAlign w:val="top"/>
          </w:tcPr>
          <w:p w14:paraId="5B771117">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2</w:t>
            </w:r>
          </w:p>
        </w:tc>
        <w:tc>
          <w:tcPr>
            <w:tcW w:w="7784" w:type="dxa"/>
            <w:noWrap w:val="0"/>
            <w:vAlign w:val="top"/>
          </w:tcPr>
          <w:p w14:paraId="7741F29A">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奉化区莼湖街道病死动物收集点</w:t>
            </w:r>
          </w:p>
        </w:tc>
      </w:tr>
      <w:tr w14:paraId="3D7F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515" w:type="dxa"/>
            <w:noWrap w:val="0"/>
            <w:vAlign w:val="top"/>
          </w:tcPr>
          <w:p w14:paraId="23657063">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3</w:t>
            </w:r>
          </w:p>
        </w:tc>
        <w:tc>
          <w:tcPr>
            <w:tcW w:w="7784" w:type="dxa"/>
            <w:noWrap w:val="0"/>
            <w:vAlign w:val="top"/>
          </w:tcPr>
          <w:p w14:paraId="092980EB">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奉化区尚田街道病死动物收集点</w:t>
            </w:r>
          </w:p>
        </w:tc>
      </w:tr>
      <w:tr w14:paraId="7381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515" w:type="dxa"/>
            <w:noWrap w:val="0"/>
            <w:vAlign w:val="top"/>
          </w:tcPr>
          <w:p w14:paraId="4F6D78FC">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4</w:t>
            </w:r>
          </w:p>
        </w:tc>
        <w:tc>
          <w:tcPr>
            <w:tcW w:w="7784" w:type="dxa"/>
            <w:noWrap w:val="0"/>
            <w:vAlign w:val="top"/>
          </w:tcPr>
          <w:p w14:paraId="61DB3BF4">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奉化区裘村镇病死动物收集点</w:t>
            </w:r>
          </w:p>
        </w:tc>
      </w:tr>
      <w:tr w14:paraId="6773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515" w:type="dxa"/>
            <w:noWrap w:val="0"/>
            <w:vAlign w:val="top"/>
          </w:tcPr>
          <w:p w14:paraId="5FD72F25">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5</w:t>
            </w:r>
          </w:p>
        </w:tc>
        <w:tc>
          <w:tcPr>
            <w:tcW w:w="7784" w:type="dxa"/>
            <w:noWrap w:val="0"/>
            <w:vAlign w:val="top"/>
          </w:tcPr>
          <w:p w14:paraId="6643894D">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奉化区锦屏街道病死动物收集点</w:t>
            </w:r>
          </w:p>
        </w:tc>
      </w:tr>
      <w:tr w14:paraId="43FB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515" w:type="dxa"/>
            <w:noWrap w:val="0"/>
            <w:vAlign w:val="top"/>
          </w:tcPr>
          <w:p w14:paraId="001D334D">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6</w:t>
            </w:r>
          </w:p>
        </w:tc>
        <w:tc>
          <w:tcPr>
            <w:tcW w:w="7784" w:type="dxa"/>
            <w:noWrap w:val="0"/>
            <w:vAlign w:val="top"/>
          </w:tcPr>
          <w:p w14:paraId="0CD5B4A8">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奉化区江口街道病死动物收集点</w:t>
            </w:r>
          </w:p>
        </w:tc>
      </w:tr>
      <w:tr w14:paraId="0C53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515" w:type="dxa"/>
            <w:noWrap w:val="0"/>
            <w:vAlign w:val="top"/>
          </w:tcPr>
          <w:p w14:paraId="121FD334">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7</w:t>
            </w:r>
          </w:p>
        </w:tc>
        <w:tc>
          <w:tcPr>
            <w:tcW w:w="7784" w:type="dxa"/>
            <w:noWrap w:val="0"/>
            <w:vAlign w:val="top"/>
          </w:tcPr>
          <w:p w14:paraId="5901B362">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奉化区西坞街道病死动物收集点</w:t>
            </w:r>
          </w:p>
        </w:tc>
      </w:tr>
      <w:tr w14:paraId="135E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5" w:type="dxa"/>
            <w:noWrap w:val="0"/>
            <w:vAlign w:val="top"/>
          </w:tcPr>
          <w:p w14:paraId="126106C9">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8</w:t>
            </w:r>
          </w:p>
        </w:tc>
        <w:tc>
          <w:tcPr>
            <w:tcW w:w="7784" w:type="dxa"/>
            <w:noWrap w:val="0"/>
            <w:vAlign w:val="top"/>
          </w:tcPr>
          <w:p w14:paraId="5808F725">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奉化区萧王庙街道病死动物收集点</w:t>
            </w:r>
          </w:p>
        </w:tc>
      </w:tr>
    </w:tbl>
    <w:p w14:paraId="5E646CD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highlight w:val="none"/>
          <w:u w:val="none"/>
          <w:lang w:val="en-US" w:eastAsia="zh-CN"/>
        </w:rPr>
      </w:pPr>
    </w:p>
    <w:p w14:paraId="34ECE7E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highlight w:val="none"/>
          <w:u w:val="none"/>
          <w:lang w:val="en-US" w:eastAsia="zh-CN"/>
        </w:rPr>
      </w:pPr>
    </w:p>
    <w:p w14:paraId="1242077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3.2储存点设置名单</w:t>
      </w:r>
    </w:p>
    <w:tbl>
      <w:tblPr>
        <w:tblStyle w:val="10"/>
        <w:tblW w:w="930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4229"/>
        <w:gridCol w:w="1800"/>
        <w:gridCol w:w="1800"/>
      </w:tblGrid>
      <w:tr w14:paraId="53D7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9" w:type="dxa"/>
            <w:noWrap w:val="0"/>
            <w:vAlign w:val="center"/>
          </w:tcPr>
          <w:p w14:paraId="041F59D9">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序号</w:t>
            </w:r>
          </w:p>
        </w:tc>
        <w:tc>
          <w:tcPr>
            <w:tcW w:w="4229" w:type="dxa"/>
            <w:noWrap w:val="0"/>
            <w:vAlign w:val="center"/>
          </w:tcPr>
          <w:p w14:paraId="2872A4D9">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储存点单位名称</w:t>
            </w:r>
          </w:p>
        </w:tc>
        <w:tc>
          <w:tcPr>
            <w:tcW w:w="1800" w:type="dxa"/>
            <w:noWrap w:val="0"/>
            <w:vAlign w:val="top"/>
          </w:tcPr>
          <w:p w14:paraId="2CC8FBA4">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经营范围</w:t>
            </w:r>
          </w:p>
        </w:tc>
        <w:tc>
          <w:tcPr>
            <w:tcW w:w="1800" w:type="dxa"/>
            <w:noWrap w:val="0"/>
            <w:vAlign w:val="top"/>
          </w:tcPr>
          <w:p w14:paraId="6F7A3CF8">
            <w:pPr>
              <w:spacing w:line="500" w:lineRule="exact"/>
              <w:jc w:val="center"/>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镇（街道）</w:t>
            </w:r>
          </w:p>
        </w:tc>
      </w:tr>
      <w:tr w14:paraId="0936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noWrap w:val="0"/>
            <w:vAlign w:val="center"/>
          </w:tcPr>
          <w:p w14:paraId="04DCF70D">
            <w:pPr>
              <w:spacing w:line="500" w:lineRule="exact"/>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1</w:t>
            </w:r>
          </w:p>
        </w:tc>
        <w:tc>
          <w:tcPr>
            <w:tcW w:w="4229" w:type="dxa"/>
            <w:noWrap w:val="0"/>
            <w:vAlign w:val="center"/>
          </w:tcPr>
          <w:p w14:paraId="4265519A">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宁波奉化安丰农业科技有限公司</w:t>
            </w:r>
          </w:p>
        </w:tc>
        <w:tc>
          <w:tcPr>
            <w:tcW w:w="1800" w:type="dxa"/>
            <w:noWrap w:val="0"/>
            <w:vAlign w:val="center"/>
          </w:tcPr>
          <w:p w14:paraId="118D183D">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73F518D9">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锦屏街道</w:t>
            </w:r>
          </w:p>
        </w:tc>
      </w:tr>
      <w:tr w14:paraId="02D9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79" w:type="dxa"/>
            <w:noWrap w:val="0"/>
            <w:vAlign w:val="center"/>
          </w:tcPr>
          <w:p w14:paraId="1EA8C010">
            <w:pPr>
              <w:spacing w:line="500" w:lineRule="exact"/>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2</w:t>
            </w:r>
          </w:p>
        </w:tc>
        <w:tc>
          <w:tcPr>
            <w:tcW w:w="4229" w:type="dxa"/>
            <w:noWrap w:val="0"/>
            <w:vAlign w:val="center"/>
          </w:tcPr>
          <w:p w14:paraId="341F2611">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宁波奉化孟龙农业科技发展有限公司</w:t>
            </w:r>
          </w:p>
        </w:tc>
        <w:tc>
          <w:tcPr>
            <w:tcW w:w="1800" w:type="dxa"/>
            <w:noWrap w:val="0"/>
            <w:vAlign w:val="center"/>
          </w:tcPr>
          <w:p w14:paraId="7A4C7D2E">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5D5E1004">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江口街道</w:t>
            </w:r>
          </w:p>
        </w:tc>
      </w:tr>
      <w:tr w14:paraId="43E0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79" w:type="dxa"/>
            <w:noWrap w:val="0"/>
            <w:vAlign w:val="center"/>
          </w:tcPr>
          <w:p w14:paraId="29F3F466">
            <w:pPr>
              <w:spacing w:line="500" w:lineRule="exact"/>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3</w:t>
            </w:r>
          </w:p>
        </w:tc>
        <w:tc>
          <w:tcPr>
            <w:tcW w:w="4229" w:type="dxa"/>
            <w:noWrap w:val="0"/>
            <w:vAlign w:val="center"/>
          </w:tcPr>
          <w:p w14:paraId="5D45B0EB">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宁波广兴禽业有限公司</w:t>
            </w:r>
          </w:p>
        </w:tc>
        <w:tc>
          <w:tcPr>
            <w:tcW w:w="1800" w:type="dxa"/>
            <w:noWrap w:val="0"/>
            <w:vAlign w:val="center"/>
          </w:tcPr>
          <w:p w14:paraId="41F85EFE">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蛋鸡养殖</w:t>
            </w:r>
          </w:p>
        </w:tc>
        <w:tc>
          <w:tcPr>
            <w:tcW w:w="1800" w:type="dxa"/>
            <w:noWrap w:val="0"/>
            <w:vAlign w:val="center"/>
          </w:tcPr>
          <w:p w14:paraId="151C6625">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萧王庙街道</w:t>
            </w:r>
          </w:p>
        </w:tc>
      </w:tr>
      <w:tr w14:paraId="235E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79" w:type="dxa"/>
            <w:noWrap w:val="0"/>
            <w:vAlign w:val="center"/>
          </w:tcPr>
          <w:p w14:paraId="70ADA7B9">
            <w:pPr>
              <w:spacing w:line="500" w:lineRule="exact"/>
              <w:jc w:val="center"/>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4</w:t>
            </w:r>
          </w:p>
        </w:tc>
        <w:tc>
          <w:tcPr>
            <w:tcW w:w="4229" w:type="dxa"/>
            <w:noWrap w:val="0"/>
            <w:vAlign w:val="center"/>
          </w:tcPr>
          <w:p w14:paraId="289171AF">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default" w:ascii="宋体" w:hAnsi="宋体" w:eastAsia="宋体" w:cs="宋体"/>
                <w:b w:val="0"/>
                <w:bCs w:val="0"/>
                <w:color w:val="auto"/>
                <w:kern w:val="2"/>
                <w:sz w:val="24"/>
                <w:szCs w:val="24"/>
                <w:highlight w:val="none"/>
                <w:u w:val="none"/>
                <w:lang w:val="en-US" w:eastAsia="zh-CN" w:bidi="ar-SA"/>
              </w:rPr>
              <w:t>宁波奉化岳君农业发展有限公司</w:t>
            </w:r>
          </w:p>
        </w:tc>
        <w:tc>
          <w:tcPr>
            <w:tcW w:w="1800" w:type="dxa"/>
            <w:noWrap w:val="0"/>
            <w:vAlign w:val="center"/>
          </w:tcPr>
          <w:p w14:paraId="39091444">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3C32E5D5">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尚田街道</w:t>
            </w:r>
          </w:p>
        </w:tc>
      </w:tr>
      <w:tr w14:paraId="7846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79" w:type="dxa"/>
            <w:noWrap w:val="0"/>
            <w:vAlign w:val="center"/>
          </w:tcPr>
          <w:p w14:paraId="6B74B3F2">
            <w:pPr>
              <w:spacing w:line="500" w:lineRule="exact"/>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sz w:val="24"/>
                <w:highlight w:val="none"/>
                <w:u w:val="none"/>
                <w:lang w:val="en-US" w:eastAsia="zh-CN"/>
              </w:rPr>
              <w:t>5</w:t>
            </w:r>
          </w:p>
        </w:tc>
        <w:tc>
          <w:tcPr>
            <w:tcW w:w="4229" w:type="dxa"/>
            <w:noWrap w:val="0"/>
            <w:vAlign w:val="center"/>
          </w:tcPr>
          <w:p w14:paraId="095CD3F8">
            <w:pPr>
              <w:pStyle w:val="8"/>
              <w:ind w:left="0" w:leftChars="0" w:firstLine="0" w:firstLineChars="0"/>
              <w:jc w:val="left"/>
              <w:rPr>
                <w:rFonts w:hint="default" w:ascii="Times New Roman" w:hAnsi="Times New Roman" w:eastAsia="楷体_GB2312" w:cs="Times New Roman"/>
                <w:color w:val="FF0000"/>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宁波东权农业发展有限公司</w:t>
            </w:r>
          </w:p>
        </w:tc>
        <w:tc>
          <w:tcPr>
            <w:tcW w:w="1800" w:type="dxa"/>
            <w:noWrap w:val="0"/>
            <w:vAlign w:val="center"/>
          </w:tcPr>
          <w:p w14:paraId="25E39070">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39D29893">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尚田街道</w:t>
            </w:r>
          </w:p>
        </w:tc>
      </w:tr>
      <w:tr w14:paraId="1096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79" w:type="dxa"/>
            <w:noWrap w:val="0"/>
            <w:vAlign w:val="center"/>
          </w:tcPr>
          <w:p w14:paraId="6BEDE610">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sz w:val="24"/>
                <w:highlight w:val="none"/>
                <w:u w:val="none"/>
                <w:lang w:val="en-US" w:eastAsia="zh-CN"/>
              </w:rPr>
              <w:t>6</w:t>
            </w:r>
          </w:p>
        </w:tc>
        <w:tc>
          <w:tcPr>
            <w:tcW w:w="4229" w:type="dxa"/>
            <w:noWrap w:val="0"/>
            <w:vAlign w:val="center"/>
          </w:tcPr>
          <w:p w14:paraId="53EFF1D6">
            <w:pPr>
              <w:spacing w:line="500" w:lineRule="exact"/>
              <w:jc w:val="left"/>
              <w:rPr>
                <w:rFonts w:hint="eastAsia" w:ascii="Times New Roman" w:hAnsi="Times New Roman" w:eastAsia="宋体" w:cs="Times New Roman"/>
                <w:kern w:val="2"/>
                <w:sz w:val="21"/>
                <w:szCs w:val="24"/>
                <w:highlight w:val="none"/>
                <w:lang w:val="en-US" w:eastAsia="zh-CN" w:bidi="ar-SA"/>
              </w:rPr>
            </w:pPr>
            <w:r>
              <w:rPr>
                <w:rFonts w:hint="default" w:ascii="宋体" w:hAnsi="宋体" w:eastAsia="宋体" w:cs="宋体"/>
                <w:b w:val="0"/>
                <w:bCs w:val="0"/>
                <w:color w:val="auto"/>
                <w:kern w:val="2"/>
                <w:sz w:val="24"/>
                <w:szCs w:val="24"/>
                <w:highlight w:val="none"/>
                <w:u w:val="none"/>
                <w:lang w:val="en-US" w:eastAsia="zh-CN" w:bidi="ar-SA"/>
              </w:rPr>
              <w:t>宁波市奉化区翁靖农业发展有限公司</w:t>
            </w:r>
          </w:p>
        </w:tc>
        <w:tc>
          <w:tcPr>
            <w:tcW w:w="1800" w:type="dxa"/>
            <w:noWrap w:val="0"/>
            <w:vAlign w:val="center"/>
          </w:tcPr>
          <w:p w14:paraId="51F87A41">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425777EF">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尚田街道</w:t>
            </w:r>
          </w:p>
        </w:tc>
      </w:tr>
      <w:tr w14:paraId="3411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79" w:type="dxa"/>
            <w:noWrap w:val="0"/>
            <w:vAlign w:val="center"/>
          </w:tcPr>
          <w:p w14:paraId="2E67F707">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sz w:val="24"/>
                <w:highlight w:val="none"/>
                <w:u w:val="none"/>
                <w:lang w:val="en-US" w:eastAsia="zh-CN"/>
              </w:rPr>
              <w:t>7</w:t>
            </w:r>
          </w:p>
        </w:tc>
        <w:tc>
          <w:tcPr>
            <w:tcW w:w="4229" w:type="dxa"/>
            <w:noWrap w:val="0"/>
            <w:vAlign w:val="center"/>
          </w:tcPr>
          <w:p w14:paraId="57CAC4D0">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default" w:ascii="宋体" w:hAnsi="宋体" w:eastAsia="宋体" w:cs="宋体"/>
                <w:b w:val="0"/>
                <w:bCs w:val="0"/>
                <w:color w:val="auto"/>
                <w:kern w:val="2"/>
                <w:sz w:val="24"/>
                <w:szCs w:val="24"/>
                <w:highlight w:val="none"/>
                <w:u w:val="none"/>
                <w:lang w:val="en-US" w:eastAsia="zh-CN" w:bidi="ar-SA"/>
              </w:rPr>
              <w:t>宁波市奉化东江生猪专业合作社</w:t>
            </w:r>
          </w:p>
        </w:tc>
        <w:tc>
          <w:tcPr>
            <w:tcW w:w="1800" w:type="dxa"/>
            <w:noWrap w:val="0"/>
            <w:vAlign w:val="center"/>
          </w:tcPr>
          <w:p w14:paraId="5C87FF13">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20EF7C35">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尚田街道</w:t>
            </w:r>
          </w:p>
        </w:tc>
      </w:tr>
      <w:tr w14:paraId="4330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79" w:type="dxa"/>
            <w:noWrap w:val="0"/>
            <w:vAlign w:val="center"/>
          </w:tcPr>
          <w:p w14:paraId="2B0F1D58">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sz w:val="24"/>
                <w:highlight w:val="none"/>
                <w:u w:val="none"/>
                <w:lang w:val="en-US" w:eastAsia="zh-CN"/>
              </w:rPr>
              <w:t>8</w:t>
            </w:r>
          </w:p>
        </w:tc>
        <w:tc>
          <w:tcPr>
            <w:tcW w:w="4229" w:type="dxa"/>
            <w:noWrap w:val="0"/>
            <w:vAlign w:val="center"/>
          </w:tcPr>
          <w:p w14:paraId="59CC21BD">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default" w:ascii="宋体" w:hAnsi="宋体" w:eastAsia="宋体" w:cs="宋体"/>
                <w:b w:val="0"/>
                <w:bCs w:val="0"/>
                <w:color w:val="auto"/>
                <w:kern w:val="2"/>
                <w:sz w:val="24"/>
                <w:szCs w:val="24"/>
                <w:highlight w:val="none"/>
                <w:u w:val="none"/>
                <w:lang w:val="en-US" w:eastAsia="zh-CN" w:bidi="ar-SA"/>
              </w:rPr>
              <w:t>宁波奉化义海农业发展有限公司</w:t>
            </w:r>
          </w:p>
        </w:tc>
        <w:tc>
          <w:tcPr>
            <w:tcW w:w="1800" w:type="dxa"/>
            <w:noWrap w:val="0"/>
            <w:vAlign w:val="center"/>
          </w:tcPr>
          <w:p w14:paraId="50058B56">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4CD27BFF">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尚田街道</w:t>
            </w:r>
          </w:p>
        </w:tc>
      </w:tr>
      <w:tr w14:paraId="4A42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9" w:type="dxa"/>
            <w:noWrap w:val="0"/>
            <w:vAlign w:val="center"/>
          </w:tcPr>
          <w:p w14:paraId="22F5406A">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9</w:t>
            </w:r>
          </w:p>
        </w:tc>
        <w:tc>
          <w:tcPr>
            <w:tcW w:w="4229" w:type="dxa"/>
            <w:noWrap w:val="0"/>
            <w:vAlign w:val="center"/>
          </w:tcPr>
          <w:p w14:paraId="596CED34">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default" w:ascii="宋体" w:hAnsi="宋体" w:eastAsia="宋体" w:cs="宋体"/>
                <w:b w:val="0"/>
                <w:bCs w:val="0"/>
                <w:color w:val="auto"/>
                <w:kern w:val="2"/>
                <w:sz w:val="24"/>
                <w:szCs w:val="24"/>
                <w:highlight w:val="none"/>
                <w:u w:val="none"/>
                <w:lang w:val="en-US" w:eastAsia="zh-CN" w:bidi="ar-SA"/>
              </w:rPr>
              <w:t>宁波平意农业发展有限公司</w:t>
            </w:r>
          </w:p>
        </w:tc>
        <w:tc>
          <w:tcPr>
            <w:tcW w:w="1800" w:type="dxa"/>
            <w:noWrap w:val="0"/>
            <w:vAlign w:val="center"/>
          </w:tcPr>
          <w:p w14:paraId="072DDEFF">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7C5DF76D">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尚田街道</w:t>
            </w:r>
          </w:p>
        </w:tc>
      </w:tr>
      <w:tr w14:paraId="1E48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79" w:type="dxa"/>
            <w:noWrap w:val="0"/>
            <w:vAlign w:val="center"/>
          </w:tcPr>
          <w:p w14:paraId="3DE5FCF4">
            <w:pPr>
              <w:spacing w:line="500" w:lineRule="exact"/>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sz w:val="24"/>
                <w:highlight w:val="none"/>
                <w:u w:val="none"/>
                <w:lang w:val="en-US" w:eastAsia="zh-CN"/>
              </w:rPr>
              <w:t>10</w:t>
            </w:r>
          </w:p>
        </w:tc>
        <w:tc>
          <w:tcPr>
            <w:tcW w:w="4229" w:type="dxa"/>
            <w:noWrap w:val="0"/>
            <w:vAlign w:val="center"/>
          </w:tcPr>
          <w:p w14:paraId="388BE3E3">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default" w:ascii="宋体" w:hAnsi="宋体" w:eastAsia="宋体" w:cs="宋体"/>
                <w:b w:val="0"/>
                <w:bCs w:val="0"/>
                <w:color w:val="auto"/>
                <w:kern w:val="2"/>
                <w:sz w:val="24"/>
                <w:szCs w:val="24"/>
                <w:highlight w:val="none"/>
                <w:u w:val="none"/>
                <w:lang w:val="en-US" w:eastAsia="zh-CN" w:bidi="ar-SA"/>
              </w:rPr>
              <w:t>宁波明盛农业科技发展有限公司</w:t>
            </w:r>
          </w:p>
        </w:tc>
        <w:tc>
          <w:tcPr>
            <w:tcW w:w="1800" w:type="dxa"/>
            <w:noWrap w:val="0"/>
            <w:vAlign w:val="center"/>
          </w:tcPr>
          <w:p w14:paraId="13E76A86">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6F49424B">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莼湖街道</w:t>
            </w:r>
          </w:p>
        </w:tc>
      </w:tr>
      <w:tr w14:paraId="1EA3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79" w:type="dxa"/>
            <w:noWrap w:val="0"/>
            <w:vAlign w:val="center"/>
          </w:tcPr>
          <w:p w14:paraId="3E7791D0">
            <w:pPr>
              <w:spacing w:line="500" w:lineRule="exact"/>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sz w:val="24"/>
                <w:highlight w:val="none"/>
                <w:u w:val="none"/>
                <w:lang w:val="en-US" w:eastAsia="zh-CN"/>
              </w:rPr>
              <w:t>11</w:t>
            </w:r>
          </w:p>
        </w:tc>
        <w:tc>
          <w:tcPr>
            <w:tcW w:w="4229" w:type="dxa"/>
            <w:noWrap w:val="0"/>
            <w:vAlign w:val="center"/>
          </w:tcPr>
          <w:p w14:paraId="5A26CE0F">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default" w:ascii="宋体" w:hAnsi="宋体" w:eastAsia="宋体" w:cs="宋体"/>
                <w:b w:val="0"/>
                <w:bCs w:val="0"/>
                <w:color w:val="auto"/>
                <w:kern w:val="2"/>
                <w:sz w:val="24"/>
                <w:szCs w:val="24"/>
                <w:highlight w:val="none"/>
                <w:u w:val="none"/>
                <w:lang w:val="en-US" w:eastAsia="zh-CN" w:bidi="ar-SA"/>
              </w:rPr>
              <w:t>宁波市奉化禄君农业发展有限公司</w:t>
            </w:r>
          </w:p>
        </w:tc>
        <w:tc>
          <w:tcPr>
            <w:tcW w:w="1800" w:type="dxa"/>
            <w:noWrap w:val="0"/>
            <w:vAlign w:val="center"/>
          </w:tcPr>
          <w:p w14:paraId="7A415987">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0EFB62FC">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莼湖街道</w:t>
            </w:r>
          </w:p>
        </w:tc>
      </w:tr>
      <w:tr w14:paraId="6DAF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79" w:type="dxa"/>
            <w:noWrap w:val="0"/>
            <w:vAlign w:val="center"/>
          </w:tcPr>
          <w:p w14:paraId="0E9025ED">
            <w:pPr>
              <w:spacing w:line="500" w:lineRule="exact"/>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sz w:val="24"/>
                <w:highlight w:val="none"/>
                <w:u w:val="none"/>
                <w:lang w:val="en-US" w:eastAsia="zh-CN"/>
              </w:rPr>
              <w:t>12</w:t>
            </w:r>
          </w:p>
        </w:tc>
        <w:tc>
          <w:tcPr>
            <w:tcW w:w="4229" w:type="dxa"/>
            <w:noWrap w:val="0"/>
            <w:vAlign w:val="center"/>
          </w:tcPr>
          <w:p w14:paraId="04A2449D">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default" w:ascii="宋体" w:hAnsi="宋体" w:eastAsia="宋体" w:cs="宋体"/>
                <w:b w:val="0"/>
                <w:bCs w:val="0"/>
                <w:color w:val="auto"/>
                <w:kern w:val="2"/>
                <w:sz w:val="24"/>
                <w:szCs w:val="24"/>
                <w:highlight w:val="none"/>
                <w:u w:val="none"/>
                <w:lang w:val="en-US" w:eastAsia="zh-CN" w:bidi="ar-SA"/>
              </w:rPr>
              <w:t>奉化市旭升农业发展有限公司</w:t>
            </w:r>
          </w:p>
        </w:tc>
        <w:tc>
          <w:tcPr>
            <w:tcW w:w="1800" w:type="dxa"/>
            <w:noWrap w:val="0"/>
            <w:vAlign w:val="center"/>
          </w:tcPr>
          <w:p w14:paraId="30278363">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6F550135">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莼湖街道</w:t>
            </w:r>
          </w:p>
        </w:tc>
      </w:tr>
      <w:tr w14:paraId="464C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79" w:type="dxa"/>
            <w:noWrap w:val="0"/>
            <w:vAlign w:val="center"/>
          </w:tcPr>
          <w:p w14:paraId="3148F40E">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sz w:val="24"/>
                <w:highlight w:val="none"/>
                <w:u w:val="none"/>
                <w:lang w:val="en-US" w:eastAsia="zh-CN"/>
              </w:rPr>
              <w:t>13</w:t>
            </w:r>
          </w:p>
        </w:tc>
        <w:tc>
          <w:tcPr>
            <w:tcW w:w="4229" w:type="dxa"/>
            <w:noWrap w:val="0"/>
            <w:vAlign w:val="center"/>
          </w:tcPr>
          <w:p w14:paraId="573435F2">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宁波新希望六和农牧有限公司</w:t>
            </w:r>
          </w:p>
        </w:tc>
        <w:tc>
          <w:tcPr>
            <w:tcW w:w="1800" w:type="dxa"/>
            <w:noWrap w:val="0"/>
            <w:vAlign w:val="center"/>
          </w:tcPr>
          <w:p w14:paraId="53DDF631">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65FD18D7">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莼湖街道</w:t>
            </w:r>
          </w:p>
        </w:tc>
      </w:tr>
      <w:tr w14:paraId="050B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79" w:type="dxa"/>
            <w:noWrap w:val="0"/>
            <w:vAlign w:val="center"/>
          </w:tcPr>
          <w:p w14:paraId="26E71900">
            <w:pPr>
              <w:spacing w:line="500" w:lineRule="exact"/>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14</w:t>
            </w:r>
          </w:p>
        </w:tc>
        <w:tc>
          <w:tcPr>
            <w:tcW w:w="4229" w:type="dxa"/>
            <w:noWrap w:val="0"/>
            <w:vAlign w:val="center"/>
          </w:tcPr>
          <w:p w14:paraId="25519ACD">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default" w:ascii="宋体" w:hAnsi="宋体" w:eastAsia="宋体" w:cs="宋体"/>
                <w:b w:val="0"/>
                <w:bCs w:val="0"/>
                <w:color w:val="auto"/>
                <w:kern w:val="2"/>
                <w:sz w:val="24"/>
                <w:szCs w:val="24"/>
                <w:highlight w:val="none"/>
                <w:u w:val="none"/>
                <w:lang w:val="en-US" w:eastAsia="zh-CN" w:bidi="ar-SA"/>
              </w:rPr>
              <w:t>宁波市奉化永伦农业发展有限公司</w:t>
            </w:r>
          </w:p>
        </w:tc>
        <w:tc>
          <w:tcPr>
            <w:tcW w:w="1800" w:type="dxa"/>
            <w:noWrap w:val="0"/>
            <w:vAlign w:val="center"/>
          </w:tcPr>
          <w:p w14:paraId="5D977C8E">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62471B9A">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溪口镇</w:t>
            </w:r>
          </w:p>
        </w:tc>
      </w:tr>
      <w:tr w14:paraId="30BC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79" w:type="dxa"/>
            <w:noWrap w:val="0"/>
            <w:vAlign w:val="center"/>
          </w:tcPr>
          <w:p w14:paraId="63541DD9">
            <w:pPr>
              <w:spacing w:line="500" w:lineRule="exact"/>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15</w:t>
            </w:r>
          </w:p>
        </w:tc>
        <w:tc>
          <w:tcPr>
            <w:tcW w:w="4229" w:type="dxa"/>
            <w:noWrap w:val="0"/>
            <w:vAlign w:val="center"/>
          </w:tcPr>
          <w:p w14:paraId="60A2A7F6">
            <w:pPr>
              <w:spacing w:line="500" w:lineRule="exact"/>
              <w:jc w:val="left"/>
              <w:rPr>
                <w:rFonts w:hint="default" w:ascii="宋体" w:hAnsi="宋体" w:eastAsia="宋体" w:cs="宋体"/>
                <w:b w:val="0"/>
                <w:bCs w:val="0"/>
                <w:color w:val="auto"/>
                <w:kern w:val="2"/>
                <w:sz w:val="24"/>
                <w:szCs w:val="24"/>
                <w:highlight w:val="none"/>
                <w:u w:val="none"/>
                <w:lang w:val="en-US" w:eastAsia="zh-CN" w:bidi="ar-SA"/>
              </w:rPr>
            </w:pPr>
            <w:r>
              <w:rPr>
                <w:rFonts w:hint="default" w:ascii="宋体" w:hAnsi="宋体" w:eastAsia="宋体" w:cs="宋体"/>
                <w:b w:val="0"/>
                <w:bCs w:val="0"/>
                <w:color w:val="auto"/>
                <w:kern w:val="2"/>
                <w:sz w:val="24"/>
                <w:szCs w:val="24"/>
                <w:highlight w:val="none"/>
                <w:u w:val="none"/>
                <w:lang w:val="en-US" w:eastAsia="zh-CN" w:bidi="ar-SA"/>
              </w:rPr>
              <w:t>宁波市豪升农业有限公司</w:t>
            </w:r>
          </w:p>
        </w:tc>
        <w:tc>
          <w:tcPr>
            <w:tcW w:w="1800" w:type="dxa"/>
            <w:noWrap w:val="0"/>
            <w:vAlign w:val="center"/>
          </w:tcPr>
          <w:p w14:paraId="77F63DE1">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65B3119B">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裘村镇</w:t>
            </w:r>
          </w:p>
        </w:tc>
      </w:tr>
      <w:tr w14:paraId="0203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79" w:type="dxa"/>
            <w:noWrap w:val="0"/>
            <w:vAlign w:val="center"/>
          </w:tcPr>
          <w:p w14:paraId="3C7FD448">
            <w:pPr>
              <w:spacing w:line="500" w:lineRule="exact"/>
              <w:jc w:val="center"/>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16</w:t>
            </w:r>
          </w:p>
        </w:tc>
        <w:tc>
          <w:tcPr>
            <w:tcW w:w="4229" w:type="dxa"/>
            <w:noWrap w:val="0"/>
            <w:vAlign w:val="center"/>
          </w:tcPr>
          <w:p w14:paraId="050E2730">
            <w:pPr>
              <w:spacing w:line="500" w:lineRule="exact"/>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宁波市豪源农业有限公司</w:t>
            </w:r>
          </w:p>
        </w:tc>
        <w:tc>
          <w:tcPr>
            <w:tcW w:w="1800" w:type="dxa"/>
            <w:noWrap w:val="0"/>
            <w:vAlign w:val="center"/>
          </w:tcPr>
          <w:p w14:paraId="5F381A0D">
            <w:pPr>
              <w:spacing w:line="500" w:lineRule="exac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生猪养殖</w:t>
            </w:r>
          </w:p>
        </w:tc>
        <w:tc>
          <w:tcPr>
            <w:tcW w:w="1800" w:type="dxa"/>
            <w:noWrap w:val="0"/>
            <w:vAlign w:val="center"/>
          </w:tcPr>
          <w:p w14:paraId="2618AE73">
            <w:pPr>
              <w:spacing w:line="500" w:lineRule="exact"/>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松岙镇</w:t>
            </w:r>
          </w:p>
        </w:tc>
      </w:tr>
    </w:tbl>
    <w:p w14:paraId="2423BA92">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4、执行法规及标准</w:t>
      </w:r>
    </w:p>
    <w:p w14:paraId="54B2833B">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《中华人民共和国动物防疫法》</w:t>
      </w:r>
    </w:p>
    <w:p w14:paraId="396AFEC7">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《浙江省动物防疫条例》</w:t>
      </w:r>
    </w:p>
    <w:p w14:paraId="533E75F9">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《奉化区病死畜禽及病害畜禽产品无害化处理管理办法》奉政办发【2022】14 号</w:t>
      </w:r>
    </w:p>
    <w:p w14:paraId="10FD3FE5">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《奉化市病死动物无害化处理体系建设实施方案》奉政办发【201699号</w:t>
      </w:r>
    </w:p>
    <w:p w14:paraId="73B4A14A">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《病死畜禽和病害畜禽产品无害化处理管理办法》【农业农村部令2022年第3号】</w:t>
      </w:r>
    </w:p>
    <w:p w14:paraId="34A4066D">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农业部关于印发《病死动物无害化处理技术规范》的通知【2013年第35号文】　</w:t>
      </w:r>
    </w:p>
    <w:p w14:paraId="367AE9BE">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（7）其他相关法律法规以及省、市、区的相关规定</w:t>
      </w:r>
    </w:p>
    <w:p w14:paraId="024C795E">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szCs w:val="24"/>
          <w:highlight w:val="none"/>
          <w:lang w:val="en-US" w:eastAsia="zh-CN"/>
        </w:rPr>
      </w:pPr>
      <w:r>
        <w:rPr>
          <w:rFonts w:hint="eastAsia" w:ascii="宋体" w:hAnsi="宋体" w:cs="宋体"/>
          <w:b/>
          <w:kern w:val="2"/>
          <w:sz w:val="24"/>
          <w:szCs w:val="24"/>
          <w:highlight w:val="none"/>
          <w:lang w:val="en-US" w:eastAsia="zh-CN" w:bidi="ar-SA"/>
        </w:rPr>
        <w:t>5</w:t>
      </w:r>
      <w:r>
        <w:rPr>
          <w:rFonts w:hint="eastAsia" w:ascii="宋体" w:hAnsi="宋体" w:eastAsia="宋体" w:cs="宋体"/>
          <w:b/>
          <w:kern w:val="2"/>
          <w:sz w:val="24"/>
          <w:szCs w:val="24"/>
          <w:highlight w:val="none"/>
          <w:lang w:val="en-US" w:eastAsia="zh-CN" w:bidi="ar-SA"/>
        </w:rPr>
        <w:t>、</w:t>
      </w:r>
      <w:r>
        <w:rPr>
          <w:rFonts w:hint="eastAsia" w:ascii="宋体" w:hAnsi="宋体" w:cs="宋体"/>
          <w:b/>
          <w:kern w:val="2"/>
          <w:sz w:val="24"/>
          <w:szCs w:val="24"/>
          <w:highlight w:val="none"/>
          <w:lang w:val="en-US" w:eastAsia="zh-CN" w:bidi="ar-SA"/>
        </w:rPr>
        <w:t>人员及设备作业要求</w:t>
      </w:r>
      <w:bookmarkEnd w:id="0"/>
      <w:bookmarkEnd w:id="1"/>
    </w:p>
    <w:p w14:paraId="758540D1">
      <w:pPr>
        <w:pStyle w:val="12"/>
        <w:keepNext w:val="0"/>
        <w:keepLines w:val="0"/>
        <w:pageBreakBefore w:val="0"/>
        <w:widowControl w:val="0"/>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5.1</w:t>
      </w:r>
      <w:r>
        <w:rPr>
          <w:rFonts w:hint="eastAsia" w:ascii="宋体" w:hAnsi="宋体" w:eastAsia="宋体" w:cs="宋体"/>
          <w:b w:val="0"/>
          <w:bCs w:val="0"/>
          <w:sz w:val="24"/>
          <w:szCs w:val="24"/>
          <w:highlight w:val="none"/>
          <w:lang w:val="en-US" w:eastAsia="zh-CN"/>
        </w:rPr>
        <w:t>人员配备要求</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053"/>
        <w:gridCol w:w="1340"/>
        <w:gridCol w:w="6385"/>
      </w:tblGrid>
      <w:tr w14:paraId="05EA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right"/>
        </w:trPr>
        <w:tc>
          <w:tcPr>
            <w:tcW w:w="847" w:type="dxa"/>
            <w:noWrap w:val="0"/>
            <w:vAlign w:val="center"/>
          </w:tcPr>
          <w:p w14:paraId="3A61571A">
            <w:pPr>
              <w:spacing w:line="440" w:lineRule="exact"/>
              <w:jc w:val="center"/>
              <w:rPr>
                <w:rFonts w:hint="default" w:ascii="宋体" w:hAnsi="宋体" w:eastAsia="宋体" w:cs="Arial"/>
                <w:b w:val="0"/>
                <w:bCs w:val="0"/>
                <w:color w:val="auto"/>
                <w:kern w:val="2"/>
                <w:sz w:val="24"/>
                <w:szCs w:val="32"/>
                <w:highlight w:val="none"/>
                <w:lang w:val="en-US" w:eastAsia="zh-CN" w:bidi="ar-SA"/>
              </w:rPr>
            </w:pPr>
            <w:r>
              <w:rPr>
                <w:rFonts w:hint="eastAsia" w:ascii="宋体" w:hAnsi="宋体" w:eastAsia="宋体" w:cs="Arial"/>
                <w:b w:val="0"/>
                <w:bCs w:val="0"/>
                <w:color w:val="auto"/>
                <w:sz w:val="24"/>
                <w:szCs w:val="32"/>
                <w:highlight w:val="none"/>
                <w:lang w:val="en-US" w:eastAsia="zh-CN"/>
              </w:rPr>
              <w:t>序号</w:t>
            </w:r>
          </w:p>
        </w:tc>
        <w:tc>
          <w:tcPr>
            <w:tcW w:w="1053" w:type="dxa"/>
            <w:noWrap w:val="0"/>
            <w:vAlign w:val="center"/>
          </w:tcPr>
          <w:p w14:paraId="47E9F064">
            <w:pPr>
              <w:spacing w:line="440" w:lineRule="exact"/>
              <w:jc w:val="center"/>
              <w:rPr>
                <w:rFonts w:hint="default" w:ascii="宋体" w:hAnsi="宋体" w:eastAsia="宋体" w:cs="Arial"/>
                <w:b w:val="0"/>
                <w:bCs w:val="0"/>
                <w:color w:val="auto"/>
                <w:kern w:val="2"/>
                <w:sz w:val="24"/>
                <w:szCs w:val="32"/>
                <w:highlight w:val="none"/>
                <w:lang w:val="en-US" w:eastAsia="zh-CN" w:bidi="ar-SA"/>
              </w:rPr>
            </w:pPr>
            <w:r>
              <w:rPr>
                <w:rFonts w:hint="eastAsia" w:ascii="宋体" w:hAnsi="宋体" w:eastAsia="宋体" w:cs="Arial"/>
                <w:b w:val="0"/>
                <w:bCs w:val="0"/>
                <w:color w:val="auto"/>
                <w:sz w:val="24"/>
                <w:szCs w:val="32"/>
                <w:highlight w:val="none"/>
              </w:rPr>
              <w:t>岗位</w:t>
            </w:r>
          </w:p>
        </w:tc>
        <w:tc>
          <w:tcPr>
            <w:tcW w:w="1340" w:type="dxa"/>
            <w:noWrap w:val="0"/>
            <w:vAlign w:val="center"/>
          </w:tcPr>
          <w:p w14:paraId="0BB80CF5">
            <w:pPr>
              <w:spacing w:line="440" w:lineRule="exact"/>
              <w:jc w:val="center"/>
              <w:rPr>
                <w:rFonts w:hint="default" w:ascii="宋体" w:hAnsi="宋体" w:eastAsia="宋体" w:cs="Arial"/>
                <w:b w:val="0"/>
                <w:bCs w:val="0"/>
                <w:color w:val="auto"/>
                <w:kern w:val="2"/>
                <w:sz w:val="24"/>
                <w:szCs w:val="32"/>
                <w:highlight w:val="none"/>
                <w:lang w:val="en-US" w:eastAsia="zh-CN" w:bidi="ar-SA"/>
              </w:rPr>
            </w:pPr>
            <w:r>
              <w:rPr>
                <w:rFonts w:hint="eastAsia" w:ascii="宋体" w:hAnsi="宋体" w:eastAsia="宋体" w:cs="Arial"/>
                <w:b w:val="0"/>
                <w:bCs w:val="0"/>
                <w:color w:val="auto"/>
                <w:sz w:val="24"/>
                <w:szCs w:val="32"/>
                <w:highlight w:val="none"/>
              </w:rPr>
              <w:t>人数</w:t>
            </w:r>
          </w:p>
        </w:tc>
        <w:tc>
          <w:tcPr>
            <w:tcW w:w="6385" w:type="dxa"/>
            <w:noWrap w:val="0"/>
            <w:vAlign w:val="center"/>
          </w:tcPr>
          <w:p w14:paraId="41A10FA0">
            <w:pPr>
              <w:spacing w:line="440" w:lineRule="exact"/>
              <w:jc w:val="center"/>
              <w:rPr>
                <w:rFonts w:hint="eastAsia" w:ascii="宋体" w:hAnsi="宋体" w:eastAsia="宋体" w:cs="Arial"/>
                <w:b w:val="0"/>
                <w:bCs w:val="0"/>
                <w:color w:val="auto"/>
                <w:kern w:val="2"/>
                <w:sz w:val="24"/>
                <w:szCs w:val="32"/>
                <w:highlight w:val="none"/>
                <w:lang w:val="en-US" w:eastAsia="zh-CN" w:bidi="ar-SA"/>
              </w:rPr>
            </w:pPr>
            <w:r>
              <w:rPr>
                <w:rFonts w:hint="eastAsia" w:ascii="宋体" w:hAnsi="宋体" w:eastAsia="宋体" w:cs="Arial"/>
                <w:b w:val="0"/>
                <w:bCs w:val="0"/>
                <w:color w:val="auto"/>
                <w:sz w:val="24"/>
                <w:szCs w:val="32"/>
                <w:highlight w:val="none"/>
                <w:lang w:val="en-US" w:eastAsia="zh-CN"/>
              </w:rPr>
              <w:t>要求</w:t>
            </w:r>
          </w:p>
        </w:tc>
      </w:tr>
      <w:tr w14:paraId="6CEA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847" w:type="dxa"/>
            <w:noWrap w:val="0"/>
            <w:vAlign w:val="center"/>
          </w:tcPr>
          <w:p w14:paraId="4D1843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b w:val="0"/>
                <w:bCs w:val="0"/>
                <w:color w:val="auto"/>
                <w:sz w:val="24"/>
                <w:szCs w:val="32"/>
                <w:highlight w:val="none"/>
                <w:lang w:val="en-US" w:eastAsia="zh-CN"/>
              </w:rPr>
            </w:pPr>
            <w:r>
              <w:rPr>
                <w:rFonts w:hint="default" w:ascii="宋体" w:hAnsi="宋体" w:eastAsia="宋体" w:cs="Arial"/>
                <w:b w:val="0"/>
                <w:bCs w:val="0"/>
                <w:color w:val="auto"/>
                <w:sz w:val="24"/>
                <w:szCs w:val="32"/>
                <w:highlight w:val="none"/>
                <w:lang w:val="en-US" w:eastAsia="zh-CN"/>
              </w:rPr>
              <w:t>1</w:t>
            </w:r>
          </w:p>
        </w:tc>
        <w:tc>
          <w:tcPr>
            <w:tcW w:w="1053" w:type="dxa"/>
            <w:noWrap w:val="0"/>
            <w:vAlign w:val="center"/>
          </w:tcPr>
          <w:p w14:paraId="2C5AD0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b w:val="0"/>
                <w:bCs w:val="0"/>
                <w:color w:val="auto"/>
                <w:sz w:val="24"/>
                <w:szCs w:val="32"/>
                <w:highlight w:val="none"/>
                <w:lang w:val="en-US" w:eastAsia="zh-CN"/>
              </w:rPr>
            </w:pPr>
            <w:r>
              <w:rPr>
                <w:rFonts w:hint="default" w:ascii="宋体" w:hAnsi="宋体" w:eastAsia="宋体" w:cs="Arial"/>
                <w:b w:val="0"/>
                <w:bCs w:val="0"/>
                <w:color w:val="auto"/>
                <w:sz w:val="24"/>
                <w:szCs w:val="32"/>
                <w:highlight w:val="none"/>
                <w:lang w:eastAsia="zh-CN"/>
              </w:rPr>
              <w:t>操作员</w:t>
            </w:r>
          </w:p>
        </w:tc>
        <w:tc>
          <w:tcPr>
            <w:tcW w:w="1340" w:type="dxa"/>
            <w:noWrap w:val="0"/>
            <w:vAlign w:val="center"/>
          </w:tcPr>
          <w:p w14:paraId="1BC43C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b w:val="0"/>
                <w:bCs w:val="0"/>
                <w:color w:val="auto"/>
                <w:sz w:val="24"/>
                <w:szCs w:val="32"/>
                <w:highlight w:val="none"/>
                <w:lang w:val="en-US" w:eastAsia="zh-CN"/>
              </w:rPr>
            </w:pPr>
            <w:r>
              <w:rPr>
                <w:rFonts w:hint="default" w:ascii="宋体" w:hAnsi="宋体" w:eastAsia="宋体" w:cs="Arial"/>
                <w:b w:val="0"/>
                <w:bCs w:val="0"/>
                <w:color w:val="auto"/>
                <w:sz w:val="24"/>
                <w:szCs w:val="32"/>
                <w:highlight w:val="none"/>
                <w:lang w:eastAsia="zh-CN"/>
              </w:rPr>
              <w:t>至少</w:t>
            </w:r>
            <w:r>
              <w:rPr>
                <w:rFonts w:hint="eastAsia" w:ascii="宋体" w:hAnsi="宋体" w:eastAsia="宋体" w:cs="Arial"/>
                <w:b w:val="0"/>
                <w:bCs w:val="0"/>
                <w:color w:val="auto"/>
                <w:sz w:val="24"/>
                <w:szCs w:val="32"/>
                <w:highlight w:val="none"/>
                <w:lang w:val="en-US" w:eastAsia="zh-CN"/>
              </w:rPr>
              <w:t>1</w:t>
            </w:r>
            <w:r>
              <w:rPr>
                <w:rFonts w:hint="default" w:ascii="宋体" w:hAnsi="宋体" w:eastAsia="宋体" w:cs="Arial"/>
                <w:b w:val="0"/>
                <w:bCs w:val="0"/>
                <w:color w:val="auto"/>
                <w:sz w:val="24"/>
                <w:szCs w:val="32"/>
                <w:highlight w:val="none"/>
                <w:lang w:eastAsia="zh-CN"/>
              </w:rPr>
              <w:t>人</w:t>
            </w:r>
          </w:p>
        </w:tc>
        <w:tc>
          <w:tcPr>
            <w:tcW w:w="6385" w:type="dxa"/>
            <w:noWrap w:val="0"/>
            <w:vAlign w:val="center"/>
          </w:tcPr>
          <w:p w14:paraId="28D45B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Arial"/>
                <w:b w:val="0"/>
                <w:bCs w:val="0"/>
                <w:color w:val="auto"/>
                <w:sz w:val="24"/>
                <w:szCs w:val="32"/>
                <w:highlight w:val="none"/>
                <w:lang w:val="en-US" w:eastAsia="zh-CN"/>
              </w:rPr>
            </w:pPr>
            <w:r>
              <w:rPr>
                <w:rFonts w:hint="eastAsia" w:ascii="宋体" w:hAnsi="宋体" w:eastAsia="宋体" w:cs="Arial"/>
                <w:b w:val="0"/>
                <w:bCs w:val="0"/>
                <w:color w:val="auto"/>
                <w:sz w:val="24"/>
                <w:szCs w:val="32"/>
                <w:highlight w:val="none"/>
                <w:lang w:eastAsia="zh-CN"/>
              </w:rPr>
              <w:t>应经过专门培训，</w:t>
            </w:r>
            <w:r>
              <w:rPr>
                <w:rFonts w:hint="eastAsia" w:ascii="宋体" w:hAnsi="宋体" w:eastAsia="宋体" w:cs="Arial"/>
                <w:b w:val="0"/>
                <w:bCs w:val="0"/>
                <w:color w:val="auto"/>
                <w:sz w:val="24"/>
                <w:szCs w:val="32"/>
                <w:highlight w:val="none"/>
                <w:lang w:val="en-US" w:eastAsia="zh-CN"/>
              </w:rPr>
              <w:t>并</w:t>
            </w:r>
            <w:r>
              <w:rPr>
                <w:rFonts w:hint="eastAsia" w:ascii="宋体" w:hAnsi="宋体" w:eastAsia="宋体" w:cs="Arial"/>
                <w:b w:val="0"/>
                <w:bCs w:val="0"/>
                <w:color w:val="auto"/>
                <w:sz w:val="24"/>
                <w:szCs w:val="32"/>
                <w:highlight w:val="none"/>
                <w:lang w:eastAsia="zh-CN"/>
              </w:rPr>
              <w:t>掌握相应的动物防疫知识</w:t>
            </w:r>
          </w:p>
        </w:tc>
      </w:tr>
      <w:tr w14:paraId="64F3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right"/>
        </w:trPr>
        <w:tc>
          <w:tcPr>
            <w:tcW w:w="847" w:type="dxa"/>
            <w:noWrap w:val="0"/>
            <w:vAlign w:val="center"/>
          </w:tcPr>
          <w:p w14:paraId="30A8E2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b w:val="0"/>
                <w:bCs w:val="0"/>
                <w:color w:val="auto"/>
                <w:sz w:val="24"/>
                <w:szCs w:val="32"/>
                <w:highlight w:val="none"/>
                <w:lang w:val="en-US" w:eastAsia="zh-CN"/>
              </w:rPr>
            </w:pPr>
            <w:r>
              <w:rPr>
                <w:rFonts w:hint="default" w:ascii="宋体" w:hAnsi="宋体" w:eastAsia="宋体" w:cs="Arial"/>
                <w:b w:val="0"/>
                <w:bCs w:val="0"/>
                <w:color w:val="auto"/>
                <w:sz w:val="24"/>
                <w:szCs w:val="32"/>
                <w:highlight w:val="none"/>
                <w:lang w:val="en-US" w:eastAsia="zh-CN"/>
              </w:rPr>
              <w:t>2</w:t>
            </w:r>
          </w:p>
        </w:tc>
        <w:tc>
          <w:tcPr>
            <w:tcW w:w="1053" w:type="dxa"/>
            <w:noWrap w:val="0"/>
            <w:vAlign w:val="center"/>
          </w:tcPr>
          <w:p w14:paraId="103937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b w:val="0"/>
                <w:bCs w:val="0"/>
                <w:color w:val="auto"/>
                <w:sz w:val="24"/>
                <w:szCs w:val="32"/>
                <w:highlight w:val="none"/>
                <w:lang w:val="en-US" w:eastAsia="zh-CN"/>
              </w:rPr>
            </w:pPr>
            <w:r>
              <w:rPr>
                <w:rFonts w:hint="default" w:ascii="宋体" w:hAnsi="宋体" w:eastAsia="宋体" w:cs="Arial"/>
                <w:b w:val="0"/>
                <w:bCs w:val="0"/>
                <w:color w:val="auto"/>
                <w:sz w:val="24"/>
                <w:szCs w:val="32"/>
                <w:highlight w:val="none"/>
                <w:lang w:eastAsia="zh-CN"/>
              </w:rPr>
              <w:t>驾驶员</w:t>
            </w:r>
          </w:p>
        </w:tc>
        <w:tc>
          <w:tcPr>
            <w:tcW w:w="1340" w:type="dxa"/>
            <w:noWrap w:val="0"/>
            <w:vAlign w:val="center"/>
          </w:tcPr>
          <w:p w14:paraId="16739F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b w:val="0"/>
                <w:bCs w:val="0"/>
                <w:color w:val="auto"/>
                <w:sz w:val="24"/>
                <w:szCs w:val="32"/>
                <w:highlight w:val="none"/>
                <w:lang w:val="en-US" w:eastAsia="zh-CN"/>
              </w:rPr>
            </w:pPr>
            <w:r>
              <w:rPr>
                <w:rFonts w:hint="default" w:ascii="宋体" w:hAnsi="宋体" w:eastAsia="宋体" w:cs="Arial"/>
                <w:b w:val="0"/>
                <w:bCs w:val="0"/>
                <w:color w:val="auto"/>
                <w:sz w:val="24"/>
                <w:szCs w:val="32"/>
                <w:highlight w:val="none"/>
                <w:lang w:eastAsia="zh-CN"/>
              </w:rPr>
              <w:t>至少</w:t>
            </w:r>
            <w:r>
              <w:rPr>
                <w:rFonts w:hint="eastAsia" w:ascii="宋体" w:hAnsi="宋体" w:eastAsia="宋体" w:cs="Arial"/>
                <w:b w:val="0"/>
                <w:bCs w:val="0"/>
                <w:color w:val="auto"/>
                <w:sz w:val="24"/>
                <w:szCs w:val="32"/>
                <w:highlight w:val="none"/>
                <w:lang w:val="en-US" w:eastAsia="zh-CN"/>
              </w:rPr>
              <w:t>1</w:t>
            </w:r>
            <w:r>
              <w:rPr>
                <w:rFonts w:hint="default" w:ascii="宋体" w:hAnsi="宋体" w:eastAsia="宋体" w:cs="Arial"/>
                <w:b w:val="0"/>
                <w:bCs w:val="0"/>
                <w:color w:val="auto"/>
                <w:sz w:val="24"/>
                <w:szCs w:val="32"/>
                <w:highlight w:val="none"/>
                <w:lang w:eastAsia="zh-CN"/>
              </w:rPr>
              <w:t>人</w:t>
            </w:r>
          </w:p>
        </w:tc>
        <w:tc>
          <w:tcPr>
            <w:tcW w:w="6385" w:type="dxa"/>
            <w:noWrap w:val="0"/>
            <w:vAlign w:val="center"/>
          </w:tcPr>
          <w:p w14:paraId="4639EF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Arial"/>
                <w:b w:val="0"/>
                <w:bCs w:val="0"/>
                <w:color w:val="auto"/>
                <w:sz w:val="24"/>
                <w:szCs w:val="32"/>
                <w:highlight w:val="none"/>
                <w:lang w:eastAsia="zh-CN"/>
              </w:rPr>
            </w:pPr>
            <w:r>
              <w:rPr>
                <w:rFonts w:hint="eastAsia" w:ascii="宋体" w:hAnsi="宋体" w:eastAsia="宋体" w:cs="Arial"/>
                <w:b w:val="0"/>
                <w:bCs w:val="0"/>
                <w:color w:val="auto"/>
                <w:sz w:val="24"/>
                <w:szCs w:val="32"/>
                <w:highlight w:val="none"/>
                <w:lang w:eastAsia="zh-CN"/>
              </w:rPr>
              <w:t>持有</w:t>
            </w:r>
            <w:r>
              <w:rPr>
                <w:rFonts w:hint="eastAsia" w:ascii="宋体" w:hAnsi="宋体" w:eastAsia="宋体" w:cs="Arial"/>
                <w:b w:val="0"/>
                <w:bCs w:val="0"/>
                <w:color w:val="auto"/>
                <w:sz w:val="24"/>
                <w:szCs w:val="32"/>
                <w:highlight w:val="none"/>
                <w:lang w:val="en-US" w:eastAsia="zh-CN"/>
              </w:rPr>
              <w:t>有效且</w:t>
            </w:r>
            <w:r>
              <w:rPr>
                <w:rFonts w:hint="eastAsia" w:ascii="宋体" w:hAnsi="宋体" w:eastAsia="宋体" w:cs="Arial"/>
                <w:b w:val="0"/>
                <w:bCs w:val="0"/>
                <w:color w:val="auto"/>
                <w:sz w:val="24"/>
                <w:szCs w:val="32"/>
                <w:highlight w:val="none"/>
                <w:lang w:eastAsia="zh-CN"/>
              </w:rPr>
              <w:t>符合服务需要车辆相适应的机动车驾驶证</w:t>
            </w:r>
          </w:p>
          <w:p w14:paraId="14A950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Arial"/>
                <w:b w:val="0"/>
                <w:bCs w:val="0"/>
                <w:color w:val="auto"/>
                <w:sz w:val="24"/>
                <w:szCs w:val="32"/>
                <w:highlight w:val="none"/>
                <w:lang w:val="en-US" w:eastAsia="zh-CN"/>
              </w:rPr>
            </w:pPr>
            <w:r>
              <w:rPr>
                <w:rFonts w:hint="eastAsia" w:ascii="宋体" w:hAnsi="宋体" w:eastAsia="宋体" w:cs="Arial"/>
                <w:b w:val="0"/>
                <w:bCs w:val="0"/>
                <w:color w:val="auto"/>
                <w:sz w:val="24"/>
                <w:szCs w:val="32"/>
                <w:highlight w:val="none"/>
                <w:lang w:eastAsia="zh-CN"/>
              </w:rPr>
              <w:t>需定期参加</w:t>
            </w:r>
            <w:r>
              <w:rPr>
                <w:rFonts w:hint="eastAsia" w:ascii="宋体" w:hAnsi="宋体" w:eastAsia="宋体" w:cs="Arial"/>
                <w:b w:val="0"/>
                <w:bCs w:val="0"/>
                <w:color w:val="auto"/>
                <w:sz w:val="24"/>
                <w:szCs w:val="32"/>
                <w:highlight w:val="none"/>
                <w:lang w:val="en-US" w:eastAsia="zh-CN"/>
              </w:rPr>
              <w:t>相关</w:t>
            </w:r>
            <w:r>
              <w:rPr>
                <w:rFonts w:hint="eastAsia" w:ascii="宋体" w:hAnsi="宋体" w:eastAsia="宋体" w:cs="Arial"/>
                <w:b w:val="0"/>
                <w:bCs w:val="0"/>
                <w:color w:val="auto"/>
                <w:sz w:val="24"/>
                <w:szCs w:val="32"/>
                <w:highlight w:val="none"/>
                <w:lang w:eastAsia="zh-CN"/>
              </w:rPr>
              <w:t>动物防疫知识培训，具备基础应急处理能力</w:t>
            </w:r>
          </w:p>
        </w:tc>
      </w:tr>
    </w:tbl>
    <w:p w14:paraId="2532C6AE">
      <w:pPr>
        <w:pStyle w:val="12"/>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5.2</w:t>
      </w:r>
      <w:r>
        <w:rPr>
          <w:rFonts w:hint="eastAsia" w:ascii="宋体" w:hAnsi="宋体" w:eastAsia="宋体" w:cs="宋体"/>
          <w:color w:val="auto"/>
          <w:kern w:val="2"/>
          <w:sz w:val="24"/>
          <w:szCs w:val="24"/>
          <w:highlight w:val="none"/>
          <w:lang w:val="en-US" w:eastAsia="zh-CN" w:bidi="ar-SA"/>
        </w:rPr>
        <w:t>需自备符合病死动物无害处理（运输）的车辆，认真做好车辆日常维护，确保转运工作正常运行。</w:t>
      </w:r>
    </w:p>
    <w:p w14:paraId="059F48EB">
      <w:pPr>
        <w:pStyle w:val="12"/>
        <w:keepNext w:val="0"/>
        <w:keepLines w:val="0"/>
        <w:pageBreakBefore w:val="0"/>
        <w:widowControl w:val="0"/>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5.3</w:t>
      </w:r>
      <w:r>
        <w:rPr>
          <w:rFonts w:hint="eastAsia" w:ascii="宋体" w:hAnsi="宋体" w:eastAsia="宋体" w:cs="宋体"/>
          <w:color w:val="auto"/>
          <w:kern w:val="2"/>
          <w:sz w:val="24"/>
          <w:szCs w:val="24"/>
          <w:highlight w:val="none"/>
          <w:u w:val="none"/>
          <w:lang w:val="en-US" w:eastAsia="zh-CN" w:bidi="ar-SA"/>
        </w:rPr>
        <w:t>病死动物及产品</w:t>
      </w:r>
      <w:r>
        <w:rPr>
          <w:rFonts w:hint="eastAsia" w:ascii="宋体" w:hAnsi="宋体" w:eastAsia="宋体" w:cs="宋体"/>
          <w:color w:val="auto"/>
          <w:kern w:val="2"/>
          <w:sz w:val="24"/>
          <w:szCs w:val="24"/>
          <w:highlight w:val="none"/>
          <w:lang w:val="en-US" w:eastAsia="zh-CN" w:bidi="ar-SA"/>
        </w:rPr>
        <w:t>无害处理（运输）车辆应当符合以下要求： </w:t>
      </w:r>
    </w:p>
    <w:p w14:paraId="1CFE27A3">
      <w:pPr>
        <w:pStyle w:val="1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（1）车辆用途专一，不得运输病死畜禽和病害畜禽产品以外的其他物品；</w:t>
      </w:r>
    </w:p>
    <w:p w14:paraId="4B81AC1F">
      <w:pPr>
        <w:pStyle w:val="1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（2）车厢采用密闭结构设计，具备防水、防渗、耐腐蚀性能，内部材质便于清洗和消毒；</w:t>
      </w:r>
    </w:p>
    <w:p w14:paraId="345B555F">
      <w:pPr>
        <w:pStyle w:val="1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（3）配备能够实时接入国家监管监控平台的车辆定位跟踪系统及车载终端，确保运输全程可监控、可追溯；</w:t>
      </w:r>
    </w:p>
    <w:p w14:paraId="2DA70844">
      <w:pPr>
        <w:pStyle w:val="1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（4）随车配备齐全的人员防护用品（如防护服、口罩、手套等）及清洗消毒设备（如喷雾器、消毒剂等），满足应急防疫需求；</w:t>
      </w:r>
    </w:p>
    <w:p w14:paraId="5D60D763">
      <w:pPr>
        <w:pStyle w:val="1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（5）配置符合动物防疫需要的其他设施设备，如防渗漏垫、密封运输箱等。</w:t>
      </w:r>
    </w:p>
    <w:p w14:paraId="10A6B5F7">
      <w:pPr>
        <w:pStyle w:val="12"/>
        <w:keepNext w:val="0"/>
        <w:keepLines w:val="0"/>
        <w:pageBreakBefore w:val="0"/>
        <w:widowControl w:val="0"/>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5.4运输</w:t>
      </w:r>
      <w:r>
        <w:rPr>
          <w:rFonts w:hint="eastAsia" w:ascii="宋体" w:hAnsi="宋体" w:eastAsia="宋体" w:cs="宋体"/>
          <w:color w:val="auto"/>
          <w:kern w:val="2"/>
          <w:sz w:val="24"/>
          <w:szCs w:val="24"/>
          <w:highlight w:val="none"/>
          <w:u w:val="none"/>
          <w:lang w:val="en-US" w:eastAsia="zh-CN" w:bidi="ar-SA"/>
        </w:rPr>
        <w:t>病死动物及产品</w:t>
      </w:r>
      <w:r>
        <w:rPr>
          <w:rFonts w:hint="eastAsia" w:ascii="宋体" w:hAnsi="宋体" w:eastAsia="宋体" w:cs="宋体"/>
          <w:color w:val="auto"/>
          <w:kern w:val="2"/>
          <w:sz w:val="24"/>
          <w:szCs w:val="24"/>
          <w:highlight w:val="none"/>
          <w:lang w:val="en-US" w:eastAsia="zh-CN" w:bidi="ar-SA"/>
        </w:rPr>
        <w:t>的供应商，应当遵守下列规定： </w:t>
      </w:r>
    </w:p>
    <w:p w14:paraId="6CB2AEF3">
      <w:pPr>
        <w:pStyle w:val="12"/>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239" w:leftChars="114" w:right="0" w:rightChars="0" w:firstLine="240" w:firstLineChars="1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严格执行车辆、相关工具及作业环境消毒制度，每次装卸前后均需进行全面消毒；</w:t>
      </w:r>
    </w:p>
    <w:p w14:paraId="5D6F248A">
      <w:pPr>
        <w:pStyle w:val="12"/>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239" w:leftChars="114" w:right="0" w:rightChars="0" w:firstLine="240" w:firstLineChars="1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作业过程中如发生渗漏，立即停止运输，对泄漏物进行安全收集、重新包装，并对污染区域彻底消毒后再继续运输；</w:t>
      </w:r>
    </w:p>
    <w:p w14:paraId="10033E40">
      <w:pPr>
        <w:pStyle w:val="12"/>
        <w:keepNext w:val="0"/>
        <w:keepLines w:val="0"/>
        <w:pageBreakBefore w:val="0"/>
        <w:widowControl w:val="0"/>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（3）作业人员需全程做好个人防护措施，作业结束后进行全身消毒；</w:t>
      </w:r>
    </w:p>
    <w:p w14:paraId="7A358412">
      <w:pPr>
        <w:pStyle w:val="12"/>
        <w:keepNext w:val="0"/>
        <w:keepLines w:val="0"/>
        <w:pageBreakBefore w:val="0"/>
        <w:widowControl w:val="0"/>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（4）车辆驶离暂存、养殖等场所前，必须对车轮及车厢外部进行消毒；</w:t>
      </w:r>
    </w:p>
    <w:p w14:paraId="11A3899A">
      <w:pPr>
        <w:pStyle w:val="12"/>
        <w:keepNext w:val="0"/>
        <w:keepLines w:val="0"/>
        <w:pageBreakBefore w:val="0"/>
        <w:widowControl w:val="0"/>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（5）卸载后，应对运输车辆内部、车厢外部及相关工具进行彻底清洗、消毒，并做好消毒记录。</w:t>
      </w:r>
    </w:p>
    <w:p w14:paraId="6E169117">
      <w:pPr>
        <w:pStyle w:val="1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5.5避开学校、医院、农贸市场等人口密集区，优先选择空旷、车流量少的路线，减少疫病传播风险，符合相关动物防疫及公共卫生安全要求。</w:t>
      </w:r>
    </w:p>
    <w:p w14:paraId="21EAFE5A">
      <w:pPr>
        <w:pStyle w:val="1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5.6</w:t>
      </w:r>
      <w:r>
        <w:rPr>
          <w:rFonts w:hint="default" w:ascii="宋体" w:hAnsi="宋体" w:eastAsia="宋体" w:cs="宋体"/>
          <w:color w:val="auto"/>
          <w:kern w:val="2"/>
          <w:sz w:val="24"/>
          <w:szCs w:val="24"/>
          <w:highlight w:val="none"/>
          <w:lang w:val="en-US" w:eastAsia="zh-CN" w:bidi="ar-SA"/>
        </w:rPr>
        <w:t>遇重大动物疫情时，运输方案按双方协商结果执行，严格落实特殊时期防控措施；积极配合做好突发情况的现场处置和报告工作，包括但不限于疫情信息上报、车辆及人员管控等。</w:t>
      </w:r>
      <w:r>
        <w:rPr>
          <w:rFonts w:hint="eastAsia" w:ascii="宋体" w:hAnsi="宋体" w:eastAsia="宋体" w:cs="宋体"/>
          <w:color w:val="auto"/>
          <w:kern w:val="2"/>
          <w:sz w:val="24"/>
          <w:szCs w:val="24"/>
          <w:highlight w:val="none"/>
          <w:lang w:val="en-US" w:eastAsia="zh-CN" w:bidi="ar-SA"/>
        </w:rPr>
        <w:t xml:space="preserve"> </w:t>
      </w:r>
    </w:p>
    <w:p w14:paraId="0897115B">
      <w:pPr>
        <w:pStyle w:val="1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cs="宋体"/>
          <w:b/>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5.7</w:t>
      </w:r>
      <w:r>
        <w:rPr>
          <w:rFonts w:hint="default" w:ascii="宋体" w:hAnsi="宋体" w:eastAsia="宋体" w:cs="宋体"/>
          <w:color w:val="auto"/>
          <w:kern w:val="2"/>
          <w:sz w:val="24"/>
          <w:szCs w:val="24"/>
          <w:highlight w:val="none"/>
          <w:lang w:val="en-US" w:eastAsia="zh-CN" w:bidi="ar-SA"/>
        </w:rPr>
        <w:t>对发生动物不正常的群发性死亡现象，或者死亡率超过正常范围的，应在第一时间报告当地动物检疫部门，并配合开展相关调查、处置工作。</w:t>
      </w:r>
    </w:p>
    <w:p w14:paraId="49EEA7A1">
      <w:pPr>
        <w:pStyle w:val="8"/>
        <w:keepNext w:val="0"/>
        <w:keepLines w:val="0"/>
        <w:pageBreakBefore w:val="0"/>
        <w:numPr>
          <w:ilvl w:val="0"/>
          <w:numId w:val="0"/>
        </w:numPr>
        <w:kinsoku/>
        <w:wordWrap/>
        <w:overflowPunct/>
        <w:topLinePunct w:val="0"/>
        <w:autoSpaceDE/>
        <w:autoSpaceDN/>
        <w:bidi w:val="0"/>
        <w:spacing w:line="360" w:lineRule="auto"/>
        <w:ind w:firstLine="482" w:firstLineChars="200"/>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三、</w:t>
      </w:r>
      <w:r>
        <w:rPr>
          <w:rFonts w:hint="eastAsia" w:cs="宋体"/>
          <w:b/>
          <w:bCs/>
          <w:color w:val="auto"/>
          <w:kern w:val="2"/>
          <w:sz w:val="24"/>
          <w:szCs w:val="24"/>
          <w:highlight w:val="none"/>
          <w:u w:val="none"/>
          <w:lang w:val="en-US" w:eastAsia="zh-CN" w:bidi="ar-SA"/>
        </w:rPr>
        <w:t>结算方式</w:t>
      </w:r>
      <w:r>
        <w:rPr>
          <w:rFonts w:hint="eastAsia" w:ascii="宋体" w:hAnsi="宋体" w:eastAsia="宋体" w:cs="宋体"/>
          <w:b/>
          <w:bCs/>
          <w:color w:val="auto"/>
          <w:kern w:val="2"/>
          <w:sz w:val="24"/>
          <w:szCs w:val="24"/>
          <w:highlight w:val="none"/>
          <w:u w:val="none"/>
          <w:lang w:val="en-US" w:eastAsia="zh-CN" w:bidi="ar-SA"/>
        </w:rPr>
        <w:t>和付款要求</w:t>
      </w:r>
    </w:p>
    <w:p w14:paraId="6D3B51B9">
      <w:pPr>
        <w:pStyle w:val="1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2" w:firstLineChars="200"/>
        <w:jc w:val="left"/>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转运服务单价最高限价为人民币1500元/车次</w:t>
      </w:r>
      <w:r>
        <w:rPr>
          <w:rFonts w:hint="eastAsia" w:hAnsi="宋体" w:eastAsia="宋体" w:cs="宋体"/>
          <w:color w:val="auto"/>
          <w:kern w:val="2"/>
          <w:sz w:val="24"/>
          <w:szCs w:val="24"/>
          <w:highlight w:val="none"/>
          <w:lang w:val="en-US" w:eastAsia="zh-CN" w:bidi="ar-SA"/>
        </w:rPr>
        <w:t>。</w:t>
      </w:r>
    </w:p>
    <w:p w14:paraId="5D8D6B1F">
      <w:pPr>
        <w:pStyle w:val="1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2" w:firstLineChars="20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u w:val="none"/>
          <w:lang w:val="en-US" w:eastAsia="zh-CN" w:bidi="ar-SA"/>
        </w:rPr>
        <w:t>▲</w:t>
      </w:r>
      <w:r>
        <w:rPr>
          <w:rFonts w:hint="eastAsia"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本项目预算200000/年仅为暂估总价，</w:t>
      </w:r>
      <w:r>
        <w:rPr>
          <w:rFonts w:hint="default" w:ascii="宋体" w:hAnsi="宋体" w:eastAsia="宋体" w:cs="宋体"/>
          <w:color w:val="auto"/>
          <w:kern w:val="2"/>
          <w:sz w:val="24"/>
          <w:szCs w:val="24"/>
          <w:highlight w:val="none"/>
          <w:lang w:val="en-US" w:eastAsia="zh-CN" w:bidi="ar-SA"/>
        </w:rPr>
        <w:t>采购人不保证实际发生的转运工作量及最终结算金额能达到该预算金额</w:t>
      </w:r>
      <w:r>
        <w:rPr>
          <w:rFonts w:hint="eastAsia" w:ascii="宋体" w:hAnsi="宋体" w:eastAsia="宋体" w:cs="宋体"/>
          <w:color w:val="auto"/>
          <w:kern w:val="2"/>
          <w:sz w:val="24"/>
          <w:szCs w:val="24"/>
          <w:highlight w:val="none"/>
          <w:lang w:val="en-US" w:eastAsia="zh-CN" w:bidi="ar-SA"/>
        </w:rPr>
        <w:t>。最终结算金额按如下原则确定：以中标供应商的中标单价乘以各方签字确认的实际完成的有效转运车次数量进行计算。若一个合同年度内实际确认的有效转运车次数量不足110车次，则按110车次进行结算。同时，最终结算金额不得超过本项目的年度预算金额。</w:t>
      </w:r>
    </w:p>
    <w:p w14:paraId="0C74DD65">
      <w:pPr>
        <w:pStyle w:val="1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left"/>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原则上每车次转运重量不低于3吨，但遇实际情况确需少于的，须经采购人书面同意并在病死动物专用回收车调度表中明确，否则不得转运。</w:t>
      </w:r>
    </w:p>
    <w:p w14:paraId="57FB8DCE">
      <w:pPr>
        <w:pStyle w:val="8"/>
        <w:keepNext w:val="0"/>
        <w:keepLines w:val="0"/>
        <w:pageBreakBefore w:val="0"/>
        <w:numPr>
          <w:ilvl w:val="0"/>
          <w:numId w:val="0"/>
        </w:numPr>
        <w:kinsoku/>
        <w:wordWrap/>
        <w:overflowPunct/>
        <w:topLinePunct w:val="0"/>
        <w:autoSpaceDE/>
        <w:autoSpaceDN/>
        <w:bidi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4、付款流程及要求</w:t>
      </w:r>
    </w:p>
    <w:p w14:paraId="3CED1453">
      <w:pPr>
        <w:pStyle w:val="7"/>
        <w:keepNext w:val="0"/>
        <w:keepLines w:val="0"/>
        <w:pageBreakBefore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4.1病死动物及产品收集到一定数量后，收集点管理人员、暂存点业主应及时向所属镇（街道）专职人员报告，镇（街道）专职人员向奉化区农机畜牧发展中心申请清运，并通知保险查勘人员。奉化区农机畜牧发展中心调度安排病死动物专用回收车，填写《奉化区病死畜禽及病害畜禽产品专用回收车调度表》，通知运输企业运输。病死动物及产品从收集（暂存）点向回收车移交过程应在承保公司、运输装载人员、镇（街道）专职人员、收集点四方管理人员见证下进行，填写《奉化区病死畜禽及病害畜禽产品移交单》，经四方签字确认后完成。</w:t>
      </w:r>
    </w:p>
    <w:p w14:paraId="07C36632">
      <w:pPr>
        <w:pStyle w:val="8"/>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w:t>
      </w:r>
      <w:r>
        <w:rPr>
          <w:rFonts w:hint="eastAsia" w:ascii="宋体" w:hAnsi="宋体" w:eastAsia="宋体" w:cs="宋体"/>
          <w:b w:val="0"/>
          <w:bCs w:val="0"/>
          <w:color w:val="auto"/>
          <w:kern w:val="2"/>
          <w:sz w:val="24"/>
          <w:szCs w:val="24"/>
          <w:highlight w:val="none"/>
          <w:lang w:val="en-US" w:eastAsia="zh-CN" w:bidi="ar-SA"/>
        </w:rPr>
        <w:t>奉化区农机畜牧发展中心</w:t>
      </w:r>
      <w:r>
        <w:rPr>
          <w:rFonts w:hint="eastAsia" w:ascii="宋体" w:hAnsi="宋体" w:eastAsia="宋体" w:cs="宋体"/>
          <w:color w:val="auto"/>
          <w:kern w:val="2"/>
          <w:sz w:val="24"/>
          <w:szCs w:val="24"/>
          <w:highlight w:val="none"/>
          <w:lang w:val="en-US" w:eastAsia="zh-CN" w:bidi="ar-SA"/>
        </w:rPr>
        <w:t>根据病死动物专用回收车调度表、病死动物及产品移交清单、北仑固废处置有限公司称重计量单一季度一次汇总审核，按实计算，报区农业农村局同意，在一定范围内进行5个工作日的公示，公示无异议后，拨付资金。</w:t>
      </w:r>
    </w:p>
    <w:p w14:paraId="4CC7203C">
      <w:pPr>
        <w:pStyle w:val="8"/>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lang w:val="en-US" w:eastAsia="zh-CN" w:bidi="ar-SA"/>
        </w:rPr>
        <w:t>4.3病死动物专用回收车调度表</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病死动物及产品移交清单</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北仑固废处置有限公司称重计量单</w:t>
      </w:r>
      <w:r>
        <w:rPr>
          <w:rFonts w:hint="eastAsia" w:ascii="宋体" w:hAnsi="宋体" w:eastAsia="宋体" w:cs="宋体"/>
          <w:color w:val="auto"/>
          <w:kern w:val="2"/>
          <w:sz w:val="24"/>
          <w:szCs w:val="24"/>
          <w:highlight w:val="none"/>
          <w:u w:val="none"/>
          <w:lang w:val="en-US" w:eastAsia="zh-CN" w:bidi="ar-SA"/>
        </w:rPr>
        <w:t>与合同履行实际有差异的以实际书面资料为准。</w:t>
      </w:r>
    </w:p>
    <w:p w14:paraId="68D3CD9D">
      <w:pPr>
        <w:pStyle w:val="8"/>
        <w:keepNext w:val="0"/>
        <w:keepLines w:val="0"/>
        <w:pageBreakBefore w:val="0"/>
        <w:numPr>
          <w:ilvl w:val="0"/>
          <w:numId w:val="0"/>
        </w:numPr>
        <w:kinsoku/>
        <w:wordWrap/>
        <w:overflowPunct/>
        <w:topLinePunct w:val="0"/>
        <w:autoSpaceDE/>
        <w:autoSpaceDN/>
        <w:bidi w:val="0"/>
        <w:spacing w:line="360" w:lineRule="auto"/>
        <w:ind w:firstLine="482" w:firstLineChars="200"/>
        <w:rPr>
          <w:rFonts w:hint="default"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四、考核条件</w:t>
      </w:r>
    </w:p>
    <w:p w14:paraId="628A8AB7">
      <w:pPr>
        <w:pStyle w:val="7"/>
        <w:numPr>
          <w:ilvl w:val="0"/>
          <w:numId w:val="0"/>
        </w:numPr>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1、考核内容：满分100分，具体详见《转运服务考核表》</w:t>
      </w:r>
    </w:p>
    <w:p w14:paraId="2735BE86">
      <w:pPr>
        <w:pStyle w:val="7"/>
        <w:jc w:val="center"/>
        <w:rPr>
          <w:rFonts w:hint="default"/>
          <w:highlight w:val="none"/>
          <w:lang w:val="en-US" w:eastAsia="zh-CN"/>
        </w:rPr>
      </w:pPr>
      <w:r>
        <w:rPr>
          <w:rFonts w:hint="eastAsia" w:ascii="宋体" w:hAnsi="宋体" w:cs="宋体"/>
          <w:color w:val="auto"/>
          <w:sz w:val="24"/>
          <w:szCs w:val="24"/>
          <w:highlight w:val="none"/>
          <w:lang w:val="en-US" w:eastAsia="zh-CN"/>
        </w:rPr>
        <w:t>《转运服务考核表》</w:t>
      </w:r>
    </w:p>
    <w:tbl>
      <w:tblPr>
        <w:tblStyle w:val="10"/>
        <w:tblW w:w="8938"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5329"/>
        <w:gridCol w:w="1312"/>
        <w:gridCol w:w="1496"/>
      </w:tblGrid>
      <w:tr w14:paraId="4AF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01" w:type="dxa"/>
            <w:noWrap w:val="0"/>
            <w:vAlign w:val="center"/>
          </w:tcPr>
          <w:p w14:paraId="1DEE35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5329" w:type="dxa"/>
            <w:noWrap w:val="0"/>
            <w:vAlign w:val="center"/>
          </w:tcPr>
          <w:p w14:paraId="35D831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考核内容</w:t>
            </w:r>
          </w:p>
        </w:tc>
        <w:tc>
          <w:tcPr>
            <w:tcW w:w="1312" w:type="dxa"/>
            <w:noWrap w:val="0"/>
            <w:vAlign w:val="center"/>
          </w:tcPr>
          <w:p w14:paraId="08AE25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扣分情况</w:t>
            </w:r>
          </w:p>
        </w:tc>
        <w:tc>
          <w:tcPr>
            <w:tcW w:w="1496" w:type="dxa"/>
            <w:noWrap w:val="0"/>
            <w:vAlign w:val="center"/>
          </w:tcPr>
          <w:p w14:paraId="136CB9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扣分原因</w:t>
            </w:r>
          </w:p>
        </w:tc>
      </w:tr>
      <w:tr w14:paraId="2424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01" w:type="dxa"/>
            <w:noWrap w:val="0"/>
            <w:vAlign w:val="center"/>
          </w:tcPr>
          <w:p w14:paraId="2B79E2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5329" w:type="dxa"/>
            <w:noWrap w:val="0"/>
            <w:vAlign w:val="top"/>
          </w:tcPr>
          <w:p w14:paraId="0B5DA4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在日常检查中，未及时做好消毒工作，每发现一次扣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本项总共20分。</w:t>
            </w:r>
          </w:p>
        </w:tc>
        <w:tc>
          <w:tcPr>
            <w:tcW w:w="1312" w:type="dxa"/>
            <w:noWrap w:val="0"/>
            <w:vAlign w:val="center"/>
          </w:tcPr>
          <w:p w14:paraId="108F54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496" w:type="dxa"/>
            <w:noWrap w:val="0"/>
            <w:vAlign w:val="top"/>
          </w:tcPr>
          <w:p w14:paraId="5202C9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p>
        </w:tc>
      </w:tr>
      <w:tr w14:paraId="4DFE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14:paraId="3DA5AF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329" w:type="dxa"/>
            <w:noWrap w:val="0"/>
            <w:vAlign w:val="top"/>
          </w:tcPr>
          <w:p w14:paraId="2F33F7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未按规定填写</w:t>
            </w:r>
            <w:r>
              <w:rPr>
                <w:rFonts w:hint="eastAsia" w:ascii="宋体" w:hAnsi="宋体" w:eastAsia="宋体" w:cs="宋体"/>
                <w:b w:val="0"/>
                <w:bCs w:val="0"/>
                <w:color w:val="auto"/>
                <w:kern w:val="2"/>
                <w:sz w:val="24"/>
                <w:szCs w:val="24"/>
                <w:highlight w:val="none"/>
                <w:lang w:val="en-US" w:eastAsia="zh-CN" w:bidi="ar-SA"/>
              </w:rPr>
              <w:t>《奉化区病死畜禽及病害畜禽产品移交单》</w:t>
            </w:r>
            <w:r>
              <w:rPr>
                <w:rFonts w:hint="eastAsia" w:ascii="宋体" w:hAnsi="宋体" w:eastAsia="宋体" w:cs="宋体"/>
                <w:color w:val="auto"/>
                <w:sz w:val="24"/>
                <w:szCs w:val="24"/>
                <w:highlight w:val="none"/>
                <w:lang w:val="en-US" w:eastAsia="zh-CN"/>
              </w:rPr>
              <w:t>，或</w:t>
            </w:r>
            <w:r>
              <w:rPr>
                <w:rFonts w:hint="eastAsia" w:ascii="宋体" w:hAnsi="宋体" w:eastAsia="宋体" w:cs="宋体"/>
                <w:b w:val="0"/>
                <w:bCs w:val="0"/>
                <w:color w:val="auto"/>
                <w:kern w:val="2"/>
                <w:sz w:val="24"/>
                <w:szCs w:val="24"/>
                <w:highlight w:val="none"/>
                <w:lang w:val="en-US" w:eastAsia="zh-CN" w:bidi="ar-SA"/>
              </w:rPr>
              <w:t>《奉化区病死畜禽及病害畜禽产品移交单》</w:t>
            </w:r>
            <w:r>
              <w:rPr>
                <w:rFonts w:hint="eastAsia" w:ascii="宋体" w:hAnsi="宋体" w:eastAsia="宋体" w:cs="宋体"/>
                <w:color w:val="auto"/>
                <w:sz w:val="24"/>
                <w:szCs w:val="24"/>
                <w:highlight w:val="none"/>
                <w:lang w:val="en-US" w:eastAsia="zh-CN"/>
              </w:rPr>
              <w:t>未经四方（</w:t>
            </w:r>
            <w:r>
              <w:rPr>
                <w:rFonts w:hint="eastAsia" w:ascii="宋体" w:hAnsi="宋体" w:eastAsia="宋体" w:cs="宋体"/>
                <w:b w:val="0"/>
                <w:bCs w:val="0"/>
                <w:color w:val="auto"/>
                <w:kern w:val="2"/>
                <w:sz w:val="24"/>
                <w:szCs w:val="24"/>
                <w:highlight w:val="none"/>
                <w:lang w:val="en-US" w:eastAsia="zh-CN" w:bidi="ar-SA"/>
              </w:rPr>
              <w:t>承保公司、运输装载人员、镇（街道）专职人员、收集点四方管理人员</w:t>
            </w:r>
            <w:r>
              <w:rPr>
                <w:rFonts w:hint="eastAsia" w:ascii="宋体" w:hAnsi="宋体" w:eastAsia="宋体" w:cs="宋体"/>
                <w:color w:val="auto"/>
                <w:sz w:val="24"/>
                <w:szCs w:val="24"/>
                <w:highlight w:val="none"/>
                <w:lang w:val="en-US" w:eastAsia="zh-CN"/>
              </w:rPr>
              <w:t>）签字确认，每发现一次扣10分。</w:t>
            </w:r>
            <w:r>
              <w:rPr>
                <w:rFonts w:hint="eastAsia" w:ascii="宋体" w:hAnsi="宋体" w:cs="宋体"/>
                <w:color w:val="auto"/>
                <w:sz w:val="24"/>
                <w:szCs w:val="24"/>
                <w:highlight w:val="none"/>
                <w:lang w:val="en-US" w:eastAsia="zh-CN"/>
              </w:rPr>
              <w:t>本项总共20分。</w:t>
            </w:r>
          </w:p>
        </w:tc>
        <w:tc>
          <w:tcPr>
            <w:tcW w:w="1312" w:type="dxa"/>
            <w:noWrap w:val="0"/>
            <w:vAlign w:val="center"/>
          </w:tcPr>
          <w:p w14:paraId="3D3791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p>
        </w:tc>
        <w:tc>
          <w:tcPr>
            <w:tcW w:w="1496" w:type="dxa"/>
            <w:noWrap w:val="0"/>
            <w:vAlign w:val="top"/>
          </w:tcPr>
          <w:p w14:paraId="64EC30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p>
        </w:tc>
      </w:tr>
      <w:tr w14:paraId="7BAD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01" w:type="dxa"/>
            <w:noWrap w:val="0"/>
            <w:vAlign w:val="center"/>
          </w:tcPr>
          <w:p w14:paraId="73BBDE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329" w:type="dxa"/>
            <w:noWrap w:val="0"/>
            <w:vAlign w:val="top"/>
          </w:tcPr>
          <w:p w14:paraId="0FD201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出现抛弃、赠送病死动物行为，每发现一次扣</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分；存在出售病死动物行为，直接扣30分，并移交司法机关处理，同时本项不得分</w:t>
            </w:r>
            <w:r>
              <w:rPr>
                <w:rFonts w:hint="eastAsia" w:ascii="宋体" w:hAnsi="宋体" w:cs="宋体"/>
                <w:color w:val="auto"/>
                <w:sz w:val="24"/>
                <w:szCs w:val="24"/>
                <w:highlight w:val="none"/>
                <w:lang w:val="en-US" w:eastAsia="zh-CN"/>
              </w:rPr>
              <w:t>。本项总共30分。</w:t>
            </w:r>
          </w:p>
        </w:tc>
        <w:tc>
          <w:tcPr>
            <w:tcW w:w="1312" w:type="dxa"/>
            <w:noWrap w:val="0"/>
            <w:vAlign w:val="center"/>
          </w:tcPr>
          <w:p w14:paraId="372B51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496" w:type="dxa"/>
            <w:noWrap w:val="0"/>
            <w:vAlign w:val="top"/>
          </w:tcPr>
          <w:p w14:paraId="2230603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vertAlign w:val="baseline"/>
                <w:lang w:val="en-US" w:eastAsia="zh-CN"/>
              </w:rPr>
            </w:pPr>
          </w:p>
        </w:tc>
      </w:tr>
      <w:tr w14:paraId="2304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01" w:type="dxa"/>
            <w:noWrap w:val="0"/>
            <w:vAlign w:val="center"/>
          </w:tcPr>
          <w:p w14:paraId="2C46F5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329" w:type="dxa"/>
            <w:noWrap w:val="0"/>
            <w:vAlign w:val="top"/>
          </w:tcPr>
          <w:p w14:paraId="0AD757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擅自将无害化处理收集运输车交给其他人收集病死动物，每发现一次扣30分</w:t>
            </w:r>
            <w:r>
              <w:rPr>
                <w:rFonts w:hint="eastAsia" w:ascii="宋体" w:hAnsi="宋体" w:cs="宋体"/>
                <w:color w:val="auto"/>
                <w:sz w:val="24"/>
                <w:szCs w:val="24"/>
                <w:highlight w:val="none"/>
                <w:lang w:val="en-US" w:eastAsia="zh-CN"/>
              </w:rPr>
              <w:t>。本项总共30分。</w:t>
            </w:r>
          </w:p>
        </w:tc>
        <w:tc>
          <w:tcPr>
            <w:tcW w:w="1312" w:type="dxa"/>
            <w:noWrap w:val="0"/>
            <w:vAlign w:val="center"/>
          </w:tcPr>
          <w:p w14:paraId="1B38AC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p>
        </w:tc>
        <w:tc>
          <w:tcPr>
            <w:tcW w:w="1496" w:type="dxa"/>
            <w:noWrap w:val="0"/>
            <w:vAlign w:val="top"/>
          </w:tcPr>
          <w:p w14:paraId="284C3C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vertAlign w:val="baseline"/>
                <w:lang w:val="en-US" w:eastAsia="zh-CN"/>
              </w:rPr>
            </w:pPr>
          </w:p>
        </w:tc>
      </w:tr>
      <w:tr w14:paraId="7224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130" w:type="dxa"/>
            <w:gridSpan w:val="2"/>
            <w:noWrap w:val="0"/>
            <w:vAlign w:val="center"/>
          </w:tcPr>
          <w:p w14:paraId="05708B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 终 得 分</w:t>
            </w:r>
          </w:p>
        </w:tc>
        <w:tc>
          <w:tcPr>
            <w:tcW w:w="2808" w:type="dxa"/>
            <w:gridSpan w:val="2"/>
            <w:noWrap w:val="0"/>
            <w:vAlign w:val="center"/>
          </w:tcPr>
          <w:p w14:paraId="38B2A9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p>
        </w:tc>
      </w:tr>
    </w:tbl>
    <w:p w14:paraId="061E89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2、</w:t>
      </w:r>
      <w:r>
        <w:rPr>
          <w:rFonts w:hint="default" w:ascii="宋体" w:hAnsi="宋体" w:eastAsia="宋体" w:cs="宋体"/>
          <w:b w:val="0"/>
          <w:bCs w:val="0"/>
          <w:snapToGrid w:val="0"/>
          <w:color w:val="auto"/>
          <w:kern w:val="2"/>
          <w:sz w:val="24"/>
          <w:szCs w:val="24"/>
          <w:highlight w:val="none"/>
          <w:lang w:val="en-US" w:eastAsia="zh-CN" w:bidi="ar-SA"/>
        </w:rPr>
        <w:t>考核机制​</w:t>
      </w:r>
    </w:p>
    <w:p w14:paraId="3746E04D">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jc w:val="left"/>
        <w:textAlignment w:val="auto"/>
        <w:rPr>
          <w:rFonts w:hint="default"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2.1</w:t>
      </w:r>
      <w:r>
        <w:rPr>
          <w:rFonts w:hint="default" w:ascii="宋体" w:hAnsi="宋体" w:eastAsia="宋体" w:cs="宋体"/>
          <w:b w:val="0"/>
          <w:bCs w:val="0"/>
          <w:snapToGrid w:val="0"/>
          <w:color w:val="auto"/>
          <w:kern w:val="2"/>
          <w:sz w:val="24"/>
          <w:szCs w:val="24"/>
          <w:highlight w:val="none"/>
          <w:lang w:val="en-US" w:eastAsia="zh-CN" w:bidi="ar-SA"/>
        </w:rPr>
        <w:t>实行月度考核制，采购人每月组织考核，每季度考核得分</w:t>
      </w:r>
      <w:r>
        <w:rPr>
          <w:rFonts w:hint="eastAsia" w:ascii="宋体" w:hAnsi="宋体" w:eastAsia="宋体" w:cs="宋体"/>
          <w:b w:val="0"/>
          <w:bCs w:val="0"/>
          <w:snapToGrid w:val="0"/>
          <w:color w:val="auto"/>
          <w:kern w:val="2"/>
          <w:sz w:val="24"/>
          <w:szCs w:val="24"/>
          <w:highlight w:val="none"/>
          <w:lang w:val="en-US" w:eastAsia="zh-CN" w:bidi="ar-SA"/>
        </w:rPr>
        <w:t>为</w:t>
      </w:r>
      <w:r>
        <w:rPr>
          <w:rFonts w:hint="default" w:ascii="宋体" w:hAnsi="宋体" w:eastAsia="宋体" w:cs="宋体"/>
          <w:b w:val="0"/>
          <w:bCs w:val="0"/>
          <w:snapToGrid w:val="0"/>
          <w:color w:val="auto"/>
          <w:kern w:val="2"/>
          <w:sz w:val="24"/>
          <w:szCs w:val="24"/>
          <w:highlight w:val="none"/>
          <w:lang w:val="en-US" w:eastAsia="zh-CN" w:bidi="ar-SA"/>
        </w:rPr>
        <w:t>该季度内三个月考核成绩的平均分。</w:t>
      </w:r>
    </w:p>
    <w:p w14:paraId="221214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2.2考核等级及费用核拨</w:t>
      </w:r>
    </w:p>
    <w:tbl>
      <w:tblPr>
        <w:tblStyle w:val="10"/>
        <w:tblW w:w="9241"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3145"/>
        <w:gridCol w:w="1400"/>
        <w:gridCol w:w="2910"/>
      </w:tblGrid>
      <w:tr w14:paraId="2D69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86" w:type="dxa"/>
            <w:noWrap w:val="0"/>
            <w:vAlign w:val="center"/>
          </w:tcPr>
          <w:p w14:paraId="326736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考核等级</w:t>
            </w:r>
          </w:p>
        </w:tc>
        <w:tc>
          <w:tcPr>
            <w:tcW w:w="3145" w:type="dxa"/>
            <w:noWrap w:val="0"/>
            <w:vAlign w:val="center"/>
          </w:tcPr>
          <w:p w14:paraId="7E3464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考核分数</w:t>
            </w:r>
          </w:p>
        </w:tc>
        <w:tc>
          <w:tcPr>
            <w:tcW w:w="1400" w:type="dxa"/>
            <w:noWrap w:val="0"/>
            <w:vAlign w:val="center"/>
          </w:tcPr>
          <w:p w14:paraId="5C68FE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拨付比例</w:t>
            </w:r>
          </w:p>
        </w:tc>
        <w:tc>
          <w:tcPr>
            <w:tcW w:w="2910" w:type="dxa"/>
            <w:noWrap w:val="0"/>
            <w:vAlign w:val="center"/>
          </w:tcPr>
          <w:p w14:paraId="1535C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说明</w:t>
            </w:r>
          </w:p>
        </w:tc>
      </w:tr>
      <w:tr w14:paraId="5856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6" w:type="dxa"/>
            <w:noWrap w:val="0"/>
            <w:vAlign w:val="center"/>
          </w:tcPr>
          <w:p w14:paraId="7BA14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lang w:val="en-US" w:eastAsia="zh-CN"/>
              </w:rPr>
              <w:t>优秀</w:t>
            </w:r>
          </w:p>
        </w:tc>
        <w:tc>
          <w:tcPr>
            <w:tcW w:w="3145" w:type="dxa"/>
            <w:noWrap w:val="0"/>
            <w:vAlign w:val="center"/>
          </w:tcPr>
          <w:p w14:paraId="22FE60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90</w:t>
            </w:r>
            <w:r>
              <w:rPr>
                <w:rFonts w:hint="default" w:ascii="宋体" w:hAnsi="宋体" w:eastAsia="宋体" w:cs="宋体"/>
                <w:color w:val="auto"/>
                <w:sz w:val="24"/>
                <w:szCs w:val="24"/>
                <w:highlight w:val="none"/>
                <w:lang w:val="en-US" w:eastAsia="zh-CN"/>
              </w:rPr>
              <w:t>分及以上</w:t>
            </w:r>
          </w:p>
        </w:tc>
        <w:tc>
          <w:tcPr>
            <w:tcW w:w="1400" w:type="dxa"/>
            <w:noWrap w:val="0"/>
            <w:vAlign w:val="center"/>
          </w:tcPr>
          <w:p w14:paraId="1FC61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w:t>
            </w:r>
            <w:r>
              <w:rPr>
                <w:rFonts w:hint="default" w:ascii="宋体" w:hAnsi="宋体" w:eastAsia="宋体" w:cs="宋体"/>
                <w:color w:val="auto"/>
                <w:sz w:val="24"/>
                <w:szCs w:val="24"/>
                <w:highlight w:val="none"/>
                <w:lang w:val="en-US" w:eastAsia="zh-CN"/>
              </w:rPr>
              <w:t>%</w:t>
            </w:r>
          </w:p>
        </w:tc>
        <w:tc>
          <w:tcPr>
            <w:tcW w:w="2910" w:type="dxa"/>
            <w:noWrap w:val="0"/>
            <w:vAlign w:val="center"/>
          </w:tcPr>
          <w:p w14:paraId="4690E0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全额拨付当季转运服务费</w:t>
            </w:r>
          </w:p>
        </w:tc>
      </w:tr>
      <w:tr w14:paraId="1744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86" w:type="dxa"/>
            <w:noWrap w:val="0"/>
            <w:vAlign w:val="center"/>
          </w:tcPr>
          <w:p w14:paraId="18BEA8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良好</w:t>
            </w:r>
          </w:p>
        </w:tc>
        <w:tc>
          <w:tcPr>
            <w:tcW w:w="3145" w:type="dxa"/>
            <w:noWrap w:val="0"/>
            <w:vAlign w:val="center"/>
          </w:tcPr>
          <w:p w14:paraId="72E783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75</w:t>
            </w:r>
            <w:r>
              <w:rPr>
                <w:rFonts w:hint="default" w:ascii="宋体" w:hAnsi="宋体" w:eastAsia="宋体" w:cs="宋体"/>
                <w:color w:val="auto"/>
                <w:sz w:val="24"/>
                <w:szCs w:val="24"/>
                <w:highlight w:val="none"/>
                <w:lang w:val="en-US" w:eastAsia="zh-CN"/>
              </w:rPr>
              <w:t>分（含）至</w:t>
            </w:r>
            <w:r>
              <w:rPr>
                <w:rFonts w:hint="eastAsia" w:ascii="宋体" w:hAnsi="宋体" w:cs="宋体"/>
                <w:color w:val="auto"/>
                <w:sz w:val="24"/>
                <w:szCs w:val="24"/>
                <w:highlight w:val="none"/>
                <w:lang w:val="en-US" w:eastAsia="zh-CN"/>
              </w:rPr>
              <w:t>90</w:t>
            </w:r>
            <w:r>
              <w:rPr>
                <w:rFonts w:hint="default" w:ascii="宋体" w:hAnsi="宋体" w:eastAsia="宋体" w:cs="宋体"/>
                <w:color w:val="auto"/>
                <w:sz w:val="24"/>
                <w:szCs w:val="24"/>
                <w:highlight w:val="none"/>
                <w:lang w:val="en-US" w:eastAsia="zh-CN"/>
              </w:rPr>
              <w:t>分（不含）</w:t>
            </w:r>
          </w:p>
        </w:tc>
        <w:tc>
          <w:tcPr>
            <w:tcW w:w="1400" w:type="dxa"/>
            <w:noWrap w:val="0"/>
            <w:vAlign w:val="center"/>
          </w:tcPr>
          <w:p w14:paraId="5C670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95%</w:t>
            </w:r>
          </w:p>
        </w:tc>
        <w:tc>
          <w:tcPr>
            <w:tcW w:w="2910" w:type="dxa"/>
            <w:noWrap w:val="0"/>
            <w:vAlign w:val="center"/>
          </w:tcPr>
          <w:p w14:paraId="3DD80A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扣除10%当季转运服务费，不予拨付</w:t>
            </w:r>
          </w:p>
        </w:tc>
      </w:tr>
      <w:tr w14:paraId="28DA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86" w:type="dxa"/>
            <w:noWrap w:val="0"/>
            <w:vAlign w:val="center"/>
          </w:tcPr>
          <w:p w14:paraId="1C18CF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default" w:ascii="宋体" w:hAnsi="宋体" w:eastAsia="宋体" w:cs="宋体"/>
                <w:color w:val="auto"/>
                <w:sz w:val="24"/>
                <w:szCs w:val="24"/>
                <w:highlight w:val="none"/>
                <w:lang w:val="en-US" w:eastAsia="zh-CN"/>
              </w:rPr>
              <w:t>合格</w:t>
            </w:r>
          </w:p>
        </w:tc>
        <w:tc>
          <w:tcPr>
            <w:tcW w:w="3145" w:type="dxa"/>
            <w:noWrap w:val="0"/>
            <w:vAlign w:val="center"/>
          </w:tcPr>
          <w:p w14:paraId="6139CD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default" w:ascii="宋体" w:hAnsi="宋体" w:eastAsia="宋体" w:cs="宋体"/>
                <w:color w:val="auto"/>
                <w:sz w:val="24"/>
                <w:szCs w:val="24"/>
                <w:highlight w:val="none"/>
                <w:lang w:val="en-US" w:eastAsia="zh-CN"/>
              </w:rPr>
              <w:t>60 分（含）至</w:t>
            </w:r>
            <w:r>
              <w:rPr>
                <w:rFonts w:hint="eastAsia" w:ascii="宋体" w:hAnsi="宋体" w:cs="宋体"/>
                <w:color w:val="auto"/>
                <w:sz w:val="24"/>
                <w:szCs w:val="24"/>
                <w:highlight w:val="none"/>
                <w:lang w:val="en-US" w:eastAsia="zh-CN"/>
              </w:rPr>
              <w:t>75</w:t>
            </w:r>
            <w:r>
              <w:rPr>
                <w:rFonts w:hint="default" w:ascii="宋体" w:hAnsi="宋体" w:eastAsia="宋体" w:cs="宋体"/>
                <w:color w:val="auto"/>
                <w:sz w:val="24"/>
                <w:szCs w:val="24"/>
                <w:highlight w:val="none"/>
                <w:lang w:val="en-US" w:eastAsia="zh-CN"/>
              </w:rPr>
              <w:t>分（不含）</w:t>
            </w:r>
          </w:p>
        </w:tc>
        <w:tc>
          <w:tcPr>
            <w:tcW w:w="1400" w:type="dxa"/>
            <w:noWrap w:val="0"/>
            <w:vAlign w:val="center"/>
          </w:tcPr>
          <w:p w14:paraId="25B31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90%</w:t>
            </w:r>
          </w:p>
        </w:tc>
        <w:tc>
          <w:tcPr>
            <w:tcW w:w="2910" w:type="dxa"/>
            <w:noWrap w:val="0"/>
            <w:vAlign w:val="center"/>
          </w:tcPr>
          <w:p w14:paraId="4D0D6C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扣除10%当季转运服务费，不予拨付</w:t>
            </w:r>
          </w:p>
        </w:tc>
      </w:tr>
      <w:tr w14:paraId="6B58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86" w:type="dxa"/>
            <w:noWrap w:val="0"/>
            <w:vAlign w:val="center"/>
          </w:tcPr>
          <w:p w14:paraId="014A4A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不</w:t>
            </w:r>
            <w:r>
              <w:rPr>
                <w:rFonts w:hint="default" w:ascii="宋体" w:hAnsi="宋体" w:eastAsia="宋体" w:cs="宋体"/>
                <w:color w:val="auto"/>
                <w:sz w:val="24"/>
                <w:szCs w:val="24"/>
                <w:highlight w:val="none"/>
                <w:lang w:val="en-US" w:eastAsia="zh-CN"/>
              </w:rPr>
              <w:t>合格</w:t>
            </w:r>
          </w:p>
        </w:tc>
        <w:tc>
          <w:tcPr>
            <w:tcW w:w="3145" w:type="dxa"/>
            <w:noWrap w:val="0"/>
            <w:vAlign w:val="center"/>
          </w:tcPr>
          <w:p w14:paraId="3ED9FA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lang w:val="en-US" w:eastAsia="zh-CN"/>
              </w:rPr>
              <w:t>60 分以下</w:t>
            </w:r>
          </w:p>
        </w:tc>
        <w:tc>
          <w:tcPr>
            <w:tcW w:w="1400" w:type="dxa"/>
            <w:noWrap w:val="0"/>
            <w:vAlign w:val="center"/>
          </w:tcPr>
          <w:p w14:paraId="1453BF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80%</w:t>
            </w:r>
          </w:p>
        </w:tc>
        <w:tc>
          <w:tcPr>
            <w:tcW w:w="2910" w:type="dxa"/>
            <w:noWrap w:val="0"/>
            <w:vAlign w:val="center"/>
          </w:tcPr>
          <w:p w14:paraId="60B8CC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扣除20%当季转运服务费，不予拨付</w:t>
            </w:r>
          </w:p>
        </w:tc>
      </w:tr>
      <w:tr w14:paraId="07D5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1" w:type="dxa"/>
            <w:gridSpan w:val="4"/>
            <w:noWrap w:val="0"/>
            <w:vAlign w:val="top"/>
          </w:tcPr>
          <w:p w14:paraId="59886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备注：若连续出现两次不合格的情况，采购人有权单方面解除合同</w:t>
            </w:r>
          </w:p>
        </w:tc>
      </w:tr>
    </w:tbl>
    <w:p w14:paraId="1279E16B">
      <w:pPr>
        <w:pStyle w:val="8"/>
        <w:keepNext w:val="0"/>
        <w:keepLines w:val="0"/>
        <w:pageBreakBefore w:val="0"/>
        <w:numPr>
          <w:ilvl w:val="0"/>
          <w:numId w:val="0"/>
        </w:numPr>
        <w:kinsoku/>
        <w:wordWrap/>
        <w:overflowPunct/>
        <w:topLinePunct w:val="0"/>
        <w:autoSpaceDE/>
        <w:autoSpaceDN/>
        <w:bidi w:val="0"/>
        <w:spacing w:line="360" w:lineRule="auto"/>
        <w:ind w:firstLine="482" w:firstLineChars="200"/>
        <w:rPr>
          <w:rFonts w:hint="eastAsia" w:ascii="宋体" w:hAnsi="宋体" w:cs="宋体"/>
          <w:b/>
          <w:sz w:val="24"/>
          <w:szCs w:val="24"/>
          <w:highlight w:val="none"/>
          <w:lang w:val="en-US" w:eastAsia="zh-CN"/>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14:paraId="5FD74613">
      <w:pPr>
        <w:pStyle w:val="8"/>
        <w:keepNext w:val="0"/>
        <w:keepLines w:val="0"/>
        <w:pageBreakBefore w:val="0"/>
        <w:numPr>
          <w:ilvl w:val="0"/>
          <w:numId w:val="0"/>
        </w:numPr>
        <w:kinsoku/>
        <w:wordWrap/>
        <w:overflowPunct/>
        <w:topLinePunct w:val="0"/>
        <w:autoSpaceDE/>
        <w:autoSpaceDN/>
        <w:bidi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lang w:val="en-US" w:eastAsia="zh-CN"/>
        </w:rPr>
        <w:t>五</w:t>
      </w:r>
      <w:r>
        <w:rPr>
          <w:rFonts w:hint="eastAsia" w:ascii="宋体" w:hAnsi="宋体" w:cs="宋体"/>
          <w:b/>
          <w:sz w:val="24"/>
          <w:szCs w:val="24"/>
          <w:highlight w:val="none"/>
        </w:rPr>
        <w:t>、商务要求</w:t>
      </w:r>
    </w:p>
    <w:tbl>
      <w:tblPr>
        <w:tblStyle w:val="9"/>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8017"/>
      </w:tblGrid>
      <w:tr w14:paraId="134F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637" w:type="dxa"/>
            <w:noWrap w:val="0"/>
            <w:vAlign w:val="center"/>
          </w:tcPr>
          <w:p w14:paraId="37EF87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服务期限</w:t>
            </w:r>
          </w:p>
        </w:tc>
        <w:tc>
          <w:tcPr>
            <w:tcW w:w="8017" w:type="dxa"/>
            <w:noWrap w:val="0"/>
            <w:vAlign w:val="center"/>
          </w:tcPr>
          <w:p w14:paraId="52151227">
            <w:pPr>
              <w:autoSpaceDE w:val="0"/>
              <w:autoSpaceDN w:val="0"/>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三年，合同一年一签</w:t>
            </w:r>
            <w:r>
              <w:rPr>
                <w:rFonts w:hint="eastAsia" w:ascii="宋体" w:hAnsi="宋体" w:eastAsia="宋体" w:cs="宋体"/>
                <w:color w:val="auto"/>
                <w:kern w:val="0"/>
                <w:sz w:val="24"/>
                <w:szCs w:val="24"/>
                <w:highlight w:val="none"/>
                <w:lang w:eastAsia="zh-CN"/>
              </w:rPr>
              <w:t>。</w:t>
            </w:r>
          </w:p>
        </w:tc>
      </w:tr>
      <w:tr w14:paraId="7787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7" w:type="dxa"/>
            <w:noWrap w:val="0"/>
            <w:vAlign w:val="center"/>
          </w:tcPr>
          <w:p w14:paraId="5387660A">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8017" w:type="dxa"/>
            <w:noWrap w:val="0"/>
            <w:vAlign w:val="center"/>
          </w:tcPr>
          <w:p w14:paraId="3943F8BD">
            <w:pPr>
              <w:pStyle w:val="8"/>
              <w:keepNext w:val="0"/>
              <w:keepLines w:val="0"/>
              <w:pageBreakBefore w:val="0"/>
              <w:numPr>
                <w:ilvl w:val="0"/>
                <w:numId w:val="0"/>
              </w:numPr>
              <w:kinsoku/>
              <w:wordWrap/>
              <w:overflowPunct/>
              <w:topLinePunct w:val="0"/>
              <w:autoSpaceDE/>
              <w:autoSpaceDN/>
              <w:bidi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奉化区农机畜牧发展中心</w:t>
            </w:r>
            <w:r>
              <w:rPr>
                <w:rFonts w:hint="eastAsia" w:ascii="宋体" w:hAnsi="宋体" w:eastAsia="宋体" w:cs="宋体"/>
                <w:color w:val="auto"/>
                <w:kern w:val="2"/>
                <w:sz w:val="24"/>
                <w:szCs w:val="24"/>
                <w:highlight w:val="none"/>
                <w:lang w:val="en-US" w:eastAsia="zh-CN" w:bidi="ar-SA"/>
              </w:rPr>
              <w:t>根据病死动物专用回收车调度表、病死动物及产品移交清单、北仑固废处置有限公司称重计量单一季度一次汇总审核，按实计算，报区农业农村局同意，在一定范围内进行5个工作日的公示，公示无异议后，拨付资金。</w:t>
            </w:r>
          </w:p>
          <w:p w14:paraId="515A9F63">
            <w:pPr>
              <w:pStyle w:val="8"/>
              <w:keepNext w:val="0"/>
              <w:keepLines w:val="0"/>
              <w:pageBreakBefore w:val="0"/>
              <w:numPr>
                <w:ilvl w:val="0"/>
                <w:numId w:val="0"/>
              </w:numPr>
              <w:kinsoku/>
              <w:wordWrap/>
              <w:overflowPunct/>
              <w:topLinePunct w:val="0"/>
              <w:autoSpaceDE/>
              <w:autoSpaceDN/>
              <w:bidi w:val="0"/>
              <w:spacing w:line="360"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病死动物专用回收车调度表</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病死动物及产品移交清单</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北仑固废处置有限公司称重计量单</w:t>
            </w:r>
            <w:r>
              <w:rPr>
                <w:rFonts w:hint="eastAsia" w:ascii="宋体" w:hAnsi="宋体" w:eastAsia="宋体" w:cs="宋体"/>
                <w:color w:val="auto"/>
                <w:kern w:val="2"/>
                <w:sz w:val="24"/>
                <w:szCs w:val="24"/>
                <w:highlight w:val="none"/>
                <w:u w:val="none"/>
                <w:lang w:val="en-US" w:eastAsia="zh-CN" w:bidi="ar-SA"/>
              </w:rPr>
              <w:t>与合同履行实际有差异的以实际书面资料为准。</w:t>
            </w:r>
          </w:p>
        </w:tc>
      </w:tr>
      <w:tr w14:paraId="3C08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7" w:type="dxa"/>
            <w:noWrap w:val="0"/>
            <w:vAlign w:val="center"/>
          </w:tcPr>
          <w:p w14:paraId="7FE18D26">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8017" w:type="dxa"/>
            <w:noWrap w:val="0"/>
            <w:vAlign w:val="center"/>
          </w:tcPr>
          <w:p w14:paraId="0FF08BF8">
            <w:pPr>
              <w:autoSpaceDE w:val="0"/>
              <w:autoSpaceDN w:val="0"/>
              <w:adjustRightInd w:val="0"/>
              <w:snapToGrid w:val="0"/>
              <w:spacing w:line="360" w:lineRule="auto"/>
              <w:rPr>
                <w:rFonts w:hint="eastAsia" w:ascii="宋体" w:hAnsi="宋体" w:eastAsia="宋体" w:cs="宋体"/>
                <w:b w:val="0"/>
                <w:bCs w:val="0"/>
                <w:color w:val="auto"/>
                <w:sz w:val="24"/>
                <w:szCs w:val="24"/>
                <w:highlight w:val="none"/>
                <w:u w:val="none"/>
                <w:lang w:val="en-US"/>
              </w:rPr>
            </w:pP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rPr>
              <w:t>投标报价须涵盖完成合同约定服务所需的全部费用及风险责任，具体包括人员工资、奖金、加班费、节假日补贴、社会保险、劳保福利、安全保险、食宿费用，专用车辆的油费、保险费、年检费、营运费、维护保养费、折旧费，以及管理费用、税费、利润、采购代理服务费等。上述费用包含完成合同所需的所有工作开支、政策性文件规定的各项费用，以及合同约定的全部风险和责任对应的成本，供应商不得以任何理由要求追加费用。​</w:t>
            </w:r>
          </w:p>
          <w:p w14:paraId="18CC0FFC">
            <w:pPr>
              <w:autoSpaceDE w:val="0"/>
              <w:autoSpaceDN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rPr>
              <w:t>若遇不可抗力、突发性事件（如台风、大雨等极端天气），成交供应商须服从采购人的指挥调度。如因特殊情况需增加人员或设备投入，相关费用已包含在投标报价中，采购人不再另行支付。</w:t>
            </w:r>
          </w:p>
        </w:tc>
      </w:tr>
      <w:tr w14:paraId="3D65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7" w:type="dxa"/>
            <w:noWrap w:val="0"/>
            <w:vAlign w:val="center"/>
          </w:tcPr>
          <w:p w14:paraId="5E35549B">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合同终止</w:t>
            </w:r>
          </w:p>
        </w:tc>
        <w:tc>
          <w:tcPr>
            <w:tcW w:w="8017" w:type="dxa"/>
            <w:noWrap w:val="0"/>
            <w:vAlign w:val="center"/>
          </w:tcPr>
          <w:p w14:paraId="4E94DD79">
            <w:pPr>
              <w:adjustRightInd w:val="0"/>
              <w:snapToGrid w:val="0"/>
              <w:spacing w:line="360" w:lineRule="auto"/>
              <w:rPr>
                <w:rFonts w:ascii="宋体" w:hAnsi="宋体" w:cs="宋体"/>
                <w:bCs/>
                <w:color w:val="auto"/>
                <w:sz w:val="24"/>
                <w:szCs w:val="24"/>
                <w:highlight w:val="none"/>
              </w:rPr>
            </w:pPr>
            <w:r>
              <w:rPr>
                <w:rFonts w:hint="eastAsia" w:ascii="宋体" w:hAnsi="宋体" w:cs="宋体"/>
                <w:color w:val="auto"/>
                <w:kern w:val="0"/>
                <w:sz w:val="24"/>
                <w:szCs w:val="24"/>
                <w:highlight w:val="none"/>
              </w:rPr>
              <w:t>中标人在合同有效期内，不得以任何理由终止合同，确有特殊情况的，须提前2个月向采购人提出书面申请，经采购人同意后，方可终止合同，</w:t>
            </w:r>
            <w:r>
              <w:rPr>
                <w:rFonts w:hint="eastAsia" w:ascii="宋体" w:hAnsi="宋体" w:cs="宋体"/>
                <w:color w:val="auto"/>
                <w:kern w:val="0"/>
                <w:sz w:val="24"/>
                <w:szCs w:val="24"/>
                <w:highlight w:val="none"/>
                <w:lang w:val="en-US" w:eastAsia="zh-CN"/>
              </w:rPr>
              <w:t>由此带来的损失则由中标人承担</w:t>
            </w:r>
            <w:r>
              <w:rPr>
                <w:rFonts w:hint="eastAsia" w:ascii="宋体" w:hAnsi="宋体" w:cs="宋体"/>
                <w:color w:val="auto"/>
                <w:kern w:val="0"/>
                <w:sz w:val="24"/>
                <w:szCs w:val="24"/>
                <w:highlight w:val="none"/>
              </w:rPr>
              <w:t>。因中标人不能保证工作质量，或发生重大差错事故的，采购人有权终止合同，中标人承担全部责任。</w:t>
            </w:r>
          </w:p>
        </w:tc>
      </w:tr>
    </w:tbl>
    <w:p w14:paraId="2DAFD115">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83E89">
    <w:pPr>
      <w:pStyle w:val="5"/>
      <w:jc w:val="center"/>
      <w:rPr>
        <w:rFonts w:hint="eastAsia"/>
      </w:rPr>
    </w:pPr>
    <w:r>
      <w:fldChar w:fldCharType="begin"/>
    </w:r>
    <w:r>
      <w:instrText xml:space="preserve">PAGE   \* MERGEFORMAT</w:instrText>
    </w:r>
    <w:r>
      <w:fldChar w:fldCharType="separate"/>
    </w:r>
    <w:r>
      <w:rPr>
        <w:lang w:val="zh-CN"/>
      </w:rPr>
      <w:t>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7536">
    <w:pPr>
      <w:pStyle w:val="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0DE1"/>
    <w:multiLevelType w:val="singleLevel"/>
    <w:tmpl w:val="9F9F0DE1"/>
    <w:lvl w:ilvl="0" w:tentative="0">
      <w:start w:val="2"/>
      <w:numFmt w:val="chineseCounting"/>
      <w:suff w:val="nothing"/>
      <w:lvlText w:val="%1、"/>
      <w:lvlJc w:val="left"/>
      <w:rPr>
        <w:rFonts w:hint="eastAsia"/>
      </w:rPr>
    </w:lvl>
  </w:abstractNum>
  <w:abstractNum w:abstractNumId="1">
    <w:nsid w:val="5139B28A"/>
    <w:multiLevelType w:val="singleLevel"/>
    <w:tmpl w:val="5139B28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E650F"/>
    <w:rsid w:val="02DE6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3">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4">
    <w:name w:val="Body Text Indent"/>
    <w:basedOn w:val="1"/>
    <w:qFormat/>
    <w:uiPriority w:val="0"/>
    <w:pPr>
      <w:spacing w:line="480" w:lineRule="exact"/>
      <w:ind w:firstLine="480" w:firstLineChars="200"/>
    </w:pPr>
    <w:rPr>
      <w:rFonts w:ascii="宋体" w:hAnsi="宋体"/>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99"/>
    <w:pPr>
      <w:spacing w:line="360" w:lineRule="auto"/>
      <w:ind w:firstLine="200" w:firstLineChars="200"/>
      <w:jc w:val="left"/>
    </w:pPr>
    <w:rPr>
      <w:rFonts w:ascii="Times New Roman" w:hAnsi="Times New Roman"/>
      <w:b/>
      <w:bCs/>
      <w:sz w:val="24"/>
      <w:lang w:val="en-GB"/>
    </w:rPr>
  </w:style>
  <w:style w:type="paragraph" w:styleId="8">
    <w:name w:val="Body Text First Indent 2"/>
    <w:basedOn w:val="4"/>
    <w:qFormat/>
    <w:uiPriority w:val="0"/>
    <w:pPr>
      <w:widowControl w:val="0"/>
      <w:ind w:firstLine="420" w:firstLineChars="200"/>
      <w:jc w:val="both"/>
    </w:pPr>
    <w:rPr>
      <w:kern w:val="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Plain Text"/>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2025-07-03T09:15:00Z</dcterms:created>
  <dc:creator>admin</dc:creator>
  <cp:lastModifiedBy>admin</cp:lastModifiedBy>
  <dcterms:modified xsi:type="dcterms:W3CDTF">2025-07-03T09:15:53Z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D9D618C82BC74434BA19E6871105F3F6_11</vt:lpwstr>
  </property>
  <property fmtid="{D5CDD505-2E9C-101B-9397-08002B2CF9AE}" pid="4" name="KSOTemplateDocerSaveRecord">
    <vt:lpwstr>eyJoZGlkIjoiYzlhNDNlYjZkMzFlNzg2YmVhNmIyNDQxYjY4N2FmODQiLCJ1c2VySWQiOiI0MjY1OTU1MDAifQ==</vt:lpwstr>
  </property>
</Properties>
</file>