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89250D">
      <w:pPr>
        <w:rPr>
          <w:rFonts w:hint="eastAsia" w:ascii="宋体" w:hAnsi="宋体" w:eastAsia="宋体" w:cs="宋体"/>
          <w:b/>
          <w:bCs/>
          <w:color w:val="auto"/>
          <w:spacing w:val="120"/>
          <w:sz w:val="52"/>
          <w:szCs w:val="52"/>
          <w:highlight w:val="none"/>
        </w:rPr>
      </w:pPr>
    </w:p>
    <w:p w14:paraId="53CDDF6F">
      <w:pPr>
        <w:jc w:val="distribute"/>
        <w:rPr>
          <w:rFonts w:hint="eastAsia" w:ascii="宋体" w:hAnsi="宋体" w:eastAsia="宋体" w:cs="宋体"/>
          <w:b/>
          <w:bCs/>
          <w:color w:val="auto"/>
          <w:sz w:val="96"/>
          <w:szCs w:val="96"/>
          <w:highlight w:val="none"/>
        </w:rPr>
      </w:pPr>
      <w:r>
        <w:rPr>
          <w:rFonts w:hint="eastAsia" w:ascii="宋体" w:hAnsi="宋体" w:eastAsia="宋体" w:cs="宋体"/>
          <w:b/>
          <w:bCs/>
          <w:color w:val="auto"/>
          <w:sz w:val="72"/>
          <w:szCs w:val="72"/>
          <w:highlight w:val="none"/>
        </w:rPr>
        <w:t>温州市龙湾区消防救援大队</w:t>
      </w:r>
    </w:p>
    <w:p w14:paraId="3FDD93BF">
      <w:pPr>
        <w:jc w:val="center"/>
        <w:rPr>
          <w:rFonts w:hint="eastAsia" w:ascii="宋体" w:hAnsi="宋体" w:eastAsia="宋体" w:cs="宋体"/>
          <w:b/>
          <w:bCs/>
          <w:color w:val="auto"/>
          <w:spacing w:val="26"/>
          <w:sz w:val="52"/>
          <w:highlight w:val="none"/>
        </w:rPr>
      </w:pPr>
    </w:p>
    <w:p w14:paraId="757DB790">
      <w:pPr>
        <w:pStyle w:val="22"/>
        <w:rPr>
          <w:rFonts w:hint="eastAsia" w:ascii="宋体" w:hAnsi="宋体" w:eastAsia="宋体" w:cs="宋体"/>
          <w:color w:val="auto"/>
          <w:highlight w:val="none"/>
        </w:rPr>
      </w:pPr>
    </w:p>
    <w:p w14:paraId="7CC437E8">
      <w:pPr>
        <w:ind w:firstLine="2357" w:firstLineChars="235"/>
        <w:rPr>
          <w:rFonts w:hint="eastAsia" w:ascii="宋体" w:hAnsi="宋体" w:eastAsia="宋体" w:cs="宋体"/>
          <w:b/>
          <w:bCs/>
          <w:color w:val="auto"/>
          <w:spacing w:val="140"/>
          <w:sz w:val="72"/>
          <w:highlight w:val="none"/>
        </w:rPr>
      </w:pPr>
    </w:p>
    <w:p w14:paraId="6A2499A4">
      <w:pPr>
        <w:adjustRightInd w:val="0"/>
        <w:snapToGrid w:val="0"/>
        <w:spacing w:line="480" w:lineRule="auto"/>
        <w:ind w:right="361"/>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05CA6679">
      <w:pPr>
        <w:spacing w:line="800" w:lineRule="exact"/>
        <w:ind w:firstLine="640" w:firstLineChars="168"/>
        <w:rPr>
          <w:rFonts w:hint="eastAsia" w:ascii="宋体" w:hAnsi="宋体" w:eastAsia="宋体" w:cs="宋体"/>
          <w:b/>
          <w:bCs/>
          <w:color w:val="auto"/>
          <w:spacing w:val="40"/>
          <w:sz w:val="30"/>
          <w:szCs w:val="30"/>
          <w:highlight w:val="none"/>
          <w:lang w:eastAsia="zh-CN"/>
        </w:rPr>
      </w:pPr>
      <w:r>
        <w:rPr>
          <w:rFonts w:hint="eastAsia" w:ascii="宋体" w:hAnsi="宋体" w:eastAsia="宋体" w:cs="宋体"/>
          <w:b/>
          <w:bCs/>
          <w:color w:val="auto"/>
          <w:spacing w:val="40"/>
          <w:sz w:val="30"/>
          <w:szCs w:val="30"/>
          <w:highlight w:val="none"/>
        </w:rPr>
        <w:t>项目编号</w:t>
      </w:r>
      <w:r>
        <w:rPr>
          <w:rFonts w:hint="eastAsia" w:ascii="宋体" w:hAnsi="宋体" w:eastAsia="宋体" w:cs="宋体"/>
          <w:b/>
          <w:bCs/>
          <w:color w:val="auto"/>
          <w:spacing w:val="40"/>
          <w:sz w:val="28"/>
          <w:highlight w:val="none"/>
        </w:rPr>
        <w:t>：</w:t>
      </w:r>
      <w:r>
        <w:rPr>
          <w:rFonts w:hint="eastAsia" w:ascii="宋体" w:hAnsi="宋体" w:cs="宋体"/>
          <w:b/>
          <w:bCs/>
          <w:color w:val="auto"/>
          <w:spacing w:val="40"/>
          <w:sz w:val="30"/>
          <w:szCs w:val="30"/>
          <w:highlight w:val="none"/>
          <w:lang w:eastAsia="zh-CN"/>
        </w:rPr>
        <w:t>XYZB-WZS-2025-01</w:t>
      </w:r>
    </w:p>
    <w:p w14:paraId="34364B65">
      <w:pPr>
        <w:spacing w:line="800" w:lineRule="exact"/>
        <w:ind w:firstLine="640" w:firstLineChars="168"/>
        <w:rPr>
          <w:rFonts w:hint="eastAsia" w:ascii="宋体" w:hAnsi="宋体" w:cs="宋体"/>
          <w:b/>
          <w:bCs/>
          <w:color w:val="auto"/>
          <w:spacing w:val="40"/>
          <w:sz w:val="30"/>
          <w:szCs w:val="30"/>
          <w:highlight w:val="none"/>
          <w:lang w:eastAsia="zh-CN"/>
        </w:rPr>
      </w:pPr>
      <w:r>
        <w:rPr>
          <w:rFonts w:hint="eastAsia" w:ascii="宋体" w:hAnsi="宋体" w:eastAsia="宋体" w:cs="宋体"/>
          <w:b/>
          <w:bCs/>
          <w:color w:val="auto"/>
          <w:spacing w:val="40"/>
          <w:sz w:val="30"/>
          <w:szCs w:val="30"/>
          <w:highlight w:val="none"/>
        </w:rPr>
        <w:t>项目名称：</w:t>
      </w:r>
      <w:r>
        <w:rPr>
          <w:rFonts w:hint="eastAsia" w:ascii="宋体" w:hAnsi="宋体" w:cs="宋体"/>
          <w:b/>
          <w:bCs/>
          <w:color w:val="auto"/>
          <w:spacing w:val="40"/>
          <w:sz w:val="30"/>
          <w:szCs w:val="30"/>
          <w:highlight w:val="none"/>
          <w:lang w:eastAsia="zh-CN"/>
        </w:rPr>
        <w:t>温州市龙湾区消防救援大队食堂原材料采购及</w:t>
      </w:r>
    </w:p>
    <w:p w14:paraId="66956DC3">
      <w:pPr>
        <w:spacing w:line="800" w:lineRule="exact"/>
        <w:ind w:firstLine="5592" w:firstLineChars="1467"/>
        <w:rPr>
          <w:rFonts w:hint="eastAsia" w:ascii="宋体" w:hAnsi="宋体" w:eastAsia="宋体" w:cs="宋体"/>
          <w:b/>
          <w:bCs/>
          <w:color w:val="auto"/>
          <w:spacing w:val="40"/>
          <w:sz w:val="30"/>
          <w:szCs w:val="30"/>
          <w:highlight w:val="none"/>
          <w:lang w:eastAsia="zh-CN"/>
        </w:rPr>
      </w:pPr>
      <w:r>
        <w:rPr>
          <w:rFonts w:hint="eastAsia" w:ascii="宋体" w:hAnsi="宋体" w:cs="宋体"/>
          <w:b/>
          <w:bCs/>
          <w:color w:val="auto"/>
          <w:spacing w:val="40"/>
          <w:sz w:val="30"/>
          <w:szCs w:val="30"/>
          <w:highlight w:val="none"/>
          <w:lang w:eastAsia="zh-CN"/>
        </w:rPr>
        <w:t>配送</w:t>
      </w:r>
    </w:p>
    <w:p w14:paraId="68E229C9">
      <w:pPr>
        <w:spacing w:line="800" w:lineRule="exact"/>
        <w:ind w:firstLine="640" w:firstLineChars="168"/>
        <w:rPr>
          <w:rFonts w:hint="eastAsia" w:ascii="宋体" w:hAnsi="宋体" w:eastAsia="宋体" w:cs="宋体"/>
          <w:b/>
          <w:bCs/>
          <w:color w:val="auto"/>
          <w:spacing w:val="40"/>
          <w:sz w:val="30"/>
          <w:szCs w:val="30"/>
          <w:highlight w:val="none"/>
        </w:rPr>
      </w:pPr>
      <w:r>
        <w:rPr>
          <w:rFonts w:hint="eastAsia" w:ascii="宋体" w:hAnsi="宋体" w:eastAsia="宋体" w:cs="宋体"/>
          <w:b/>
          <w:bCs/>
          <w:color w:val="auto"/>
          <w:spacing w:val="40"/>
          <w:sz w:val="30"/>
          <w:szCs w:val="30"/>
          <w:highlight w:val="none"/>
        </w:rPr>
        <w:t>采购方式：公开招标</w:t>
      </w:r>
    </w:p>
    <w:p w14:paraId="51B314C9">
      <w:pPr>
        <w:spacing w:line="700" w:lineRule="exact"/>
        <w:ind w:firstLine="723" w:firstLineChars="300"/>
        <w:jc w:val="left"/>
        <w:rPr>
          <w:rFonts w:hint="eastAsia" w:ascii="宋体" w:hAnsi="宋体" w:eastAsia="宋体" w:cs="宋体"/>
          <w:b/>
          <w:bCs/>
          <w:color w:val="auto"/>
          <w:sz w:val="24"/>
          <w:highlight w:val="none"/>
        </w:rPr>
      </w:pPr>
    </w:p>
    <w:p w14:paraId="46B048FC">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rPr>
        <w:t xml:space="preserve">     </w:t>
      </w:r>
      <w:r>
        <w:rPr>
          <w:rFonts w:hint="eastAsia" w:ascii="宋体" w:hAnsi="宋体" w:eastAsia="宋体" w:cs="宋体"/>
          <w:b/>
          <w:color w:val="auto"/>
          <w:spacing w:val="40"/>
          <w:sz w:val="30"/>
          <w:szCs w:val="30"/>
          <w:highlight w:val="none"/>
        </w:rPr>
        <w:t xml:space="preserve">    </w:t>
      </w:r>
    </w:p>
    <w:p w14:paraId="180102E1">
      <w:pPr>
        <w:pStyle w:val="22"/>
        <w:rPr>
          <w:rFonts w:hint="eastAsia" w:ascii="宋体" w:hAnsi="宋体" w:eastAsia="宋体" w:cs="宋体"/>
          <w:color w:val="auto"/>
          <w:highlight w:val="none"/>
        </w:rPr>
      </w:pPr>
    </w:p>
    <w:p w14:paraId="412A1193">
      <w:pPr>
        <w:spacing w:line="600" w:lineRule="exact"/>
        <w:jc w:val="center"/>
        <w:rPr>
          <w:rFonts w:hint="eastAsia" w:ascii="宋体" w:hAnsi="宋体" w:eastAsia="宋体" w:cs="宋体"/>
          <w:color w:val="auto"/>
          <w:spacing w:val="30"/>
          <w:sz w:val="30"/>
          <w:highlight w:val="none"/>
        </w:rPr>
      </w:pPr>
      <w:r>
        <w:rPr>
          <w:rFonts w:hint="eastAsia" w:ascii="宋体" w:hAnsi="宋体" w:cs="宋体"/>
          <w:color w:val="auto"/>
          <w:spacing w:val="30"/>
          <w:sz w:val="30"/>
          <w:highlight w:val="none"/>
          <w:lang w:eastAsia="zh-CN"/>
        </w:rPr>
        <w:t>采 购 人</w:t>
      </w:r>
      <w:r>
        <w:rPr>
          <w:rFonts w:hint="eastAsia" w:ascii="宋体" w:hAnsi="宋体" w:eastAsia="宋体" w:cs="宋体"/>
          <w:color w:val="auto"/>
          <w:spacing w:val="30"/>
          <w:sz w:val="30"/>
          <w:highlight w:val="none"/>
        </w:rPr>
        <w:t>:温州市龙湾区消防救援大队</w:t>
      </w:r>
    </w:p>
    <w:p w14:paraId="785A7EDB">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cs="宋体"/>
          <w:color w:val="auto"/>
          <w:spacing w:val="30"/>
          <w:sz w:val="30"/>
          <w:highlight w:val="none"/>
          <w:lang w:eastAsia="zh-CN"/>
        </w:rPr>
        <w:t>采购代理机构</w:t>
      </w:r>
      <w:r>
        <w:rPr>
          <w:rFonts w:hint="eastAsia" w:ascii="宋体" w:hAnsi="宋体" w:eastAsia="宋体" w:cs="宋体"/>
          <w:color w:val="auto"/>
          <w:spacing w:val="30"/>
          <w:sz w:val="30"/>
          <w:highlight w:val="none"/>
        </w:rPr>
        <w:t>：</w:t>
      </w:r>
      <w:r>
        <w:rPr>
          <w:rFonts w:hint="eastAsia" w:ascii="宋体" w:hAnsi="宋体" w:cs="宋体"/>
          <w:color w:val="auto"/>
          <w:spacing w:val="30"/>
          <w:sz w:val="30"/>
          <w:highlight w:val="none"/>
          <w:lang w:eastAsia="zh-CN"/>
        </w:rPr>
        <w:t>温州星阳工程项目管理有限公司</w:t>
      </w:r>
    </w:p>
    <w:p w14:paraId="6F7001F4">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二〇二</w:t>
      </w:r>
      <w:r>
        <w:rPr>
          <w:rFonts w:hint="eastAsia" w:ascii="宋体" w:hAnsi="宋体" w:cs="宋体"/>
          <w:color w:val="auto"/>
          <w:spacing w:val="30"/>
          <w:sz w:val="30"/>
          <w:highlight w:val="none"/>
          <w:lang w:eastAsia="zh-CN"/>
        </w:rPr>
        <w:t>五</w:t>
      </w:r>
      <w:r>
        <w:rPr>
          <w:rFonts w:hint="eastAsia" w:ascii="宋体" w:hAnsi="宋体" w:eastAsia="宋体" w:cs="宋体"/>
          <w:color w:val="auto"/>
          <w:spacing w:val="30"/>
          <w:sz w:val="30"/>
          <w:highlight w:val="none"/>
        </w:rPr>
        <w:t>年</w:t>
      </w:r>
      <w:r>
        <w:rPr>
          <w:rFonts w:hint="eastAsia" w:ascii="宋体" w:hAnsi="宋体" w:cs="宋体"/>
          <w:spacing w:val="30"/>
          <w:sz w:val="30"/>
          <w:lang w:eastAsia="zh-CN"/>
        </w:rPr>
        <w:t>六</w:t>
      </w:r>
      <w:r>
        <w:rPr>
          <w:rFonts w:hint="eastAsia" w:ascii="宋体" w:hAnsi="宋体" w:cs="宋体"/>
          <w:spacing w:val="30"/>
          <w:sz w:val="30"/>
        </w:rPr>
        <w:t>月</w:t>
      </w:r>
    </w:p>
    <w:p w14:paraId="515AD88E">
      <w:pPr>
        <w:rPr>
          <w:rFonts w:hint="eastAsia" w:ascii="宋体" w:hAnsi="宋体" w:eastAsia="宋体" w:cs="宋体"/>
          <w:color w:val="auto"/>
          <w:highlight w:val="none"/>
        </w:rPr>
      </w:pPr>
      <w:r>
        <w:rPr>
          <w:rFonts w:hint="eastAsia" w:ascii="宋体" w:hAnsi="宋体" w:eastAsia="宋体" w:cs="宋体"/>
          <w:b/>
          <w:color w:val="auto"/>
          <w:sz w:val="36"/>
          <w:szCs w:val="36"/>
          <w:highlight w:val="none"/>
        </w:rPr>
        <w:br w:type="page"/>
      </w:r>
    </w:p>
    <w:p w14:paraId="087477FC">
      <w:pPr>
        <w:spacing w:before="100" w:beforeAutospacing="1" w:after="100" w:afterAutospacing="1" w:line="440" w:lineRule="exact"/>
        <w:jc w:val="center"/>
        <w:outlineLvl w:val="0"/>
        <w:rPr>
          <w:rFonts w:hint="eastAsia" w:ascii="宋体" w:hAnsi="宋体" w:eastAsia="宋体" w:cs="宋体"/>
          <w:b/>
          <w:bCs/>
          <w:color w:val="auto"/>
          <w:sz w:val="32"/>
          <w:szCs w:val="32"/>
          <w:highlight w:val="none"/>
        </w:rPr>
        <w:sectPr>
          <w:footerReference r:id="rId7" w:type="first"/>
          <w:headerReference r:id="rId3" w:type="default"/>
          <w:footerReference r:id="rId5" w:type="default"/>
          <w:headerReference r:id="rId4" w:type="even"/>
          <w:footerReference r:id="rId6" w:type="even"/>
          <w:type w:val="nextColumn"/>
          <w:pgSz w:w="11907" w:h="16840"/>
          <w:pgMar w:top="1134" w:right="693" w:bottom="1134" w:left="1134" w:header="851" w:footer="992" w:gutter="0"/>
          <w:pgNumType w:start="0"/>
          <w:cols w:space="720" w:num="1"/>
          <w:titlePg/>
          <w:docGrid w:linePitch="312" w:charSpace="0"/>
        </w:sectPr>
      </w:pPr>
      <w:bookmarkStart w:id="0" w:name="_Toc20808"/>
    </w:p>
    <w:p w14:paraId="4C9E5D1F">
      <w:pPr>
        <w:spacing w:before="100" w:beforeAutospacing="1" w:after="100" w:afterAutospacing="1" w:line="440" w:lineRule="exact"/>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bookmarkEnd w:id="0"/>
    </w:p>
    <w:p w14:paraId="45704EF3">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fldChar w:fldCharType="begin"/>
      </w:r>
      <w:r>
        <w:rPr>
          <w:rFonts w:hint="eastAsia" w:ascii="宋体" w:hAnsi="宋体" w:eastAsia="宋体" w:cs="宋体"/>
          <w:b/>
          <w:bCs/>
          <w:color w:val="auto"/>
          <w:sz w:val="22"/>
          <w:szCs w:val="22"/>
          <w:highlight w:val="none"/>
        </w:rPr>
        <w:instrText xml:space="preserve">TOC \o "1-2" \h \u </w:instrText>
      </w:r>
      <w:r>
        <w:rPr>
          <w:rFonts w:hint="eastAsia" w:ascii="宋体" w:hAnsi="宋体" w:eastAsia="宋体" w:cs="宋体"/>
          <w:b/>
          <w:bCs/>
          <w:color w:val="auto"/>
          <w:sz w:val="22"/>
          <w:szCs w:val="2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"_Toc20808"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目  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_Toc20808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0055864">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"_Toc26407"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第一册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_Toc26407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669A435">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"_Toc25251"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通  用  文  本</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_Toc25251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8DCD79D">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"_Toc15063"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招标公告</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_Toc15063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8127236">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"_Toc3184"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第一部分  投标人须知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_Toc3184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2E57ED2">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"_Toc6774"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前 附 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_Toc6774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648D44A">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"_Toc29605"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一、 说   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_Toc29605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1BCDC5D">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"_Toc31553"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二、 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_Toc31553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48BEAEA">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"_Toc5155"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三、 投标文件的编制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_Toc5155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08803450">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"_Toc16076"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四、 投标文件的递交</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_Toc16076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7B6FC99B">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"_Toc4505"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五、 开标和评标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_Toc4505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0363FDE">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"_Toc18629"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六、 授予合同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_Toc18629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17</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0EC0E21">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"_Toc23732"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第二部分  合同主要条款</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_Toc23732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19</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AE5FF2D">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"_Toc23551"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第三部分  附件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_Toc23551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5FDD6CF">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"_Toc10679"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第二册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_Toc10679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44F148B6">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"_Toc13399"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专 用 文 本</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_Toc13399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7A688EE7">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"_Toc5805"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第四部分  招标内容及要求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_Toc5805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41</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5388781">
      <w:pPr>
        <w:pStyle w:val="38"/>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"_Toc11962"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第五部分  评标原则及方法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_Toc11962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5B0466C">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"_Toc6231"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一、总 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_Toc6231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7266216A">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"_Toc14694"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二、评标组织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_Toc14694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3268A7B1">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"_Toc8948"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三、评标程序</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_Toc8948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6F3AD208">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"_Toc3273"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四、评标办法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_Toc3273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B9B2EE8">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"_Toc30145"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五、评分细则</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_Toc30145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2EAFD90B">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"_Toc14755"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六、定标办法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_Toc14755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5F4C5B0C">
      <w:pPr>
        <w:pStyle w:val="44"/>
        <w:tabs>
          <w:tab w:val="right" w:leader="dot" w:pos="963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"_Toc23307" </w:instrText>
      </w:r>
      <w:r>
        <w:rPr>
          <w:rFonts w:hint="eastAsia" w:ascii="宋体" w:hAnsi="宋体" w:eastAsia="宋体" w:cs="宋体"/>
          <w:color w:val="auto"/>
          <w:highlight w:val="none"/>
        </w:rPr>
        <w:fldChar w:fldCharType="separate"/>
      </w:r>
      <w:r>
        <w:rPr>
          <w:rFonts w:hint="eastAsia" w:ascii="宋体" w:hAnsi="宋体" w:eastAsia="宋体" w:cs="宋体"/>
          <w:color w:val="auto"/>
          <w:sz w:val="22"/>
          <w:szCs w:val="22"/>
          <w:highlight w:val="none"/>
        </w:rPr>
        <w:t>七、投标人义务</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_Toc23307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56</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fldChar w:fldCharType="end"/>
      </w:r>
    </w:p>
    <w:p w14:paraId="11A7E345">
      <w:pPr>
        <w:spacing w:line="460" w:lineRule="exact"/>
        <w:jc w:val="center"/>
        <w:rPr>
          <w:rFonts w:hint="eastAsia" w:ascii="宋体" w:hAnsi="宋体" w:eastAsia="宋体" w:cs="宋体"/>
          <w:b/>
          <w:bCs/>
          <w:color w:val="auto"/>
          <w:sz w:val="32"/>
          <w:szCs w:val="32"/>
          <w:highlight w:val="none"/>
        </w:rPr>
      </w:pPr>
      <w:r>
        <w:rPr>
          <w:rFonts w:hint="eastAsia" w:ascii="宋体" w:hAnsi="宋体" w:eastAsia="宋体" w:cs="宋体"/>
          <w:bCs/>
          <w:color w:val="auto"/>
          <w:sz w:val="22"/>
          <w:szCs w:val="22"/>
          <w:highlight w:val="none"/>
        </w:rPr>
        <w:fldChar w:fldCharType="end"/>
      </w:r>
    </w:p>
    <w:p w14:paraId="23B29261">
      <w:pPr>
        <w:spacing w:line="420" w:lineRule="exact"/>
        <w:ind w:firstLine="541" w:firstLineChars="245"/>
        <w:rPr>
          <w:rFonts w:hint="eastAsia" w:ascii="宋体" w:hAnsi="宋体" w:eastAsia="宋体" w:cs="宋体"/>
          <w:b/>
          <w:color w:val="auto"/>
          <w:sz w:val="22"/>
          <w:highlight w:val="none"/>
          <w:u w:val="single"/>
        </w:rPr>
      </w:pPr>
    </w:p>
    <w:p w14:paraId="6129E17D">
      <w:pPr>
        <w:spacing w:line="600" w:lineRule="exact"/>
        <w:ind w:firstLine="550" w:firstLineChars="250"/>
        <w:rPr>
          <w:rFonts w:hint="eastAsia" w:ascii="宋体" w:hAnsi="宋体" w:eastAsia="宋体" w:cs="宋体"/>
          <w:color w:val="auto"/>
          <w:sz w:val="22"/>
          <w:highlight w:val="none"/>
        </w:rPr>
      </w:pPr>
    </w:p>
    <w:p w14:paraId="5B7434C3">
      <w:pPr>
        <w:pStyle w:val="22"/>
        <w:rPr>
          <w:rFonts w:hint="eastAsia" w:ascii="宋体" w:hAnsi="宋体" w:eastAsia="宋体" w:cs="宋体"/>
          <w:color w:val="auto"/>
          <w:highlight w:val="none"/>
        </w:rPr>
      </w:pPr>
    </w:p>
    <w:p w14:paraId="4AA979C8">
      <w:pPr>
        <w:spacing w:line="600" w:lineRule="exact"/>
        <w:ind w:firstLine="550" w:firstLineChars="250"/>
        <w:rPr>
          <w:rFonts w:hint="eastAsia" w:ascii="宋体" w:hAnsi="宋体" w:eastAsia="宋体" w:cs="宋体"/>
          <w:color w:val="auto"/>
          <w:sz w:val="22"/>
          <w:highlight w:val="none"/>
        </w:rPr>
      </w:pPr>
    </w:p>
    <w:p w14:paraId="1E7AEC55">
      <w:pPr>
        <w:spacing w:line="600" w:lineRule="exact"/>
        <w:ind w:firstLine="550" w:firstLineChars="250"/>
        <w:rPr>
          <w:rFonts w:hint="eastAsia" w:ascii="宋体" w:hAnsi="宋体" w:eastAsia="宋体" w:cs="宋体"/>
          <w:color w:val="auto"/>
          <w:sz w:val="22"/>
          <w:highlight w:val="none"/>
        </w:rPr>
      </w:pPr>
    </w:p>
    <w:p w14:paraId="7CCC9C9E">
      <w:pPr>
        <w:spacing w:line="360" w:lineRule="auto"/>
        <w:jc w:val="center"/>
        <w:rPr>
          <w:rFonts w:hint="eastAsia" w:ascii="宋体" w:hAnsi="宋体" w:eastAsia="宋体" w:cs="宋体"/>
          <w:b/>
          <w:color w:val="auto"/>
          <w:sz w:val="22"/>
          <w:szCs w:val="22"/>
          <w:highlight w:val="none"/>
        </w:rPr>
      </w:pPr>
    </w:p>
    <w:p w14:paraId="32885B8E">
      <w:pPr>
        <w:spacing w:line="360" w:lineRule="auto"/>
        <w:jc w:val="center"/>
        <w:rPr>
          <w:rFonts w:hint="eastAsia" w:ascii="宋体" w:hAnsi="宋体" w:eastAsia="宋体" w:cs="宋体"/>
          <w:b/>
          <w:color w:val="auto"/>
          <w:sz w:val="22"/>
          <w:szCs w:val="22"/>
          <w:highlight w:val="none"/>
        </w:rPr>
      </w:pPr>
    </w:p>
    <w:p w14:paraId="7515CB68">
      <w:pPr>
        <w:spacing w:line="360" w:lineRule="auto"/>
        <w:jc w:val="center"/>
        <w:rPr>
          <w:rFonts w:hint="eastAsia" w:ascii="宋体" w:hAnsi="宋体" w:eastAsia="宋体" w:cs="宋体"/>
          <w:b/>
          <w:color w:val="auto"/>
          <w:sz w:val="22"/>
          <w:szCs w:val="22"/>
          <w:highlight w:val="none"/>
        </w:rPr>
      </w:pPr>
    </w:p>
    <w:p w14:paraId="525C20FB">
      <w:pPr>
        <w:spacing w:line="360" w:lineRule="auto"/>
        <w:jc w:val="center"/>
        <w:rPr>
          <w:rFonts w:hint="eastAsia" w:ascii="宋体" w:hAnsi="宋体" w:eastAsia="宋体" w:cs="宋体"/>
          <w:b/>
          <w:color w:val="auto"/>
          <w:sz w:val="22"/>
          <w:szCs w:val="22"/>
          <w:highlight w:val="none"/>
        </w:rPr>
      </w:pPr>
    </w:p>
    <w:p w14:paraId="50468D2B">
      <w:pPr>
        <w:spacing w:line="360" w:lineRule="auto"/>
        <w:jc w:val="center"/>
        <w:rPr>
          <w:rFonts w:hint="eastAsia" w:ascii="宋体" w:hAnsi="宋体" w:eastAsia="宋体" w:cs="宋体"/>
          <w:b/>
          <w:color w:val="auto"/>
          <w:sz w:val="22"/>
          <w:szCs w:val="22"/>
          <w:highlight w:val="none"/>
        </w:rPr>
      </w:pPr>
    </w:p>
    <w:p w14:paraId="2B649702">
      <w:pPr>
        <w:spacing w:line="360" w:lineRule="auto"/>
        <w:jc w:val="center"/>
        <w:rPr>
          <w:rFonts w:hint="eastAsia" w:ascii="宋体" w:hAnsi="宋体" w:eastAsia="宋体" w:cs="宋体"/>
          <w:b/>
          <w:color w:val="auto"/>
          <w:sz w:val="22"/>
          <w:szCs w:val="22"/>
          <w:highlight w:val="none"/>
        </w:rPr>
      </w:pPr>
    </w:p>
    <w:p w14:paraId="01B1AF8E">
      <w:pPr>
        <w:spacing w:line="360" w:lineRule="auto"/>
        <w:jc w:val="center"/>
        <w:rPr>
          <w:rFonts w:hint="eastAsia" w:ascii="宋体" w:hAnsi="宋体" w:eastAsia="宋体" w:cs="宋体"/>
          <w:b/>
          <w:color w:val="auto"/>
          <w:sz w:val="22"/>
          <w:szCs w:val="22"/>
          <w:highlight w:val="none"/>
        </w:rPr>
      </w:pPr>
    </w:p>
    <w:p w14:paraId="69710E60">
      <w:pPr>
        <w:spacing w:line="360" w:lineRule="auto"/>
        <w:jc w:val="center"/>
        <w:rPr>
          <w:rFonts w:hint="eastAsia" w:ascii="宋体" w:hAnsi="宋体" w:eastAsia="宋体" w:cs="宋体"/>
          <w:b/>
          <w:color w:val="auto"/>
          <w:sz w:val="22"/>
          <w:szCs w:val="22"/>
          <w:highlight w:val="none"/>
        </w:rPr>
      </w:pPr>
    </w:p>
    <w:p w14:paraId="2D58A10E">
      <w:pPr>
        <w:spacing w:line="360" w:lineRule="auto"/>
        <w:jc w:val="center"/>
        <w:rPr>
          <w:rFonts w:hint="eastAsia" w:ascii="宋体" w:hAnsi="宋体" w:eastAsia="宋体" w:cs="宋体"/>
          <w:b/>
          <w:color w:val="auto"/>
          <w:sz w:val="22"/>
          <w:szCs w:val="22"/>
          <w:highlight w:val="none"/>
        </w:rPr>
      </w:pPr>
    </w:p>
    <w:p w14:paraId="03D06FD4">
      <w:pPr>
        <w:spacing w:line="360" w:lineRule="auto"/>
        <w:jc w:val="center"/>
        <w:rPr>
          <w:rFonts w:hint="eastAsia" w:ascii="宋体" w:hAnsi="宋体" w:eastAsia="宋体" w:cs="宋体"/>
          <w:b/>
          <w:color w:val="auto"/>
          <w:sz w:val="22"/>
          <w:szCs w:val="22"/>
          <w:highlight w:val="none"/>
        </w:rPr>
      </w:pPr>
    </w:p>
    <w:p w14:paraId="397451A6">
      <w:pPr>
        <w:spacing w:line="360" w:lineRule="auto"/>
        <w:jc w:val="center"/>
        <w:rPr>
          <w:rFonts w:hint="eastAsia" w:ascii="宋体" w:hAnsi="宋体" w:eastAsia="宋体" w:cs="宋体"/>
          <w:b/>
          <w:color w:val="auto"/>
          <w:sz w:val="22"/>
          <w:szCs w:val="22"/>
          <w:highlight w:val="none"/>
        </w:rPr>
      </w:pPr>
    </w:p>
    <w:p w14:paraId="732E1B26">
      <w:pPr>
        <w:spacing w:line="360" w:lineRule="auto"/>
        <w:jc w:val="center"/>
        <w:rPr>
          <w:rFonts w:hint="eastAsia" w:ascii="宋体" w:hAnsi="宋体" w:eastAsia="宋体" w:cs="宋体"/>
          <w:b/>
          <w:color w:val="auto"/>
          <w:sz w:val="22"/>
          <w:szCs w:val="22"/>
          <w:highlight w:val="none"/>
        </w:rPr>
      </w:pPr>
    </w:p>
    <w:p w14:paraId="007CBD47">
      <w:pPr>
        <w:spacing w:line="360" w:lineRule="auto"/>
        <w:jc w:val="center"/>
        <w:rPr>
          <w:rFonts w:hint="eastAsia" w:ascii="宋体" w:hAnsi="宋体" w:eastAsia="宋体" w:cs="宋体"/>
          <w:b/>
          <w:color w:val="auto"/>
          <w:sz w:val="22"/>
          <w:szCs w:val="22"/>
          <w:highlight w:val="none"/>
        </w:rPr>
      </w:pPr>
    </w:p>
    <w:p w14:paraId="088B0B03">
      <w:pPr>
        <w:spacing w:line="360" w:lineRule="auto"/>
        <w:jc w:val="center"/>
        <w:rPr>
          <w:rFonts w:hint="eastAsia" w:ascii="宋体" w:hAnsi="宋体" w:eastAsia="宋体" w:cs="宋体"/>
          <w:b/>
          <w:color w:val="auto"/>
          <w:sz w:val="22"/>
          <w:szCs w:val="22"/>
          <w:highlight w:val="none"/>
        </w:rPr>
      </w:pPr>
    </w:p>
    <w:p w14:paraId="4D1517FB">
      <w:pPr>
        <w:jc w:val="center"/>
        <w:outlineLvl w:val="0"/>
        <w:rPr>
          <w:rFonts w:hint="eastAsia" w:ascii="宋体" w:hAnsi="宋体" w:eastAsia="宋体" w:cs="宋体"/>
          <w:b/>
          <w:bCs/>
          <w:color w:val="auto"/>
          <w:sz w:val="52"/>
          <w:szCs w:val="52"/>
          <w:highlight w:val="none"/>
        </w:rPr>
      </w:pPr>
      <w:bookmarkStart w:id="1" w:name="_Toc26407"/>
      <w:r>
        <w:rPr>
          <w:rFonts w:hint="eastAsia" w:ascii="宋体" w:hAnsi="宋体" w:eastAsia="宋体" w:cs="宋体"/>
          <w:b/>
          <w:bCs/>
          <w:color w:val="auto"/>
          <w:sz w:val="52"/>
          <w:szCs w:val="52"/>
          <w:highlight w:val="none"/>
        </w:rPr>
        <w:t>第一册</w:t>
      </w:r>
      <w:bookmarkEnd w:id="1"/>
    </w:p>
    <w:p w14:paraId="1D9211E7">
      <w:pPr>
        <w:rPr>
          <w:rFonts w:hint="eastAsia" w:ascii="宋体" w:hAnsi="宋体" w:eastAsia="宋体" w:cs="宋体"/>
          <w:b/>
          <w:bCs/>
          <w:color w:val="auto"/>
          <w:sz w:val="48"/>
          <w:highlight w:val="none"/>
        </w:rPr>
      </w:pPr>
    </w:p>
    <w:p w14:paraId="09DACC80">
      <w:pPr>
        <w:jc w:val="center"/>
        <w:outlineLvl w:val="1"/>
        <w:rPr>
          <w:rFonts w:hint="eastAsia" w:ascii="宋体" w:hAnsi="宋体" w:eastAsia="宋体" w:cs="宋体"/>
          <w:b/>
          <w:bCs/>
          <w:color w:val="auto"/>
          <w:sz w:val="48"/>
          <w:highlight w:val="none"/>
        </w:rPr>
      </w:pPr>
      <w:bookmarkStart w:id="2" w:name="_Toc25251"/>
      <w:r>
        <w:rPr>
          <w:rFonts w:hint="eastAsia" w:ascii="宋体" w:hAnsi="宋体" w:eastAsia="宋体" w:cs="宋体"/>
          <w:b/>
          <w:bCs/>
          <w:color w:val="auto"/>
          <w:sz w:val="48"/>
          <w:highlight w:val="none"/>
        </w:rPr>
        <w:t>通  用  文  本</w:t>
      </w:r>
      <w:bookmarkEnd w:id="2"/>
    </w:p>
    <w:p w14:paraId="6353B59B">
      <w:pPr>
        <w:spacing w:line="360" w:lineRule="auto"/>
        <w:jc w:val="center"/>
        <w:rPr>
          <w:rFonts w:hint="eastAsia" w:ascii="宋体" w:hAnsi="宋体" w:eastAsia="宋体" w:cs="宋体"/>
          <w:b/>
          <w:color w:val="auto"/>
          <w:sz w:val="22"/>
          <w:szCs w:val="22"/>
          <w:highlight w:val="none"/>
        </w:rPr>
      </w:pPr>
    </w:p>
    <w:p w14:paraId="153530D9">
      <w:pPr>
        <w:spacing w:line="360" w:lineRule="auto"/>
        <w:jc w:val="center"/>
        <w:rPr>
          <w:rFonts w:hint="eastAsia" w:ascii="宋体" w:hAnsi="宋体" w:eastAsia="宋体" w:cs="宋体"/>
          <w:b/>
          <w:color w:val="auto"/>
          <w:sz w:val="22"/>
          <w:szCs w:val="22"/>
          <w:highlight w:val="none"/>
        </w:rPr>
      </w:pPr>
    </w:p>
    <w:p w14:paraId="23AB6C67">
      <w:pPr>
        <w:spacing w:line="360" w:lineRule="auto"/>
        <w:jc w:val="center"/>
        <w:rPr>
          <w:rFonts w:hint="eastAsia" w:ascii="宋体" w:hAnsi="宋体" w:eastAsia="宋体" w:cs="宋体"/>
          <w:b/>
          <w:color w:val="auto"/>
          <w:sz w:val="22"/>
          <w:szCs w:val="22"/>
          <w:highlight w:val="none"/>
        </w:rPr>
      </w:pPr>
    </w:p>
    <w:p w14:paraId="6E4ED21E">
      <w:pPr>
        <w:spacing w:line="360" w:lineRule="auto"/>
        <w:jc w:val="center"/>
        <w:rPr>
          <w:rFonts w:hint="eastAsia" w:ascii="宋体" w:hAnsi="宋体" w:eastAsia="宋体" w:cs="宋体"/>
          <w:b/>
          <w:color w:val="auto"/>
          <w:sz w:val="22"/>
          <w:szCs w:val="22"/>
          <w:highlight w:val="none"/>
        </w:rPr>
      </w:pPr>
    </w:p>
    <w:p w14:paraId="667D0598">
      <w:pPr>
        <w:spacing w:line="360" w:lineRule="auto"/>
        <w:jc w:val="center"/>
        <w:rPr>
          <w:rFonts w:hint="eastAsia" w:ascii="宋体" w:hAnsi="宋体" w:eastAsia="宋体" w:cs="宋体"/>
          <w:b/>
          <w:color w:val="auto"/>
          <w:sz w:val="22"/>
          <w:szCs w:val="22"/>
          <w:highlight w:val="none"/>
        </w:rPr>
      </w:pPr>
    </w:p>
    <w:p w14:paraId="7F548596">
      <w:pPr>
        <w:spacing w:line="360" w:lineRule="auto"/>
        <w:jc w:val="center"/>
        <w:rPr>
          <w:rFonts w:hint="eastAsia" w:ascii="宋体" w:hAnsi="宋体" w:eastAsia="宋体" w:cs="宋体"/>
          <w:b/>
          <w:color w:val="auto"/>
          <w:sz w:val="22"/>
          <w:szCs w:val="22"/>
          <w:highlight w:val="none"/>
        </w:rPr>
      </w:pPr>
    </w:p>
    <w:p w14:paraId="1F8C2D12">
      <w:pPr>
        <w:spacing w:line="360" w:lineRule="auto"/>
        <w:jc w:val="center"/>
        <w:rPr>
          <w:rFonts w:hint="eastAsia" w:ascii="宋体" w:hAnsi="宋体" w:eastAsia="宋体" w:cs="宋体"/>
          <w:b/>
          <w:color w:val="auto"/>
          <w:sz w:val="22"/>
          <w:szCs w:val="22"/>
          <w:highlight w:val="none"/>
        </w:rPr>
      </w:pPr>
    </w:p>
    <w:p w14:paraId="341EB344">
      <w:pPr>
        <w:spacing w:line="360" w:lineRule="auto"/>
        <w:jc w:val="center"/>
        <w:rPr>
          <w:rFonts w:hint="eastAsia" w:ascii="宋体" w:hAnsi="宋体" w:eastAsia="宋体" w:cs="宋体"/>
          <w:b/>
          <w:color w:val="auto"/>
          <w:sz w:val="22"/>
          <w:szCs w:val="22"/>
          <w:highlight w:val="none"/>
        </w:rPr>
      </w:pPr>
    </w:p>
    <w:p w14:paraId="48D7C793">
      <w:pPr>
        <w:spacing w:line="360" w:lineRule="auto"/>
        <w:jc w:val="center"/>
        <w:rPr>
          <w:rFonts w:hint="eastAsia" w:ascii="宋体" w:hAnsi="宋体" w:eastAsia="宋体" w:cs="宋体"/>
          <w:b/>
          <w:color w:val="auto"/>
          <w:sz w:val="22"/>
          <w:szCs w:val="22"/>
          <w:highlight w:val="none"/>
        </w:rPr>
      </w:pPr>
    </w:p>
    <w:p w14:paraId="10A18D77">
      <w:pPr>
        <w:spacing w:line="360" w:lineRule="auto"/>
        <w:jc w:val="center"/>
        <w:rPr>
          <w:rFonts w:hint="eastAsia" w:ascii="宋体" w:hAnsi="宋体" w:eastAsia="宋体" w:cs="宋体"/>
          <w:b/>
          <w:color w:val="auto"/>
          <w:sz w:val="22"/>
          <w:szCs w:val="22"/>
          <w:highlight w:val="none"/>
        </w:rPr>
      </w:pPr>
    </w:p>
    <w:p w14:paraId="7DE794A4">
      <w:pPr>
        <w:spacing w:line="360" w:lineRule="auto"/>
        <w:jc w:val="center"/>
        <w:rPr>
          <w:rFonts w:hint="eastAsia" w:ascii="宋体" w:hAnsi="宋体" w:eastAsia="宋体" w:cs="宋体"/>
          <w:b/>
          <w:color w:val="auto"/>
          <w:sz w:val="22"/>
          <w:szCs w:val="22"/>
          <w:highlight w:val="none"/>
        </w:rPr>
      </w:pPr>
    </w:p>
    <w:p w14:paraId="1AAB5504">
      <w:pPr>
        <w:spacing w:line="240" w:lineRule="auto"/>
        <w:jc w:val="center"/>
        <w:outlineLvl w:val="2"/>
        <w:rPr>
          <w:rFonts w:hint="eastAsia" w:ascii="宋体" w:hAnsi="宋体" w:eastAsia="宋体" w:cs="宋体"/>
          <w:b/>
          <w:bCs/>
          <w:color w:val="auto"/>
          <w:sz w:val="32"/>
          <w:szCs w:val="32"/>
          <w:highlight w:val="none"/>
        </w:rPr>
      </w:pPr>
      <w:r>
        <w:rPr>
          <w:rFonts w:hint="eastAsia" w:ascii="宋体" w:hAnsi="宋体" w:eastAsia="宋体" w:cs="宋体"/>
          <w:color w:val="auto"/>
          <w:sz w:val="28"/>
          <w:szCs w:val="28"/>
          <w:highlight w:val="none"/>
        </w:rPr>
        <w:br w:type="page"/>
      </w:r>
      <w:bookmarkStart w:id="3" w:name="_Toc15063"/>
      <w:r>
        <w:rPr>
          <w:rFonts w:hint="eastAsia" w:ascii="宋体" w:hAnsi="宋体" w:cs="宋体"/>
          <w:b/>
          <w:bCs/>
          <w:color w:val="auto"/>
          <w:sz w:val="36"/>
          <w:szCs w:val="36"/>
          <w:highlight w:val="none"/>
          <w:lang w:eastAsia="zh-CN"/>
        </w:rPr>
        <w:t>温州星阳工程项目管理有限公司</w:t>
      </w:r>
      <w:r>
        <w:rPr>
          <w:rFonts w:hint="eastAsia" w:ascii="宋体" w:hAnsi="宋体" w:eastAsia="宋体" w:cs="宋体"/>
          <w:b/>
          <w:bCs/>
          <w:color w:val="auto"/>
          <w:sz w:val="36"/>
          <w:szCs w:val="36"/>
          <w:highlight w:val="none"/>
        </w:rPr>
        <w:t>关于</w:t>
      </w:r>
      <w:r>
        <w:rPr>
          <w:rFonts w:hint="eastAsia" w:ascii="宋体" w:hAnsi="宋体" w:cs="宋体"/>
          <w:b/>
          <w:bCs/>
          <w:color w:val="auto"/>
          <w:sz w:val="36"/>
          <w:szCs w:val="36"/>
          <w:highlight w:val="none"/>
          <w:lang w:eastAsia="zh-CN"/>
        </w:rPr>
        <w:t>温州市龙湾区消防救援大队食堂原材料采购及配送</w:t>
      </w:r>
      <w:r>
        <w:rPr>
          <w:rFonts w:hint="eastAsia" w:ascii="宋体" w:hAnsi="宋体" w:eastAsia="宋体" w:cs="宋体"/>
          <w:b/>
          <w:bCs/>
          <w:color w:val="auto"/>
          <w:sz w:val="36"/>
          <w:szCs w:val="36"/>
          <w:highlight w:val="none"/>
        </w:rPr>
        <w:t>公开招标公告</w:t>
      </w:r>
      <w:bookmarkEnd w:id="3"/>
    </w:p>
    <w:p w14:paraId="735EB779">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项目概况</w:t>
      </w:r>
    </w:p>
    <w:p w14:paraId="7292DCFF">
      <w:pPr>
        <w:pBdr>
          <w:top w:val="single" w:color="auto" w:sz="4" w:space="1"/>
          <w:left w:val="single" w:color="auto" w:sz="4" w:space="4"/>
          <w:bottom w:val="single" w:color="auto" w:sz="4" w:space="1"/>
          <w:right w:val="single" w:color="auto" w:sz="4" w:space="4"/>
        </w:pBdr>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温州市龙湾区消防救援大队食堂原材料采购及配送</w:t>
      </w:r>
      <w:r>
        <w:rPr>
          <w:rFonts w:hint="eastAsia" w:ascii="宋体" w:hAnsi="宋体" w:eastAsia="宋体" w:cs="宋体"/>
          <w:color w:val="auto"/>
          <w:sz w:val="22"/>
          <w:szCs w:val="22"/>
          <w:highlight w:val="none"/>
        </w:rPr>
        <w:t>招标项目的潜在投标人应在</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获取招标文件，并于202</w:t>
      </w:r>
      <w:r>
        <w:rPr>
          <w:rFonts w:hint="eastAsia" w:ascii="宋体" w:hAnsi="宋体" w:cs="宋体"/>
          <w:color w:val="auto"/>
          <w:sz w:val="22"/>
          <w:szCs w:val="22"/>
          <w:highlight w:val="none"/>
          <w:lang w:val="en-US" w:eastAsia="zh-CN"/>
        </w:rPr>
        <w:t>5</w:t>
      </w:r>
      <w:r>
        <w:rPr>
          <w:rFonts w:hint="eastAsia" w:ascii="宋体" w:hAnsi="宋体" w:eastAsia="宋体" w:cs="宋体"/>
          <w:bCs/>
          <w:color w:val="auto"/>
          <w:sz w:val="22"/>
          <w:szCs w:val="22"/>
          <w:highlight w:val="none"/>
        </w:rPr>
        <w:t>年</w:t>
      </w:r>
      <w:r>
        <w:rPr>
          <w:rFonts w:hint="eastAsia" w:ascii="宋体" w:hAnsi="宋体" w:cs="宋体"/>
          <w:bCs/>
          <w:color w:val="auto"/>
          <w:sz w:val="22"/>
          <w:szCs w:val="22"/>
          <w:highlight w:val="none"/>
          <w:lang w:val="en-US" w:eastAsia="zh-CN"/>
        </w:rPr>
        <w:t>7</w:t>
      </w:r>
      <w:r>
        <w:rPr>
          <w:rFonts w:hint="eastAsia" w:ascii="宋体" w:hAnsi="宋体" w:eastAsia="宋体" w:cs="宋体"/>
          <w:bCs/>
          <w:color w:val="auto"/>
          <w:sz w:val="22"/>
          <w:szCs w:val="22"/>
          <w:highlight w:val="none"/>
        </w:rPr>
        <w:t>月</w:t>
      </w:r>
      <w:r>
        <w:rPr>
          <w:rFonts w:hint="eastAsia" w:ascii="宋体" w:hAnsi="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rPr>
        <w:t>日09点30分（北京时间）前递交投标文件</w:t>
      </w:r>
      <w:r>
        <w:rPr>
          <w:rFonts w:hint="eastAsia" w:ascii="宋体" w:hAnsi="宋体" w:eastAsia="宋体" w:cs="宋体"/>
          <w:color w:val="auto"/>
          <w:sz w:val="22"/>
          <w:szCs w:val="22"/>
          <w:highlight w:val="none"/>
        </w:rPr>
        <w:t>。</w:t>
      </w:r>
    </w:p>
    <w:p w14:paraId="5279D7C3">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一、项目基本情况</w:t>
      </w:r>
    </w:p>
    <w:p w14:paraId="3F2E7940">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项目编号：</w:t>
      </w:r>
      <w:r>
        <w:rPr>
          <w:rFonts w:hint="eastAsia" w:ascii="宋体" w:hAnsi="宋体" w:cs="宋体"/>
          <w:color w:val="auto"/>
          <w:sz w:val="22"/>
          <w:szCs w:val="22"/>
          <w:highlight w:val="none"/>
          <w:lang w:eastAsia="zh-CN"/>
        </w:rPr>
        <w:t>XYZB-WZS-2025-01</w:t>
      </w:r>
    </w:p>
    <w:p w14:paraId="4CF44003">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sz w:val="22"/>
          <w:szCs w:val="22"/>
          <w:highlight w:val="none"/>
          <w:lang w:eastAsia="zh-CN"/>
        </w:rPr>
        <w:t>温州市龙湾区消防救援大队食堂原材料采购及配送</w:t>
      </w:r>
    </w:p>
    <w:p w14:paraId="6069571B">
      <w:pPr>
        <w:spacing w:line="4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预算金额（元）：</w:t>
      </w:r>
      <w:r>
        <w:rPr>
          <w:rFonts w:hint="eastAsia" w:ascii="宋体" w:hAnsi="宋体" w:eastAsia="宋体" w:cs="宋体"/>
          <w:color w:val="auto"/>
          <w:kern w:val="0"/>
          <w:sz w:val="22"/>
          <w:szCs w:val="22"/>
          <w:highlight w:val="none"/>
          <w:lang w:eastAsia="zh-CN"/>
        </w:rPr>
        <w:t>2</w:t>
      </w:r>
      <w:r>
        <w:rPr>
          <w:rFonts w:hint="eastAsia" w:ascii="宋体" w:hAnsi="宋体" w:eastAsia="宋体" w:cs="宋体"/>
          <w:color w:val="auto"/>
          <w:kern w:val="0"/>
          <w:sz w:val="22"/>
          <w:szCs w:val="22"/>
          <w:highlight w:val="none"/>
          <w:lang w:val="en-US" w:eastAsia="zh-CN"/>
        </w:rPr>
        <w:t>286271.52</w:t>
      </w:r>
    </w:p>
    <w:p w14:paraId="66353D94">
      <w:pPr>
        <w:spacing w:line="4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最高限价（元）：</w:t>
      </w:r>
      <w:r>
        <w:rPr>
          <w:rFonts w:hint="eastAsia" w:ascii="宋体" w:hAnsi="宋体" w:eastAsia="宋体" w:cs="宋体"/>
          <w:color w:val="auto"/>
          <w:kern w:val="0"/>
          <w:sz w:val="22"/>
          <w:szCs w:val="22"/>
          <w:highlight w:val="none"/>
          <w:lang w:eastAsia="zh-CN"/>
        </w:rPr>
        <w:t>2</w:t>
      </w:r>
      <w:r>
        <w:rPr>
          <w:rFonts w:hint="eastAsia" w:ascii="宋体" w:hAnsi="宋体" w:eastAsia="宋体" w:cs="宋体"/>
          <w:color w:val="auto"/>
          <w:kern w:val="0"/>
          <w:sz w:val="22"/>
          <w:szCs w:val="22"/>
          <w:highlight w:val="none"/>
          <w:lang w:val="en-US" w:eastAsia="zh-CN"/>
        </w:rPr>
        <w:t>286271</w:t>
      </w:r>
      <w:r>
        <w:rPr>
          <w:rFonts w:hint="eastAsia" w:ascii="宋体" w:hAnsi="宋体" w:eastAsia="宋体" w:cs="宋体"/>
          <w:color w:val="auto"/>
          <w:highlight w:val="none"/>
          <w:lang w:val="en-US" w:eastAsia="zh-CN"/>
        </w:rPr>
        <w:t>.52</w:t>
      </w:r>
    </w:p>
    <w:p w14:paraId="33F9C2C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r>
        <w:rPr>
          <w:rFonts w:hint="eastAsia" w:ascii="宋体" w:hAnsi="宋体" w:eastAsia="宋体" w:cs="宋体"/>
          <w:color w:val="auto"/>
          <w:kern w:val="0"/>
          <w:sz w:val="22"/>
          <w:szCs w:val="22"/>
          <w:highlight w:val="none"/>
        </w:rPr>
        <w:t>1年</w:t>
      </w:r>
    </w:p>
    <w:p w14:paraId="09BC635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简要规格描述或项目基本概况介绍、用途：</w:t>
      </w:r>
      <w:r>
        <w:rPr>
          <w:rFonts w:hint="eastAsia" w:ascii="宋体" w:hAnsi="宋体" w:eastAsia="宋体" w:cs="宋体"/>
          <w:color w:val="auto"/>
          <w:kern w:val="0"/>
          <w:sz w:val="22"/>
          <w:szCs w:val="22"/>
          <w:highlight w:val="none"/>
        </w:rPr>
        <w:t>详见招标文件</w:t>
      </w:r>
    </w:p>
    <w:p w14:paraId="1DF699D3">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kern w:val="0"/>
          <w:sz w:val="22"/>
          <w:szCs w:val="22"/>
          <w:highlight w:val="none"/>
        </w:rPr>
        <w:t>无</w:t>
      </w:r>
    </w:p>
    <w:p w14:paraId="3FEC617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合同履约期限：详见</w:t>
      </w:r>
      <w:r>
        <w:rPr>
          <w:rFonts w:hint="eastAsia" w:ascii="宋体" w:hAnsi="宋体" w:eastAsia="宋体" w:cs="宋体"/>
          <w:color w:val="auto"/>
          <w:kern w:val="0"/>
          <w:sz w:val="22"/>
          <w:szCs w:val="22"/>
          <w:highlight w:val="none"/>
        </w:rPr>
        <w:t>招标文件</w:t>
      </w:r>
    </w:p>
    <w:p w14:paraId="7EA73FE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本项目（否）接受联合体投标。</w:t>
      </w:r>
    </w:p>
    <w:p w14:paraId="67ACC76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二、申请人的资格要求：</w:t>
      </w:r>
    </w:p>
    <w:p w14:paraId="4D2A91B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1、满足《中华人民共和国政府采购法》第二十二条规定；未被“信用中国”（www.creditchina.gov.cn）、中国政府采购网（www.ccgp.gov.cn）列入失信被执行人、</w:t>
      </w:r>
      <w:r>
        <w:rPr>
          <w:rFonts w:hint="eastAsia"/>
          <w:highlight w:val="none"/>
          <w:lang w:val="en-US" w:eastAsia="zh-CN"/>
        </w:rPr>
        <w:t>重大税收违法失信主体</w:t>
      </w:r>
      <w:r>
        <w:rPr>
          <w:rFonts w:hint="eastAsia" w:ascii="宋体" w:hAnsi="宋体" w:eastAsia="宋体" w:cs="宋体"/>
          <w:color w:val="auto"/>
          <w:sz w:val="22"/>
          <w:szCs w:val="22"/>
          <w:highlight w:val="none"/>
        </w:rPr>
        <w:t>、政府采购严重违法失信行为记录名单。</w:t>
      </w:r>
    </w:p>
    <w:p w14:paraId="7A1A64F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2、落实政府采购政策需满足的资格要求：</w:t>
      </w:r>
      <w:r>
        <w:rPr>
          <w:rFonts w:hint="eastAsia" w:ascii="宋体" w:hAnsi="宋体" w:eastAsia="宋体" w:cs="Times New Roman"/>
          <w:b w:val="0"/>
          <w:bCs w:val="0"/>
          <w:color w:val="auto"/>
          <w:sz w:val="22"/>
          <w:szCs w:val="22"/>
          <w:highlight w:val="none"/>
        </w:rPr>
        <w:t>本项目整体专门面向中小企业采购，</w:t>
      </w:r>
      <w:r>
        <w:rPr>
          <w:rFonts w:hint="eastAsia" w:ascii="宋体" w:hAnsi="宋体" w:cs="Times New Roman"/>
          <w:b w:val="0"/>
          <w:bCs w:val="0"/>
          <w:color w:val="auto"/>
          <w:sz w:val="22"/>
          <w:szCs w:val="22"/>
          <w:highlight w:val="none"/>
          <w:lang w:eastAsia="zh-CN"/>
        </w:rPr>
        <w:t>投标人</w:t>
      </w:r>
      <w:r>
        <w:rPr>
          <w:rFonts w:hint="eastAsia" w:ascii="宋体" w:hAnsi="宋体" w:eastAsia="宋体" w:cs="Times New Roman"/>
          <w:b w:val="0"/>
          <w:bCs w:val="0"/>
          <w:color w:val="auto"/>
          <w:sz w:val="22"/>
          <w:szCs w:val="22"/>
          <w:highlight w:val="none"/>
        </w:rPr>
        <w:t>应为中小企业。中小企业是指满足《政府采购促进中小企业发展管理办法》（财库〔2020〕46号）第</w:t>
      </w:r>
      <w:r>
        <w:rPr>
          <w:rFonts w:hint="eastAsia" w:ascii="宋体" w:hAnsi="宋体" w:eastAsia="宋体" w:cs="Times New Roman"/>
          <w:b w:val="0"/>
          <w:bCs w:val="0"/>
          <w:color w:val="auto"/>
          <w:sz w:val="22"/>
          <w:szCs w:val="22"/>
          <w:highlight w:val="none"/>
          <w:lang w:val="en-US" w:eastAsia="zh-CN"/>
        </w:rPr>
        <w:t>四</w:t>
      </w:r>
      <w:r>
        <w:rPr>
          <w:rFonts w:hint="eastAsia" w:ascii="宋体" w:hAnsi="宋体" w:eastAsia="宋体" w:cs="Times New Roman"/>
          <w:b w:val="0"/>
          <w:bCs w:val="0"/>
          <w:color w:val="auto"/>
          <w:sz w:val="22"/>
          <w:szCs w:val="22"/>
          <w:highlight w:val="none"/>
        </w:rPr>
        <w:t>条规定的企业。监狱企业、残疾人福利性单位视同小型、微型企业</w:t>
      </w:r>
      <w:r>
        <w:rPr>
          <w:rFonts w:hint="eastAsia" w:ascii="宋体" w:hAnsi="宋体" w:eastAsia="宋体" w:cs="Times New Roman"/>
          <w:b w:val="0"/>
          <w:bCs w:val="0"/>
          <w:color w:val="auto"/>
          <w:sz w:val="22"/>
          <w:szCs w:val="22"/>
          <w:highlight w:val="none"/>
          <w:lang w:eastAsia="zh-CN"/>
        </w:rPr>
        <w:t>；</w:t>
      </w:r>
    </w:p>
    <w:p w14:paraId="24C6922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3、本项目的特定资格要求：具有有效的食品经营许可证或食品生产许可证。</w:t>
      </w:r>
    </w:p>
    <w:p w14:paraId="48B045C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三、获取招标文件</w:t>
      </w:r>
    </w:p>
    <w:p w14:paraId="11F242D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日至202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日止（上午9：00-11：30，下午2：00-5：00，法定休息日除外）（递交投标文件截止之前报名、获取招标文件均有效，未获取招标文件的潜在投标人拒绝参加投标）。</w:t>
      </w:r>
    </w:p>
    <w:p w14:paraId="64B5051D">
      <w:pPr>
        <w:spacing w:line="460" w:lineRule="exact"/>
        <w:ind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地点：</w:t>
      </w:r>
      <w:r>
        <w:rPr>
          <w:rFonts w:hint="eastAsia" w:ascii="宋体" w:hAnsi="宋体" w:cs="宋体"/>
          <w:color w:val="auto"/>
          <w:sz w:val="22"/>
          <w:highlight w:val="none"/>
          <w:lang w:eastAsia="zh-CN"/>
        </w:rPr>
        <w:t>温州市鹿城区南汇街道车站大道315号宏鼎大厦A栋1202室</w:t>
      </w:r>
    </w:p>
    <w:p w14:paraId="04E9EE0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方式：现场报名/或邮件报名</w:t>
      </w:r>
    </w:p>
    <w:p w14:paraId="62C719C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获取价格：0</w:t>
      </w:r>
    </w:p>
    <w:p w14:paraId="5FF3B7E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获取文件时应提交材料：①报名登记表、②企业法定代表人授权委托书或单位介绍信、③营业执照复印件、④</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认为有必要提供的其它文件。</w:t>
      </w:r>
    </w:p>
    <w:p w14:paraId="3DE3497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注：以上资格证明文件需加盖公章。所提交书面资料仅作为报名之用，并不作为投标时的资格审查依据，最终资格审查是否合格以投标时提交资料为准。</w:t>
      </w:r>
    </w:p>
    <w:p w14:paraId="435AB5C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（本项目允许邮件报名，如邮件报名的请将报名资料扫描</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"mailto:资料发至466740141@qq.com" </w:instrText>
      </w:r>
      <w:r>
        <w:rPr>
          <w:rFonts w:hint="eastAsia" w:ascii="宋体" w:hAnsi="宋体" w:eastAsia="宋体" w:cs="宋体"/>
          <w:color w:val="auto"/>
          <w:highlight w:val="none"/>
        </w:rPr>
        <w:fldChar w:fldCharType="separate"/>
      </w:r>
      <w:r>
        <w:rPr>
          <w:rStyle w:val="61"/>
          <w:rFonts w:hint="eastAsia" w:ascii="宋体" w:hAnsi="宋体" w:eastAsia="宋体" w:cs="宋体"/>
          <w:color w:val="auto"/>
          <w:sz w:val="22"/>
          <w:szCs w:val="22"/>
          <w:highlight w:val="none"/>
        </w:rPr>
        <w:t>发至</w:t>
      </w:r>
      <w:r>
        <w:rPr>
          <w:rStyle w:val="61"/>
          <w:rFonts w:hint="eastAsia" w:ascii="宋体" w:hAnsi="宋体" w:cs="宋体"/>
          <w:color w:val="auto"/>
          <w:sz w:val="22"/>
          <w:szCs w:val="22"/>
          <w:highlight w:val="none"/>
          <w:lang w:val="en-US" w:eastAsia="zh-CN"/>
        </w:rPr>
        <w:t>515802818</w:t>
      </w:r>
      <w:r>
        <w:rPr>
          <w:rStyle w:val="61"/>
          <w:rFonts w:hint="eastAsia" w:ascii="宋体" w:hAnsi="宋体" w:eastAsia="宋体" w:cs="宋体"/>
          <w:color w:val="auto"/>
          <w:sz w:val="22"/>
          <w:szCs w:val="22"/>
          <w:highlight w:val="none"/>
        </w:rPr>
        <w:t>@qq.com</w:t>
      </w:r>
      <w:r>
        <w:rPr>
          <w:rStyle w:val="61"/>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w:t>
      </w:r>
    </w:p>
    <w:p w14:paraId="7FA612C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四、提交投标文件截止时间、开标时间和地点</w:t>
      </w:r>
    </w:p>
    <w:p w14:paraId="111F6405">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投标截止时间：</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日09：30：00分整 </w:t>
      </w:r>
    </w:p>
    <w:p w14:paraId="0B341611">
      <w:pPr>
        <w:spacing w:line="460" w:lineRule="exact"/>
        <w:ind w:firstLine="442"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投标地址：</w:t>
      </w:r>
      <w:r>
        <w:rPr>
          <w:rFonts w:hint="eastAsia" w:ascii="宋体" w:hAnsi="宋体" w:cs="宋体"/>
          <w:color w:val="auto"/>
          <w:sz w:val="22"/>
          <w:szCs w:val="22"/>
          <w:highlight w:val="none"/>
          <w:lang w:eastAsia="zh-CN"/>
        </w:rPr>
        <w:t>温州市会展路119号温州市消防救援支队8楼开标室</w:t>
      </w:r>
    </w:p>
    <w:p w14:paraId="23E799CB">
      <w:pPr>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开标时间：</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日09：30：00分整</w:t>
      </w:r>
    </w:p>
    <w:p w14:paraId="79B89F3B">
      <w:pPr>
        <w:spacing w:line="460" w:lineRule="exact"/>
        <w:ind w:firstLine="442" w:firstLineChars="20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开标地址：</w:t>
      </w:r>
      <w:r>
        <w:rPr>
          <w:rFonts w:hint="eastAsia" w:ascii="宋体" w:hAnsi="宋体" w:cs="宋体"/>
          <w:color w:val="auto"/>
          <w:sz w:val="22"/>
          <w:szCs w:val="22"/>
          <w:highlight w:val="none"/>
          <w:lang w:eastAsia="zh-CN"/>
        </w:rPr>
        <w:t>温州市会展路119号温州市消防救援支队8楼开标室</w:t>
      </w:r>
    </w:p>
    <w:p w14:paraId="0BC2DA0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五、公告及公告期限</w:t>
      </w:r>
    </w:p>
    <w:p w14:paraId="3E37FE8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本项目公告发布在中国政府采购网，网址：http：//www.ccgp.gov.cn/</w:t>
      </w:r>
    </w:p>
    <w:p w14:paraId="0442F293">
      <w:pPr>
        <w:spacing w:line="460" w:lineRule="exact"/>
        <w:ind w:firstLine="440" w:firstLineChars="200"/>
        <w:rPr>
          <w:rFonts w:hint="eastAsia" w:ascii="宋体" w:hAnsi="宋体" w:eastAsia="宋体" w:cs="宋体"/>
          <w:color w:val="auto"/>
          <w:sz w:val="22"/>
          <w:szCs w:val="22"/>
          <w:highlight w:val="yellow"/>
        </w:rPr>
      </w:pPr>
      <w:r>
        <w:rPr>
          <w:rFonts w:hint="eastAsia" w:ascii="宋体" w:hAnsi="宋体" w:eastAsia="宋体" w:cs="宋体"/>
          <w:color w:val="auto"/>
          <w:sz w:val="22"/>
          <w:szCs w:val="22"/>
          <w:highlight w:val="yellow"/>
        </w:rPr>
        <w:t>本项目公告发布在</w:t>
      </w:r>
      <w:r>
        <w:rPr>
          <w:rFonts w:hint="eastAsia" w:ascii="宋体" w:hAnsi="宋体" w:cs="宋体"/>
          <w:color w:val="auto"/>
          <w:sz w:val="22"/>
          <w:szCs w:val="22"/>
          <w:highlight w:val="yellow"/>
          <w:lang w:val="en-US" w:eastAsia="zh-CN"/>
        </w:rPr>
        <w:t>浙江政府采购网</w:t>
      </w:r>
      <w:r>
        <w:rPr>
          <w:rFonts w:hint="eastAsia" w:ascii="宋体" w:hAnsi="宋体" w:cs="宋体"/>
          <w:color w:val="auto"/>
          <w:sz w:val="22"/>
          <w:szCs w:val="22"/>
          <w:highlight w:val="yellow"/>
          <w:lang w:eastAsia="zh-CN"/>
        </w:rPr>
        <w:t>，</w:t>
      </w:r>
      <w:r>
        <w:rPr>
          <w:rFonts w:hint="eastAsia" w:ascii="宋体" w:hAnsi="宋体" w:eastAsia="宋体" w:cs="宋体"/>
          <w:color w:val="auto"/>
          <w:sz w:val="22"/>
          <w:szCs w:val="22"/>
          <w:highlight w:val="yellow"/>
        </w:rPr>
        <w:t>网址：https://zfcg.czt.zj.gov.cn/</w:t>
      </w:r>
    </w:p>
    <w:p w14:paraId="448FE174">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自本公告发布之日起5个工作日。</w:t>
      </w:r>
    </w:p>
    <w:p w14:paraId="1F241A3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六、其他补充事宜</w:t>
      </w:r>
    </w:p>
    <w:p w14:paraId="32F8394A">
      <w:pPr>
        <w:spacing w:line="460" w:lineRule="exact"/>
        <w:ind w:firstLine="440" w:firstLineChars="200"/>
        <w:rPr>
          <w:rFonts w:hint="eastAsia" w:ascii="宋体" w:hAnsi="宋体" w:eastAsia="宋体" w:cs="宋体"/>
          <w:color w:val="auto"/>
          <w:kern w:val="0"/>
          <w:sz w:val="22"/>
          <w:szCs w:val="22"/>
          <w:highlight w:val="none"/>
        </w:rPr>
      </w:pPr>
      <w:bookmarkStart w:id="4" w:name="_Toc10657"/>
      <w:r>
        <w:rPr>
          <w:rFonts w:hint="eastAsia" w:ascii="宋体" w:hAnsi="宋体" w:eastAsia="宋体" w:cs="宋体"/>
          <w:color w:val="auto"/>
          <w:kern w:val="0"/>
          <w:sz w:val="22"/>
          <w:szCs w:val="22"/>
          <w:highlight w:val="none"/>
        </w:rPr>
        <w:t>1、</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认为招标文件使自己的权益受到损害的，可以自收到招标文件之日（获取截止日之后收到招标文件的，以获取截止日为准）或者招标文件公告期限届满之日（公告发布后的第7个工作日）起7个工作日内，以书面形式向</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和</w:t>
      </w:r>
      <w:r>
        <w:rPr>
          <w:rFonts w:hint="eastAsia" w:ascii="宋体" w:hAnsi="宋体" w:cs="宋体"/>
          <w:color w:val="auto"/>
          <w:kern w:val="0"/>
          <w:sz w:val="22"/>
          <w:szCs w:val="22"/>
          <w:highlight w:val="none"/>
          <w:lang w:eastAsia="zh-CN"/>
        </w:rPr>
        <w:t>采购代理机构</w:t>
      </w:r>
      <w:r>
        <w:rPr>
          <w:rFonts w:hint="eastAsia" w:ascii="宋体" w:hAnsi="宋体" w:eastAsia="宋体" w:cs="宋体"/>
          <w:color w:val="auto"/>
          <w:kern w:val="0"/>
          <w:sz w:val="22"/>
          <w:szCs w:val="22"/>
          <w:highlight w:val="none"/>
        </w:rPr>
        <w:t>提出质疑。</w:t>
      </w:r>
    </w:p>
    <w:bookmarkEnd w:id="4"/>
    <w:p w14:paraId="7D51E4B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七、对本次招标提出询问、质疑、投诉，请按以下方式联系</w:t>
      </w:r>
    </w:p>
    <w:p w14:paraId="7D4CAA0A">
      <w:pPr>
        <w:spacing w:line="460" w:lineRule="exact"/>
        <w:ind w:firstLine="440" w:firstLineChars="200"/>
        <w:rPr>
          <w:rFonts w:hint="eastAsia" w:ascii="宋体" w:hAnsi="宋体" w:eastAsia="宋体" w:cs="宋体"/>
          <w:color w:val="auto"/>
          <w:sz w:val="22"/>
          <w:szCs w:val="22"/>
          <w:highlight w:val="none"/>
        </w:rPr>
      </w:pPr>
      <w:bookmarkStart w:id="5" w:name="_Toc35393795"/>
      <w:bookmarkStart w:id="6" w:name="_Toc35393626"/>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信息</w:t>
      </w:r>
    </w:p>
    <w:p w14:paraId="1C23F28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名称：温州市龙湾区消防救援大队</w:t>
      </w:r>
    </w:p>
    <w:p w14:paraId="1D524B26">
      <w:pPr>
        <w:spacing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地址：温州市龙湾区永中街道永宁西路666号</w:t>
      </w:r>
    </w:p>
    <w:p w14:paraId="0EF49F2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联系人：柳先生</w:t>
      </w:r>
    </w:p>
    <w:p w14:paraId="5432F4D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联系方式：13235790808</w:t>
      </w:r>
    </w:p>
    <w:p w14:paraId="2D6CDDC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信息</w:t>
      </w:r>
    </w:p>
    <w:p w14:paraId="33E2B52F">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名称：</w:t>
      </w:r>
      <w:r>
        <w:rPr>
          <w:rFonts w:hint="eastAsia" w:ascii="宋体" w:hAnsi="宋体" w:cs="宋体"/>
          <w:color w:val="auto"/>
          <w:sz w:val="22"/>
          <w:szCs w:val="22"/>
          <w:highlight w:val="none"/>
          <w:lang w:eastAsia="zh-CN"/>
        </w:rPr>
        <w:t>温州星阳工程项目管理有限公司</w:t>
      </w:r>
    </w:p>
    <w:p w14:paraId="62F6341F">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w:t>
      </w:r>
      <w:r>
        <w:rPr>
          <w:rFonts w:hint="eastAsia" w:ascii="宋体" w:hAnsi="宋体" w:cs="宋体"/>
          <w:color w:val="auto"/>
          <w:sz w:val="22"/>
          <w:szCs w:val="22"/>
          <w:highlight w:val="none"/>
          <w:lang w:eastAsia="zh-CN"/>
        </w:rPr>
        <w:t>温州市鹿城区南汇街道车站大道315号宏鼎大厦A栋1202室</w:t>
      </w:r>
    </w:p>
    <w:p w14:paraId="2FE78132">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rPr>
        <w:t>项目联系人：</w:t>
      </w:r>
      <w:r>
        <w:rPr>
          <w:rFonts w:hint="eastAsia" w:ascii="宋体" w:hAnsi="宋体" w:cs="宋体"/>
          <w:bCs/>
          <w:color w:val="auto"/>
          <w:sz w:val="22"/>
          <w:szCs w:val="22"/>
          <w:highlight w:val="none"/>
          <w:lang w:eastAsia="zh-CN"/>
        </w:rPr>
        <w:t>邹永和</w:t>
      </w:r>
    </w:p>
    <w:p w14:paraId="65C5F8E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r>
        <w:rPr>
          <w:rFonts w:hint="eastAsia" w:ascii="宋体" w:eastAsia="宋体" w:cs="Times New Roman"/>
          <w:b w:val="0"/>
          <w:bCs w:val="0"/>
          <w:color w:val="auto"/>
          <w:sz w:val="22"/>
          <w:szCs w:val="22"/>
        </w:rPr>
        <w:t>15057707652</w:t>
      </w:r>
      <w:r>
        <w:rPr>
          <w:rFonts w:hint="eastAsia" w:ascii="宋体" w:hAnsi="宋体" w:eastAsia="宋体" w:cs="宋体"/>
          <w:color w:val="auto"/>
          <w:sz w:val="22"/>
          <w:szCs w:val="22"/>
          <w:highlight w:val="none"/>
        </w:rPr>
        <w:t> </w:t>
      </w:r>
    </w:p>
    <w:p w14:paraId="1E4965A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质疑联系人：</w:t>
      </w:r>
      <w:r>
        <w:rPr>
          <w:rFonts w:hint="eastAsia" w:ascii="宋体" w:eastAsia="宋体"/>
          <w:b w:val="0"/>
          <w:bCs w:val="0"/>
          <w:color w:val="auto"/>
          <w:sz w:val="22"/>
          <w:szCs w:val="22"/>
          <w:lang w:eastAsia="zh-CN"/>
        </w:rPr>
        <w:t>刘必祥</w:t>
      </w:r>
    </w:p>
    <w:p w14:paraId="42C67B1D">
      <w:pPr>
        <w:spacing w:line="460" w:lineRule="exact"/>
        <w:ind w:firstLine="440" w:firstLineChars="200"/>
        <w:rPr>
          <w:rFonts w:hint="eastAsia" w:ascii="宋体" w:hAnsi="宋体" w:eastAsia="宋体" w:cs="宋体"/>
          <w:b/>
          <w:color w:val="auto"/>
          <w:sz w:val="30"/>
          <w:highlight w:val="none"/>
        </w:rPr>
      </w:pPr>
      <w:r>
        <w:rPr>
          <w:rFonts w:hint="eastAsia" w:ascii="宋体" w:hAnsi="宋体" w:eastAsia="宋体" w:cs="宋体"/>
          <w:color w:val="auto"/>
          <w:sz w:val="22"/>
          <w:szCs w:val="22"/>
          <w:highlight w:val="none"/>
        </w:rPr>
        <w:t>质疑联系方式：</w:t>
      </w:r>
      <w:r>
        <w:rPr>
          <w:rFonts w:hint="eastAsia" w:ascii="宋体" w:eastAsia="宋体"/>
          <w:b w:val="0"/>
          <w:bCs w:val="0"/>
          <w:color w:val="auto"/>
          <w:sz w:val="22"/>
          <w:szCs w:val="22"/>
          <w:lang w:eastAsia="zh-CN"/>
        </w:rPr>
        <w:t>18066445757</w:t>
      </w:r>
      <w:bookmarkEnd w:id="5"/>
      <w:bookmarkEnd w:id="6"/>
      <w:bookmarkStart w:id="7" w:name="_Toc3184"/>
    </w:p>
    <w:p w14:paraId="1A84A32A">
      <w:pPr>
        <w:pStyle w:val="23"/>
        <w:spacing w:line="460" w:lineRule="exact"/>
        <w:ind w:left="602" w:hanging="602"/>
        <w:jc w:val="center"/>
        <w:outlineLvl w:val="0"/>
        <w:rPr>
          <w:rFonts w:hint="eastAsia" w:ascii="宋体" w:hAnsi="宋体" w:eastAsia="宋体" w:cs="宋体"/>
          <w:b/>
          <w:color w:val="auto"/>
          <w:sz w:val="36"/>
          <w:szCs w:val="36"/>
          <w:highlight w:val="none"/>
        </w:rPr>
      </w:pPr>
    </w:p>
    <w:p w14:paraId="2334EB40">
      <w:pPr>
        <w:pStyle w:val="23"/>
        <w:spacing w:line="460" w:lineRule="exact"/>
        <w:ind w:left="602" w:hanging="602"/>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第一部分  投标人须知</w:t>
      </w:r>
      <w:bookmarkEnd w:id="7"/>
    </w:p>
    <w:p w14:paraId="0489D1ED">
      <w:pPr>
        <w:keepNext/>
        <w:keepLines/>
        <w:shd w:val="clear" w:color="auto" w:fill="FFFFFF"/>
        <w:tabs>
          <w:tab w:val="left" w:pos="706"/>
        </w:tabs>
        <w:snapToGrid w:val="0"/>
        <w:spacing w:line="460" w:lineRule="exact"/>
        <w:jc w:val="center"/>
        <w:outlineLvl w:val="1"/>
        <w:rPr>
          <w:rFonts w:hint="eastAsia" w:ascii="宋体" w:hAnsi="宋体" w:eastAsia="宋体" w:cs="宋体"/>
          <w:b/>
          <w:bCs/>
          <w:color w:val="auto"/>
          <w:sz w:val="22"/>
          <w:szCs w:val="22"/>
          <w:highlight w:val="none"/>
        </w:rPr>
      </w:pPr>
      <w:bookmarkStart w:id="8" w:name="_Toc28809"/>
      <w:bookmarkStart w:id="9" w:name="_Toc33194387"/>
      <w:bookmarkStart w:id="10" w:name="_Toc22207"/>
      <w:bookmarkStart w:id="11" w:name="_Toc354996695"/>
      <w:bookmarkStart w:id="12" w:name="_Toc28581"/>
      <w:bookmarkStart w:id="13" w:name="_Toc233618971"/>
      <w:bookmarkStart w:id="14" w:name="_Toc10207"/>
      <w:bookmarkStart w:id="15" w:name="_Toc6774"/>
      <w:bookmarkStart w:id="16" w:name="_Toc30636"/>
      <w:r>
        <w:rPr>
          <w:rFonts w:hint="eastAsia" w:ascii="宋体" w:hAnsi="宋体" w:eastAsia="宋体" w:cs="宋体"/>
          <w:b/>
          <w:bCs/>
          <w:color w:val="auto"/>
          <w:sz w:val="22"/>
          <w:szCs w:val="22"/>
          <w:highlight w:val="none"/>
        </w:rPr>
        <w:t>前 附 表</w:t>
      </w:r>
      <w:bookmarkEnd w:id="8"/>
      <w:bookmarkEnd w:id="9"/>
      <w:bookmarkEnd w:id="10"/>
      <w:bookmarkEnd w:id="11"/>
      <w:bookmarkEnd w:id="12"/>
      <w:bookmarkEnd w:id="13"/>
      <w:bookmarkEnd w:id="14"/>
      <w:bookmarkEnd w:id="15"/>
      <w:bookmarkEnd w:id="16"/>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1"/>
        <w:gridCol w:w="8981"/>
      </w:tblGrid>
      <w:tr w14:paraId="4A57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41B1A50F">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8981" w:type="dxa"/>
            <w:shd w:val="clear" w:color="auto" w:fill="FFFFFF"/>
            <w:vAlign w:val="center"/>
          </w:tcPr>
          <w:p w14:paraId="31408408">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14:paraId="7A0D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6" w:hRule="atLeast"/>
          <w:jc w:val="center"/>
        </w:trPr>
        <w:tc>
          <w:tcPr>
            <w:tcW w:w="601" w:type="dxa"/>
            <w:shd w:val="clear" w:color="auto" w:fill="FFFFFF"/>
            <w:vAlign w:val="center"/>
          </w:tcPr>
          <w:p w14:paraId="1E23DBA8">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8981" w:type="dxa"/>
            <w:shd w:val="clear" w:color="auto" w:fill="FFFFFF"/>
          </w:tcPr>
          <w:p w14:paraId="77ADFE07">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color w:val="auto"/>
                <w:sz w:val="22"/>
                <w:szCs w:val="22"/>
                <w:highlight w:val="none"/>
              </w:rPr>
              <w:t>一、项目名称：</w:t>
            </w:r>
            <w:r>
              <w:rPr>
                <w:rFonts w:hint="eastAsia" w:ascii="宋体" w:hAnsi="宋体" w:cs="宋体"/>
                <w:b/>
                <w:color w:val="auto"/>
                <w:sz w:val="22"/>
                <w:szCs w:val="22"/>
                <w:highlight w:val="none"/>
                <w:lang w:eastAsia="zh-CN"/>
              </w:rPr>
              <w:t>温州市龙湾区消防救援大队食堂原材料采购及配送</w:t>
            </w:r>
          </w:p>
          <w:p w14:paraId="48663C5B">
            <w:pPr>
              <w:spacing w:line="460" w:lineRule="exact"/>
              <w:rPr>
                <w:rFonts w:hint="eastAsia" w:ascii="宋体" w:hAnsi="宋体" w:eastAsia="宋体" w:cs="宋体"/>
                <w:b/>
                <w:color w:val="auto"/>
                <w:sz w:val="22"/>
                <w:szCs w:val="22"/>
                <w:highlight w:val="none"/>
              </w:rPr>
            </w:pPr>
            <w:bookmarkStart w:id="17" w:name="_Hlt75139851"/>
            <w:bookmarkEnd w:id="17"/>
            <w:r>
              <w:rPr>
                <w:rFonts w:hint="eastAsia" w:ascii="宋体" w:hAnsi="宋体" w:eastAsia="宋体" w:cs="宋体"/>
                <w:b/>
                <w:color w:val="auto"/>
                <w:sz w:val="22"/>
                <w:szCs w:val="22"/>
                <w:highlight w:val="none"/>
              </w:rPr>
              <w:t>二、招标内容：</w:t>
            </w:r>
          </w:p>
          <w:tbl>
            <w:tblPr>
              <w:tblStyle w:val="51"/>
              <w:tblW w:w="0" w:type="auto"/>
              <w:jc w:val="center"/>
              <w:tblLayout w:type="fixed"/>
              <w:tblCellMar>
                <w:top w:w="0" w:type="dxa"/>
                <w:left w:w="108" w:type="dxa"/>
                <w:bottom w:w="0" w:type="dxa"/>
                <w:right w:w="108" w:type="dxa"/>
              </w:tblCellMar>
            </w:tblPr>
            <w:tblGrid>
              <w:gridCol w:w="687"/>
              <w:gridCol w:w="2721"/>
              <w:gridCol w:w="1100"/>
              <w:gridCol w:w="1910"/>
              <w:gridCol w:w="2305"/>
            </w:tblGrid>
            <w:tr w14:paraId="4A7267CD">
              <w:tblPrEx>
                <w:tblCellMar>
                  <w:top w:w="0" w:type="dxa"/>
                  <w:left w:w="108" w:type="dxa"/>
                  <w:bottom w:w="0" w:type="dxa"/>
                  <w:right w:w="108" w:type="dxa"/>
                </w:tblCellMar>
              </w:tblPrEx>
              <w:trPr>
                <w:trHeight w:val="350"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14:paraId="6C312B20">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721" w:type="dxa"/>
                  <w:tcBorders>
                    <w:top w:val="single" w:color="auto" w:sz="4" w:space="0"/>
                    <w:left w:val="nil"/>
                    <w:bottom w:val="single" w:color="auto" w:sz="4" w:space="0"/>
                    <w:right w:val="single" w:color="auto" w:sz="4" w:space="0"/>
                  </w:tcBorders>
                  <w:vAlign w:val="center"/>
                </w:tcPr>
                <w:p w14:paraId="477B202B">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项目内容</w:t>
                  </w:r>
                </w:p>
              </w:tc>
              <w:tc>
                <w:tcPr>
                  <w:tcW w:w="1100" w:type="dxa"/>
                  <w:tcBorders>
                    <w:top w:val="single" w:color="auto" w:sz="4" w:space="0"/>
                    <w:left w:val="nil"/>
                    <w:bottom w:val="single" w:color="auto" w:sz="4" w:space="0"/>
                    <w:right w:val="single" w:color="auto" w:sz="4" w:space="0"/>
                  </w:tcBorders>
                  <w:vAlign w:val="center"/>
                </w:tcPr>
                <w:p w14:paraId="697CA9EC">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910" w:type="dxa"/>
                  <w:tcBorders>
                    <w:top w:val="single" w:color="auto" w:sz="4" w:space="0"/>
                    <w:left w:val="nil"/>
                    <w:bottom w:val="single" w:color="auto" w:sz="4" w:space="0"/>
                    <w:right w:val="single" w:color="auto" w:sz="4" w:space="0"/>
                  </w:tcBorders>
                  <w:vAlign w:val="center"/>
                </w:tcPr>
                <w:p w14:paraId="3BFFD3A9">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预算金额最高限价（元）</w:t>
                  </w:r>
                </w:p>
              </w:tc>
              <w:tc>
                <w:tcPr>
                  <w:tcW w:w="2305" w:type="dxa"/>
                  <w:tcBorders>
                    <w:top w:val="single" w:color="auto" w:sz="4" w:space="0"/>
                    <w:left w:val="nil"/>
                    <w:bottom w:val="single" w:color="auto" w:sz="4" w:space="0"/>
                    <w:right w:val="single" w:color="auto" w:sz="4" w:space="0"/>
                  </w:tcBorders>
                  <w:vAlign w:val="center"/>
                </w:tcPr>
                <w:p w14:paraId="1A2FF8A9">
                  <w:pPr>
                    <w:tabs>
                      <w:tab w:val="left" w:pos="360"/>
                    </w:tabs>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r>
            <w:tr w14:paraId="734220D0">
              <w:tblPrEx>
                <w:tblCellMar>
                  <w:top w:w="0" w:type="dxa"/>
                  <w:left w:w="108" w:type="dxa"/>
                  <w:bottom w:w="0" w:type="dxa"/>
                  <w:right w:w="108" w:type="dxa"/>
                </w:tblCellMar>
              </w:tblPrEx>
              <w:trPr>
                <w:trHeight w:val="619" w:hRule="atLeast"/>
                <w:jc w:val="center"/>
              </w:trPr>
              <w:tc>
                <w:tcPr>
                  <w:tcW w:w="687" w:type="dxa"/>
                  <w:tcBorders>
                    <w:top w:val="nil"/>
                    <w:left w:val="single" w:color="auto" w:sz="4" w:space="0"/>
                    <w:bottom w:val="single" w:color="auto" w:sz="4" w:space="0"/>
                    <w:right w:val="single" w:color="auto" w:sz="4" w:space="0"/>
                  </w:tcBorders>
                  <w:vAlign w:val="center"/>
                </w:tcPr>
                <w:p w14:paraId="19744B93">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721" w:type="dxa"/>
                  <w:tcBorders>
                    <w:top w:val="nil"/>
                    <w:left w:val="nil"/>
                    <w:bottom w:val="single" w:color="auto" w:sz="4" w:space="0"/>
                    <w:right w:val="single" w:color="auto" w:sz="4" w:space="0"/>
                  </w:tcBorders>
                  <w:vAlign w:val="center"/>
                </w:tcPr>
                <w:p w14:paraId="199A4E44">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温州市龙湾区消防救援大队食堂原材料采购及配送</w:t>
                  </w:r>
                </w:p>
              </w:tc>
              <w:tc>
                <w:tcPr>
                  <w:tcW w:w="1100" w:type="dxa"/>
                  <w:tcBorders>
                    <w:top w:val="nil"/>
                    <w:left w:val="nil"/>
                    <w:bottom w:val="single" w:color="auto" w:sz="4" w:space="0"/>
                    <w:right w:val="single" w:color="auto" w:sz="4" w:space="0"/>
                  </w:tcBorders>
                  <w:vAlign w:val="center"/>
                </w:tcPr>
                <w:p w14:paraId="5AE23794">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1年</w:t>
                  </w:r>
                </w:p>
              </w:tc>
              <w:tc>
                <w:tcPr>
                  <w:tcW w:w="1910" w:type="dxa"/>
                  <w:tcBorders>
                    <w:top w:val="nil"/>
                    <w:left w:val="nil"/>
                    <w:bottom w:val="single" w:color="auto" w:sz="4" w:space="0"/>
                    <w:right w:val="single" w:color="auto" w:sz="4" w:space="0"/>
                  </w:tcBorders>
                  <w:vAlign w:val="center"/>
                </w:tcPr>
                <w:p w14:paraId="31C74092">
                  <w:pPr>
                    <w:tabs>
                      <w:tab w:val="left" w:pos="360"/>
                    </w:tabs>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eastAsia="zh-CN"/>
                    </w:rPr>
                    <w:t>2</w:t>
                  </w:r>
                  <w:r>
                    <w:rPr>
                      <w:rFonts w:hint="eastAsia" w:ascii="宋体" w:hAnsi="宋体" w:cs="宋体"/>
                      <w:color w:val="auto"/>
                      <w:kern w:val="0"/>
                      <w:sz w:val="22"/>
                      <w:szCs w:val="22"/>
                      <w:highlight w:val="none"/>
                      <w:lang w:val="en-US" w:eastAsia="zh-CN"/>
                    </w:rPr>
                    <w:t>286271.52</w:t>
                  </w:r>
                </w:p>
              </w:tc>
              <w:tc>
                <w:tcPr>
                  <w:tcW w:w="2305" w:type="dxa"/>
                  <w:tcBorders>
                    <w:top w:val="nil"/>
                    <w:left w:val="nil"/>
                    <w:bottom w:val="single" w:color="auto" w:sz="4" w:space="0"/>
                    <w:right w:val="single" w:color="auto" w:sz="4" w:space="0"/>
                  </w:tcBorders>
                  <w:vAlign w:val="center"/>
                </w:tcPr>
                <w:p w14:paraId="000427D7">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详见第四部分 招标内容及要求</w:t>
                  </w:r>
                </w:p>
              </w:tc>
            </w:tr>
          </w:tbl>
          <w:p w14:paraId="5D7561DE">
            <w:pPr>
              <w:spacing w:line="460" w:lineRule="exact"/>
              <w:rPr>
                <w:rFonts w:hint="eastAsia" w:ascii="宋体" w:hAnsi="宋体" w:eastAsia="宋体" w:cs="宋体"/>
                <w:b/>
                <w:bCs/>
                <w:color w:val="auto"/>
                <w:sz w:val="22"/>
                <w:szCs w:val="22"/>
                <w:highlight w:val="none"/>
              </w:rPr>
            </w:pPr>
          </w:p>
        </w:tc>
      </w:tr>
      <w:tr w14:paraId="272E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601" w:type="dxa"/>
            <w:shd w:val="clear" w:color="auto" w:fill="FFFFFF"/>
            <w:vAlign w:val="center"/>
          </w:tcPr>
          <w:p w14:paraId="12A8827A">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8981" w:type="dxa"/>
            <w:shd w:val="clear" w:color="auto" w:fill="FFFFFF"/>
            <w:vAlign w:val="center"/>
          </w:tcPr>
          <w:p w14:paraId="217319C8">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投标有效期：</w:t>
            </w:r>
            <w:r>
              <w:rPr>
                <w:rFonts w:hint="eastAsia" w:ascii="宋体" w:hAnsi="宋体" w:eastAsia="宋体" w:cs="宋体"/>
                <w:color w:val="auto"/>
                <w:sz w:val="22"/>
                <w:szCs w:val="22"/>
                <w:highlight w:val="none"/>
              </w:rPr>
              <w:t>自投标文件递交截止日起90天。</w:t>
            </w:r>
          </w:p>
        </w:tc>
      </w:tr>
      <w:tr w14:paraId="5931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 w:hRule="atLeast"/>
          <w:jc w:val="center"/>
        </w:trPr>
        <w:tc>
          <w:tcPr>
            <w:tcW w:w="601" w:type="dxa"/>
            <w:shd w:val="clear" w:color="auto" w:fill="FFFFFF"/>
            <w:vAlign w:val="center"/>
          </w:tcPr>
          <w:p w14:paraId="57B51E09">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8981" w:type="dxa"/>
            <w:shd w:val="clear" w:color="auto" w:fill="FFFFFF"/>
            <w:vAlign w:val="center"/>
          </w:tcPr>
          <w:p w14:paraId="356D1754">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14:paraId="3C72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jc w:val="center"/>
        </w:trPr>
        <w:tc>
          <w:tcPr>
            <w:tcW w:w="601" w:type="dxa"/>
            <w:shd w:val="clear" w:color="auto" w:fill="FFFFFF"/>
            <w:vAlign w:val="center"/>
          </w:tcPr>
          <w:p w14:paraId="401D7B49">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8981" w:type="dxa"/>
            <w:shd w:val="clear" w:color="auto" w:fill="FFFFFF"/>
            <w:vAlign w:val="center"/>
          </w:tcPr>
          <w:p w14:paraId="2EB03AC4">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cs="宋体"/>
                <w:b/>
                <w:bCs/>
                <w:color w:val="auto"/>
                <w:sz w:val="22"/>
                <w:szCs w:val="22"/>
              </w:rPr>
              <w:t>根据国家计委计价格【2002】1980号《招标代理服务收费管理暂行办法》规定按预算金额的差额定率累计法八折计算收取</w:t>
            </w:r>
            <w:r>
              <w:rPr>
                <w:rFonts w:hint="eastAsia" w:ascii="宋体" w:hAnsi="宋体" w:eastAsia="宋体" w:cs="宋体"/>
                <w:b/>
                <w:bCs/>
                <w:color w:val="auto"/>
                <w:sz w:val="22"/>
                <w:szCs w:val="22"/>
                <w:highlight w:val="none"/>
              </w:rPr>
              <w:t>。</w:t>
            </w:r>
          </w:p>
          <w:p w14:paraId="128B9BAC">
            <w:pPr>
              <w:pStyle w:val="2"/>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rPr>
              <w:t>开户银行：交通银行温州分行营业部</w:t>
            </w:r>
          </w:p>
          <w:p w14:paraId="09655A32">
            <w:pPr>
              <w:pStyle w:val="2"/>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rPr>
              <w:t>开户名称：温州星阳工程项目管理有限公司</w:t>
            </w:r>
          </w:p>
          <w:p w14:paraId="6370B718">
            <w:pPr>
              <w:pStyle w:val="2"/>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rPr>
              <w:t>开户账号：333501500013000518310</w:t>
            </w:r>
          </w:p>
          <w:p w14:paraId="483011A8">
            <w:pPr>
              <w:pStyle w:val="2"/>
              <w:adjustRightInd w:val="0"/>
              <w:snapToGrid w:val="0"/>
              <w:spacing w:line="410" w:lineRule="atLeast"/>
              <w:ind w:firstLine="433" w:firstLineChars="197"/>
              <w:rPr>
                <w:rFonts w:hint="eastAsia" w:ascii="宋体" w:hAnsi="宋体" w:eastAsia="宋体" w:cs="宋体"/>
                <w:color w:val="auto"/>
                <w:sz w:val="22"/>
                <w:szCs w:val="22"/>
                <w:highlight w:val="none"/>
              </w:rPr>
            </w:pPr>
            <w:r>
              <w:rPr>
                <w:rFonts w:hint="eastAsia" w:ascii="宋体" w:hAnsi="Courier New" w:eastAsia="宋体" w:cs="宋体"/>
                <w:b w:val="0"/>
                <w:bCs/>
                <w:color w:val="auto"/>
                <w:sz w:val="22"/>
                <w:szCs w:val="22"/>
              </w:rPr>
              <w:t>支付行号:</w:t>
            </w:r>
            <w:r>
              <w:rPr>
                <w:rFonts w:hint="eastAsia" w:ascii="宋体" w:hAnsi="Courier New" w:eastAsia="宋体" w:cs="宋体"/>
                <w:b w:val="0"/>
                <w:bCs/>
                <w:color w:val="auto"/>
                <w:sz w:val="22"/>
                <w:szCs w:val="22"/>
                <w:lang w:val="en-US" w:eastAsia="zh-CN"/>
              </w:rPr>
              <w:t xml:space="preserve"> </w:t>
            </w:r>
            <w:r>
              <w:rPr>
                <w:rFonts w:hint="eastAsia" w:ascii="宋体" w:hAnsi="Courier New" w:eastAsia="宋体" w:cs="宋体"/>
                <w:b w:val="0"/>
                <w:bCs/>
                <w:color w:val="auto"/>
                <w:sz w:val="22"/>
                <w:szCs w:val="22"/>
              </w:rPr>
              <w:t>301333000188</w:t>
            </w:r>
          </w:p>
        </w:tc>
      </w:tr>
      <w:tr w14:paraId="785C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37F2F500">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8981" w:type="dxa"/>
            <w:shd w:val="clear" w:color="auto" w:fill="FFFFFF"/>
            <w:vAlign w:val="center"/>
          </w:tcPr>
          <w:p w14:paraId="78CE36FE">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投标人应根据招标文件中所提供的格式，内容按顺序填写并装订成册并密封。</w:t>
            </w:r>
          </w:p>
        </w:tc>
      </w:tr>
      <w:tr w14:paraId="309F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1" w:type="dxa"/>
            <w:shd w:val="clear" w:color="auto" w:fill="FFFFFF"/>
            <w:vAlign w:val="center"/>
          </w:tcPr>
          <w:p w14:paraId="18BE23C6">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8981" w:type="dxa"/>
            <w:shd w:val="clear" w:color="auto" w:fill="FFFFFF"/>
            <w:vAlign w:val="center"/>
          </w:tcPr>
          <w:p w14:paraId="7BD2AF1F">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法人授权代表签字并加盖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公章。</w:t>
            </w:r>
          </w:p>
        </w:tc>
      </w:tr>
      <w:tr w14:paraId="227D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01B75EE8">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8981" w:type="dxa"/>
            <w:shd w:val="clear" w:color="auto" w:fill="FFFFFF"/>
            <w:vAlign w:val="center"/>
          </w:tcPr>
          <w:p w14:paraId="17F82D40">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☑线下纸质投标文件</w:t>
            </w:r>
          </w:p>
        </w:tc>
      </w:tr>
      <w:tr w14:paraId="0F62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64D6B09F">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8981" w:type="dxa"/>
            <w:shd w:val="clear" w:color="auto" w:fill="FFFFFF"/>
            <w:vAlign w:val="center"/>
          </w:tcPr>
          <w:p w14:paraId="7019CB26">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投标文件份数：</w:t>
            </w:r>
            <w:r>
              <w:rPr>
                <w:rFonts w:hint="eastAsia" w:ascii="宋体" w:hAnsi="宋体" w:eastAsia="宋体" w:cs="宋体"/>
                <w:bCs/>
                <w:color w:val="auto"/>
                <w:sz w:val="22"/>
                <w:szCs w:val="22"/>
                <w:highlight w:val="none"/>
              </w:rPr>
              <w:t>投标人应提供技术标、商务（报价）标各一式五份的投标文件，分别装订成册。其中正本一份、副本四份，每套投标文件的封面应清楚标明“正本”或“副本”字样，若“正本”与“副本”不符，以“正本”为准。</w:t>
            </w:r>
          </w:p>
        </w:tc>
      </w:tr>
      <w:tr w14:paraId="6115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601" w:type="dxa"/>
            <w:shd w:val="clear" w:color="auto" w:fill="FFFFFF"/>
            <w:vAlign w:val="center"/>
          </w:tcPr>
          <w:p w14:paraId="093D9574">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8981" w:type="dxa"/>
            <w:shd w:val="clear" w:color="auto" w:fill="FFFFFF"/>
            <w:vAlign w:val="center"/>
          </w:tcPr>
          <w:p w14:paraId="1758FBCC">
            <w:pPr>
              <w:spacing w:line="460" w:lineRule="exact"/>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投标文件的密封及标记：</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必须将投标文件装袋密封，内装正、副本共</w:t>
            </w:r>
            <w:r>
              <w:rPr>
                <w:rFonts w:hint="eastAsia" w:ascii="宋体" w:hAnsi="宋体" w:cs="宋体"/>
                <w:bCs/>
                <w:color w:val="auto"/>
                <w:sz w:val="22"/>
                <w:szCs w:val="22"/>
                <w:highlight w:val="none"/>
                <w:lang w:eastAsia="zh-CN"/>
              </w:rPr>
              <w:t>五</w:t>
            </w:r>
            <w:r>
              <w:rPr>
                <w:rFonts w:hint="eastAsia" w:ascii="宋体" w:hAnsi="宋体" w:eastAsia="宋体" w:cs="宋体"/>
                <w:bCs/>
                <w:color w:val="auto"/>
                <w:sz w:val="22"/>
                <w:szCs w:val="22"/>
                <w:highlight w:val="none"/>
              </w:rPr>
              <w:t>份。封口处贴上封条，骑缝处加盖</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单位公章或由</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代表签字。封皮上写明项目名称、编号、</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名称、地址、电话、联系人，并注明“开标时启封”字样。</w:t>
            </w:r>
          </w:p>
          <w:p w14:paraId="0A97E412">
            <w:pPr>
              <w:spacing w:line="460" w:lineRule="exact"/>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电子文档：投标文件正本扫描件一份（签字盖章，PDF格式），以U盘形式（</w:t>
            </w:r>
            <w:r>
              <w:rPr>
                <w:rFonts w:hint="eastAsia" w:ascii="宋体" w:hAnsi="宋体" w:cs="宋体"/>
                <w:b/>
                <w:bCs/>
                <w:color w:val="auto"/>
                <w:sz w:val="22"/>
                <w:szCs w:val="22"/>
              </w:rPr>
              <w:t>装入商务（报价）标密封袋</w:t>
            </w:r>
            <w:r>
              <w:rPr>
                <w:rFonts w:hint="eastAsia" w:ascii="宋体" w:hAnsi="宋体" w:eastAsia="宋体" w:cs="宋体"/>
                <w:b/>
                <w:bCs/>
                <w:color w:val="auto"/>
                <w:sz w:val="22"/>
                <w:szCs w:val="22"/>
                <w:highlight w:val="none"/>
              </w:rPr>
              <w:t>）提交。</w:t>
            </w:r>
          </w:p>
        </w:tc>
      </w:tr>
      <w:tr w14:paraId="6A59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5" w:hRule="atLeast"/>
          <w:jc w:val="center"/>
        </w:trPr>
        <w:tc>
          <w:tcPr>
            <w:tcW w:w="601" w:type="dxa"/>
            <w:shd w:val="clear" w:color="auto" w:fill="FFFFFF"/>
            <w:vAlign w:val="center"/>
          </w:tcPr>
          <w:p w14:paraId="006D48C3">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8981" w:type="dxa"/>
            <w:shd w:val="clear" w:color="auto" w:fill="FFFFFF"/>
            <w:vAlign w:val="center"/>
          </w:tcPr>
          <w:p w14:paraId="0EE7FB0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投标文件递交截止时间：</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日09：30。</w:t>
            </w:r>
          </w:p>
          <w:p w14:paraId="1F8C9B73">
            <w:pPr>
              <w:pStyle w:val="9"/>
              <w:spacing w:line="460" w:lineRule="exact"/>
              <w:ind w:firstLine="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投标文件递交截止地点：</w:t>
            </w:r>
            <w:r>
              <w:rPr>
                <w:rFonts w:hint="eastAsia" w:ascii="宋体" w:hAnsi="宋体" w:cs="宋体"/>
                <w:color w:val="auto"/>
                <w:sz w:val="22"/>
                <w:szCs w:val="22"/>
                <w:highlight w:val="none"/>
                <w:lang w:eastAsia="zh-CN"/>
              </w:rPr>
              <w:t>温州市会展路119号温州市消防救援支队8楼开标室</w:t>
            </w:r>
          </w:p>
        </w:tc>
      </w:tr>
      <w:tr w14:paraId="3B33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4A379112">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8981" w:type="dxa"/>
            <w:shd w:val="clear" w:color="auto" w:fill="FFFFFF"/>
            <w:vAlign w:val="center"/>
          </w:tcPr>
          <w:p w14:paraId="1F9DCBC4">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开标时间：</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日09：30。</w:t>
            </w:r>
          </w:p>
          <w:p w14:paraId="5A452E1A">
            <w:pPr>
              <w:widowControl/>
              <w:snapToGrid w:val="0"/>
              <w:spacing w:line="46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开标地点：</w:t>
            </w:r>
            <w:r>
              <w:rPr>
                <w:rFonts w:hint="eastAsia" w:ascii="宋体" w:hAnsi="宋体" w:cs="宋体"/>
                <w:color w:val="auto"/>
                <w:sz w:val="22"/>
                <w:szCs w:val="22"/>
                <w:highlight w:val="none"/>
                <w:lang w:eastAsia="zh-CN"/>
              </w:rPr>
              <w:t>温州市会展路119号温州市消防救援支队8楼开标室</w:t>
            </w:r>
          </w:p>
        </w:tc>
      </w:tr>
      <w:tr w14:paraId="0669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52226157">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8981" w:type="dxa"/>
            <w:shd w:val="clear" w:color="auto" w:fill="FFFFFF"/>
            <w:vAlign w:val="center"/>
          </w:tcPr>
          <w:p w14:paraId="50A78295">
            <w:pPr>
              <w:widowControl/>
              <w:snapToGrid w:val="0"/>
              <w:spacing w:line="460" w:lineRule="exact"/>
              <w:jc w:val="lef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14:paraId="66BD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601" w:type="dxa"/>
            <w:shd w:val="clear" w:color="auto" w:fill="FFFFFF"/>
            <w:vAlign w:val="center"/>
          </w:tcPr>
          <w:p w14:paraId="51F628CA">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w:t>
            </w:r>
          </w:p>
        </w:tc>
        <w:tc>
          <w:tcPr>
            <w:tcW w:w="8981" w:type="dxa"/>
            <w:shd w:val="clear" w:color="auto" w:fill="FFFFFF"/>
            <w:vAlign w:val="center"/>
          </w:tcPr>
          <w:p w14:paraId="5E0B5220">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1、扶持中小企业（监狱企业、残疾人福利性单位）：</w:t>
            </w:r>
          </w:p>
          <w:p w14:paraId="380632C8">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E57783D">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（1）项目预算</w:t>
            </w:r>
            <w:r>
              <w:rPr>
                <w:rFonts w:hint="eastAsia" w:ascii="宋体" w:hAnsi="宋体" w:eastAsia="宋体" w:cs="宋体"/>
                <w:color w:val="auto"/>
                <w:sz w:val="22"/>
                <w:szCs w:val="22"/>
                <w:highlight w:val="none"/>
              </w:rPr>
              <w:t>最高限价</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u w:val="single"/>
                <w:lang w:eastAsia="zh-CN"/>
              </w:rPr>
              <w:t>2</w:t>
            </w:r>
            <w:r>
              <w:rPr>
                <w:rFonts w:hint="eastAsia" w:ascii="宋体" w:hAnsi="宋体" w:eastAsia="宋体" w:cs="宋体"/>
                <w:color w:val="auto"/>
                <w:kern w:val="0"/>
                <w:sz w:val="22"/>
                <w:szCs w:val="22"/>
                <w:highlight w:val="none"/>
                <w:u w:val="single"/>
                <w:lang w:val="en-US" w:eastAsia="zh-CN"/>
              </w:rPr>
              <w:t>286271</w:t>
            </w:r>
            <w:r>
              <w:rPr>
                <w:rFonts w:hint="eastAsia" w:ascii="宋体" w:hAnsi="宋体" w:cs="宋体"/>
                <w:color w:val="auto"/>
                <w:kern w:val="0"/>
                <w:sz w:val="22"/>
                <w:szCs w:val="22"/>
                <w:highlight w:val="none"/>
                <w:u w:val="single"/>
                <w:lang w:val="en-US" w:eastAsia="zh-CN"/>
              </w:rPr>
              <w:t>.52</w:t>
            </w:r>
            <w:r>
              <w:rPr>
                <w:rFonts w:hint="eastAsia" w:ascii="宋体" w:hAnsi="宋体" w:eastAsia="宋体" w:cs="宋体"/>
                <w:color w:val="auto"/>
                <w:kern w:val="0"/>
                <w:sz w:val="22"/>
                <w:szCs w:val="22"/>
                <w:highlight w:val="none"/>
                <w:u w:val="single"/>
              </w:rPr>
              <w:t>元</w:t>
            </w:r>
          </w:p>
          <w:p w14:paraId="4AD65FC3">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（2）项目属性：</w:t>
            </w:r>
            <w:r>
              <w:rPr>
                <w:rFonts w:hint="eastAsia" w:ascii="宋体" w:hAnsi="宋体" w:eastAsia="宋体" w:cs="宋体"/>
                <w:color w:val="auto"/>
                <w:kern w:val="0"/>
                <w:sz w:val="22"/>
                <w:szCs w:val="22"/>
                <w:highlight w:val="none"/>
                <w:u w:val="single"/>
              </w:rPr>
              <w:t>②服务类</w:t>
            </w:r>
            <w:r>
              <w:rPr>
                <w:rFonts w:hint="eastAsia" w:ascii="宋体" w:hAnsi="宋体" w:eastAsia="宋体" w:cs="宋体"/>
                <w:color w:val="auto"/>
                <w:kern w:val="0"/>
                <w:sz w:val="22"/>
                <w:szCs w:val="22"/>
                <w:highlight w:val="none"/>
              </w:rPr>
              <w:t>（①货物类/②服务类/③工程类）</w:t>
            </w:r>
          </w:p>
          <w:p w14:paraId="24B8272F">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（3）项目对应的中小企业划分标准所属行业：</w:t>
            </w:r>
            <w:r>
              <w:rPr>
                <w:rFonts w:hint="eastAsia" w:ascii="宋体" w:hAnsi="宋体" w:eastAsia="宋体" w:cs="宋体"/>
                <w:color w:val="auto"/>
                <w:kern w:val="0"/>
                <w:sz w:val="22"/>
                <w:szCs w:val="22"/>
                <w:highlight w:val="none"/>
                <w:u w:val="single"/>
              </w:rPr>
              <w:t> </w:t>
            </w:r>
            <w:r>
              <w:rPr>
                <w:rFonts w:hint="eastAsia" w:ascii="Times New Roman" w:hAnsi="Times New Roman" w:eastAsia="宋体" w:cs="Times New Roman"/>
                <w:color w:val="auto"/>
                <w:highlight w:val="none"/>
                <w:u w:val="single"/>
                <w:lang w:val="en-US" w:eastAsia="zh-CN"/>
              </w:rPr>
              <w:t>批发业 </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（具体根据《中小企业划型标准规定》执行）</w:t>
            </w:r>
          </w:p>
          <w:p w14:paraId="67B7E753">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0EA41B1">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（4）本项目</w:t>
            </w:r>
            <w:r>
              <w:rPr>
                <w:rFonts w:hint="eastAsia" w:ascii="宋体" w:hAnsi="宋体" w:eastAsia="宋体" w:cs="宋体"/>
                <w:color w:val="auto"/>
                <w:kern w:val="0"/>
                <w:sz w:val="22"/>
                <w:szCs w:val="22"/>
                <w:highlight w:val="none"/>
                <w:u w:val="single"/>
              </w:rPr>
              <w:t xml:space="preserve">  是 </w:t>
            </w:r>
            <w:r>
              <w:rPr>
                <w:rFonts w:hint="eastAsia" w:ascii="宋体" w:hAnsi="宋体" w:eastAsia="宋体" w:cs="宋体"/>
                <w:color w:val="auto"/>
                <w:kern w:val="0"/>
                <w:sz w:val="22"/>
                <w:szCs w:val="22"/>
                <w:highlight w:val="none"/>
              </w:rPr>
              <w:t>（是/否）属于预留份额专门面向中小企业采购的项目。</w:t>
            </w:r>
          </w:p>
          <w:p w14:paraId="79314BA1">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（5）上述第4项中确定为“是”的采购项目，预留份额通过（①）措施进行：</w:t>
            </w:r>
          </w:p>
          <w:p w14:paraId="4DF879E2">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①将采购项目整体或者设置采购包专门面向中小企业采购；</w:t>
            </w:r>
          </w:p>
          <w:p w14:paraId="3D3077A9">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②要求</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以联合体形式参加采购活动，且联合体中中小企业承担的部分达到</w:t>
            </w:r>
            <w:r>
              <w:rPr>
                <w:rFonts w:hint="eastAsia" w:ascii="宋体" w:hAnsi="宋体" w:eastAsia="宋体" w:cs="宋体"/>
                <w:color w:val="auto"/>
                <w:kern w:val="0"/>
                <w:sz w:val="22"/>
                <w:szCs w:val="22"/>
                <w:highlight w:val="none"/>
                <w:u w:val="single"/>
              </w:rPr>
              <w:t>     </w:t>
            </w:r>
            <w:r>
              <w:rPr>
                <w:rFonts w:hint="eastAsia" w:ascii="宋体" w:hAnsi="宋体" w:eastAsia="宋体" w:cs="宋体"/>
                <w:color w:val="auto"/>
                <w:kern w:val="0"/>
                <w:sz w:val="22"/>
                <w:szCs w:val="22"/>
                <w:highlight w:val="none"/>
              </w:rPr>
              <w:t xml:space="preserve">（比例）； </w:t>
            </w:r>
          </w:p>
          <w:p w14:paraId="1BA013BB">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③要求获得采购合同的</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将采购项目中的</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（比例）分包给一家或者多家中小企业。 </w:t>
            </w:r>
          </w:p>
          <w:p w14:paraId="02A9A49C">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专门面向中小企业采购的项目或者标项，不再执行价格评审优惠的扶持政策。</w:t>
            </w:r>
          </w:p>
          <w:p w14:paraId="4F4AE3B8">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2、节能产品、环境标志产品的强制采购政策</w:t>
            </w:r>
          </w:p>
          <w:p w14:paraId="1C8010C4">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拟采购的产品属于品目清单范围内的强制采购品目的，</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54197954">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3、节能产品、环境标志产品的优先采购政策</w:t>
            </w:r>
          </w:p>
          <w:p w14:paraId="23583704">
            <w:pPr>
              <w:widowControl/>
              <w:snapToGrid w:val="0"/>
              <w:spacing w:line="460" w:lineRule="exact"/>
              <w:ind w:firstLine="440" w:firstLineChars="200"/>
              <w:jc w:val="lef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拟采购的产品属于品目清单范围内的优先采购品目的，</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6F70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1" w:type="dxa"/>
            <w:shd w:val="clear" w:color="auto" w:fill="FFFFFF"/>
            <w:vAlign w:val="center"/>
          </w:tcPr>
          <w:p w14:paraId="44CA1897">
            <w:pPr>
              <w:widowControl/>
              <w:snapToGrid w:val="0"/>
              <w:spacing w:line="460" w:lineRule="exact"/>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14</w:t>
            </w:r>
          </w:p>
        </w:tc>
        <w:tc>
          <w:tcPr>
            <w:tcW w:w="8981" w:type="dxa"/>
            <w:shd w:val="clear" w:color="auto" w:fill="FFFFFF"/>
            <w:vAlign w:val="center"/>
          </w:tcPr>
          <w:p w14:paraId="546D2B41">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14:paraId="3F02BBD5">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将对本项目投标人的信用记录进行查询。查询渠道为信用中国网站（</w:t>
            </w:r>
            <w:bookmarkStart w:id="18" w:name="OLE_LINK8"/>
            <w:r>
              <w:rPr>
                <w:rFonts w:hint="eastAsia" w:ascii="宋体" w:hAnsi="宋体" w:eastAsia="宋体" w:cs="宋体"/>
                <w:color w:val="auto"/>
                <w:sz w:val="22"/>
                <w:szCs w:val="22"/>
                <w:highlight w:val="none"/>
              </w:rPr>
              <w:t>https：//www.creditchina.gov.cn/</w:t>
            </w:r>
            <w:bookmarkEnd w:id="18"/>
            <w:r>
              <w:rPr>
                <w:rFonts w:hint="eastAsia" w:ascii="宋体" w:hAnsi="宋体" w:eastAsia="宋体" w:cs="宋体"/>
                <w:color w:val="auto"/>
                <w:sz w:val="22"/>
                <w:szCs w:val="22"/>
                <w:highlight w:val="none"/>
              </w:rPr>
              <w:t>）、中国政府采购网（</w:t>
            </w:r>
            <w:bookmarkStart w:id="19" w:name="OLE_LINK10"/>
            <w:r>
              <w:rPr>
                <w:rFonts w:hint="eastAsia" w:ascii="宋体" w:hAnsi="宋体" w:eastAsia="宋体" w:cs="宋体"/>
                <w:color w:val="auto"/>
                <w:sz w:val="22"/>
                <w:szCs w:val="22"/>
                <w:highlight w:val="none"/>
              </w:rPr>
              <w:t>http：//www.ccgp.gov.cn/</w:t>
            </w:r>
            <w:bookmarkEnd w:id="19"/>
            <w:r>
              <w:rPr>
                <w:rFonts w:hint="eastAsia" w:ascii="宋体" w:hAnsi="宋体" w:eastAsia="宋体" w:cs="宋体"/>
                <w:color w:val="auto"/>
                <w:sz w:val="22"/>
                <w:szCs w:val="22"/>
                <w:highlight w:val="none"/>
              </w:rPr>
              <w:t>）；</w:t>
            </w:r>
          </w:p>
          <w:p w14:paraId="152A0882">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（2）截止时点：</w:t>
            </w:r>
            <w:r>
              <w:rPr>
                <w:rFonts w:hint="eastAsia" w:ascii="宋体" w:hAnsi="宋体" w:eastAsia="宋体" w:cs="宋体"/>
                <w:color w:val="auto"/>
                <w:sz w:val="22"/>
                <w:highlight w:val="none"/>
              </w:rPr>
              <w:t>招标公告发布之日至投标截止时间前</w:t>
            </w:r>
            <w:r>
              <w:rPr>
                <w:rFonts w:hint="eastAsia" w:ascii="宋体" w:hAnsi="宋体" w:eastAsia="宋体" w:cs="宋体"/>
                <w:color w:val="auto"/>
                <w:sz w:val="22"/>
                <w:szCs w:val="22"/>
                <w:highlight w:val="none"/>
              </w:rPr>
              <w:t>；</w:t>
            </w:r>
          </w:p>
          <w:p w14:paraId="253AEA9E">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（3）查询记录和证据的留存：信用信息查询记录和证据以网页截图等方式留存。</w:t>
            </w:r>
          </w:p>
          <w:p w14:paraId="22F26C8A">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（4）使用规则：被列入失信被执行人、</w:t>
            </w:r>
            <w:r>
              <w:rPr>
                <w:rFonts w:hint="eastAsia"/>
                <w:highlight w:val="none"/>
                <w:lang w:val="en-US" w:eastAsia="zh-CN"/>
              </w:rPr>
              <w:t>重大税收违法失信主体</w:t>
            </w:r>
            <w:r>
              <w:rPr>
                <w:rFonts w:hint="eastAsia" w:ascii="宋体" w:hAnsi="宋体" w:eastAsia="宋体" w:cs="宋体"/>
                <w:color w:val="auto"/>
                <w:sz w:val="22"/>
                <w:szCs w:val="22"/>
                <w:highlight w:val="none"/>
              </w:rPr>
              <w:t>、政府采购严重违法失信行为记录名单及其它不符合《中华人民共和国政府采购法》第二十二条规定条件的，其投标将被拒绝。</w:t>
            </w:r>
          </w:p>
          <w:p w14:paraId="5F112D9B">
            <w:pPr>
              <w:snapToGrid w:val="0"/>
              <w:spacing w:line="460" w:lineRule="exact"/>
              <w:ind w:left="105" w:leftChars="50"/>
              <w:rPr>
                <w:rFonts w:hint="eastAsia" w:ascii="宋体" w:hAnsi="宋体" w:eastAsia="宋体" w:cs="宋体"/>
                <w:b/>
                <w:color w:val="auto"/>
                <w:kern w:val="10"/>
                <w:sz w:val="22"/>
                <w:szCs w:val="22"/>
                <w:highlight w:val="none"/>
              </w:rPr>
            </w:pPr>
            <w:r>
              <w:rPr>
                <w:rFonts w:hint="eastAsia" w:ascii="宋体" w:hAnsi="宋体" w:eastAsia="宋体" w:cs="宋体"/>
                <w:color w:val="auto"/>
                <w:sz w:val="22"/>
                <w:szCs w:val="22"/>
                <w:highlight w:val="none"/>
              </w:rPr>
              <w:t>（5）联合体成员任意一方存在不良信用记录的，视同联合体存在不良信用记录。</w:t>
            </w:r>
            <w:r>
              <w:rPr>
                <w:rFonts w:hint="eastAsia" w:ascii="宋体" w:hAnsi="宋体" w:eastAsia="宋体" w:cs="宋体"/>
                <w:color w:val="auto"/>
                <w:highlight w:val="none"/>
              </w:rPr>
              <w:t>（本项目不适用）</w:t>
            </w:r>
          </w:p>
        </w:tc>
      </w:tr>
    </w:tbl>
    <w:p w14:paraId="4BEC12F0">
      <w:pPr>
        <w:rPr>
          <w:rFonts w:hint="eastAsia" w:ascii="宋体" w:hAnsi="宋体" w:eastAsia="宋体" w:cs="宋体"/>
          <w:b/>
          <w:bCs/>
          <w:color w:val="auto"/>
          <w:sz w:val="26"/>
          <w:szCs w:val="26"/>
          <w:highlight w:val="none"/>
        </w:rPr>
      </w:pPr>
      <w:bookmarkStart w:id="20" w:name="_Toc20735"/>
      <w:bookmarkStart w:id="21" w:name="_Toc29605"/>
      <w:r>
        <w:rPr>
          <w:rFonts w:hint="eastAsia" w:ascii="宋体" w:hAnsi="宋体" w:eastAsia="宋体" w:cs="宋体"/>
          <w:b/>
          <w:bCs/>
          <w:color w:val="auto"/>
          <w:sz w:val="26"/>
          <w:szCs w:val="26"/>
          <w:highlight w:val="none"/>
        </w:rPr>
        <w:br w:type="page"/>
      </w:r>
    </w:p>
    <w:p w14:paraId="50F81C7C">
      <w:pPr>
        <w:spacing w:before="100" w:beforeAutospacing="1" w:after="100" w:afterAutospacing="1" w:line="460" w:lineRule="exact"/>
        <w:jc w:val="center"/>
        <w:outlineLvl w:val="1"/>
        <w:rPr>
          <w:rFonts w:hint="eastAsia" w:ascii="宋体" w:hAnsi="宋体" w:eastAsia="宋体" w:cs="宋体"/>
          <w:color w:val="auto"/>
          <w:sz w:val="22"/>
          <w:szCs w:val="22"/>
          <w:highlight w:val="none"/>
        </w:rPr>
      </w:pPr>
      <w:r>
        <w:rPr>
          <w:rFonts w:hint="eastAsia" w:ascii="宋体" w:hAnsi="宋体" w:eastAsia="宋体" w:cs="宋体"/>
          <w:b/>
          <w:bCs/>
          <w:color w:val="auto"/>
          <w:sz w:val="26"/>
          <w:szCs w:val="26"/>
          <w:highlight w:val="none"/>
        </w:rPr>
        <w:t>一、 说   明</w:t>
      </w:r>
      <w:bookmarkEnd w:id="20"/>
      <w:bookmarkEnd w:id="21"/>
    </w:p>
    <w:p w14:paraId="2127F5A0">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highlight w:val="none"/>
        </w:rPr>
        <w:t>本次招标是按照《中华人民共和国政府采购法》、《中华人民共和国政府采购法实施条例》《政府采购货物和服务招标投标管理办法》</w:t>
      </w:r>
      <w:r>
        <w:rPr>
          <w:rFonts w:hint="eastAsia" w:ascii="宋体" w:hAnsi="宋体" w:eastAsia="宋体" w:cs="宋体"/>
          <w:color w:val="auto"/>
          <w:sz w:val="22"/>
          <w:szCs w:val="22"/>
          <w:highlight w:val="none"/>
        </w:rPr>
        <w:t>和《关于进一步规范政府采购活动的若干意见》</w:t>
      </w:r>
      <w:r>
        <w:rPr>
          <w:rFonts w:hint="eastAsia" w:ascii="宋体" w:hAnsi="宋体" w:eastAsia="宋体" w:cs="宋体"/>
          <w:color w:val="auto"/>
          <w:sz w:val="22"/>
          <w:highlight w:val="none"/>
        </w:rPr>
        <w:t>等法律及有关法规组织和实施的。</w:t>
      </w:r>
    </w:p>
    <w:p w14:paraId="390E01AF">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14:paraId="55961563">
      <w:pPr>
        <w:tabs>
          <w:tab w:val="left" w:pos="360"/>
        </w:tabs>
        <w:spacing w:line="460" w:lineRule="exact"/>
        <w:ind w:firstLine="440" w:firstLineChars="200"/>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：是指依法进行政府采购的国家机关、事业单位、团体组织</w:t>
      </w:r>
      <w:r>
        <w:rPr>
          <w:rFonts w:hint="eastAsia" w:ascii="宋体" w:hAnsi="宋体" w:cs="宋体"/>
          <w:color w:val="auto"/>
          <w:sz w:val="22"/>
          <w:highlight w:val="none"/>
          <w:lang w:eastAsia="zh-CN"/>
        </w:rPr>
        <w:t>；</w:t>
      </w:r>
    </w:p>
    <w:p w14:paraId="3EFD505D">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：受</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委托，在委托的范围内办理政府采购事宜的机构；</w:t>
      </w:r>
    </w:p>
    <w:p w14:paraId="63F5E856">
      <w:pPr>
        <w:tabs>
          <w:tab w:val="left" w:pos="360"/>
        </w:tabs>
        <w:spacing w:line="460" w:lineRule="exact"/>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投标人：是指参加本政府采购项目投标的</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或具有独立承担民事责任能力的自然人</w:t>
      </w:r>
      <w:r>
        <w:rPr>
          <w:rFonts w:hint="eastAsia" w:ascii="宋体" w:hAnsi="宋体" w:cs="宋体"/>
          <w:color w:val="auto"/>
          <w:sz w:val="22"/>
          <w:highlight w:val="none"/>
          <w:lang w:eastAsia="zh-CN"/>
        </w:rPr>
        <w:t>；</w:t>
      </w:r>
    </w:p>
    <w:p w14:paraId="061633B6">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法定代表人或法定代表人授权代表；</w:t>
      </w:r>
    </w:p>
    <w:p w14:paraId="07612559">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组成联合体，以一个</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的身份参加投标；</w:t>
      </w:r>
      <w:r>
        <w:rPr>
          <w:rFonts w:hint="eastAsia" w:ascii="宋体" w:hAnsi="宋体" w:eastAsia="宋体" w:cs="宋体"/>
          <w:color w:val="auto"/>
          <w:highlight w:val="none"/>
        </w:rPr>
        <w:t>（本项目不适用）</w:t>
      </w:r>
    </w:p>
    <w:p w14:paraId="7182514B">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、用户相同；</w:t>
      </w:r>
    </w:p>
    <w:p w14:paraId="63D40F29">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14:paraId="52C72A4A">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14:paraId="26BD82AD">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中小企业（含中型、小型、微型）：符合中小企业划分标准（工信部联企业[2011]300号），在本项目政府采购活动中提供本企业制造的货物，或者提供其他中小企业制造的货物。本项所称货物不包括使用大型企业注册商标的货物及进口货物。小型、微型企业提供中型企业制造的货物的，视同为中型企业。</w:t>
      </w:r>
    </w:p>
    <w:p w14:paraId="2412979F">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0A5C7C">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原件备查：要求携带原件备查的，</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应按要求携带备查，如评标委员会发现投标文件资料复印件存有瑕疵，致使内容模糊、关键信息难以辨认、材料真实性存疑等情形的，有权核对原件或评标委</w:t>
      </w:r>
      <w:r>
        <w:rPr>
          <w:rFonts w:hint="eastAsia" w:ascii="宋体" w:hAnsi="宋体" w:eastAsia="宋体" w:cs="宋体"/>
          <w:color w:val="auto"/>
          <w:sz w:val="22"/>
          <w:szCs w:val="22"/>
          <w:highlight w:val="none"/>
        </w:rPr>
        <w:t>员会认为有必有核对原件，若</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未能提交原件，将会导致评标委员会作出对其不利的评定，一切后果由</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自行承担。</w:t>
      </w:r>
    </w:p>
    <w:p w14:paraId="5AC6E077">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“▲”为实质性响应项，不满足则投标无效。“★”是关键技术参数及要求。</w:t>
      </w:r>
    </w:p>
    <w:p w14:paraId="64E123CA">
      <w:pPr>
        <w:tabs>
          <w:tab w:val="left" w:pos="360"/>
        </w:tabs>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14:paraId="50F4520A">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3.1</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指全权代表投标人参加投标活动并签署投标文件的人，如果投标人代表不是法定代表人，须持有《法定代表人授权书》（见附件）。</w:t>
      </w:r>
    </w:p>
    <w:p w14:paraId="33BDBDB0">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1B296020">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14:paraId="1DFD0D59">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投标人应承担所有与准备和参加投标有关费用，不论投标的结果如何，</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均无义务和责任承担这些费用。</w:t>
      </w:r>
    </w:p>
    <w:p w14:paraId="6B854E36">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22" w:name="_Toc31553"/>
      <w:bookmarkStart w:id="23" w:name="_Toc26889"/>
      <w:r>
        <w:rPr>
          <w:rFonts w:hint="eastAsia" w:ascii="宋体" w:hAnsi="宋体" w:eastAsia="宋体" w:cs="宋体"/>
          <w:b/>
          <w:bCs/>
          <w:color w:val="auto"/>
          <w:sz w:val="26"/>
          <w:szCs w:val="26"/>
          <w:highlight w:val="none"/>
        </w:rPr>
        <w:t>二、 招标文件</w:t>
      </w:r>
      <w:bookmarkEnd w:id="22"/>
      <w:bookmarkEnd w:id="23"/>
    </w:p>
    <w:p w14:paraId="27DBC188">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14:paraId="4699B9AF">
      <w:pPr>
        <w:tabs>
          <w:tab w:val="left" w:pos="360"/>
        </w:tabs>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14:paraId="1C8316D6">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任何要求对招标文件进行澄清的投标人，均应以书面形式（信函、传真，下同）通知，但该通知在知道或应知道其权益受到损害之日起七个工作日内以使</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收到，</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解释为准。</w:t>
      </w:r>
    </w:p>
    <w:p w14:paraId="74477E43">
      <w:pPr>
        <w:tabs>
          <w:tab w:val="left" w:pos="360"/>
        </w:tabs>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14:paraId="3B1B7363">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3.1</w:t>
      </w:r>
      <w:r>
        <w:rPr>
          <w:rFonts w:hint="eastAsia" w:ascii="宋体" w:hAnsi="宋体" w:cs="宋体"/>
          <w:color w:val="auto"/>
          <w:sz w:val="22"/>
          <w:highlight w:val="none"/>
          <w:lang w:val="en-US" w:eastAsia="zh-CN"/>
        </w:rPr>
        <w:t>.</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1A69B195">
      <w:pPr>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w:t>
      </w:r>
      <w:r>
        <w:rPr>
          <w:rFonts w:hint="eastAsia" w:ascii="宋体" w:hAnsi="宋体" w:cs="宋体"/>
          <w:color w:val="auto"/>
          <w:sz w:val="22"/>
          <w:highlight w:val="none"/>
          <w:lang w:val="en-US" w:eastAsia="zh-CN"/>
        </w:rPr>
        <w:t>.</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14:paraId="50A13234">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24" w:name="_Toc5155"/>
      <w:bookmarkStart w:id="25" w:name="_Toc4399"/>
      <w:r>
        <w:rPr>
          <w:rFonts w:hint="eastAsia" w:ascii="宋体" w:hAnsi="宋体" w:eastAsia="宋体" w:cs="宋体"/>
          <w:b/>
          <w:bCs/>
          <w:color w:val="auto"/>
          <w:sz w:val="26"/>
          <w:szCs w:val="26"/>
          <w:highlight w:val="none"/>
        </w:rPr>
        <w:t>三、 投标文件的编制</w:t>
      </w:r>
      <w:bookmarkEnd w:id="24"/>
      <w:bookmarkEnd w:id="25"/>
    </w:p>
    <w:p w14:paraId="042EDBE5">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14:paraId="21E9A7BD">
      <w:pPr>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37E8DFD6">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14:paraId="37DF3B57">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3.1</w:t>
      </w:r>
      <w:r>
        <w:rPr>
          <w:rFonts w:hint="eastAsia" w:ascii="宋体" w:hAnsi="宋体" w:cs="宋体"/>
          <w:bCs/>
          <w:color w:val="auto"/>
          <w:sz w:val="22"/>
          <w:szCs w:val="22"/>
          <w:highlight w:val="none"/>
          <w:lang w:val="en-US" w:eastAsia="zh-CN"/>
        </w:rPr>
        <w:t>.</w:t>
      </w:r>
      <w:r>
        <w:rPr>
          <w:rFonts w:hint="eastAsia" w:ascii="宋体" w:hAnsi="宋体" w:eastAsia="宋体" w:cs="宋体"/>
          <w:color w:val="auto"/>
          <w:sz w:val="22"/>
          <w:szCs w:val="22"/>
          <w:highlight w:val="none"/>
        </w:rPr>
        <w:t>投标文件由技术标和商务标两部分构成：</w:t>
      </w:r>
    </w:p>
    <w:p w14:paraId="5CEB73AD">
      <w:pPr>
        <w:tabs>
          <w:tab w:val="left" w:pos="360"/>
        </w:tabs>
        <w:spacing w:line="4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（1）技术标</w:t>
      </w:r>
    </w:p>
    <w:tbl>
      <w:tblPr>
        <w:tblStyle w:val="51"/>
        <w:tblW w:w="966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48"/>
        <w:gridCol w:w="1113"/>
      </w:tblGrid>
      <w:tr w14:paraId="6B53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095D872">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7748" w:type="dxa"/>
            <w:vAlign w:val="center"/>
          </w:tcPr>
          <w:p w14:paraId="540FDB76">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内容</w:t>
            </w:r>
          </w:p>
        </w:tc>
        <w:tc>
          <w:tcPr>
            <w:tcW w:w="1113" w:type="dxa"/>
            <w:vAlign w:val="center"/>
          </w:tcPr>
          <w:p w14:paraId="7A794E70">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14:paraId="0A15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Align w:val="center"/>
          </w:tcPr>
          <w:p w14:paraId="0EA3F6BC">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48" w:type="dxa"/>
            <w:vAlign w:val="center"/>
          </w:tcPr>
          <w:p w14:paraId="37B943E6">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投标函</w:t>
            </w:r>
          </w:p>
        </w:tc>
        <w:tc>
          <w:tcPr>
            <w:tcW w:w="1113" w:type="dxa"/>
            <w:vAlign w:val="center"/>
          </w:tcPr>
          <w:p w14:paraId="4DF721BC">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附件一</w:t>
            </w:r>
          </w:p>
        </w:tc>
      </w:tr>
      <w:tr w14:paraId="11C5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B0DB043">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748" w:type="dxa"/>
            <w:vAlign w:val="center"/>
          </w:tcPr>
          <w:p w14:paraId="308EEDAB">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资格证明文件</w:t>
            </w:r>
          </w:p>
        </w:tc>
        <w:tc>
          <w:tcPr>
            <w:tcW w:w="1113" w:type="dxa"/>
            <w:vAlign w:val="center"/>
          </w:tcPr>
          <w:p w14:paraId="364C5773">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附件三</w:t>
            </w:r>
          </w:p>
        </w:tc>
      </w:tr>
      <w:tr w14:paraId="1214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4E6B47D">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w:t>
            </w:r>
          </w:p>
        </w:tc>
        <w:tc>
          <w:tcPr>
            <w:tcW w:w="7748" w:type="dxa"/>
            <w:vAlign w:val="center"/>
          </w:tcPr>
          <w:p w14:paraId="6CD32F8D">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法定代表人授权书</w:t>
            </w:r>
          </w:p>
        </w:tc>
        <w:tc>
          <w:tcPr>
            <w:tcW w:w="1113" w:type="dxa"/>
            <w:vAlign w:val="center"/>
          </w:tcPr>
          <w:p w14:paraId="700CC5D5">
            <w:pPr>
              <w:spacing w:line="460" w:lineRule="exact"/>
              <w:jc w:val="center"/>
              <w:rPr>
                <w:rFonts w:hint="eastAsia" w:ascii="宋体" w:hAnsi="宋体" w:eastAsia="宋体" w:cs="宋体"/>
                <w:bCs/>
                <w:color w:val="auto"/>
                <w:sz w:val="22"/>
                <w:szCs w:val="22"/>
                <w:highlight w:val="none"/>
              </w:rPr>
            </w:pPr>
          </w:p>
        </w:tc>
      </w:tr>
      <w:tr w14:paraId="1A81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6EA8552">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2.2</w:t>
            </w:r>
          </w:p>
        </w:tc>
        <w:tc>
          <w:tcPr>
            <w:tcW w:w="7748" w:type="dxa"/>
            <w:vAlign w:val="center"/>
          </w:tcPr>
          <w:p w14:paraId="504D8F52">
            <w:pPr>
              <w:spacing w:line="46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资格条件承诺函</w:t>
            </w:r>
          </w:p>
        </w:tc>
        <w:tc>
          <w:tcPr>
            <w:tcW w:w="1113" w:type="dxa"/>
            <w:vAlign w:val="center"/>
          </w:tcPr>
          <w:p w14:paraId="4E355792">
            <w:pPr>
              <w:spacing w:line="460" w:lineRule="exact"/>
              <w:jc w:val="center"/>
              <w:rPr>
                <w:rFonts w:hint="eastAsia" w:ascii="宋体" w:hAnsi="宋体" w:eastAsia="宋体" w:cs="宋体"/>
                <w:bCs/>
                <w:color w:val="auto"/>
                <w:sz w:val="22"/>
                <w:szCs w:val="22"/>
                <w:highlight w:val="none"/>
              </w:rPr>
            </w:pPr>
          </w:p>
        </w:tc>
      </w:tr>
      <w:tr w14:paraId="0EFB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6BF630A">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2.3</w:t>
            </w:r>
          </w:p>
        </w:tc>
        <w:tc>
          <w:tcPr>
            <w:tcW w:w="7748" w:type="dxa"/>
            <w:vAlign w:val="center"/>
          </w:tcPr>
          <w:p w14:paraId="44F4AF91">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企业法人有效营业执照</w:t>
            </w:r>
          </w:p>
        </w:tc>
        <w:tc>
          <w:tcPr>
            <w:tcW w:w="1113" w:type="dxa"/>
            <w:vAlign w:val="center"/>
          </w:tcPr>
          <w:p w14:paraId="36F4010F">
            <w:pPr>
              <w:spacing w:line="460" w:lineRule="exact"/>
              <w:jc w:val="center"/>
              <w:rPr>
                <w:rFonts w:hint="eastAsia" w:ascii="宋体" w:hAnsi="宋体" w:eastAsia="宋体" w:cs="宋体"/>
                <w:bCs/>
                <w:color w:val="auto"/>
                <w:sz w:val="22"/>
                <w:szCs w:val="22"/>
                <w:highlight w:val="none"/>
              </w:rPr>
            </w:pPr>
          </w:p>
        </w:tc>
      </w:tr>
      <w:tr w14:paraId="4A6E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D65DBDF">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2.4</w:t>
            </w:r>
          </w:p>
        </w:tc>
        <w:tc>
          <w:tcPr>
            <w:tcW w:w="7748" w:type="dxa"/>
            <w:vAlign w:val="center"/>
          </w:tcPr>
          <w:p w14:paraId="5FD5016F">
            <w:pPr>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shd w:val="clear" w:color="auto" w:fill="FFFFFF"/>
              </w:rPr>
              <w:t>具有有效的食品经营许可证或食品生产许可证</w:t>
            </w:r>
          </w:p>
        </w:tc>
        <w:tc>
          <w:tcPr>
            <w:tcW w:w="1113" w:type="dxa"/>
            <w:vAlign w:val="center"/>
          </w:tcPr>
          <w:p w14:paraId="4D04C1DD">
            <w:pPr>
              <w:spacing w:line="460" w:lineRule="exact"/>
              <w:jc w:val="center"/>
              <w:rPr>
                <w:rFonts w:hint="eastAsia" w:ascii="宋体" w:hAnsi="宋体" w:eastAsia="宋体" w:cs="宋体"/>
                <w:bCs/>
                <w:color w:val="auto"/>
                <w:sz w:val="22"/>
                <w:szCs w:val="22"/>
                <w:highlight w:val="none"/>
              </w:rPr>
            </w:pPr>
          </w:p>
        </w:tc>
      </w:tr>
      <w:tr w14:paraId="12A9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50E4248">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2.5</w:t>
            </w:r>
          </w:p>
        </w:tc>
        <w:tc>
          <w:tcPr>
            <w:tcW w:w="7748" w:type="dxa"/>
            <w:vAlign w:val="center"/>
          </w:tcPr>
          <w:p w14:paraId="09F2019F">
            <w:pPr>
              <w:spacing w:line="46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投标人信用查询</w:t>
            </w:r>
          </w:p>
        </w:tc>
        <w:tc>
          <w:tcPr>
            <w:tcW w:w="1113" w:type="dxa"/>
            <w:vAlign w:val="center"/>
          </w:tcPr>
          <w:p w14:paraId="745B019B">
            <w:pPr>
              <w:spacing w:line="460" w:lineRule="exact"/>
              <w:jc w:val="center"/>
              <w:rPr>
                <w:rFonts w:hint="eastAsia" w:ascii="宋体" w:hAnsi="宋体" w:eastAsia="宋体" w:cs="宋体"/>
                <w:bCs/>
                <w:color w:val="auto"/>
                <w:sz w:val="22"/>
                <w:szCs w:val="22"/>
                <w:highlight w:val="none"/>
              </w:rPr>
            </w:pPr>
          </w:p>
        </w:tc>
      </w:tr>
      <w:tr w14:paraId="294E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4B0F58AA">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2.6</w:t>
            </w:r>
          </w:p>
        </w:tc>
        <w:tc>
          <w:tcPr>
            <w:tcW w:w="7748" w:type="dxa"/>
            <w:vAlign w:val="center"/>
          </w:tcPr>
          <w:p w14:paraId="78F4290C">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中小企业的相关证明材料（监狱企业的相关证明材料、残疾人福利性单位的相关证明材料）</w:t>
            </w:r>
          </w:p>
        </w:tc>
        <w:tc>
          <w:tcPr>
            <w:tcW w:w="1113" w:type="dxa"/>
            <w:vAlign w:val="center"/>
          </w:tcPr>
          <w:p w14:paraId="6E5BD793">
            <w:pPr>
              <w:spacing w:line="460" w:lineRule="exact"/>
              <w:jc w:val="center"/>
              <w:rPr>
                <w:rFonts w:hint="eastAsia" w:ascii="宋体" w:hAnsi="宋体" w:eastAsia="宋体" w:cs="宋体"/>
                <w:bCs/>
                <w:color w:val="auto"/>
                <w:sz w:val="22"/>
                <w:szCs w:val="22"/>
                <w:highlight w:val="none"/>
              </w:rPr>
            </w:pPr>
          </w:p>
        </w:tc>
      </w:tr>
      <w:tr w14:paraId="5F13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8FD853D">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p>
        </w:tc>
        <w:tc>
          <w:tcPr>
            <w:tcW w:w="7748" w:type="dxa"/>
            <w:vAlign w:val="center"/>
          </w:tcPr>
          <w:p w14:paraId="49BBC783">
            <w:pPr>
              <w:spacing w:line="460" w:lineRule="exact"/>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rPr>
              <w:t>偏离表</w:t>
            </w:r>
          </w:p>
        </w:tc>
        <w:tc>
          <w:tcPr>
            <w:tcW w:w="1113" w:type="dxa"/>
            <w:vAlign w:val="center"/>
          </w:tcPr>
          <w:p w14:paraId="69208337">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附件四</w:t>
            </w:r>
          </w:p>
        </w:tc>
      </w:tr>
      <w:tr w14:paraId="32AD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50E4378D">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7748" w:type="dxa"/>
            <w:vAlign w:val="center"/>
          </w:tcPr>
          <w:p w14:paraId="354AA266">
            <w:pPr>
              <w:spacing w:line="460" w:lineRule="exact"/>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场地情况</w:t>
            </w:r>
          </w:p>
        </w:tc>
        <w:tc>
          <w:tcPr>
            <w:tcW w:w="1113" w:type="dxa"/>
            <w:vAlign w:val="center"/>
          </w:tcPr>
          <w:p w14:paraId="49491EC2">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附件五</w:t>
            </w:r>
          </w:p>
        </w:tc>
      </w:tr>
      <w:tr w14:paraId="4189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BA6129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p>
        </w:tc>
        <w:tc>
          <w:tcPr>
            <w:tcW w:w="7748" w:type="dxa"/>
            <w:vAlign w:val="center"/>
          </w:tcPr>
          <w:p w14:paraId="7B09B9B2">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认证证书</w:t>
            </w:r>
          </w:p>
        </w:tc>
        <w:tc>
          <w:tcPr>
            <w:tcW w:w="1113" w:type="dxa"/>
            <w:vAlign w:val="center"/>
          </w:tcPr>
          <w:p w14:paraId="33A3406E">
            <w:pPr>
              <w:spacing w:line="460" w:lineRule="exact"/>
              <w:jc w:val="center"/>
              <w:rPr>
                <w:rFonts w:hint="eastAsia" w:ascii="宋体" w:hAnsi="宋体" w:eastAsia="宋体" w:cs="宋体"/>
                <w:bCs/>
                <w:color w:val="auto"/>
                <w:sz w:val="22"/>
                <w:szCs w:val="22"/>
                <w:highlight w:val="none"/>
              </w:rPr>
            </w:pPr>
          </w:p>
        </w:tc>
      </w:tr>
      <w:tr w14:paraId="32F8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788DF3F1">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w:t>
            </w:r>
          </w:p>
        </w:tc>
        <w:tc>
          <w:tcPr>
            <w:tcW w:w="7748" w:type="dxa"/>
            <w:vAlign w:val="center"/>
          </w:tcPr>
          <w:p w14:paraId="737801B8">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项目案例业绩</w:t>
            </w:r>
          </w:p>
        </w:tc>
        <w:tc>
          <w:tcPr>
            <w:tcW w:w="1113" w:type="dxa"/>
            <w:vAlign w:val="center"/>
          </w:tcPr>
          <w:p w14:paraId="378E1764">
            <w:pPr>
              <w:spacing w:line="460" w:lineRule="exact"/>
              <w:jc w:val="center"/>
              <w:rPr>
                <w:rFonts w:hint="eastAsia" w:ascii="宋体" w:hAnsi="宋体" w:eastAsia="宋体" w:cs="宋体"/>
                <w:bCs/>
                <w:color w:val="auto"/>
                <w:sz w:val="22"/>
                <w:szCs w:val="22"/>
                <w:highlight w:val="none"/>
              </w:rPr>
            </w:pPr>
          </w:p>
        </w:tc>
      </w:tr>
      <w:tr w14:paraId="6976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861A831">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p>
        </w:tc>
        <w:tc>
          <w:tcPr>
            <w:tcW w:w="7748" w:type="dxa"/>
            <w:vAlign w:val="center"/>
          </w:tcPr>
          <w:p w14:paraId="2746DF3C">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供货保证措施</w:t>
            </w:r>
          </w:p>
        </w:tc>
        <w:tc>
          <w:tcPr>
            <w:tcW w:w="1113" w:type="dxa"/>
            <w:vAlign w:val="center"/>
          </w:tcPr>
          <w:p w14:paraId="0ADEFED5">
            <w:pPr>
              <w:spacing w:line="460" w:lineRule="exact"/>
              <w:jc w:val="center"/>
              <w:rPr>
                <w:rFonts w:hint="eastAsia" w:ascii="宋体" w:hAnsi="宋体" w:eastAsia="宋体" w:cs="宋体"/>
                <w:bCs/>
                <w:color w:val="auto"/>
                <w:sz w:val="22"/>
                <w:szCs w:val="22"/>
                <w:highlight w:val="none"/>
              </w:rPr>
            </w:pPr>
          </w:p>
        </w:tc>
      </w:tr>
      <w:tr w14:paraId="0393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1D3D102">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w:t>
            </w:r>
          </w:p>
        </w:tc>
        <w:tc>
          <w:tcPr>
            <w:tcW w:w="7748" w:type="dxa"/>
            <w:vAlign w:val="center"/>
          </w:tcPr>
          <w:p w14:paraId="4AEE37AC">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质量保证及售后服务</w:t>
            </w:r>
          </w:p>
        </w:tc>
        <w:tc>
          <w:tcPr>
            <w:tcW w:w="1113" w:type="dxa"/>
            <w:vAlign w:val="center"/>
          </w:tcPr>
          <w:p w14:paraId="681C9E5B">
            <w:pPr>
              <w:spacing w:line="460" w:lineRule="exact"/>
              <w:jc w:val="center"/>
              <w:rPr>
                <w:rFonts w:hint="eastAsia" w:ascii="宋体" w:hAnsi="宋体" w:eastAsia="宋体" w:cs="宋体"/>
                <w:bCs/>
                <w:color w:val="auto"/>
                <w:sz w:val="22"/>
                <w:szCs w:val="22"/>
                <w:highlight w:val="none"/>
              </w:rPr>
            </w:pPr>
          </w:p>
        </w:tc>
      </w:tr>
      <w:tr w14:paraId="38CF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02148D9B">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w:t>
            </w:r>
          </w:p>
        </w:tc>
        <w:tc>
          <w:tcPr>
            <w:tcW w:w="7748" w:type="dxa"/>
            <w:vAlign w:val="center"/>
          </w:tcPr>
          <w:p w14:paraId="440A5803">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配送能力</w:t>
            </w:r>
          </w:p>
        </w:tc>
        <w:tc>
          <w:tcPr>
            <w:tcW w:w="1113" w:type="dxa"/>
            <w:vAlign w:val="center"/>
          </w:tcPr>
          <w:p w14:paraId="030AB070">
            <w:pPr>
              <w:spacing w:line="460" w:lineRule="exact"/>
              <w:jc w:val="center"/>
              <w:rPr>
                <w:rFonts w:hint="eastAsia" w:ascii="宋体" w:hAnsi="宋体" w:eastAsia="宋体" w:cs="宋体"/>
                <w:bCs/>
                <w:color w:val="auto"/>
                <w:sz w:val="22"/>
                <w:szCs w:val="22"/>
                <w:highlight w:val="none"/>
              </w:rPr>
            </w:pPr>
          </w:p>
        </w:tc>
      </w:tr>
      <w:tr w14:paraId="54A2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5E1FB45">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w:t>
            </w:r>
          </w:p>
        </w:tc>
        <w:tc>
          <w:tcPr>
            <w:tcW w:w="7748" w:type="dxa"/>
            <w:vAlign w:val="center"/>
          </w:tcPr>
          <w:p w14:paraId="7BA6FB0E">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食品检测设备</w:t>
            </w:r>
          </w:p>
        </w:tc>
        <w:tc>
          <w:tcPr>
            <w:tcW w:w="1113" w:type="dxa"/>
            <w:vAlign w:val="center"/>
          </w:tcPr>
          <w:p w14:paraId="7923045F">
            <w:pPr>
              <w:spacing w:line="460" w:lineRule="exact"/>
              <w:jc w:val="center"/>
              <w:rPr>
                <w:rFonts w:hint="eastAsia" w:ascii="宋体" w:hAnsi="宋体" w:eastAsia="宋体" w:cs="宋体"/>
                <w:bCs/>
                <w:color w:val="auto"/>
                <w:sz w:val="22"/>
                <w:szCs w:val="22"/>
                <w:highlight w:val="none"/>
              </w:rPr>
            </w:pPr>
          </w:p>
        </w:tc>
      </w:tr>
      <w:tr w14:paraId="026E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3DB78D4C">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w:t>
            </w:r>
          </w:p>
        </w:tc>
        <w:tc>
          <w:tcPr>
            <w:tcW w:w="7748" w:type="dxa"/>
            <w:vAlign w:val="center"/>
          </w:tcPr>
          <w:p w14:paraId="351295E0">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项目组成员</w:t>
            </w:r>
          </w:p>
        </w:tc>
        <w:tc>
          <w:tcPr>
            <w:tcW w:w="1113" w:type="dxa"/>
            <w:vAlign w:val="center"/>
          </w:tcPr>
          <w:p w14:paraId="1A05BDB8">
            <w:pPr>
              <w:spacing w:line="460" w:lineRule="exact"/>
              <w:jc w:val="center"/>
              <w:rPr>
                <w:rFonts w:hint="eastAsia" w:ascii="宋体" w:hAnsi="宋体" w:eastAsia="宋体" w:cs="宋体"/>
                <w:bCs/>
                <w:color w:val="auto"/>
                <w:sz w:val="22"/>
                <w:szCs w:val="22"/>
                <w:highlight w:val="none"/>
              </w:rPr>
            </w:pPr>
          </w:p>
        </w:tc>
      </w:tr>
      <w:tr w14:paraId="4D31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61187AF1">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w:t>
            </w:r>
          </w:p>
        </w:tc>
        <w:tc>
          <w:tcPr>
            <w:tcW w:w="7748" w:type="dxa"/>
            <w:vAlign w:val="center"/>
          </w:tcPr>
          <w:p w14:paraId="55629C70">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管理的规范性</w:t>
            </w:r>
          </w:p>
        </w:tc>
        <w:tc>
          <w:tcPr>
            <w:tcW w:w="1113" w:type="dxa"/>
            <w:vAlign w:val="center"/>
          </w:tcPr>
          <w:p w14:paraId="4FE453DF">
            <w:pPr>
              <w:spacing w:line="460" w:lineRule="exact"/>
              <w:jc w:val="center"/>
              <w:rPr>
                <w:rFonts w:hint="eastAsia" w:ascii="宋体" w:hAnsi="宋体" w:eastAsia="宋体" w:cs="宋体"/>
                <w:bCs/>
                <w:color w:val="auto"/>
                <w:sz w:val="22"/>
                <w:szCs w:val="22"/>
                <w:highlight w:val="none"/>
              </w:rPr>
            </w:pPr>
          </w:p>
        </w:tc>
      </w:tr>
      <w:tr w14:paraId="4CDC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187E435F">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w:t>
            </w:r>
          </w:p>
        </w:tc>
        <w:tc>
          <w:tcPr>
            <w:tcW w:w="7748" w:type="dxa"/>
            <w:vAlign w:val="center"/>
          </w:tcPr>
          <w:p w14:paraId="33885C6E">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突发事件应急预案</w:t>
            </w:r>
          </w:p>
        </w:tc>
        <w:tc>
          <w:tcPr>
            <w:tcW w:w="1113" w:type="dxa"/>
            <w:vAlign w:val="center"/>
          </w:tcPr>
          <w:p w14:paraId="64782FB9">
            <w:pPr>
              <w:spacing w:line="460" w:lineRule="exact"/>
              <w:jc w:val="center"/>
              <w:rPr>
                <w:rFonts w:hint="eastAsia" w:ascii="宋体" w:hAnsi="宋体" w:eastAsia="宋体" w:cs="宋体"/>
                <w:bCs/>
                <w:color w:val="auto"/>
                <w:sz w:val="22"/>
                <w:szCs w:val="22"/>
                <w:highlight w:val="none"/>
              </w:rPr>
            </w:pPr>
          </w:p>
        </w:tc>
      </w:tr>
      <w:tr w14:paraId="6992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2" w:type="dxa"/>
            <w:vAlign w:val="center"/>
          </w:tcPr>
          <w:p w14:paraId="22093F5B">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w:t>
            </w:r>
          </w:p>
        </w:tc>
        <w:tc>
          <w:tcPr>
            <w:tcW w:w="7748" w:type="dxa"/>
            <w:vAlign w:val="center"/>
          </w:tcPr>
          <w:p w14:paraId="687153AC">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其他必要提供的资料（根据评标标准自行提供）</w:t>
            </w:r>
          </w:p>
        </w:tc>
        <w:tc>
          <w:tcPr>
            <w:tcW w:w="1113" w:type="dxa"/>
            <w:vAlign w:val="center"/>
          </w:tcPr>
          <w:p w14:paraId="1CC76DA4">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附件六</w:t>
            </w:r>
          </w:p>
        </w:tc>
      </w:tr>
    </w:tbl>
    <w:p w14:paraId="73E1A9A3">
      <w:pPr>
        <w:spacing w:line="460" w:lineRule="exact"/>
        <w:ind w:firstLine="440" w:firstLineChars="200"/>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（2）商务（报价）标</w:t>
      </w:r>
    </w:p>
    <w:tbl>
      <w:tblPr>
        <w:tblStyle w:val="51"/>
        <w:tblW w:w="965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753"/>
        <w:gridCol w:w="1100"/>
      </w:tblGrid>
      <w:tr w14:paraId="42F8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39E7B124">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序号</w:t>
            </w:r>
          </w:p>
        </w:tc>
        <w:tc>
          <w:tcPr>
            <w:tcW w:w="7753" w:type="dxa"/>
            <w:vAlign w:val="center"/>
          </w:tcPr>
          <w:p w14:paraId="798E49AC">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内容</w:t>
            </w:r>
          </w:p>
        </w:tc>
        <w:tc>
          <w:tcPr>
            <w:tcW w:w="1100" w:type="dxa"/>
            <w:vAlign w:val="center"/>
          </w:tcPr>
          <w:p w14:paraId="386814BB">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备注</w:t>
            </w:r>
          </w:p>
        </w:tc>
      </w:tr>
      <w:tr w14:paraId="516A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14:paraId="7C55CC80">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53" w:type="dxa"/>
            <w:vAlign w:val="center"/>
          </w:tcPr>
          <w:p w14:paraId="060FA738">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投标报价一览表</w:t>
            </w:r>
          </w:p>
        </w:tc>
        <w:tc>
          <w:tcPr>
            <w:tcW w:w="1100" w:type="dxa"/>
            <w:vAlign w:val="center"/>
          </w:tcPr>
          <w:p w14:paraId="5AE81D90">
            <w:pPr>
              <w:spacing w:line="46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附件二</w:t>
            </w:r>
          </w:p>
        </w:tc>
      </w:tr>
    </w:tbl>
    <w:p w14:paraId="2263CCD5">
      <w:pPr>
        <w:tabs>
          <w:tab w:val="left" w:pos="360"/>
        </w:tabs>
        <w:spacing w:line="460" w:lineRule="exact"/>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投标文件中所需的各种证书、证件、证明资料如是复印件，须在复印件上加盖有效公章。</w:t>
      </w:r>
    </w:p>
    <w:p w14:paraId="635189EC">
      <w:pPr>
        <w:tabs>
          <w:tab w:val="left" w:pos="360"/>
        </w:tabs>
        <w:spacing w:line="460" w:lineRule="exact"/>
        <w:ind w:firstLine="440" w:firstLineChars="200"/>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电子文档：投标文件正本扫描件一份（签字盖章，PDF格式），以U盘形式（装入商务（报价）标密封袋）提交。</w:t>
      </w:r>
    </w:p>
    <w:p w14:paraId="03E3959A">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投标文件格式</w:t>
      </w:r>
    </w:p>
    <w:p w14:paraId="03FB9FED">
      <w:pPr>
        <w:tabs>
          <w:tab w:val="left" w:pos="360"/>
        </w:tabs>
        <w:spacing w:line="460" w:lineRule="exact"/>
        <w:ind w:firstLine="440" w:firstLineChars="20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投标人应根据招标文件中所提供的格式，内容按顺序填写并装订成册，分别装于技术标和商务</w:t>
      </w:r>
      <w:r>
        <w:rPr>
          <w:rFonts w:hint="eastAsia" w:ascii="宋体" w:hAnsi="宋体" w:cs="宋体"/>
          <w:color w:val="auto"/>
          <w:sz w:val="22"/>
          <w:szCs w:val="22"/>
        </w:rPr>
        <w:t>（报价）</w:t>
      </w:r>
      <w:r>
        <w:rPr>
          <w:rFonts w:hint="eastAsia" w:ascii="宋体" w:hAnsi="宋体" w:eastAsia="宋体" w:cs="宋体"/>
          <w:color w:val="auto"/>
          <w:sz w:val="22"/>
          <w:szCs w:val="22"/>
          <w:highlight w:val="none"/>
        </w:rPr>
        <w:t>标内。</w:t>
      </w:r>
    </w:p>
    <w:p w14:paraId="3A2D32D6">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14:paraId="15A42760">
      <w:pPr>
        <w:tabs>
          <w:tab w:val="left" w:pos="360"/>
        </w:tabs>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▲4.1</w:t>
      </w:r>
      <w:r>
        <w:rPr>
          <w:rFonts w:hint="eastAsia" w:ascii="宋体" w:hAnsi="宋体" w:cs="宋体"/>
          <w:b/>
          <w:color w:val="auto"/>
          <w:sz w:val="22"/>
          <w:highlight w:val="none"/>
          <w:lang w:val="en-US" w:eastAsia="zh-CN"/>
        </w:rPr>
        <w:t>.</w:t>
      </w:r>
      <w:r>
        <w:rPr>
          <w:rFonts w:hint="eastAsia" w:ascii="宋体" w:hAnsi="宋体" w:eastAsia="宋体" w:cs="宋体"/>
          <w:b/>
          <w:color w:val="auto"/>
          <w:sz w:val="22"/>
          <w:highlight w:val="none"/>
        </w:rPr>
        <w:t>本项目根据温州市发展和改革委员会官方网站（http://wzfgw.wenzhou.gov.cn/col/col1216782/index.html）最近之日公布的温州市区农贸市场价格监测表中</w:t>
      </w:r>
      <w:r>
        <w:rPr>
          <w:rFonts w:hint="eastAsia" w:ascii="宋体" w:hAnsi="宋体" w:cs="宋体"/>
          <w:b/>
          <w:color w:val="auto"/>
          <w:sz w:val="22"/>
          <w:szCs w:val="22"/>
        </w:rPr>
        <w:t>永中农贸市场</w:t>
      </w:r>
      <w:r>
        <w:rPr>
          <w:rFonts w:hint="eastAsia" w:ascii="宋体" w:hAnsi="宋体" w:eastAsia="宋体" w:cs="宋体"/>
          <w:b/>
          <w:color w:val="auto"/>
          <w:sz w:val="22"/>
          <w:szCs w:val="22"/>
          <w:highlight w:val="none"/>
          <w:lang w:eastAsia="zh-CN"/>
        </w:rPr>
        <w:t>的产品价格做为所需产品参考价</w:t>
      </w:r>
      <w:r>
        <w:rPr>
          <w:rFonts w:hint="eastAsia" w:ascii="宋体" w:hAnsi="宋体" w:eastAsia="宋体" w:cs="宋体"/>
          <w:b/>
          <w:color w:val="auto"/>
          <w:sz w:val="22"/>
          <w:highlight w:val="none"/>
        </w:rPr>
        <w:t>格，温州市发展和改革委员会官方网站上未列明的货品，</w:t>
      </w:r>
      <w:r>
        <w:rPr>
          <w:rFonts w:hint="eastAsia" w:ascii="宋体" w:hAnsi="宋体" w:cs="宋体"/>
          <w:b/>
          <w:color w:val="auto"/>
          <w:sz w:val="22"/>
          <w:highlight w:val="none"/>
          <w:lang w:eastAsia="zh-CN"/>
        </w:rPr>
        <w:t>采购人</w:t>
      </w:r>
      <w:r>
        <w:rPr>
          <w:rFonts w:hint="eastAsia" w:ascii="宋体" w:hAnsi="宋体" w:eastAsia="宋体" w:cs="宋体"/>
          <w:b/>
          <w:color w:val="auto"/>
          <w:sz w:val="22"/>
          <w:highlight w:val="none"/>
          <w:lang w:eastAsia="zh-CN"/>
        </w:rPr>
        <w:t>有权选龙湾区</w:t>
      </w:r>
      <w:r>
        <w:rPr>
          <w:rFonts w:hint="eastAsia" w:ascii="宋体" w:hAnsi="宋体" w:eastAsia="宋体" w:cs="宋体"/>
          <w:b/>
          <w:color w:val="auto"/>
          <w:sz w:val="22"/>
          <w:highlight w:val="none"/>
        </w:rPr>
        <w:t>镇北</w:t>
      </w:r>
      <w:r>
        <w:rPr>
          <w:rFonts w:hint="eastAsia" w:ascii="宋体" w:hAnsi="宋体" w:eastAsia="宋体" w:cs="宋体"/>
          <w:b/>
          <w:color w:val="auto"/>
          <w:sz w:val="22"/>
          <w:szCs w:val="22"/>
          <w:highlight w:val="none"/>
          <w:lang w:eastAsia="zh-CN"/>
        </w:rPr>
        <w:t>农贸市场</w:t>
      </w:r>
      <w:r>
        <w:rPr>
          <w:rFonts w:hint="eastAsia" w:ascii="宋体" w:hAnsi="宋体" w:eastAsia="宋体" w:cs="宋体"/>
          <w:b/>
          <w:color w:val="auto"/>
          <w:sz w:val="22"/>
          <w:highlight w:val="none"/>
          <w:lang w:eastAsia="zh-CN"/>
        </w:rPr>
        <w:t>进行市场</w:t>
      </w:r>
      <w:r>
        <w:rPr>
          <w:rFonts w:hint="eastAsia" w:ascii="宋体" w:hAnsi="宋体" w:eastAsia="宋体" w:cs="宋体"/>
          <w:b/>
          <w:color w:val="auto"/>
          <w:sz w:val="22"/>
          <w:highlight w:val="none"/>
        </w:rPr>
        <w:t>询价的市场价作为产品参考价格。</w:t>
      </w:r>
      <w:r>
        <w:rPr>
          <w:rFonts w:hint="eastAsia" w:ascii="宋体" w:hAnsi="宋体" w:cs="宋体"/>
          <w:b/>
          <w:color w:val="auto"/>
          <w:sz w:val="22"/>
          <w:highlight w:val="none"/>
          <w:lang w:eastAsia="zh-CN"/>
        </w:rPr>
        <w:t>采购人成立询价组</w:t>
      </w:r>
      <w:r>
        <w:rPr>
          <w:rFonts w:hint="eastAsia" w:ascii="宋体" w:hAnsi="宋体" w:eastAsia="宋体" w:cs="宋体"/>
          <w:b/>
          <w:color w:val="auto"/>
          <w:sz w:val="22"/>
          <w:highlight w:val="none"/>
        </w:rPr>
        <w:t>，每半个月对食堂食品原料的价格进行采集，参考相关部门发布的市场信息，与供货商及时对接，原则上每半个月确定一次</w:t>
      </w:r>
      <w:r>
        <w:rPr>
          <w:rFonts w:hint="eastAsia" w:ascii="宋体" w:hAnsi="宋体" w:cs="宋体"/>
          <w:b/>
          <w:color w:val="auto"/>
          <w:sz w:val="22"/>
          <w:highlight w:val="none"/>
          <w:lang w:eastAsia="zh-CN"/>
        </w:rPr>
        <w:t>，</w:t>
      </w:r>
      <w:r>
        <w:rPr>
          <w:rFonts w:hint="eastAsia" w:ascii="宋体" w:hAnsi="宋体" w:cs="宋体"/>
          <w:b/>
          <w:color w:val="auto"/>
          <w:sz w:val="22"/>
        </w:rPr>
        <w:t>询价全过程录音录像并存档，录音录像设备由</w:t>
      </w:r>
      <w:r>
        <w:rPr>
          <w:rFonts w:hint="eastAsia" w:ascii="宋体" w:hAnsi="宋体" w:cs="宋体"/>
          <w:b/>
          <w:color w:val="auto"/>
          <w:sz w:val="22"/>
          <w:lang w:eastAsia="zh-CN"/>
        </w:rPr>
        <w:t>投标人</w:t>
      </w:r>
      <w:r>
        <w:rPr>
          <w:rFonts w:hint="eastAsia" w:ascii="宋体" w:hAnsi="宋体" w:cs="宋体"/>
          <w:b/>
          <w:color w:val="auto"/>
          <w:sz w:val="22"/>
        </w:rPr>
        <w:t>提供</w:t>
      </w:r>
      <w:r>
        <w:rPr>
          <w:rFonts w:hint="eastAsia" w:ascii="宋体" w:hAnsi="宋体" w:cs="宋体"/>
          <w:b/>
          <w:color w:val="auto"/>
          <w:sz w:val="22"/>
          <w:highlight w:val="none"/>
          <w:lang w:eastAsia="zh-CN"/>
        </w:rPr>
        <w:t>。</w:t>
      </w:r>
      <w:r>
        <w:rPr>
          <w:rFonts w:hint="eastAsia" w:ascii="宋体" w:hAnsi="宋体" w:eastAsia="宋体" w:cs="宋体"/>
          <w:b/>
          <w:color w:val="auto"/>
          <w:sz w:val="22"/>
          <w:highlight w:val="none"/>
        </w:rPr>
        <w:t>投标人应自行考虑食材的供货</w:t>
      </w:r>
      <w:r>
        <w:rPr>
          <w:rFonts w:hint="eastAsia" w:ascii="宋体" w:hAnsi="宋体" w:eastAsia="宋体" w:cs="宋体"/>
          <w:b/>
          <w:bCs/>
          <w:color w:val="auto"/>
          <w:kern w:val="0"/>
          <w:sz w:val="22"/>
          <w:szCs w:val="22"/>
          <w:highlight w:val="none"/>
        </w:rPr>
        <w:t>（包括但不限于宰杀、预处理、预加工等）</w:t>
      </w:r>
      <w:r>
        <w:rPr>
          <w:rFonts w:hint="eastAsia" w:ascii="宋体" w:hAnsi="宋体" w:eastAsia="宋体" w:cs="宋体"/>
          <w:b/>
          <w:color w:val="auto"/>
          <w:sz w:val="22"/>
          <w:highlight w:val="none"/>
        </w:rPr>
        <w:t>、税金、包装、运输、装卸、及其所有税费、招标代理服务费等全部费用后计算价格折扣。</w:t>
      </w:r>
    </w:p>
    <w:p w14:paraId="067140F8">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投标人必须按附件中的投标报价一览表内容填写价格，并由投标人代表签署。</w:t>
      </w:r>
    </w:p>
    <w:p w14:paraId="17BCD81A">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4.3</w:t>
      </w:r>
      <w:r>
        <w:rPr>
          <w:rFonts w:hint="eastAsia" w:ascii="宋体" w:hAnsi="宋体" w:cs="宋体"/>
          <w:color w:val="auto"/>
          <w:sz w:val="22"/>
          <w:szCs w:val="22"/>
          <w:highlight w:val="none"/>
          <w:lang w:val="en-US" w:eastAsia="zh-CN"/>
        </w:rPr>
        <w:t>.</w:t>
      </w:r>
      <w:r>
        <w:rPr>
          <w:rFonts w:hint="eastAsia" w:ascii="宋体" w:hAnsi="宋体" w:eastAsia="宋体" w:cs="宋体"/>
          <w:b/>
          <w:color w:val="auto"/>
          <w:sz w:val="22"/>
          <w:highlight w:val="none"/>
        </w:rPr>
        <w:t>投标货币以折扣率进行投标</w:t>
      </w:r>
      <w:r>
        <w:rPr>
          <w:rFonts w:hint="eastAsia" w:ascii="宋体" w:hAnsi="宋体" w:eastAsia="宋体" w:cs="宋体"/>
          <w:b/>
          <w:color w:val="auto"/>
          <w:sz w:val="22"/>
          <w:szCs w:val="22"/>
          <w:highlight w:val="none"/>
        </w:rPr>
        <w:t>。</w:t>
      </w:r>
    </w:p>
    <w:p w14:paraId="79C9CF98">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4.4</w:t>
      </w:r>
      <w:r>
        <w:rPr>
          <w:rFonts w:hint="eastAsia" w:ascii="宋体" w:hAnsi="宋体" w:cs="宋体"/>
          <w:color w:val="auto"/>
          <w:sz w:val="22"/>
          <w:szCs w:val="22"/>
          <w:highlight w:val="none"/>
          <w:lang w:val="en-US" w:eastAsia="zh-CN"/>
        </w:rPr>
        <w:t>.</w:t>
      </w:r>
      <w:r>
        <w:rPr>
          <w:rFonts w:hint="eastAsia" w:ascii="宋体" w:hAnsi="宋体" w:cs="宋体"/>
          <w:b/>
          <w:color w:val="auto"/>
          <w:sz w:val="22"/>
          <w:highlight w:val="none"/>
          <w:lang w:eastAsia="zh-CN"/>
        </w:rPr>
        <w:t>采购人</w:t>
      </w:r>
      <w:r>
        <w:rPr>
          <w:rFonts w:hint="eastAsia" w:ascii="宋体" w:hAnsi="宋体" w:eastAsia="宋体" w:cs="宋体"/>
          <w:b/>
          <w:color w:val="auto"/>
          <w:sz w:val="22"/>
          <w:highlight w:val="none"/>
        </w:rPr>
        <w:t>和</w:t>
      </w:r>
      <w:r>
        <w:rPr>
          <w:rFonts w:hint="eastAsia" w:ascii="宋体" w:hAnsi="宋体" w:cs="宋体"/>
          <w:b/>
          <w:color w:val="auto"/>
          <w:sz w:val="22"/>
          <w:highlight w:val="none"/>
          <w:lang w:eastAsia="zh-CN"/>
        </w:rPr>
        <w:t>采购代理机构</w:t>
      </w:r>
      <w:r>
        <w:rPr>
          <w:rFonts w:hint="eastAsia" w:ascii="宋体" w:hAnsi="宋体" w:eastAsia="宋体" w:cs="宋体"/>
          <w:b/>
          <w:color w:val="auto"/>
          <w:sz w:val="22"/>
          <w:highlight w:val="none"/>
        </w:rPr>
        <w:t>不接受任何选择投标，对任何货物或服务只允许一个价格。</w:t>
      </w:r>
    </w:p>
    <w:p w14:paraId="082F7CF2">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和</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szCs w:val="22"/>
          <w:highlight w:val="none"/>
        </w:rPr>
        <w:t>要求分类报价是为了方便评标，但在任何情况下不限制</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以其认为最合适的条款、条件签订合同的权利。</w:t>
      </w:r>
    </w:p>
    <w:p w14:paraId="55A183D3">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投标报价报出后，投标人不得以任何理由予以变更。任何包含价格调整的要求，将被认为是非实质性响应投标而予以拒绝。</w:t>
      </w:r>
    </w:p>
    <w:p w14:paraId="36709357">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4.7</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最低报价不能作为中标的保证，投标人应综合考虑投标折扣率，</w:t>
      </w:r>
      <w:r>
        <w:rPr>
          <w:rFonts w:hint="eastAsia" w:ascii="宋体" w:hAnsi="宋体" w:eastAsia="宋体" w:cs="宋体"/>
          <w:b/>
          <w:bCs/>
          <w:color w:val="auto"/>
          <w:sz w:val="22"/>
          <w:szCs w:val="22"/>
          <w:highlight w:val="none"/>
        </w:rPr>
        <w:t>报价明显低于其他通过符合性审查投标人的报价，有可能影响产品质量或者不能诚信履约的，且在合理的时间内不能说明、证明其报价合理性的，将作为无效投标</w:t>
      </w:r>
      <w:r>
        <w:rPr>
          <w:rFonts w:hint="eastAsia" w:ascii="宋体" w:hAnsi="宋体" w:eastAsia="宋体" w:cs="宋体"/>
          <w:b/>
          <w:color w:val="auto"/>
          <w:sz w:val="22"/>
          <w:szCs w:val="22"/>
          <w:highlight w:val="none"/>
        </w:rPr>
        <w:t>。</w:t>
      </w:r>
    </w:p>
    <w:p w14:paraId="3FD6A8FB">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14:paraId="23BF934E">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自开标之日起</w:t>
      </w:r>
      <w:r>
        <w:rPr>
          <w:rFonts w:hint="eastAsia" w:ascii="宋体" w:hAnsi="宋体" w:eastAsia="宋体" w:cs="宋体"/>
          <w:b/>
          <w:bCs/>
          <w:color w:val="auto"/>
          <w:sz w:val="22"/>
          <w:szCs w:val="22"/>
          <w:highlight w:val="none"/>
        </w:rPr>
        <w:t>90</w:t>
      </w:r>
      <w:r>
        <w:rPr>
          <w:rFonts w:hint="eastAsia" w:ascii="宋体" w:hAnsi="宋体" w:eastAsia="宋体" w:cs="宋体"/>
          <w:b/>
          <w:color w:val="auto"/>
          <w:sz w:val="22"/>
          <w:szCs w:val="22"/>
          <w:highlight w:val="none"/>
        </w:rPr>
        <w:t>天内投标应保持有效。</w:t>
      </w:r>
    </w:p>
    <w:p w14:paraId="06591EBE">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5.2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特殊情况下，在原投标有效期截止前，</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7D93384B">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6、投标文件的签署和规定</w:t>
      </w:r>
    </w:p>
    <w:p w14:paraId="190C5C62">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6.1</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投标人应提供技术标、</w:t>
      </w:r>
      <w:r>
        <w:rPr>
          <w:rFonts w:hint="eastAsia" w:ascii="宋体" w:hAnsi="宋体" w:cs="宋体"/>
          <w:b/>
          <w:sz w:val="22"/>
          <w:szCs w:val="22"/>
        </w:rPr>
        <w:t>商务</w:t>
      </w:r>
      <w:r>
        <w:rPr>
          <w:rFonts w:hint="eastAsia" w:ascii="宋体" w:hAnsi="宋体" w:cs="宋体"/>
          <w:b/>
          <w:sz w:val="22"/>
          <w:szCs w:val="22"/>
          <w:lang w:eastAsia="zh-CN"/>
        </w:rPr>
        <w:t>（报价）</w:t>
      </w:r>
      <w:r>
        <w:rPr>
          <w:rFonts w:hint="eastAsia" w:ascii="宋体" w:hAnsi="宋体" w:cs="宋体"/>
          <w:b/>
          <w:sz w:val="22"/>
          <w:szCs w:val="22"/>
        </w:rPr>
        <w:t>标各一式</w:t>
      </w:r>
      <w:r>
        <w:rPr>
          <w:rFonts w:hint="eastAsia" w:ascii="宋体" w:hAnsi="宋体" w:cs="宋体"/>
          <w:b/>
          <w:sz w:val="22"/>
          <w:szCs w:val="22"/>
          <w:lang w:eastAsia="zh-CN"/>
        </w:rPr>
        <w:t>五</w:t>
      </w:r>
      <w:r>
        <w:rPr>
          <w:rFonts w:hint="eastAsia" w:ascii="宋体" w:hAnsi="宋体" w:cs="宋体"/>
          <w:b/>
          <w:sz w:val="22"/>
          <w:szCs w:val="22"/>
        </w:rPr>
        <w:t>份的投标文件，分别装订成册。其中正本一份、副本</w:t>
      </w:r>
      <w:r>
        <w:rPr>
          <w:rFonts w:hint="eastAsia" w:ascii="宋体" w:hAnsi="宋体" w:cs="宋体"/>
          <w:b/>
          <w:sz w:val="22"/>
          <w:szCs w:val="22"/>
          <w:lang w:eastAsia="zh-CN"/>
        </w:rPr>
        <w:t>四</w:t>
      </w:r>
      <w:r>
        <w:rPr>
          <w:rFonts w:hint="eastAsia" w:ascii="宋体" w:hAnsi="宋体" w:cs="宋体"/>
          <w:b/>
          <w:sz w:val="22"/>
          <w:szCs w:val="22"/>
        </w:rPr>
        <w:t>份，每套投标文件的封面应清楚标明“正本”或“副本”字样，若“正本”与“副本”不符，以“正本”为准</w:t>
      </w:r>
      <w:r>
        <w:rPr>
          <w:rFonts w:hint="eastAsia" w:ascii="宋体" w:hAnsi="宋体" w:eastAsia="宋体" w:cs="宋体"/>
          <w:color w:val="auto"/>
          <w:sz w:val="22"/>
          <w:szCs w:val="22"/>
          <w:highlight w:val="none"/>
        </w:rPr>
        <w:t>。</w:t>
      </w:r>
    </w:p>
    <w:p w14:paraId="4697EAA9">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6.2</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投标文件的正本必须打印或用不褪色的墨水书写，并由投标人代表签署，副本可用正本的复印。</w:t>
      </w:r>
    </w:p>
    <w:p w14:paraId="02E67534">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6.3</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投标文件如有修改和增删必须由投标人代表在修改和增删处旁签署或盖章，方才有效。</w:t>
      </w:r>
    </w:p>
    <w:p w14:paraId="33193680">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6.4</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投标文件因字迹模糊或在关键的技术、商务条款上表述不清楚，将可能导致其投标被否决。</w:t>
      </w:r>
    </w:p>
    <w:p w14:paraId="56C070DD">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7、投标文件的密封及标记</w:t>
      </w:r>
    </w:p>
    <w:p w14:paraId="2775DA88">
      <w:pPr>
        <w:tabs>
          <w:tab w:val="left" w:pos="360"/>
        </w:tabs>
        <w:spacing w:line="460" w:lineRule="exact"/>
        <w:ind w:firstLine="442" w:firstLineChars="200"/>
        <w:rPr>
          <w:rFonts w:hint="eastAsia" w:ascii="宋体" w:hAnsi="宋体" w:eastAsia="宋体" w:cs="宋体"/>
          <w:color w:val="auto"/>
          <w:sz w:val="22"/>
          <w:highlight w:val="none"/>
        </w:rPr>
      </w:pPr>
      <w:r>
        <w:rPr>
          <w:rFonts w:hint="eastAsia" w:ascii="宋体" w:hAnsi="宋体" w:eastAsia="宋体" w:cs="宋体"/>
          <w:b/>
          <w:color w:val="auto"/>
          <w:sz w:val="22"/>
          <w:szCs w:val="22"/>
          <w:highlight w:val="none"/>
        </w:rPr>
        <w:t>7.1</w:t>
      </w:r>
      <w:r>
        <w:rPr>
          <w:rFonts w:hint="eastAsia" w:ascii="宋体" w:hAnsi="宋体" w:cs="宋体"/>
          <w:b/>
          <w:color w:val="auto"/>
          <w:sz w:val="22"/>
          <w:szCs w:val="22"/>
          <w:highlight w:val="none"/>
          <w:lang w:val="en-US" w:eastAsia="zh-CN"/>
        </w:rPr>
        <w:t>.</w:t>
      </w:r>
      <w:r>
        <w:rPr>
          <w:rFonts w:hint="eastAsia" w:ascii="宋体" w:hAnsi="宋体" w:eastAsia="宋体" w:cs="宋体"/>
          <w:b/>
          <w:color w:val="auto"/>
          <w:sz w:val="22"/>
          <w:szCs w:val="22"/>
          <w:highlight w:val="none"/>
        </w:rPr>
        <w:t>投标人必须将投标文件的“技术标”“商务标”分别单独密封，且在各自的密封袋上标明“技术标”和“商务</w:t>
      </w:r>
      <w:r>
        <w:rPr>
          <w:rFonts w:hint="eastAsia" w:ascii="宋体" w:hAnsi="宋体" w:cs="宋体"/>
          <w:b/>
          <w:sz w:val="22"/>
          <w:szCs w:val="22"/>
        </w:rPr>
        <w:t>（报价）</w:t>
      </w:r>
      <w:r>
        <w:rPr>
          <w:rFonts w:hint="eastAsia" w:ascii="宋体" w:hAnsi="宋体" w:eastAsia="宋体" w:cs="宋体"/>
          <w:b/>
          <w:color w:val="auto"/>
          <w:sz w:val="22"/>
          <w:szCs w:val="22"/>
          <w:highlight w:val="none"/>
        </w:rPr>
        <w:t>标”字样。</w:t>
      </w:r>
      <w:r>
        <w:rPr>
          <w:rFonts w:hint="eastAsia" w:ascii="宋体" w:hAnsi="宋体" w:eastAsia="宋体" w:cs="宋体"/>
          <w:color w:val="auto"/>
          <w:sz w:val="22"/>
          <w:highlight w:val="none"/>
        </w:rPr>
        <w:t>封口处贴上封条，骑缝处加盖投标人公章或由投标人代表签字。封皮上写明投标项目名称、编号、投标人名称、电话联系人，并注明“开标时启封”字样。</w:t>
      </w:r>
    </w:p>
    <w:p w14:paraId="52DFA9A0">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如果投标人未按上述要求密封及加写标记，招标机构对投标文件的误投和提前启封不负责任。</w:t>
      </w:r>
    </w:p>
    <w:p w14:paraId="6A229416">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26" w:name="_Toc16076"/>
      <w:bookmarkStart w:id="27" w:name="_Toc27870"/>
      <w:r>
        <w:rPr>
          <w:rFonts w:hint="eastAsia" w:ascii="宋体" w:hAnsi="宋体" w:eastAsia="宋体" w:cs="宋体"/>
          <w:b/>
          <w:bCs/>
          <w:color w:val="auto"/>
          <w:sz w:val="26"/>
          <w:szCs w:val="26"/>
          <w:highlight w:val="none"/>
        </w:rPr>
        <w:t>四、 投标文件的递交</w:t>
      </w:r>
      <w:bookmarkEnd w:id="26"/>
      <w:bookmarkEnd w:id="27"/>
    </w:p>
    <w:p w14:paraId="7A6CF064">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1、投标文件的递交</w:t>
      </w:r>
    </w:p>
    <w:p w14:paraId="1CA9AE32">
      <w:pPr>
        <w:tabs>
          <w:tab w:val="left" w:pos="360"/>
        </w:tabs>
        <w:spacing w:line="460" w:lineRule="exact"/>
        <w:ind w:firstLine="442" w:firstLineChars="200"/>
        <w:rPr>
          <w:rFonts w:hint="eastAsia" w:ascii="宋体" w:hAnsi="宋体" w:eastAsia="宋体" w:cs="宋体"/>
          <w:b/>
          <w:color w:val="auto"/>
          <w:sz w:val="22"/>
          <w:highlight w:val="none"/>
          <w:u w:val="single"/>
          <w:lang w:eastAsia="zh-CN"/>
        </w:rPr>
      </w:pPr>
      <w:r>
        <w:rPr>
          <w:rFonts w:hint="eastAsia" w:ascii="宋体" w:hAnsi="宋体" w:eastAsia="宋体" w:cs="宋体"/>
          <w:b/>
          <w:bCs/>
          <w:color w:val="auto"/>
          <w:sz w:val="22"/>
          <w:szCs w:val="22"/>
          <w:highlight w:val="none"/>
          <w:u w:val="single"/>
        </w:rPr>
        <w:t>1.1</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color w:val="auto"/>
          <w:sz w:val="22"/>
          <w:highlight w:val="none"/>
          <w:u w:val="single"/>
        </w:rPr>
        <w:t>投标文件必须在规定的投标截止时间前送达到指定的收标地点，并同时递交法定代表人授权书和投标人代表有效身份证件、企业营业执照和有效的食品经营许可证或食品生产许可证；（以上证明文件复印件加盖公章）。</w:t>
      </w:r>
    </w:p>
    <w:p w14:paraId="23D4F460">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2、投标文件的修改和撤回</w:t>
      </w:r>
    </w:p>
    <w:p w14:paraId="7A993059">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2.1</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在投标截止时间前，投标人可以用书面形式提出修改或撤回其投标并送达到</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，但不得影响开标活动的正常进行。</w:t>
      </w:r>
    </w:p>
    <w:p w14:paraId="3693B50B">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2.2</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“投标文件修改”或“投标文件撤回通知”都应密封并在密封袋上写明投标项目名称、编号、投标人名称，并注明“投标文件修改”或“投标文件撤回通知”字样。</w:t>
      </w:r>
    </w:p>
    <w:p w14:paraId="7784A392">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2.3</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从投标截止日期起至投标有效期满这段时间内，投标人不得撤回其投标。</w:t>
      </w:r>
    </w:p>
    <w:p w14:paraId="4A0E8D49">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3、</w:t>
      </w:r>
      <w:r>
        <w:rPr>
          <w:rFonts w:hint="eastAsia" w:ascii="宋体" w:hAnsi="宋体" w:eastAsia="宋体" w:cs="宋体"/>
          <w:b/>
          <w:color w:val="auto"/>
          <w:sz w:val="22"/>
          <w:highlight w:val="none"/>
        </w:rPr>
        <w:t>发生下列情况之一的投标文件将拒收：</w:t>
      </w:r>
    </w:p>
    <w:p w14:paraId="0408D199">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3.1</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在投标截止时间以后送达的投标文件；</w:t>
      </w:r>
    </w:p>
    <w:p w14:paraId="2D6BEB33">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3.2</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未密封的投标文件；</w:t>
      </w:r>
    </w:p>
    <w:p w14:paraId="458D8C56">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3.3</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由于包装不妥在送达途中严重破损或失散的投标文件；</w:t>
      </w:r>
    </w:p>
    <w:p w14:paraId="6C3D0C85">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3.4</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以电讯形式递交的投标文件。</w:t>
      </w:r>
    </w:p>
    <w:p w14:paraId="3ED490CA">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4、组织</w:t>
      </w:r>
      <w:r>
        <w:rPr>
          <w:rFonts w:hint="eastAsia" w:ascii="宋体" w:hAnsi="宋体" w:cs="宋体"/>
          <w:b/>
          <w:bCs/>
          <w:color w:val="auto"/>
          <w:sz w:val="22"/>
          <w:szCs w:val="22"/>
          <w:highlight w:val="none"/>
          <w:u w:val="single"/>
          <w:lang w:eastAsia="zh-CN"/>
        </w:rPr>
        <w:t>投标人</w:t>
      </w:r>
      <w:r>
        <w:rPr>
          <w:rFonts w:hint="eastAsia" w:ascii="宋体" w:hAnsi="宋体" w:eastAsia="宋体" w:cs="宋体"/>
          <w:b/>
          <w:bCs/>
          <w:color w:val="auto"/>
          <w:sz w:val="22"/>
          <w:szCs w:val="22"/>
          <w:highlight w:val="none"/>
          <w:u w:val="single"/>
        </w:rPr>
        <w:t>签署不存在影响公平竞争的《政府采购活动现场确认声明书》。</w:t>
      </w:r>
    </w:p>
    <w:p w14:paraId="660C8B5B">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28" w:name="_Toc11931"/>
      <w:bookmarkStart w:id="29" w:name="_Toc4505"/>
      <w:r>
        <w:rPr>
          <w:rFonts w:hint="eastAsia" w:ascii="宋体" w:hAnsi="宋体" w:eastAsia="宋体" w:cs="宋体"/>
          <w:b/>
          <w:bCs/>
          <w:color w:val="auto"/>
          <w:sz w:val="26"/>
          <w:szCs w:val="26"/>
          <w:highlight w:val="none"/>
        </w:rPr>
        <w:t>五、 开标和评标</w:t>
      </w:r>
      <w:bookmarkEnd w:id="28"/>
      <w:bookmarkEnd w:id="29"/>
    </w:p>
    <w:p w14:paraId="42D19424">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14:paraId="4E487C0F">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1.1</w:t>
      </w:r>
      <w:r>
        <w:rPr>
          <w:rFonts w:hint="eastAsia" w:ascii="宋体" w:hAnsi="宋体" w:cs="宋体"/>
          <w:bCs/>
          <w:color w:val="auto"/>
          <w:sz w:val="22"/>
          <w:szCs w:val="22"/>
          <w:highlight w:val="none"/>
          <w:lang w:val="en-US" w:eastAsia="zh-CN"/>
        </w:rPr>
        <w:t>.</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和</w:t>
      </w:r>
      <w:r>
        <w:rPr>
          <w:rFonts w:hint="eastAsia" w:ascii="宋体" w:hAnsi="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组建评标委员会。评标委员会的成员在评标过程中必须严格遵守《政府采购法》等有关法律、法规的规定。</w:t>
      </w:r>
    </w:p>
    <w:p w14:paraId="4B7765C1">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2、评标过程的保密性</w:t>
      </w:r>
    </w:p>
    <w:p w14:paraId="22B7AA86">
      <w:pPr>
        <w:tabs>
          <w:tab w:val="left" w:pos="360"/>
        </w:tabs>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开标后直至向中标人授予合同时止，凡与评审有关的资料均不得向投标人及与评标无关人员透露。如果投标人在评标过程中试图向</w:t>
      </w:r>
      <w:r>
        <w:rPr>
          <w:rFonts w:hint="eastAsia" w:ascii="宋体" w:hAnsi="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和</w:t>
      </w:r>
      <w:r>
        <w:rPr>
          <w:rFonts w:hint="eastAsia" w:ascii="宋体" w:hAnsi="宋体" w:cs="宋体"/>
          <w:b/>
          <w:bCs/>
          <w:color w:val="auto"/>
          <w:sz w:val="22"/>
          <w:szCs w:val="22"/>
          <w:highlight w:val="none"/>
          <w:lang w:eastAsia="zh-CN"/>
        </w:rPr>
        <w:t>采购代理机构</w:t>
      </w:r>
      <w:r>
        <w:rPr>
          <w:rFonts w:hint="eastAsia" w:ascii="宋体" w:hAnsi="宋体" w:eastAsia="宋体" w:cs="宋体"/>
          <w:b/>
          <w:bCs/>
          <w:color w:val="auto"/>
          <w:sz w:val="22"/>
          <w:szCs w:val="22"/>
          <w:highlight w:val="none"/>
        </w:rPr>
        <w:t>施加影响，其投标将被拒绝。</w:t>
      </w:r>
    </w:p>
    <w:p w14:paraId="00237B6B">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3、开标、评标</w:t>
      </w:r>
    </w:p>
    <w:p w14:paraId="154B4E97">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3.1</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开标时邀请所有投标人代表参加，参加开标的代表应准时出席并签名报到以证明其出席。</w:t>
      </w:r>
    </w:p>
    <w:p w14:paraId="6BEADE5B">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3.2</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开标时，应当由投标人推选的代表检查投标文件的密封情况；经确认无误后，由</w:t>
      </w:r>
      <w:r>
        <w:rPr>
          <w:rFonts w:hint="eastAsia" w:ascii="宋体" w:hAnsi="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工作人员当众拆封，宣布投标人名称、投标价格和招标文件规定的需要宣布的其他内容。</w:t>
      </w:r>
    </w:p>
    <w:p w14:paraId="7608E88B">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投标人不足3家的，不得开标。</w:t>
      </w:r>
    </w:p>
    <w:p w14:paraId="530DCAF1">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开标过程应当由</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或者</w:t>
      </w:r>
      <w:r>
        <w:rPr>
          <w:rFonts w:hint="eastAsia" w:ascii="宋体" w:hAnsi="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负责记录，由参加开标的各投标人代表和相关工作人员签字确认后随招标文件一并存档。</w:t>
      </w:r>
    </w:p>
    <w:p w14:paraId="71B4646E">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投标人代表对开标过程和开标记录有疑义，以及认为</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eastAsia="zh-CN"/>
        </w:rPr>
        <w:t>采购代理机构</w:t>
      </w:r>
      <w:r>
        <w:rPr>
          <w:rFonts w:hint="eastAsia" w:ascii="宋体" w:hAnsi="宋体" w:eastAsia="宋体" w:cs="宋体"/>
          <w:bCs/>
          <w:color w:val="auto"/>
          <w:sz w:val="22"/>
          <w:szCs w:val="22"/>
          <w:highlight w:val="none"/>
        </w:rPr>
        <w:t>相关工作人员有需要回避的情形的，应当场提出询问或者回避申请。</w:t>
      </w:r>
    </w:p>
    <w:p w14:paraId="5F3073EF">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投标人未参加开标的，视同认可开标结果。</w:t>
      </w:r>
    </w:p>
    <w:p w14:paraId="570641ED">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开标结束后，</w:t>
      </w:r>
      <w:r>
        <w:rPr>
          <w:rFonts w:hint="eastAsia" w:ascii="宋体" w:hAnsi="宋体" w:cs="宋体"/>
          <w:bCs/>
          <w:color w:val="auto"/>
          <w:sz w:val="22"/>
          <w:szCs w:val="22"/>
          <w:highlight w:val="none"/>
          <w:lang w:eastAsia="zh-CN"/>
        </w:rPr>
        <w:t>采购人</w:t>
      </w:r>
      <w:r>
        <w:rPr>
          <w:rFonts w:hint="eastAsia" w:ascii="宋体" w:hAnsi="宋体" w:cs="宋体"/>
          <w:bCs/>
          <w:color w:val="auto"/>
          <w:sz w:val="22"/>
          <w:szCs w:val="22"/>
        </w:rPr>
        <w:t>或</w:t>
      </w:r>
      <w:r>
        <w:rPr>
          <w:rFonts w:hint="eastAsia" w:ascii="宋体" w:hAnsi="宋体" w:cs="宋体"/>
          <w:bCs/>
          <w:color w:val="auto"/>
          <w:sz w:val="22"/>
          <w:szCs w:val="22"/>
          <w:lang w:eastAsia="zh-CN"/>
        </w:rPr>
        <w:t>采购代理机构</w:t>
      </w:r>
      <w:r>
        <w:rPr>
          <w:rFonts w:hint="eastAsia" w:ascii="宋体" w:hAnsi="宋体" w:eastAsia="宋体" w:cs="宋体"/>
          <w:bCs/>
          <w:color w:val="auto"/>
          <w:sz w:val="22"/>
          <w:szCs w:val="22"/>
          <w:highlight w:val="none"/>
        </w:rPr>
        <w:t>依法对投标人的资格进行审查，合格投标人不足3家的，不得评标。</w:t>
      </w:r>
    </w:p>
    <w:p w14:paraId="4F5021D0">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3.4</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评标委员会对符合资格的投标人的投标文件进行符合性审查，以确定其是否满足招标文件的实质性要求。</w:t>
      </w:r>
    </w:p>
    <w:p w14:paraId="0994E1EC">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66E82086">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3.6</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评标委员按照招标文件中规定的评标方法和标准，对投标文件进行商务和技术评估，综合比较与评价。</w:t>
      </w:r>
    </w:p>
    <w:p w14:paraId="49AE2596">
      <w:pPr>
        <w:tabs>
          <w:tab w:val="left" w:pos="360"/>
        </w:tabs>
        <w:spacing w:line="460" w:lineRule="exact"/>
        <w:ind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3.7</w:t>
      </w:r>
      <w:r>
        <w:rPr>
          <w:rFonts w:hint="eastAsia" w:ascii="宋体" w:hAnsi="宋体" w:cs="宋体"/>
          <w:b/>
          <w:color w:val="auto"/>
          <w:sz w:val="22"/>
          <w:szCs w:val="22"/>
          <w:highlight w:val="none"/>
          <w:u w:val="single"/>
          <w:lang w:val="en-US" w:eastAsia="zh-CN"/>
        </w:rPr>
        <w:t>.</w:t>
      </w:r>
      <w:r>
        <w:rPr>
          <w:rFonts w:hint="eastAsia" w:ascii="宋体" w:hAnsi="宋体" w:eastAsia="宋体" w:cs="宋体"/>
          <w:b/>
          <w:color w:val="auto"/>
          <w:sz w:val="22"/>
          <w:szCs w:val="22"/>
          <w:highlight w:val="none"/>
          <w:u w:val="single"/>
        </w:rPr>
        <w:t>投标人存在下列情况之一的，投标无效：</w:t>
      </w:r>
    </w:p>
    <w:p w14:paraId="5B12588B">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14:paraId="0BAAC27F">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14:paraId="021992CA">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14:paraId="76770C43">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（4）“▲”标记条款负偏离或不响应的；</w:t>
      </w:r>
    </w:p>
    <w:p w14:paraId="114F2D37">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（5）投标文件内容不全或关键字迹模糊无法辨认的；</w:t>
      </w:r>
    </w:p>
    <w:p w14:paraId="4FBA45C0">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（6）报价超过招标文件中规定的预算金额或者最高限价的；</w:t>
      </w:r>
    </w:p>
    <w:p w14:paraId="5636CCE5">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（7）投标人代表没有法定代表人合法、有效委托的；</w:t>
      </w:r>
    </w:p>
    <w:p w14:paraId="69B062A4">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（8）投标文件含有</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不能接受的附加条件的；</w:t>
      </w:r>
    </w:p>
    <w:p w14:paraId="7661C39A">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（9）法律、法规和招标文件规定的其他无效情形。</w:t>
      </w:r>
    </w:p>
    <w:p w14:paraId="7DD226F1">
      <w:pPr>
        <w:tabs>
          <w:tab w:val="left" w:pos="360"/>
        </w:tabs>
        <w:spacing w:line="460" w:lineRule="exact"/>
        <w:ind w:firstLine="442"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u w:val="single"/>
        </w:rPr>
        <w:t>3.8</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有下列情形之一的，视为投标人串通投标，其投标无效</w:t>
      </w:r>
      <w:r>
        <w:rPr>
          <w:rFonts w:hint="eastAsia" w:ascii="宋体" w:hAnsi="宋体" w:eastAsia="宋体" w:cs="宋体"/>
          <w:b/>
          <w:color w:val="auto"/>
          <w:sz w:val="22"/>
          <w:szCs w:val="22"/>
          <w:highlight w:val="none"/>
          <w:u w:val="single"/>
        </w:rPr>
        <w:t>：</w:t>
      </w:r>
    </w:p>
    <w:p w14:paraId="7B6051F7">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14:paraId="513025A1">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14:paraId="3A96DA16">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14:paraId="2BACD81C">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756F7399">
      <w:pPr>
        <w:tabs>
          <w:tab w:val="left" w:pos="360"/>
        </w:tabs>
        <w:spacing w:line="460" w:lineRule="exact"/>
        <w:ind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（5）不同投标人的投标文件相互混装。</w:t>
      </w:r>
    </w:p>
    <w:p w14:paraId="2DAD3FE7">
      <w:pPr>
        <w:tabs>
          <w:tab w:val="left" w:pos="360"/>
        </w:tabs>
        <w:spacing w:line="46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3.9</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有下列情形之一的，属于恶意串通，其投标无效</w:t>
      </w:r>
      <w:r>
        <w:rPr>
          <w:rFonts w:hint="eastAsia" w:ascii="宋体" w:hAnsi="宋体" w:eastAsia="宋体" w:cs="宋体"/>
          <w:b/>
          <w:color w:val="auto"/>
          <w:sz w:val="22"/>
          <w:szCs w:val="22"/>
          <w:highlight w:val="none"/>
          <w:u w:val="single"/>
        </w:rPr>
        <w:t>：</w:t>
      </w:r>
    </w:p>
    <w:p w14:paraId="28DA7CA9">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直接或者间接从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或者</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处获得其他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的相关情况并修改其投标文件或者响应文件；</w:t>
      </w:r>
    </w:p>
    <w:p w14:paraId="41C4D5C0">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按照</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或者</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的授意撤换、修改投标文件或者响应文件；</w:t>
      </w:r>
    </w:p>
    <w:p w14:paraId="74FE54B6">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之间协商报价、技术方案等投标文件或者响应文件的实质性内容；</w:t>
      </w:r>
    </w:p>
    <w:p w14:paraId="75B1B1E0">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（4）属于同一集团、协会、商会等组织成员的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按照该组织要求协同参加采购活动；</w:t>
      </w:r>
    </w:p>
    <w:p w14:paraId="260CB431">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之间事先约定由某一特定</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中标、成交；</w:t>
      </w:r>
    </w:p>
    <w:p w14:paraId="31C08D73">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之间商定部分</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放弃参加采购活动或者放弃中标、成交；</w:t>
      </w:r>
    </w:p>
    <w:p w14:paraId="1CFB1483">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或者</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之间、</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相互之间，为谋求特定</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中标、成交或者排斥其他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的其他串通行为。</w:t>
      </w:r>
    </w:p>
    <w:p w14:paraId="584D6674">
      <w:pPr>
        <w:tabs>
          <w:tab w:val="left" w:pos="360"/>
        </w:tabs>
        <w:spacing w:line="46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3.10</w:t>
      </w:r>
      <w:r>
        <w:rPr>
          <w:rFonts w:hint="eastAsia" w:ascii="宋体" w:hAnsi="宋体" w:cs="宋体"/>
          <w:b/>
          <w:bCs/>
          <w:color w:val="auto"/>
          <w:sz w:val="22"/>
          <w:szCs w:val="22"/>
          <w:highlight w:val="none"/>
          <w:u w:val="single"/>
          <w:lang w:val="en-US" w:eastAsia="zh-CN"/>
        </w:rPr>
        <w:t>.</w:t>
      </w:r>
      <w:r>
        <w:rPr>
          <w:rFonts w:hint="eastAsia" w:ascii="宋体" w:hAnsi="宋体" w:eastAsia="宋体" w:cs="宋体"/>
          <w:b/>
          <w:bCs/>
          <w:color w:val="auto"/>
          <w:sz w:val="22"/>
          <w:szCs w:val="22"/>
          <w:highlight w:val="none"/>
          <w:u w:val="single"/>
        </w:rPr>
        <w:t>投标文件报价出现前后不一致的，按照下列规定修正：</w:t>
      </w:r>
    </w:p>
    <w:p w14:paraId="67D589B6">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（1）投标文件中开标一览表（报价表）内容与投标文件中相应内容不一致的，以开标一览表（报价表）为准；</w:t>
      </w:r>
    </w:p>
    <w:p w14:paraId="28F1D481">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3CE9DA6C">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14:paraId="7FDABC3B">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14:paraId="3221BED9">
      <w:pPr>
        <w:tabs>
          <w:tab w:val="left" w:pos="360"/>
        </w:tabs>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同时出现两种以上不一致的，按照前款规定的顺序修正。修正后的报价按照本小节第4.1条第二款的规定经投标人确认后产生约束力，投标人不确认的，其投标无效。</w:t>
      </w:r>
    </w:p>
    <w:p w14:paraId="46821E3E">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3.11</w:t>
      </w:r>
      <w:r>
        <w:rPr>
          <w:rFonts w:hint="eastAsia" w:ascii="宋体" w:hAnsi="宋体" w:cs="宋体"/>
          <w:bCs/>
          <w:color w:val="auto"/>
          <w:sz w:val="22"/>
          <w:szCs w:val="22"/>
          <w:highlight w:val="none"/>
          <w:lang w:val="en-US" w:eastAsia="zh-CN"/>
        </w:rPr>
        <w:t>.</w:t>
      </w:r>
      <w:r>
        <w:rPr>
          <w:rFonts w:hint="eastAsia" w:ascii="宋体" w:hAnsi="宋体" w:cs="宋体"/>
          <w:bCs/>
          <w:sz w:val="22"/>
          <w:szCs w:val="22"/>
        </w:rPr>
        <w:t>评</w:t>
      </w:r>
      <w:r>
        <w:rPr>
          <w:rFonts w:hint="eastAsia" w:ascii="宋体" w:hAnsi="宋体" w:eastAsia="宋体" w:cs="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4FA749EF">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4、投标文件的澄清</w:t>
      </w:r>
    </w:p>
    <w:p w14:paraId="5695ADD0">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4.1</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在评标期间，评标委员会可要求投标人对于投标文件中含义不明确、同类问题表述不一致或者有明显文字和计算错误的内容，评标委员会应当以书面形式要求投标人作出必要的澄清、说明或者补正。</w:t>
      </w:r>
    </w:p>
    <w:p w14:paraId="21668B95">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4F41BF1C">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14:paraId="28BE4D0E">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w:t>
      </w:r>
      <w:r>
        <w:rPr>
          <w:rFonts w:hint="eastAsia" w:ascii="宋体" w:hAnsi="宋体" w:cs="宋体"/>
          <w:color w:val="auto"/>
          <w:sz w:val="22"/>
          <w:szCs w:val="22"/>
          <w:highlight w:val="none"/>
          <w:lang w:val="en-US" w:eastAsia="zh-CN"/>
        </w:rPr>
        <w:t>.</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14:paraId="44C22BED">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3E0FB434">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由评标委员会确定中标候选人。</w:t>
      </w:r>
    </w:p>
    <w:p w14:paraId="4DF19CEA">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w:t>
      </w:r>
      <w:r>
        <w:rPr>
          <w:rFonts w:hint="eastAsia" w:ascii="宋体" w:hAnsi="宋体" w:eastAsia="宋体" w:cs="宋体"/>
          <w:color w:val="auto"/>
          <w:sz w:val="22"/>
          <w:szCs w:val="22"/>
          <w:highlight w:val="none"/>
          <w:lang w:val="en-US" w:eastAsia="zh-CN"/>
        </w:rPr>
        <w:t>并列</w:t>
      </w:r>
      <w:r>
        <w:rPr>
          <w:rFonts w:hint="eastAsia" w:ascii="宋体" w:hAnsi="宋体" w:eastAsia="宋体" w:cs="宋体"/>
          <w:color w:val="auto"/>
          <w:sz w:val="22"/>
          <w:szCs w:val="22"/>
          <w:highlight w:val="none"/>
        </w:rPr>
        <w:t>。）向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推荐。</w:t>
      </w:r>
    </w:p>
    <w:p w14:paraId="5F4E5D4A">
      <w:pPr>
        <w:tabs>
          <w:tab w:val="left" w:pos="360"/>
        </w:tabs>
        <w:spacing w:line="460" w:lineRule="exact"/>
        <w:ind w:firstLine="442" w:firstLineChars="200"/>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6、确定中标人</w:t>
      </w:r>
    </w:p>
    <w:p w14:paraId="3181C950">
      <w:pPr>
        <w:tabs>
          <w:tab w:val="left" w:pos="360"/>
        </w:tabs>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6.1</w:t>
      </w:r>
      <w:r>
        <w:rPr>
          <w:rFonts w:hint="eastAsia" w:ascii="宋体" w:hAnsi="宋体" w:cs="宋体"/>
          <w:b/>
          <w:bCs/>
          <w:color w:val="auto"/>
          <w:sz w:val="22"/>
          <w:szCs w:val="22"/>
          <w:highlight w:val="none"/>
          <w:lang w:val="en-US" w:eastAsia="zh-CN"/>
        </w:rPr>
        <w:t>.</w:t>
      </w:r>
      <w:r>
        <w:rPr>
          <w:rFonts w:hint="eastAsia" w:ascii="宋体" w:hAnsi="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按照评标报告中推荐的中标候选</w:t>
      </w:r>
      <w:r>
        <w:rPr>
          <w:rFonts w:hint="eastAsia" w:ascii="宋体" w:hAnsi="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顺序确定中标人；</w:t>
      </w:r>
      <w:r>
        <w:rPr>
          <w:rFonts w:hint="eastAsia" w:ascii="宋体" w:hAnsi="宋体" w:eastAsia="宋体" w:cs="宋体"/>
          <w:color w:val="auto"/>
          <w:sz w:val="22"/>
          <w:szCs w:val="22"/>
          <w:highlight w:val="none"/>
        </w:rPr>
        <w:t>得分相同的，按投标报价由低到高顺序排列。得分且投标报价相同的抽签决定名次优先者。</w:t>
      </w:r>
    </w:p>
    <w:p w14:paraId="5ADE42C6">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如中标人放弃中标、或未能在规定时间内与招标单位签订合同的；或者经质疑，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审查后，确因排名第一的候选人在本次招标活动中存在违法违规行为或其他原因使质疑成立的，</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可以视情况直接确定排名第二的候选人为中标人或重新组织招标。</w:t>
      </w:r>
    </w:p>
    <w:p w14:paraId="530C8675">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将在政府指定媒体公告中标结果，</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向中标人发出中标通知书。</w:t>
      </w:r>
    </w:p>
    <w:p w14:paraId="31B3E7E5">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8、</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对决标结果不做任何解释，也不保证最低价中标。</w:t>
      </w:r>
    </w:p>
    <w:p w14:paraId="67153071">
      <w:pPr>
        <w:tabs>
          <w:tab w:val="left" w:pos="360"/>
        </w:tabs>
        <w:spacing w:line="460" w:lineRule="exact"/>
        <w:ind w:firstLine="442" w:firstLineChars="200"/>
        <w:rPr>
          <w:rFonts w:hint="eastAsia" w:ascii="宋体" w:hAnsi="宋体" w:eastAsia="宋体" w:cs="宋体"/>
          <w:b/>
          <w:bCs/>
          <w:color w:val="auto"/>
          <w:sz w:val="26"/>
          <w:szCs w:val="26"/>
          <w:highlight w:val="none"/>
        </w:rPr>
      </w:pPr>
      <w:r>
        <w:rPr>
          <w:rFonts w:hint="eastAsia" w:ascii="宋体" w:hAnsi="宋体" w:eastAsia="宋体" w:cs="宋体"/>
          <w:b/>
          <w:color w:val="auto"/>
          <w:sz w:val="22"/>
          <w:szCs w:val="22"/>
          <w:highlight w:val="none"/>
        </w:rPr>
        <w:t>9、评标细则详见“评标原则及方法”。</w:t>
      </w:r>
    </w:p>
    <w:p w14:paraId="04C0AC49">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30" w:name="_Toc14203"/>
      <w:bookmarkStart w:id="31" w:name="_Toc18629"/>
      <w:r>
        <w:rPr>
          <w:rFonts w:hint="eastAsia" w:ascii="宋体" w:hAnsi="宋体" w:eastAsia="宋体" w:cs="宋体"/>
          <w:b/>
          <w:bCs/>
          <w:color w:val="auto"/>
          <w:sz w:val="26"/>
          <w:szCs w:val="26"/>
          <w:highlight w:val="none"/>
        </w:rPr>
        <w:t>六、 授予合同</w:t>
      </w:r>
      <w:bookmarkEnd w:id="30"/>
      <w:bookmarkEnd w:id="31"/>
    </w:p>
    <w:p w14:paraId="44501BBD">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14:paraId="298FF54B">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中标人确定后，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 xml:space="preserve">将向中标人发出中标通知书。 </w:t>
      </w:r>
    </w:p>
    <w:p w14:paraId="337895B3">
      <w:pPr>
        <w:tabs>
          <w:tab w:val="left" w:pos="360"/>
        </w:tabs>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中标通知书是合同的一个组成部分，对</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和中标人均具有同等法律效力。</w:t>
      </w:r>
    </w:p>
    <w:p w14:paraId="6F24563E">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14:paraId="02D804CC">
      <w:pPr>
        <w:tabs>
          <w:tab w:val="left" w:pos="360"/>
        </w:tabs>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w:t>
      </w:r>
      <w:r>
        <w:rPr>
          <w:rFonts w:hint="eastAsia" w:ascii="宋体" w:hAnsi="宋体" w:cs="宋体"/>
          <w:bCs/>
          <w:color w:val="auto"/>
          <w:sz w:val="22"/>
          <w:szCs w:val="22"/>
          <w:highlight w:val="none"/>
          <w:lang w:val="en-US" w:eastAsia="zh-CN"/>
        </w:rPr>
        <w:t>.</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在授予合同时有权对采购货物的数量和服务在一定幅度范围内予以增加或减少，但不得对单价和其他的条款和条件作任何改变。</w:t>
      </w:r>
    </w:p>
    <w:p w14:paraId="7107FFB3">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14:paraId="6270803C">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w:t>
      </w:r>
      <w:r>
        <w:rPr>
          <w:rFonts w:hint="eastAsia" w:ascii="宋体" w:hAnsi="宋体" w:cs="宋体"/>
          <w:bCs/>
          <w:color w:val="auto"/>
          <w:sz w:val="22"/>
          <w:szCs w:val="22"/>
          <w:highlight w:val="none"/>
          <w:lang w:val="en-US" w:eastAsia="zh-CN"/>
        </w:rPr>
        <w:t>.</w:t>
      </w:r>
      <w:r>
        <w:rPr>
          <w:rFonts w:hint="eastAsia" w:ascii="宋体" w:hAnsi="宋体" w:eastAsia="宋体" w:cs="宋体"/>
          <w:bCs/>
          <w:color w:val="auto"/>
          <w:sz w:val="22"/>
          <w:szCs w:val="22"/>
          <w:highlight w:val="none"/>
        </w:rPr>
        <w:t>中标人应按中标通知书规定的时间、地点与</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签订合同。</w:t>
      </w:r>
    </w:p>
    <w:p w14:paraId="7C93EF16">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招标文件、中标人的投标文件、投标修改文件、评标过程中有关澄清文件及经投标人和评委双方签字的询标纪要和中标通知书均作为合同附件。</w:t>
      </w:r>
    </w:p>
    <w:p w14:paraId="7A10F84D">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拒签合同的违约责任</w:t>
      </w:r>
    </w:p>
    <w:p w14:paraId="73D22D09">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中标人接到中标通知书后，在规定时间内借故否认已经承诺的条件而拒签合同的，以违约处理。</w:t>
      </w:r>
    </w:p>
    <w:p w14:paraId="28228C60">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14:paraId="435998D5">
      <w:pPr>
        <w:tabs>
          <w:tab w:val="left" w:pos="360"/>
        </w:tabs>
        <w:spacing w:line="460" w:lineRule="exact"/>
        <w:ind w:firstLine="466" w:firstLineChars="200"/>
        <w:rPr>
          <w:rFonts w:hint="eastAsia" w:ascii="宋体" w:hAnsi="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rPr>
        <w:t>4.1</w:t>
      </w:r>
      <w:r>
        <w:rPr>
          <w:rFonts w:hint="eastAsia" w:ascii="宋体" w:hAnsi="宋体" w:cs="宋体"/>
          <w:b/>
          <w:bCs/>
          <w:color w:val="auto"/>
          <w:spacing w:val="6"/>
          <w:sz w:val="22"/>
          <w:szCs w:val="22"/>
          <w:highlight w:val="none"/>
          <w:lang w:val="en-US" w:eastAsia="zh-CN"/>
        </w:rPr>
        <w:t>.</w:t>
      </w:r>
      <w:r>
        <w:rPr>
          <w:rFonts w:hint="eastAsia" w:ascii="宋体" w:eastAsia="宋体"/>
          <w:b/>
          <w:bCs/>
          <w:color w:val="auto"/>
          <w:sz w:val="22"/>
          <w:szCs w:val="22"/>
        </w:rPr>
        <w:t>合同签订后</w:t>
      </w:r>
      <w:r>
        <w:rPr>
          <w:rFonts w:hint="eastAsia" w:ascii="宋体" w:eastAsia="宋体"/>
          <w:b/>
          <w:bCs/>
          <w:color w:val="auto"/>
          <w:sz w:val="22"/>
          <w:szCs w:val="22"/>
          <w:lang w:val="en-US" w:eastAsia="zh-CN"/>
        </w:rPr>
        <w:t>7</w:t>
      </w:r>
      <w:r>
        <w:rPr>
          <w:rFonts w:hint="eastAsia" w:ascii="宋体" w:eastAsia="宋体"/>
          <w:b/>
          <w:bCs/>
          <w:color w:val="auto"/>
          <w:sz w:val="22"/>
          <w:szCs w:val="22"/>
        </w:rPr>
        <w:t>个工作日内中标</w:t>
      </w:r>
      <w:r>
        <w:rPr>
          <w:rFonts w:hint="eastAsia" w:ascii="宋体"/>
          <w:b/>
          <w:bCs/>
          <w:color w:val="auto"/>
          <w:sz w:val="22"/>
          <w:szCs w:val="22"/>
          <w:lang w:eastAsia="zh-CN"/>
        </w:rPr>
        <w:t>人</w:t>
      </w:r>
      <w:r>
        <w:rPr>
          <w:rFonts w:hint="eastAsia" w:ascii="宋体" w:eastAsia="宋体"/>
          <w:b/>
          <w:bCs/>
          <w:color w:val="auto"/>
          <w:sz w:val="22"/>
          <w:szCs w:val="22"/>
        </w:rPr>
        <w:t>应提供合同总金额1%的履约保证金至采购人指定账户。</w:t>
      </w:r>
      <w:r>
        <w:rPr>
          <w:rFonts w:hint="eastAsia" w:ascii="宋体" w:hAnsi="宋体" w:eastAsia="宋体" w:cs="宋体"/>
          <w:b/>
          <w:bCs/>
          <w:color w:val="auto"/>
          <w:spacing w:val="6"/>
          <w:sz w:val="22"/>
          <w:szCs w:val="22"/>
          <w:highlight w:val="none"/>
        </w:rPr>
        <w:t>银行转帐或者银行保函等模式。</w:t>
      </w:r>
    </w:p>
    <w:p w14:paraId="5C4D3039">
      <w:pPr>
        <w:tabs>
          <w:tab w:val="left" w:pos="360"/>
        </w:tabs>
        <w:spacing w:line="460" w:lineRule="exact"/>
        <w:ind w:firstLine="464" w:firstLineChars="200"/>
        <w:rPr>
          <w:rFonts w:hint="eastAsia" w:ascii="宋体" w:hAnsi="宋体" w:eastAsia="宋体" w:cs="宋体"/>
          <w:b/>
          <w:color w:val="auto"/>
          <w:sz w:val="22"/>
          <w:szCs w:val="22"/>
          <w:highlight w:val="none"/>
        </w:rPr>
      </w:pPr>
      <w:r>
        <w:rPr>
          <w:rFonts w:hint="eastAsia" w:ascii="宋体" w:hAnsi="宋体" w:eastAsia="宋体" w:cs="宋体"/>
          <w:color w:val="auto"/>
          <w:spacing w:val="6"/>
          <w:sz w:val="22"/>
          <w:szCs w:val="22"/>
          <w:highlight w:val="none"/>
        </w:rPr>
        <w:t>4.2</w:t>
      </w:r>
      <w:r>
        <w:rPr>
          <w:rFonts w:hint="eastAsia" w:ascii="宋体" w:hAnsi="宋体" w:cs="宋体"/>
          <w:color w:val="auto"/>
          <w:spacing w:val="6"/>
          <w:sz w:val="22"/>
          <w:szCs w:val="22"/>
          <w:highlight w:val="none"/>
          <w:lang w:val="en-US" w:eastAsia="zh-CN"/>
        </w:rPr>
        <w:t>.</w:t>
      </w:r>
      <w:r>
        <w:rPr>
          <w:rFonts w:hint="eastAsia" w:ascii="宋体" w:hAnsi="宋体" w:eastAsia="宋体" w:cs="宋体"/>
          <w:color w:val="auto"/>
          <w:sz w:val="22"/>
          <w:szCs w:val="22"/>
          <w:highlight w:val="none"/>
        </w:rPr>
        <w:t>履约保证金合同期满后30天内无息退还</w:t>
      </w:r>
      <w:r>
        <w:rPr>
          <w:rFonts w:hint="eastAsia" w:ascii="宋体" w:hAnsi="宋体" w:eastAsia="宋体" w:cs="宋体"/>
          <w:color w:val="auto"/>
          <w:spacing w:val="6"/>
          <w:sz w:val="22"/>
          <w:szCs w:val="22"/>
          <w:highlight w:val="none"/>
        </w:rPr>
        <w:t>。</w:t>
      </w:r>
    </w:p>
    <w:p w14:paraId="1405E8C8">
      <w:pPr>
        <w:tabs>
          <w:tab w:val="left" w:pos="360"/>
        </w:tabs>
        <w:spacing w:line="460" w:lineRule="exact"/>
        <w:ind w:firstLine="464" w:firstLineChars="200"/>
        <w:rPr>
          <w:rFonts w:hint="eastAsia" w:ascii="宋体" w:hAnsi="宋体" w:eastAsia="宋体" w:cs="宋体"/>
          <w:color w:val="auto"/>
          <w:sz w:val="22"/>
          <w:highlight w:val="none"/>
        </w:rPr>
      </w:pPr>
      <w:r>
        <w:rPr>
          <w:rFonts w:hint="eastAsia" w:ascii="宋体" w:hAnsi="宋体" w:eastAsia="宋体" w:cs="宋体"/>
          <w:color w:val="auto"/>
          <w:spacing w:val="6"/>
          <w:sz w:val="22"/>
          <w:szCs w:val="22"/>
          <w:highlight w:val="none"/>
        </w:rPr>
        <w:t>4.3</w:t>
      </w:r>
      <w:r>
        <w:rPr>
          <w:rFonts w:hint="eastAsia" w:ascii="宋体" w:hAnsi="宋体" w:cs="宋体"/>
          <w:color w:val="auto"/>
          <w:spacing w:val="6"/>
          <w:sz w:val="22"/>
          <w:szCs w:val="22"/>
          <w:highlight w:val="none"/>
          <w:lang w:val="en-US" w:eastAsia="zh-CN"/>
        </w:rPr>
        <w:t>.中标人</w:t>
      </w:r>
      <w:r>
        <w:rPr>
          <w:rFonts w:hint="eastAsia" w:ascii="宋体" w:hAnsi="宋体" w:eastAsia="宋体" w:cs="宋体"/>
          <w:color w:val="auto"/>
          <w:spacing w:val="6"/>
          <w:sz w:val="22"/>
          <w:szCs w:val="22"/>
          <w:highlight w:val="none"/>
        </w:rPr>
        <w:t>不按招标文件和合同要求履行的，履约保证金</w:t>
      </w:r>
      <w:r>
        <w:rPr>
          <w:rFonts w:hint="eastAsia" w:ascii="宋体" w:hAnsi="宋体" w:cs="宋体"/>
          <w:color w:val="auto"/>
          <w:spacing w:val="6"/>
          <w:sz w:val="22"/>
          <w:szCs w:val="22"/>
        </w:rPr>
        <w:t>不予退还</w:t>
      </w:r>
      <w:r>
        <w:rPr>
          <w:rFonts w:hint="eastAsia" w:ascii="宋体" w:hAnsi="宋体" w:eastAsia="宋体" w:cs="宋体"/>
          <w:color w:val="auto"/>
          <w:sz w:val="22"/>
          <w:highlight w:val="none"/>
        </w:rPr>
        <w:t>。</w:t>
      </w:r>
    </w:p>
    <w:p w14:paraId="78C249AB">
      <w:pPr>
        <w:tabs>
          <w:tab w:val="left" w:pos="36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14:paraId="772E199C">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投标人认为招标文件、招标过程、中标和成交结果使自己的合法权益受到损害的，可以在知道或应知道其权益受到损害之日起七个工作日内以书面形式向</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提出质疑。</w:t>
      </w:r>
    </w:p>
    <w:p w14:paraId="6D2AAC43">
      <w:pPr>
        <w:tabs>
          <w:tab w:val="left" w:pos="360"/>
        </w:tabs>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w:t>
      </w:r>
      <w:r>
        <w:rPr>
          <w:rFonts w:hint="eastAsia" w:ascii="宋体" w:hAnsi="宋体" w:cs="宋体"/>
          <w:color w:val="auto"/>
          <w:sz w:val="22"/>
          <w:highlight w:val="none"/>
          <w:lang w:val="en-US" w:eastAsia="zh-CN"/>
        </w:rPr>
        <w:t>.</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在收到投标人的书面质疑后七个工作日内作出答复，但答复的内容不得涉及商业秘密。质疑</w:t>
      </w:r>
      <w:r>
        <w:rPr>
          <w:rFonts w:hint="eastAsia" w:ascii="宋体" w:hAnsi="宋体" w:cs="宋体"/>
          <w:color w:val="auto"/>
          <w:sz w:val="22"/>
          <w:highlight w:val="none"/>
          <w:lang w:eastAsia="zh-CN"/>
        </w:rPr>
        <w:t>投标人</w:t>
      </w:r>
      <w:r>
        <w:rPr>
          <w:rFonts w:hint="eastAsia" w:ascii="宋体" w:hAnsi="宋体" w:eastAsia="宋体" w:cs="宋体"/>
          <w:color w:val="auto"/>
          <w:sz w:val="22"/>
          <w:highlight w:val="none"/>
        </w:rPr>
        <w:t>对</w:t>
      </w:r>
      <w:r>
        <w:rPr>
          <w:rFonts w:hint="eastAsia" w:ascii="宋体" w:hAnsi="宋体" w:cs="宋体"/>
          <w:color w:val="auto"/>
          <w:sz w:val="22"/>
          <w:highlight w:val="none"/>
          <w:lang w:eastAsia="zh-CN"/>
        </w:rPr>
        <w:t>采购人</w:t>
      </w:r>
      <w:r>
        <w:rPr>
          <w:rFonts w:hint="eastAsia" w:ascii="宋体" w:hAnsi="宋体" w:eastAsia="宋体" w:cs="宋体"/>
          <w:color w:val="auto"/>
          <w:sz w:val="22"/>
          <w:highlight w:val="none"/>
        </w:rPr>
        <w:t>或</w:t>
      </w:r>
      <w:r>
        <w:rPr>
          <w:rFonts w:hint="eastAsia" w:ascii="宋体" w:hAnsi="宋体" w:cs="宋体"/>
          <w:color w:val="auto"/>
          <w:sz w:val="22"/>
          <w:highlight w:val="none"/>
          <w:lang w:eastAsia="zh-CN"/>
        </w:rPr>
        <w:t>采购代理机构</w:t>
      </w:r>
      <w:r>
        <w:rPr>
          <w:rFonts w:hint="eastAsia" w:ascii="宋体" w:hAnsi="宋体" w:eastAsia="宋体" w:cs="宋体"/>
          <w:color w:val="auto"/>
          <w:sz w:val="22"/>
          <w:highlight w:val="none"/>
        </w:rPr>
        <w:t>的答复不满意，可以在答复期满后十五个工作日内向同级采购监督管理部门投诉。</w:t>
      </w:r>
    </w:p>
    <w:p w14:paraId="54FCB88F">
      <w:pPr>
        <w:tabs>
          <w:tab w:val="left" w:pos="360"/>
        </w:tabs>
        <w:spacing w:line="4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5.3</w:t>
      </w:r>
      <w:r>
        <w:rPr>
          <w:rFonts w:hint="eastAsia" w:ascii="宋体" w:hAnsi="宋体" w:cs="宋体"/>
          <w:color w:val="auto"/>
          <w:sz w:val="22"/>
          <w:highlight w:val="none"/>
          <w:lang w:val="en-US" w:eastAsia="zh-CN"/>
        </w:rPr>
        <w:t>.</w:t>
      </w:r>
      <w:r>
        <w:rPr>
          <w:rFonts w:hint="eastAsia" w:ascii="宋体" w:hAnsi="宋体" w:eastAsia="宋体" w:cs="宋体"/>
          <w:color w:val="auto"/>
          <w:sz w:val="22"/>
          <w:highlight w:val="none"/>
        </w:rPr>
        <w:t>投诉人投诉时，应提交投诉书，投诉书应当由本人并由法定代表人签字盖公章，投诉书应说明具体的投诉事项及事实依据。投诉人对投诉书的真实性负责，恶意投诉将承当相应的法律和民事责任。</w:t>
      </w:r>
    </w:p>
    <w:p w14:paraId="2E6A7448">
      <w:pPr>
        <w:rPr>
          <w:rFonts w:hint="eastAsia" w:ascii="宋体" w:hAnsi="宋体" w:eastAsia="宋体" w:cs="宋体"/>
          <w:color w:val="auto"/>
          <w:highlight w:val="none"/>
        </w:rPr>
      </w:pPr>
    </w:p>
    <w:p w14:paraId="604CEF4E">
      <w:pPr>
        <w:pStyle w:val="23"/>
        <w:spacing w:line="460" w:lineRule="exact"/>
        <w:ind w:left="0" w:firstLine="0" w:firstLineChars="0"/>
        <w:jc w:val="center"/>
        <w:outlineLvl w:val="0"/>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bookmarkStart w:id="32" w:name="_Toc23732"/>
      <w:r>
        <w:rPr>
          <w:rFonts w:hint="eastAsia" w:ascii="宋体" w:hAnsi="宋体" w:eastAsia="宋体" w:cs="宋体"/>
          <w:b/>
          <w:color w:val="auto"/>
          <w:sz w:val="30"/>
          <w:highlight w:val="none"/>
        </w:rPr>
        <w:t>第二部分  合同主要条款</w:t>
      </w:r>
      <w:bookmarkEnd w:id="32"/>
    </w:p>
    <w:p w14:paraId="396F7CC1">
      <w:pPr>
        <w:spacing w:line="46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本条款为买卖双方必须遵守的基本条款，买卖双方也可根据实际情况另签合同条款，正式合同以双方签字盖章的文本为准。</w:t>
      </w:r>
    </w:p>
    <w:p w14:paraId="2226C3CB">
      <w:pPr>
        <w:rPr>
          <w:rFonts w:hint="eastAsia" w:ascii="宋体" w:hAnsi="宋体" w:eastAsia="宋体" w:cs="宋体"/>
          <w:color w:val="auto"/>
          <w:sz w:val="22"/>
          <w:szCs w:val="22"/>
          <w:highlight w:val="none"/>
        </w:rPr>
      </w:pPr>
    </w:p>
    <w:p w14:paraId="06EA9D14">
      <w:pPr>
        <w:autoSpaceDE w:val="0"/>
        <w:autoSpaceDN w:val="0"/>
        <w:spacing w:line="500" w:lineRule="atLeast"/>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中标合同</w:t>
      </w:r>
    </w:p>
    <w:p w14:paraId="65681409">
      <w:pPr>
        <w:autoSpaceDE w:val="0"/>
        <w:autoSpaceDN w:val="0"/>
        <w:spacing w:line="500" w:lineRule="atLeast"/>
        <w:jc w:val="center"/>
        <w:textAlignment w:val="bottom"/>
        <w:rPr>
          <w:rFonts w:hint="eastAsia" w:ascii="宋体" w:hAnsi="宋体" w:eastAsia="宋体" w:cs="宋体"/>
          <w:color w:val="auto"/>
          <w:sz w:val="22"/>
          <w:szCs w:val="22"/>
          <w:highlight w:val="none"/>
        </w:rPr>
      </w:pPr>
    </w:p>
    <w:p w14:paraId="5C09DDF2">
      <w:pPr>
        <w:autoSpaceDE w:val="0"/>
        <w:autoSpaceDN w:val="0"/>
        <w:spacing w:line="58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p>
    <w:p w14:paraId="3F7BE30F">
      <w:pPr>
        <w:autoSpaceDE w:val="0"/>
        <w:autoSpaceDN w:val="0"/>
        <w:spacing w:line="58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设备名称：</w:t>
      </w:r>
      <w:r>
        <w:rPr>
          <w:rFonts w:hint="eastAsia" w:ascii="宋体" w:hAnsi="宋体" w:eastAsia="宋体" w:cs="宋体"/>
          <w:color w:val="auto"/>
          <w:sz w:val="22"/>
          <w:szCs w:val="22"/>
          <w:highlight w:val="none"/>
          <w:u w:val="single"/>
        </w:rPr>
        <w:t xml:space="preserve">                      </w:t>
      </w:r>
    </w:p>
    <w:p w14:paraId="7AE75C4F">
      <w:pPr>
        <w:autoSpaceDE w:val="0"/>
        <w:autoSpaceDN w:val="0"/>
        <w:spacing w:line="58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合同编号：</w:t>
      </w:r>
      <w:r>
        <w:rPr>
          <w:rFonts w:hint="eastAsia" w:ascii="宋体" w:hAnsi="宋体" w:eastAsia="宋体" w:cs="宋体"/>
          <w:color w:val="auto"/>
          <w:sz w:val="22"/>
          <w:szCs w:val="22"/>
          <w:highlight w:val="none"/>
          <w:u w:val="single"/>
        </w:rPr>
        <w:t xml:space="preserve">                      </w:t>
      </w:r>
    </w:p>
    <w:p w14:paraId="4310326F">
      <w:pPr>
        <w:autoSpaceDE w:val="0"/>
        <w:autoSpaceDN w:val="0"/>
        <w:spacing w:line="580" w:lineRule="atLeast"/>
        <w:textAlignment w:val="bottom"/>
        <w:rPr>
          <w:rFonts w:hint="eastAsia" w:ascii="宋体" w:hAnsi="宋体" w:eastAsia="宋体" w:cs="宋体"/>
          <w:color w:val="auto"/>
          <w:sz w:val="22"/>
          <w:szCs w:val="22"/>
          <w:highlight w:val="none"/>
        </w:rPr>
      </w:pPr>
    </w:p>
    <w:p w14:paraId="069A553D">
      <w:pPr>
        <w:autoSpaceDE w:val="0"/>
        <w:autoSpaceDN w:val="0"/>
        <w:spacing w:line="580" w:lineRule="atLeast"/>
        <w:textAlignment w:val="bottom"/>
        <w:rPr>
          <w:rFonts w:hint="eastAsia" w:ascii="宋体" w:hAnsi="宋体" w:eastAsia="宋体" w:cs="宋体"/>
          <w:color w:val="auto"/>
          <w:sz w:val="22"/>
          <w:szCs w:val="22"/>
          <w:highlight w:val="none"/>
        </w:rPr>
      </w:pPr>
    </w:p>
    <w:p w14:paraId="62EBC557">
      <w:pPr>
        <w:autoSpaceDE w:val="0"/>
        <w:autoSpaceDN w:val="0"/>
        <w:spacing w:line="580" w:lineRule="atLeast"/>
        <w:textAlignment w:val="bottom"/>
        <w:rPr>
          <w:rFonts w:hint="eastAsia" w:ascii="宋体" w:hAnsi="宋体" w:eastAsia="宋体" w:cs="宋体"/>
          <w:color w:val="auto"/>
          <w:sz w:val="22"/>
          <w:szCs w:val="22"/>
          <w:highlight w:val="none"/>
        </w:rPr>
      </w:pPr>
    </w:p>
    <w:p w14:paraId="3C725DEB">
      <w:pPr>
        <w:autoSpaceDE w:val="0"/>
        <w:autoSpaceDN w:val="0"/>
        <w:spacing w:line="580" w:lineRule="atLeast"/>
        <w:textAlignment w:val="bottom"/>
        <w:rPr>
          <w:rFonts w:hint="eastAsia" w:ascii="宋体" w:hAnsi="宋体" w:eastAsia="宋体" w:cs="宋体"/>
          <w:color w:val="auto"/>
          <w:sz w:val="22"/>
          <w:szCs w:val="22"/>
          <w:highlight w:val="none"/>
        </w:rPr>
      </w:pPr>
    </w:p>
    <w:p w14:paraId="400A4801">
      <w:pPr>
        <w:autoSpaceDE w:val="0"/>
        <w:autoSpaceDN w:val="0"/>
        <w:spacing w:line="580" w:lineRule="atLeast"/>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甲    方：</w:t>
      </w:r>
      <w:r>
        <w:rPr>
          <w:rFonts w:hint="eastAsia" w:ascii="宋体" w:hAnsi="宋体" w:eastAsia="宋体" w:cs="宋体"/>
          <w:color w:val="auto"/>
          <w:sz w:val="22"/>
          <w:szCs w:val="22"/>
          <w:highlight w:val="none"/>
          <w:u w:val="single"/>
        </w:rPr>
        <w:t xml:space="preserve">                      </w:t>
      </w:r>
    </w:p>
    <w:p w14:paraId="09178BF9">
      <w:pPr>
        <w:autoSpaceDE w:val="0"/>
        <w:autoSpaceDN w:val="0"/>
        <w:spacing w:line="580" w:lineRule="atLeas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乙    方：</w:t>
      </w:r>
      <w:r>
        <w:rPr>
          <w:rFonts w:hint="eastAsia" w:ascii="宋体" w:hAnsi="宋体" w:eastAsia="宋体" w:cs="宋体"/>
          <w:color w:val="auto"/>
          <w:sz w:val="22"/>
          <w:szCs w:val="22"/>
          <w:highlight w:val="none"/>
          <w:u w:val="single"/>
        </w:rPr>
        <w:t xml:space="preserve">                      </w:t>
      </w:r>
    </w:p>
    <w:p w14:paraId="40722820">
      <w:pPr>
        <w:spacing w:line="4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u w:val="single"/>
        </w:rPr>
        <w:t xml:space="preserve">                      </w:t>
      </w:r>
    </w:p>
    <w:p w14:paraId="288982C1">
      <w:pPr>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79010832">
      <w:pPr>
        <w:jc w:val="center"/>
        <w:rPr>
          <w:rFonts w:hint="eastAsia" w:ascii="宋体" w:hAnsi="宋体" w:eastAsia="宋体" w:cs="宋体"/>
          <w:b/>
          <w:bCs/>
          <w:color w:val="auto"/>
          <w:highlight w:val="none"/>
        </w:rPr>
      </w:pPr>
      <w:r>
        <w:rPr>
          <w:rFonts w:hint="eastAsia" w:ascii="宋体" w:hAnsi="宋体" w:eastAsia="宋体" w:cs="宋体"/>
          <w:b/>
          <w:color w:val="auto"/>
          <w:sz w:val="32"/>
          <w:highlight w:val="none"/>
        </w:rPr>
        <w:t>合同主要条款</w:t>
      </w:r>
    </w:p>
    <w:p w14:paraId="67DAEF37">
      <w:pPr>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采购方：（甲方）</w:t>
      </w:r>
    </w:p>
    <w:p w14:paraId="09178FF3">
      <w:pPr>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供货方：（乙方）</w:t>
      </w:r>
    </w:p>
    <w:p w14:paraId="37DD6500">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cs="宋体"/>
          <w:color w:val="auto"/>
          <w:sz w:val="22"/>
          <w:szCs w:val="22"/>
          <w:highlight w:val="none"/>
          <w:lang w:val="zh-CN"/>
        </w:rPr>
        <w:t>温州市龙湾区消防救援大队食堂原材料采购及配送</w:t>
      </w:r>
      <w:r>
        <w:rPr>
          <w:rFonts w:hint="eastAsia" w:ascii="宋体" w:hAnsi="宋体" w:eastAsia="宋体" w:cs="宋体"/>
          <w:color w:val="auto"/>
          <w:sz w:val="22"/>
          <w:szCs w:val="22"/>
          <w:highlight w:val="none"/>
          <w:lang w:val="zh-CN"/>
        </w:rPr>
        <w:t>项目</w:t>
      </w:r>
      <w:r>
        <w:rPr>
          <w:rFonts w:hint="eastAsia" w:ascii="宋体" w:hAnsi="宋体" w:eastAsia="宋体" w:cs="宋体"/>
          <w:bCs/>
          <w:color w:val="auto"/>
          <w:sz w:val="22"/>
          <w:szCs w:val="22"/>
          <w:highlight w:val="none"/>
        </w:rPr>
        <w:t>（招标编号：</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）经过公开招标，确定</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为中标</w:t>
      </w:r>
      <w:r>
        <w:rPr>
          <w:rFonts w:hint="eastAsia" w:ascii="宋体" w:hAnsi="宋体" w:cs="宋体"/>
          <w:bCs/>
          <w:color w:val="auto"/>
          <w:sz w:val="22"/>
          <w:szCs w:val="22"/>
          <w:highlight w:val="none"/>
          <w:lang w:eastAsia="zh-CN"/>
        </w:rPr>
        <w:t>人</w:t>
      </w:r>
      <w:r>
        <w:rPr>
          <w:rFonts w:hint="eastAsia" w:ascii="宋体" w:hAnsi="宋体" w:eastAsia="宋体" w:cs="宋体"/>
          <w:bCs/>
          <w:color w:val="auto"/>
          <w:sz w:val="22"/>
          <w:szCs w:val="22"/>
          <w:highlight w:val="none"/>
        </w:rPr>
        <w:t>，双方经协商，达成以下条款：</w:t>
      </w:r>
    </w:p>
    <w:p w14:paraId="1A02A30A">
      <w:pPr>
        <w:snapToGrid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一、配送期限及金额：</w:t>
      </w:r>
    </w:p>
    <w:p w14:paraId="1FB42682">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1、本项目服务期限为 1年（      年   月    日至    年   月   日）。</w:t>
      </w:r>
    </w:p>
    <w:p w14:paraId="7122422C">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2、本项目服务总预算最高限价金额：￥</w:t>
      </w:r>
      <w:r>
        <w:rPr>
          <w:rFonts w:hint="eastAsia" w:ascii="宋体" w:hAnsi="宋体" w:eastAsia="宋体" w:cs="宋体"/>
          <w:b/>
          <w:bCs/>
          <w:color w:val="auto"/>
          <w:sz w:val="22"/>
          <w:szCs w:val="22"/>
          <w:highlight w:val="none"/>
          <w:lang w:eastAsia="zh-CN"/>
        </w:rPr>
        <w:t>2</w:t>
      </w:r>
      <w:r>
        <w:rPr>
          <w:rFonts w:hint="eastAsia" w:ascii="宋体" w:hAnsi="宋体" w:eastAsia="宋体" w:cs="宋体"/>
          <w:b/>
          <w:bCs/>
          <w:color w:val="auto"/>
          <w:sz w:val="22"/>
          <w:szCs w:val="22"/>
          <w:highlight w:val="none"/>
          <w:lang w:val="en-US" w:eastAsia="zh-CN"/>
        </w:rPr>
        <w:t>286271</w:t>
      </w:r>
      <w:r>
        <w:rPr>
          <w:rFonts w:hint="eastAsia" w:ascii="宋体" w:hAnsi="宋体" w:cs="宋体"/>
          <w:b/>
          <w:bCs/>
          <w:color w:val="auto"/>
          <w:sz w:val="22"/>
          <w:szCs w:val="22"/>
          <w:highlight w:val="none"/>
          <w:lang w:val="en-US" w:eastAsia="zh-CN"/>
        </w:rPr>
        <w:t>.52</w:t>
      </w:r>
      <w:r>
        <w:rPr>
          <w:rFonts w:hint="eastAsia" w:ascii="宋体" w:hAnsi="宋体" w:eastAsia="宋体" w:cs="宋体"/>
          <w:b/>
          <w:bCs/>
          <w:color w:val="auto"/>
          <w:sz w:val="22"/>
          <w:szCs w:val="22"/>
          <w:highlight w:val="none"/>
        </w:rPr>
        <w:t>元（人民币</w:t>
      </w:r>
      <w:r>
        <w:rPr>
          <w:rFonts w:hint="eastAsia" w:ascii="宋体" w:hAnsi="宋体" w:cs="宋体"/>
          <w:b/>
          <w:bCs/>
          <w:color w:val="auto"/>
          <w:sz w:val="22"/>
          <w:szCs w:val="22"/>
          <w:highlight w:val="none"/>
          <w:lang w:val="en-US" w:eastAsia="zh-CN"/>
        </w:rPr>
        <w:t>贰佰贰拾捌万陆仟贰佰柒拾壹</w:t>
      </w:r>
      <w:r>
        <w:rPr>
          <w:rFonts w:hint="eastAsia" w:ascii="宋体" w:hAnsi="宋体" w:eastAsia="宋体" w:cs="宋体"/>
          <w:b/>
          <w:bCs/>
          <w:color w:val="auto"/>
          <w:sz w:val="22"/>
          <w:szCs w:val="22"/>
          <w:highlight w:val="none"/>
        </w:rPr>
        <w:t>元</w:t>
      </w:r>
      <w:r>
        <w:rPr>
          <w:rFonts w:hint="eastAsia" w:ascii="宋体" w:hAnsi="宋体" w:cs="宋体"/>
          <w:b/>
          <w:bCs/>
          <w:color w:val="auto"/>
          <w:sz w:val="22"/>
          <w:szCs w:val="22"/>
          <w:highlight w:val="none"/>
          <w:lang w:val="en-US" w:eastAsia="zh-CN"/>
        </w:rPr>
        <w:t>五角贰分</w:t>
      </w:r>
      <w:r>
        <w:rPr>
          <w:rFonts w:hint="eastAsia" w:ascii="宋体" w:hAnsi="宋体" w:eastAsia="宋体" w:cs="宋体"/>
          <w:b/>
          <w:bCs/>
          <w:color w:val="auto"/>
          <w:sz w:val="22"/>
          <w:szCs w:val="22"/>
          <w:highlight w:val="none"/>
        </w:rPr>
        <w:t>）</w:t>
      </w:r>
    </w:p>
    <w:p w14:paraId="4F182F91">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3、本项目服务期限为1年。</w:t>
      </w:r>
    </w:p>
    <w:p w14:paraId="73CC531A">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特别约定：</w:t>
      </w:r>
      <w:r>
        <w:rPr>
          <w:rFonts w:hint="eastAsia" w:ascii="宋体" w:hAnsi="宋体" w:eastAsia="宋体" w:cs="宋体"/>
          <w:b/>
          <w:bCs/>
          <w:color w:val="auto"/>
          <w:sz w:val="22"/>
          <w:szCs w:val="22"/>
          <w:highlight w:val="none"/>
          <w:lang w:val="en-US" w:eastAsia="zh-CN"/>
        </w:rPr>
        <w:t>双方同意如因甲方合同期内如遇政策性原因或内部管理等特殊情况，导致合同无法履行，甲方可提前一个月告知乙方解除合同，且不用任何赔偿，合同自行终止。</w:t>
      </w:r>
    </w:p>
    <w:p w14:paraId="05DECFE8">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采购内容：详见招标内容。</w:t>
      </w:r>
    </w:p>
    <w:p w14:paraId="32A96627">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二、配送地点：甲方指定的地点</w:t>
      </w:r>
    </w:p>
    <w:p w14:paraId="5F75C787">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1、永宁消防救援站：温州市龙湾区永中街道永宁西路666号</w:t>
      </w:r>
    </w:p>
    <w:p w14:paraId="6E6251BA">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2、永兴消防救援站：温州市龙湾区滨海六道1010号</w:t>
      </w:r>
    </w:p>
    <w:p w14:paraId="4458B73B">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3、永中消防救援站：温州市龙湾区永中街道围垦路</w:t>
      </w:r>
    </w:p>
    <w:p w14:paraId="0C7322E8">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4、状元消防救援站：温州市龙湾区温州大道龙腾南路状元街道兴华路21号</w:t>
      </w:r>
    </w:p>
    <w:p w14:paraId="7A5D2314">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三、价款及结算方式</w:t>
      </w:r>
    </w:p>
    <w:p w14:paraId="4ABAC1C8">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投标折扣</w:t>
      </w:r>
    </w:p>
    <w:tbl>
      <w:tblPr>
        <w:tblStyle w:val="5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6"/>
        <w:gridCol w:w="4807"/>
      </w:tblGrid>
      <w:tr w14:paraId="1AD1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60" w:type="pct"/>
            <w:vAlign w:val="center"/>
          </w:tcPr>
          <w:p w14:paraId="4EF79DA2">
            <w:pPr>
              <w:snapToGrid w:val="0"/>
              <w:spacing w:beforeLines="50" w:afterLines="50"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2439" w:type="pct"/>
            <w:vAlign w:val="center"/>
          </w:tcPr>
          <w:p w14:paraId="0C2EBF81">
            <w:pPr>
              <w:snapToGrid w:val="0"/>
              <w:spacing w:beforeLines="50" w:afterLines="50"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中标折扣</w:t>
            </w:r>
          </w:p>
        </w:tc>
      </w:tr>
      <w:tr w14:paraId="63CE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2560" w:type="pct"/>
            <w:vAlign w:val="center"/>
          </w:tcPr>
          <w:p w14:paraId="3ABBEF1C">
            <w:pPr>
              <w:snapToGrid w:val="0"/>
              <w:spacing w:beforeLines="50" w:afterLines="50" w:line="460" w:lineRule="exact"/>
              <w:jc w:val="center"/>
              <w:rPr>
                <w:rFonts w:hint="eastAsia" w:ascii="宋体" w:hAnsi="宋体" w:eastAsia="宋体" w:cs="宋体"/>
                <w:color w:val="0000FF"/>
                <w:sz w:val="22"/>
                <w:szCs w:val="22"/>
                <w:highlight w:val="none"/>
              </w:rPr>
            </w:pPr>
            <w:r>
              <w:rPr>
                <w:rFonts w:hint="eastAsia" w:ascii="宋体" w:hAnsi="宋体" w:cs="宋体"/>
                <w:color w:val="auto"/>
                <w:sz w:val="22"/>
                <w:szCs w:val="22"/>
                <w:highlight w:val="none"/>
                <w:lang w:val="zh-CN"/>
              </w:rPr>
              <w:t>温州市龙湾区消防救援大队食堂原材料采购及配送</w:t>
            </w:r>
            <w:r>
              <w:rPr>
                <w:rFonts w:hint="eastAsia" w:ascii="宋体" w:hAnsi="宋体" w:eastAsia="宋体" w:cs="宋体"/>
                <w:bCs/>
                <w:color w:val="auto"/>
                <w:kern w:val="0"/>
                <w:sz w:val="22"/>
                <w:szCs w:val="22"/>
                <w:highlight w:val="none"/>
              </w:rPr>
              <w:t>项目</w:t>
            </w:r>
          </w:p>
        </w:tc>
        <w:tc>
          <w:tcPr>
            <w:tcW w:w="2439" w:type="pct"/>
            <w:vAlign w:val="center"/>
          </w:tcPr>
          <w:p w14:paraId="15F115BA">
            <w:pPr>
              <w:snapToGrid w:val="0"/>
              <w:spacing w:beforeLines="50" w:afterLines="50" w:line="460" w:lineRule="exact"/>
              <w:ind w:firstLine="495"/>
              <w:jc w:val="center"/>
              <w:rPr>
                <w:rFonts w:hint="eastAsia" w:ascii="宋体" w:hAnsi="宋体" w:eastAsia="宋体" w:cs="宋体"/>
                <w:color w:val="auto"/>
                <w:sz w:val="22"/>
                <w:szCs w:val="22"/>
                <w:highlight w:val="none"/>
              </w:rPr>
            </w:pPr>
          </w:p>
        </w:tc>
      </w:tr>
    </w:tbl>
    <w:p w14:paraId="1EA725BD">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结算方式</w:t>
      </w:r>
    </w:p>
    <w:p w14:paraId="71221734">
      <w:pPr>
        <w:adjustRightInd w:val="0"/>
        <w:snapToGrid w:val="0"/>
        <w:spacing w:line="460" w:lineRule="exact"/>
        <w:ind w:firstLine="442" w:firstLineChars="200"/>
        <w:rPr>
          <w:rFonts w:hint="eastAsia" w:ascii="宋体" w:hAnsi="宋体" w:eastAsia="宋体" w:cs="宋体"/>
          <w:bCs/>
          <w:color w:val="0000FF"/>
          <w:sz w:val="22"/>
          <w:szCs w:val="22"/>
          <w:highlight w:val="none"/>
          <w:u w:val="single"/>
        </w:rPr>
      </w:pPr>
      <w:r>
        <w:rPr>
          <w:rFonts w:hint="eastAsia" w:ascii="宋体" w:hAnsi="宋体" w:eastAsia="宋体" w:cs="宋体"/>
          <w:b/>
          <w:color w:val="auto"/>
          <w:sz w:val="22"/>
          <w:szCs w:val="22"/>
          <w:highlight w:val="none"/>
          <w:u w:val="single"/>
          <w:lang w:eastAsia="zh-CN"/>
        </w:rPr>
        <w:t>本项目根据温州市发展和改革委员会官方网站（http://wzfgw.wenzhou.gov.cn/col/col1216782/index.html）最近之日公布的温州市区农贸市场价格监测表中永中农贸市场的产品价格做为所需产品参考价</w:t>
      </w:r>
      <w:r>
        <w:rPr>
          <w:rFonts w:hint="eastAsia" w:ascii="宋体" w:hAnsi="宋体" w:eastAsia="宋体" w:cs="宋体"/>
          <w:b/>
          <w:color w:val="auto"/>
          <w:sz w:val="22"/>
          <w:szCs w:val="22"/>
          <w:highlight w:val="none"/>
          <w:u w:val="single"/>
        </w:rPr>
        <w:t>格，温州市发展和改革委员会官方网站上未列明的货品</w:t>
      </w:r>
      <w:r>
        <w:rPr>
          <w:rFonts w:hint="eastAsia" w:ascii="宋体" w:hAnsi="宋体" w:eastAsia="宋体" w:cs="宋体"/>
          <w:b/>
          <w:bCs w:val="0"/>
          <w:color w:val="auto"/>
          <w:sz w:val="22"/>
          <w:szCs w:val="22"/>
          <w:highlight w:val="none"/>
          <w:u w:val="single"/>
        </w:rPr>
        <w:t>，甲方</w:t>
      </w:r>
      <w:r>
        <w:rPr>
          <w:rFonts w:hint="eastAsia" w:ascii="宋体" w:hAnsi="宋体" w:eastAsia="宋体" w:cs="宋体"/>
          <w:b/>
          <w:bCs w:val="0"/>
          <w:color w:val="auto"/>
          <w:sz w:val="22"/>
          <w:szCs w:val="22"/>
          <w:highlight w:val="none"/>
          <w:u w:val="single"/>
          <w:lang w:eastAsia="zh-CN"/>
        </w:rPr>
        <w:t>有权选</w:t>
      </w:r>
      <w:r>
        <w:rPr>
          <w:rFonts w:hint="eastAsia" w:ascii="宋体" w:hAnsi="宋体" w:eastAsia="宋体" w:cs="宋体"/>
          <w:b/>
          <w:bCs w:val="0"/>
          <w:color w:val="auto"/>
          <w:sz w:val="22"/>
          <w:highlight w:val="none"/>
          <w:u w:val="single"/>
          <w:lang w:eastAsia="zh-CN"/>
        </w:rPr>
        <w:t>龙湾区</w:t>
      </w:r>
      <w:r>
        <w:rPr>
          <w:rFonts w:hint="eastAsia" w:ascii="宋体" w:hAnsi="宋体" w:eastAsia="宋体" w:cs="宋体"/>
          <w:b/>
          <w:bCs w:val="0"/>
          <w:color w:val="auto"/>
          <w:sz w:val="22"/>
          <w:highlight w:val="none"/>
          <w:u w:val="single"/>
        </w:rPr>
        <w:t>镇北</w:t>
      </w:r>
      <w:r>
        <w:rPr>
          <w:rFonts w:hint="eastAsia" w:ascii="宋体" w:hAnsi="宋体" w:eastAsia="宋体" w:cs="宋体"/>
          <w:b/>
          <w:bCs w:val="0"/>
          <w:color w:val="auto"/>
          <w:sz w:val="22"/>
          <w:szCs w:val="22"/>
          <w:highlight w:val="none"/>
          <w:u w:val="single"/>
          <w:lang w:eastAsia="zh-CN"/>
        </w:rPr>
        <w:t>农贸市场进行市场</w:t>
      </w:r>
      <w:r>
        <w:rPr>
          <w:rFonts w:hint="eastAsia" w:ascii="宋体" w:hAnsi="宋体" w:eastAsia="宋体" w:cs="宋体"/>
          <w:b/>
          <w:bCs w:val="0"/>
          <w:color w:val="auto"/>
          <w:sz w:val="22"/>
          <w:szCs w:val="22"/>
          <w:highlight w:val="none"/>
          <w:u w:val="single"/>
        </w:rPr>
        <w:t>询价的市场价作为产品参考价格；禁止配送无市场实际零售商品或专供产品。</w:t>
      </w:r>
    </w:p>
    <w:p w14:paraId="5E1D0097">
      <w:pPr>
        <w:adjustRightInd w:val="0"/>
        <w:snapToGrid w:val="0"/>
        <w:spacing w:line="460" w:lineRule="exact"/>
        <w:ind w:firstLine="442" w:firstLineChars="200"/>
        <w:rPr>
          <w:rFonts w:hint="eastAsia" w:ascii="宋体" w:hAnsi="宋体" w:cs="宋体"/>
          <w:b/>
          <w:color w:val="auto"/>
          <w:sz w:val="22"/>
          <w:szCs w:val="22"/>
          <w:u w:val="single"/>
        </w:rPr>
      </w:pPr>
      <w:r>
        <w:rPr>
          <w:rFonts w:hint="eastAsia" w:ascii="宋体" w:hAnsi="宋体" w:cs="宋体"/>
          <w:b/>
          <w:sz w:val="22"/>
          <w:szCs w:val="22"/>
          <w:u w:val="single"/>
        </w:rPr>
        <w:t>甲方成立询价组，乙方委</w:t>
      </w:r>
      <w:r>
        <w:rPr>
          <w:rFonts w:hint="eastAsia" w:ascii="宋体" w:hAnsi="宋体" w:cs="宋体"/>
          <w:b/>
          <w:color w:val="auto"/>
          <w:sz w:val="22"/>
          <w:szCs w:val="22"/>
          <w:u w:val="single"/>
        </w:rPr>
        <w:t>派一名工作人员配合甲方，每半个月对食堂食品原料的价格进行采集，参考相关部门发布的市场信息，与乙方及时对接，原则上每半个月确定一次</w:t>
      </w:r>
      <w:r>
        <w:rPr>
          <w:rFonts w:hint="eastAsia" w:ascii="宋体" w:hAnsi="宋体" w:cs="宋体"/>
          <w:b/>
          <w:color w:val="auto"/>
          <w:sz w:val="22"/>
          <w:szCs w:val="22"/>
          <w:u w:val="single"/>
          <w:lang w:eastAsia="zh-CN"/>
        </w:rPr>
        <w:t>，询价全过程录音录像并存档，录音录像设备由</w:t>
      </w:r>
      <w:r>
        <w:rPr>
          <w:rFonts w:hint="eastAsia" w:ascii="宋体" w:hAnsi="宋体" w:cs="宋体"/>
          <w:b/>
          <w:color w:val="auto"/>
          <w:sz w:val="22"/>
          <w:szCs w:val="22"/>
          <w:u w:val="single"/>
        </w:rPr>
        <w:t>乙方</w:t>
      </w:r>
      <w:r>
        <w:rPr>
          <w:rFonts w:hint="eastAsia" w:ascii="宋体" w:hAnsi="宋体" w:cs="宋体"/>
          <w:b/>
          <w:color w:val="auto"/>
          <w:sz w:val="22"/>
          <w:szCs w:val="22"/>
          <w:u w:val="single"/>
          <w:lang w:eastAsia="zh-CN"/>
        </w:rPr>
        <w:t>提供。</w:t>
      </w:r>
    </w:p>
    <w:p w14:paraId="10400D3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1）结算周期为每半个月结算一次。送货清单每天按时开具，与原材</w:t>
      </w:r>
      <w:r>
        <w:rPr>
          <w:rFonts w:hint="eastAsia" w:ascii="宋体" w:hAnsi="宋体" w:eastAsia="宋体" w:cs="宋体"/>
          <w:bCs/>
          <w:color w:val="auto"/>
          <w:sz w:val="22"/>
          <w:szCs w:val="22"/>
          <w:highlight w:val="none"/>
          <w:lang w:val="en-US" w:eastAsia="zh-CN"/>
        </w:rPr>
        <w:t>料</w:t>
      </w:r>
      <w:r>
        <w:rPr>
          <w:rFonts w:hint="eastAsia" w:ascii="宋体" w:hAnsi="宋体" w:eastAsia="宋体" w:cs="宋体"/>
          <w:bCs/>
          <w:color w:val="auto"/>
          <w:sz w:val="22"/>
          <w:szCs w:val="22"/>
          <w:highlight w:val="none"/>
        </w:rPr>
        <w:t>同步送达</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甲乙双方在送货清单上签字确认</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增值税发票</w:t>
      </w:r>
      <w:r>
        <w:rPr>
          <w:rFonts w:hint="eastAsia" w:ascii="宋体" w:hAnsi="宋体" w:eastAsia="宋体" w:cs="宋体"/>
          <w:bCs/>
          <w:color w:val="auto"/>
          <w:sz w:val="22"/>
          <w:szCs w:val="22"/>
          <w:highlight w:val="none"/>
        </w:rPr>
        <w:t>每半个月按时开具。</w:t>
      </w:r>
    </w:p>
    <w:p w14:paraId="147EC740">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2）送货清单中，某宗产品当期结算价=该宗产品实际供货数量*当期该宗产品市场单价*中标折扣。</w:t>
      </w:r>
    </w:p>
    <w:p w14:paraId="27184EF5">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3）周期完成后，</w:t>
      </w:r>
      <w:r>
        <w:rPr>
          <w:rFonts w:hint="eastAsia" w:ascii="宋体" w:hAnsi="宋体" w:eastAsia="宋体" w:cs="宋体"/>
          <w:bCs/>
          <w:color w:val="auto"/>
          <w:kern w:val="0"/>
          <w:sz w:val="22"/>
          <w:szCs w:val="22"/>
          <w:highlight w:val="none"/>
          <w:lang w:val="zh-CN"/>
        </w:rPr>
        <w:t>结合违约责任及</w:t>
      </w:r>
      <w:r>
        <w:rPr>
          <w:rFonts w:hint="eastAsia" w:ascii="宋体" w:hAnsi="宋体" w:eastAsia="宋体" w:cs="宋体"/>
          <w:bCs/>
          <w:color w:val="auto"/>
          <w:kern w:val="0"/>
          <w:sz w:val="22"/>
          <w:szCs w:val="22"/>
          <w:highlight w:val="none"/>
          <w:lang w:val="en-US" w:eastAsia="zh-CN"/>
        </w:rPr>
        <w:t>半</w:t>
      </w:r>
      <w:r>
        <w:rPr>
          <w:rFonts w:hint="eastAsia" w:ascii="宋体" w:hAnsi="宋体" w:eastAsia="宋体" w:cs="宋体"/>
          <w:bCs/>
          <w:color w:val="auto"/>
          <w:kern w:val="0"/>
          <w:sz w:val="22"/>
          <w:szCs w:val="22"/>
          <w:highlight w:val="none"/>
          <w:lang w:val="zh-CN"/>
        </w:rPr>
        <w:t>月度考核扣罚等情况，</w:t>
      </w:r>
      <w:r>
        <w:rPr>
          <w:rFonts w:hint="eastAsia" w:ascii="宋体" w:hAnsi="宋体" w:eastAsia="宋体" w:cs="宋体"/>
          <w:bCs/>
          <w:color w:val="auto"/>
          <w:sz w:val="22"/>
          <w:szCs w:val="22"/>
          <w:highlight w:val="none"/>
        </w:rPr>
        <w:t>乙方及时向</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方提交应支付金额为当期所有产品结算价总和的增值税发票，</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方收到发票后及时向乙方支付货款</w:t>
      </w:r>
      <w:r>
        <w:rPr>
          <w:rFonts w:hint="eastAsia" w:ascii="宋体" w:hAnsi="宋体" w:eastAsia="宋体" w:cs="宋体"/>
          <w:bCs/>
          <w:color w:val="auto"/>
          <w:kern w:val="0"/>
          <w:sz w:val="22"/>
          <w:szCs w:val="22"/>
          <w:highlight w:val="none"/>
          <w:lang w:val="zh-CN"/>
        </w:rPr>
        <w:t>，</w:t>
      </w:r>
      <w:r>
        <w:rPr>
          <w:rFonts w:hint="eastAsia" w:ascii="宋体" w:hAnsi="宋体" w:eastAsia="宋体" w:cs="宋体"/>
          <w:bCs/>
          <w:color w:val="auto"/>
          <w:kern w:val="0"/>
          <w:sz w:val="22"/>
          <w:szCs w:val="22"/>
          <w:highlight w:val="none"/>
        </w:rPr>
        <w:t>若遇特殊情况可与乙方协商适当延期付款</w:t>
      </w:r>
      <w:r>
        <w:rPr>
          <w:rFonts w:hint="eastAsia" w:ascii="宋体" w:hAnsi="宋体" w:eastAsia="宋体" w:cs="宋体"/>
          <w:bCs/>
          <w:color w:val="auto"/>
          <w:kern w:val="0"/>
          <w:sz w:val="22"/>
          <w:szCs w:val="22"/>
          <w:highlight w:val="none"/>
          <w:lang w:val="zh-CN"/>
        </w:rPr>
        <w:t>。</w:t>
      </w:r>
    </w:p>
    <w:p w14:paraId="5FAD8732">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四、技术资料</w:t>
      </w:r>
    </w:p>
    <w:p w14:paraId="01B8600D">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乙方应按招标文件规定的时间向</w:t>
      </w:r>
      <w:r>
        <w:rPr>
          <w:rFonts w:hint="eastAsia" w:ascii="宋体" w:hAnsi="宋体" w:cs="宋体"/>
          <w:bCs/>
          <w:color w:val="auto"/>
          <w:sz w:val="22"/>
          <w:szCs w:val="22"/>
          <w:highlight w:val="none"/>
          <w:lang w:val="en-US" w:eastAsia="zh-CN"/>
        </w:rPr>
        <w:t>甲</w:t>
      </w:r>
      <w:r>
        <w:rPr>
          <w:rFonts w:hint="eastAsia" w:ascii="宋体" w:hAnsi="宋体" w:eastAsia="宋体" w:cs="宋体"/>
          <w:bCs/>
          <w:color w:val="auto"/>
          <w:sz w:val="22"/>
          <w:szCs w:val="22"/>
          <w:highlight w:val="none"/>
        </w:rPr>
        <w:t>方提供食品配送的实施方案。包括承诺、项目实施方案、项目管理制度等。</w:t>
      </w:r>
    </w:p>
    <w:p w14:paraId="7AB7D025">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没有</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方事先书面同意，乙方不得将由</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方提供的有关合同或任何合同条文、规格、计划或资料提供给与履行本合同无关的任何其他人。即使向履行本合同有关的人员提供，也应注意保密并限于履行合同的必需范围。</w:t>
      </w:r>
    </w:p>
    <w:p w14:paraId="64880898">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五、转包或分包</w:t>
      </w:r>
    </w:p>
    <w:p w14:paraId="291E8000">
      <w:pPr>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本合同范围的经营权，应由乙方直接经营，不得转让</w:t>
      </w:r>
      <w:r>
        <w:rPr>
          <w:rFonts w:hint="eastAsia"/>
          <w:color w:val="auto"/>
          <w:highlight w:val="none"/>
          <w:lang w:eastAsia="zh-CN"/>
        </w:rPr>
        <w:t>、</w:t>
      </w:r>
      <w:r>
        <w:rPr>
          <w:rFonts w:hint="eastAsia"/>
          <w:color w:val="auto"/>
          <w:highlight w:val="none"/>
          <w:lang w:val="en-US" w:eastAsia="zh-CN"/>
        </w:rPr>
        <w:t>不得分包</w:t>
      </w:r>
      <w:r>
        <w:rPr>
          <w:rFonts w:hint="eastAsia" w:ascii="宋体" w:hAnsi="宋体" w:eastAsia="宋体" w:cs="宋体"/>
          <w:bCs/>
          <w:color w:val="auto"/>
          <w:sz w:val="22"/>
          <w:szCs w:val="22"/>
          <w:highlight w:val="none"/>
        </w:rPr>
        <w:t>他人，否则，</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方有权解除合同，履约保证金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并追究乙方的违约责任。</w:t>
      </w:r>
    </w:p>
    <w:p w14:paraId="410AFB54">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六、履约保证保金</w:t>
      </w:r>
    </w:p>
    <w:p w14:paraId="6AEE6303">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eastAsia="zh-CN"/>
        </w:rPr>
        <w:t>、</w:t>
      </w:r>
      <w:r>
        <w:rPr>
          <w:rFonts w:hint="eastAsia" w:ascii="宋体" w:eastAsia="宋体"/>
          <w:b w:val="0"/>
          <w:bCs w:val="0"/>
          <w:color w:val="auto"/>
          <w:sz w:val="22"/>
          <w:szCs w:val="22"/>
        </w:rPr>
        <w:t>合同签订后</w:t>
      </w:r>
      <w:r>
        <w:rPr>
          <w:rFonts w:hint="eastAsia" w:ascii="宋体" w:eastAsia="宋体"/>
          <w:b w:val="0"/>
          <w:bCs w:val="0"/>
          <w:color w:val="auto"/>
          <w:sz w:val="22"/>
          <w:szCs w:val="22"/>
          <w:lang w:val="en-US" w:eastAsia="zh-CN"/>
        </w:rPr>
        <w:t>7</w:t>
      </w:r>
      <w:r>
        <w:rPr>
          <w:rFonts w:hint="eastAsia" w:ascii="宋体" w:eastAsia="宋体"/>
          <w:b w:val="0"/>
          <w:bCs w:val="0"/>
          <w:color w:val="auto"/>
          <w:sz w:val="22"/>
          <w:szCs w:val="22"/>
        </w:rPr>
        <w:t>个工作日内</w:t>
      </w:r>
      <w:r>
        <w:rPr>
          <w:rFonts w:hint="eastAsia" w:ascii="宋体" w:hAnsi="宋体" w:eastAsia="宋体" w:cs="宋体"/>
          <w:bCs/>
          <w:color w:val="auto"/>
          <w:sz w:val="22"/>
          <w:szCs w:val="22"/>
          <w:highlight w:val="none"/>
        </w:rPr>
        <w:t>乙方</w:t>
      </w:r>
      <w:r>
        <w:rPr>
          <w:rFonts w:hint="eastAsia" w:ascii="宋体" w:eastAsia="宋体"/>
          <w:b w:val="0"/>
          <w:bCs w:val="0"/>
          <w:color w:val="auto"/>
          <w:sz w:val="22"/>
          <w:szCs w:val="22"/>
        </w:rPr>
        <w:t>应提供合同总金额1%的履约保证金至</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w:t>
      </w:r>
      <w:r>
        <w:rPr>
          <w:rFonts w:hint="eastAsia" w:ascii="宋体" w:eastAsia="宋体"/>
          <w:b w:val="0"/>
          <w:bCs w:val="0"/>
          <w:color w:val="auto"/>
          <w:sz w:val="22"/>
          <w:szCs w:val="22"/>
        </w:rPr>
        <w:t>指定账户。</w:t>
      </w:r>
      <w:r>
        <w:rPr>
          <w:rFonts w:hint="eastAsia" w:ascii="宋体" w:hAnsi="宋体" w:eastAsia="宋体" w:cs="宋体"/>
          <w:b w:val="0"/>
          <w:bCs w:val="0"/>
          <w:color w:val="auto"/>
          <w:spacing w:val="6"/>
          <w:sz w:val="22"/>
          <w:szCs w:val="22"/>
          <w:highlight w:val="none"/>
        </w:rPr>
        <w:t>银行转帐或者银行保函等模式。</w:t>
      </w:r>
      <w:r>
        <w:rPr>
          <w:rFonts w:hint="eastAsia" w:ascii="宋体" w:hAnsi="宋体" w:eastAsia="宋体" w:cs="宋体"/>
          <w:b w:val="0"/>
          <w:bCs w:val="0"/>
          <w:color w:val="auto"/>
          <w:sz w:val="22"/>
          <w:szCs w:val="22"/>
          <w:highlight w:val="none"/>
        </w:rPr>
        <w:t xml:space="preserve"> </w:t>
      </w:r>
      <w:r>
        <w:rPr>
          <w:rFonts w:hint="eastAsia" w:ascii="宋体" w:hAnsi="宋体" w:eastAsia="宋体" w:cs="宋体"/>
          <w:color w:val="auto"/>
          <w:sz w:val="22"/>
          <w:szCs w:val="22"/>
          <w:highlight w:val="none"/>
        </w:rPr>
        <w:t xml:space="preserve"> </w:t>
      </w:r>
    </w:p>
    <w:p w14:paraId="294E90F6">
      <w:pPr>
        <w:widowControl/>
        <w:tabs>
          <w:tab w:val="left" w:pos="540"/>
        </w:tabs>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履约保证金合同期满后30天内无息退还。</w:t>
      </w:r>
    </w:p>
    <w:p w14:paraId="583DC9A4">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乙方不按</w:t>
      </w:r>
      <w:r>
        <w:rPr>
          <w:rFonts w:hint="eastAsia" w:ascii="宋体" w:hAnsi="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文件和合同要求履行的，</w:t>
      </w:r>
      <w:r>
        <w:rPr>
          <w:rFonts w:hint="eastAsia" w:ascii="宋体" w:hAnsi="宋体" w:cs="宋体"/>
          <w:bCs/>
          <w:color w:val="auto"/>
          <w:sz w:val="22"/>
          <w:szCs w:val="22"/>
        </w:rPr>
        <w:t>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w:t>
      </w:r>
    </w:p>
    <w:p w14:paraId="3EDDD95B">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七、税费</w:t>
      </w:r>
    </w:p>
    <w:p w14:paraId="6C80346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本合同执行中相关的一切税费均由乙方负担。</w:t>
      </w:r>
    </w:p>
    <w:p w14:paraId="551E7CC2">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八、质量保证及经营服务</w:t>
      </w:r>
    </w:p>
    <w:p w14:paraId="6D08DEB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乙方保证本合同中所供应的商品符合国家技术规格和质量标准的合格商品，且符合</w:t>
      </w:r>
      <w:r>
        <w:rPr>
          <w:rFonts w:hint="eastAsia" w:ascii="宋体" w:hAnsi="宋体" w:cs="宋体"/>
          <w:bCs/>
          <w:color w:val="auto"/>
          <w:sz w:val="22"/>
          <w:szCs w:val="22"/>
          <w:highlight w:val="none"/>
          <w:lang w:eastAsia="zh-CN"/>
        </w:rPr>
        <w:t>招标文件</w:t>
      </w:r>
      <w:r>
        <w:rPr>
          <w:rFonts w:hint="eastAsia" w:ascii="宋体" w:hAnsi="宋体" w:eastAsia="宋体" w:cs="宋体"/>
          <w:bCs/>
          <w:color w:val="auto"/>
          <w:sz w:val="22"/>
          <w:szCs w:val="22"/>
          <w:highlight w:val="none"/>
        </w:rPr>
        <w:t>规定的验收标准。</w:t>
      </w:r>
    </w:p>
    <w:p w14:paraId="7BBBCBD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如乙方所供商品与合同不符或在连续两个供货周期内所供货物未能通过</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方的验收（抽查或委托第三方检验），</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方有权终止合同并履约保证金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，由此产生的一切责任和后果由乙方承担。</w:t>
      </w:r>
    </w:p>
    <w:p w14:paraId="1A30A35E">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乙方必须保证合同履行过程中所提供的产品符合国家相关卫生质量标准，保证食材的新鲜、卫生。如因食材所致的相关卫生事件，一切后果由乙方承担。</w:t>
      </w:r>
    </w:p>
    <w:p w14:paraId="3096AD7C">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每日乙方送货人员必须要和</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w:t>
      </w:r>
      <w:r>
        <w:rPr>
          <w:rFonts w:hint="eastAsia" w:ascii="宋体" w:hAnsi="宋体" w:cs="宋体"/>
          <w:bCs/>
          <w:color w:val="auto"/>
          <w:sz w:val="22"/>
          <w:szCs w:val="22"/>
        </w:rPr>
        <w:t>当面交接清楚并双方签字确认</w:t>
      </w:r>
      <w:r>
        <w:rPr>
          <w:rFonts w:hint="eastAsia" w:ascii="宋体" w:hAnsi="宋体" w:eastAsia="宋体" w:cs="宋体"/>
          <w:bCs/>
          <w:color w:val="auto"/>
          <w:sz w:val="22"/>
          <w:szCs w:val="22"/>
          <w:highlight w:val="none"/>
        </w:rPr>
        <w:t>，</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方及时做好管理登记。</w:t>
      </w:r>
    </w:p>
    <w:p w14:paraId="03FFB161">
      <w:pPr>
        <w:snapToGrid w:val="0"/>
        <w:spacing w:line="460" w:lineRule="exact"/>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5</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乙方不得随意变更食品名称，与</w:t>
      </w:r>
      <w:r>
        <w:rPr>
          <w:rFonts w:hint="eastAsia" w:ascii="宋体" w:hAnsi="宋体" w:eastAsia="宋体" w:cs="宋体"/>
          <w:b/>
          <w:color w:val="auto"/>
          <w:sz w:val="22"/>
          <w:szCs w:val="22"/>
          <w:highlight w:val="none"/>
          <w:u w:val="single"/>
        </w:rPr>
        <w:t>温州市发展和改革委员会官方网站所公布的名称保持一致，如无品名，可书面说明并经甲方同意，一经发现恶意变更品名且未经同意的，致使无法准确及时结算</w:t>
      </w:r>
      <w:r>
        <w:rPr>
          <w:rFonts w:hint="eastAsia" w:ascii="宋体" w:hAnsi="宋体" w:eastAsia="宋体" w:cs="宋体"/>
          <w:b/>
          <w:bCs w:val="0"/>
          <w:color w:val="auto"/>
          <w:sz w:val="22"/>
          <w:szCs w:val="22"/>
          <w:highlight w:val="none"/>
          <w:u w:val="single"/>
        </w:rPr>
        <w:t>的。</w:t>
      </w:r>
      <w:r>
        <w:rPr>
          <w:rFonts w:hint="eastAsia" w:ascii="宋体" w:hAnsi="宋体" w:cs="宋体"/>
          <w:b/>
          <w:bCs w:val="0"/>
          <w:color w:val="auto"/>
          <w:sz w:val="22"/>
          <w:szCs w:val="22"/>
          <w:highlight w:val="none"/>
          <w:u w:val="single"/>
          <w:lang w:val="en-US" w:eastAsia="zh-CN"/>
        </w:rPr>
        <w:t>发现一次扣除1000元。</w:t>
      </w:r>
    </w:p>
    <w:p w14:paraId="0E960CB6">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乙方所供产品有外包装的必须标明产品名称、配料表（单一制品可以免除）净含量、制造者及经营者的名称和地址、生产（或分装、包装）日期、保质期或保存期</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到货时产品的剩余保质期</w:t>
      </w:r>
      <w:r>
        <w:rPr>
          <w:rFonts w:hint="eastAsia" w:ascii="宋体" w:hAnsi="宋体" w:cs="宋体"/>
          <w:bCs/>
          <w:color w:val="auto"/>
          <w:sz w:val="22"/>
          <w:szCs w:val="22"/>
          <w:highlight w:val="none"/>
          <w:lang w:val="en-US" w:eastAsia="zh-CN"/>
        </w:rPr>
        <w:t>不</w:t>
      </w:r>
      <w:r>
        <w:rPr>
          <w:rFonts w:hint="eastAsia" w:ascii="宋体" w:hAnsi="宋体" w:eastAsia="宋体" w:cs="宋体"/>
          <w:bCs/>
          <w:color w:val="auto"/>
          <w:sz w:val="22"/>
          <w:szCs w:val="22"/>
          <w:highlight w:val="none"/>
        </w:rPr>
        <w:t>少于包装上</w:t>
      </w:r>
      <w:r>
        <w:rPr>
          <w:rFonts w:hint="eastAsia" w:ascii="宋体" w:hAnsi="宋体" w:eastAsia="宋体" w:cs="宋体"/>
          <w:bCs/>
          <w:color w:val="auto"/>
          <w:sz w:val="22"/>
          <w:szCs w:val="22"/>
          <w:highlight w:val="none"/>
          <w:lang w:val="en-US" w:eastAsia="zh-CN"/>
        </w:rPr>
        <w:t>标识</w:t>
      </w:r>
      <w:r>
        <w:rPr>
          <w:rFonts w:hint="eastAsia" w:ascii="宋体" w:hAnsi="宋体" w:eastAsia="宋体" w:cs="宋体"/>
          <w:bCs/>
          <w:color w:val="auto"/>
          <w:sz w:val="22"/>
          <w:szCs w:val="22"/>
          <w:highlight w:val="none"/>
        </w:rPr>
        <w:t>的整体保质期的</w:t>
      </w:r>
      <w:r>
        <w:rPr>
          <w:rFonts w:hint="eastAsia" w:ascii="宋体" w:hAnsi="宋体" w:cs="宋体"/>
          <w:bCs/>
          <w:color w:val="auto"/>
          <w:sz w:val="22"/>
          <w:szCs w:val="22"/>
          <w:highlight w:val="none"/>
          <w:lang w:val="en-US" w:eastAsia="zh-CN"/>
        </w:rPr>
        <w:t>2</w:t>
      </w:r>
      <w:r>
        <w:rPr>
          <w:rFonts w:hint="eastAsia" w:ascii="宋体" w:hAnsi="宋体" w:eastAsia="宋体" w:cs="宋体"/>
          <w:bCs/>
          <w:color w:val="auto"/>
          <w:sz w:val="22"/>
          <w:szCs w:val="22"/>
          <w:highlight w:val="none"/>
        </w:rPr>
        <w:t>/3</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、产品标准号；无外包装的必须保证商品干净卫生、无杂质、无虫蚀虫蛀现象、保证商品干鲜，确保商品质量完好。</w:t>
      </w:r>
    </w:p>
    <w:p w14:paraId="144749CC">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不得有腐败变质、油脂酸败、霉变、生虫、污秽不洁、混有异物或者其他感官性状异常，对人体健康有害物质。如甲方在验收时发现霉变等以上情况时，当日乙方所供产品中发现1件以上则扣除当日该类产品费用。</w:t>
      </w:r>
    </w:p>
    <w:p w14:paraId="0786DDBC">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乙方所供产品不得含有致病性寄生虫、微生物或者微生物含量超过国家限定标准。</w:t>
      </w:r>
    </w:p>
    <w:p w14:paraId="3CE4CD4F">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乙方所供产品中应没有掺假、掺杂、伪造、影响营养、卫生。</w:t>
      </w:r>
    </w:p>
    <w:p w14:paraId="58377CDB">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乙方所供产品包装以原出厂标准为准。</w:t>
      </w:r>
    </w:p>
    <w:p w14:paraId="79C46688">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w:t>
      </w:r>
      <w:r>
        <w:rPr>
          <w:rFonts w:hint="eastAsia" w:ascii="宋体" w:hAnsi="宋体" w:cs="宋体"/>
          <w:bCs/>
          <w:color w:val="auto"/>
          <w:sz w:val="22"/>
          <w:szCs w:val="22"/>
          <w:highlight w:val="none"/>
          <w:lang w:eastAsia="zh-CN"/>
        </w:rPr>
        <w:t>、</w:t>
      </w:r>
      <w:r>
        <w:rPr>
          <w:rFonts w:hint="eastAsia" w:ascii="宋体" w:hAnsi="宋体" w:cs="宋体"/>
          <w:bCs/>
          <w:sz w:val="22"/>
          <w:szCs w:val="22"/>
        </w:rPr>
        <w:t>乙方所供产品包装</w:t>
      </w:r>
      <w:r>
        <w:rPr>
          <w:rFonts w:hint="eastAsia" w:ascii="宋体" w:hAnsi="宋体" w:cs="宋体"/>
          <w:bCs/>
          <w:color w:val="auto"/>
          <w:sz w:val="22"/>
          <w:szCs w:val="22"/>
        </w:rPr>
        <w:t>原则上</w:t>
      </w:r>
      <w:r>
        <w:rPr>
          <w:rFonts w:hint="eastAsia"/>
          <w:color w:val="auto"/>
        </w:rPr>
        <w:t>采用环保、卫生、标准要求包装</w:t>
      </w:r>
      <w:r>
        <w:rPr>
          <w:rFonts w:hint="eastAsia" w:ascii="宋体" w:hAnsi="宋体" w:cs="宋体"/>
          <w:bCs/>
          <w:color w:val="auto"/>
          <w:sz w:val="22"/>
          <w:szCs w:val="22"/>
        </w:rPr>
        <w:t>，如果根据货物性质、天气情况以及装运要求需要采用特殊包装的，乙方应采用特殊包装、包装成本由乙方承担</w:t>
      </w:r>
      <w:r>
        <w:rPr>
          <w:rFonts w:hint="eastAsia" w:ascii="宋体" w:hAnsi="宋体" w:eastAsia="宋体" w:cs="宋体"/>
          <w:bCs/>
          <w:color w:val="auto"/>
          <w:sz w:val="22"/>
          <w:szCs w:val="22"/>
          <w:highlight w:val="none"/>
        </w:rPr>
        <w:t>。</w:t>
      </w:r>
    </w:p>
    <w:p w14:paraId="50E54FC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因包装不当导致的货物缺失、破损由乙方承担责任。</w:t>
      </w:r>
    </w:p>
    <w:p w14:paraId="7208FC9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乙方所供产品必须与甲方每日制定进货计划一致，如有</w:t>
      </w:r>
      <w:r>
        <w:rPr>
          <w:rFonts w:hint="eastAsia" w:ascii="宋体" w:hAnsi="宋体" w:eastAsia="宋体" w:cs="宋体"/>
          <w:bCs/>
          <w:color w:val="auto"/>
          <w:sz w:val="22"/>
          <w:szCs w:val="22"/>
          <w:highlight w:val="none"/>
          <w:lang w:val="zh-CN"/>
        </w:rPr>
        <w:t>缺斤少两</w:t>
      </w:r>
      <w:r>
        <w:rPr>
          <w:rFonts w:hint="eastAsia" w:ascii="宋体" w:hAnsi="宋体" w:eastAsia="宋体" w:cs="宋体"/>
          <w:bCs/>
          <w:color w:val="auto"/>
          <w:sz w:val="22"/>
          <w:szCs w:val="22"/>
          <w:highlight w:val="none"/>
        </w:rPr>
        <w:t>应立即补货，造成甲方因乙方供货不足而影响餐食，由乙方承担责任。</w:t>
      </w:r>
    </w:p>
    <w:p w14:paraId="0D969DC4">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乙方每周定期在伙食配送群里公布产品价格信息表，</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方如有指定的产品但未在产品价格信息表内的，需及时添加并更新产品价格信息表。</w:t>
      </w:r>
    </w:p>
    <w:p w14:paraId="4D3F2D85">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15</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乙方无特殊情况下须在规定时间送达，如遇特殊情况必须履行告知义务。</w:t>
      </w:r>
    </w:p>
    <w:p w14:paraId="124E1DFD">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16</w:t>
      </w:r>
      <w:r>
        <w:rPr>
          <w:rFonts w:hint="eastAsia" w:ascii="宋体" w:hAnsi="宋体" w:cs="宋体"/>
          <w:bCs/>
          <w:color w:val="auto"/>
          <w:sz w:val="22"/>
          <w:szCs w:val="22"/>
          <w:highlight w:val="none"/>
          <w:lang w:eastAsia="zh-CN"/>
        </w:rPr>
        <w:t>、</w:t>
      </w:r>
      <w:r>
        <w:rPr>
          <w:rFonts w:hint="eastAsia" w:ascii="宋体" w:hAnsi="宋体" w:eastAsia="宋体" w:cs="宋体"/>
          <w:color w:val="auto"/>
          <w:kern w:val="0"/>
          <w:sz w:val="22"/>
          <w:szCs w:val="22"/>
          <w:highlight w:val="none"/>
        </w:rPr>
        <w:t>当天采购的配送产品分类存储、运送，海鲜水产品须存放在</w:t>
      </w:r>
      <w:r>
        <w:rPr>
          <w:rFonts w:hint="eastAsia" w:ascii="宋体" w:hAnsi="宋体" w:cs="宋体"/>
          <w:color w:val="auto"/>
          <w:kern w:val="0"/>
          <w:sz w:val="22"/>
          <w:szCs w:val="22"/>
        </w:rPr>
        <w:t>保鲜</w:t>
      </w:r>
      <w:r>
        <w:rPr>
          <w:rFonts w:hint="eastAsia" w:ascii="宋体" w:hAnsi="宋体" w:eastAsia="宋体" w:cs="宋体"/>
          <w:color w:val="auto"/>
          <w:kern w:val="0"/>
          <w:sz w:val="22"/>
          <w:szCs w:val="22"/>
          <w:highlight w:val="none"/>
        </w:rPr>
        <w:t>箱里面，并配置冰块保鲜。</w:t>
      </w:r>
      <w:r>
        <w:rPr>
          <w:rFonts w:hint="eastAsia" w:ascii="宋体" w:hAnsi="宋体" w:eastAsia="宋体" w:cs="宋体"/>
          <w:bCs/>
          <w:color w:val="auto"/>
          <w:sz w:val="22"/>
          <w:szCs w:val="22"/>
          <w:highlight w:val="none"/>
        </w:rPr>
        <w:t>配送时做好生熟食分类，不得混装一个盒子一起配送。</w:t>
      </w:r>
    </w:p>
    <w:p w14:paraId="3C308BBB">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17</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乙方应保障服务质量，端正服务态度，当发现问题时，应本着发现问题解决问题的服务态度，及时提出补救措施，不得推诿扯皮推卸责任。</w:t>
      </w:r>
    </w:p>
    <w:p w14:paraId="58DF9F05">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18</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乙方出现以上情况的，在协商处理以上问题的基础上，还将按照《食材</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评价表》条款或近似条款，扣除相应考评分。</w:t>
      </w:r>
    </w:p>
    <w:p w14:paraId="32F1F2D2">
      <w:pPr>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九、双方的义务与权力</w:t>
      </w:r>
    </w:p>
    <w:p w14:paraId="65EB14FC">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（一）甲方责任：</w:t>
      </w:r>
    </w:p>
    <w:p w14:paraId="1E077FF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甲方每日下达采购清单，订单内容应包括产品名称、规格、计量单位、数量、交货时间和交货地点，并由指定的负责人签名后递交至乙方，乙方收到订单确认后供货。</w:t>
      </w:r>
    </w:p>
    <w:p w14:paraId="3AD3F3E4">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对采购食材的质量、数量进行验收，若发现产品质量、数量不合规定，应于收货之日起24小时内以书面或电话形式告知乙方，乙方按2小时内进行调换或退货或补货，如技术资信标承诺的时间快就按技术标中的承诺执行，并做相应的处罚。</w:t>
      </w:r>
    </w:p>
    <w:p w14:paraId="65B2D79E">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甲方因储存、保管不善等造成产品质量下降的，不得提出异议。</w:t>
      </w:r>
    </w:p>
    <w:p w14:paraId="570BE995">
      <w:pPr>
        <w:pStyle w:val="22"/>
        <w:snapToGrid w:val="0"/>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4、乙方出现以下情形</w:t>
      </w:r>
      <w:r>
        <w:rPr>
          <w:rFonts w:hint="eastAsia" w:ascii="宋体" w:hAnsi="宋体" w:cs="宋体"/>
          <w:bCs/>
          <w:color w:val="auto"/>
          <w:sz w:val="22"/>
          <w:szCs w:val="22"/>
          <w:highlight w:val="none"/>
          <w:lang w:val="en-US" w:eastAsia="zh-CN"/>
        </w:rPr>
        <w:t>之一</w:t>
      </w:r>
      <w:r>
        <w:rPr>
          <w:rFonts w:hint="eastAsia" w:ascii="宋体" w:hAnsi="宋体" w:eastAsia="宋体" w:cs="宋体"/>
          <w:bCs/>
          <w:color w:val="auto"/>
          <w:sz w:val="22"/>
          <w:szCs w:val="22"/>
          <w:highlight w:val="none"/>
        </w:rPr>
        <w:t>，甲方有权</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合同履约金：</w:t>
      </w:r>
    </w:p>
    <w:p w14:paraId="76911BC0">
      <w:pPr>
        <w:pStyle w:val="22"/>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（1）随意中断合同的履行</w:t>
      </w:r>
    </w:p>
    <w:p w14:paraId="69C24E3B">
      <w:pPr>
        <w:pStyle w:val="22"/>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（2）不能及时供货（迟于甲方所定供货时间）</w:t>
      </w:r>
    </w:p>
    <w:p w14:paraId="0C01929E">
      <w:pPr>
        <w:pStyle w:val="22"/>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（3）出现“十、违约责任”中履约保证金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情形</w:t>
      </w:r>
    </w:p>
    <w:p w14:paraId="77916EF1">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（二）乙方责任</w:t>
      </w:r>
    </w:p>
    <w:p w14:paraId="03E19CFD">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乙方提供的产品必须是质量监督管理部门检验并取得合格证明的产品。</w:t>
      </w:r>
    </w:p>
    <w:p w14:paraId="788CA837">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乙方应保证所提供的产品是合格安全的产品，一旦发现伪劣假冒产品，以次充好产品或替代产品，乙方承担法律责任。</w:t>
      </w:r>
    </w:p>
    <w:p w14:paraId="76E2DFD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14:paraId="78D2CBFF">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乙方必须按照甲方食堂管理人员通知的时间、数量、品种、品质要求及协定的价格准时送货，经验收合格后签字确认，不能以任何理由推托，一旦影响到食堂的正常运转，乙方应承担相应的经济赔偿。</w:t>
      </w:r>
    </w:p>
    <w:p w14:paraId="5ED5C2A5">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因产品质量问题发生的食物中毒等事故，由乙方承担经济赔偿责任以及其他法律责任。</w:t>
      </w:r>
    </w:p>
    <w:p w14:paraId="5F3035C2">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6</w:t>
      </w:r>
      <w:r>
        <w:rPr>
          <w:rFonts w:hint="eastAsia" w:ascii="宋体" w:hAnsi="宋体" w:cs="宋体"/>
          <w:bCs/>
          <w:color w:val="auto"/>
          <w:sz w:val="22"/>
          <w:szCs w:val="22"/>
          <w:highlight w:val="none"/>
          <w:lang w:eastAsia="zh-CN"/>
        </w:rPr>
        <w:t>、</w:t>
      </w:r>
      <w:r>
        <w:rPr>
          <w:rFonts w:hint="eastAsia" w:ascii="宋体" w:hAnsi="宋体" w:cs="宋体"/>
          <w:bCs/>
          <w:sz w:val="22"/>
          <w:szCs w:val="22"/>
        </w:rPr>
        <w:t>乙</w:t>
      </w:r>
      <w:r>
        <w:rPr>
          <w:rFonts w:hint="eastAsia" w:ascii="宋体" w:hAnsi="宋体" w:cs="宋体"/>
          <w:bCs/>
          <w:color w:val="auto"/>
          <w:sz w:val="22"/>
          <w:szCs w:val="22"/>
        </w:rPr>
        <w:t>方应每天按时开具送货清单，清单上面要清晰写明</w:t>
      </w:r>
      <w:r>
        <w:rPr>
          <w:rFonts w:hint="eastAsia"/>
          <w:color w:val="auto"/>
        </w:rPr>
        <w:t>过磅重量</w:t>
      </w:r>
      <w:r>
        <w:rPr>
          <w:rFonts w:hint="eastAsia" w:ascii="宋体" w:hAnsi="宋体" w:cs="宋体"/>
          <w:bCs/>
          <w:color w:val="auto"/>
          <w:sz w:val="22"/>
          <w:szCs w:val="22"/>
        </w:rPr>
        <w:t>和单价，配合甲方价格收集。并及时与甲方结算货款，以提交当期所有合格准量产品结算清单，及</w:t>
      </w:r>
      <w:r>
        <w:rPr>
          <w:rFonts w:hint="eastAsia" w:ascii="宋体" w:hAnsi="宋体" w:cs="宋体"/>
          <w:bCs/>
          <w:color w:val="auto"/>
          <w:kern w:val="0"/>
          <w:sz w:val="22"/>
          <w:szCs w:val="22"/>
          <w:lang w:val="zh-CN"/>
        </w:rPr>
        <w:t>结算金额的全额增值税发票</w:t>
      </w:r>
      <w:r>
        <w:rPr>
          <w:rFonts w:hint="eastAsia" w:ascii="宋体" w:hAnsi="宋体" w:cs="宋体"/>
          <w:bCs/>
          <w:color w:val="auto"/>
          <w:kern w:val="0"/>
          <w:sz w:val="22"/>
          <w:szCs w:val="22"/>
        </w:rPr>
        <w:t>为准</w:t>
      </w:r>
      <w:r>
        <w:rPr>
          <w:rFonts w:hint="eastAsia" w:ascii="宋体" w:hAnsi="宋体" w:cs="宋体"/>
          <w:bCs/>
          <w:color w:val="auto"/>
          <w:sz w:val="22"/>
          <w:szCs w:val="22"/>
        </w:rPr>
        <w:t>。如恶意拖延结算时间，超过七天未结算，超期时间每天将扣除当期货款1%，超过十四天未结算，超期时间每天将扣除当期货款1%，再扣除当次相应考评分</w:t>
      </w:r>
      <w:r>
        <w:rPr>
          <w:rFonts w:hint="eastAsia" w:ascii="宋体" w:hAnsi="宋体" w:eastAsia="宋体" w:cs="宋体"/>
          <w:bCs/>
          <w:color w:val="auto"/>
          <w:sz w:val="22"/>
          <w:szCs w:val="22"/>
          <w:highlight w:val="none"/>
        </w:rPr>
        <w:t>。</w:t>
      </w:r>
    </w:p>
    <w:p w14:paraId="0BF35B4A">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cs="宋体"/>
          <w:bCs/>
          <w:color w:val="auto"/>
          <w:sz w:val="22"/>
          <w:szCs w:val="22"/>
          <w:highlight w:val="none"/>
          <w:lang w:val="en-US" w:eastAsia="zh-CN"/>
        </w:rPr>
        <w:t>7</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乙方应严格遵守</w:t>
      </w:r>
      <w:r>
        <w:rPr>
          <w:rFonts w:hint="eastAsia"/>
          <w:color w:val="auto"/>
          <w:highlight w:val="none"/>
          <w:lang w:val="en-US" w:eastAsia="zh-CN"/>
        </w:rPr>
        <w:t>《中华人民共和国食品安全法》</w:t>
      </w:r>
      <w:r>
        <w:rPr>
          <w:rFonts w:hint="eastAsia" w:ascii="宋体" w:hAnsi="宋体" w:eastAsia="宋体" w:cs="宋体"/>
          <w:bCs/>
          <w:color w:val="auto"/>
          <w:sz w:val="22"/>
          <w:szCs w:val="22"/>
          <w:highlight w:val="none"/>
        </w:rPr>
        <w:t>和《动物检疫法》等相关规定，一经发现</w:t>
      </w:r>
      <w:r>
        <w:rPr>
          <w:rFonts w:hint="eastAsia" w:ascii="宋体" w:hAnsi="宋体" w:cs="宋体"/>
          <w:bCs/>
          <w:color w:val="auto"/>
          <w:sz w:val="22"/>
          <w:szCs w:val="22"/>
          <w:highlight w:val="none"/>
          <w:lang w:eastAsia="zh-CN"/>
        </w:rPr>
        <w:t>投标人</w:t>
      </w:r>
      <w:r>
        <w:rPr>
          <w:rFonts w:hint="eastAsia" w:ascii="宋体" w:hAnsi="宋体" w:eastAsia="宋体" w:cs="宋体"/>
          <w:bCs/>
          <w:color w:val="auto"/>
          <w:sz w:val="22"/>
          <w:szCs w:val="22"/>
          <w:highlight w:val="none"/>
        </w:rPr>
        <w:t>产品质量不合格，除全部退货外，将取消供货单位的供货资格，履约保证金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，乙方并承担由此造成的经济责任和法律责任。</w:t>
      </w:r>
    </w:p>
    <w:p w14:paraId="43A9D2AD">
      <w:pPr>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十、违约责任</w:t>
      </w:r>
    </w:p>
    <w:p w14:paraId="56715EBF">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乙方未在约定时间内交付足量食品的，按至少每次500元罚款，如技术资信标承诺的金额高就按技术标中的承诺执行。若超过正常的用餐时间，导致</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无法正常用餐，则甲方有权自行采购当天食品，产生的费用向中标人按实结算。</w:t>
      </w:r>
    </w:p>
    <w:p w14:paraId="5261C14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交付的食品如发现有质量问题的，按至少每次500元罚款，如技术资信标承诺的金额高就按技术标中的承诺执行。每月发现三次以上（含三次）食品质量问题的，再扣除当月配送总额的10%，每月发现四次以上（含四次）质量不合格的，情节严重的，则甲方有权解除合同，直接取消乙方的供货资格，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，造成损失的，甲方有权要求乙方赔偿。</w:t>
      </w:r>
    </w:p>
    <w:p w14:paraId="0EA38FE1">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乙方交付的食品如发生食物中毒等事故，由乙方承担经济赔偿责任以及其他法律责任，并取消乙方的供货资格，履约保证金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w:t>
      </w:r>
    </w:p>
    <w:p w14:paraId="65729485">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乙方随意中断合同的履行，甲方有权履约保证金</w:t>
      </w:r>
      <w:r>
        <w:rPr>
          <w:rFonts w:hint="eastAsia" w:ascii="宋体" w:hAnsi="宋体" w:cs="宋体"/>
          <w:color w:val="auto"/>
          <w:spacing w:val="6"/>
          <w:sz w:val="22"/>
          <w:szCs w:val="22"/>
        </w:rPr>
        <w:t>不予退还</w:t>
      </w:r>
      <w:r>
        <w:rPr>
          <w:rFonts w:hint="eastAsia" w:ascii="宋体" w:hAnsi="宋体" w:eastAsia="宋体" w:cs="宋体"/>
          <w:bCs/>
          <w:color w:val="auto"/>
          <w:sz w:val="22"/>
          <w:szCs w:val="22"/>
          <w:highlight w:val="none"/>
        </w:rPr>
        <w:t>，并由乙方承担违约责任；</w:t>
      </w:r>
    </w:p>
    <w:p w14:paraId="30A00D18">
      <w:pPr>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cs="宋体"/>
          <w:b/>
          <w:color w:val="auto"/>
          <w:sz w:val="22"/>
          <w:szCs w:val="22"/>
          <w:highlight w:val="none"/>
          <w:lang w:eastAsia="zh-CN"/>
        </w:rPr>
        <w:t>、</w:t>
      </w:r>
      <w:r>
        <w:rPr>
          <w:rFonts w:hint="eastAsia" w:ascii="宋体" w:hAnsi="宋体" w:eastAsia="宋体" w:cs="宋体"/>
          <w:b/>
          <w:color w:val="auto"/>
          <w:sz w:val="22"/>
          <w:szCs w:val="22"/>
          <w:highlight w:val="none"/>
        </w:rPr>
        <w:t>乙方如因投标时投标报价低于成本价竞争而获得中标的，乙方必须无条件履行中标价格，并满足甲方的配送需求及质量要求。如乙方因未履行中标价格，严重影响配送任务及配送产品质量的，发现一次约谈乙方并予以警告，发现二次及以上，甲方有权单方面终止合同并履约保证金不予退还，同时乙方应向甲方支付100000元违约金。</w:t>
      </w:r>
    </w:p>
    <w:p w14:paraId="4113E0E6">
      <w:pPr>
        <w:snapToGrid w:val="0"/>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对</w:t>
      </w:r>
      <w:r>
        <w:rPr>
          <w:rFonts w:hint="eastAsia" w:ascii="宋体" w:hAnsi="宋体" w:cs="宋体"/>
          <w:b/>
          <w:color w:val="auto"/>
          <w:sz w:val="22"/>
          <w:szCs w:val="22"/>
          <w:highlight w:val="none"/>
          <w:lang w:val="en-US" w:eastAsia="zh-CN"/>
        </w:rPr>
        <w:t>乙方</w:t>
      </w:r>
      <w:r>
        <w:rPr>
          <w:rFonts w:hint="eastAsia" w:ascii="宋体" w:hAnsi="宋体" w:eastAsia="宋体" w:cs="宋体"/>
          <w:b/>
          <w:color w:val="auto"/>
          <w:sz w:val="22"/>
          <w:szCs w:val="22"/>
          <w:highlight w:val="none"/>
        </w:rPr>
        <w:t>恶意低价中标且不履行中标价格的行为，造成损失的，</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将履约保证金不予退还，不足赔偿的将付诸法律，同时将上报行政主管部门，由行政主管部门予以相应处罚。如给甲方造成严重经济损失且行为特别恶劣的，甲方保留追究其刑事责任权利。</w:t>
      </w:r>
    </w:p>
    <w:p w14:paraId="063F8219">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十一、不可抗力事件处理</w:t>
      </w:r>
    </w:p>
    <w:p w14:paraId="519A4A55">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如果合同各方因不可抗力而导致合同实施延误或不能履行合同义务的话，不应该承担误期赔偿或不能履行合同义务的责任。</w:t>
      </w:r>
    </w:p>
    <w:p w14:paraId="6C6821CB">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条所述的“不可抗力”系指那些双方不可预见、不可避免、不可克服的事件，但不包括双方的违约或疏忽。这些事件包括但不限于：战争、严重火灾、洪水、台风、地震、国家政策的重大变化，以及双方商定的其他事件。</w:t>
      </w:r>
    </w:p>
    <w:p w14:paraId="697C5E48">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在不可抗力事件发生后，当事方应尽快以书面形式将不可抗力的情况和原因通知对方（不可抗力事件发生后，应立即通知对方，并寄送有关权威机构出具的证明）。合同各方应尽可能继续履行合同义务，并积极寻求采取合理的措施履行不受不可抗力影响的其他事项。合同各方应通过友好协商在合理的时间内达成进一步履行合同。</w:t>
      </w:r>
    </w:p>
    <w:p w14:paraId="33F95593">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十二、</w:t>
      </w:r>
      <w:r>
        <w:rPr>
          <w:rFonts w:hint="eastAsia" w:ascii="宋体" w:hAnsi="宋体" w:cs="宋体"/>
          <w:b/>
          <w:bCs/>
          <w:sz w:val="22"/>
          <w:szCs w:val="22"/>
        </w:rPr>
        <w:t>诉讼</w:t>
      </w:r>
    </w:p>
    <w:p w14:paraId="49F3A7BC">
      <w:pPr>
        <w:snapToGrid w:val="0"/>
        <w:spacing w:line="460" w:lineRule="exact"/>
        <w:ind w:firstLine="440" w:firstLineChars="200"/>
        <w:rPr>
          <w:rFonts w:hint="eastAsia" w:ascii="宋体" w:hAnsi="宋体" w:eastAsia="宋体" w:cs="宋体"/>
          <w:bCs/>
          <w:color w:val="auto"/>
          <w:sz w:val="22"/>
          <w:szCs w:val="22"/>
          <w:highlight w:val="none"/>
        </w:rPr>
      </w:pPr>
      <w:r>
        <w:rPr>
          <w:rFonts w:eastAsia="新宋体"/>
          <w:bCs/>
          <w:color w:val="auto"/>
          <w:sz w:val="22"/>
          <w:szCs w:val="22"/>
          <w:highlight w:val="none"/>
        </w:rPr>
        <w:t>双方在执行合同中所发生的一切争议，应通过协商解决。如协商不成，可向</w:t>
      </w:r>
      <w:r>
        <w:rPr>
          <w:rFonts w:hint="eastAsia" w:eastAsia="新宋体"/>
          <w:bCs/>
          <w:color w:val="auto"/>
          <w:sz w:val="22"/>
          <w:szCs w:val="22"/>
          <w:highlight w:val="none"/>
        </w:rPr>
        <w:t>甲方</w:t>
      </w:r>
      <w:r>
        <w:rPr>
          <w:rFonts w:eastAsia="新宋体"/>
          <w:bCs/>
          <w:color w:val="auto"/>
          <w:sz w:val="22"/>
          <w:szCs w:val="22"/>
          <w:highlight w:val="none"/>
        </w:rPr>
        <w:t>所在地法院起诉</w:t>
      </w:r>
      <w:r>
        <w:rPr>
          <w:rFonts w:hint="eastAsia" w:eastAsia="新宋体"/>
          <w:bCs/>
          <w:color w:val="auto"/>
          <w:sz w:val="22"/>
          <w:szCs w:val="22"/>
          <w:highlight w:val="none"/>
          <w:lang w:eastAsia="zh-CN"/>
        </w:rPr>
        <w:t>。</w:t>
      </w:r>
    </w:p>
    <w:p w14:paraId="56E84D66">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十三、合同生效及其它</w:t>
      </w:r>
    </w:p>
    <w:p w14:paraId="121B658F">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合同经甲、乙双方签字并加盖单位公章后生效。</w:t>
      </w:r>
    </w:p>
    <w:p w14:paraId="40677D2A">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、招标文件</w:t>
      </w:r>
      <w:r>
        <w:rPr>
          <w:rFonts w:hint="eastAsia" w:ascii="宋体" w:hAnsi="宋体" w:eastAsia="宋体" w:cs="宋体"/>
          <w:bCs/>
          <w:color w:val="auto"/>
          <w:sz w:val="22"/>
          <w:szCs w:val="22"/>
          <w:highlight w:val="none"/>
        </w:rPr>
        <w:t>、投标文件与本合同具有同等法律效力。</w:t>
      </w:r>
    </w:p>
    <w:p w14:paraId="21F4A716">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本合同未尽事宜，遵照《</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"https://baike.baidu.com/item/%E4%B8%AD%E5%8D%8E%E4%BA%BA%E6%B0%91%E5%85%B1%E5%92%8C%E5%9B%BD%E6%B0%91%E6%B3%95%E5%85%B8/19435116?fromModule=lemma_inlink" \t "https://baike.baidu.com/item/%E4%B8%AD%E5%8D%8E%E4%BA%BA%E6%B0%91%E5%85%B1%E5%92%8C%E5%9B%BD%E5%90%88%E5%90%8C%E6%B3%95/_blank"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2"/>
          <w:szCs w:val="22"/>
          <w:highlight w:val="none"/>
        </w:rPr>
        <w:t>中华人民共和国民法典</w:t>
      </w:r>
      <w:r>
        <w:rPr>
          <w:rFonts w:hint="eastAsia" w:ascii="宋体" w:hAnsi="宋体" w:eastAsia="宋体" w:cs="宋体"/>
          <w:bCs/>
          <w:color w:val="auto"/>
          <w:sz w:val="22"/>
          <w:szCs w:val="22"/>
          <w:highlight w:val="none"/>
        </w:rPr>
        <w:fldChar w:fldCharType="end"/>
      </w:r>
      <w:r>
        <w:rPr>
          <w:rFonts w:hint="eastAsia" w:ascii="宋体" w:hAnsi="宋体" w:eastAsia="宋体" w:cs="宋体"/>
          <w:bCs/>
          <w:color w:val="auto"/>
          <w:sz w:val="22"/>
          <w:szCs w:val="22"/>
          <w:highlight w:val="none"/>
        </w:rPr>
        <w:t>》有关条文执行。</w:t>
      </w:r>
    </w:p>
    <w:p w14:paraId="43F55647">
      <w:pPr>
        <w:snapToGrid w:val="0"/>
        <w:spacing w:line="460" w:lineRule="exact"/>
        <w:ind w:firstLine="440" w:firstLineChars="200"/>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本合同一式</w:t>
      </w:r>
      <w:r>
        <w:rPr>
          <w:rFonts w:hint="eastAsia" w:ascii="宋体" w:hAnsi="宋体" w:cs="宋体"/>
          <w:bCs/>
          <w:color w:val="auto"/>
          <w:sz w:val="22"/>
          <w:szCs w:val="22"/>
          <w:highlight w:val="none"/>
          <w:lang w:eastAsia="zh-CN"/>
        </w:rPr>
        <w:t>六</w:t>
      </w:r>
      <w:r>
        <w:rPr>
          <w:rFonts w:hint="eastAsia" w:ascii="宋体" w:hAnsi="宋体" w:eastAsia="宋体" w:cs="宋体"/>
          <w:bCs/>
          <w:color w:val="auto"/>
          <w:sz w:val="22"/>
          <w:szCs w:val="22"/>
          <w:highlight w:val="none"/>
        </w:rPr>
        <w:t>份，具有同等法律效力，</w:t>
      </w:r>
      <w:r>
        <w:rPr>
          <w:rFonts w:hint="eastAsia" w:ascii="宋体" w:hAnsi="宋体" w:cs="宋体"/>
          <w:bCs/>
          <w:color w:val="auto"/>
          <w:sz w:val="22"/>
          <w:szCs w:val="22"/>
          <w:highlight w:val="none"/>
          <w:lang w:eastAsia="zh-CN"/>
        </w:rPr>
        <w:t>甲</w:t>
      </w:r>
      <w:r>
        <w:rPr>
          <w:rFonts w:hint="eastAsia" w:ascii="宋体" w:hAnsi="宋体" w:eastAsia="宋体" w:cs="宋体"/>
          <w:bCs/>
          <w:color w:val="auto"/>
          <w:sz w:val="22"/>
          <w:szCs w:val="22"/>
          <w:highlight w:val="none"/>
        </w:rPr>
        <w:t>方执二份、乙方执二份</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代理机构二份。</w:t>
      </w:r>
    </w:p>
    <w:p w14:paraId="017C201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十四、合同的组成</w:t>
      </w:r>
    </w:p>
    <w:p w14:paraId="09306627">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本合同的补充协议（如有）；</w:t>
      </w:r>
    </w:p>
    <w:p w14:paraId="63259D85">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本合同文本及附件；</w:t>
      </w:r>
    </w:p>
    <w:p w14:paraId="16D1715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rPr>
        <w:t>中标通知书；</w:t>
      </w:r>
    </w:p>
    <w:p w14:paraId="6EF7BF21">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招标文件</w:t>
      </w:r>
      <w:r>
        <w:rPr>
          <w:rFonts w:hint="eastAsia" w:ascii="宋体" w:hAnsi="宋体" w:eastAsia="宋体" w:cs="宋体"/>
          <w:bCs/>
          <w:color w:val="auto"/>
          <w:sz w:val="22"/>
          <w:szCs w:val="22"/>
          <w:highlight w:val="none"/>
        </w:rPr>
        <w:t>；</w:t>
      </w:r>
    </w:p>
    <w:p w14:paraId="1272462D">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投标</w:t>
      </w:r>
      <w:r>
        <w:rPr>
          <w:rFonts w:hint="eastAsia" w:ascii="宋体" w:hAnsi="宋体" w:eastAsia="宋体" w:cs="宋体"/>
          <w:bCs/>
          <w:color w:val="auto"/>
          <w:sz w:val="22"/>
          <w:szCs w:val="22"/>
          <w:highlight w:val="none"/>
        </w:rPr>
        <w:t>文件。</w:t>
      </w:r>
    </w:p>
    <w:p w14:paraId="08AB9C1E">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上述文件资料内容如有不一致的，以上列排列顺序做出解释。</w:t>
      </w:r>
    </w:p>
    <w:p w14:paraId="3BEEA76C">
      <w:pPr>
        <w:pStyle w:val="22"/>
        <w:rPr>
          <w:rFonts w:hint="eastAsia" w:ascii="宋体" w:hAnsi="宋体" w:eastAsia="宋体" w:cs="宋体"/>
          <w:bCs/>
          <w:color w:val="auto"/>
          <w:sz w:val="22"/>
          <w:szCs w:val="22"/>
          <w:highlight w:val="none"/>
        </w:rPr>
      </w:pPr>
    </w:p>
    <w:p w14:paraId="782BA7F7">
      <w:pPr>
        <w:pStyle w:val="50"/>
        <w:ind w:firstLine="200"/>
        <w:rPr>
          <w:rFonts w:hint="eastAsia" w:ascii="宋体" w:hAnsi="宋体" w:eastAsia="宋体" w:cs="宋体"/>
          <w:color w:val="auto"/>
          <w:highlight w:val="none"/>
        </w:rPr>
      </w:pPr>
    </w:p>
    <w:p w14:paraId="4EE9BE3D">
      <w:pPr>
        <w:pStyle w:val="50"/>
        <w:ind w:firstLine="200"/>
        <w:rPr>
          <w:rFonts w:hint="eastAsia" w:ascii="宋体" w:hAnsi="宋体" w:eastAsia="宋体" w:cs="宋体"/>
          <w:color w:val="auto"/>
          <w:highlight w:val="none"/>
        </w:rPr>
      </w:pPr>
    </w:p>
    <w:p w14:paraId="2606E145">
      <w:pPr>
        <w:snapToGrid w:val="0"/>
        <w:spacing w:line="460" w:lineRule="exact"/>
        <w:ind w:firstLine="440" w:firstLineChars="200"/>
        <w:rPr>
          <w:rFonts w:hint="eastAsia" w:ascii="宋体" w:hAnsi="宋体" w:eastAsia="宋体" w:cs="宋体"/>
          <w:bCs/>
          <w:color w:val="auto"/>
          <w:sz w:val="22"/>
          <w:szCs w:val="22"/>
          <w:highlight w:val="none"/>
        </w:rPr>
      </w:pPr>
    </w:p>
    <w:p w14:paraId="4971FCEA">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甲方：（印章）                       乙方：（印章）</w:t>
      </w:r>
    </w:p>
    <w:p w14:paraId="3A9929F3">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授权代表:（签字）                    授权代表:（签字）</w:t>
      </w:r>
    </w:p>
    <w:p w14:paraId="02919066">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                               地址：</w:t>
      </w:r>
    </w:p>
    <w:p w14:paraId="759CB322">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                           邮政编码：</w:t>
      </w:r>
    </w:p>
    <w:p w14:paraId="117680D0">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                               电话：</w:t>
      </w:r>
    </w:p>
    <w:p w14:paraId="55B9148B">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                               传真：</w:t>
      </w:r>
    </w:p>
    <w:p w14:paraId="272EBA28">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14:paraId="7DC78BA6">
      <w:pPr>
        <w:snapToGrid w:val="0"/>
        <w:spacing w:line="460" w:lineRule="exact"/>
        <w:ind w:firstLine="1210" w:firstLineChars="5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帐号：                               帐号：</w:t>
      </w:r>
    </w:p>
    <w:p w14:paraId="610A88A5">
      <w:pPr>
        <w:pStyle w:val="22"/>
        <w:rPr>
          <w:rFonts w:hint="eastAsia" w:ascii="宋体" w:hAnsi="宋体" w:eastAsia="宋体" w:cs="宋体"/>
          <w:color w:val="auto"/>
          <w:highlight w:val="none"/>
        </w:rPr>
      </w:pPr>
    </w:p>
    <w:p w14:paraId="4816224E">
      <w:pPr>
        <w:snapToGrid w:val="0"/>
        <w:spacing w:line="460" w:lineRule="exact"/>
        <w:ind w:firstLine="442"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注：本合同作为示范文本，具体以中标</w:t>
      </w:r>
      <w:r>
        <w:rPr>
          <w:rFonts w:hint="eastAsia" w:ascii="宋体" w:hAnsi="宋体" w:cs="宋体"/>
          <w:b/>
          <w:bCs/>
          <w:color w:val="auto"/>
          <w:sz w:val="22"/>
          <w:szCs w:val="22"/>
          <w:highlight w:val="none"/>
          <w:u w:val="single"/>
          <w:lang w:eastAsia="zh-CN"/>
        </w:rPr>
        <w:t>人</w:t>
      </w:r>
      <w:r>
        <w:rPr>
          <w:rFonts w:hint="eastAsia" w:ascii="宋体" w:hAnsi="宋体" w:eastAsia="宋体" w:cs="宋体"/>
          <w:b/>
          <w:bCs/>
          <w:color w:val="auto"/>
          <w:sz w:val="22"/>
          <w:szCs w:val="22"/>
          <w:highlight w:val="none"/>
          <w:u w:val="single"/>
        </w:rPr>
        <w:t>与</w:t>
      </w:r>
      <w:r>
        <w:rPr>
          <w:rFonts w:hint="eastAsia" w:ascii="宋体" w:hAnsi="宋体" w:cs="宋体"/>
          <w:b/>
          <w:bCs/>
          <w:color w:val="auto"/>
          <w:sz w:val="22"/>
          <w:szCs w:val="22"/>
          <w:highlight w:val="none"/>
          <w:u w:val="single"/>
          <w:lang w:eastAsia="zh-CN"/>
        </w:rPr>
        <w:t>采购人</w:t>
      </w:r>
      <w:r>
        <w:rPr>
          <w:rFonts w:hint="eastAsia" w:ascii="宋体" w:hAnsi="宋体" w:eastAsia="宋体" w:cs="宋体"/>
          <w:b/>
          <w:bCs/>
          <w:color w:val="auto"/>
          <w:sz w:val="22"/>
          <w:szCs w:val="22"/>
          <w:highlight w:val="none"/>
          <w:u w:val="single"/>
        </w:rPr>
        <w:t>签订正式合同为准。</w:t>
      </w:r>
    </w:p>
    <w:p w14:paraId="4F78DE05">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br w:type="page"/>
      </w:r>
    </w:p>
    <w:p w14:paraId="722CE77E">
      <w:pPr>
        <w:pStyle w:val="23"/>
        <w:spacing w:line="460" w:lineRule="exact"/>
        <w:ind w:left="602" w:hanging="602"/>
        <w:jc w:val="center"/>
        <w:outlineLvl w:val="0"/>
        <w:rPr>
          <w:rFonts w:hint="eastAsia" w:ascii="宋体" w:hAnsi="宋体" w:eastAsia="宋体" w:cs="宋体"/>
          <w:b/>
          <w:color w:val="auto"/>
          <w:sz w:val="36"/>
          <w:szCs w:val="36"/>
          <w:highlight w:val="none"/>
        </w:rPr>
      </w:pPr>
      <w:bookmarkStart w:id="33" w:name="_Toc23551"/>
      <w:r>
        <w:rPr>
          <w:rFonts w:hint="eastAsia" w:ascii="宋体" w:hAnsi="宋体" w:eastAsia="宋体" w:cs="宋体"/>
          <w:b/>
          <w:color w:val="auto"/>
          <w:sz w:val="36"/>
          <w:szCs w:val="36"/>
          <w:highlight w:val="none"/>
        </w:rPr>
        <w:t>第三部分  附件</w:t>
      </w:r>
      <w:bookmarkEnd w:id="33"/>
    </w:p>
    <w:p w14:paraId="2BD86F1D">
      <w:pPr>
        <w:spacing w:line="460" w:lineRule="exact"/>
        <w:jc w:val="left"/>
        <w:outlineLvl w:val="1"/>
        <w:rPr>
          <w:rFonts w:hint="eastAsia" w:ascii="宋体" w:hAnsi="宋体" w:eastAsia="宋体" w:cs="宋体"/>
          <w:b/>
          <w:bCs/>
          <w:color w:val="auto"/>
          <w:sz w:val="36"/>
          <w:szCs w:val="36"/>
          <w:highlight w:val="none"/>
        </w:rPr>
      </w:pPr>
      <w:bookmarkStart w:id="34" w:name="_Toc19396"/>
      <w:bookmarkStart w:id="35" w:name="_Toc8425"/>
      <w:bookmarkStart w:id="36" w:name="_Toc4686"/>
      <w:bookmarkStart w:id="37" w:name="_Toc13962"/>
      <w:r>
        <w:rPr>
          <w:rFonts w:hint="eastAsia" w:ascii="宋体" w:hAnsi="宋体" w:eastAsia="宋体" w:cs="宋体"/>
          <w:b/>
          <w:bCs/>
          <w:color w:val="auto"/>
          <w:sz w:val="36"/>
          <w:szCs w:val="36"/>
          <w:highlight w:val="none"/>
        </w:rPr>
        <w:t>附件一</w:t>
      </w:r>
      <w:bookmarkEnd w:id="34"/>
      <w:bookmarkEnd w:id="35"/>
      <w:bookmarkEnd w:id="36"/>
      <w:bookmarkEnd w:id="37"/>
    </w:p>
    <w:p w14:paraId="4CAE388C">
      <w:pPr>
        <w:spacing w:line="460" w:lineRule="exact"/>
        <w:jc w:val="center"/>
        <w:outlineLvl w:val="2"/>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投标函</w:t>
      </w:r>
    </w:p>
    <w:p w14:paraId="637AFE3F">
      <w:pPr>
        <w:tabs>
          <w:tab w:val="center" w:pos="4819"/>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致：温州市龙湾区消防救援大队</w:t>
      </w:r>
    </w:p>
    <w:p w14:paraId="3302938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项目（项目编号：</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14:paraId="774088C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14:paraId="5F74106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应当具备的条件：</w:t>
      </w:r>
    </w:p>
    <w:p w14:paraId="31BA91F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14:paraId="02A2201A">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14:paraId="7CCAA40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14:paraId="003A41A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14:paraId="0DFB61B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14:paraId="2476DC7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14:paraId="14B9B2B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14:paraId="4646315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14:paraId="0630E496">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（1）按“投标人须知”要求编制的投标文件技术标【正本一份，副本</w:t>
      </w:r>
      <w:r>
        <w:rPr>
          <w:rFonts w:hint="eastAsia" w:ascii="宋体" w:hAnsi="宋体" w:cs="宋体"/>
          <w:color w:val="auto"/>
          <w:sz w:val="22"/>
          <w:szCs w:val="22"/>
          <w:highlight w:val="none"/>
          <w:lang w:val="en-US" w:eastAsia="zh-CN"/>
        </w:rPr>
        <w:t>四</w:t>
      </w:r>
      <w:r>
        <w:rPr>
          <w:rFonts w:hint="eastAsia" w:ascii="宋体" w:hAnsi="宋体" w:eastAsia="宋体" w:cs="宋体"/>
          <w:color w:val="auto"/>
          <w:sz w:val="22"/>
          <w:szCs w:val="22"/>
          <w:highlight w:val="none"/>
        </w:rPr>
        <w:t>份】；</w:t>
      </w:r>
    </w:p>
    <w:p w14:paraId="05887B2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（2）按“投标人须知”要求编制的投标文件商务标【正本一份，副本</w:t>
      </w:r>
      <w:r>
        <w:rPr>
          <w:rFonts w:hint="eastAsia" w:ascii="宋体" w:hAnsi="宋体" w:cs="宋体"/>
          <w:color w:val="auto"/>
          <w:sz w:val="22"/>
          <w:szCs w:val="22"/>
          <w:highlight w:val="none"/>
          <w:lang w:val="en-US" w:eastAsia="zh-CN"/>
        </w:rPr>
        <w:t>四</w:t>
      </w:r>
      <w:r>
        <w:rPr>
          <w:rFonts w:hint="eastAsia" w:ascii="宋体" w:hAnsi="宋体" w:eastAsia="宋体" w:cs="宋体"/>
          <w:color w:val="auto"/>
          <w:sz w:val="22"/>
          <w:szCs w:val="22"/>
          <w:highlight w:val="none"/>
        </w:rPr>
        <w:t>份】</w:t>
      </w:r>
    </w:p>
    <w:p w14:paraId="693FCECC">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（3）编制和提交投标文件须知要求投标人提交的全部文件；</w:t>
      </w:r>
    </w:p>
    <w:p w14:paraId="68C0672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（4）按招标文件要求提供和交付的货物和服务的投标报价详见开标一览表；</w:t>
      </w:r>
    </w:p>
    <w:p w14:paraId="520BFDF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（5）保证忠实地执行双方所签订的合同，并承担合同规定的责任和义务；</w:t>
      </w:r>
    </w:p>
    <w:p w14:paraId="4B59C673">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（6）保证遵守招标文件中的其他有关规定。</w:t>
      </w:r>
    </w:p>
    <w:p w14:paraId="7617637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14:paraId="75E78952">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14:paraId="3ABE746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签订合同。如拒绝签订合同，承诺按本项目预算金额的2%对</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进行赔偿；赔偿金额不足以弥补</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损失的，承诺继续承担超过部分的损失。</w:t>
      </w:r>
    </w:p>
    <w:p w14:paraId="69E704A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支付招标代理服务费。</w:t>
      </w:r>
    </w:p>
    <w:p w14:paraId="5A9EB0D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14:paraId="3CE648F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30FBD769">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D5C216F">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14:paraId="2043318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w:t>
      </w:r>
    </w:p>
    <w:p w14:paraId="289DC650">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、其它</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或者</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恶意串通的；</w:t>
      </w:r>
    </w:p>
    <w:p w14:paraId="47F8C6ED">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行贿或者提供其他不正当利益的；</w:t>
      </w:r>
    </w:p>
    <w:p w14:paraId="52CF1318">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进行协商谈判的；</w:t>
      </w:r>
    </w:p>
    <w:p w14:paraId="71CD022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14:paraId="6DB972B5">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有前款第（1）至（5）项情形之一的，中标、成交无效。</w:t>
      </w:r>
    </w:p>
    <w:p w14:paraId="681CAB86">
      <w:pPr>
        <w:spacing w:line="460" w:lineRule="exact"/>
        <w:ind w:firstLine="440" w:firstLineChars="200"/>
        <w:rPr>
          <w:rFonts w:hint="eastAsia" w:ascii="宋体" w:hAnsi="宋体" w:eastAsia="宋体" w:cs="宋体"/>
          <w:color w:val="auto"/>
          <w:kern w:val="0"/>
          <w:sz w:val="22"/>
          <w:szCs w:val="22"/>
          <w:highlight w:val="none"/>
          <w:lang w:val="zh-CN"/>
        </w:rPr>
      </w:pPr>
    </w:p>
    <w:p w14:paraId="0D680B4A">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14:paraId="5ACF57DC">
      <w:pPr>
        <w:spacing w:line="460" w:lineRule="exact"/>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3A498630">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电子邮件：</w:t>
      </w:r>
      <w:r>
        <w:rPr>
          <w:rFonts w:hint="eastAsia" w:ascii="宋体" w:hAnsi="宋体" w:eastAsia="宋体" w:cs="宋体"/>
          <w:color w:val="auto"/>
          <w:kern w:val="0"/>
          <w:sz w:val="22"/>
          <w:szCs w:val="22"/>
          <w:highlight w:val="none"/>
          <w:u w:val="single"/>
          <w:lang w:val="zh-CN"/>
        </w:rPr>
        <w:t xml:space="preserve">                </w:t>
      </w:r>
    </w:p>
    <w:p w14:paraId="10BBD444">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14:paraId="566DA30B">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p>
    <w:p w14:paraId="0ECFD2DB">
      <w:pPr>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14:paraId="150BDB43">
      <w:pPr>
        <w:spacing w:line="460" w:lineRule="exact"/>
        <w:ind w:firstLine="435"/>
        <w:rPr>
          <w:rFonts w:hint="eastAsia" w:ascii="宋体" w:hAnsi="宋体" w:eastAsia="宋体" w:cs="宋体"/>
          <w:color w:val="auto"/>
          <w:sz w:val="22"/>
          <w:szCs w:val="22"/>
          <w:highlight w:val="none"/>
          <w:u w:val="singl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14:paraId="0D4DC910">
      <w:pPr>
        <w:pStyle w:val="94"/>
        <w:rPr>
          <w:rFonts w:hint="eastAsia" w:ascii="宋体" w:hAnsi="宋体" w:eastAsia="宋体" w:cs="宋体"/>
          <w:color w:val="auto"/>
          <w:highlight w:val="none"/>
        </w:rPr>
      </w:pPr>
    </w:p>
    <w:p w14:paraId="7EBDF9C9">
      <w:pPr>
        <w:pStyle w:val="94"/>
        <w:rPr>
          <w:rFonts w:hint="eastAsia" w:ascii="宋体" w:hAnsi="宋体" w:eastAsia="宋体" w:cs="宋体"/>
          <w:color w:val="auto"/>
          <w:highlight w:val="none"/>
        </w:rPr>
        <w:sectPr>
          <w:footerReference r:id="rId9" w:type="first"/>
          <w:footerReference r:id="rId8" w:type="default"/>
          <w:pgSz w:w="11907" w:h="16840"/>
          <w:pgMar w:top="1134" w:right="1134" w:bottom="1134" w:left="1134" w:header="851" w:footer="992" w:gutter="0"/>
          <w:pgNumType w:start="2"/>
          <w:cols w:space="720" w:num="1"/>
          <w:docGrid w:linePitch="312" w:charSpace="0"/>
        </w:sectPr>
      </w:pPr>
    </w:p>
    <w:p w14:paraId="5AB6DFC0">
      <w:pPr>
        <w:spacing w:line="460" w:lineRule="exact"/>
        <w:jc w:val="left"/>
        <w:outlineLvl w:val="1"/>
        <w:rPr>
          <w:rFonts w:hint="eastAsia" w:ascii="宋体" w:hAnsi="宋体" w:eastAsia="宋体" w:cs="宋体"/>
          <w:b/>
          <w:bCs/>
          <w:color w:val="auto"/>
          <w:sz w:val="36"/>
          <w:szCs w:val="36"/>
          <w:highlight w:val="none"/>
        </w:rPr>
      </w:pPr>
      <w:bookmarkStart w:id="38" w:name="_Toc25178"/>
      <w:bookmarkStart w:id="39" w:name="_Toc16532"/>
      <w:bookmarkStart w:id="40" w:name="_Toc13036"/>
      <w:r>
        <w:rPr>
          <w:rFonts w:hint="eastAsia" w:ascii="宋体" w:hAnsi="宋体" w:eastAsia="宋体" w:cs="宋体"/>
          <w:b/>
          <w:bCs/>
          <w:color w:val="auto"/>
          <w:sz w:val="36"/>
          <w:szCs w:val="36"/>
          <w:highlight w:val="none"/>
        </w:rPr>
        <w:t>附件二</w:t>
      </w:r>
      <w:bookmarkEnd w:id="38"/>
      <w:bookmarkEnd w:id="39"/>
      <w:bookmarkEnd w:id="40"/>
    </w:p>
    <w:p w14:paraId="25B02694">
      <w:pPr>
        <w:spacing w:line="460" w:lineRule="exact"/>
        <w:jc w:val="center"/>
        <w:outlineLvl w:val="2"/>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投标报价一览表</w:t>
      </w:r>
    </w:p>
    <w:p w14:paraId="04D6B4CA">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                                     项目编号：</w:t>
      </w:r>
    </w:p>
    <w:tbl>
      <w:tblPr>
        <w:tblStyle w:val="51"/>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351"/>
        <w:gridCol w:w="3291"/>
        <w:gridCol w:w="2207"/>
      </w:tblGrid>
      <w:tr w14:paraId="1F4F77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87" w:hRule="atLeast"/>
          <w:jc w:val="center"/>
        </w:trPr>
        <w:tc>
          <w:tcPr>
            <w:tcW w:w="2208" w:type="pct"/>
            <w:vAlign w:val="center"/>
          </w:tcPr>
          <w:p w14:paraId="2BA0CB4F">
            <w:pPr>
              <w:pStyle w:val="2"/>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670" w:type="pct"/>
            <w:tcBorders>
              <w:right w:val="single" w:color="auto" w:sz="4" w:space="0"/>
            </w:tcBorders>
            <w:vAlign w:val="center"/>
          </w:tcPr>
          <w:p w14:paraId="1D4562B2">
            <w:pPr>
              <w:pStyle w:val="2"/>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投标报价（折扣）</w:t>
            </w:r>
          </w:p>
        </w:tc>
        <w:tc>
          <w:tcPr>
            <w:tcW w:w="1120" w:type="pct"/>
            <w:vAlign w:val="center"/>
          </w:tcPr>
          <w:p w14:paraId="66698C3F">
            <w:pPr>
              <w:pStyle w:val="2"/>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5A832B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29" w:hRule="atLeast"/>
          <w:jc w:val="center"/>
        </w:trPr>
        <w:tc>
          <w:tcPr>
            <w:tcW w:w="2208" w:type="pct"/>
            <w:vAlign w:val="center"/>
          </w:tcPr>
          <w:p w14:paraId="13CF4479">
            <w:pPr>
              <w:spacing w:line="40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zh-CN"/>
              </w:rPr>
              <w:t>温州市龙湾区消防救援大队食堂原材料采购及配送</w:t>
            </w:r>
          </w:p>
        </w:tc>
        <w:tc>
          <w:tcPr>
            <w:tcW w:w="1670" w:type="pct"/>
            <w:tcBorders>
              <w:right w:val="single" w:color="auto" w:sz="4" w:space="0"/>
            </w:tcBorders>
            <w:vAlign w:val="center"/>
          </w:tcPr>
          <w:p w14:paraId="1C3A9EF5">
            <w:pPr>
              <w:pStyle w:val="2"/>
              <w:spacing w:line="400" w:lineRule="atLeast"/>
              <w:jc w:val="center"/>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tc>
        <w:tc>
          <w:tcPr>
            <w:tcW w:w="1120" w:type="pct"/>
            <w:vAlign w:val="center"/>
          </w:tcPr>
          <w:p w14:paraId="38BE9859">
            <w:pPr>
              <w:pStyle w:val="2"/>
              <w:spacing w:line="460" w:lineRule="exact"/>
              <w:rPr>
                <w:rFonts w:hint="eastAsia" w:ascii="宋体" w:hAnsi="宋体" w:eastAsia="宋体" w:cs="宋体"/>
                <w:color w:val="auto"/>
                <w:sz w:val="22"/>
                <w:szCs w:val="22"/>
                <w:highlight w:val="none"/>
              </w:rPr>
            </w:pPr>
          </w:p>
        </w:tc>
      </w:tr>
    </w:tbl>
    <w:p w14:paraId="0598729D">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说明：</w:t>
      </w:r>
    </w:p>
    <w:p w14:paraId="7A50D36A">
      <w:pPr>
        <w:tabs>
          <w:tab w:val="left" w:pos="540"/>
        </w:tabs>
        <w:spacing w:line="460" w:lineRule="exact"/>
        <w:ind w:firstLine="663" w:firstLineChars="3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1.</w:t>
      </w:r>
      <w:r>
        <w:rPr>
          <w:rFonts w:hint="eastAsia" w:ascii="宋体" w:hAnsi="宋体" w:eastAsia="宋体" w:cs="宋体"/>
          <w:b/>
          <w:color w:val="auto"/>
          <w:sz w:val="22"/>
          <w:szCs w:val="22"/>
          <w:highlight w:val="none"/>
        </w:rPr>
        <w:t>投标产品以市场价折扣方式进行报价</w:t>
      </w:r>
      <w:r>
        <w:rPr>
          <w:rFonts w:hint="eastAsia" w:ascii="宋体" w:hAnsi="宋体" w:eastAsia="宋体" w:cs="宋体"/>
          <w:b/>
          <w:bCs/>
          <w:color w:val="auto"/>
          <w:sz w:val="22"/>
          <w:szCs w:val="22"/>
          <w:highlight w:val="none"/>
        </w:rPr>
        <w:t>本项目</w:t>
      </w:r>
      <w:r>
        <w:rPr>
          <w:rFonts w:hint="eastAsia" w:ascii="宋体" w:hAnsi="宋体" w:eastAsia="宋体" w:cs="宋体"/>
          <w:b/>
          <w:color w:val="auto"/>
          <w:sz w:val="22"/>
          <w:szCs w:val="22"/>
          <w:highlight w:val="none"/>
        </w:rPr>
        <w:t>根据温州市发展和改革委员会官方网站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"http://wzfgw.wenzhou.gov.cn/col/col1216782/index.html）最近之日公布的温州市"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2"/>
          <w:szCs w:val="22"/>
          <w:highlight w:val="none"/>
        </w:rPr>
        <w:t>http://wzfgw.wenzhou.gov.cn/col/col1216782/index.html最近之日公布的温州市区农贸市场价格监测表</w:t>
      </w:r>
      <w:r>
        <w:rPr>
          <w:rFonts w:hint="eastAsia" w:ascii="宋体" w:hAnsi="宋体" w:eastAsia="宋体" w:cs="宋体"/>
          <w:b/>
          <w:color w:val="auto"/>
          <w:sz w:val="22"/>
          <w:szCs w:val="22"/>
          <w:highlight w:val="none"/>
        </w:rPr>
        <w:fldChar w:fldCharType="end"/>
      </w:r>
      <w:r>
        <w:rPr>
          <w:rFonts w:hint="eastAsia" w:ascii="宋体" w:hAnsi="宋体" w:eastAsia="宋体" w:cs="宋体"/>
          <w:b/>
          <w:color w:val="auto"/>
          <w:sz w:val="22"/>
          <w:szCs w:val="22"/>
          <w:highlight w:val="none"/>
        </w:rPr>
        <w:t>中</w:t>
      </w:r>
      <w:r>
        <w:rPr>
          <w:rFonts w:hint="eastAsia" w:ascii="宋体" w:hAnsi="宋体" w:cs="宋体"/>
          <w:b/>
          <w:color w:val="auto"/>
          <w:sz w:val="22"/>
          <w:szCs w:val="22"/>
        </w:rPr>
        <w:t>永中农贸市场</w:t>
      </w:r>
      <w:r>
        <w:rPr>
          <w:rFonts w:hint="eastAsia" w:ascii="宋体" w:hAnsi="宋体" w:eastAsia="宋体" w:cs="宋体"/>
          <w:b/>
          <w:color w:val="auto"/>
          <w:sz w:val="22"/>
          <w:szCs w:val="22"/>
          <w:highlight w:val="none"/>
          <w:u w:val="none"/>
          <w:lang w:eastAsia="zh-CN"/>
        </w:rPr>
        <w:t>的产品价格做为所需产品参考价</w:t>
      </w:r>
      <w:r>
        <w:rPr>
          <w:rFonts w:hint="eastAsia" w:ascii="宋体" w:hAnsi="宋体" w:eastAsia="宋体" w:cs="宋体"/>
          <w:b/>
          <w:color w:val="auto"/>
          <w:sz w:val="22"/>
          <w:szCs w:val="22"/>
          <w:highlight w:val="none"/>
          <w:u w:val="none"/>
        </w:rPr>
        <w:t>格</w:t>
      </w:r>
      <w:r>
        <w:rPr>
          <w:rFonts w:hint="eastAsia" w:ascii="宋体" w:hAnsi="宋体" w:eastAsia="宋体" w:cs="宋体"/>
          <w:b/>
          <w:color w:val="auto"/>
          <w:sz w:val="22"/>
          <w:szCs w:val="22"/>
          <w:highlight w:val="none"/>
        </w:rPr>
        <w:t>，温州市发展和改革委员会官方网站上未列明的货品，</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lang w:eastAsia="zh-CN"/>
        </w:rPr>
        <w:t>有权选</w:t>
      </w:r>
      <w:r>
        <w:rPr>
          <w:rFonts w:hint="eastAsia" w:ascii="宋体" w:hAnsi="宋体" w:eastAsia="宋体" w:cs="宋体"/>
          <w:b/>
          <w:color w:val="auto"/>
          <w:sz w:val="22"/>
          <w:highlight w:val="none"/>
          <w:lang w:eastAsia="zh-CN"/>
        </w:rPr>
        <w:t>龙湾区</w:t>
      </w:r>
      <w:r>
        <w:rPr>
          <w:rFonts w:hint="eastAsia" w:ascii="宋体" w:hAnsi="宋体" w:eastAsia="宋体" w:cs="宋体"/>
          <w:b/>
          <w:color w:val="auto"/>
          <w:sz w:val="22"/>
          <w:highlight w:val="none"/>
        </w:rPr>
        <w:t>镇北</w:t>
      </w:r>
      <w:r>
        <w:rPr>
          <w:rFonts w:hint="eastAsia" w:ascii="宋体" w:hAnsi="宋体" w:eastAsia="宋体" w:cs="宋体"/>
          <w:b/>
          <w:color w:val="auto"/>
          <w:sz w:val="22"/>
          <w:szCs w:val="22"/>
          <w:highlight w:val="none"/>
          <w:lang w:eastAsia="zh-CN"/>
        </w:rPr>
        <w:t>农贸市场进行市场</w:t>
      </w:r>
      <w:r>
        <w:rPr>
          <w:rFonts w:hint="eastAsia" w:ascii="宋体" w:hAnsi="宋体" w:eastAsia="宋体" w:cs="宋体"/>
          <w:b/>
          <w:color w:val="auto"/>
          <w:sz w:val="22"/>
          <w:szCs w:val="22"/>
          <w:highlight w:val="none"/>
        </w:rPr>
        <w:t>询价的市场价作为产品参考价格</w:t>
      </w:r>
      <w:r>
        <w:rPr>
          <w:rFonts w:hint="eastAsia" w:ascii="宋体" w:hAnsi="宋体" w:eastAsia="宋体" w:cs="宋体"/>
          <w:bCs/>
          <w:color w:val="auto"/>
          <w:sz w:val="22"/>
          <w:szCs w:val="22"/>
          <w:highlight w:val="none"/>
        </w:rPr>
        <w:t>；</w:t>
      </w:r>
      <w:r>
        <w:rPr>
          <w:rFonts w:hint="eastAsia" w:ascii="宋体" w:hAnsi="宋体" w:eastAsia="宋体" w:cs="宋体"/>
          <w:b/>
          <w:bCs w:val="0"/>
          <w:color w:val="auto"/>
          <w:sz w:val="22"/>
          <w:szCs w:val="22"/>
          <w:highlight w:val="none"/>
        </w:rPr>
        <w:t>禁止配送无市场实际零售商品或专供产品。投标人应自行考虑食材的供货</w:t>
      </w:r>
      <w:r>
        <w:rPr>
          <w:rFonts w:hint="eastAsia" w:ascii="宋体" w:hAnsi="宋体" w:eastAsia="宋体" w:cs="宋体"/>
          <w:b/>
          <w:bCs w:val="0"/>
          <w:color w:val="auto"/>
          <w:kern w:val="0"/>
          <w:sz w:val="22"/>
          <w:szCs w:val="22"/>
          <w:highlight w:val="none"/>
        </w:rPr>
        <w:t>（包括但不限于宰杀、预处理、预加工等）</w:t>
      </w:r>
      <w:r>
        <w:rPr>
          <w:rFonts w:hint="eastAsia" w:ascii="宋体" w:hAnsi="宋体" w:eastAsia="宋体" w:cs="宋体"/>
          <w:b/>
          <w:bCs w:val="0"/>
          <w:color w:val="auto"/>
          <w:sz w:val="22"/>
          <w:szCs w:val="22"/>
          <w:highlight w:val="none"/>
        </w:rPr>
        <w:t>、税金、包装、运输、装卸、验收及其所有税费、招标代理服务费等全部费用后计算价格折扣。</w:t>
      </w:r>
    </w:p>
    <w:p w14:paraId="2B5ABBC4">
      <w:pPr>
        <w:tabs>
          <w:tab w:val="left" w:pos="540"/>
        </w:tabs>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2.</w:t>
      </w:r>
      <w:r>
        <w:rPr>
          <w:rFonts w:hint="eastAsia" w:ascii="宋体" w:hAnsi="宋体" w:eastAsia="宋体" w:cs="宋体"/>
          <w:b/>
          <w:color w:val="auto"/>
          <w:sz w:val="22"/>
          <w:szCs w:val="22"/>
          <w:highlight w:val="none"/>
          <w:u w:val="single"/>
        </w:rPr>
        <w:t>投标人所报的折扣在合同执行过程中作为最高限价（结算单价=当期所供产品市场价格*投标所报折扣）</w:t>
      </w:r>
      <w:r>
        <w:rPr>
          <w:rFonts w:hint="eastAsia" w:ascii="宋体" w:hAnsi="宋体" w:eastAsia="宋体" w:cs="宋体"/>
          <w:b/>
          <w:color w:val="auto"/>
          <w:sz w:val="22"/>
          <w:szCs w:val="22"/>
          <w:highlight w:val="none"/>
        </w:rPr>
        <w:t>，合同执行过程中投标人不得以任何理由要求调整投标折扣。</w:t>
      </w:r>
    </w:p>
    <w:p w14:paraId="7F586ABB">
      <w:pPr>
        <w:tabs>
          <w:tab w:val="left" w:pos="540"/>
        </w:tabs>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3.▲不提供开标一览表的投标文件将被视为未实质性响应</w:t>
      </w:r>
      <w:r>
        <w:rPr>
          <w:rFonts w:hint="eastAsia" w:ascii="宋体" w:hAnsi="宋体" w:cs="宋体"/>
          <w:b/>
          <w:color w:val="auto"/>
          <w:sz w:val="22"/>
          <w:szCs w:val="22"/>
          <w:highlight w:val="none"/>
          <w:lang w:eastAsia="zh-CN"/>
        </w:rPr>
        <w:t>招标文件</w:t>
      </w:r>
      <w:r>
        <w:rPr>
          <w:rFonts w:hint="eastAsia" w:ascii="宋体" w:hAnsi="宋体" w:eastAsia="宋体" w:cs="宋体"/>
          <w:b/>
          <w:color w:val="auto"/>
          <w:sz w:val="22"/>
          <w:szCs w:val="22"/>
          <w:highlight w:val="none"/>
        </w:rPr>
        <w:t>。</w:t>
      </w:r>
    </w:p>
    <w:p w14:paraId="2B6511E4">
      <w:pPr>
        <w:tabs>
          <w:tab w:val="left" w:pos="540"/>
        </w:tabs>
        <w:spacing w:line="460" w:lineRule="exact"/>
        <w:ind w:firstLine="663" w:firstLine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4.本项目报价要求为折扣率。</w:t>
      </w:r>
    </w:p>
    <w:p w14:paraId="5B1A370B">
      <w:pPr>
        <w:tabs>
          <w:tab w:val="left" w:pos="540"/>
        </w:tabs>
        <w:spacing w:line="460" w:lineRule="exact"/>
        <w:ind w:firstLine="663" w:firstLineChars="3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5.投标人应综合考虑投标折扣率，</w:t>
      </w:r>
      <w:r>
        <w:rPr>
          <w:rFonts w:hint="eastAsia" w:ascii="宋体" w:hAnsi="宋体" w:eastAsia="宋体" w:cs="宋体"/>
          <w:b/>
          <w:bCs/>
          <w:color w:val="auto"/>
          <w:sz w:val="22"/>
          <w:szCs w:val="22"/>
          <w:highlight w:val="none"/>
        </w:rPr>
        <w:t>报价明显低于其他通过符合性审查投标人的报价，有可能影响产品质量或者不能诚信履约的，且在合理的时间内不能说明、证明其报价合理性的，将作为无效投标</w:t>
      </w:r>
      <w:r>
        <w:rPr>
          <w:rFonts w:hint="eastAsia" w:ascii="宋体" w:hAnsi="宋体" w:eastAsia="宋体" w:cs="宋体"/>
          <w:b/>
          <w:color w:val="auto"/>
          <w:sz w:val="22"/>
          <w:szCs w:val="22"/>
          <w:highlight w:val="none"/>
        </w:rPr>
        <w:t>。</w:t>
      </w:r>
    </w:p>
    <w:p w14:paraId="74CB82AA">
      <w:pPr>
        <w:spacing w:line="460" w:lineRule="exact"/>
        <w:jc w:val="center"/>
        <w:rPr>
          <w:rFonts w:hint="eastAsia" w:ascii="宋体" w:hAnsi="宋体" w:eastAsia="宋体" w:cs="宋体"/>
          <w:color w:val="auto"/>
          <w:sz w:val="22"/>
          <w:szCs w:val="22"/>
          <w:highlight w:val="none"/>
        </w:rPr>
      </w:pPr>
    </w:p>
    <w:p w14:paraId="6CFE6938">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31A23FC8">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14:paraId="4D89642D">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14:paraId="49308548">
      <w:pPr>
        <w:spacing w:line="460" w:lineRule="exact"/>
        <w:jc w:val="left"/>
        <w:outlineLvl w:val="1"/>
        <w:rPr>
          <w:rFonts w:hint="eastAsia" w:ascii="宋体" w:hAnsi="宋体" w:eastAsia="宋体" w:cs="宋体"/>
          <w:b/>
          <w:bCs/>
          <w:color w:val="auto"/>
          <w:sz w:val="36"/>
          <w:szCs w:val="36"/>
          <w:highlight w:val="none"/>
        </w:rPr>
      </w:pPr>
      <w:r>
        <w:rPr>
          <w:rFonts w:hint="eastAsia" w:ascii="宋体" w:hAnsi="宋体" w:eastAsia="宋体" w:cs="宋体"/>
          <w:b/>
          <w:color w:val="auto"/>
          <w:sz w:val="22"/>
          <w:highlight w:val="none"/>
        </w:rPr>
        <w:br w:type="page"/>
      </w:r>
      <w:bookmarkStart w:id="41" w:name="_Toc17639"/>
      <w:bookmarkStart w:id="42" w:name="_Toc22810"/>
      <w:bookmarkStart w:id="43" w:name="_Toc6346"/>
      <w:bookmarkStart w:id="44" w:name="_Toc11427"/>
      <w:r>
        <w:rPr>
          <w:rFonts w:hint="eastAsia" w:ascii="宋体" w:hAnsi="宋体" w:eastAsia="宋体" w:cs="宋体"/>
          <w:b/>
          <w:bCs/>
          <w:color w:val="auto"/>
          <w:sz w:val="36"/>
          <w:szCs w:val="36"/>
          <w:highlight w:val="none"/>
        </w:rPr>
        <w:t>附件</w:t>
      </w:r>
      <w:bookmarkEnd w:id="41"/>
      <w:r>
        <w:rPr>
          <w:rFonts w:hint="eastAsia" w:ascii="宋体" w:hAnsi="宋体" w:eastAsia="宋体" w:cs="宋体"/>
          <w:b/>
          <w:bCs/>
          <w:color w:val="auto"/>
          <w:sz w:val="36"/>
          <w:szCs w:val="36"/>
          <w:highlight w:val="none"/>
        </w:rPr>
        <w:t>三</w:t>
      </w:r>
      <w:bookmarkEnd w:id="42"/>
      <w:bookmarkEnd w:id="43"/>
      <w:bookmarkEnd w:id="44"/>
    </w:p>
    <w:p w14:paraId="06326297">
      <w:pPr>
        <w:spacing w:line="460" w:lineRule="exact"/>
        <w:jc w:val="center"/>
        <w:outlineLvl w:val="2"/>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rPr>
        <w:t>资格证明文件</w:t>
      </w:r>
    </w:p>
    <w:p w14:paraId="49C9DAFA">
      <w:pPr>
        <w:spacing w:line="380" w:lineRule="exact"/>
        <w:jc w:val="center"/>
        <w:outlineLvl w:val="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（1）法定代表人授权书</w:t>
      </w:r>
    </w:p>
    <w:p w14:paraId="679BA73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温州市龙湾区消防救援大队：</w:t>
      </w:r>
    </w:p>
    <w:p w14:paraId="155AC014">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14:paraId="4B2BCC5A">
      <w:pPr>
        <w:spacing w:line="460" w:lineRule="exact"/>
        <w:rPr>
          <w:rFonts w:hint="eastAsia" w:ascii="宋体" w:hAnsi="宋体" w:eastAsia="宋体" w:cs="宋体"/>
          <w:color w:val="auto"/>
          <w:sz w:val="22"/>
          <w:szCs w:val="22"/>
          <w:highlight w:val="none"/>
        </w:rPr>
      </w:pPr>
    </w:p>
    <w:p w14:paraId="4B9EC03D">
      <w:pPr>
        <w:spacing w:line="460" w:lineRule="exact"/>
        <w:rPr>
          <w:rFonts w:hint="eastAsia" w:ascii="宋体" w:hAnsi="宋体" w:eastAsia="宋体" w:cs="宋体"/>
          <w:color w:val="auto"/>
          <w:sz w:val="22"/>
          <w:szCs w:val="22"/>
          <w:highlight w:val="none"/>
        </w:rPr>
      </w:pPr>
    </w:p>
    <w:p w14:paraId="0F9885D4">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法定代表人（签字或盖章）：</w:t>
      </w:r>
    </w:p>
    <w:p w14:paraId="5611F970">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投标人全称（公章）：</w:t>
      </w:r>
    </w:p>
    <w:p w14:paraId="5860D063">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78333305">
      <w:pPr>
        <w:spacing w:line="380" w:lineRule="exact"/>
        <w:rPr>
          <w:rFonts w:hint="eastAsia" w:ascii="宋体" w:hAnsi="宋体" w:eastAsia="宋体" w:cs="宋体"/>
          <w:color w:val="auto"/>
          <w:sz w:val="22"/>
          <w:szCs w:val="22"/>
          <w:highlight w:val="none"/>
        </w:rPr>
      </w:pPr>
    </w:p>
    <w:p w14:paraId="667EB157">
      <w:pPr>
        <w:spacing w:line="380" w:lineRule="exact"/>
        <w:rPr>
          <w:rFonts w:hint="eastAsia" w:ascii="宋体" w:hAnsi="宋体" w:eastAsia="宋体" w:cs="宋体"/>
          <w:color w:val="auto"/>
          <w:sz w:val="22"/>
          <w:szCs w:val="22"/>
          <w:highlight w:val="none"/>
        </w:rPr>
      </w:pPr>
    </w:p>
    <w:p w14:paraId="65732B82">
      <w:pPr>
        <w:spacing w:line="380" w:lineRule="exact"/>
        <w:rPr>
          <w:rFonts w:hint="eastAsia" w:ascii="宋体" w:hAnsi="宋体" w:eastAsia="宋体" w:cs="宋体"/>
          <w:color w:val="auto"/>
          <w:sz w:val="22"/>
          <w:szCs w:val="22"/>
          <w:highlight w:val="none"/>
        </w:rPr>
      </w:pPr>
    </w:p>
    <w:p w14:paraId="1F3FA6F8">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14:paraId="3F027E89">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14:paraId="676EF1D7">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14:paraId="72524EA5">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14:paraId="66704CBB">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14:paraId="1E75D9F7">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14:paraId="418B3B97">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14:paraId="7678F991">
      <w:pPr>
        <w:spacing w:line="380" w:lineRule="exact"/>
        <w:rPr>
          <w:rFonts w:hint="eastAsia" w:ascii="宋体" w:hAnsi="宋体" w:eastAsia="宋体" w:cs="宋体"/>
          <w:color w:val="auto"/>
          <w:sz w:val="22"/>
          <w:szCs w:val="22"/>
          <w:highlight w:val="none"/>
        </w:rPr>
      </w:pPr>
    </w:p>
    <w:p w14:paraId="6D31A40F">
      <w:pPr>
        <w:spacing w:line="380" w:lineRule="exact"/>
        <w:rPr>
          <w:rFonts w:hint="eastAsia" w:ascii="宋体" w:hAnsi="宋体" w:eastAsia="宋体" w:cs="宋体"/>
          <w:color w:val="auto"/>
          <w:sz w:val="22"/>
          <w:szCs w:val="22"/>
          <w:highlight w:val="none"/>
        </w:rPr>
      </w:pPr>
    </w:p>
    <w:p w14:paraId="1E5179A0">
      <w:pPr>
        <w:spacing w:line="380" w:lineRule="exact"/>
        <w:rPr>
          <w:rFonts w:hint="eastAsia" w:ascii="宋体" w:hAnsi="宋体" w:eastAsia="宋体" w:cs="宋体"/>
          <w:color w:val="auto"/>
          <w:sz w:val="22"/>
          <w:szCs w:val="22"/>
          <w:highlight w:val="none"/>
        </w:rPr>
      </w:pPr>
    </w:p>
    <w:p w14:paraId="7AADC57C">
      <w:pPr>
        <w:rPr>
          <w:rFonts w:hint="eastAsia" w:ascii="宋体" w:hAnsi="宋体" w:eastAsia="宋体" w:cs="宋体"/>
          <w:color w:val="auto"/>
          <w:highlight w:val="none"/>
        </w:rPr>
      </w:pPr>
    </w:p>
    <w:p w14:paraId="658435AB">
      <w:pPr>
        <w:rPr>
          <w:rFonts w:hint="eastAsia" w:ascii="宋体" w:hAnsi="宋体" w:eastAsia="宋体" w:cs="宋体"/>
          <w:color w:val="auto"/>
          <w:highlight w:val="none"/>
        </w:rPr>
      </w:pPr>
    </w:p>
    <w:p w14:paraId="34BBA10D">
      <w:pPr>
        <w:rPr>
          <w:rFonts w:hint="eastAsia" w:ascii="宋体" w:hAnsi="宋体" w:eastAsia="宋体" w:cs="宋体"/>
          <w:color w:val="auto"/>
          <w:highlight w:val="none"/>
        </w:rPr>
      </w:pPr>
    </w:p>
    <w:p w14:paraId="2E786123">
      <w:pPr>
        <w:rPr>
          <w:rFonts w:hint="eastAsia" w:ascii="宋体" w:hAnsi="宋体" w:eastAsia="宋体" w:cs="宋体"/>
          <w:color w:val="auto"/>
          <w:highlight w:val="none"/>
        </w:rPr>
      </w:pPr>
    </w:p>
    <w:p w14:paraId="2A6A80AD">
      <w:pPr>
        <w:rPr>
          <w:rFonts w:hint="eastAsia" w:ascii="宋体" w:hAnsi="宋体" w:eastAsia="宋体" w:cs="宋体"/>
          <w:color w:val="auto"/>
          <w:highlight w:val="none"/>
        </w:rPr>
      </w:pPr>
    </w:p>
    <w:p w14:paraId="748A7BE6">
      <w:pPr>
        <w:rPr>
          <w:rFonts w:hint="eastAsia" w:ascii="宋体" w:hAnsi="宋体" w:eastAsia="宋体" w:cs="宋体"/>
          <w:color w:val="auto"/>
          <w:highlight w:val="none"/>
        </w:rPr>
      </w:pPr>
    </w:p>
    <w:p w14:paraId="7D364205">
      <w:pPr>
        <w:rPr>
          <w:rFonts w:hint="eastAsia" w:ascii="宋体" w:hAnsi="宋体" w:eastAsia="宋体" w:cs="宋体"/>
          <w:color w:val="auto"/>
          <w:highlight w:val="none"/>
        </w:rPr>
      </w:pPr>
    </w:p>
    <w:p w14:paraId="6ED7B7BE">
      <w:pPr>
        <w:spacing w:line="380" w:lineRule="exact"/>
        <w:rPr>
          <w:rFonts w:hint="eastAsia" w:ascii="宋体" w:hAnsi="宋体" w:eastAsia="宋体" w:cs="宋体"/>
          <w:color w:val="auto"/>
          <w:sz w:val="22"/>
          <w:szCs w:val="22"/>
          <w:highlight w:val="none"/>
        </w:rPr>
      </w:pPr>
    </w:p>
    <w:p w14:paraId="10D6D112">
      <w:pPr>
        <w:rPr>
          <w:rFonts w:hint="eastAsia" w:ascii="宋体" w:hAnsi="宋体" w:eastAsia="宋体" w:cs="宋体"/>
          <w:color w:val="auto"/>
          <w:highlight w:val="none"/>
        </w:rPr>
      </w:pPr>
    </w:p>
    <w:p w14:paraId="1CFF3217">
      <w:pPr>
        <w:rPr>
          <w:rFonts w:hint="eastAsia" w:ascii="宋体" w:hAnsi="宋体" w:eastAsia="宋体" w:cs="宋体"/>
          <w:color w:val="auto"/>
          <w:highlight w:val="none"/>
        </w:rPr>
      </w:pPr>
    </w:p>
    <w:p w14:paraId="4082C9CD">
      <w:pPr>
        <w:rPr>
          <w:rFonts w:hint="eastAsia" w:ascii="宋体" w:hAnsi="宋体" w:eastAsia="宋体" w:cs="宋体"/>
          <w:color w:val="auto"/>
          <w:highlight w:val="none"/>
        </w:rPr>
      </w:pPr>
    </w:p>
    <w:p w14:paraId="1BE775F5">
      <w:pPr>
        <w:rPr>
          <w:rFonts w:hint="eastAsia" w:ascii="宋体" w:hAnsi="宋体" w:eastAsia="宋体" w:cs="宋体"/>
          <w:color w:val="auto"/>
          <w:highlight w:val="none"/>
        </w:rPr>
      </w:pPr>
    </w:p>
    <w:p w14:paraId="44D0E01C">
      <w:pPr>
        <w:rPr>
          <w:rFonts w:hint="eastAsia" w:ascii="宋体" w:hAnsi="宋体" w:eastAsia="宋体" w:cs="宋体"/>
          <w:color w:val="auto"/>
          <w:highlight w:val="none"/>
        </w:rPr>
      </w:pPr>
    </w:p>
    <w:p w14:paraId="0D8803E7">
      <w:pPr>
        <w:spacing w:line="380" w:lineRule="exact"/>
        <w:rPr>
          <w:rFonts w:hint="eastAsia" w:ascii="宋体" w:hAnsi="宋体" w:eastAsia="宋体" w:cs="宋体"/>
          <w:color w:val="auto"/>
          <w:sz w:val="22"/>
          <w:szCs w:val="22"/>
          <w:highlight w:val="none"/>
        </w:rPr>
      </w:pPr>
    </w:p>
    <w:p w14:paraId="0BE4050A">
      <w:pPr>
        <w:spacing w:line="380" w:lineRule="exact"/>
        <w:rPr>
          <w:rFonts w:hint="eastAsia" w:ascii="宋体" w:hAnsi="宋体" w:eastAsia="宋体" w:cs="宋体"/>
          <w:color w:val="auto"/>
          <w:sz w:val="22"/>
          <w:szCs w:val="22"/>
          <w:highlight w:val="none"/>
        </w:rPr>
      </w:pPr>
    </w:p>
    <w:p w14:paraId="6AB95689">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pict>
          <v:shape id="Text Box 2" o:spid="_x0000_s1026" o:spt="202" type="#_x0000_t202" style="position:absolute;left:0pt;margin-left:8.95pt;margin-top:6.25pt;height:257.8pt;width:471.15pt;z-index:251659264;mso-width-relative:page;mso-height-relative:page;" coordsize="21600,21600" o:gfxdata="UEsDBAoAAAAAAIdO4kAAAAAAAAAAAAAAAAAEAAAAZHJzL1BLAwQUAAAACACHTuJA3cW589gAAAAJ&#10;AQAADwAAAGRycy9kb3ducmV2LnhtbE2PwU7DMBBE70j8g7VIXBC1E2iahDg9IIHgVgqCqxu7SYS9&#10;Drablr9nOcFpNZrR7JtmfXKWzSbE0aOEbCGAGey8HrGX8Pb6cF0Ci0mhVtajkfBtIqzb87NG1dof&#10;8cXM29QzKsFYKwlDSlPNeewG41Rc+MkgeXsfnEokQ891UEcqd5bnQhTcqRHpw6Amcz+Y7nN7cBLK&#10;26f5Iz7fbN67Ym+rdLWaH7+ClJcXmbgDlswp/YXhF5/QoSWmnT+gjsySXlWUpJsvgZFfFSIHtpOw&#10;zMsMeNvw/wvaH1BLAwQUAAAACACHTuJA27t2FyECAAB3BAAADgAAAGRycy9lMm9Eb2MueG1srVRN&#10;c9MwEL0zw3/Q6E7spqS0njidoSFcGOhMyw9QZNnWjL6QlNjh1/Mkh5AWDjngg71ard7ue7vy8n7U&#10;iuyFD9Kaml7NSkqE4baRpqvp9+fNu1tKQmSmYcoaUdODCPR+9fbNcnCVmNveqkZ4AhATqsHVtI/R&#10;VUUReC80CzPrhMFma71mEUvfFY1nA9C1KuZleVMM1jfOWy5CgHc9bdIjor8E0Lat5GJt+U4LEydU&#10;LxSLoBR66QJd5WrbVvD4rW2DiETVFExjfiMJ7G16F6slqzrPXC/5sQR2SQmvOGkmDZKeoNYsMrLz&#10;8i8oLbm3wbZxxq0uJiJZEbC4Kl9p89QzJzIXSB3cSfTw/2D51/2jJ7LBJFBimEbDn8UYyUc7knlS&#10;Z3ChQtCTQ1gc4U6RR3+AM5EeW6/TF3QI9qHt4aRtAuNwLu5ur2/KBSUce9fzD+/Lm6x+8ee48yF+&#10;FlaTZNTUo3lZU7b/EiJSIvR3SMoWrJLNRiqVF77bPihP9gyN3uQnVYkjL8KUIUNN7xbzVAjD9LaY&#10;GpjaQYFgupzvxYlwDlzm51/AqbA1C/1UQEZIYazSMgqfrV6w5pNpSDw4qGxwuWgqRouGEiVwF5OV&#10;IyOT6pJIsFMmJRF50o8qpY5NnUlWHLcjQJO5tc0BXcTdh7q99T+RH5MP4j92zKMaZjjcNYUik/kQ&#10;p6uyc152PU7l1hcJDPOY5T3enTTw52vY5/+L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xbnz&#10;2AAAAAkBAAAPAAAAAAAAAAEAIAAAACIAAABkcnMvZG93bnJldi54bWxQSwECFAAUAAAACACHTuJA&#10;27t2FyECAAB3BAAADgAAAAAAAAABACAAAAAnAQAAZHJzL2Uyb0RvYy54bWxQSwUGAAAAAAYABgBZ&#10;AQAAugUAAAAA&#10;">
            <v:path/>
            <v:fill focussize="0,0"/>
            <v:stroke joinstyle="miter"/>
            <v:imagedata o:title=""/>
            <o:lock v:ext="edit"/>
            <v:textbox>
              <w:txbxContent>
                <w:p w14:paraId="1E24AC17">
                  <w:pPr>
                    <w:rPr>
                      <w:rFonts w:eastAsia="新宋体"/>
                    </w:rPr>
                  </w:pPr>
                  <w:r>
                    <w:rPr>
                      <w:rFonts w:hint="eastAsia" w:ascii="新宋体" w:hAnsi="新宋体" w:eastAsia="新宋体"/>
                      <w:sz w:val="22"/>
                      <w:szCs w:val="22"/>
                    </w:rPr>
                    <w:t xml:space="preserve">  法定代表人身份证（正反面）：</w:t>
                  </w:r>
                </w:p>
              </w:txbxContent>
            </v:textbox>
          </v:shape>
        </w:pict>
      </w:r>
    </w:p>
    <w:p w14:paraId="3103A7F5">
      <w:pPr>
        <w:spacing w:line="380" w:lineRule="exact"/>
        <w:rPr>
          <w:rFonts w:hint="eastAsia" w:ascii="宋体" w:hAnsi="宋体" w:eastAsia="宋体" w:cs="宋体"/>
          <w:color w:val="auto"/>
          <w:sz w:val="22"/>
          <w:szCs w:val="22"/>
          <w:highlight w:val="none"/>
        </w:rPr>
      </w:pPr>
    </w:p>
    <w:p w14:paraId="7AC8B0B6">
      <w:pPr>
        <w:spacing w:line="380" w:lineRule="exact"/>
        <w:rPr>
          <w:rFonts w:hint="eastAsia" w:ascii="宋体" w:hAnsi="宋体" w:eastAsia="宋体" w:cs="宋体"/>
          <w:color w:val="auto"/>
          <w:sz w:val="22"/>
          <w:szCs w:val="22"/>
          <w:highlight w:val="none"/>
        </w:rPr>
      </w:pPr>
    </w:p>
    <w:p w14:paraId="58F1225B">
      <w:pPr>
        <w:spacing w:line="380" w:lineRule="exact"/>
        <w:rPr>
          <w:rFonts w:hint="eastAsia" w:ascii="宋体" w:hAnsi="宋体" w:eastAsia="宋体" w:cs="宋体"/>
          <w:color w:val="auto"/>
          <w:sz w:val="22"/>
          <w:szCs w:val="22"/>
          <w:highlight w:val="none"/>
        </w:rPr>
      </w:pPr>
    </w:p>
    <w:p w14:paraId="66482D5F">
      <w:pPr>
        <w:spacing w:line="380" w:lineRule="exact"/>
        <w:rPr>
          <w:rFonts w:hint="eastAsia" w:ascii="宋体" w:hAnsi="宋体" w:eastAsia="宋体" w:cs="宋体"/>
          <w:color w:val="auto"/>
          <w:sz w:val="22"/>
          <w:szCs w:val="22"/>
          <w:highlight w:val="none"/>
        </w:rPr>
      </w:pPr>
    </w:p>
    <w:p w14:paraId="5A5A732F">
      <w:pPr>
        <w:spacing w:line="380" w:lineRule="exact"/>
        <w:rPr>
          <w:rFonts w:hint="eastAsia" w:ascii="宋体" w:hAnsi="宋体" w:eastAsia="宋体" w:cs="宋体"/>
          <w:color w:val="auto"/>
          <w:sz w:val="22"/>
          <w:szCs w:val="22"/>
          <w:highlight w:val="none"/>
        </w:rPr>
      </w:pPr>
    </w:p>
    <w:p w14:paraId="51EC1FC2">
      <w:pPr>
        <w:spacing w:line="460" w:lineRule="exact"/>
        <w:jc w:val="center"/>
        <w:rPr>
          <w:rFonts w:hint="eastAsia" w:ascii="宋体" w:hAnsi="宋体" w:eastAsia="宋体" w:cs="宋体"/>
          <w:b/>
          <w:bCs/>
          <w:color w:val="auto"/>
          <w:sz w:val="28"/>
          <w:szCs w:val="28"/>
          <w:highlight w:val="none"/>
        </w:rPr>
      </w:pPr>
    </w:p>
    <w:p w14:paraId="0A33690D">
      <w:pPr>
        <w:spacing w:line="460" w:lineRule="exact"/>
        <w:jc w:val="center"/>
        <w:rPr>
          <w:rFonts w:hint="eastAsia" w:ascii="宋体" w:hAnsi="宋体" w:eastAsia="宋体" w:cs="宋体"/>
          <w:b/>
          <w:bCs/>
          <w:color w:val="auto"/>
          <w:sz w:val="28"/>
          <w:szCs w:val="28"/>
          <w:highlight w:val="none"/>
        </w:rPr>
      </w:pPr>
    </w:p>
    <w:p w14:paraId="08D27272">
      <w:pPr>
        <w:spacing w:line="460" w:lineRule="exact"/>
        <w:jc w:val="center"/>
        <w:rPr>
          <w:rFonts w:hint="eastAsia" w:ascii="宋体" w:hAnsi="宋体" w:eastAsia="宋体" w:cs="宋体"/>
          <w:b/>
          <w:bCs/>
          <w:color w:val="auto"/>
          <w:sz w:val="28"/>
          <w:szCs w:val="28"/>
          <w:highlight w:val="none"/>
        </w:rPr>
      </w:pPr>
    </w:p>
    <w:p w14:paraId="64ECC1D7">
      <w:pPr>
        <w:spacing w:line="460" w:lineRule="exact"/>
        <w:jc w:val="center"/>
        <w:rPr>
          <w:rFonts w:hint="eastAsia" w:ascii="宋体" w:hAnsi="宋体" w:eastAsia="宋体" w:cs="宋体"/>
          <w:b/>
          <w:bCs/>
          <w:color w:val="auto"/>
          <w:sz w:val="28"/>
          <w:szCs w:val="28"/>
          <w:highlight w:val="none"/>
        </w:rPr>
      </w:pPr>
    </w:p>
    <w:p w14:paraId="0C497C08">
      <w:pPr>
        <w:spacing w:line="460" w:lineRule="exact"/>
        <w:jc w:val="center"/>
        <w:rPr>
          <w:rFonts w:hint="eastAsia" w:ascii="宋体" w:hAnsi="宋体" w:eastAsia="宋体" w:cs="宋体"/>
          <w:b/>
          <w:bCs/>
          <w:color w:val="auto"/>
          <w:sz w:val="28"/>
          <w:szCs w:val="28"/>
          <w:highlight w:val="none"/>
        </w:rPr>
      </w:pPr>
    </w:p>
    <w:p w14:paraId="7501E7BD">
      <w:pPr>
        <w:spacing w:line="460" w:lineRule="exact"/>
        <w:jc w:val="center"/>
        <w:rPr>
          <w:rFonts w:hint="eastAsia" w:ascii="宋体" w:hAnsi="宋体" w:eastAsia="宋体" w:cs="宋体"/>
          <w:b/>
          <w:bCs/>
          <w:color w:val="auto"/>
          <w:sz w:val="28"/>
          <w:szCs w:val="28"/>
          <w:highlight w:val="none"/>
        </w:rPr>
      </w:pPr>
    </w:p>
    <w:p w14:paraId="5307D120">
      <w:pPr>
        <w:spacing w:line="460" w:lineRule="exact"/>
        <w:jc w:val="center"/>
        <w:rPr>
          <w:rFonts w:hint="eastAsia" w:ascii="宋体" w:hAnsi="宋体" w:eastAsia="宋体" w:cs="宋体"/>
          <w:b/>
          <w:bCs/>
          <w:color w:val="auto"/>
          <w:sz w:val="28"/>
          <w:szCs w:val="28"/>
          <w:highlight w:val="none"/>
        </w:rPr>
      </w:pPr>
    </w:p>
    <w:p w14:paraId="44794F6C">
      <w:pPr>
        <w:rPr>
          <w:rFonts w:hint="eastAsia" w:ascii="宋体" w:hAnsi="宋体" w:eastAsia="宋体" w:cs="宋体"/>
          <w:color w:val="auto"/>
          <w:highlight w:val="none"/>
        </w:rPr>
      </w:pPr>
    </w:p>
    <w:p w14:paraId="2715B460">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w:pict>
          <v:shape id="_x0000_s1027" o:spid="_x0000_s1027" o:spt="202" type="#_x0000_t202" style="position:absolute;left:0pt;margin-left:6.95pt;margin-top:0.75pt;height:257.5pt;width:472.9pt;z-index:251660288;mso-width-relative:page;mso-height-relative:page;" coordsize="21600,21600" o:gfxdata="UEsDBAoAAAAAAIdO4kAAAAAAAAAAAAAAAAAEAAAAZHJzL1BLAwQUAAAACACHTuJAjELJudgAAAAI&#10;AQAADwAAAGRycy9kb3ducmV2LnhtbE2PwU7DMBBE70j8g7VIXBB1QknahDg9IIHgVkpVrm68TSLi&#10;dbDdtPw9ywlOq9GMZt9Uq7MdxIQ+9I4UpLMEBFLjTE+tgu370+0SRIiajB4coYJvDLCqLy8qXRp3&#10;ojecNrEVXEKh1Aq6GMdSytB0aHWYuRGJvYPzVkeWvpXG6xOX20HeJUkure6JP3R6xMcOm8/N0SpY&#10;3r9MH+F1vt41+WEo4s1iev7ySl1fpckDiIjn+BeGX3xGh5qZ9u5IJoiB9bzgJN8MBNtFVixA7BVk&#10;aZ6BrCv5f0D9A1BLAwQUAAAACACHTuJASWlzhCECAAB3BAAADgAAAGRycy9lMm9Eb2MueG1srVRN&#10;b9swDL0P2H8QdF/tukjXGXEKrFl2GbYB7X6AIsu2AH1NUmJnv35Pcpql3Q45zAebIqlH8pH08n7S&#10;iuyFD9Kahl5flZQIw20rTd/QH0+bd3eUhMhMy5Q1oqEHEej96u2b5ehqUdnBqlZ4AhAT6tE1dIjR&#10;1UUR+CA0C1fWCQNjZ71mEUffF61nI9C1KqqyvC1G61vnLRchQLuejfSI6C8BtF0nuVhbvtPCxBnV&#10;C8UiSgqDdIGucrZdJ3j81nVBRKIaikpjfiMI5G16F6slq3vP3CD5MQV2SQqvatJMGgQ9Qa1ZZGTn&#10;5V9QWnJvg+3iFbe6mAvJjKCK6/IVN48DcyLXAqqDO5Ee/h8s/7r/7olsG1pRYphGw5/EFMlHO5Eq&#10;sTO6UMPp0cEtTlBjZp71AcpU9NR5nb4oh8AObg8nbhMYh/K2LBd3NzBx2G6q92W1yOwXf647H+Jn&#10;YTVJQkM9mpc5ZfsvISIVuD67pGjBKtlupFL54Pvtg/Jkz9DoTX5Slrjywk0ZMjb0w6JaIBGG6e0w&#10;NRC1AwPB9DneixvhHLjMz7+AU2JrFoY5gYyQ3FitZRQ+S4Ng7SfTknhwYNlguWhKRouWEiWwi0nK&#10;npFJdYknqlMmBRF50o8spY7NnUlSnLYTQJO4te0BXcTug93B+l+Ij8lH4T93zCMbZjjUDQUjs/gQ&#10;51XZOS/7Abdy64sEhnnM9B53Jw38+Rny+f9i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MQsm5&#10;2AAAAAgBAAAPAAAAAAAAAAEAIAAAACIAAABkcnMvZG93bnJldi54bWxQSwECFAAUAAAACACHTuJA&#10;SWlzhCECAAB3BAAADgAAAAAAAAABACAAAAAnAQAAZHJzL2Uyb0RvYy54bWxQSwUGAAAAAAYABgBZ&#10;AQAAugUAAAAA&#10;">
            <v:path/>
            <v:fill focussize="0,0"/>
            <v:stroke joinstyle="miter"/>
            <v:imagedata o:title=""/>
            <o:lock v:ext="edit"/>
            <v:textbox>
              <w:txbxContent>
                <w:p w14:paraId="5ADA1FA6">
                  <w:pPr>
                    <w:rPr>
                      <w:rFonts w:eastAsia="新宋体"/>
                    </w:rPr>
                  </w:pPr>
                  <w:r>
                    <w:rPr>
                      <w:rFonts w:hint="eastAsia" w:ascii="新宋体" w:hAnsi="新宋体" w:eastAsia="新宋体"/>
                      <w:sz w:val="22"/>
                      <w:szCs w:val="22"/>
                    </w:rPr>
                    <w:t xml:space="preserve">  授权代表身份证（正反面）：</w:t>
                  </w:r>
                </w:p>
              </w:txbxContent>
            </v:textbox>
          </v:shape>
        </w:pict>
      </w:r>
    </w:p>
    <w:p w14:paraId="5C53E9C7">
      <w:pPr>
        <w:spacing w:line="460" w:lineRule="exact"/>
        <w:jc w:val="center"/>
        <w:rPr>
          <w:rFonts w:hint="eastAsia" w:ascii="宋体" w:hAnsi="宋体" w:eastAsia="宋体" w:cs="宋体"/>
          <w:b/>
          <w:bCs/>
          <w:color w:val="auto"/>
          <w:sz w:val="28"/>
          <w:szCs w:val="28"/>
          <w:highlight w:val="none"/>
        </w:rPr>
      </w:pPr>
    </w:p>
    <w:p w14:paraId="01F428B0">
      <w:pPr>
        <w:spacing w:line="460" w:lineRule="exact"/>
        <w:jc w:val="center"/>
        <w:rPr>
          <w:rFonts w:hint="eastAsia" w:ascii="宋体" w:hAnsi="宋体" w:eastAsia="宋体" w:cs="宋体"/>
          <w:b/>
          <w:bCs/>
          <w:color w:val="auto"/>
          <w:sz w:val="28"/>
          <w:szCs w:val="28"/>
          <w:highlight w:val="none"/>
        </w:rPr>
      </w:pPr>
    </w:p>
    <w:p w14:paraId="45EB49D3">
      <w:pPr>
        <w:spacing w:line="460" w:lineRule="exact"/>
        <w:jc w:val="center"/>
        <w:rPr>
          <w:rFonts w:hint="eastAsia" w:ascii="宋体" w:hAnsi="宋体" w:eastAsia="宋体" w:cs="宋体"/>
          <w:b/>
          <w:bCs/>
          <w:color w:val="auto"/>
          <w:sz w:val="28"/>
          <w:szCs w:val="28"/>
          <w:highlight w:val="none"/>
        </w:rPr>
      </w:pPr>
    </w:p>
    <w:p w14:paraId="621545B0">
      <w:pPr>
        <w:spacing w:line="460" w:lineRule="exact"/>
        <w:jc w:val="center"/>
        <w:rPr>
          <w:rFonts w:hint="eastAsia" w:ascii="宋体" w:hAnsi="宋体" w:eastAsia="宋体" w:cs="宋体"/>
          <w:b/>
          <w:bCs/>
          <w:color w:val="auto"/>
          <w:sz w:val="28"/>
          <w:szCs w:val="28"/>
          <w:highlight w:val="none"/>
        </w:rPr>
      </w:pPr>
    </w:p>
    <w:p w14:paraId="21B2F288">
      <w:pPr>
        <w:spacing w:line="460" w:lineRule="exact"/>
        <w:jc w:val="center"/>
        <w:rPr>
          <w:rFonts w:hint="eastAsia" w:ascii="宋体" w:hAnsi="宋体" w:eastAsia="宋体" w:cs="宋体"/>
          <w:b/>
          <w:bCs/>
          <w:color w:val="auto"/>
          <w:sz w:val="28"/>
          <w:szCs w:val="28"/>
          <w:highlight w:val="none"/>
        </w:rPr>
      </w:pPr>
    </w:p>
    <w:p w14:paraId="35957E10">
      <w:pPr>
        <w:spacing w:line="460" w:lineRule="exact"/>
        <w:jc w:val="center"/>
        <w:rPr>
          <w:rFonts w:hint="eastAsia" w:ascii="宋体" w:hAnsi="宋体" w:eastAsia="宋体" w:cs="宋体"/>
          <w:b/>
          <w:bCs/>
          <w:color w:val="auto"/>
          <w:sz w:val="28"/>
          <w:szCs w:val="28"/>
          <w:highlight w:val="none"/>
        </w:rPr>
      </w:pPr>
    </w:p>
    <w:p w14:paraId="48A84994">
      <w:pPr>
        <w:spacing w:line="460" w:lineRule="exact"/>
        <w:jc w:val="center"/>
        <w:rPr>
          <w:rFonts w:hint="eastAsia" w:ascii="宋体" w:hAnsi="宋体" w:eastAsia="宋体" w:cs="宋体"/>
          <w:b/>
          <w:bCs/>
          <w:color w:val="auto"/>
          <w:sz w:val="28"/>
          <w:szCs w:val="28"/>
          <w:highlight w:val="none"/>
        </w:rPr>
      </w:pPr>
    </w:p>
    <w:p w14:paraId="7FE34A4E">
      <w:pPr>
        <w:spacing w:line="460" w:lineRule="exact"/>
        <w:jc w:val="center"/>
        <w:rPr>
          <w:rFonts w:hint="eastAsia" w:ascii="宋体" w:hAnsi="宋体" w:eastAsia="宋体" w:cs="宋体"/>
          <w:b/>
          <w:bCs/>
          <w:color w:val="auto"/>
          <w:sz w:val="28"/>
          <w:szCs w:val="28"/>
          <w:highlight w:val="none"/>
        </w:rPr>
      </w:pPr>
    </w:p>
    <w:p w14:paraId="2DA2E5F3">
      <w:pPr>
        <w:spacing w:line="460" w:lineRule="exact"/>
        <w:jc w:val="center"/>
        <w:rPr>
          <w:rFonts w:hint="eastAsia" w:ascii="宋体" w:hAnsi="宋体" w:eastAsia="宋体" w:cs="宋体"/>
          <w:b/>
          <w:bCs/>
          <w:color w:val="auto"/>
          <w:sz w:val="28"/>
          <w:szCs w:val="28"/>
          <w:highlight w:val="none"/>
        </w:rPr>
      </w:pPr>
    </w:p>
    <w:p w14:paraId="0450FE92">
      <w:pPr>
        <w:spacing w:line="460" w:lineRule="exact"/>
        <w:jc w:val="center"/>
        <w:rPr>
          <w:rFonts w:hint="eastAsia" w:ascii="宋体" w:hAnsi="宋体" w:eastAsia="宋体" w:cs="宋体"/>
          <w:b/>
          <w:bCs/>
          <w:color w:val="auto"/>
          <w:sz w:val="28"/>
          <w:szCs w:val="28"/>
          <w:highlight w:val="none"/>
        </w:rPr>
      </w:pPr>
    </w:p>
    <w:p w14:paraId="3A58F180">
      <w:pPr>
        <w:spacing w:line="460" w:lineRule="exact"/>
        <w:jc w:val="center"/>
        <w:rPr>
          <w:rFonts w:hint="eastAsia" w:ascii="宋体" w:hAnsi="宋体" w:eastAsia="宋体" w:cs="宋体"/>
          <w:b/>
          <w:bCs/>
          <w:color w:val="auto"/>
          <w:sz w:val="28"/>
          <w:szCs w:val="28"/>
          <w:highlight w:val="none"/>
        </w:rPr>
      </w:pPr>
    </w:p>
    <w:p w14:paraId="74F2F837">
      <w:pPr>
        <w:spacing w:line="460" w:lineRule="exact"/>
        <w:jc w:val="center"/>
        <w:rPr>
          <w:rFonts w:hint="eastAsia" w:ascii="宋体" w:hAnsi="宋体" w:eastAsia="宋体" w:cs="宋体"/>
          <w:b/>
          <w:bCs/>
          <w:color w:val="auto"/>
          <w:sz w:val="28"/>
          <w:szCs w:val="28"/>
          <w:highlight w:val="none"/>
        </w:rPr>
      </w:pPr>
    </w:p>
    <w:p w14:paraId="7E97E2EF">
      <w:pPr>
        <w:spacing w:line="460" w:lineRule="exact"/>
        <w:jc w:val="center"/>
        <w:rPr>
          <w:rFonts w:hint="eastAsia" w:ascii="宋体" w:hAnsi="宋体" w:eastAsia="宋体" w:cs="宋体"/>
          <w:b/>
          <w:bCs/>
          <w:color w:val="auto"/>
          <w:sz w:val="28"/>
          <w:szCs w:val="28"/>
          <w:highlight w:val="none"/>
        </w:rPr>
      </w:pPr>
    </w:p>
    <w:p w14:paraId="70863025">
      <w:pPr>
        <w:spacing w:line="460" w:lineRule="exact"/>
        <w:jc w:val="center"/>
        <w:rPr>
          <w:rFonts w:hint="eastAsia" w:ascii="宋体" w:hAnsi="宋体" w:eastAsia="宋体" w:cs="宋体"/>
          <w:b/>
          <w:bCs/>
          <w:color w:val="auto"/>
          <w:sz w:val="28"/>
          <w:szCs w:val="28"/>
          <w:highlight w:val="none"/>
        </w:rPr>
      </w:pPr>
    </w:p>
    <w:p w14:paraId="4FD4159A">
      <w:pPr>
        <w:spacing w:line="460" w:lineRule="exact"/>
        <w:jc w:val="center"/>
        <w:rPr>
          <w:rFonts w:hint="eastAsia" w:ascii="宋体" w:hAnsi="宋体" w:eastAsia="宋体" w:cs="宋体"/>
          <w:b/>
          <w:bCs/>
          <w:color w:val="auto"/>
          <w:sz w:val="28"/>
          <w:szCs w:val="28"/>
          <w:highlight w:val="none"/>
        </w:rPr>
      </w:pPr>
    </w:p>
    <w:p w14:paraId="7FC3CA01">
      <w:pPr>
        <w:pStyle w:val="22"/>
        <w:rPr>
          <w:rFonts w:hint="eastAsia" w:ascii="宋体" w:hAnsi="宋体" w:eastAsia="宋体" w:cs="宋体"/>
          <w:color w:val="auto"/>
          <w:highlight w:val="none"/>
        </w:rPr>
      </w:pPr>
    </w:p>
    <w:p w14:paraId="1E9FD759">
      <w:pPr>
        <w:spacing w:line="460" w:lineRule="exact"/>
        <w:jc w:val="center"/>
        <w:outlineLvl w:val="3"/>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（2）资格条件承诺函</w:t>
      </w:r>
    </w:p>
    <w:p w14:paraId="286EA085">
      <w:pPr>
        <w:widowControl/>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温州市龙湾区消防救援大队、</w:t>
      </w:r>
      <w:r>
        <w:rPr>
          <w:rFonts w:hint="eastAsia" w:ascii="宋体" w:hAnsi="宋体" w:cs="宋体"/>
          <w:color w:val="auto"/>
          <w:kern w:val="0"/>
          <w:sz w:val="22"/>
          <w:szCs w:val="22"/>
          <w:highlight w:val="none"/>
          <w:lang w:eastAsia="zh-CN"/>
        </w:rPr>
        <w:t>温州星阳工程项目管理有限公司</w:t>
      </w:r>
      <w:r>
        <w:rPr>
          <w:rFonts w:hint="eastAsia" w:ascii="宋体" w:hAnsi="宋体" w:eastAsia="宋体" w:cs="宋体"/>
          <w:color w:val="auto"/>
          <w:kern w:val="0"/>
          <w:sz w:val="22"/>
          <w:szCs w:val="22"/>
          <w:highlight w:val="none"/>
        </w:rPr>
        <w:t>：</w:t>
      </w:r>
    </w:p>
    <w:p w14:paraId="31F522EC">
      <w:pPr>
        <w:widowControl/>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（项目名称、编号）投标，现郑重承诺，</w:t>
      </w:r>
      <w:r>
        <w:rPr>
          <w:rFonts w:hint="eastAsia" w:ascii="宋体" w:hAnsi="宋体" w:eastAsia="宋体" w:cs="宋体"/>
          <w:color w:val="auto"/>
          <w:kern w:val="0"/>
          <w:sz w:val="22"/>
          <w:szCs w:val="22"/>
          <w:highlight w:val="none"/>
        </w:rPr>
        <w:t>参加本次采购活动前3年内</w:t>
      </w:r>
      <w:r>
        <w:rPr>
          <w:rFonts w:hint="eastAsia" w:ascii="宋体" w:hAnsi="宋体" w:eastAsia="宋体" w:cs="宋体"/>
          <w:color w:val="auto"/>
          <w:sz w:val="22"/>
          <w:szCs w:val="22"/>
          <w:highlight w:val="none"/>
        </w:rPr>
        <w:t>：</w:t>
      </w:r>
    </w:p>
    <w:p w14:paraId="0ED0571A">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1、我方符合《中华人民共和国政府采购法》第22条规定的资格条件，即</w:t>
      </w:r>
    </w:p>
    <w:p w14:paraId="11760A25">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14:paraId="495453DD">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14:paraId="38870421">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14:paraId="7FFE81A6">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14:paraId="586FB699">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100F4FF">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w:t>
      </w:r>
      <w:r>
        <w:rPr>
          <w:rFonts w:hint="eastAsia"/>
          <w:highlight w:val="none"/>
          <w:lang w:val="en-US" w:eastAsia="zh-CN"/>
        </w:rPr>
        <w:t>重大税收违法失信主体</w:t>
      </w:r>
      <w:r>
        <w:rPr>
          <w:rFonts w:hint="eastAsia" w:ascii="宋体" w:hAnsi="宋体" w:eastAsia="宋体" w:cs="宋体"/>
          <w:color w:val="auto"/>
          <w:kern w:val="0"/>
          <w:sz w:val="22"/>
          <w:szCs w:val="22"/>
          <w:highlight w:val="none"/>
        </w:rPr>
        <w:t>、政府采购严重违法失信行为记录名单。</w:t>
      </w:r>
    </w:p>
    <w:p w14:paraId="30E82B53">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3、我方与参加本次项目同一合同项下政府采购活动的其他</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不存在单位负责人为同一人或者直接控股、管理关系。</w:t>
      </w:r>
    </w:p>
    <w:p w14:paraId="08FD1165">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4、我方不属于公益一类事业单位。</w:t>
      </w:r>
    </w:p>
    <w:p w14:paraId="7E238D09">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1869DE8F">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以上承诺如有虚假，愿接受取消我方任何资格（投标/成交/签订合同）及其他任何形式的处理。</w:t>
      </w:r>
    </w:p>
    <w:p w14:paraId="354604B5">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58AD0F81">
      <w:pPr>
        <w:snapToGrid w:val="0"/>
        <w:spacing w:line="460" w:lineRule="exact"/>
        <w:ind w:firstLine="5060" w:firstLineChars="2300"/>
        <w:rPr>
          <w:rFonts w:hint="eastAsia" w:ascii="宋体" w:hAnsi="宋体" w:eastAsia="宋体" w:cs="宋体"/>
          <w:color w:val="auto"/>
          <w:kern w:val="0"/>
          <w:sz w:val="22"/>
          <w:szCs w:val="22"/>
          <w:highlight w:val="none"/>
          <w:lang w:val="zh-CN"/>
        </w:rPr>
      </w:pPr>
    </w:p>
    <w:p w14:paraId="54884C3F">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 ：</w:t>
      </w:r>
    </w:p>
    <w:p w14:paraId="09343B5B">
      <w:pPr>
        <w:widowControl/>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14:paraId="7D924CD1">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14:paraId="288F0409">
      <w:pPr>
        <w:widowControl/>
        <w:spacing w:line="460" w:lineRule="exact"/>
        <w:ind w:firstLine="440" w:firstLineChars="200"/>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54A8A9D">
      <w:pPr>
        <w:widowControl/>
        <w:spacing w:line="460" w:lineRule="exact"/>
        <w:ind w:firstLine="440" w:firstLineChars="200"/>
        <w:rPr>
          <w:rFonts w:hint="eastAsia" w:ascii="宋体" w:hAnsi="宋体" w:eastAsia="宋体" w:cs="宋体"/>
          <w:color w:val="auto"/>
          <w:kern w:val="0"/>
          <w:sz w:val="22"/>
          <w:szCs w:val="22"/>
          <w:highlight w:val="none"/>
        </w:rPr>
        <w:sectPr>
          <w:headerReference r:id="rId10" w:type="default"/>
          <w:footerReference r:id="rId11" w:type="default"/>
          <w:pgSz w:w="11907" w:h="16840"/>
          <w:pgMar w:top="1134" w:right="1134" w:bottom="1134" w:left="1134" w:header="851" w:footer="992" w:gutter="0"/>
          <w:cols w:space="720" w:num="1"/>
          <w:docGrid w:linePitch="312" w:charSpace="0"/>
        </w:sectPr>
      </w:pPr>
    </w:p>
    <w:p w14:paraId="19022A9E">
      <w:pPr>
        <w:spacing w:line="460" w:lineRule="exact"/>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（3）企业法人有效营业执照（复印件盖单位公章）</w:t>
      </w:r>
    </w:p>
    <w:p w14:paraId="2B970B91">
      <w:pPr>
        <w:spacing w:line="460" w:lineRule="exact"/>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（4）投标人需具有相关经营范围（以营业执照为准），并具有有效的食品经营许可证或食品生产许可证；</w:t>
      </w:r>
    </w:p>
    <w:p w14:paraId="0A4CD1A0">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0B7CAA88">
      <w:pPr>
        <w:pStyle w:val="47"/>
        <w:tabs>
          <w:tab w:val="left" w:pos="630"/>
          <w:tab w:val="left" w:pos="840"/>
          <w:tab w:val="left" w:pos="1050"/>
        </w:tabs>
        <w:adjustRightInd w:val="0"/>
        <w:snapToGrid w:val="0"/>
        <w:spacing w:beforeAutospacing="0" w:afterAutospacing="0" w:line="360" w:lineRule="auto"/>
        <w:jc w:val="center"/>
        <w:outlineLvl w:val="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（5）投标人信用查询</w:t>
      </w:r>
    </w:p>
    <w:p w14:paraId="0439E7EA">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14:paraId="6ABBCFB4">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14:paraId="0D97922D">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14:paraId="4B8FF74C">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4、信用信息的使用规则：对列入失信被执行人、</w:t>
      </w:r>
      <w:r>
        <w:rPr>
          <w:rFonts w:hint="eastAsia"/>
          <w:highlight w:val="none"/>
          <w:lang w:val="en-US" w:eastAsia="zh-CN"/>
        </w:rPr>
        <w:t>重大税收违法失信主体</w:t>
      </w:r>
      <w:r>
        <w:rPr>
          <w:rFonts w:hint="eastAsia" w:ascii="宋体" w:hAnsi="宋体" w:eastAsia="宋体" w:cs="宋体"/>
          <w:color w:val="auto"/>
          <w:sz w:val="22"/>
          <w:highlight w:val="none"/>
        </w:rPr>
        <w:t>、政府采购严重违法失信行为记录名单的投标人，其投标将作无效标处理。</w:t>
      </w:r>
    </w:p>
    <w:p w14:paraId="5FA6C6A6">
      <w:pPr>
        <w:spacing w:line="460" w:lineRule="exact"/>
        <w:rPr>
          <w:rFonts w:hint="eastAsia" w:ascii="宋体" w:hAnsi="宋体" w:eastAsia="宋体" w:cs="宋体"/>
          <w:color w:val="auto"/>
          <w:highlight w:val="none"/>
        </w:rPr>
      </w:pPr>
    </w:p>
    <w:p w14:paraId="65539113">
      <w:pPr>
        <w:rPr>
          <w:rFonts w:hint="eastAsia" w:ascii="宋体" w:hAnsi="宋体" w:eastAsia="宋体" w:cs="宋体"/>
          <w:color w:val="auto"/>
          <w:highlight w:val="none"/>
        </w:rPr>
      </w:pPr>
      <w:r>
        <w:rPr>
          <w:rFonts w:hint="eastAsia" w:ascii="宋体" w:hAnsi="宋体" w:eastAsia="宋体" w:cs="宋体"/>
          <w:b/>
          <w:color w:val="auto"/>
          <w:sz w:val="22"/>
          <w:szCs w:val="22"/>
          <w:highlight w:val="none"/>
        </w:rPr>
        <w:br w:type="page"/>
      </w:r>
    </w:p>
    <w:p w14:paraId="0DDDFF57">
      <w:pPr>
        <w:spacing w:line="460" w:lineRule="exact"/>
        <w:outlineLvl w:val="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（6）中小企业的相关证明材料</w:t>
      </w:r>
    </w:p>
    <w:p w14:paraId="649CBF4A">
      <w:pPr>
        <w:spacing w:line="460" w:lineRule="exact"/>
        <w:jc w:val="center"/>
        <w:rPr>
          <w:rFonts w:hint="eastAsia" w:ascii="宋体" w:hAnsi="宋体" w:eastAsia="宋体" w:cs="宋体"/>
          <w:b/>
          <w:bCs/>
          <w:color w:val="auto"/>
          <w:sz w:val="22"/>
          <w:szCs w:val="22"/>
          <w:highlight w:val="none"/>
        </w:rPr>
      </w:pPr>
    </w:p>
    <w:p w14:paraId="59D51A0A">
      <w:pPr>
        <w:spacing w:line="46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rPr>
        <w:t>《中小企业声明函（服务）》</w:t>
      </w:r>
    </w:p>
    <w:p w14:paraId="066D747D">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7D8889E2">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采购活动，服务全部由符合政策要求的中小企业承接。相关企业的具体情况如下： </w:t>
      </w:r>
    </w:p>
    <w:p w14:paraId="76AF47AB">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行业；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14:paraId="159051C9">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行业；承建（承接）企业为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14:paraId="03EABF5A">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14:paraId="46A9F134">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71B7BFCA">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 xml:space="preserve">           企业名称（盖章）：</w:t>
      </w:r>
    </w:p>
    <w:p w14:paraId="51DB728B">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 xml:space="preserve">  日 期：</w:t>
      </w:r>
    </w:p>
    <w:p w14:paraId="724B9C26">
      <w:pPr>
        <w:spacing w:line="460" w:lineRule="exact"/>
        <w:ind w:firstLine="433" w:firstLineChars="196"/>
        <w:rPr>
          <w:rFonts w:hint="eastAsia" w:ascii="宋体" w:hAnsi="宋体" w:eastAsia="宋体" w:cs="宋体"/>
          <w:b/>
          <w:color w:val="auto"/>
          <w:sz w:val="22"/>
          <w:szCs w:val="22"/>
          <w:highlight w:val="none"/>
        </w:rPr>
      </w:pPr>
    </w:p>
    <w:p w14:paraId="791FD4EA">
      <w:pPr>
        <w:spacing w:line="460" w:lineRule="exact"/>
        <w:ind w:firstLine="541" w:firstLineChars="245"/>
        <w:rPr>
          <w:rFonts w:hint="eastAsia" w:ascii="宋体" w:hAnsi="宋体" w:eastAsia="宋体" w:cs="宋体"/>
          <w:b/>
          <w:color w:val="auto"/>
          <w:sz w:val="22"/>
          <w:szCs w:val="22"/>
          <w:highlight w:val="none"/>
        </w:rPr>
      </w:pPr>
    </w:p>
    <w:p w14:paraId="57289330">
      <w:pPr>
        <w:spacing w:line="460" w:lineRule="exact"/>
        <w:ind w:left="580" w:leftChars="71" w:hanging="431" w:hangingChars="195"/>
        <w:rPr>
          <w:rFonts w:hint="eastAsia" w:ascii="宋体" w:hAnsi="宋体" w:eastAsia="宋体" w:cs="宋体"/>
          <w:b/>
          <w:bCs/>
          <w:color w:val="auto"/>
          <w:sz w:val="22"/>
          <w:szCs w:val="22"/>
          <w:highlight w:val="none"/>
        </w:rPr>
      </w:pPr>
    </w:p>
    <w:p w14:paraId="452F7275">
      <w:pPr>
        <w:spacing w:line="460" w:lineRule="exact"/>
        <w:rPr>
          <w:rFonts w:hint="eastAsia" w:ascii="宋体" w:hAnsi="宋体" w:eastAsia="宋体" w:cs="宋体"/>
          <w:b/>
          <w:bCs/>
          <w:color w:val="auto"/>
          <w:sz w:val="22"/>
          <w:szCs w:val="22"/>
          <w:highlight w:val="none"/>
        </w:rPr>
      </w:pPr>
    </w:p>
    <w:p w14:paraId="71DF191C">
      <w:pPr>
        <w:spacing w:line="460" w:lineRule="exact"/>
        <w:rPr>
          <w:rFonts w:hint="eastAsia" w:ascii="宋体" w:hAnsi="宋体" w:eastAsia="宋体" w:cs="宋体"/>
          <w:b/>
          <w:bCs/>
          <w:color w:val="auto"/>
          <w:sz w:val="22"/>
          <w:szCs w:val="22"/>
          <w:highlight w:val="none"/>
        </w:rPr>
      </w:pPr>
    </w:p>
    <w:p w14:paraId="38D86890">
      <w:pPr>
        <w:spacing w:line="460" w:lineRule="exact"/>
        <w:rPr>
          <w:rFonts w:hint="eastAsia" w:ascii="宋体" w:hAnsi="宋体" w:eastAsia="宋体" w:cs="宋体"/>
          <w:b/>
          <w:bCs/>
          <w:color w:val="auto"/>
          <w:sz w:val="22"/>
          <w:szCs w:val="22"/>
          <w:highlight w:val="none"/>
        </w:rPr>
      </w:pPr>
    </w:p>
    <w:p w14:paraId="6D4F643D">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14:paraId="364527E8">
      <w:pPr>
        <w:spacing w:line="460" w:lineRule="exact"/>
        <w:outlineLvl w:val="3"/>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（7）监狱企业的相关证明材料</w:t>
      </w:r>
    </w:p>
    <w:p w14:paraId="6A75F75C">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14:paraId="4E79A519">
      <w:pPr>
        <w:adjustRightInd w:val="0"/>
        <w:snapToGrid w:val="0"/>
        <w:spacing w:line="460" w:lineRule="exact"/>
        <w:jc w:val="center"/>
        <w:rPr>
          <w:rFonts w:hint="eastAsia" w:ascii="宋体" w:hAnsi="宋体" w:eastAsia="宋体" w:cs="宋体"/>
          <w:b/>
          <w:color w:val="auto"/>
          <w:spacing w:val="6"/>
          <w:sz w:val="22"/>
          <w:szCs w:val="22"/>
          <w:highlight w:val="none"/>
        </w:rPr>
      </w:pPr>
    </w:p>
    <w:p w14:paraId="0F4BA6B1">
      <w:pPr>
        <w:adjustRightInd w:val="0"/>
        <w:snapToGrid w:val="0"/>
        <w:spacing w:line="460" w:lineRule="exact"/>
        <w:jc w:val="center"/>
        <w:rPr>
          <w:rFonts w:hint="eastAsia" w:ascii="宋体" w:hAnsi="宋体" w:eastAsia="宋体" w:cs="宋体"/>
          <w:b/>
          <w:color w:val="auto"/>
          <w:spacing w:val="6"/>
          <w:sz w:val="22"/>
          <w:szCs w:val="22"/>
          <w:highlight w:val="none"/>
        </w:rPr>
      </w:pPr>
    </w:p>
    <w:p w14:paraId="0F586976">
      <w:pPr>
        <w:adjustRightInd w:val="0"/>
        <w:snapToGrid w:val="0"/>
        <w:spacing w:line="460" w:lineRule="exact"/>
        <w:jc w:val="center"/>
        <w:rPr>
          <w:rFonts w:hint="eastAsia" w:ascii="宋体" w:hAnsi="宋体" w:eastAsia="宋体" w:cs="宋体"/>
          <w:b/>
          <w:color w:val="auto"/>
          <w:spacing w:val="6"/>
          <w:sz w:val="22"/>
          <w:szCs w:val="22"/>
          <w:highlight w:val="none"/>
        </w:rPr>
      </w:pPr>
    </w:p>
    <w:p w14:paraId="02F62E1A">
      <w:pPr>
        <w:adjustRightInd w:val="0"/>
        <w:snapToGrid w:val="0"/>
        <w:spacing w:line="460" w:lineRule="exact"/>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14:paraId="7A2FB939">
      <w:pPr>
        <w:snapToGrid w:val="0"/>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14:paraId="38D33AB8">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14:paraId="5716F29A">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w:t>
      </w:r>
    </w:p>
    <w:p w14:paraId="7220841D">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14:paraId="2B515E45">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14:paraId="61DD1F5A">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14:paraId="3878A874">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14:paraId="2F345CC5">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29B07B99">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0AE552">
      <w:pPr>
        <w:spacing w:line="460" w:lineRule="exact"/>
        <w:jc w:val="center"/>
        <w:rPr>
          <w:rFonts w:hint="eastAsia" w:ascii="宋体" w:hAnsi="宋体" w:eastAsia="宋体" w:cs="宋体"/>
          <w:color w:val="auto"/>
          <w:spacing w:val="20"/>
          <w:sz w:val="22"/>
          <w:szCs w:val="22"/>
          <w:highlight w:val="none"/>
        </w:rPr>
      </w:pPr>
    </w:p>
    <w:p w14:paraId="1FF79EEC">
      <w:pPr>
        <w:spacing w:line="460" w:lineRule="exact"/>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r>
        <w:rPr>
          <w:rFonts w:hint="eastAsia" w:ascii="宋体" w:hAnsi="宋体" w:eastAsia="宋体" w:cs="宋体"/>
          <w:b/>
          <w:color w:val="auto"/>
          <w:sz w:val="36"/>
          <w:szCs w:val="36"/>
          <w:highlight w:val="none"/>
        </w:rPr>
        <w:t>（8）残疾人福利性单位的相关证明材料</w:t>
      </w:r>
    </w:p>
    <w:p w14:paraId="6A38A51F">
      <w:pPr>
        <w:spacing w:line="460" w:lineRule="exact"/>
        <w:ind w:firstLine="466" w:firstLineChars="2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14:paraId="35D63C53">
      <w:pPr>
        <w:spacing w:line="460" w:lineRule="exact"/>
        <w:rPr>
          <w:rFonts w:hint="eastAsia" w:ascii="宋体" w:hAnsi="宋体" w:eastAsia="宋体" w:cs="宋体"/>
          <w:color w:val="auto"/>
          <w:spacing w:val="20"/>
          <w:sz w:val="22"/>
          <w:szCs w:val="22"/>
          <w:highlight w:val="none"/>
        </w:rPr>
      </w:pPr>
    </w:p>
    <w:p w14:paraId="47D49A84">
      <w:pPr>
        <w:spacing w:line="460" w:lineRule="exact"/>
        <w:rPr>
          <w:rFonts w:hint="eastAsia" w:ascii="宋体" w:hAnsi="宋体" w:eastAsia="宋体" w:cs="宋体"/>
          <w:color w:val="auto"/>
          <w:spacing w:val="20"/>
          <w:sz w:val="22"/>
          <w:szCs w:val="22"/>
          <w:highlight w:val="none"/>
        </w:rPr>
      </w:pPr>
    </w:p>
    <w:p w14:paraId="4497BB64">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w:t>
      </w:r>
      <w:r>
        <w:rPr>
          <w:rFonts w:hint="eastAsia" w:ascii="宋体" w:hAnsi="宋体" w:cs="宋体"/>
          <w:b/>
          <w:color w:val="auto"/>
          <w:spacing w:val="6"/>
          <w:sz w:val="22"/>
          <w:szCs w:val="22"/>
          <w:highlight w:val="none"/>
          <w:lang w:val="en-US" w:eastAsia="zh-CN"/>
        </w:rPr>
        <w:t>证明文件</w:t>
      </w:r>
    </w:p>
    <w:p w14:paraId="74138A7B">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14:paraId="54D4E570">
      <w:pPr>
        <w:snapToGrid w:val="0"/>
        <w:spacing w:line="460" w:lineRule="exact"/>
        <w:jc w:val="center"/>
        <w:rPr>
          <w:rFonts w:hint="eastAsia" w:ascii="宋体" w:hAnsi="宋体" w:eastAsia="宋体" w:cs="宋体"/>
          <w:b/>
          <w:bCs/>
          <w:color w:val="auto"/>
          <w:sz w:val="22"/>
          <w:szCs w:val="22"/>
          <w:highlight w:val="none"/>
        </w:rPr>
      </w:pPr>
    </w:p>
    <w:p w14:paraId="4024875E">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w:t>
      </w:r>
      <w:r>
        <w:rPr>
          <w:rFonts w:hint="eastAsia" w:ascii="宋体" w:hAnsi="宋体" w:cs="宋体"/>
          <w:color w:val="auto"/>
          <w:spacing w:val="6"/>
          <w:sz w:val="22"/>
          <w:szCs w:val="22"/>
          <w:highlight w:val="none"/>
          <w:u w:val="single"/>
          <w:lang w:eastAsia="zh-CN"/>
        </w:rPr>
        <w:t>采购人</w:t>
      </w:r>
      <w:r>
        <w:rPr>
          <w:rFonts w:hint="eastAsia" w:ascii="宋体" w:hAnsi="宋体" w:eastAsia="宋体" w:cs="宋体"/>
          <w:color w:val="auto"/>
          <w:spacing w:val="6"/>
          <w:sz w:val="22"/>
          <w:szCs w:val="22"/>
          <w:highlight w:val="none"/>
          <w:u w:val="single"/>
        </w:rPr>
        <w:t>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5727B99B">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62012F51">
      <w:pPr>
        <w:snapToGrid w:val="0"/>
        <w:spacing w:line="460" w:lineRule="exact"/>
        <w:ind w:firstLine="464" w:firstLineChars="200"/>
        <w:rPr>
          <w:rFonts w:hint="eastAsia" w:ascii="宋体" w:hAnsi="宋体" w:eastAsia="宋体" w:cs="宋体"/>
          <w:color w:val="auto"/>
          <w:spacing w:val="6"/>
          <w:sz w:val="22"/>
          <w:szCs w:val="22"/>
          <w:highlight w:val="none"/>
        </w:rPr>
      </w:pPr>
    </w:p>
    <w:p w14:paraId="7F630E00">
      <w:pPr>
        <w:snapToGrid w:val="0"/>
        <w:spacing w:line="460" w:lineRule="exact"/>
        <w:ind w:firstLine="464" w:firstLineChars="200"/>
        <w:rPr>
          <w:rFonts w:hint="eastAsia" w:ascii="宋体" w:hAnsi="宋体" w:eastAsia="宋体" w:cs="宋体"/>
          <w:color w:val="auto"/>
          <w:spacing w:val="6"/>
          <w:sz w:val="22"/>
          <w:szCs w:val="22"/>
          <w:highlight w:val="none"/>
        </w:rPr>
      </w:pPr>
    </w:p>
    <w:p w14:paraId="6DCA5EFE">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14:paraId="7FC0C06B">
      <w:pPr>
        <w:pStyle w:val="23"/>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428200FE">
      <w:pPr>
        <w:spacing w:line="460" w:lineRule="exact"/>
        <w:rPr>
          <w:rFonts w:hint="eastAsia" w:ascii="宋体" w:hAnsi="宋体" w:eastAsia="宋体" w:cs="宋体"/>
          <w:b/>
          <w:bCs/>
          <w:color w:val="auto"/>
          <w:sz w:val="22"/>
          <w:szCs w:val="22"/>
          <w:highlight w:val="none"/>
        </w:rPr>
      </w:pPr>
    </w:p>
    <w:p w14:paraId="194C0DD4">
      <w:pPr>
        <w:spacing w:line="460" w:lineRule="exact"/>
        <w:rPr>
          <w:rFonts w:hint="eastAsia" w:ascii="宋体" w:hAnsi="宋体" w:eastAsia="宋体" w:cs="宋体"/>
          <w:b/>
          <w:bCs/>
          <w:color w:val="auto"/>
          <w:sz w:val="22"/>
          <w:szCs w:val="22"/>
          <w:highlight w:val="none"/>
        </w:rPr>
      </w:pPr>
    </w:p>
    <w:p w14:paraId="7CB44089">
      <w:pPr>
        <w:spacing w:line="460" w:lineRule="exact"/>
        <w:rPr>
          <w:rFonts w:hint="eastAsia" w:ascii="宋体" w:hAnsi="宋体" w:eastAsia="宋体" w:cs="宋体"/>
          <w:b/>
          <w:bCs/>
          <w:color w:val="auto"/>
          <w:sz w:val="22"/>
          <w:szCs w:val="22"/>
          <w:highlight w:val="none"/>
        </w:rPr>
      </w:pPr>
    </w:p>
    <w:p w14:paraId="109EC697">
      <w:pPr>
        <w:spacing w:line="460" w:lineRule="exact"/>
        <w:rPr>
          <w:rFonts w:hint="eastAsia" w:ascii="宋体" w:hAnsi="宋体" w:eastAsia="宋体" w:cs="宋体"/>
          <w:b/>
          <w:bCs/>
          <w:color w:val="auto"/>
          <w:sz w:val="22"/>
          <w:szCs w:val="22"/>
          <w:highlight w:val="none"/>
        </w:rPr>
      </w:pPr>
    </w:p>
    <w:p w14:paraId="6C8BCF98">
      <w:pPr>
        <w:spacing w:line="460" w:lineRule="exact"/>
        <w:rPr>
          <w:rFonts w:hint="eastAsia" w:ascii="宋体" w:hAnsi="宋体" w:eastAsia="宋体" w:cs="宋体"/>
          <w:b/>
          <w:bCs/>
          <w:color w:val="auto"/>
          <w:sz w:val="22"/>
          <w:szCs w:val="22"/>
          <w:highlight w:val="none"/>
        </w:rPr>
      </w:pPr>
    </w:p>
    <w:p w14:paraId="45CC6204">
      <w:pPr>
        <w:spacing w:line="460" w:lineRule="exact"/>
        <w:rPr>
          <w:rFonts w:hint="eastAsia" w:ascii="宋体" w:hAnsi="宋体" w:eastAsia="宋体" w:cs="宋体"/>
          <w:b/>
          <w:bCs/>
          <w:color w:val="auto"/>
          <w:sz w:val="22"/>
          <w:szCs w:val="22"/>
          <w:highlight w:val="none"/>
        </w:rPr>
      </w:pPr>
    </w:p>
    <w:p w14:paraId="17A6FDF1">
      <w:pPr>
        <w:spacing w:line="460" w:lineRule="exact"/>
        <w:rPr>
          <w:rFonts w:hint="eastAsia" w:ascii="宋体" w:hAnsi="宋体" w:eastAsia="宋体" w:cs="宋体"/>
          <w:b/>
          <w:bCs/>
          <w:color w:val="auto"/>
          <w:sz w:val="22"/>
          <w:szCs w:val="22"/>
          <w:highlight w:val="none"/>
        </w:rPr>
      </w:pPr>
    </w:p>
    <w:p w14:paraId="135339BF">
      <w:pPr>
        <w:spacing w:line="460" w:lineRule="exact"/>
        <w:rPr>
          <w:rFonts w:hint="eastAsia" w:ascii="宋体" w:hAnsi="宋体" w:eastAsia="宋体" w:cs="宋体"/>
          <w:b/>
          <w:bCs/>
          <w:color w:val="auto"/>
          <w:sz w:val="22"/>
          <w:szCs w:val="22"/>
          <w:highlight w:val="none"/>
        </w:rPr>
      </w:pPr>
    </w:p>
    <w:p w14:paraId="64E904B8">
      <w:pPr>
        <w:spacing w:line="460" w:lineRule="exact"/>
        <w:rPr>
          <w:rFonts w:hint="eastAsia" w:ascii="宋体" w:hAnsi="宋体" w:eastAsia="宋体" w:cs="宋体"/>
          <w:b/>
          <w:bCs/>
          <w:color w:val="auto"/>
          <w:sz w:val="22"/>
          <w:szCs w:val="22"/>
          <w:highlight w:val="none"/>
        </w:rPr>
      </w:pPr>
    </w:p>
    <w:p w14:paraId="0665FD80">
      <w:pPr>
        <w:spacing w:line="380" w:lineRule="exact"/>
        <w:rPr>
          <w:rFonts w:hint="eastAsia" w:ascii="宋体" w:hAnsi="宋体" w:eastAsia="宋体" w:cs="宋体"/>
          <w:b/>
          <w:bCs/>
          <w:color w:val="auto"/>
          <w:sz w:val="22"/>
          <w:szCs w:val="22"/>
          <w:highlight w:val="none"/>
        </w:rPr>
      </w:pPr>
    </w:p>
    <w:p w14:paraId="5D492603">
      <w:pPr>
        <w:spacing w:line="380" w:lineRule="exact"/>
        <w:rPr>
          <w:rFonts w:hint="eastAsia" w:ascii="宋体" w:hAnsi="宋体" w:eastAsia="宋体" w:cs="宋体"/>
          <w:b/>
          <w:bCs/>
          <w:color w:val="auto"/>
          <w:sz w:val="22"/>
          <w:szCs w:val="22"/>
          <w:highlight w:val="none"/>
        </w:rPr>
      </w:pPr>
    </w:p>
    <w:p w14:paraId="38AB544A">
      <w:pPr>
        <w:spacing w:line="380" w:lineRule="exact"/>
        <w:rPr>
          <w:rFonts w:hint="eastAsia" w:ascii="宋体" w:hAnsi="宋体" w:eastAsia="宋体" w:cs="宋体"/>
          <w:b/>
          <w:bCs/>
          <w:color w:val="auto"/>
          <w:sz w:val="22"/>
          <w:szCs w:val="22"/>
          <w:highlight w:val="none"/>
        </w:rPr>
      </w:pPr>
    </w:p>
    <w:p w14:paraId="02188474">
      <w:pPr>
        <w:spacing w:line="380" w:lineRule="exact"/>
        <w:rPr>
          <w:rFonts w:hint="eastAsia" w:ascii="宋体" w:hAnsi="宋体" w:eastAsia="宋体" w:cs="宋体"/>
          <w:b/>
          <w:bCs/>
          <w:color w:val="auto"/>
          <w:sz w:val="22"/>
          <w:szCs w:val="22"/>
          <w:highlight w:val="none"/>
        </w:rPr>
      </w:pPr>
    </w:p>
    <w:p w14:paraId="0E1F6C95">
      <w:pPr>
        <w:spacing w:line="380" w:lineRule="exact"/>
        <w:rPr>
          <w:rFonts w:hint="eastAsia" w:ascii="宋体" w:hAnsi="宋体" w:eastAsia="宋体" w:cs="宋体"/>
          <w:b/>
          <w:bCs/>
          <w:color w:val="auto"/>
          <w:sz w:val="22"/>
          <w:szCs w:val="22"/>
          <w:highlight w:val="none"/>
        </w:rPr>
      </w:pPr>
    </w:p>
    <w:p w14:paraId="2762BDF8">
      <w:pPr>
        <w:spacing w:line="460" w:lineRule="exact"/>
        <w:jc w:val="left"/>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 w:val="36"/>
          <w:szCs w:val="36"/>
          <w:highlight w:val="none"/>
        </w:rPr>
        <w:t>附件四</w:t>
      </w:r>
    </w:p>
    <w:p w14:paraId="59918F4C">
      <w:pPr>
        <w:spacing w:line="560" w:lineRule="exact"/>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偏离表</w:t>
      </w:r>
    </w:p>
    <w:p w14:paraId="0EDC4A2B">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1969"/>
        <w:gridCol w:w="1969"/>
        <w:gridCol w:w="1972"/>
        <w:gridCol w:w="1972"/>
      </w:tblGrid>
      <w:tr w14:paraId="0C32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99" w:type="pct"/>
            <w:shd w:val="clear" w:color="auto" w:fill="FFFFFF"/>
            <w:vAlign w:val="center"/>
          </w:tcPr>
          <w:p w14:paraId="3DA1194D">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999" w:type="pct"/>
            <w:shd w:val="clear" w:color="auto" w:fill="FFFFFF"/>
            <w:vAlign w:val="center"/>
          </w:tcPr>
          <w:p w14:paraId="578F0C1D">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50EBCAF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条目</w:t>
            </w:r>
          </w:p>
        </w:tc>
        <w:tc>
          <w:tcPr>
            <w:tcW w:w="999" w:type="pct"/>
            <w:shd w:val="clear" w:color="auto" w:fill="FFFFFF"/>
            <w:vAlign w:val="center"/>
          </w:tcPr>
          <w:p w14:paraId="4A3724F0">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38E30DBE">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1000" w:type="pct"/>
            <w:shd w:val="clear" w:color="auto" w:fill="FFFFFF"/>
            <w:vAlign w:val="center"/>
          </w:tcPr>
          <w:p w14:paraId="469BD433">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447ADE24">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000" w:type="pct"/>
            <w:shd w:val="clear" w:color="auto" w:fill="FFFFFF"/>
            <w:vAlign w:val="center"/>
          </w:tcPr>
          <w:p w14:paraId="429BE5FC">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7BA4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99" w:type="pct"/>
            <w:vAlign w:val="center"/>
          </w:tcPr>
          <w:p w14:paraId="362AB96A">
            <w:pPr>
              <w:ind w:firstLine="220" w:firstLineChars="100"/>
              <w:rPr>
                <w:rFonts w:hint="eastAsia" w:ascii="宋体" w:hAnsi="宋体" w:eastAsia="宋体" w:cs="宋体"/>
                <w:color w:val="auto"/>
                <w:sz w:val="22"/>
                <w:szCs w:val="22"/>
                <w:highlight w:val="none"/>
              </w:rPr>
            </w:pPr>
          </w:p>
        </w:tc>
        <w:tc>
          <w:tcPr>
            <w:tcW w:w="999" w:type="pct"/>
            <w:vAlign w:val="center"/>
          </w:tcPr>
          <w:p w14:paraId="16F27B91">
            <w:pPr>
              <w:jc w:val="center"/>
              <w:rPr>
                <w:rFonts w:hint="eastAsia" w:ascii="宋体" w:hAnsi="宋体" w:eastAsia="宋体" w:cs="宋体"/>
                <w:color w:val="auto"/>
                <w:sz w:val="22"/>
                <w:szCs w:val="22"/>
                <w:highlight w:val="none"/>
              </w:rPr>
            </w:pPr>
          </w:p>
        </w:tc>
        <w:tc>
          <w:tcPr>
            <w:tcW w:w="999" w:type="pct"/>
            <w:vAlign w:val="center"/>
          </w:tcPr>
          <w:p w14:paraId="37035635">
            <w:pPr>
              <w:jc w:val="center"/>
              <w:rPr>
                <w:rFonts w:hint="eastAsia" w:ascii="宋体" w:hAnsi="宋体" w:eastAsia="宋体" w:cs="宋体"/>
                <w:color w:val="auto"/>
                <w:sz w:val="22"/>
                <w:szCs w:val="22"/>
                <w:highlight w:val="none"/>
              </w:rPr>
            </w:pPr>
          </w:p>
        </w:tc>
        <w:tc>
          <w:tcPr>
            <w:tcW w:w="1000" w:type="pct"/>
            <w:vAlign w:val="center"/>
          </w:tcPr>
          <w:p w14:paraId="377F4AF6">
            <w:pPr>
              <w:jc w:val="center"/>
              <w:rPr>
                <w:rFonts w:hint="eastAsia" w:ascii="宋体" w:hAnsi="宋体" w:eastAsia="宋体" w:cs="宋体"/>
                <w:color w:val="auto"/>
                <w:sz w:val="22"/>
                <w:szCs w:val="22"/>
                <w:highlight w:val="none"/>
              </w:rPr>
            </w:pPr>
          </w:p>
        </w:tc>
        <w:tc>
          <w:tcPr>
            <w:tcW w:w="1000" w:type="pct"/>
            <w:vAlign w:val="center"/>
          </w:tcPr>
          <w:p w14:paraId="632DDD64">
            <w:pPr>
              <w:jc w:val="center"/>
              <w:rPr>
                <w:rFonts w:hint="eastAsia" w:ascii="宋体" w:hAnsi="宋体" w:eastAsia="宋体" w:cs="宋体"/>
                <w:color w:val="auto"/>
                <w:sz w:val="22"/>
                <w:szCs w:val="22"/>
                <w:highlight w:val="none"/>
              </w:rPr>
            </w:pPr>
          </w:p>
        </w:tc>
      </w:tr>
      <w:tr w14:paraId="1A3C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103B35B2">
            <w:pPr>
              <w:jc w:val="center"/>
              <w:rPr>
                <w:rFonts w:hint="eastAsia" w:ascii="宋体" w:hAnsi="宋体" w:eastAsia="宋体" w:cs="宋体"/>
                <w:color w:val="auto"/>
                <w:sz w:val="22"/>
                <w:szCs w:val="22"/>
                <w:highlight w:val="none"/>
              </w:rPr>
            </w:pPr>
          </w:p>
        </w:tc>
        <w:tc>
          <w:tcPr>
            <w:tcW w:w="999" w:type="pct"/>
            <w:vAlign w:val="center"/>
          </w:tcPr>
          <w:p w14:paraId="3092CA8E">
            <w:pPr>
              <w:jc w:val="center"/>
              <w:rPr>
                <w:rFonts w:hint="eastAsia" w:ascii="宋体" w:hAnsi="宋体" w:eastAsia="宋体" w:cs="宋体"/>
                <w:color w:val="auto"/>
                <w:sz w:val="22"/>
                <w:szCs w:val="22"/>
                <w:highlight w:val="none"/>
              </w:rPr>
            </w:pPr>
          </w:p>
        </w:tc>
        <w:tc>
          <w:tcPr>
            <w:tcW w:w="999" w:type="pct"/>
            <w:vAlign w:val="center"/>
          </w:tcPr>
          <w:p w14:paraId="3D17BEF9">
            <w:pPr>
              <w:jc w:val="center"/>
              <w:rPr>
                <w:rFonts w:hint="eastAsia" w:ascii="宋体" w:hAnsi="宋体" w:eastAsia="宋体" w:cs="宋体"/>
                <w:color w:val="auto"/>
                <w:sz w:val="22"/>
                <w:szCs w:val="22"/>
                <w:highlight w:val="none"/>
              </w:rPr>
            </w:pPr>
          </w:p>
        </w:tc>
        <w:tc>
          <w:tcPr>
            <w:tcW w:w="1000" w:type="pct"/>
            <w:vAlign w:val="center"/>
          </w:tcPr>
          <w:p w14:paraId="0396C712">
            <w:pPr>
              <w:jc w:val="center"/>
              <w:rPr>
                <w:rFonts w:hint="eastAsia" w:ascii="宋体" w:hAnsi="宋体" w:eastAsia="宋体" w:cs="宋体"/>
                <w:color w:val="auto"/>
                <w:sz w:val="22"/>
                <w:szCs w:val="22"/>
                <w:highlight w:val="none"/>
              </w:rPr>
            </w:pPr>
          </w:p>
        </w:tc>
        <w:tc>
          <w:tcPr>
            <w:tcW w:w="1000" w:type="pct"/>
            <w:vAlign w:val="center"/>
          </w:tcPr>
          <w:p w14:paraId="56C6A0E9">
            <w:pPr>
              <w:jc w:val="center"/>
              <w:rPr>
                <w:rFonts w:hint="eastAsia" w:ascii="宋体" w:hAnsi="宋体" w:eastAsia="宋体" w:cs="宋体"/>
                <w:color w:val="auto"/>
                <w:sz w:val="22"/>
                <w:szCs w:val="22"/>
                <w:highlight w:val="none"/>
              </w:rPr>
            </w:pPr>
          </w:p>
        </w:tc>
      </w:tr>
      <w:tr w14:paraId="3535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14CC29D3">
            <w:pPr>
              <w:jc w:val="center"/>
              <w:rPr>
                <w:rFonts w:hint="eastAsia" w:ascii="宋体" w:hAnsi="宋体" w:eastAsia="宋体" w:cs="宋体"/>
                <w:color w:val="auto"/>
                <w:sz w:val="22"/>
                <w:szCs w:val="22"/>
                <w:highlight w:val="none"/>
              </w:rPr>
            </w:pPr>
          </w:p>
        </w:tc>
        <w:tc>
          <w:tcPr>
            <w:tcW w:w="999" w:type="pct"/>
            <w:vAlign w:val="center"/>
          </w:tcPr>
          <w:p w14:paraId="10A0FA2F">
            <w:pPr>
              <w:jc w:val="center"/>
              <w:rPr>
                <w:rFonts w:hint="eastAsia" w:ascii="宋体" w:hAnsi="宋体" w:eastAsia="宋体" w:cs="宋体"/>
                <w:color w:val="auto"/>
                <w:sz w:val="22"/>
                <w:szCs w:val="22"/>
                <w:highlight w:val="none"/>
              </w:rPr>
            </w:pPr>
          </w:p>
        </w:tc>
        <w:tc>
          <w:tcPr>
            <w:tcW w:w="999" w:type="pct"/>
            <w:vAlign w:val="center"/>
          </w:tcPr>
          <w:p w14:paraId="4F26A60D">
            <w:pPr>
              <w:jc w:val="center"/>
              <w:rPr>
                <w:rFonts w:hint="eastAsia" w:ascii="宋体" w:hAnsi="宋体" w:eastAsia="宋体" w:cs="宋体"/>
                <w:color w:val="auto"/>
                <w:sz w:val="22"/>
                <w:szCs w:val="22"/>
                <w:highlight w:val="none"/>
              </w:rPr>
            </w:pPr>
          </w:p>
        </w:tc>
        <w:tc>
          <w:tcPr>
            <w:tcW w:w="1000" w:type="pct"/>
            <w:vAlign w:val="center"/>
          </w:tcPr>
          <w:p w14:paraId="0B8A466B">
            <w:pPr>
              <w:jc w:val="center"/>
              <w:rPr>
                <w:rFonts w:hint="eastAsia" w:ascii="宋体" w:hAnsi="宋体" w:eastAsia="宋体" w:cs="宋体"/>
                <w:color w:val="auto"/>
                <w:sz w:val="22"/>
                <w:szCs w:val="22"/>
                <w:highlight w:val="none"/>
              </w:rPr>
            </w:pPr>
          </w:p>
        </w:tc>
        <w:tc>
          <w:tcPr>
            <w:tcW w:w="1000" w:type="pct"/>
            <w:vAlign w:val="center"/>
          </w:tcPr>
          <w:p w14:paraId="47B858DA">
            <w:pPr>
              <w:jc w:val="center"/>
              <w:rPr>
                <w:rFonts w:hint="eastAsia" w:ascii="宋体" w:hAnsi="宋体" w:eastAsia="宋体" w:cs="宋体"/>
                <w:color w:val="auto"/>
                <w:sz w:val="22"/>
                <w:szCs w:val="22"/>
                <w:highlight w:val="none"/>
              </w:rPr>
            </w:pPr>
          </w:p>
        </w:tc>
      </w:tr>
      <w:tr w14:paraId="0D6D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54A48910">
            <w:pPr>
              <w:jc w:val="center"/>
              <w:rPr>
                <w:rFonts w:hint="eastAsia" w:ascii="宋体" w:hAnsi="宋体" w:eastAsia="宋体" w:cs="宋体"/>
                <w:color w:val="auto"/>
                <w:sz w:val="22"/>
                <w:szCs w:val="22"/>
                <w:highlight w:val="none"/>
              </w:rPr>
            </w:pPr>
          </w:p>
        </w:tc>
        <w:tc>
          <w:tcPr>
            <w:tcW w:w="999" w:type="pct"/>
            <w:vAlign w:val="center"/>
          </w:tcPr>
          <w:p w14:paraId="2EF1C517">
            <w:pPr>
              <w:jc w:val="center"/>
              <w:rPr>
                <w:rFonts w:hint="eastAsia" w:ascii="宋体" w:hAnsi="宋体" w:eastAsia="宋体" w:cs="宋体"/>
                <w:color w:val="auto"/>
                <w:sz w:val="22"/>
                <w:szCs w:val="22"/>
                <w:highlight w:val="none"/>
              </w:rPr>
            </w:pPr>
          </w:p>
        </w:tc>
        <w:tc>
          <w:tcPr>
            <w:tcW w:w="999" w:type="pct"/>
            <w:vAlign w:val="center"/>
          </w:tcPr>
          <w:p w14:paraId="059BCD2A">
            <w:pPr>
              <w:jc w:val="center"/>
              <w:rPr>
                <w:rFonts w:hint="eastAsia" w:ascii="宋体" w:hAnsi="宋体" w:eastAsia="宋体" w:cs="宋体"/>
                <w:color w:val="auto"/>
                <w:sz w:val="22"/>
                <w:szCs w:val="22"/>
                <w:highlight w:val="none"/>
              </w:rPr>
            </w:pPr>
          </w:p>
        </w:tc>
        <w:tc>
          <w:tcPr>
            <w:tcW w:w="1000" w:type="pct"/>
            <w:vAlign w:val="center"/>
          </w:tcPr>
          <w:p w14:paraId="6EA3D577">
            <w:pPr>
              <w:jc w:val="center"/>
              <w:rPr>
                <w:rFonts w:hint="eastAsia" w:ascii="宋体" w:hAnsi="宋体" w:eastAsia="宋体" w:cs="宋体"/>
                <w:color w:val="auto"/>
                <w:sz w:val="22"/>
                <w:szCs w:val="22"/>
                <w:highlight w:val="none"/>
              </w:rPr>
            </w:pPr>
          </w:p>
        </w:tc>
        <w:tc>
          <w:tcPr>
            <w:tcW w:w="1000" w:type="pct"/>
            <w:vAlign w:val="center"/>
          </w:tcPr>
          <w:p w14:paraId="222BDC9F">
            <w:pPr>
              <w:jc w:val="center"/>
              <w:rPr>
                <w:rFonts w:hint="eastAsia" w:ascii="宋体" w:hAnsi="宋体" w:eastAsia="宋体" w:cs="宋体"/>
                <w:color w:val="auto"/>
                <w:sz w:val="22"/>
                <w:szCs w:val="22"/>
                <w:highlight w:val="none"/>
              </w:rPr>
            </w:pPr>
          </w:p>
        </w:tc>
      </w:tr>
      <w:tr w14:paraId="68DF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46B20934">
            <w:pPr>
              <w:jc w:val="center"/>
              <w:rPr>
                <w:rFonts w:hint="eastAsia" w:ascii="宋体" w:hAnsi="宋体" w:eastAsia="宋体" w:cs="宋体"/>
                <w:color w:val="auto"/>
                <w:sz w:val="22"/>
                <w:szCs w:val="22"/>
                <w:highlight w:val="none"/>
              </w:rPr>
            </w:pPr>
          </w:p>
        </w:tc>
        <w:tc>
          <w:tcPr>
            <w:tcW w:w="999" w:type="pct"/>
            <w:vAlign w:val="center"/>
          </w:tcPr>
          <w:p w14:paraId="4CDF2567">
            <w:pPr>
              <w:jc w:val="center"/>
              <w:rPr>
                <w:rFonts w:hint="eastAsia" w:ascii="宋体" w:hAnsi="宋体" w:eastAsia="宋体" w:cs="宋体"/>
                <w:color w:val="auto"/>
                <w:sz w:val="22"/>
                <w:szCs w:val="22"/>
                <w:highlight w:val="none"/>
              </w:rPr>
            </w:pPr>
          </w:p>
        </w:tc>
        <w:tc>
          <w:tcPr>
            <w:tcW w:w="999" w:type="pct"/>
            <w:vAlign w:val="center"/>
          </w:tcPr>
          <w:p w14:paraId="07B6D24C">
            <w:pPr>
              <w:jc w:val="center"/>
              <w:rPr>
                <w:rFonts w:hint="eastAsia" w:ascii="宋体" w:hAnsi="宋体" w:eastAsia="宋体" w:cs="宋体"/>
                <w:color w:val="auto"/>
                <w:sz w:val="22"/>
                <w:szCs w:val="22"/>
                <w:highlight w:val="none"/>
              </w:rPr>
            </w:pPr>
          </w:p>
        </w:tc>
        <w:tc>
          <w:tcPr>
            <w:tcW w:w="1000" w:type="pct"/>
            <w:vAlign w:val="center"/>
          </w:tcPr>
          <w:p w14:paraId="4C632AC4">
            <w:pPr>
              <w:jc w:val="center"/>
              <w:rPr>
                <w:rFonts w:hint="eastAsia" w:ascii="宋体" w:hAnsi="宋体" w:eastAsia="宋体" w:cs="宋体"/>
                <w:color w:val="auto"/>
                <w:sz w:val="22"/>
                <w:szCs w:val="22"/>
                <w:highlight w:val="none"/>
              </w:rPr>
            </w:pPr>
          </w:p>
        </w:tc>
        <w:tc>
          <w:tcPr>
            <w:tcW w:w="1000" w:type="pct"/>
            <w:vAlign w:val="center"/>
          </w:tcPr>
          <w:p w14:paraId="587F5879">
            <w:pPr>
              <w:jc w:val="center"/>
              <w:rPr>
                <w:rFonts w:hint="eastAsia" w:ascii="宋体" w:hAnsi="宋体" w:eastAsia="宋体" w:cs="宋体"/>
                <w:color w:val="auto"/>
                <w:sz w:val="22"/>
                <w:szCs w:val="22"/>
                <w:highlight w:val="none"/>
              </w:rPr>
            </w:pPr>
          </w:p>
        </w:tc>
      </w:tr>
      <w:tr w14:paraId="3565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565F753E">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999" w:type="pct"/>
            <w:vAlign w:val="center"/>
          </w:tcPr>
          <w:p w14:paraId="570C46EF">
            <w:pPr>
              <w:jc w:val="center"/>
              <w:rPr>
                <w:rFonts w:hint="eastAsia" w:ascii="宋体" w:hAnsi="宋体" w:eastAsia="宋体" w:cs="宋体"/>
                <w:color w:val="auto"/>
                <w:sz w:val="22"/>
                <w:szCs w:val="22"/>
                <w:highlight w:val="none"/>
              </w:rPr>
            </w:pPr>
          </w:p>
        </w:tc>
        <w:tc>
          <w:tcPr>
            <w:tcW w:w="999" w:type="pct"/>
            <w:vAlign w:val="center"/>
          </w:tcPr>
          <w:p w14:paraId="02ABD82C">
            <w:pPr>
              <w:jc w:val="center"/>
              <w:rPr>
                <w:rFonts w:hint="eastAsia" w:ascii="宋体" w:hAnsi="宋体" w:eastAsia="宋体" w:cs="宋体"/>
                <w:color w:val="auto"/>
                <w:sz w:val="22"/>
                <w:szCs w:val="22"/>
                <w:highlight w:val="none"/>
              </w:rPr>
            </w:pPr>
          </w:p>
        </w:tc>
        <w:tc>
          <w:tcPr>
            <w:tcW w:w="1000" w:type="pct"/>
            <w:vAlign w:val="center"/>
          </w:tcPr>
          <w:p w14:paraId="62E3944E">
            <w:pPr>
              <w:jc w:val="center"/>
              <w:rPr>
                <w:rFonts w:hint="eastAsia" w:ascii="宋体" w:hAnsi="宋体" w:eastAsia="宋体" w:cs="宋体"/>
                <w:color w:val="auto"/>
                <w:sz w:val="22"/>
                <w:szCs w:val="22"/>
                <w:highlight w:val="none"/>
              </w:rPr>
            </w:pPr>
          </w:p>
        </w:tc>
        <w:tc>
          <w:tcPr>
            <w:tcW w:w="1000" w:type="pct"/>
            <w:vAlign w:val="center"/>
          </w:tcPr>
          <w:p w14:paraId="15758CF4">
            <w:pPr>
              <w:jc w:val="center"/>
              <w:rPr>
                <w:rFonts w:hint="eastAsia" w:ascii="宋体" w:hAnsi="宋体" w:eastAsia="宋体" w:cs="宋体"/>
                <w:color w:val="auto"/>
                <w:sz w:val="22"/>
                <w:szCs w:val="22"/>
                <w:highlight w:val="none"/>
              </w:rPr>
            </w:pPr>
          </w:p>
        </w:tc>
      </w:tr>
      <w:tr w14:paraId="7B6F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173A6942">
            <w:pPr>
              <w:jc w:val="center"/>
              <w:rPr>
                <w:rFonts w:hint="eastAsia" w:ascii="宋体" w:hAnsi="宋体" w:eastAsia="宋体" w:cs="宋体"/>
                <w:color w:val="auto"/>
                <w:sz w:val="22"/>
                <w:szCs w:val="22"/>
                <w:highlight w:val="none"/>
              </w:rPr>
            </w:pPr>
          </w:p>
        </w:tc>
        <w:tc>
          <w:tcPr>
            <w:tcW w:w="999" w:type="pct"/>
            <w:vAlign w:val="center"/>
          </w:tcPr>
          <w:p w14:paraId="09F33127">
            <w:pPr>
              <w:jc w:val="center"/>
              <w:rPr>
                <w:rFonts w:hint="eastAsia" w:ascii="宋体" w:hAnsi="宋体" w:eastAsia="宋体" w:cs="宋体"/>
                <w:color w:val="auto"/>
                <w:sz w:val="22"/>
                <w:szCs w:val="22"/>
                <w:highlight w:val="none"/>
              </w:rPr>
            </w:pPr>
          </w:p>
        </w:tc>
        <w:tc>
          <w:tcPr>
            <w:tcW w:w="999" w:type="pct"/>
            <w:vAlign w:val="center"/>
          </w:tcPr>
          <w:p w14:paraId="40024C75">
            <w:pPr>
              <w:jc w:val="center"/>
              <w:rPr>
                <w:rFonts w:hint="eastAsia" w:ascii="宋体" w:hAnsi="宋体" w:eastAsia="宋体" w:cs="宋体"/>
                <w:color w:val="auto"/>
                <w:sz w:val="22"/>
                <w:szCs w:val="22"/>
                <w:highlight w:val="none"/>
              </w:rPr>
            </w:pPr>
          </w:p>
        </w:tc>
        <w:tc>
          <w:tcPr>
            <w:tcW w:w="1000" w:type="pct"/>
            <w:vAlign w:val="center"/>
          </w:tcPr>
          <w:p w14:paraId="1590B096">
            <w:pPr>
              <w:jc w:val="center"/>
              <w:rPr>
                <w:rFonts w:hint="eastAsia" w:ascii="宋体" w:hAnsi="宋体" w:eastAsia="宋体" w:cs="宋体"/>
                <w:color w:val="auto"/>
                <w:sz w:val="22"/>
                <w:szCs w:val="22"/>
                <w:highlight w:val="none"/>
              </w:rPr>
            </w:pPr>
          </w:p>
        </w:tc>
        <w:tc>
          <w:tcPr>
            <w:tcW w:w="1000" w:type="pct"/>
            <w:vAlign w:val="center"/>
          </w:tcPr>
          <w:p w14:paraId="13DEA037">
            <w:pPr>
              <w:jc w:val="center"/>
              <w:rPr>
                <w:rFonts w:hint="eastAsia" w:ascii="宋体" w:hAnsi="宋体" w:eastAsia="宋体" w:cs="宋体"/>
                <w:color w:val="auto"/>
                <w:sz w:val="22"/>
                <w:szCs w:val="22"/>
                <w:highlight w:val="none"/>
              </w:rPr>
            </w:pPr>
          </w:p>
        </w:tc>
      </w:tr>
      <w:tr w14:paraId="2A5D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4D9DE076">
            <w:pPr>
              <w:jc w:val="center"/>
              <w:rPr>
                <w:rFonts w:hint="eastAsia" w:ascii="宋体" w:hAnsi="宋体" w:eastAsia="宋体" w:cs="宋体"/>
                <w:color w:val="auto"/>
                <w:sz w:val="22"/>
                <w:szCs w:val="22"/>
                <w:highlight w:val="none"/>
              </w:rPr>
            </w:pPr>
          </w:p>
        </w:tc>
        <w:tc>
          <w:tcPr>
            <w:tcW w:w="999" w:type="pct"/>
            <w:vAlign w:val="center"/>
          </w:tcPr>
          <w:p w14:paraId="6CE8E5C2">
            <w:pPr>
              <w:jc w:val="center"/>
              <w:rPr>
                <w:rFonts w:hint="eastAsia" w:ascii="宋体" w:hAnsi="宋体" w:eastAsia="宋体" w:cs="宋体"/>
                <w:color w:val="auto"/>
                <w:sz w:val="22"/>
                <w:szCs w:val="22"/>
                <w:highlight w:val="none"/>
              </w:rPr>
            </w:pPr>
          </w:p>
        </w:tc>
        <w:tc>
          <w:tcPr>
            <w:tcW w:w="999" w:type="pct"/>
            <w:vAlign w:val="center"/>
          </w:tcPr>
          <w:p w14:paraId="2A61838E">
            <w:pPr>
              <w:jc w:val="center"/>
              <w:rPr>
                <w:rFonts w:hint="eastAsia" w:ascii="宋体" w:hAnsi="宋体" w:eastAsia="宋体" w:cs="宋体"/>
                <w:color w:val="auto"/>
                <w:sz w:val="22"/>
                <w:szCs w:val="22"/>
                <w:highlight w:val="none"/>
              </w:rPr>
            </w:pPr>
          </w:p>
        </w:tc>
        <w:tc>
          <w:tcPr>
            <w:tcW w:w="1000" w:type="pct"/>
            <w:vAlign w:val="center"/>
          </w:tcPr>
          <w:p w14:paraId="6D1163D9">
            <w:pPr>
              <w:jc w:val="center"/>
              <w:rPr>
                <w:rFonts w:hint="eastAsia" w:ascii="宋体" w:hAnsi="宋体" w:eastAsia="宋体" w:cs="宋体"/>
                <w:color w:val="auto"/>
                <w:sz w:val="22"/>
                <w:szCs w:val="22"/>
                <w:highlight w:val="none"/>
              </w:rPr>
            </w:pPr>
          </w:p>
        </w:tc>
        <w:tc>
          <w:tcPr>
            <w:tcW w:w="1000" w:type="pct"/>
            <w:vAlign w:val="center"/>
          </w:tcPr>
          <w:p w14:paraId="3D846AEA">
            <w:pPr>
              <w:jc w:val="center"/>
              <w:rPr>
                <w:rFonts w:hint="eastAsia" w:ascii="宋体" w:hAnsi="宋体" w:eastAsia="宋体" w:cs="宋体"/>
                <w:color w:val="auto"/>
                <w:sz w:val="22"/>
                <w:szCs w:val="22"/>
                <w:highlight w:val="none"/>
              </w:rPr>
            </w:pPr>
          </w:p>
        </w:tc>
      </w:tr>
      <w:tr w14:paraId="062E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74656F81">
            <w:pPr>
              <w:jc w:val="center"/>
              <w:rPr>
                <w:rFonts w:hint="eastAsia" w:ascii="宋体" w:hAnsi="宋体" w:eastAsia="宋体" w:cs="宋体"/>
                <w:color w:val="auto"/>
                <w:sz w:val="22"/>
                <w:szCs w:val="22"/>
                <w:highlight w:val="none"/>
              </w:rPr>
            </w:pPr>
          </w:p>
        </w:tc>
        <w:tc>
          <w:tcPr>
            <w:tcW w:w="999" w:type="pct"/>
            <w:vAlign w:val="center"/>
          </w:tcPr>
          <w:p w14:paraId="71A5E3DF">
            <w:pPr>
              <w:jc w:val="center"/>
              <w:rPr>
                <w:rFonts w:hint="eastAsia" w:ascii="宋体" w:hAnsi="宋体" w:eastAsia="宋体" w:cs="宋体"/>
                <w:color w:val="auto"/>
                <w:sz w:val="22"/>
                <w:szCs w:val="22"/>
                <w:highlight w:val="none"/>
              </w:rPr>
            </w:pPr>
          </w:p>
        </w:tc>
        <w:tc>
          <w:tcPr>
            <w:tcW w:w="999" w:type="pct"/>
            <w:vAlign w:val="center"/>
          </w:tcPr>
          <w:p w14:paraId="618F304F">
            <w:pPr>
              <w:jc w:val="center"/>
              <w:rPr>
                <w:rFonts w:hint="eastAsia" w:ascii="宋体" w:hAnsi="宋体" w:eastAsia="宋体" w:cs="宋体"/>
                <w:color w:val="auto"/>
                <w:sz w:val="22"/>
                <w:szCs w:val="22"/>
                <w:highlight w:val="none"/>
              </w:rPr>
            </w:pPr>
          </w:p>
        </w:tc>
        <w:tc>
          <w:tcPr>
            <w:tcW w:w="1000" w:type="pct"/>
            <w:vAlign w:val="center"/>
          </w:tcPr>
          <w:p w14:paraId="6DFB35D3">
            <w:pPr>
              <w:jc w:val="center"/>
              <w:rPr>
                <w:rFonts w:hint="eastAsia" w:ascii="宋体" w:hAnsi="宋体" w:eastAsia="宋体" w:cs="宋体"/>
                <w:color w:val="auto"/>
                <w:sz w:val="22"/>
                <w:szCs w:val="22"/>
                <w:highlight w:val="none"/>
              </w:rPr>
            </w:pPr>
          </w:p>
        </w:tc>
        <w:tc>
          <w:tcPr>
            <w:tcW w:w="1000" w:type="pct"/>
            <w:vAlign w:val="center"/>
          </w:tcPr>
          <w:p w14:paraId="7CE8E8C4">
            <w:pPr>
              <w:jc w:val="center"/>
              <w:rPr>
                <w:rFonts w:hint="eastAsia" w:ascii="宋体" w:hAnsi="宋体" w:eastAsia="宋体" w:cs="宋体"/>
                <w:color w:val="auto"/>
                <w:sz w:val="22"/>
                <w:szCs w:val="22"/>
                <w:highlight w:val="none"/>
              </w:rPr>
            </w:pPr>
          </w:p>
        </w:tc>
      </w:tr>
      <w:tr w14:paraId="1515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7B76661F">
            <w:pPr>
              <w:jc w:val="center"/>
              <w:rPr>
                <w:rFonts w:hint="eastAsia" w:ascii="宋体" w:hAnsi="宋体" w:eastAsia="宋体" w:cs="宋体"/>
                <w:color w:val="auto"/>
                <w:sz w:val="22"/>
                <w:szCs w:val="22"/>
                <w:highlight w:val="none"/>
              </w:rPr>
            </w:pPr>
          </w:p>
        </w:tc>
        <w:tc>
          <w:tcPr>
            <w:tcW w:w="999" w:type="pct"/>
            <w:vAlign w:val="center"/>
          </w:tcPr>
          <w:p w14:paraId="2A0DDDC8">
            <w:pPr>
              <w:jc w:val="center"/>
              <w:rPr>
                <w:rFonts w:hint="eastAsia" w:ascii="宋体" w:hAnsi="宋体" w:eastAsia="宋体" w:cs="宋体"/>
                <w:color w:val="auto"/>
                <w:sz w:val="22"/>
                <w:szCs w:val="22"/>
                <w:highlight w:val="none"/>
              </w:rPr>
            </w:pPr>
          </w:p>
        </w:tc>
        <w:tc>
          <w:tcPr>
            <w:tcW w:w="999" w:type="pct"/>
            <w:vAlign w:val="center"/>
          </w:tcPr>
          <w:p w14:paraId="3C4B98FA">
            <w:pPr>
              <w:jc w:val="center"/>
              <w:rPr>
                <w:rFonts w:hint="eastAsia" w:ascii="宋体" w:hAnsi="宋体" w:eastAsia="宋体" w:cs="宋体"/>
                <w:color w:val="auto"/>
                <w:sz w:val="22"/>
                <w:szCs w:val="22"/>
                <w:highlight w:val="none"/>
              </w:rPr>
            </w:pPr>
          </w:p>
        </w:tc>
        <w:tc>
          <w:tcPr>
            <w:tcW w:w="1000" w:type="pct"/>
            <w:vAlign w:val="center"/>
          </w:tcPr>
          <w:p w14:paraId="65705DC6">
            <w:pPr>
              <w:jc w:val="center"/>
              <w:rPr>
                <w:rFonts w:hint="eastAsia" w:ascii="宋体" w:hAnsi="宋体" w:eastAsia="宋体" w:cs="宋体"/>
                <w:color w:val="auto"/>
                <w:sz w:val="22"/>
                <w:szCs w:val="22"/>
                <w:highlight w:val="none"/>
              </w:rPr>
            </w:pPr>
          </w:p>
        </w:tc>
        <w:tc>
          <w:tcPr>
            <w:tcW w:w="1000" w:type="pct"/>
            <w:vAlign w:val="center"/>
          </w:tcPr>
          <w:p w14:paraId="1861F0BE">
            <w:pPr>
              <w:jc w:val="center"/>
              <w:rPr>
                <w:rFonts w:hint="eastAsia" w:ascii="宋体" w:hAnsi="宋体" w:eastAsia="宋体" w:cs="宋体"/>
                <w:color w:val="auto"/>
                <w:sz w:val="22"/>
                <w:szCs w:val="22"/>
                <w:highlight w:val="none"/>
              </w:rPr>
            </w:pPr>
          </w:p>
        </w:tc>
      </w:tr>
      <w:tr w14:paraId="5164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99" w:type="pct"/>
            <w:vAlign w:val="center"/>
          </w:tcPr>
          <w:p w14:paraId="12E92B8B">
            <w:pPr>
              <w:jc w:val="center"/>
              <w:rPr>
                <w:rFonts w:hint="eastAsia" w:ascii="宋体" w:hAnsi="宋体" w:eastAsia="宋体" w:cs="宋体"/>
                <w:color w:val="auto"/>
                <w:sz w:val="22"/>
                <w:szCs w:val="22"/>
                <w:highlight w:val="none"/>
              </w:rPr>
            </w:pPr>
          </w:p>
        </w:tc>
        <w:tc>
          <w:tcPr>
            <w:tcW w:w="999" w:type="pct"/>
            <w:vAlign w:val="center"/>
          </w:tcPr>
          <w:p w14:paraId="270B83C6">
            <w:pPr>
              <w:jc w:val="center"/>
              <w:rPr>
                <w:rFonts w:hint="eastAsia" w:ascii="宋体" w:hAnsi="宋体" w:eastAsia="宋体" w:cs="宋体"/>
                <w:color w:val="auto"/>
                <w:sz w:val="22"/>
                <w:szCs w:val="22"/>
                <w:highlight w:val="none"/>
              </w:rPr>
            </w:pPr>
          </w:p>
        </w:tc>
        <w:tc>
          <w:tcPr>
            <w:tcW w:w="999" w:type="pct"/>
            <w:vAlign w:val="center"/>
          </w:tcPr>
          <w:p w14:paraId="457A0074">
            <w:pPr>
              <w:jc w:val="center"/>
              <w:rPr>
                <w:rFonts w:hint="eastAsia" w:ascii="宋体" w:hAnsi="宋体" w:eastAsia="宋体" w:cs="宋体"/>
                <w:color w:val="auto"/>
                <w:sz w:val="22"/>
                <w:szCs w:val="22"/>
                <w:highlight w:val="none"/>
              </w:rPr>
            </w:pPr>
          </w:p>
        </w:tc>
        <w:tc>
          <w:tcPr>
            <w:tcW w:w="1000" w:type="pct"/>
            <w:vAlign w:val="center"/>
          </w:tcPr>
          <w:p w14:paraId="4575E79D">
            <w:pPr>
              <w:jc w:val="center"/>
              <w:rPr>
                <w:rFonts w:hint="eastAsia" w:ascii="宋体" w:hAnsi="宋体" w:eastAsia="宋体" w:cs="宋体"/>
                <w:color w:val="auto"/>
                <w:sz w:val="22"/>
                <w:szCs w:val="22"/>
                <w:highlight w:val="none"/>
              </w:rPr>
            </w:pPr>
          </w:p>
        </w:tc>
        <w:tc>
          <w:tcPr>
            <w:tcW w:w="1000" w:type="pct"/>
            <w:vAlign w:val="center"/>
          </w:tcPr>
          <w:p w14:paraId="18503288">
            <w:pPr>
              <w:jc w:val="center"/>
              <w:rPr>
                <w:rFonts w:hint="eastAsia" w:ascii="宋体" w:hAnsi="宋体" w:eastAsia="宋体" w:cs="宋体"/>
                <w:color w:val="auto"/>
                <w:sz w:val="22"/>
                <w:szCs w:val="22"/>
                <w:highlight w:val="none"/>
              </w:rPr>
            </w:pPr>
          </w:p>
        </w:tc>
      </w:tr>
    </w:tbl>
    <w:p w14:paraId="22703B3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98AD7C6">
      <w:pPr>
        <w:spacing w:line="460" w:lineRule="exact"/>
        <w:ind w:firstLine="5500" w:firstLineChars="25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176A2016">
      <w:pPr>
        <w:spacing w:line="460" w:lineRule="exact"/>
        <w:ind w:firstLine="5500" w:firstLineChars="25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14:paraId="57F63E16">
      <w:pPr>
        <w:spacing w:line="460" w:lineRule="exact"/>
        <w:ind w:firstLine="5500" w:firstLineChars="25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1E8DE336">
      <w:pPr>
        <w:spacing w:line="460" w:lineRule="exact"/>
        <w:rPr>
          <w:rFonts w:hint="eastAsia" w:ascii="宋体" w:hAnsi="宋体" w:eastAsia="宋体" w:cs="宋体"/>
          <w:color w:val="auto"/>
          <w:sz w:val="22"/>
          <w:szCs w:val="22"/>
          <w:highlight w:val="none"/>
        </w:rPr>
      </w:pPr>
    </w:p>
    <w:p w14:paraId="77123554">
      <w:pPr>
        <w:spacing w:line="460" w:lineRule="exact"/>
        <w:jc w:val="left"/>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bookmarkStart w:id="45" w:name="_Toc10895"/>
      <w:bookmarkStart w:id="46" w:name="_Toc10261"/>
      <w:bookmarkStart w:id="47" w:name="_Toc4652"/>
      <w:bookmarkStart w:id="48" w:name="_Toc14865"/>
      <w:r>
        <w:rPr>
          <w:rFonts w:hint="eastAsia" w:ascii="宋体" w:hAnsi="宋体" w:eastAsia="宋体" w:cs="宋体"/>
          <w:b/>
          <w:bCs/>
          <w:color w:val="auto"/>
          <w:sz w:val="36"/>
          <w:szCs w:val="36"/>
          <w:highlight w:val="none"/>
        </w:rPr>
        <w:t>附件</w:t>
      </w:r>
      <w:bookmarkEnd w:id="45"/>
      <w:bookmarkEnd w:id="46"/>
      <w:bookmarkEnd w:id="47"/>
      <w:bookmarkEnd w:id="48"/>
      <w:r>
        <w:rPr>
          <w:rFonts w:hint="eastAsia" w:ascii="宋体" w:hAnsi="宋体" w:eastAsia="宋体" w:cs="宋体"/>
          <w:b/>
          <w:bCs/>
          <w:color w:val="auto"/>
          <w:sz w:val="36"/>
          <w:szCs w:val="36"/>
          <w:highlight w:val="none"/>
        </w:rPr>
        <w:t>五</w:t>
      </w:r>
    </w:p>
    <w:p w14:paraId="662B6E30">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场地情况</w:t>
      </w:r>
    </w:p>
    <w:p w14:paraId="691A4EBC">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认证证书</w:t>
      </w:r>
    </w:p>
    <w:p w14:paraId="5C1966B5">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项目案例业绩</w:t>
      </w:r>
    </w:p>
    <w:p w14:paraId="1640DD6F">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供货保证措施</w:t>
      </w:r>
    </w:p>
    <w:p w14:paraId="787F7201">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质量保证及售后服务</w:t>
      </w:r>
    </w:p>
    <w:p w14:paraId="1C6F4E6E">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配送能力</w:t>
      </w:r>
    </w:p>
    <w:p w14:paraId="19189DD7">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食品检测设备</w:t>
      </w:r>
    </w:p>
    <w:p w14:paraId="3DEAACB6">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项目组成员</w:t>
      </w:r>
    </w:p>
    <w:p w14:paraId="0077BF62">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管理的规范性</w:t>
      </w:r>
    </w:p>
    <w:p w14:paraId="3F5A0B5E">
      <w:pPr>
        <w:spacing w:line="560" w:lineRule="exact"/>
        <w:ind w:firstLine="562" w:firstLineChars="200"/>
        <w:jc w:val="left"/>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突发事件应急预案</w:t>
      </w:r>
    </w:p>
    <w:p w14:paraId="5861110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4570175">
      <w:pPr>
        <w:spacing w:line="460" w:lineRule="exact"/>
        <w:jc w:val="left"/>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附件六</w:t>
      </w:r>
    </w:p>
    <w:p w14:paraId="2EF86550">
      <w:pPr>
        <w:spacing w:line="560" w:lineRule="exact"/>
        <w:jc w:val="center"/>
        <w:outlineLvl w:val="2"/>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其他必要提供的资料</w:t>
      </w:r>
    </w:p>
    <w:p w14:paraId="2E3DB90A">
      <w:pPr>
        <w:autoSpaceDE w:val="0"/>
        <w:autoSpaceDN w:val="0"/>
        <w:spacing w:line="360" w:lineRule="auto"/>
        <w:ind w:right="893"/>
        <w:textAlignment w:val="bottom"/>
        <w:rPr>
          <w:rFonts w:hint="eastAsia" w:ascii="宋体" w:hAnsi="宋体" w:eastAsia="宋体" w:cs="宋体"/>
          <w:b/>
          <w:bCs/>
          <w:color w:val="auto"/>
          <w:sz w:val="22"/>
          <w:szCs w:val="22"/>
          <w:highlight w:val="none"/>
        </w:rPr>
      </w:pPr>
      <w:r>
        <w:rPr>
          <w:rFonts w:hint="eastAsia" w:ascii="宋体" w:hAnsi="宋体" w:eastAsia="宋体" w:cs="宋体"/>
          <w:bCs/>
          <w:color w:val="auto"/>
          <w:sz w:val="22"/>
          <w:highlight w:val="none"/>
        </w:rPr>
        <w:t>项目名称：                                                   项目编号：</w:t>
      </w:r>
    </w:p>
    <w:tbl>
      <w:tblPr>
        <w:tblStyle w:val="51"/>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2B3C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tcPr>
          <w:p w14:paraId="657C5513">
            <w:pPr>
              <w:pStyle w:val="259"/>
              <w:spacing w:line="460" w:lineRule="exact"/>
              <w:jc w:val="center"/>
              <w:rPr>
                <w:rFonts w:hint="eastAsia" w:ascii="宋体" w:hAnsi="宋体" w:eastAsia="宋体" w:cs="宋体"/>
                <w:color w:val="auto"/>
                <w:highlight w:val="none"/>
              </w:rPr>
            </w:pPr>
            <w:r>
              <w:rPr>
                <w:rFonts w:hint="eastAsia" w:ascii="宋体" w:hAnsi="宋体" w:eastAsia="宋体" w:cs="宋体"/>
                <w:b/>
                <w:color w:val="auto"/>
                <w:sz w:val="24"/>
                <w:szCs w:val="24"/>
                <w:highlight w:val="none"/>
                <w:u w:val="single"/>
              </w:rPr>
              <w:t>（根据评标标准自行提供）</w:t>
            </w:r>
          </w:p>
        </w:tc>
      </w:tr>
    </w:tbl>
    <w:p w14:paraId="05D5180D">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7FB28F27">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14:paraId="22F46831">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4E2F9B8C">
      <w:pPr>
        <w:spacing w:line="460" w:lineRule="exact"/>
        <w:rPr>
          <w:rFonts w:hint="eastAsia" w:ascii="宋体" w:hAnsi="宋体" w:eastAsia="宋体" w:cs="宋体"/>
          <w:color w:val="auto"/>
          <w:sz w:val="22"/>
          <w:szCs w:val="22"/>
          <w:highlight w:val="none"/>
        </w:rPr>
      </w:pPr>
    </w:p>
    <w:p w14:paraId="5777DC62">
      <w:pPr>
        <w:jc w:val="center"/>
        <w:rPr>
          <w:rFonts w:hint="eastAsia" w:ascii="宋体" w:hAnsi="宋体" w:eastAsia="宋体" w:cs="宋体"/>
          <w:b/>
          <w:color w:val="auto"/>
          <w:sz w:val="28"/>
          <w:szCs w:val="28"/>
          <w:highlight w:val="none"/>
        </w:rPr>
      </w:pPr>
    </w:p>
    <w:p w14:paraId="2CE0ABE6">
      <w:pPr>
        <w:jc w:val="center"/>
        <w:rPr>
          <w:rFonts w:hint="eastAsia" w:ascii="宋体" w:hAnsi="宋体" w:eastAsia="宋体" w:cs="宋体"/>
          <w:b/>
          <w:color w:val="auto"/>
          <w:sz w:val="28"/>
          <w:szCs w:val="28"/>
          <w:highlight w:val="none"/>
        </w:rPr>
      </w:pPr>
    </w:p>
    <w:p w14:paraId="50DB2324">
      <w:pPr>
        <w:rPr>
          <w:rFonts w:hint="eastAsia" w:ascii="宋体" w:hAnsi="宋体" w:eastAsia="宋体" w:cs="宋体"/>
          <w:color w:val="auto"/>
          <w:highlight w:val="none"/>
        </w:rPr>
      </w:pPr>
    </w:p>
    <w:p w14:paraId="2A9ADFB8">
      <w:pPr>
        <w:rPr>
          <w:rFonts w:hint="eastAsia" w:ascii="宋体" w:hAnsi="宋体" w:eastAsia="宋体" w:cs="宋体"/>
          <w:color w:val="auto"/>
          <w:highlight w:val="none"/>
        </w:rPr>
      </w:pPr>
    </w:p>
    <w:p w14:paraId="655BF870">
      <w:pPr>
        <w:rPr>
          <w:rFonts w:hint="eastAsia" w:ascii="宋体" w:hAnsi="宋体" w:eastAsia="宋体" w:cs="宋体"/>
          <w:color w:val="auto"/>
          <w:highlight w:val="none"/>
        </w:rPr>
      </w:pPr>
    </w:p>
    <w:p w14:paraId="5C4515F6">
      <w:pPr>
        <w:rPr>
          <w:rFonts w:hint="eastAsia" w:ascii="宋体" w:hAnsi="宋体" w:eastAsia="宋体" w:cs="宋体"/>
          <w:color w:val="auto"/>
          <w:highlight w:val="none"/>
        </w:rPr>
      </w:pPr>
    </w:p>
    <w:p w14:paraId="5F9743BA">
      <w:pPr>
        <w:rPr>
          <w:rFonts w:hint="eastAsia" w:ascii="宋体" w:hAnsi="宋体" w:eastAsia="宋体" w:cs="宋体"/>
          <w:color w:val="auto"/>
          <w:highlight w:val="none"/>
        </w:rPr>
      </w:pPr>
    </w:p>
    <w:p w14:paraId="1A518EB3">
      <w:pPr>
        <w:rPr>
          <w:rFonts w:hint="eastAsia" w:ascii="宋体" w:hAnsi="宋体" w:eastAsia="宋体" w:cs="宋体"/>
          <w:color w:val="auto"/>
          <w:highlight w:val="none"/>
        </w:rPr>
      </w:pPr>
    </w:p>
    <w:p w14:paraId="45A7E283">
      <w:pPr>
        <w:rPr>
          <w:rFonts w:hint="eastAsia" w:ascii="宋体" w:hAnsi="宋体" w:eastAsia="宋体" w:cs="宋体"/>
          <w:color w:val="auto"/>
          <w:highlight w:val="none"/>
        </w:rPr>
      </w:pPr>
    </w:p>
    <w:p w14:paraId="57F0016E">
      <w:pPr>
        <w:rPr>
          <w:rFonts w:hint="eastAsia" w:ascii="宋体" w:hAnsi="宋体" w:eastAsia="宋体" w:cs="宋体"/>
          <w:color w:val="auto"/>
          <w:highlight w:val="none"/>
        </w:rPr>
      </w:pPr>
    </w:p>
    <w:p w14:paraId="71DC9EA2">
      <w:pPr>
        <w:rPr>
          <w:rFonts w:hint="eastAsia" w:ascii="宋体" w:hAnsi="宋体" w:eastAsia="宋体" w:cs="宋体"/>
          <w:color w:val="auto"/>
          <w:highlight w:val="none"/>
        </w:rPr>
      </w:pPr>
    </w:p>
    <w:p w14:paraId="2602884D">
      <w:pPr>
        <w:jc w:val="center"/>
        <w:rPr>
          <w:rFonts w:hint="eastAsia" w:ascii="宋体" w:hAnsi="宋体" w:eastAsia="宋体" w:cs="宋体"/>
          <w:b/>
          <w:color w:val="auto"/>
          <w:sz w:val="28"/>
          <w:szCs w:val="28"/>
          <w:highlight w:val="none"/>
        </w:rPr>
      </w:pPr>
    </w:p>
    <w:p w14:paraId="14CA0F8A">
      <w:pPr>
        <w:jc w:val="center"/>
        <w:rPr>
          <w:rFonts w:hint="eastAsia" w:ascii="宋体" w:hAnsi="宋体" w:eastAsia="宋体" w:cs="宋体"/>
          <w:b/>
          <w:color w:val="auto"/>
          <w:sz w:val="28"/>
          <w:szCs w:val="28"/>
          <w:highlight w:val="none"/>
        </w:rPr>
      </w:pPr>
    </w:p>
    <w:p w14:paraId="1DF1DCD6">
      <w:pPr>
        <w:jc w:val="center"/>
        <w:rPr>
          <w:rFonts w:hint="eastAsia" w:ascii="宋体" w:hAnsi="宋体" w:eastAsia="宋体" w:cs="宋体"/>
          <w:b/>
          <w:color w:val="auto"/>
          <w:sz w:val="28"/>
          <w:szCs w:val="28"/>
          <w:highlight w:val="none"/>
        </w:rPr>
      </w:pPr>
    </w:p>
    <w:p w14:paraId="73175D47">
      <w:pPr>
        <w:jc w:val="center"/>
        <w:rPr>
          <w:rFonts w:hint="eastAsia" w:ascii="宋体" w:hAnsi="宋体" w:eastAsia="宋体" w:cs="宋体"/>
          <w:b/>
          <w:color w:val="auto"/>
          <w:sz w:val="28"/>
          <w:szCs w:val="28"/>
          <w:highlight w:val="none"/>
        </w:rPr>
      </w:pPr>
    </w:p>
    <w:p w14:paraId="29E64D40">
      <w:pPr>
        <w:jc w:val="center"/>
        <w:rPr>
          <w:rFonts w:hint="eastAsia" w:ascii="宋体" w:hAnsi="宋体" w:eastAsia="宋体" w:cs="宋体"/>
          <w:b/>
          <w:color w:val="auto"/>
          <w:sz w:val="28"/>
          <w:szCs w:val="28"/>
          <w:highlight w:val="none"/>
        </w:rPr>
      </w:pPr>
    </w:p>
    <w:p w14:paraId="3724BA10">
      <w:pPr>
        <w:jc w:val="center"/>
        <w:rPr>
          <w:rFonts w:hint="eastAsia" w:ascii="宋体" w:hAnsi="宋体" w:eastAsia="宋体" w:cs="宋体"/>
          <w:b/>
          <w:color w:val="auto"/>
          <w:sz w:val="28"/>
          <w:szCs w:val="28"/>
          <w:highlight w:val="none"/>
        </w:rPr>
      </w:pPr>
    </w:p>
    <w:p w14:paraId="4E4C5F45">
      <w:pPr>
        <w:jc w:val="center"/>
        <w:rPr>
          <w:rFonts w:hint="eastAsia" w:ascii="宋体" w:hAnsi="宋体" w:eastAsia="宋体" w:cs="宋体"/>
          <w:b/>
          <w:color w:val="auto"/>
          <w:sz w:val="28"/>
          <w:szCs w:val="28"/>
          <w:highlight w:val="none"/>
        </w:rPr>
      </w:pPr>
    </w:p>
    <w:p w14:paraId="285C8668">
      <w:pPr>
        <w:jc w:val="center"/>
        <w:rPr>
          <w:rFonts w:hint="eastAsia" w:ascii="宋体" w:hAnsi="宋体" w:eastAsia="宋体" w:cs="宋体"/>
          <w:b/>
          <w:color w:val="auto"/>
          <w:sz w:val="28"/>
          <w:szCs w:val="28"/>
          <w:highlight w:val="none"/>
        </w:rPr>
      </w:pPr>
    </w:p>
    <w:p w14:paraId="10AE347F">
      <w:pPr>
        <w:jc w:val="center"/>
        <w:outlineLvl w:val="0"/>
        <w:rPr>
          <w:rFonts w:hint="eastAsia" w:ascii="宋体" w:hAnsi="宋体" w:eastAsia="宋体" w:cs="宋体"/>
          <w:b/>
          <w:bCs/>
          <w:color w:val="auto"/>
          <w:sz w:val="52"/>
          <w:szCs w:val="52"/>
          <w:highlight w:val="none"/>
        </w:rPr>
      </w:pPr>
      <w:bookmarkStart w:id="49" w:name="_Toc10679"/>
      <w:r>
        <w:rPr>
          <w:rFonts w:hint="eastAsia" w:ascii="宋体" w:hAnsi="宋体" w:eastAsia="宋体" w:cs="宋体"/>
          <w:b/>
          <w:bCs/>
          <w:color w:val="auto"/>
          <w:sz w:val="52"/>
          <w:szCs w:val="52"/>
          <w:highlight w:val="none"/>
        </w:rPr>
        <w:t>第二册</w:t>
      </w:r>
      <w:bookmarkEnd w:id="49"/>
    </w:p>
    <w:p w14:paraId="57C7F002">
      <w:pPr>
        <w:jc w:val="center"/>
        <w:rPr>
          <w:rFonts w:hint="eastAsia" w:ascii="宋体" w:hAnsi="宋体" w:eastAsia="宋体" w:cs="宋体"/>
          <w:b/>
          <w:bCs/>
          <w:color w:val="auto"/>
          <w:sz w:val="48"/>
          <w:highlight w:val="none"/>
        </w:rPr>
      </w:pPr>
    </w:p>
    <w:p w14:paraId="56B3472E">
      <w:pPr>
        <w:jc w:val="center"/>
        <w:outlineLvl w:val="1"/>
        <w:rPr>
          <w:rFonts w:hint="eastAsia" w:ascii="宋体" w:hAnsi="宋体" w:eastAsia="宋体" w:cs="宋体"/>
          <w:b/>
          <w:bCs/>
          <w:color w:val="auto"/>
          <w:sz w:val="48"/>
          <w:highlight w:val="none"/>
        </w:rPr>
      </w:pPr>
      <w:bookmarkStart w:id="50" w:name="_Toc13399"/>
      <w:r>
        <w:rPr>
          <w:rFonts w:hint="eastAsia" w:ascii="宋体" w:hAnsi="宋体" w:eastAsia="宋体" w:cs="宋体"/>
          <w:b/>
          <w:bCs/>
          <w:color w:val="auto"/>
          <w:sz w:val="48"/>
          <w:highlight w:val="none"/>
        </w:rPr>
        <w:t>专 用 文 本</w:t>
      </w:r>
      <w:bookmarkEnd w:id="50"/>
    </w:p>
    <w:p w14:paraId="3D35D168">
      <w:pPr>
        <w:jc w:val="center"/>
        <w:rPr>
          <w:rFonts w:hint="eastAsia" w:ascii="宋体" w:hAnsi="宋体" w:eastAsia="宋体" w:cs="宋体"/>
          <w:b/>
          <w:bCs/>
          <w:color w:val="auto"/>
          <w:sz w:val="48"/>
          <w:highlight w:val="none"/>
        </w:rPr>
      </w:pPr>
    </w:p>
    <w:p w14:paraId="1862A706">
      <w:pPr>
        <w:spacing w:line="460" w:lineRule="exact"/>
        <w:jc w:val="center"/>
        <w:rPr>
          <w:rFonts w:hint="eastAsia" w:ascii="宋体" w:hAnsi="宋体" w:eastAsia="宋体" w:cs="宋体"/>
          <w:b/>
          <w:color w:val="auto"/>
          <w:sz w:val="32"/>
          <w:szCs w:val="32"/>
          <w:highlight w:val="none"/>
        </w:rPr>
      </w:pPr>
    </w:p>
    <w:p w14:paraId="046AC585">
      <w:pPr>
        <w:spacing w:line="460" w:lineRule="exact"/>
        <w:jc w:val="center"/>
        <w:rPr>
          <w:rFonts w:hint="eastAsia" w:ascii="宋体" w:hAnsi="宋体" w:eastAsia="宋体" w:cs="宋体"/>
          <w:b/>
          <w:color w:val="auto"/>
          <w:sz w:val="32"/>
          <w:szCs w:val="32"/>
          <w:highlight w:val="none"/>
        </w:rPr>
      </w:pPr>
    </w:p>
    <w:p w14:paraId="79155CF9">
      <w:pPr>
        <w:spacing w:line="460" w:lineRule="exact"/>
        <w:jc w:val="center"/>
        <w:rPr>
          <w:rFonts w:hint="eastAsia" w:ascii="宋体" w:hAnsi="宋体" w:eastAsia="宋体" w:cs="宋体"/>
          <w:b/>
          <w:color w:val="auto"/>
          <w:sz w:val="32"/>
          <w:szCs w:val="32"/>
          <w:highlight w:val="none"/>
        </w:rPr>
      </w:pPr>
    </w:p>
    <w:p w14:paraId="66616C6B">
      <w:pPr>
        <w:spacing w:line="460" w:lineRule="exact"/>
        <w:jc w:val="center"/>
        <w:rPr>
          <w:rFonts w:hint="eastAsia" w:ascii="宋体" w:hAnsi="宋体" w:eastAsia="宋体" w:cs="宋体"/>
          <w:b/>
          <w:color w:val="auto"/>
          <w:sz w:val="32"/>
          <w:szCs w:val="32"/>
          <w:highlight w:val="none"/>
        </w:rPr>
      </w:pPr>
    </w:p>
    <w:p w14:paraId="68EFB799">
      <w:pPr>
        <w:spacing w:line="460" w:lineRule="exact"/>
        <w:jc w:val="center"/>
        <w:rPr>
          <w:rFonts w:hint="eastAsia" w:ascii="宋体" w:hAnsi="宋体" w:eastAsia="宋体" w:cs="宋体"/>
          <w:b/>
          <w:color w:val="auto"/>
          <w:sz w:val="32"/>
          <w:szCs w:val="32"/>
          <w:highlight w:val="none"/>
        </w:rPr>
      </w:pPr>
    </w:p>
    <w:p w14:paraId="2E1EFD00">
      <w:pPr>
        <w:spacing w:line="460" w:lineRule="exact"/>
        <w:jc w:val="center"/>
        <w:rPr>
          <w:rFonts w:hint="eastAsia" w:ascii="宋体" w:hAnsi="宋体" w:eastAsia="宋体" w:cs="宋体"/>
          <w:b/>
          <w:color w:val="auto"/>
          <w:sz w:val="32"/>
          <w:szCs w:val="32"/>
          <w:highlight w:val="none"/>
        </w:rPr>
      </w:pPr>
    </w:p>
    <w:p w14:paraId="1C4DC770">
      <w:pPr>
        <w:spacing w:line="460" w:lineRule="exact"/>
        <w:jc w:val="center"/>
        <w:rPr>
          <w:rFonts w:hint="eastAsia" w:ascii="宋体" w:hAnsi="宋体" w:eastAsia="宋体" w:cs="宋体"/>
          <w:b/>
          <w:color w:val="auto"/>
          <w:sz w:val="32"/>
          <w:szCs w:val="32"/>
          <w:highlight w:val="none"/>
        </w:rPr>
      </w:pPr>
    </w:p>
    <w:p w14:paraId="3EE257DF">
      <w:pPr>
        <w:spacing w:line="460" w:lineRule="exact"/>
        <w:jc w:val="center"/>
        <w:rPr>
          <w:rFonts w:hint="eastAsia" w:ascii="宋体" w:hAnsi="宋体" w:eastAsia="宋体" w:cs="宋体"/>
          <w:b/>
          <w:color w:val="auto"/>
          <w:sz w:val="32"/>
          <w:szCs w:val="32"/>
          <w:highlight w:val="none"/>
        </w:rPr>
      </w:pPr>
    </w:p>
    <w:p w14:paraId="79933825">
      <w:pPr>
        <w:spacing w:line="460" w:lineRule="exact"/>
        <w:jc w:val="center"/>
        <w:rPr>
          <w:rFonts w:hint="eastAsia" w:ascii="宋体" w:hAnsi="宋体" w:eastAsia="宋体" w:cs="宋体"/>
          <w:b/>
          <w:color w:val="auto"/>
          <w:sz w:val="32"/>
          <w:szCs w:val="32"/>
          <w:highlight w:val="none"/>
        </w:rPr>
      </w:pPr>
    </w:p>
    <w:p w14:paraId="3E97E838">
      <w:pPr>
        <w:spacing w:line="460" w:lineRule="exact"/>
        <w:jc w:val="center"/>
        <w:rPr>
          <w:rFonts w:hint="eastAsia" w:ascii="宋体" w:hAnsi="宋体" w:eastAsia="宋体" w:cs="宋体"/>
          <w:b/>
          <w:color w:val="auto"/>
          <w:sz w:val="32"/>
          <w:szCs w:val="32"/>
          <w:highlight w:val="none"/>
        </w:rPr>
      </w:pPr>
    </w:p>
    <w:p w14:paraId="74ED6B5A">
      <w:pPr>
        <w:spacing w:line="460" w:lineRule="exact"/>
        <w:jc w:val="center"/>
        <w:rPr>
          <w:rFonts w:hint="eastAsia" w:ascii="宋体" w:hAnsi="宋体" w:eastAsia="宋体" w:cs="宋体"/>
          <w:b/>
          <w:color w:val="auto"/>
          <w:sz w:val="32"/>
          <w:szCs w:val="32"/>
          <w:highlight w:val="none"/>
        </w:rPr>
      </w:pPr>
    </w:p>
    <w:p w14:paraId="3E688F62">
      <w:pPr>
        <w:spacing w:line="460" w:lineRule="exact"/>
        <w:jc w:val="center"/>
        <w:rPr>
          <w:rFonts w:hint="eastAsia" w:ascii="宋体" w:hAnsi="宋体" w:eastAsia="宋体" w:cs="宋体"/>
          <w:b/>
          <w:color w:val="auto"/>
          <w:sz w:val="32"/>
          <w:szCs w:val="32"/>
          <w:highlight w:val="none"/>
        </w:rPr>
      </w:pPr>
    </w:p>
    <w:p w14:paraId="64828C89">
      <w:pPr>
        <w:pStyle w:val="23"/>
        <w:spacing w:line="460" w:lineRule="exact"/>
        <w:ind w:left="602" w:hanging="602"/>
        <w:jc w:val="center"/>
        <w:outlineLvl w:val="0"/>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bookmarkStart w:id="51" w:name="_Toc5805"/>
      <w:r>
        <w:rPr>
          <w:rFonts w:hint="eastAsia" w:ascii="宋体" w:hAnsi="宋体" w:eastAsia="宋体" w:cs="宋体"/>
          <w:b/>
          <w:color w:val="auto"/>
          <w:sz w:val="36"/>
          <w:szCs w:val="36"/>
          <w:highlight w:val="none"/>
        </w:rPr>
        <w:t>第四部分  招标内容及要求</w:t>
      </w:r>
      <w:bookmarkEnd w:id="51"/>
      <w:bookmarkStart w:id="52" w:name="_Toc221356895"/>
      <w:bookmarkStart w:id="53" w:name="_Toc221356958"/>
    </w:p>
    <w:bookmarkEnd w:id="52"/>
    <w:bookmarkEnd w:id="53"/>
    <w:p w14:paraId="78714084">
      <w:pPr>
        <w:overflowPunct w:val="0"/>
        <w:snapToGrid w:val="0"/>
        <w:spacing w:line="460" w:lineRule="exact"/>
        <w:rPr>
          <w:rFonts w:hint="eastAsia" w:ascii="宋体" w:hAnsi="宋体" w:eastAsia="宋体" w:cs="宋体"/>
          <w:b/>
          <w:color w:val="auto"/>
          <w:sz w:val="22"/>
          <w:szCs w:val="22"/>
          <w:highlight w:val="none"/>
        </w:rPr>
      </w:pPr>
      <w:bookmarkStart w:id="54" w:name="_Toc422946256"/>
      <w:r>
        <w:rPr>
          <w:rFonts w:hint="eastAsia" w:ascii="宋体" w:hAnsi="宋体" w:eastAsia="宋体" w:cs="宋体"/>
          <w:b/>
          <w:bCs/>
          <w:color w:val="auto"/>
          <w:sz w:val="22"/>
          <w:szCs w:val="22"/>
          <w:highlight w:val="none"/>
        </w:rPr>
        <w:t>一、</w:t>
      </w:r>
      <w:r>
        <w:rPr>
          <w:rFonts w:hint="eastAsia" w:ascii="宋体" w:hAnsi="宋体" w:eastAsia="宋体" w:cs="宋体"/>
          <w:b/>
          <w:color w:val="auto"/>
          <w:kern w:val="0"/>
          <w:sz w:val="22"/>
          <w:szCs w:val="22"/>
          <w:highlight w:val="none"/>
        </w:rPr>
        <w:t>原则及规范</w:t>
      </w:r>
    </w:p>
    <w:p w14:paraId="7E6E55B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1、投标人所投货物必须达到招标文件所规定的使用功能及要求（招标文件内另有说明的除外）。</w:t>
      </w:r>
    </w:p>
    <w:p w14:paraId="0B1ACEA3">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2、所涉及的产品标准、规范，验收标准、规范，应符合国家有关条例及规范，如有新的标准应采纳新标准，如是国外相应标准应得到</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认可。</w:t>
      </w:r>
    </w:p>
    <w:p w14:paraId="5D0C1E49">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cs="宋体"/>
          <w:bCs/>
          <w:sz w:val="22"/>
          <w:szCs w:val="22"/>
        </w:rPr>
        <w:t>采购内</w:t>
      </w:r>
      <w:r>
        <w:rPr>
          <w:rFonts w:hint="eastAsia" w:ascii="宋体" w:hAnsi="宋体" w:cs="宋体"/>
          <w:bCs/>
          <w:color w:val="auto"/>
          <w:sz w:val="22"/>
          <w:szCs w:val="22"/>
        </w:rPr>
        <w:t>容为米线面条、蔬菜类、调味品、冻禽</w:t>
      </w:r>
      <w:r>
        <w:rPr>
          <w:rFonts w:hint="eastAsia" w:ascii="宋体" w:hAnsi="宋体" w:cs="宋体"/>
          <w:bCs/>
          <w:sz w:val="22"/>
          <w:szCs w:val="22"/>
        </w:rPr>
        <w:t>类、肉类、鱼类（</w:t>
      </w:r>
      <w:r>
        <w:rPr>
          <w:rFonts w:hint="eastAsia" w:ascii="宋体" w:hAnsi="宋体" w:cs="宋体"/>
          <w:bCs/>
          <w:color w:val="auto"/>
          <w:sz w:val="22"/>
          <w:szCs w:val="22"/>
        </w:rPr>
        <w:t>水产品）、水果类等食材（</w:t>
      </w:r>
      <w:r>
        <w:rPr>
          <w:rFonts w:hint="eastAsia"/>
          <w:color w:val="auto"/>
        </w:rPr>
        <w:t>不含米面油）</w:t>
      </w:r>
      <w:r>
        <w:rPr>
          <w:rFonts w:hint="eastAsia" w:ascii="宋体" w:hAnsi="宋体" w:eastAsia="宋体" w:cs="宋体"/>
          <w:bCs/>
          <w:color w:val="auto"/>
          <w:sz w:val="22"/>
          <w:szCs w:val="22"/>
          <w:highlight w:val="none"/>
        </w:rPr>
        <w:t>。</w:t>
      </w:r>
    </w:p>
    <w:p w14:paraId="306918EF">
      <w:pPr>
        <w:snapToGrid w:val="0"/>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w:t>
      </w:r>
      <w:r>
        <w:rPr>
          <w:rFonts w:hint="eastAsia" w:ascii="宋体" w:hAnsi="宋体" w:eastAsia="宋体" w:cs="宋体"/>
          <w:bCs/>
          <w:color w:val="auto"/>
          <w:sz w:val="22"/>
          <w:szCs w:val="22"/>
          <w:highlight w:val="none"/>
        </w:rPr>
        <w:t>本次招标单位为温州市龙湾区消防救援大队，配送地点：</w:t>
      </w:r>
      <w:r>
        <w:rPr>
          <w:rFonts w:hint="eastAsia" w:ascii="宋体" w:hAnsi="宋体" w:cs="宋体"/>
          <w:bCs/>
          <w:color w:val="auto"/>
          <w:sz w:val="22"/>
          <w:szCs w:val="22"/>
          <w:highlight w:val="none"/>
          <w:lang w:eastAsia="zh-CN"/>
        </w:rPr>
        <w:t>采购人</w:t>
      </w:r>
      <w:r>
        <w:rPr>
          <w:rFonts w:hint="eastAsia" w:ascii="宋体" w:hAnsi="宋体" w:eastAsia="宋体" w:cs="宋体"/>
          <w:bCs/>
          <w:color w:val="auto"/>
          <w:sz w:val="22"/>
          <w:szCs w:val="22"/>
          <w:highlight w:val="none"/>
        </w:rPr>
        <w:t>指定的地点【永宁消防救援站（温州市龙湾区永中街道永宁西路666号）；永兴消防救援站（温州市龙湾区滨海六道1010号）；永中消防救援站（温州市龙湾区永中街道围垦路）；状元消防救援站（温州市龙湾区温州大道龙腾南路状元街道兴华路21号）】。</w:t>
      </w:r>
      <w:r>
        <w:rPr>
          <w:rFonts w:hint="eastAsia" w:ascii="宋体" w:hAnsi="宋体" w:cs="宋体"/>
          <w:b/>
          <w:color w:val="auto"/>
          <w:sz w:val="22"/>
          <w:szCs w:val="22"/>
          <w:highlight w:val="none"/>
          <w:lang w:eastAsia="zh-CN"/>
        </w:rPr>
        <w:t>投标人</w:t>
      </w:r>
      <w:r>
        <w:rPr>
          <w:rFonts w:hint="eastAsia" w:ascii="宋体" w:hAnsi="宋体" w:eastAsia="宋体" w:cs="宋体"/>
          <w:b/>
          <w:color w:val="auto"/>
          <w:sz w:val="22"/>
          <w:szCs w:val="22"/>
          <w:highlight w:val="none"/>
        </w:rPr>
        <w:t>须充分考虑自身服务网点距离、响应时间、临时突发增加菜品、紧急配送等情况，并做好相应的配送、应急等方案，为</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提供优质配送服务。</w:t>
      </w:r>
    </w:p>
    <w:p w14:paraId="5D5AAE8F">
      <w:pPr>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二、配送质量要求</w:t>
      </w:r>
    </w:p>
    <w:p w14:paraId="7157DA26">
      <w:pPr>
        <w:autoSpaceDE w:val="0"/>
        <w:autoSpaceDN w:val="0"/>
        <w:adjustRightInd w:val="0"/>
        <w:snapToGrid w:val="0"/>
        <w:spacing w:line="460" w:lineRule="exact"/>
        <w:ind w:firstLine="440" w:firstLineChars="200"/>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2"/>
          <w:szCs w:val="22"/>
          <w:highlight w:val="none"/>
          <w:lang w:val="zh-CN"/>
        </w:rPr>
        <w:t>食品原料要求新鲜、清洁卫生并符合相关规定，同时对每批次食品原料进行检测，并按国家相关规定出具产品证明合格材料。具体要求为：</w:t>
      </w:r>
    </w:p>
    <w:p w14:paraId="161475A7">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1</w:t>
      </w:r>
      <w:r>
        <w:rPr>
          <w:rFonts w:hint="eastAsia" w:ascii="宋体" w:hAnsi="宋体" w:eastAsia="宋体" w:cs="宋体"/>
          <w:b/>
          <w:bCs/>
          <w:color w:val="auto"/>
          <w:kern w:val="0"/>
          <w:sz w:val="22"/>
          <w:szCs w:val="22"/>
          <w:highlight w:val="none"/>
          <w:lang w:val="zh-CN"/>
        </w:rPr>
        <w:t>.辅料、半成品必须具有“SC”食品生产许可；</w:t>
      </w:r>
    </w:p>
    <w:p w14:paraId="117840A7">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2</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zh-CN"/>
        </w:rPr>
        <w:t>肉、禽、蛋、水产等必须具有动物检验检疫合格证明或化验单；</w:t>
      </w:r>
    </w:p>
    <w:p w14:paraId="183C9D83">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3</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zh-CN"/>
        </w:rPr>
        <w:t>蔬菜必须保证新鲜，按供货批次提供农贸市场蔬菜农药检测结果，且符合食品卫生安全法要求；</w:t>
      </w:r>
    </w:p>
    <w:p w14:paraId="5F6B76D5">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4</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zh-CN"/>
        </w:rPr>
        <w:t>采购货源必须持有与销售内容相对应的有效营业执照，食品生产许可证或食品经营许可证；</w:t>
      </w:r>
    </w:p>
    <w:p w14:paraId="0E6D9657">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5</w:t>
      </w:r>
      <w:r>
        <w:rPr>
          <w:rFonts w:hint="eastAsia" w:ascii="宋体" w:hAnsi="宋体" w:eastAsia="宋体" w:cs="宋体"/>
          <w:b/>
          <w:bCs/>
          <w:color w:val="auto"/>
          <w:kern w:val="0"/>
          <w:sz w:val="22"/>
          <w:szCs w:val="22"/>
          <w:highlight w:val="none"/>
        </w:rPr>
        <w:t>.</w:t>
      </w:r>
      <w:r>
        <w:rPr>
          <w:rFonts w:hint="eastAsia" w:ascii="宋体" w:hAnsi="宋体" w:cs="宋体"/>
          <w:b/>
          <w:bCs/>
          <w:color w:val="auto"/>
          <w:kern w:val="0"/>
          <w:sz w:val="22"/>
          <w:szCs w:val="22"/>
          <w:highlight w:val="none"/>
          <w:lang w:val="zh-CN"/>
        </w:rPr>
        <w:t>投标人</w:t>
      </w:r>
      <w:r>
        <w:rPr>
          <w:rFonts w:hint="eastAsia" w:ascii="宋体" w:hAnsi="宋体" w:eastAsia="宋体" w:cs="宋体"/>
          <w:b/>
          <w:bCs/>
          <w:color w:val="auto"/>
          <w:kern w:val="0"/>
          <w:sz w:val="22"/>
          <w:szCs w:val="22"/>
          <w:highlight w:val="none"/>
          <w:lang w:val="zh-CN"/>
        </w:rPr>
        <w:t>负责供货产品的食品安全，须做到来源可溯；</w:t>
      </w:r>
    </w:p>
    <w:p w14:paraId="59B3118C">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cs="宋体"/>
          <w:b/>
          <w:bCs/>
          <w:color w:val="auto"/>
          <w:kern w:val="0"/>
          <w:sz w:val="22"/>
          <w:szCs w:val="22"/>
          <w:highlight w:val="none"/>
          <w:lang w:val="en-US" w:eastAsia="zh-CN"/>
        </w:rPr>
        <w:t>6</w:t>
      </w:r>
      <w:r>
        <w:rPr>
          <w:rFonts w:hint="eastAsia" w:ascii="宋体" w:hAnsi="宋体" w:eastAsia="宋体" w:cs="宋体"/>
          <w:b/>
          <w:bCs/>
          <w:color w:val="auto"/>
          <w:kern w:val="0"/>
          <w:sz w:val="22"/>
          <w:szCs w:val="22"/>
          <w:highlight w:val="none"/>
        </w:rPr>
        <w:t>.</w:t>
      </w:r>
      <w:r>
        <w:rPr>
          <w:rFonts w:hint="eastAsia" w:ascii="宋体" w:hAnsi="宋体" w:eastAsia="宋体" w:cs="宋体"/>
          <w:b/>
          <w:bCs/>
          <w:color w:val="auto"/>
          <w:kern w:val="0"/>
          <w:sz w:val="22"/>
          <w:szCs w:val="22"/>
          <w:highlight w:val="none"/>
          <w:lang w:val="zh-CN"/>
        </w:rPr>
        <w:t>具体配送产品品质要求详见“三： 对配送产品品质的基本要求”。</w:t>
      </w:r>
    </w:p>
    <w:p w14:paraId="43C8EF97">
      <w:pPr>
        <w:snapToGrid w:val="0"/>
        <w:spacing w:line="460" w:lineRule="exact"/>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三、 对配送产品品质的基本要求</w:t>
      </w:r>
    </w:p>
    <w:tbl>
      <w:tblPr>
        <w:tblStyle w:val="51"/>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993"/>
        <w:gridCol w:w="4650"/>
        <w:gridCol w:w="3940"/>
      </w:tblGrid>
      <w:tr w14:paraId="373D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37" w:type="dxa"/>
            <w:gridSpan w:val="2"/>
            <w:vAlign w:val="center"/>
          </w:tcPr>
          <w:p w14:paraId="046AA399">
            <w:pPr>
              <w:snapToGrid w:val="0"/>
              <w:spacing w:before="15" w:line="460" w:lineRule="exact"/>
              <w:ind w:right="3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4650" w:type="dxa"/>
            <w:vAlign w:val="center"/>
          </w:tcPr>
          <w:p w14:paraId="5DA027D3">
            <w:pPr>
              <w:snapToGrid w:val="0"/>
              <w:spacing w:before="15" w:line="460" w:lineRule="exact"/>
              <w:ind w:right="3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验收标准</w:t>
            </w:r>
          </w:p>
        </w:tc>
        <w:tc>
          <w:tcPr>
            <w:tcW w:w="3940" w:type="dxa"/>
            <w:vAlign w:val="center"/>
          </w:tcPr>
          <w:p w14:paraId="2BE00D1C">
            <w:pPr>
              <w:snapToGrid w:val="0"/>
              <w:spacing w:before="15" w:line="460" w:lineRule="exact"/>
              <w:ind w:right="3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退货依据</w:t>
            </w:r>
          </w:p>
        </w:tc>
      </w:tr>
      <w:tr w14:paraId="769D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7" w:type="dxa"/>
            <w:gridSpan w:val="2"/>
            <w:vAlign w:val="center"/>
          </w:tcPr>
          <w:p w14:paraId="58E3E345">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辅料及其他 </w:t>
            </w:r>
          </w:p>
        </w:tc>
        <w:tc>
          <w:tcPr>
            <w:tcW w:w="4650" w:type="dxa"/>
            <w:vAlign w:val="center"/>
          </w:tcPr>
          <w:p w14:paraId="6D8C6A0D">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根据采购要求提供各类货品，保证新鲜度，注意保质期，外包装清洁卫生，完整坚固，且包装上的商品名称、厂址、规格等与内容物相符，标示清晰，批次清楚等；食用油要求非转基因食用油。</w:t>
            </w:r>
          </w:p>
        </w:tc>
        <w:tc>
          <w:tcPr>
            <w:tcW w:w="3940" w:type="dxa"/>
            <w:vAlign w:val="center"/>
          </w:tcPr>
          <w:p w14:paraId="281D6824">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(1)不符合验收标准的、无“SC”食品生产许可的产品。 (2)无品名、产地、厂名、生产日期、保质期及中文标识及原料说明的定型包装食品。 (3)超过保质期内的三分之一期限或不符合食品标签规定的定型包装食品。 (4)腐败变质,油脂酸败,霉变,生虫,污秽不洁,混有异物或者其他感官性状异常,含有毒,有害物质污染,可能对人体健康有害的食品。</w:t>
            </w:r>
          </w:p>
        </w:tc>
      </w:tr>
      <w:tr w14:paraId="042C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37" w:type="dxa"/>
            <w:gridSpan w:val="2"/>
            <w:vAlign w:val="center"/>
          </w:tcPr>
          <w:p w14:paraId="39F8ABAF">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生粉</w:t>
            </w:r>
          </w:p>
        </w:tc>
        <w:tc>
          <w:tcPr>
            <w:tcW w:w="4650" w:type="dxa"/>
            <w:vAlign w:val="center"/>
          </w:tcPr>
          <w:p w14:paraId="6D3975F5">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根据采购要求提供各类货品，保证新鲜度，注意保质期，外包装清洁卫生，完整坚固，且包装上的商品名称、厂址、规格等与内容物相符，标示清晰，批次清楚等，具有食品质量安全认证。</w:t>
            </w:r>
          </w:p>
        </w:tc>
        <w:tc>
          <w:tcPr>
            <w:tcW w:w="3940" w:type="dxa"/>
            <w:vAlign w:val="center"/>
          </w:tcPr>
          <w:p w14:paraId="2D1E714B">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不符合验收标准的、无“SC”食品生产许可的产品。(2)无品名、产地、厂名、生产日期、保质期及中文标识及原料说明的定型包装食品。(3)超过保质期限三分之一期限或不符合食品标签规定的定型包装食品。(4)腐败变质,油脂酸败,霉变,生虫,污秽不洁, 混有异物或者其他感官性状异常,含有毒,有害物质污染,可能对人体健康有害的食品。</w:t>
            </w:r>
          </w:p>
        </w:tc>
      </w:tr>
      <w:tr w14:paraId="5D5A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37" w:type="dxa"/>
            <w:gridSpan w:val="2"/>
            <w:vAlign w:val="center"/>
          </w:tcPr>
          <w:p w14:paraId="625AF2DD">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米线面条</w:t>
            </w:r>
          </w:p>
        </w:tc>
        <w:tc>
          <w:tcPr>
            <w:tcW w:w="4650" w:type="dxa"/>
            <w:vAlign w:val="center"/>
          </w:tcPr>
          <w:p w14:paraId="18B58561">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根据采购要求提供各类货品，保证新鲜度，注意保质期，外包装清洁卫生，完整坚固，且包装上的商品名称、厂址、规格等与内容物相符，标示清晰，批次清楚等。 </w:t>
            </w:r>
          </w:p>
        </w:tc>
        <w:tc>
          <w:tcPr>
            <w:tcW w:w="3940" w:type="dxa"/>
            <w:vAlign w:val="center"/>
          </w:tcPr>
          <w:p w14:paraId="41DD67C7">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(1)不符合验收标准的、无“SC”食品生产许可的产品。 (2)无品名、产地、厂名、生产日期、保质期及中文标识及原料说明的定型包装食品。 (3)超过保质期限三分之一期限或不符合食品标签规定的定型包装食品。 (4)腐败变质,油脂酸败,霉变,生虫,污秽不洁,混有异物或者其他感官性状异常,含有毒,有害物质污染,可能对人体健康有害的食品。</w:t>
            </w:r>
          </w:p>
        </w:tc>
      </w:tr>
      <w:tr w14:paraId="5D39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437" w:type="dxa"/>
            <w:gridSpan w:val="2"/>
            <w:vAlign w:val="center"/>
          </w:tcPr>
          <w:p w14:paraId="1566B6BD">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调味品</w:t>
            </w:r>
          </w:p>
        </w:tc>
        <w:tc>
          <w:tcPr>
            <w:tcW w:w="4650" w:type="dxa"/>
            <w:vAlign w:val="center"/>
          </w:tcPr>
          <w:p w14:paraId="018146EA">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根据采购要求提供各类货品，保证新鲜度，注意保质期，外包装清洁卫生，完整坚固，且包装上的商品名称、厂址、规格等与内容物相符，标示清晰，批次清楚等。 </w:t>
            </w:r>
          </w:p>
        </w:tc>
        <w:tc>
          <w:tcPr>
            <w:tcW w:w="3940" w:type="dxa"/>
            <w:vAlign w:val="center"/>
          </w:tcPr>
          <w:p w14:paraId="27C01CE6">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(1)不符合验收标准的、无“SC”食品生产许可的产品。 (2)无品名、产地、厂名、生产日期、保质期及中文标识及原料说明的定型包装食品。 (3)超过保质期限三分之一期限或不符合食品标签规定的定型包装食品。 (4)腐败变质,油脂酸败,霉变,生虫,污秽不洁,混有异物或者其他感官性状异常,含有毒,有害物质污染,可能对人体健康有害的食品。</w:t>
            </w:r>
          </w:p>
        </w:tc>
      </w:tr>
      <w:tr w14:paraId="413F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437" w:type="dxa"/>
            <w:gridSpan w:val="2"/>
            <w:vAlign w:val="center"/>
          </w:tcPr>
          <w:p w14:paraId="4980D8A4">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冻禽</w:t>
            </w:r>
            <w:r>
              <w:rPr>
                <w:rFonts w:hint="eastAsia" w:ascii="宋体" w:hAnsi="宋体" w:cs="宋体"/>
                <w:color w:val="auto"/>
                <w:sz w:val="22"/>
                <w:szCs w:val="22"/>
                <w:highlight w:val="none"/>
                <w:lang w:eastAsia="zh-CN"/>
              </w:rPr>
              <w:t>（</w:t>
            </w:r>
            <w:r>
              <w:rPr>
                <w:rFonts w:hint="eastAsia" w:ascii="宋体" w:hAnsi="宋体" w:cs="宋体"/>
                <w:color w:val="auto"/>
                <w:szCs w:val="21"/>
              </w:rPr>
              <w:t>冻产品</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类 </w:t>
            </w:r>
          </w:p>
        </w:tc>
        <w:tc>
          <w:tcPr>
            <w:tcW w:w="4650" w:type="dxa"/>
            <w:vAlign w:val="center"/>
          </w:tcPr>
          <w:p w14:paraId="62514128">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根据采购要求提供各类货品，皮肤有光泽，呈淡黄、淡红、灰白色等，肌肉切面有光泽，解冻后指压后凹陷恢复得快，且能完全恢复</w:t>
            </w:r>
            <w:r>
              <w:rPr>
                <w:rStyle w:val="63"/>
                <w:rFonts w:hint="eastAsia" w:ascii="宋体" w:hAnsi="宋体" w:eastAsia="宋体" w:cs="宋体"/>
                <w:color w:val="auto"/>
                <w:sz w:val="22"/>
                <w:szCs w:val="22"/>
                <w:highlight w:val="none"/>
              </w:rPr>
              <w:t>。</w:t>
            </w:r>
            <w:r>
              <w:rPr>
                <w:rFonts w:hint="eastAsia" w:ascii="宋体" w:hAnsi="宋体" w:cs="宋体"/>
                <w:color w:val="auto"/>
                <w:szCs w:val="21"/>
              </w:rPr>
              <w:t>冷冻产品应包装完好地贮存在-15℃至-18℃的冷库内，冷库期不得超过9个月。</w:t>
            </w:r>
          </w:p>
        </w:tc>
        <w:tc>
          <w:tcPr>
            <w:tcW w:w="3940" w:type="dxa"/>
            <w:vAlign w:val="center"/>
          </w:tcPr>
          <w:p w14:paraId="5CB3D16F">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干缩凹陷、表面干燥粘手，新切面湿润粘手，肌肉松弛，指压后凹陷不能恢复，并由明显的痕迹；有腐败味或霉味。 </w:t>
            </w:r>
          </w:p>
        </w:tc>
      </w:tr>
      <w:tr w14:paraId="0291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7" w:type="dxa"/>
            <w:gridSpan w:val="2"/>
            <w:vAlign w:val="center"/>
          </w:tcPr>
          <w:p w14:paraId="4CD6B978">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肉类 </w:t>
            </w:r>
          </w:p>
        </w:tc>
        <w:tc>
          <w:tcPr>
            <w:tcW w:w="4650" w:type="dxa"/>
            <w:vAlign w:val="center"/>
          </w:tcPr>
          <w:p w14:paraId="5FD36990">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1、所供货物应保持较好的外观和质量等级，严格遵守《动物检疫法》、《生猪屠宰管理条列》、</w:t>
            </w:r>
            <w:r>
              <w:rPr>
                <w:rFonts w:hint="eastAsia"/>
                <w:highlight w:val="none"/>
                <w:lang w:val="en-US" w:eastAsia="zh-CN"/>
              </w:rPr>
              <w:t>《中华人民共和国食品安全法》</w:t>
            </w:r>
            <w:r>
              <w:rPr>
                <w:rFonts w:hint="eastAsia" w:ascii="宋体" w:hAnsi="宋体" w:eastAsia="宋体" w:cs="宋体"/>
                <w:color w:val="auto"/>
                <w:sz w:val="22"/>
                <w:szCs w:val="22"/>
                <w:highlight w:val="none"/>
              </w:rPr>
              <w:t>等法律法规和规定《分割鲜、冻猪瘦肉》</w:t>
            </w:r>
            <w:r>
              <w:rPr>
                <w:rFonts w:hint="eastAsia" w:ascii="宋体" w:hAnsi="宋体" w:eastAsia="宋体" w:cs="宋体"/>
                <w:b w:val="0"/>
                <w:bCs w:val="0"/>
                <w:color w:val="auto"/>
                <w:sz w:val="22"/>
                <w:szCs w:val="22"/>
                <w:highlight w:val="none"/>
              </w:rPr>
              <w:t>（</w:t>
            </w:r>
            <w:r>
              <w:rPr>
                <w:rStyle w:val="54"/>
                <w:rFonts w:hint="eastAsia" w:ascii="宋体" w:hAnsi="宋体" w:eastAsia="宋体" w:cs="宋体"/>
                <w:b w:val="0"/>
                <w:bCs w:val="0"/>
                <w:i w:val="0"/>
                <w:iCs w:val="0"/>
                <w:caps w:val="0"/>
                <w:color w:val="333333"/>
                <w:spacing w:val="0"/>
                <w:sz w:val="22"/>
                <w:szCs w:val="22"/>
                <w:highlight w:val="none"/>
                <w:shd w:val="clear" w:fill="FFFFFF"/>
              </w:rPr>
              <w:t>GB/T 9959.2</w:t>
            </w:r>
            <w:r>
              <w:rPr>
                <w:rFonts w:hint="eastAsia" w:ascii="宋体" w:hAnsi="宋体" w:eastAsia="宋体" w:cs="宋体"/>
                <w:b w:val="0"/>
                <w:bCs w:val="0"/>
                <w:color w:val="auto"/>
                <w:sz w:val="22"/>
                <w:szCs w:val="22"/>
                <w:highlight w:val="none"/>
              </w:rPr>
              <w:t>）</w:t>
            </w:r>
            <w:r>
              <w:rPr>
                <w:rFonts w:hint="eastAsia" w:ascii="宋体" w:hAnsi="宋体" w:eastAsia="宋体" w:cs="宋体"/>
                <w:color w:val="auto"/>
                <w:sz w:val="22"/>
                <w:szCs w:val="22"/>
                <w:highlight w:val="none"/>
              </w:rPr>
              <w:t>、《食品安全国家标准 鲜（冻）畜、禽产品》（GB 2707-2016），并达到国家及杭州市动物检疫要求。符合国家食品部门的有关标准，保证无异味、无霉烂变质，肉类保证来源于正规肉联厂，供货时须提交肉联厂的验收单及当批次有效的动物检疫合格证复印件（原件备查），鲜肉确保每日新鲜、无异味，每次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供货时，提供的猪肉产品必须具有动物检验检疫证明。</w:t>
            </w:r>
          </w:p>
          <w:p w14:paraId="1670B249">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鲜肉[边猪（白条猪）]净重35KG以上，去头、去蹄、去板油、去内脏，宰前检疫和宰后检查工作应严格按原农业部、卫生部、外贸部和商业部《生猪屠宰肉品品质检验规程（试行）》（农业农村部2023版）和《畜禽屠宰操作规程 生猪》（GB/T 17236）实施，检疫、检查人员必须持证上岗，屠宰检疫检验记录必须保存三年，备查。</w:t>
            </w:r>
          </w:p>
          <w:p w14:paraId="0CAA3D7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3、鲜肉确保每日新鲜，冷冻肉要求肉体冻实而坚硬，无化冻现象，肉质紧密而有弹性，色泽均匀，不粘手，交货时干净、新鲜、无异味。</w:t>
            </w:r>
          </w:p>
          <w:p w14:paraId="4138288A">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4、所有货物规格符合</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提交的日采购计划中明确的具体需求，公路运输时应使用符合卫生要求的冷藏车或保温车，并主动接受所经公路检疫监督站的检验和对车辆进行消毒。</w:t>
            </w:r>
          </w:p>
          <w:p w14:paraId="30EDB5D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5、牛肉：解冻后的肌肉呈均匀的红色，有光泽，脂肪呈白色或微黄色，肌肉外表微干或风干膜，或外表湿润，但都不粘手，良质冻牛肉的肌肉结构紧密，有坚实感，肌纤维韧性强。</w:t>
            </w:r>
          </w:p>
          <w:p w14:paraId="7736E08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6、猪肝：整体呈红褐色或棕黄色，有光泽，湿润，略有弹性，组织结实，微实，肝叶完整，无脂肪，无寄生虫、炎症水疱、薄膜、无胆汁污染，略有鱼腥味。</w:t>
            </w:r>
          </w:p>
          <w:p w14:paraId="01B9D3A3">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7、食品供应链要求：所有食品的来源必须清晰。</w:t>
            </w:r>
          </w:p>
        </w:tc>
        <w:tc>
          <w:tcPr>
            <w:tcW w:w="3940" w:type="dxa"/>
            <w:vAlign w:val="center"/>
          </w:tcPr>
          <w:p w14:paraId="51708466">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与验收标准不符，病死或者死因不明的畜禽及其制品等。特别是出现肉品颜色发白，作为冷冻肉处理。</w:t>
            </w:r>
            <w:r>
              <w:rPr>
                <w:rFonts w:hint="eastAsia" w:ascii="新宋体" w:hAnsi="新宋体" w:eastAsia="新宋体" w:cs="新宋体"/>
                <w:sz w:val="22"/>
                <w:szCs w:val="22"/>
              </w:rPr>
              <w:t>不新鲜，有异味、发粘现象，有瘀血。</w:t>
            </w:r>
            <w:r>
              <w:rPr>
                <w:rFonts w:hint="eastAsia" w:eastAsia="新宋体"/>
                <w:sz w:val="22"/>
                <w:szCs w:val="22"/>
              </w:rPr>
              <w:t>非正规渠道产品，没有检疫合格证，不新鲜，有异味、发粘现象，有注水及掺水，有瘀血，运输及装货不符合肉类配送要求。</w:t>
            </w:r>
          </w:p>
        </w:tc>
      </w:tr>
      <w:tr w14:paraId="3A4B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37" w:type="dxa"/>
            <w:gridSpan w:val="2"/>
            <w:vAlign w:val="center"/>
          </w:tcPr>
          <w:p w14:paraId="20E53E5C">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鱼类 （水产品） </w:t>
            </w:r>
          </w:p>
        </w:tc>
        <w:tc>
          <w:tcPr>
            <w:tcW w:w="4650" w:type="dxa"/>
            <w:vAlign w:val="center"/>
          </w:tcPr>
          <w:p w14:paraId="53DCA7BD">
            <w:pPr>
              <w:snapToGrid w:val="0"/>
              <w:spacing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p w14:paraId="72C223F6">
            <w:pPr>
              <w:snapToGrid w:val="0"/>
              <w:spacing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虾、蟹：表面完整，清洁；肉质呈现淡青色或乳白色，无异味，组织紧密有弹性，有适当光泽。虾体基本完整，允许尾部稍有残缺，清洁无杂质。</w:t>
            </w:r>
          </w:p>
          <w:p w14:paraId="6C1796AF">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贝壳：颜色淡黄，光泽新鲜，个大肥满，大小均匀，不破不碎，干度足，口味鲜，清洁干净。</w:t>
            </w:r>
          </w:p>
        </w:tc>
        <w:tc>
          <w:tcPr>
            <w:tcW w:w="3940" w:type="dxa"/>
            <w:vAlign w:val="center"/>
          </w:tcPr>
          <w:p w14:paraId="661A42C4">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体表颜色暗淡无关黏液透明度较差、浑浊且有腐败味；鳞不完整松弛、易剥落；鳃盖松弛，鳃丝粘连，呈淡红暗红或灰红褐色，有显著腥味；眼球凹陷，角膜混沌或发糊；腹部膨胀或变软，表面发暗色或淡绿色斑点；肌肉松弛，弹性差。鲜杀产品不是当日宰杀，宰杀时间超过6小时，冷冻类保质期超过冷冻期限的1/3。</w:t>
            </w:r>
          </w:p>
        </w:tc>
      </w:tr>
      <w:tr w14:paraId="01E4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4" w:type="dxa"/>
            <w:vMerge w:val="restart"/>
            <w:vAlign w:val="center"/>
          </w:tcPr>
          <w:p w14:paraId="54BE8CFA">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蔬</w:t>
            </w:r>
          </w:p>
          <w:p w14:paraId="04D136DC">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菜</w:t>
            </w:r>
          </w:p>
          <w:p w14:paraId="3C3F3686">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w:t>
            </w:r>
          </w:p>
        </w:tc>
        <w:tc>
          <w:tcPr>
            <w:tcW w:w="993" w:type="dxa"/>
            <w:vAlign w:val="center"/>
          </w:tcPr>
          <w:p w14:paraId="470F5961">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叶菜</w:t>
            </w:r>
          </w:p>
        </w:tc>
        <w:tc>
          <w:tcPr>
            <w:tcW w:w="4650" w:type="dxa"/>
            <w:vAlign w:val="center"/>
          </w:tcPr>
          <w:p w14:paraId="5DBD9273">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外形正常，叶梗光滑幼嫩，不干瘪凋萎，无过多黄叶，色泽正常。去除根须，不含土，无虫害，大白菜、卷心菜切开心不变黑，无腐烂情形，无明显浸水现象；农药残留不超标。 </w:t>
            </w:r>
          </w:p>
        </w:tc>
        <w:tc>
          <w:tcPr>
            <w:tcW w:w="3940" w:type="dxa"/>
            <w:vAlign w:val="center"/>
          </w:tcPr>
          <w:p w14:paraId="1C1D0E2C">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味苦，鲜度嫩度明显不佳，含黄叶须根，泥土、虫害严重，萎捏严重，浸水后仍不可恢复；农药残留超标。 </w:t>
            </w:r>
          </w:p>
          <w:p w14:paraId="302FC329">
            <w:pPr>
              <w:snapToGrid w:val="0"/>
              <w:spacing w:before="15" w:line="460" w:lineRule="exact"/>
              <w:ind w:right="32"/>
              <w:rPr>
                <w:rFonts w:hint="eastAsia" w:ascii="宋体" w:hAnsi="宋体" w:eastAsia="宋体" w:cs="宋体"/>
                <w:color w:val="auto"/>
                <w:sz w:val="22"/>
                <w:szCs w:val="22"/>
                <w:highlight w:val="none"/>
              </w:rPr>
            </w:pPr>
          </w:p>
        </w:tc>
      </w:tr>
      <w:tr w14:paraId="4976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44" w:type="dxa"/>
            <w:vMerge w:val="continue"/>
            <w:vAlign w:val="center"/>
          </w:tcPr>
          <w:p w14:paraId="24FB5A4F">
            <w:pPr>
              <w:snapToGrid w:val="0"/>
              <w:spacing w:before="15" w:line="460" w:lineRule="exact"/>
              <w:ind w:right="32"/>
              <w:rPr>
                <w:rFonts w:hint="eastAsia" w:ascii="宋体" w:hAnsi="宋体" w:eastAsia="宋体" w:cs="宋体"/>
                <w:color w:val="auto"/>
                <w:sz w:val="22"/>
                <w:szCs w:val="22"/>
                <w:highlight w:val="none"/>
              </w:rPr>
            </w:pPr>
          </w:p>
        </w:tc>
        <w:tc>
          <w:tcPr>
            <w:tcW w:w="993" w:type="dxa"/>
            <w:vAlign w:val="center"/>
          </w:tcPr>
          <w:p w14:paraId="085FC3F6">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根茎类（如香芋、土豆、莴笋等）</w:t>
            </w:r>
          </w:p>
        </w:tc>
        <w:tc>
          <w:tcPr>
            <w:tcW w:w="4650" w:type="dxa"/>
            <w:vAlign w:val="center"/>
          </w:tcPr>
          <w:p w14:paraId="43DA9B6D">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无虫咬、发芽、发霉现象，新鲜，形态大小与采购自购标准相当。农药残留不超标。 </w:t>
            </w:r>
          </w:p>
        </w:tc>
        <w:tc>
          <w:tcPr>
            <w:tcW w:w="3940" w:type="dxa"/>
            <w:vAlign w:val="center"/>
          </w:tcPr>
          <w:p w14:paraId="47FB0CC1">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发芽严重、发霉，新鲜度不佳，形态大小与采购自购标准存在较大负偏差。农药残留超标。 </w:t>
            </w:r>
          </w:p>
        </w:tc>
      </w:tr>
      <w:tr w14:paraId="2817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44" w:type="dxa"/>
            <w:vMerge w:val="continue"/>
            <w:vAlign w:val="center"/>
          </w:tcPr>
          <w:p w14:paraId="4069109E">
            <w:pPr>
              <w:snapToGrid w:val="0"/>
              <w:spacing w:before="15" w:line="460" w:lineRule="exact"/>
              <w:ind w:right="32"/>
              <w:rPr>
                <w:rFonts w:hint="eastAsia" w:ascii="宋体" w:hAnsi="宋体" w:eastAsia="宋体" w:cs="宋体"/>
                <w:color w:val="auto"/>
                <w:sz w:val="22"/>
                <w:szCs w:val="22"/>
                <w:highlight w:val="none"/>
              </w:rPr>
            </w:pPr>
          </w:p>
        </w:tc>
        <w:tc>
          <w:tcPr>
            <w:tcW w:w="993" w:type="dxa"/>
            <w:vAlign w:val="center"/>
          </w:tcPr>
          <w:p w14:paraId="21D8C85B">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花果类，如西兰花、白菜花 </w:t>
            </w:r>
          </w:p>
        </w:tc>
        <w:tc>
          <w:tcPr>
            <w:tcW w:w="4650" w:type="dxa"/>
            <w:vAlign w:val="center"/>
          </w:tcPr>
          <w:p w14:paraId="7E64AF45">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无虫害，成熟度良好，新鲜固有的色泽鲜明，无发霉发黄。农药残留不超标。</w:t>
            </w:r>
          </w:p>
        </w:tc>
        <w:tc>
          <w:tcPr>
            <w:tcW w:w="3940" w:type="dxa"/>
            <w:vAlign w:val="center"/>
          </w:tcPr>
          <w:p w14:paraId="0B69BBC7">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不新鲜，发霉，虫害过多。农药残留超标。 </w:t>
            </w:r>
          </w:p>
        </w:tc>
      </w:tr>
      <w:tr w14:paraId="0529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37" w:type="dxa"/>
            <w:gridSpan w:val="2"/>
            <w:vAlign w:val="center"/>
          </w:tcPr>
          <w:p w14:paraId="17ADB864">
            <w:pPr>
              <w:snapToGrid w:val="0"/>
              <w:spacing w:line="460" w:lineRule="exact"/>
              <w:ind w:right="82"/>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水果类</w:t>
            </w:r>
          </w:p>
        </w:tc>
        <w:tc>
          <w:tcPr>
            <w:tcW w:w="4650" w:type="dxa"/>
            <w:vAlign w:val="center"/>
          </w:tcPr>
          <w:p w14:paraId="24B5B133">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水果外形正常，无虫咬、发霉现象，无虫害，成熟度良好，新鲜固有的色泽鲜明，农药残留不超标。</w:t>
            </w:r>
          </w:p>
        </w:tc>
        <w:tc>
          <w:tcPr>
            <w:tcW w:w="3940" w:type="dxa"/>
            <w:vAlign w:val="center"/>
          </w:tcPr>
          <w:p w14:paraId="010DFF29">
            <w:pPr>
              <w:snapToGrid w:val="0"/>
              <w:spacing w:before="15" w:line="460" w:lineRule="exact"/>
              <w:ind w:right="3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不新鲜，发霉，虫害过多。农药残留超标。</w:t>
            </w:r>
          </w:p>
        </w:tc>
      </w:tr>
    </w:tbl>
    <w:p w14:paraId="4618E3CC">
      <w:pPr>
        <w:snapToGrid w:val="0"/>
        <w:spacing w:line="460" w:lineRule="exact"/>
        <w:ind w:left="213" w:right="16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pacing w:val="-21"/>
          <w:sz w:val="22"/>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投标人可参考采购现使用产品档次确定各自投标产品品牌及规格，除以上招标文件提出的现使用品牌外，欢迎其他能满足本项目技术需求且性能与所参考品牌相当的产品参加本项目投标。</w:t>
      </w:r>
    </w:p>
    <w:p w14:paraId="0AFE1D9A">
      <w:pPr>
        <w:snapToGrid w:val="0"/>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四、定价及货款结算</w:t>
      </w:r>
      <w:r>
        <w:rPr>
          <w:rFonts w:hint="eastAsia" w:ascii="宋体" w:hAnsi="宋体" w:eastAsia="宋体" w:cs="宋体"/>
          <w:b/>
          <w:color w:val="auto"/>
          <w:sz w:val="22"/>
          <w:szCs w:val="22"/>
          <w:highlight w:val="none"/>
        </w:rPr>
        <w:t>：</w:t>
      </w:r>
    </w:p>
    <w:p w14:paraId="7CDAF525">
      <w:pPr>
        <w:wordWrap w:val="0"/>
        <w:snapToGrid w:val="0"/>
        <w:spacing w:line="460" w:lineRule="exact"/>
        <w:ind w:firstLine="440" w:firstLineChars="20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u w:val="single"/>
        </w:rPr>
        <w:t>1、本项目根据温州市发展和改革委员会官方网站（http://wzfgw.wenzhou.gov.cn/col/col1216782/index.html）最近之日公布的温州市区农贸市场价格监测表中</w:t>
      </w:r>
      <w:r>
        <w:rPr>
          <w:rFonts w:hint="eastAsia" w:ascii="宋体" w:hAnsi="宋体" w:cs="宋体"/>
          <w:b/>
          <w:color w:val="auto"/>
          <w:sz w:val="22"/>
          <w:szCs w:val="22"/>
          <w:u w:val="single"/>
        </w:rPr>
        <w:t>永中农贸市场</w:t>
      </w:r>
      <w:r>
        <w:rPr>
          <w:rFonts w:hint="eastAsia" w:ascii="宋体" w:hAnsi="宋体" w:eastAsia="宋体" w:cs="宋体"/>
          <w:b/>
          <w:color w:val="auto"/>
          <w:sz w:val="22"/>
          <w:szCs w:val="22"/>
          <w:highlight w:val="none"/>
          <w:u w:val="single"/>
          <w:lang w:eastAsia="zh-CN"/>
        </w:rPr>
        <w:t>的产品价格做为所需产品参考价</w:t>
      </w:r>
      <w:r>
        <w:rPr>
          <w:rFonts w:hint="eastAsia" w:ascii="宋体" w:hAnsi="宋体" w:eastAsia="宋体" w:cs="宋体"/>
          <w:b/>
          <w:color w:val="auto"/>
          <w:sz w:val="22"/>
          <w:szCs w:val="22"/>
          <w:highlight w:val="none"/>
          <w:u w:val="single"/>
        </w:rPr>
        <w:t>格，温州市发展和改革委员会官方网站上未列明的货品，</w:t>
      </w:r>
      <w:r>
        <w:rPr>
          <w:rFonts w:hint="eastAsia" w:ascii="宋体" w:hAnsi="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lang w:eastAsia="zh-CN"/>
        </w:rPr>
        <w:t>有权选</w:t>
      </w:r>
      <w:r>
        <w:rPr>
          <w:rFonts w:hint="eastAsia" w:ascii="宋体" w:hAnsi="宋体" w:eastAsia="宋体" w:cs="宋体"/>
          <w:b/>
          <w:color w:val="auto"/>
          <w:sz w:val="22"/>
          <w:highlight w:val="none"/>
          <w:u w:val="single"/>
          <w:lang w:eastAsia="zh-CN"/>
        </w:rPr>
        <w:t>龙湾区</w:t>
      </w:r>
      <w:r>
        <w:rPr>
          <w:rFonts w:hint="eastAsia" w:ascii="宋体" w:hAnsi="宋体" w:eastAsia="宋体" w:cs="宋体"/>
          <w:b/>
          <w:color w:val="auto"/>
          <w:sz w:val="22"/>
          <w:highlight w:val="none"/>
          <w:u w:val="single"/>
        </w:rPr>
        <w:t>镇北</w:t>
      </w:r>
      <w:r>
        <w:rPr>
          <w:rFonts w:hint="eastAsia" w:ascii="宋体" w:hAnsi="宋体" w:eastAsia="宋体" w:cs="宋体"/>
          <w:b/>
          <w:color w:val="auto"/>
          <w:sz w:val="22"/>
          <w:szCs w:val="22"/>
          <w:highlight w:val="none"/>
          <w:u w:val="single"/>
          <w:lang w:eastAsia="zh-CN"/>
        </w:rPr>
        <w:t>农贸市场进行市场</w:t>
      </w:r>
      <w:r>
        <w:rPr>
          <w:rFonts w:hint="eastAsia" w:ascii="宋体" w:hAnsi="宋体" w:eastAsia="宋体" w:cs="宋体"/>
          <w:b/>
          <w:color w:val="auto"/>
          <w:sz w:val="22"/>
          <w:szCs w:val="22"/>
          <w:highlight w:val="none"/>
          <w:u w:val="single"/>
        </w:rPr>
        <w:t>询价的市场价作为产品参考价格；禁止配送无市场实际零售商品或专供产品。</w:t>
      </w:r>
    </w:p>
    <w:p w14:paraId="6DF03ABF">
      <w:pPr>
        <w:adjustRightInd w:val="0"/>
        <w:snapToGrid w:val="0"/>
        <w:spacing w:line="460" w:lineRule="exact"/>
        <w:ind w:firstLine="442" w:firstLineChars="200"/>
        <w:rPr>
          <w:rFonts w:hint="eastAsia"/>
          <w:color w:val="auto"/>
        </w:rPr>
      </w:pPr>
      <w:r>
        <w:rPr>
          <w:rFonts w:hint="eastAsia" w:ascii="宋体" w:hAnsi="宋体" w:cs="宋体"/>
          <w:b/>
          <w:color w:val="auto"/>
          <w:sz w:val="22"/>
          <w:szCs w:val="22"/>
          <w:u w:val="single"/>
          <w:lang w:eastAsia="zh-CN"/>
        </w:rPr>
        <w:t>采购人</w:t>
      </w:r>
      <w:r>
        <w:rPr>
          <w:rFonts w:hint="eastAsia" w:ascii="宋体" w:hAnsi="宋体" w:cs="宋体"/>
          <w:b/>
          <w:color w:val="auto"/>
          <w:sz w:val="22"/>
          <w:szCs w:val="22"/>
          <w:u w:val="single"/>
        </w:rPr>
        <w:t>成立询价组，中标人委派一名工作人员配合</w:t>
      </w:r>
      <w:r>
        <w:rPr>
          <w:rFonts w:hint="eastAsia" w:ascii="宋体" w:hAnsi="宋体" w:cs="宋体"/>
          <w:b/>
          <w:color w:val="auto"/>
          <w:sz w:val="22"/>
          <w:szCs w:val="22"/>
          <w:u w:val="single"/>
          <w:lang w:eastAsia="zh-CN"/>
        </w:rPr>
        <w:t>采购人</w:t>
      </w:r>
      <w:r>
        <w:rPr>
          <w:rFonts w:hint="eastAsia" w:ascii="宋体" w:hAnsi="宋体" w:cs="宋体"/>
          <w:b/>
          <w:color w:val="auto"/>
          <w:sz w:val="22"/>
          <w:szCs w:val="22"/>
          <w:u w:val="single"/>
        </w:rPr>
        <w:t>，</w:t>
      </w:r>
      <w:r>
        <w:rPr>
          <w:rFonts w:hint="eastAsia" w:ascii="宋体" w:hAnsi="宋体" w:cs="宋体"/>
          <w:b/>
          <w:color w:val="auto"/>
          <w:sz w:val="22"/>
          <w:u w:val="single"/>
        </w:rPr>
        <w:t>每半个月</w:t>
      </w:r>
      <w:r>
        <w:rPr>
          <w:rFonts w:hint="eastAsia" w:ascii="宋体" w:hAnsi="宋体" w:cs="宋体"/>
          <w:b/>
          <w:color w:val="auto"/>
          <w:sz w:val="22"/>
          <w:szCs w:val="22"/>
          <w:u w:val="single"/>
        </w:rPr>
        <w:t>对食堂食品原料的价格进行采集，参考相关部门发布的市场信息，与乙方及时对接，原则上每半个月确定一次</w:t>
      </w:r>
      <w:r>
        <w:rPr>
          <w:rFonts w:hint="eastAsia" w:ascii="宋体" w:hAnsi="宋体" w:cs="宋体"/>
          <w:b/>
          <w:color w:val="auto"/>
          <w:sz w:val="22"/>
          <w:szCs w:val="22"/>
          <w:u w:val="single"/>
          <w:lang w:eastAsia="zh-CN"/>
        </w:rPr>
        <w:t>，询价全过程录音录像并存档，录音录像设备由投标人提供</w:t>
      </w:r>
      <w:r>
        <w:rPr>
          <w:rFonts w:hint="eastAsia" w:ascii="宋体" w:hAnsi="宋体" w:eastAsia="宋体" w:cs="宋体"/>
          <w:b/>
          <w:color w:val="auto"/>
          <w:sz w:val="22"/>
          <w:szCs w:val="22"/>
          <w:highlight w:val="none"/>
          <w:u w:val="single"/>
        </w:rPr>
        <w:t>。</w:t>
      </w:r>
    </w:p>
    <w:p w14:paraId="21FB05B6">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cs="宋体"/>
          <w:color w:val="auto"/>
          <w:kern w:val="0"/>
          <w:sz w:val="22"/>
          <w:szCs w:val="22"/>
          <w:highlight w:val="none"/>
          <w:lang w:val="zh-CN"/>
        </w:rPr>
        <w:t>投标人</w:t>
      </w:r>
      <w:r>
        <w:rPr>
          <w:rFonts w:hint="eastAsia" w:ascii="宋体" w:hAnsi="宋体" w:eastAsia="宋体" w:cs="宋体"/>
          <w:color w:val="auto"/>
          <w:kern w:val="0"/>
          <w:sz w:val="22"/>
          <w:szCs w:val="22"/>
          <w:highlight w:val="none"/>
          <w:lang w:val="zh-CN"/>
        </w:rPr>
        <w:t>提供的货品不得缺斤少两，</w:t>
      </w:r>
      <w:r>
        <w:rPr>
          <w:rFonts w:hint="eastAsia" w:ascii="宋体" w:hAnsi="宋体" w:eastAsia="宋体" w:cs="宋体"/>
          <w:color w:val="auto"/>
          <w:kern w:val="0"/>
          <w:sz w:val="22"/>
          <w:szCs w:val="22"/>
          <w:highlight w:val="none"/>
        </w:rPr>
        <w:t>缺少的斤两应立即补货，</w:t>
      </w:r>
      <w:r>
        <w:rPr>
          <w:rFonts w:hint="eastAsia" w:ascii="宋体" w:hAnsi="宋体" w:eastAsia="宋体" w:cs="宋体"/>
          <w:b/>
          <w:color w:val="auto"/>
          <w:kern w:val="0"/>
          <w:sz w:val="22"/>
          <w:szCs w:val="22"/>
          <w:highlight w:val="none"/>
          <w:lang w:val="zh-CN"/>
        </w:rPr>
        <w:t>务必在一小时内补齐，</w:t>
      </w:r>
      <w:r>
        <w:rPr>
          <w:rFonts w:hint="eastAsia" w:ascii="宋体" w:hAnsi="宋体" w:eastAsia="宋体" w:cs="宋体"/>
          <w:color w:val="auto"/>
          <w:kern w:val="0"/>
          <w:sz w:val="22"/>
          <w:szCs w:val="22"/>
          <w:highlight w:val="none"/>
        </w:rPr>
        <w:t>不得以运输时间过长为由，要求</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自行采购；也不得超过各单位提供的伙食菜单的需求量，并在配送后，以已造成既定实事为由，要求按照实际配送量进行结算，</w:t>
      </w:r>
      <w:r>
        <w:rPr>
          <w:rFonts w:hint="eastAsia" w:ascii="宋体" w:hAnsi="宋体" w:cs="宋体"/>
          <w:color w:val="auto"/>
          <w:kern w:val="0"/>
          <w:sz w:val="22"/>
          <w:szCs w:val="22"/>
          <w:highlight w:val="none"/>
          <w:lang w:val="zh-CN"/>
        </w:rPr>
        <w:t>投标人</w:t>
      </w:r>
      <w:r>
        <w:rPr>
          <w:rFonts w:hint="eastAsia" w:ascii="宋体" w:hAnsi="宋体" w:eastAsia="宋体" w:cs="宋体"/>
          <w:color w:val="auto"/>
          <w:kern w:val="0"/>
          <w:sz w:val="22"/>
          <w:szCs w:val="22"/>
          <w:highlight w:val="none"/>
        </w:rPr>
        <w:t>必须</w:t>
      </w:r>
      <w:r>
        <w:rPr>
          <w:rFonts w:hint="eastAsia" w:ascii="宋体" w:hAnsi="宋体" w:eastAsia="宋体" w:cs="宋体"/>
          <w:color w:val="auto"/>
          <w:kern w:val="0"/>
          <w:sz w:val="22"/>
          <w:szCs w:val="22"/>
          <w:highlight w:val="none"/>
          <w:lang w:val="zh-CN"/>
        </w:rPr>
        <w:t>提供诚信服务。</w:t>
      </w:r>
    </w:p>
    <w:p w14:paraId="580E2427">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应自行考虑食材的供货（包括但不限于宰杀、预处理、预加工等）、税金、包装、运输、装卸、验收及其所有税费、招标代理服务费等全部费用后计算价格折扣率。</w:t>
      </w:r>
    </w:p>
    <w:p w14:paraId="1FDC573F">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4、货款结算：</w:t>
      </w:r>
    </w:p>
    <w:p w14:paraId="596A9944">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1）结算周期为每半个月结算一次。送货清单每天按时开具，与原材同步送达</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lang w:val="en-US" w:eastAsia="zh-CN"/>
        </w:rPr>
        <w:t>增值税发票</w:t>
      </w:r>
      <w:r>
        <w:rPr>
          <w:rFonts w:hint="eastAsia" w:ascii="宋体" w:hAnsi="宋体" w:eastAsia="宋体" w:cs="宋体"/>
          <w:color w:val="auto"/>
          <w:sz w:val="22"/>
          <w:szCs w:val="22"/>
          <w:highlight w:val="none"/>
        </w:rPr>
        <w:t>每</w:t>
      </w:r>
      <w:r>
        <w:rPr>
          <w:rFonts w:hint="eastAsia" w:ascii="宋体" w:hAnsi="宋体" w:eastAsia="宋体" w:cs="宋体"/>
          <w:bCs/>
          <w:color w:val="auto"/>
          <w:sz w:val="22"/>
          <w:szCs w:val="22"/>
          <w:highlight w:val="none"/>
        </w:rPr>
        <w:t>半个月</w:t>
      </w:r>
      <w:r>
        <w:rPr>
          <w:rFonts w:hint="eastAsia" w:ascii="宋体" w:hAnsi="宋体" w:eastAsia="宋体" w:cs="宋体"/>
          <w:color w:val="auto"/>
          <w:sz w:val="22"/>
          <w:szCs w:val="22"/>
          <w:highlight w:val="none"/>
        </w:rPr>
        <w:t>按时开具。</w:t>
      </w:r>
    </w:p>
    <w:p w14:paraId="10424270">
      <w:pPr>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2）送货清单中，</w:t>
      </w:r>
      <w:r>
        <w:rPr>
          <w:rFonts w:hint="eastAsia" w:ascii="宋体" w:hAnsi="宋体" w:eastAsia="宋体" w:cs="宋体"/>
          <w:color w:val="auto"/>
          <w:sz w:val="22"/>
          <w:szCs w:val="22"/>
          <w:highlight w:val="none"/>
        </w:rPr>
        <w:t>当期（每半个月的供货期，下同）某宗产品实际供货数量*当期所报该宗产品供货单价</w:t>
      </w:r>
      <w:r>
        <w:rPr>
          <w:rFonts w:hint="eastAsia" w:ascii="宋体" w:hAnsi="宋体" w:eastAsia="宋体" w:cs="宋体"/>
          <w:bCs/>
          <w:color w:val="auto"/>
          <w:sz w:val="22"/>
          <w:szCs w:val="22"/>
          <w:highlight w:val="none"/>
        </w:rPr>
        <w:t>*中标折扣，</w:t>
      </w:r>
      <w:r>
        <w:rPr>
          <w:rFonts w:hint="eastAsia" w:ascii="宋体" w:hAnsi="宋体" w:eastAsia="宋体" w:cs="宋体"/>
          <w:color w:val="auto"/>
          <w:sz w:val="22"/>
          <w:szCs w:val="22"/>
          <w:highlight w:val="none"/>
        </w:rPr>
        <w:t>所有产品当期结算价之合为当期产品结算总价。</w:t>
      </w:r>
    </w:p>
    <w:p w14:paraId="773AB62C">
      <w:pPr>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如因投标时投标报价低于成本价竞争而获得中标的，中标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必须无条件履行中标价格，并满足</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的配送需求及质量要求。如中标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因未履行中标价格，严重影响配送任务及配送产品质量的，发现一次约谈中标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并予以警告，发现二次及以上，</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有权单方面终止合同并履约保证金</w:t>
      </w:r>
      <w:r>
        <w:rPr>
          <w:rFonts w:hint="eastAsia" w:ascii="宋体" w:hAnsi="宋体" w:cs="宋体"/>
          <w:b/>
          <w:bCs/>
          <w:color w:val="auto"/>
          <w:spacing w:val="6"/>
          <w:sz w:val="22"/>
          <w:szCs w:val="22"/>
        </w:rPr>
        <w:t>不予退还</w:t>
      </w:r>
      <w:r>
        <w:rPr>
          <w:rFonts w:hint="eastAsia" w:ascii="宋体" w:hAnsi="宋体" w:eastAsia="宋体" w:cs="宋体"/>
          <w:b/>
          <w:color w:val="auto"/>
          <w:sz w:val="22"/>
          <w:szCs w:val="22"/>
          <w:highlight w:val="none"/>
        </w:rPr>
        <w:t>，同时中标</w:t>
      </w:r>
      <w:r>
        <w:rPr>
          <w:rFonts w:hint="eastAsia" w:ascii="宋体" w:hAnsi="宋体" w:cs="宋体"/>
          <w:b/>
          <w:color w:val="auto"/>
          <w:sz w:val="22"/>
          <w:szCs w:val="22"/>
          <w:highlight w:val="none"/>
          <w:lang w:eastAsia="zh-CN"/>
        </w:rPr>
        <w:t>人</w:t>
      </w:r>
      <w:r>
        <w:rPr>
          <w:rFonts w:hint="eastAsia" w:ascii="宋体" w:hAnsi="宋体" w:eastAsia="宋体" w:cs="宋体"/>
          <w:b/>
          <w:color w:val="auto"/>
          <w:sz w:val="22"/>
          <w:szCs w:val="22"/>
          <w:highlight w:val="none"/>
        </w:rPr>
        <w:t>应向</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支付100000元违约金。</w:t>
      </w:r>
    </w:p>
    <w:p w14:paraId="410C0C13">
      <w:pPr>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w:t>
      </w:r>
      <w:r>
        <w:rPr>
          <w:rFonts w:hint="eastAsia" w:ascii="宋体" w:hAnsi="宋体" w:cs="宋体"/>
          <w:b/>
          <w:color w:val="auto"/>
          <w:sz w:val="22"/>
          <w:szCs w:val="22"/>
          <w:highlight w:val="none"/>
          <w:lang w:eastAsia="zh-CN"/>
        </w:rPr>
        <w:t>投标人</w:t>
      </w:r>
      <w:r>
        <w:rPr>
          <w:rFonts w:hint="eastAsia" w:ascii="宋体" w:hAnsi="宋体" w:eastAsia="宋体" w:cs="宋体"/>
          <w:b/>
          <w:color w:val="auto"/>
          <w:sz w:val="22"/>
          <w:szCs w:val="22"/>
          <w:highlight w:val="none"/>
        </w:rPr>
        <w:t>恶意低价中标且不履行中标价格的行为，造成损失的，</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将履约保证金</w:t>
      </w:r>
      <w:r>
        <w:rPr>
          <w:rFonts w:hint="eastAsia" w:ascii="宋体" w:hAnsi="宋体" w:cs="宋体"/>
          <w:b/>
          <w:bCs/>
          <w:color w:val="auto"/>
          <w:spacing w:val="6"/>
          <w:sz w:val="22"/>
          <w:szCs w:val="22"/>
        </w:rPr>
        <w:t>不予退还</w:t>
      </w:r>
      <w:r>
        <w:rPr>
          <w:rFonts w:hint="eastAsia" w:ascii="宋体" w:hAnsi="宋体" w:eastAsia="宋体" w:cs="宋体"/>
          <w:b/>
          <w:color w:val="auto"/>
          <w:sz w:val="22"/>
          <w:szCs w:val="22"/>
          <w:highlight w:val="none"/>
        </w:rPr>
        <w:t>，不足赔偿的将付诸法律，同时将上报行政主管部门，由行政主管部门予以相应处罚。如给</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造成严重经济损失且行为特别恶劣的，</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保留追究其刑事责任权利。</w:t>
      </w:r>
    </w:p>
    <w:p w14:paraId="56F2274F">
      <w:pPr>
        <w:snapToGrid w:val="0"/>
        <w:spacing w:line="460" w:lineRule="exact"/>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五、采购计划的确定：</w:t>
      </w:r>
    </w:p>
    <w:p w14:paraId="13975C65">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1、</w:t>
      </w:r>
      <w:r>
        <w:rPr>
          <w:rFonts w:hint="eastAsia" w:ascii="宋体" w:hAnsi="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rPr>
        <w:t>会每日制定进货计划，确定具体送货时间、品种及数量，或根据季节变化和指定配送单位协商适当延长配送周期。</w:t>
      </w:r>
    </w:p>
    <w:p w14:paraId="0BAB7AAE">
      <w:pPr>
        <w:autoSpaceDE w:val="0"/>
        <w:autoSpaceDN w:val="0"/>
        <w:adjustRightInd w:val="0"/>
        <w:snapToGrid w:val="0"/>
        <w:spacing w:line="460" w:lineRule="exact"/>
        <w:ind w:firstLine="440" w:firstLineChars="200"/>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rPr>
        <w:t>2、</w:t>
      </w:r>
      <w:r>
        <w:rPr>
          <w:rFonts w:hint="eastAsia" w:ascii="宋体" w:hAnsi="宋体" w:eastAsia="宋体" w:cs="宋体"/>
          <w:bCs/>
          <w:color w:val="auto"/>
          <w:kern w:val="0"/>
          <w:sz w:val="22"/>
          <w:szCs w:val="22"/>
          <w:highlight w:val="none"/>
          <w:lang w:val="zh-CN"/>
        </w:rPr>
        <w:t>原则上，采购计划与实际下达的总订单偏差控制在20％以内。</w:t>
      </w:r>
    </w:p>
    <w:p w14:paraId="201FE462">
      <w:pPr>
        <w:autoSpaceDE w:val="0"/>
        <w:autoSpaceDN w:val="0"/>
        <w:adjustRightInd w:val="0"/>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val="zh-CN"/>
        </w:rPr>
        <w:t>3、</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最终采购数量以</w:t>
      </w:r>
      <w:r>
        <w:rPr>
          <w:rFonts w:hint="eastAsia" w:ascii="宋体" w:hAnsi="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rPr>
        <w:t>每天过磅验收的订单数量为准</w:t>
      </w:r>
      <w:r>
        <w:rPr>
          <w:rFonts w:hint="eastAsia" w:ascii="宋体" w:hAnsi="宋体" w:eastAsia="宋体" w:cs="宋体"/>
          <w:color w:val="auto"/>
          <w:sz w:val="22"/>
          <w:szCs w:val="22"/>
          <w:highlight w:val="none"/>
        </w:rPr>
        <w:t>。</w:t>
      </w:r>
    </w:p>
    <w:p w14:paraId="68215450">
      <w:pPr>
        <w:autoSpaceDE w:val="0"/>
        <w:autoSpaceDN w:val="0"/>
        <w:adjustRightInd w:val="0"/>
        <w:snapToGrid w:val="0"/>
        <w:spacing w:line="460" w:lineRule="exact"/>
        <w:ind w:firstLine="440" w:firstLineChars="200"/>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rPr>
        <w:t>4、</w:t>
      </w:r>
      <w:r>
        <w:rPr>
          <w:rFonts w:hint="eastAsia" w:ascii="宋体" w:hAnsi="宋体" w:eastAsia="宋体" w:cs="宋体"/>
          <w:bCs/>
          <w:color w:val="auto"/>
          <w:kern w:val="0"/>
          <w:sz w:val="22"/>
          <w:szCs w:val="22"/>
          <w:highlight w:val="none"/>
          <w:lang w:val="zh-CN"/>
        </w:rPr>
        <w:t>双方可根据蔬菜生产季节、天气、市场价格情况等协商调整每期采购计划中蔬菜品种和数量。</w:t>
      </w:r>
      <w:r>
        <w:rPr>
          <w:rFonts w:hint="eastAsia" w:ascii="宋体" w:hAnsi="宋体" w:cs="宋体"/>
          <w:bCs/>
          <w:color w:val="auto"/>
          <w:kern w:val="0"/>
          <w:sz w:val="22"/>
          <w:szCs w:val="22"/>
          <w:highlight w:val="none"/>
          <w:lang w:val="zh-CN"/>
        </w:rPr>
        <w:t>投标人</w:t>
      </w:r>
      <w:r>
        <w:rPr>
          <w:rFonts w:hint="eastAsia" w:ascii="宋体" w:hAnsi="宋体" w:eastAsia="宋体" w:cs="宋体"/>
          <w:bCs/>
          <w:color w:val="auto"/>
          <w:kern w:val="0"/>
          <w:sz w:val="22"/>
          <w:szCs w:val="22"/>
          <w:highlight w:val="none"/>
          <w:lang w:val="zh-CN"/>
        </w:rPr>
        <w:t>必须能保证提供丰富的品种供</w:t>
      </w:r>
      <w:r>
        <w:rPr>
          <w:rFonts w:hint="eastAsia" w:ascii="宋体" w:hAnsi="宋体" w:cs="宋体"/>
          <w:bCs/>
          <w:color w:val="auto"/>
          <w:kern w:val="0"/>
          <w:sz w:val="22"/>
          <w:szCs w:val="22"/>
          <w:highlight w:val="none"/>
          <w:lang w:val="zh-CN"/>
        </w:rPr>
        <w:t>采购人</w:t>
      </w:r>
      <w:r>
        <w:rPr>
          <w:rFonts w:hint="eastAsia" w:ascii="宋体" w:hAnsi="宋体" w:eastAsia="宋体" w:cs="宋体"/>
          <w:bCs/>
          <w:color w:val="auto"/>
          <w:kern w:val="0"/>
          <w:sz w:val="22"/>
          <w:szCs w:val="22"/>
          <w:highlight w:val="none"/>
          <w:lang w:val="zh-CN"/>
        </w:rPr>
        <w:t>选择。</w:t>
      </w:r>
    </w:p>
    <w:p w14:paraId="0EF83E82">
      <w:pPr>
        <w:autoSpaceDE w:val="0"/>
        <w:autoSpaceDN w:val="0"/>
        <w:adjustRightInd w:val="0"/>
        <w:snapToGrid w:val="0"/>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六、采购配送单位的考核：</w:t>
      </w:r>
    </w:p>
    <w:p w14:paraId="63ADBCA4">
      <w:pPr>
        <w:snapToGrid w:val="0"/>
        <w:spacing w:line="460" w:lineRule="exact"/>
        <w:ind w:firstLine="442" w:firstLineChars="20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配送任务完成后，</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每半月对配送单位实行一次考核评分。本动态考核细则为暂定内容,</w:t>
      </w:r>
      <w:r>
        <w:rPr>
          <w:rFonts w:hint="eastAsia" w:ascii="宋体" w:hAnsi="宋体" w:cs="宋体"/>
          <w:b/>
          <w:color w:val="auto"/>
          <w:sz w:val="22"/>
          <w:szCs w:val="22"/>
          <w:highlight w:val="none"/>
          <w:lang w:eastAsia="zh-CN"/>
        </w:rPr>
        <w:t>采购人</w:t>
      </w:r>
      <w:r>
        <w:rPr>
          <w:rFonts w:hint="eastAsia" w:ascii="宋体" w:hAnsi="宋体" w:eastAsia="宋体" w:cs="宋体"/>
          <w:b/>
          <w:color w:val="auto"/>
          <w:sz w:val="22"/>
          <w:szCs w:val="22"/>
          <w:highlight w:val="none"/>
        </w:rPr>
        <w:t>有权根据配送具体情况修改及添加考核条款。</w:t>
      </w:r>
    </w:p>
    <w:p w14:paraId="528A83E2">
      <w:pPr>
        <w:snapToGrid w:val="0"/>
        <w:spacing w:line="4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食材</w:t>
      </w:r>
      <w:r>
        <w:rPr>
          <w:rFonts w:hint="eastAsia" w:ascii="宋体" w:hAnsi="宋体" w:cs="宋体"/>
          <w:b/>
          <w:color w:val="auto"/>
          <w:sz w:val="22"/>
          <w:szCs w:val="22"/>
          <w:highlight w:val="none"/>
          <w:lang w:eastAsia="zh-CN"/>
        </w:rPr>
        <w:t>投标人</w:t>
      </w:r>
      <w:r>
        <w:rPr>
          <w:rFonts w:hint="eastAsia" w:ascii="宋体" w:hAnsi="宋体" w:eastAsia="宋体" w:cs="宋体"/>
          <w:b/>
          <w:color w:val="auto"/>
          <w:sz w:val="22"/>
          <w:szCs w:val="22"/>
          <w:highlight w:val="none"/>
        </w:rPr>
        <w:t>评价表</w:t>
      </w:r>
    </w:p>
    <w:p w14:paraId="6548064D">
      <w:pPr>
        <w:snapToGrid w:val="0"/>
        <w:spacing w:line="460" w:lineRule="exact"/>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 xml:space="preserve">名称：                                                        </w:t>
      </w:r>
      <w:r>
        <w:rPr>
          <w:rFonts w:hint="eastAsia" w:ascii="宋体" w:hAnsi="宋体" w:eastAsia="宋体" w:cs="宋体"/>
          <w:color w:val="auto"/>
          <w:sz w:val="22"/>
          <w:szCs w:val="22"/>
          <w:highlight w:val="none"/>
          <w:lang w:val="en-US" w:eastAsia="zh-CN"/>
        </w:rPr>
        <w:t>半</w:t>
      </w:r>
      <w:r>
        <w:rPr>
          <w:rFonts w:hint="eastAsia" w:ascii="宋体" w:hAnsi="宋体" w:eastAsia="宋体" w:cs="宋体"/>
          <w:color w:val="auto"/>
          <w:sz w:val="22"/>
          <w:szCs w:val="22"/>
          <w:highlight w:val="none"/>
        </w:rPr>
        <w:t>月度：</w:t>
      </w:r>
    </w:p>
    <w:tbl>
      <w:tblPr>
        <w:tblStyle w:val="5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7367"/>
        <w:gridCol w:w="1021"/>
      </w:tblGrid>
      <w:tr w14:paraId="3E11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43" w:type="pct"/>
            <w:tcBorders>
              <w:top w:val="single" w:color="auto" w:sz="4" w:space="0"/>
              <w:left w:val="single" w:color="auto" w:sz="4" w:space="0"/>
              <w:bottom w:val="single" w:color="auto" w:sz="4" w:space="0"/>
              <w:right w:val="single" w:color="auto" w:sz="4" w:space="0"/>
            </w:tcBorders>
            <w:vAlign w:val="center"/>
          </w:tcPr>
          <w:p w14:paraId="56A6DAB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评价指标</w:t>
            </w:r>
          </w:p>
        </w:tc>
        <w:tc>
          <w:tcPr>
            <w:tcW w:w="3738" w:type="pct"/>
            <w:tcBorders>
              <w:top w:val="single" w:color="auto" w:sz="4" w:space="0"/>
              <w:left w:val="single" w:color="auto" w:sz="4" w:space="0"/>
              <w:bottom w:val="single" w:color="auto" w:sz="4" w:space="0"/>
              <w:right w:val="single" w:color="auto" w:sz="4" w:space="0"/>
            </w:tcBorders>
            <w:vAlign w:val="center"/>
          </w:tcPr>
          <w:p w14:paraId="78C0D9C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评价细则</w:t>
            </w:r>
          </w:p>
        </w:tc>
        <w:tc>
          <w:tcPr>
            <w:tcW w:w="517" w:type="pct"/>
            <w:tcBorders>
              <w:top w:val="single" w:color="auto" w:sz="4" w:space="0"/>
              <w:left w:val="single" w:color="auto" w:sz="4" w:space="0"/>
              <w:bottom w:val="single" w:color="auto" w:sz="4" w:space="0"/>
              <w:right w:val="single" w:color="auto" w:sz="4" w:space="0"/>
            </w:tcBorders>
            <w:vAlign w:val="center"/>
          </w:tcPr>
          <w:p w14:paraId="3AA9336F">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扣分</w:t>
            </w:r>
          </w:p>
        </w:tc>
      </w:tr>
      <w:tr w14:paraId="1AF3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3" w:type="pct"/>
            <w:vMerge w:val="restart"/>
            <w:tcBorders>
              <w:top w:val="single" w:color="auto" w:sz="4" w:space="0"/>
              <w:left w:val="single" w:color="auto" w:sz="4" w:space="0"/>
              <w:right w:val="single" w:color="auto" w:sz="4" w:space="0"/>
            </w:tcBorders>
            <w:vAlign w:val="center"/>
          </w:tcPr>
          <w:p w14:paraId="697EF3E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流程管理（30分）</w:t>
            </w:r>
          </w:p>
        </w:tc>
        <w:tc>
          <w:tcPr>
            <w:tcW w:w="3738" w:type="pct"/>
            <w:tcBorders>
              <w:top w:val="single" w:color="auto" w:sz="4" w:space="0"/>
              <w:left w:val="single" w:color="auto" w:sz="4" w:space="0"/>
              <w:bottom w:val="single" w:color="auto" w:sz="4" w:space="0"/>
              <w:right w:val="single" w:color="auto" w:sz="4" w:space="0"/>
            </w:tcBorders>
            <w:vAlign w:val="center"/>
          </w:tcPr>
          <w:p w14:paraId="0B0FE20A">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准时送货（13分）：每半月根据配送响应时间、应急供应情况等内容进行评价，未准时送货，非不可抗拒情况下延误一次扣3分，超出约定时间2小时以上的，或拒绝提供应急供应的，每出现一次，扣10分(以此类推，扣完为止)。</w:t>
            </w:r>
          </w:p>
        </w:tc>
        <w:tc>
          <w:tcPr>
            <w:tcW w:w="517" w:type="pct"/>
            <w:tcBorders>
              <w:top w:val="single" w:color="auto" w:sz="4" w:space="0"/>
              <w:left w:val="single" w:color="auto" w:sz="4" w:space="0"/>
              <w:right w:val="single" w:color="auto" w:sz="4" w:space="0"/>
            </w:tcBorders>
            <w:vAlign w:val="center"/>
          </w:tcPr>
          <w:p w14:paraId="472CDE1E">
            <w:pPr>
              <w:snapToGrid w:val="0"/>
              <w:spacing w:line="460" w:lineRule="exact"/>
              <w:jc w:val="left"/>
              <w:rPr>
                <w:rFonts w:hint="eastAsia" w:ascii="宋体" w:hAnsi="宋体" w:eastAsia="宋体" w:cs="宋体"/>
                <w:color w:val="auto"/>
                <w:sz w:val="22"/>
                <w:szCs w:val="22"/>
                <w:highlight w:val="none"/>
              </w:rPr>
            </w:pPr>
          </w:p>
        </w:tc>
      </w:tr>
      <w:tr w14:paraId="42F1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3" w:type="pct"/>
            <w:vMerge w:val="continue"/>
            <w:tcBorders>
              <w:top w:val="single" w:color="auto" w:sz="4" w:space="0"/>
              <w:left w:val="single" w:color="auto" w:sz="4" w:space="0"/>
              <w:right w:val="single" w:color="auto" w:sz="4" w:space="0"/>
            </w:tcBorders>
            <w:vAlign w:val="center"/>
          </w:tcPr>
          <w:p w14:paraId="6D44E354">
            <w:pPr>
              <w:snapToGrid w:val="0"/>
              <w:spacing w:line="460" w:lineRule="exact"/>
              <w:jc w:val="center"/>
              <w:rPr>
                <w:rFonts w:hint="eastAsia" w:ascii="宋体" w:hAnsi="宋体" w:eastAsia="宋体" w:cs="宋体"/>
                <w:color w:val="auto"/>
                <w:sz w:val="22"/>
                <w:szCs w:val="22"/>
                <w:highlight w:val="none"/>
              </w:rPr>
            </w:pPr>
          </w:p>
        </w:tc>
        <w:tc>
          <w:tcPr>
            <w:tcW w:w="3738" w:type="pct"/>
            <w:tcBorders>
              <w:top w:val="single" w:color="auto" w:sz="4" w:space="0"/>
              <w:left w:val="single" w:color="auto" w:sz="4" w:space="0"/>
              <w:bottom w:val="single" w:color="auto" w:sz="4" w:space="0"/>
              <w:right w:val="single" w:color="auto" w:sz="4" w:space="0"/>
            </w:tcBorders>
            <w:vAlign w:val="center"/>
          </w:tcPr>
          <w:p w14:paraId="18E69FB3">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态度（9分）：工作人员工作认真，服务热情周到，运送搬装文明(运送人员野蛮运装或无正当理由与食堂人员争执，每出现一次，扣3分；运送人员野蛮运装，在队站人员休息时间产生噪音过大，队站人员认为休息受到影响的，每出现一次，扣3分；菜品质量出现问题后，配送单位及负责人售后服务、解决问题态度推诿扯皮，推卸责任，菜品得不到及时地更换，每出现一次，扣3分；必须履行告知义务，菜品若出现缺货、</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发现的质量有问题、菜品价格调整等必须提前至前1日晚上8点前告知单位（站点）伙食</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员，协商是否更换菜品，如果未能及时告知并协商妥当，每出现一次，扣3分，以此类推，扣完为止)；</w:t>
            </w:r>
          </w:p>
        </w:tc>
        <w:tc>
          <w:tcPr>
            <w:tcW w:w="517" w:type="pct"/>
            <w:tcBorders>
              <w:top w:val="single" w:color="auto" w:sz="4" w:space="0"/>
              <w:left w:val="single" w:color="auto" w:sz="4" w:space="0"/>
              <w:right w:val="single" w:color="auto" w:sz="4" w:space="0"/>
            </w:tcBorders>
            <w:vAlign w:val="center"/>
          </w:tcPr>
          <w:p w14:paraId="154D81CF">
            <w:pPr>
              <w:snapToGrid w:val="0"/>
              <w:spacing w:line="460" w:lineRule="exact"/>
              <w:jc w:val="left"/>
              <w:rPr>
                <w:rFonts w:hint="eastAsia" w:ascii="宋体" w:hAnsi="宋体" w:eastAsia="宋体" w:cs="宋体"/>
                <w:color w:val="auto"/>
                <w:sz w:val="22"/>
                <w:szCs w:val="22"/>
                <w:highlight w:val="none"/>
              </w:rPr>
            </w:pPr>
          </w:p>
        </w:tc>
      </w:tr>
      <w:tr w14:paraId="26B3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3" w:type="pct"/>
            <w:vMerge w:val="continue"/>
            <w:tcBorders>
              <w:top w:val="single" w:color="auto" w:sz="4" w:space="0"/>
              <w:left w:val="single" w:color="auto" w:sz="4" w:space="0"/>
              <w:right w:val="single" w:color="auto" w:sz="4" w:space="0"/>
            </w:tcBorders>
            <w:vAlign w:val="center"/>
          </w:tcPr>
          <w:p w14:paraId="38036762">
            <w:pPr>
              <w:snapToGrid w:val="0"/>
              <w:spacing w:line="460" w:lineRule="exact"/>
              <w:jc w:val="center"/>
              <w:rPr>
                <w:rFonts w:hint="eastAsia" w:ascii="宋体" w:hAnsi="宋体" w:eastAsia="宋体" w:cs="宋体"/>
                <w:color w:val="auto"/>
                <w:sz w:val="22"/>
                <w:szCs w:val="22"/>
                <w:highlight w:val="none"/>
              </w:rPr>
            </w:pPr>
          </w:p>
        </w:tc>
        <w:tc>
          <w:tcPr>
            <w:tcW w:w="3738" w:type="pct"/>
            <w:tcBorders>
              <w:top w:val="single" w:color="auto" w:sz="4" w:space="0"/>
              <w:left w:val="single" w:color="auto" w:sz="4" w:space="0"/>
              <w:bottom w:val="single" w:color="auto" w:sz="4" w:space="0"/>
              <w:right w:val="single" w:color="auto" w:sz="4" w:space="0"/>
            </w:tcBorders>
            <w:vAlign w:val="center"/>
          </w:tcPr>
          <w:p w14:paraId="60360E31">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作细致（6分）：配送物品清单与实际配送无差错，出现差错一次，扣3分，配送生熟食分类、分箱、分装，海鲜应放在泡沫箱里，冰块保鲜，不得混装一个盒子一起配送，出现一次，扣3分，未按照指定品牌采购的，出现一次，扣3分，以此类推，扣完为止)；</w:t>
            </w:r>
          </w:p>
        </w:tc>
        <w:tc>
          <w:tcPr>
            <w:tcW w:w="517" w:type="pct"/>
            <w:tcBorders>
              <w:top w:val="single" w:color="auto" w:sz="4" w:space="0"/>
              <w:left w:val="single" w:color="auto" w:sz="4" w:space="0"/>
              <w:right w:val="single" w:color="auto" w:sz="4" w:space="0"/>
            </w:tcBorders>
            <w:vAlign w:val="center"/>
          </w:tcPr>
          <w:p w14:paraId="50BFAC2E">
            <w:pPr>
              <w:snapToGrid w:val="0"/>
              <w:spacing w:line="460" w:lineRule="exact"/>
              <w:jc w:val="left"/>
              <w:rPr>
                <w:rFonts w:hint="eastAsia" w:ascii="宋体" w:hAnsi="宋体" w:eastAsia="宋体" w:cs="宋体"/>
                <w:color w:val="auto"/>
                <w:sz w:val="22"/>
                <w:szCs w:val="22"/>
                <w:highlight w:val="none"/>
              </w:rPr>
            </w:pPr>
          </w:p>
        </w:tc>
      </w:tr>
      <w:tr w14:paraId="05F7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43" w:type="pct"/>
            <w:vMerge w:val="continue"/>
            <w:tcBorders>
              <w:top w:val="single" w:color="auto" w:sz="4" w:space="0"/>
              <w:left w:val="single" w:color="auto" w:sz="4" w:space="0"/>
              <w:right w:val="single" w:color="auto" w:sz="4" w:space="0"/>
            </w:tcBorders>
            <w:vAlign w:val="center"/>
          </w:tcPr>
          <w:p w14:paraId="5A8E43EB">
            <w:pPr>
              <w:snapToGrid w:val="0"/>
              <w:spacing w:line="460" w:lineRule="exact"/>
              <w:jc w:val="center"/>
              <w:rPr>
                <w:rFonts w:hint="eastAsia" w:ascii="宋体" w:hAnsi="宋体" w:eastAsia="宋体" w:cs="宋体"/>
                <w:color w:val="auto"/>
                <w:sz w:val="22"/>
                <w:szCs w:val="22"/>
                <w:highlight w:val="none"/>
              </w:rPr>
            </w:pPr>
          </w:p>
        </w:tc>
        <w:tc>
          <w:tcPr>
            <w:tcW w:w="3738" w:type="pct"/>
            <w:tcBorders>
              <w:top w:val="single" w:color="auto" w:sz="4" w:space="0"/>
              <w:left w:val="single" w:color="auto" w:sz="4" w:space="0"/>
              <w:bottom w:val="single" w:color="auto" w:sz="4" w:space="0"/>
              <w:right w:val="single" w:color="auto" w:sz="4" w:space="0"/>
            </w:tcBorders>
            <w:vAlign w:val="center"/>
          </w:tcPr>
          <w:p w14:paraId="04AE4E63">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单据清晰（2分）：送货清单（结算凭证）项目齐全，机器打印清晰得2分，否则不得分。</w:t>
            </w:r>
          </w:p>
        </w:tc>
        <w:tc>
          <w:tcPr>
            <w:tcW w:w="517" w:type="pct"/>
            <w:tcBorders>
              <w:top w:val="single" w:color="auto" w:sz="4" w:space="0"/>
              <w:left w:val="single" w:color="auto" w:sz="4" w:space="0"/>
              <w:right w:val="single" w:color="auto" w:sz="4" w:space="0"/>
            </w:tcBorders>
            <w:vAlign w:val="center"/>
          </w:tcPr>
          <w:p w14:paraId="2D260004">
            <w:pPr>
              <w:snapToGrid w:val="0"/>
              <w:spacing w:line="460" w:lineRule="exact"/>
              <w:jc w:val="left"/>
              <w:rPr>
                <w:rFonts w:hint="eastAsia" w:ascii="宋体" w:hAnsi="宋体" w:eastAsia="宋体" w:cs="宋体"/>
                <w:color w:val="auto"/>
                <w:sz w:val="22"/>
                <w:szCs w:val="22"/>
                <w:highlight w:val="none"/>
              </w:rPr>
            </w:pPr>
          </w:p>
        </w:tc>
      </w:tr>
      <w:tr w14:paraId="0A44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43" w:type="pct"/>
            <w:tcBorders>
              <w:top w:val="single" w:color="auto" w:sz="4" w:space="0"/>
              <w:left w:val="single" w:color="auto" w:sz="4" w:space="0"/>
              <w:bottom w:val="single" w:color="auto" w:sz="4" w:space="0"/>
              <w:right w:val="single" w:color="auto" w:sz="4" w:space="0"/>
            </w:tcBorders>
            <w:vAlign w:val="center"/>
          </w:tcPr>
          <w:p w14:paraId="6F4AC0F6">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质量管理</w:t>
            </w:r>
          </w:p>
          <w:p w14:paraId="195A5C1A">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（50分）</w:t>
            </w:r>
          </w:p>
        </w:tc>
        <w:tc>
          <w:tcPr>
            <w:tcW w:w="3738" w:type="pct"/>
            <w:tcBorders>
              <w:top w:val="single" w:color="auto" w:sz="4" w:space="0"/>
              <w:left w:val="single" w:color="auto" w:sz="4" w:space="0"/>
              <w:bottom w:val="single" w:color="auto" w:sz="4" w:space="0"/>
              <w:right w:val="single" w:color="auto" w:sz="4" w:space="0"/>
            </w:tcBorders>
            <w:vAlign w:val="center"/>
          </w:tcPr>
          <w:p w14:paraId="2B2B2A14">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每单位（站点）每半月选不定数量菜品，发现一个菜品不新鲜度扣3分，每发现一个菜品不足量扣2分，扣完为止。</w:t>
            </w:r>
          </w:p>
        </w:tc>
        <w:tc>
          <w:tcPr>
            <w:tcW w:w="517" w:type="pct"/>
            <w:tcBorders>
              <w:top w:val="single" w:color="auto" w:sz="4" w:space="0"/>
              <w:left w:val="single" w:color="auto" w:sz="4" w:space="0"/>
              <w:bottom w:val="single" w:color="auto" w:sz="4" w:space="0"/>
              <w:right w:val="single" w:color="auto" w:sz="4" w:space="0"/>
            </w:tcBorders>
            <w:vAlign w:val="center"/>
          </w:tcPr>
          <w:p w14:paraId="481F6B12">
            <w:pPr>
              <w:snapToGrid w:val="0"/>
              <w:spacing w:line="460" w:lineRule="exact"/>
              <w:jc w:val="left"/>
              <w:rPr>
                <w:rFonts w:hint="eastAsia" w:ascii="宋体" w:hAnsi="宋体" w:eastAsia="宋体" w:cs="宋体"/>
                <w:color w:val="auto"/>
                <w:sz w:val="22"/>
                <w:szCs w:val="22"/>
                <w:highlight w:val="none"/>
              </w:rPr>
            </w:pPr>
          </w:p>
        </w:tc>
      </w:tr>
      <w:tr w14:paraId="1F0F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43" w:type="pct"/>
            <w:tcBorders>
              <w:top w:val="single" w:color="auto" w:sz="4" w:space="0"/>
              <w:left w:val="single" w:color="auto" w:sz="4" w:space="0"/>
              <w:bottom w:val="single" w:color="auto" w:sz="4" w:space="0"/>
              <w:right w:val="single" w:color="auto" w:sz="4" w:space="0"/>
            </w:tcBorders>
            <w:vAlign w:val="center"/>
          </w:tcPr>
          <w:p w14:paraId="30864285">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价格评价</w:t>
            </w:r>
          </w:p>
          <w:p w14:paraId="13BC8CB8">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（20分）</w:t>
            </w:r>
          </w:p>
        </w:tc>
        <w:tc>
          <w:tcPr>
            <w:tcW w:w="3738" w:type="pct"/>
            <w:tcBorders>
              <w:top w:val="single" w:color="auto" w:sz="4" w:space="0"/>
              <w:left w:val="single" w:color="auto" w:sz="4" w:space="0"/>
              <w:bottom w:val="single" w:color="auto" w:sz="4" w:space="0"/>
              <w:right w:val="single" w:color="auto" w:sz="4" w:space="0"/>
            </w:tcBorders>
            <w:vAlign w:val="center"/>
          </w:tcPr>
          <w:p w14:paraId="118C6100">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每次选3-5个菜品进行市场比价，同等菜品价格超出市场价5%以内的，每个菜品扣5分；超5%-10%的，每个菜品扣10分；超10%以上的，每个菜品扣20分。</w:t>
            </w:r>
          </w:p>
          <w:p w14:paraId="7EEE286F">
            <w:pPr>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注：上述价格为剔除税费和配送费5%后的净价。菜品的重量按处理后重量计算。</w:t>
            </w:r>
          </w:p>
        </w:tc>
        <w:tc>
          <w:tcPr>
            <w:tcW w:w="517" w:type="pct"/>
            <w:tcBorders>
              <w:top w:val="single" w:color="auto" w:sz="4" w:space="0"/>
              <w:left w:val="single" w:color="auto" w:sz="4" w:space="0"/>
              <w:bottom w:val="single" w:color="auto" w:sz="4" w:space="0"/>
              <w:right w:val="single" w:color="auto" w:sz="4" w:space="0"/>
            </w:tcBorders>
            <w:vAlign w:val="center"/>
          </w:tcPr>
          <w:p w14:paraId="76AE8AE1">
            <w:pPr>
              <w:snapToGrid w:val="0"/>
              <w:spacing w:line="460" w:lineRule="exact"/>
              <w:jc w:val="left"/>
              <w:rPr>
                <w:rFonts w:hint="eastAsia" w:ascii="宋体" w:hAnsi="宋体" w:eastAsia="宋体" w:cs="宋体"/>
                <w:color w:val="auto"/>
                <w:sz w:val="22"/>
                <w:szCs w:val="22"/>
                <w:highlight w:val="none"/>
              </w:rPr>
            </w:pPr>
          </w:p>
        </w:tc>
      </w:tr>
      <w:tr w14:paraId="1F72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82" w:type="pct"/>
            <w:gridSpan w:val="2"/>
            <w:tcBorders>
              <w:top w:val="single" w:color="auto" w:sz="4" w:space="0"/>
              <w:left w:val="single" w:color="auto" w:sz="4" w:space="0"/>
              <w:bottom w:val="single" w:color="auto" w:sz="4" w:space="0"/>
              <w:right w:val="single" w:color="auto" w:sz="4" w:space="0"/>
            </w:tcBorders>
            <w:vAlign w:val="center"/>
          </w:tcPr>
          <w:p w14:paraId="61C7E66C">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合计得分</w:t>
            </w:r>
          </w:p>
        </w:tc>
        <w:tc>
          <w:tcPr>
            <w:tcW w:w="517" w:type="pct"/>
            <w:tcBorders>
              <w:top w:val="single" w:color="auto" w:sz="4" w:space="0"/>
              <w:left w:val="single" w:color="auto" w:sz="4" w:space="0"/>
              <w:bottom w:val="single" w:color="auto" w:sz="4" w:space="0"/>
              <w:right w:val="single" w:color="auto" w:sz="4" w:space="0"/>
            </w:tcBorders>
            <w:vAlign w:val="center"/>
          </w:tcPr>
          <w:p w14:paraId="21591196">
            <w:pPr>
              <w:snapToGrid w:val="0"/>
              <w:spacing w:line="460" w:lineRule="exact"/>
              <w:jc w:val="left"/>
              <w:rPr>
                <w:rFonts w:hint="eastAsia" w:ascii="宋体" w:hAnsi="宋体" w:eastAsia="宋体" w:cs="宋体"/>
                <w:color w:val="auto"/>
                <w:sz w:val="22"/>
                <w:szCs w:val="22"/>
                <w:highlight w:val="none"/>
              </w:rPr>
            </w:pPr>
          </w:p>
        </w:tc>
      </w:tr>
      <w:tr w14:paraId="0312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027AB1B4">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扣分项目说明：配送公司如在配送期间出现上述评价问题，必须及时纠正。</w:t>
            </w:r>
          </w:p>
          <w:p w14:paraId="43DF598D">
            <w:pPr>
              <w:snapToGrid w:val="0"/>
              <w:spacing w:line="460" w:lineRule="exact"/>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1、如评价总分低于90分（含90分），配送公司要做出书面的整改承诺：</w:t>
            </w:r>
          </w:p>
          <w:p w14:paraId="6A9C4D0A">
            <w:pPr>
              <w:snapToGrid w:val="0"/>
              <w:spacing w:line="460" w:lineRule="exact"/>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2、评价总分在80分-90分，扣当</w:t>
            </w:r>
            <w:r>
              <w:rPr>
                <w:rFonts w:hint="eastAsia" w:ascii="宋体" w:hAnsi="宋体" w:eastAsia="宋体" w:cs="宋体"/>
                <w:b/>
                <w:bCs/>
                <w:color w:val="auto"/>
                <w:sz w:val="22"/>
                <w:szCs w:val="22"/>
                <w:highlight w:val="none"/>
                <w:lang w:eastAsia="zh-CN"/>
              </w:rPr>
              <w:t>期</w:t>
            </w:r>
            <w:r>
              <w:rPr>
                <w:rFonts w:hint="eastAsia" w:ascii="宋体" w:hAnsi="宋体" w:eastAsia="宋体" w:cs="宋体"/>
                <w:b/>
                <w:bCs/>
                <w:color w:val="auto"/>
                <w:sz w:val="22"/>
                <w:szCs w:val="22"/>
                <w:highlight w:val="none"/>
              </w:rPr>
              <w:t>结算金额的1%作为罚款；</w:t>
            </w:r>
          </w:p>
          <w:p w14:paraId="30FDD084">
            <w:pPr>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二次以上（含）在80分-90分，扣当</w:t>
            </w:r>
            <w:r>
              <w:rPr>
                <w:rFonts w:hint="eastAsia" w:ascii="宋体" w:hAnsi="宋体" w:eastAsia="宋体" w:cs="宋体"/>
                <w:b/>
                <w:bCs/>
                <w:color w:val="auto"/>
                <w:sz w:val="22"/>
                <w:szCs w:val="22"/>
                <w:highlight w:val="none"/>
                <w:lang w:eastAsia="zh-CN"/>
              </w:rPr>
              <w:t>期</w:t>
            </w:r>
            <w:r>
              <w:rPr>
                <w:rFonts w:hint="eastAsia" w:ascii="宋体" w:hAnsi="宋体" w:eastAsia="宋体" w:cs="宋体"/>
                <w:b/>
                <w:bCs/>
                <w:color w:val="auto"/>
                <w:sz w:val="22"/>
                <w:szCs w:val="22"/>
                <w:highlight w:val="none"/>
              </w:rPr>
              <w:t>结算金额的5%作为罚款。</w:t>
            </w:r>
          </w:p>
          <w:p w14:paraId="5FB19CF8">
            <w:pPr>
              <w:snapToGrid w:val="0"/>
              <w:spacing w:line="460" w:lineRule="exact"/>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3、评价总分在80分以下，约谈配送公司并予以警告，并扣当</w:t>
            </w:r>
            <w:r>
              <w:rPr>
                <w:rFonts w:hint="eastAsia" w:ascii="宋体" w:hAnsi="宋体" w:eastAsia="宋体" w:cs="宋体"/>
                <w:b/>
                <w:bCs/>
                <w:color w:val="auto"/>
                <w:sz w:val="22"/>
                <w:szCs w:val="22"/>
                <w:highlight w:val="none"/>
                <w:lang w:eastAsia="zh-CN"/>
              </w:rPr>
              <w:t>期</w:t>
            </w:r>
            <w:r>
              <w:rPr>
                <w:rFonts w:hint="eastAsia" w:ascii="宋体" w:hAnsi="宋体" w:eastAsia="宋体" w:cs="宋体"/>
                <w:b/>
                <w:bCs/>
                <w:color w:val="auto"/>
                <w:sz w:val="22"/>
                <w:szCs w:val="22"/>
                <w:highlight w:val="none"/>
              </w:rPr>
              <w:t>结算金额的扣5%作为罚款；</w:t>
            </w:r>
          </w:p>
          <w:p w14:paraId="16CAA3B5">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二次及以上，按合同“十、违约责任”处罚。</w:t>
            </w:r>
          </w:p>
        </w:tc>
      </w:tr>
    </w:tbl>
    <w:p w14:paraId="2C8E139F">
      <w:pPr>
        <w:pStyle w:val="50"/>
        <w:snapToGrid w:val="0"/>
        <w:spacing w:line="460" w:lineRule="exact"/>
        <w:ind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七、订货：</w:t>
      </w:r>
    </w:p>
    <w:p w14:paraId="321E1461">
      <w:pPr>
        <w:autoSpaceDE w:val="0"/>
        <w:autoSpaceDN w:val="0"/>
        <w:adjustRightInd w:val="0"/>
        <w:snapToGrid w:val="0"/>
        <w:spacing w:line="460" w:lineRule="exact"/>
        <w:ind w:firstLine="440" w:firstLineChars="200"/>
        <w:rPr>
          <w:rFonts w:hint="eastAsia" w:ascii="宋体" w:hAnsi="宋体" w:eastAsia="宋体" w:cs="宋体"/>
          <w:b/>
          <w:color w:val="auto"/>
          <w:kern w:val="0"/>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须根据市场情况向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提供换季食材的品种及价格，供</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参考。</w:t>
      </w:r>
    </w:p>
    <w:p w14:paraId="61E19014">
      <w:pPr>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2、</w:t>
      </w:r>
      <w:r>
        <w:rPr>
          <w:rFonts w:hint="eastAsia" w:ascii="宋体" w:hAnsi="宋体" w:cs="宋体"/>
          <w:b/>
          <w:color w:val="auto"/>
          <w:kern w:val="0"/>
          <w:sz w:val="22"/>
          <w:szCs w:val="22"/>
          <w:highlight w:val="none"/>
          <w:lang w:eastAsia="zh-CN"/>
        </w:rPr>
        <w:t>采购人</w:t>
      </w:r>
      <w:r>
        <w:rPr>
          <w:rFonts w:hint="eastAsia" w:ascii="宋体" w:hAnsi="宋体" w:eastAsia="宋体" w:cs="宋体"/>
          <w:b/>
          <w:bCs/>
          <w:color w:val="auto"/>
          <w:kern w:val="0"/>
          <w:sz w:val="22"/>
          <w:szCs w:val="22"/>
          <w:highlight w:val="none"/>
          <w:lang w:val="zh-CN"/>
        </w:rPr>
        <w:t>应提前一天将第二天要采购的食品名称、规格、数量</w:t>
      </w:r>
      <w:r>
        <w:rPr>
          <w:rFonts w:hint="eastAsia" w:ascii="宋体" w:hAnsi="宋体" w:eastAsia="宋体" w:cs="宋体"/>
          <w:b/>
          <w:color w:val="auto"/>
          <w:kern w:val="0"/>
          <w:sz w:val="22"/>
          <w:szCs w:val="22"/>
          <w:highlight w:val="none"/>
        </w:rPr>
        <w:t>，通过书面（或电子邮件）的形式通知中标</w:t>
      </w:r>
      <w:r>
        <w:rPr>
          <w:rFonts w:hint="eastAsia" w:ascii="宋体" w:hAnsi="宋体" w:cs="宋体"/>
          <w:b/>
          <w:color w:val="auto"/>
          <w:kern w:val="0"/>
          <w:sz w:val="22"/>
          <w:szCs w:val="22"/>
          <w:highlight w:val="none"/>
          <w:lang w:eastAsia="zh-CN"/>
        </w:rPr>
        <w:t>人</w:t>
      </w:r>
      <w:r>
        <w:rPr>
          <w:rFonts w:hint="eastAsia" w:ascii="宋体" w:hAnsi="宋体" w:eastAsia="宋体" w:cs="宋体"/>
          <w:b/>
          <w:color w:val="auto"/>
          <w:kern w:val="0"/>
          <w:sz w:val="22"/>
          <w:szCs w:val="22"/>
          <w:highlight w:val="none"/>
        </w:rPr>
        <w:t>，以便中标</w:t>
      </w:r>
      <w:r>
        <w:rPr>
          <w:rFonts w:hint="eastAsia" w:ascii="宋体" w:hAnsi="宋体" w:cs="宋体"/>
          <w:b/>
          <w:color w:val="auto"/>
          <w:kern w:val="0"/>
          <w:sz w:val="22"/>
          <w:szCs w:val="22"/>
          <w:highlight w:val="none"/>
          <w:lang w:eastAsia="zh-CN"/>
        </w:rPr>
        <w:t>人</w:t>
      </w:r>
      <w:r>
        <w:rPr>
          <w:rFonts w:hint="eastAsia" w:ascii="宋体" w:hAnsi="宋体" w:eastAsia="宋体" w:cs="宋体"/>
          <w:b/>
          <w:color w:val="auto"/>
          <w:kern w:val="0"/>
          <w:sz w:val="22"/>
          <w:szCs w:val="22"/>
          <w:highlight w:val="none"/>
        </w:rPr>
        <w:t>备货。</w:t>
      </w:r>
    </w:p>
    <w:p w14:paraId="4BB5A9C6">
      <w:pPr>
        <w:autoSpaceDE w:val="0"/>
        <w:autoSpaceDN w:val="0"/>
        <w:adjustRightInd w:val="0"/>
        <w:snapToGrid w:val="0"/>
        <w:spacing w:line="460" w:lineRule="exact"/>
        <w:ind w:firstLine="440" w:firstLineChars="200"/>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接到</w:t>
      </w:r>
      <w:r>
        <w:rPr>
          <w:rFonts w:hint="eastAsia" w:ascii="宋体" w:hAnsi="宋体" w:cs="宋体"/>
          <w:bCs/>
          <w:color w:val="auto"/>
          <w:kern w:val="0"/>
          <w:sz w:val="22"/>
          <w:szCs w:val="22"/>
          <w:highlight w:val="none"/>
          <w:lang w:eastAsia="zh-CN"/>
        </w:rPr>
        <w:t>采购人</w:t>
      </w:r>
      <w:r>
        <w:rPr>
          <w:rFonts w:hint="eastAsia" w:ascii="宋体" w:hAnsi="宋体" w:eastAsia="宋体" w:cs="宋体"/>
          <w:bCs/>
          <w:color w:val="auto"/>
          <w:kern w:val="0"/>
          <w:sz w:val="22"/>
          <w:szCs w:val="22"/>
          <w:highlight w:val="none"/>
        </w:rPr>
        <w:t>订单后，个别品种因缺货而无法提供的，</w:t>
      </w:r>
      <w:r>
        <w:rPr>
          <w:rFonts w:hint="eastAsia" w:ascii="宋体" w:hAnsi="宋体" w:cs="宋体"/>
          <w:bCs/>
          <w:color w:val="auto"/>
          <w:kern w:val="0"/>
          <w:sz w:val="22"/>
          <w:szCs w:val="22"/>
          <w:highlight w:val="none"/>
          <w:lang w:eastAsia="zh-CN"/>
        </w:rPr>
        <w:t>投标人</w:t>
      </w:r>
      <w:r>
        <w:rPr>
          <w:rFonts w:hint="eastAsia" w:ascii="宋体" w:hAnsi="宋体" w:eastAsia="宋体" w:cs="宋体"/>
          <w:bCs/>
          <w:color w:val="auto"/>
          <w:kern w:val="0"/>
          <w:sz w:val="22"/>
          <w:szCs w:val="22"/>
          <w:highlight w:val="none"/>
        </w:rPr>
        <w:t>应在接到供货通知2小时内知会</w:t>
      </w:r>
      <w:r>
        <w:rPr>
          <w:rFonts w:hint="eastAsia" w:ascii="宋体" w:hAnsi="宋体" w:cs="宋体"/>
          <w:bCs/>
          <w:color w:val="auto"/>
          <w:kern w:val="0"/>
          <w:sz w:val="22"/>
          <w:szCs w:val="22"/>
          <w:highlight w:val="none"/>
          <w:lang w:eastAsia="zh-CN"/>
        </w:rPr>
        <w:t>采购人</w:t>
      </w:r>
      <w:r>
        <w:rPr>
          <w:rFonts w:hint="eastAsia" w:ascii="宋体" w:hAnsi="宋体" w:eastAsia="宋体" w:cs="宋体"/>
          <w:bCs/>
          <w:color w:val="auto"/>
          <w:kern w:val="0"/>
          <w:sz w:val="22"/>
          <w:szCs w:val="22"/>
          <w:highlight w:val="none"/>
        </w:rPr>
        <w:t>并协商好解决方法。</w:t>
      </w:r>
      <w:r>
        <w:rPr>
          <w:rFonts w:hint="eastAsia" w:ascii="宋体" w:hAnsi="宋体" w:eastAsia="宋体" w:cs="宋体"/>
          <w:b/>
          <w:color w:val="auto"/>
          <w:kern w:val="0"/>
          <w:sz w:val="22"/>
          <w:szCs w:val="22"/>
          <w:highlight w:val="none"/>
        </w:rPr>
        <w:t>货品名称不一致的，以</w:t>
      </w:r>
      <w:r>
        <w:rPr>
          <w:rFonts w:hint="eastAsia" w:ascii="宋体" w:hAnsi="宋体" w:cs="宋体"/>
          <w:b/>
          <w:color w:val="auto"/>
          <w:kern w:val="0"/>
          <w:sz w:val="22"/>
          <w:szCs w:val="22"/>
          <w:highlight w:val="none"/>
          <w:lang w:eastAsia="zh-CN"/>
        </w:rPr>
        <w:t>采购人</w:t>
      </w:r>
      <w:r>
        <w:rPr>
          <w:rFonts w:hint="eastAsia" w:ascii="宋体" w:hAnsi="宋体" w:eastAsia="宋体" w:cs="宋体"/>
          <w:b/>
          <w:color w:val="auto"/>
          <w:kern w:val="0"/>
          <w:sz w:val="22"/>
          <w:szCs w:val="22"/>
          <w:highlight w:val="none"/>
        </w:rPr>
        <w:t>要求提供的为准（经书面通知</w:t>
      </w:r>
      <w:r>
        <w:rPr>
          <w:rFonts w:hint="eastAsia" w:ascii="宋体" w:hAnsi="宋体" w:cs="宋体"/>
          <w:b/>
          <w:color w:val="auto"/>
          <w:kern w:val="0"/>
          <w:sz w:val="22"/>
          <w:szCs w:val="22"/>
          <w:highlight w:val="none"/>
          <w:lang w:eastAsia="zh-CN"/>
        </w:rPr>
        <w:t>采购人</w:t>
      </w:r>
      <w:r>
        <w:rPr>
          <w:rFonts w:hint="eastAsia" w:ascii="宋体" w:hAnsi="宋体" w:eastAsia="宋体" w:cs="宋体"/>
          <w:b/>
          <w:color w:val="auto"/>
          <w:kern w:val="0"/>
          <w:sz w:val="22"/>
          <w:szCs w:val="22"/>
          <w:highlight w:val="none"/>
        </w:rPr>
        <w:t>并得到同意的除外）</w:t>
      </w:r>
      <w:r>
        <w:rPr>
          <w:rFonts w:hint="eastAsia" w:ascii="宋体" w:hAnsi="宋体" w:eastAsia="宋体" w:cs="宋体"/>
          <w:bCs/>
          <w:color w:val="auto"/>
          <w:sz w:val="22"/>
          <w:szCs w:val="22"/>
          <w:highlight w:val="none"/>
        </w:rPr>
        <w:t>，如导致无法准确及时结算的，按扣除相应考评分处理。</w:t>
      </w:r>
    </w:p>
    <w:p w14:paraId="0DF03E52">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4、若遇特殊情况，如：</w:t>
      </w:r>
      <w:r>
        <w:rPr>
          <w:rFonts w:hint="eastAsia" w:ascii="宋体" w:hAnsi="宋体" w:cs="宋体"/>
          <w:b/>
          <w:bCs/>
          <w:color w:val="auto"/>
          <w:kern w:val="0"/>
          <w:sz w:val="22"/>
          <w:szCs w:val="22"/>
          <w:highlight w:val="none"/>
          <w:lang w:eastAsia="zh-CN"/>
        </w:rPr>
        <w:t>采购人</w:t>
      </w:r>
      <w:r>
        <w:rPr>
          <w:rFonts w:hint="eastAsia" w:ascii="宋体" w:hAnsi="宋体" w:eastAsia="宋体" w:cs="宋体"/>
          <w:b/>
          <w:bCs/>
          <w:color w:val="auto"/>
          <w:kern w:val="0"/>
          <w:sz w:val="22"/>
          <w:szCs w:val="22"/>
          <w:highlight w:val="none"/>
        </w:rPr>
        <w:t>用餐人数临时增减，特需物品临时增减等，</w:t>
      </w:r>
      <w:r>
        <w:rPr>
          <w:rFonts w:hint="eastAsia" w:ascii="宋体" w:hAnsi="宋体" w:cs="宋体"/>
          <w:b/>
          <w:bCs/>
          <w:color w:val="auto"/>
          <w:kern w:val="0"/>
          <w:sz w:val="22"/>
          <w:szCs w:val="22"/>
          <w:highlight w:val="none"/>
          <w:lang w:eastAsia="zh-CN"/>
        </w:rPr>
        <w:t>投标人</w:t>
      </w:r>
      <w:r>
        <w:rPr>
          <w:rFonts w:hint="eastAsia" w:ascii="宋体" w:hAnsi="宋体" w:eastAsia="宋体" w:cs="宋体"/>
          <w:b/>
          <w:bCs/>
          <w:color w:val="auto"/>
          <w:kern w:val="0"/>
          <w:sz w:val="22"/>
          <w:szCs w:val="22"/>
          <w:highlight w:val="none"/>
        </w:rPr>
        <w:t>需无条件配合</w:t>
      </w:r>
      <w:r>
        <w:rPr>
          <w:rFonts w:hint="eastAsia" w:ascii="宋体" w:hAnsi="宋体" w:cs="宋体"/>
          <w:b/>
          <w:bCs/>
          <w:color w:val="auto"/>
          <w:kern w:val="0"/>
          <w:sz w:val="22"/>
          <w:szCs w:val="22"/>
          <w:highlight w:val="none"/>
          <w:lang w:eastAsia="zh-CN"/>
        </w:rPr>
        <w:t>采购人</w:t>
      </w:r>
      <w:r>
        <w:rPr>
          <w:rFonts w:hint="eastAsia" w:ascii="宋体" w:hAnsi="宋体" w:eastAsia="宋体" w:cs="宋体"/>
          <w:b/>
          <w:bCs/>
          <w:color w:val="auto"/>
          <w:kern w:val="0"/>
          <w:sz w:val="22"/>
          <w:szCs w:val="22"/>
          <w:highlight w:val="none"/>
        </w:rPr>
        <w:t>。</w:t>
      </w:r>
    </w:p>
    <w:p w14:paraId="4E620200">
      <w:pPr>
        <w:autoSpaceDE w:val="0"/>
        <w:autoSpaceDN w:val="0"/>
        <w:adjustRightInd w:val="0"/>
        <w:snapToGrid w:val="0"/>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八、交货：</w:t>
      </w:r>
    </w:p>
    <w:p w14:paraId="58249C60">
      <w:pPr>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1、</w:t>
      </w:r>
      <w:r>
        <w:rPr>
          <w:rFonts w:hint="eastAsia" w:ascii="宋体" w:hAnsi="宋体" w:cs="宋体"/>
          <w:b/>
          <w:color w:val="auto"/>
          <w:kern w:val="0"/>
          <w:sz w:val="22"/>
          <w:szCs w:val="22"/>
          <w:highlight w:val="none"/>
          <w:u w:val="single"/>
          <w:lang w:eastAsia="zh-CN"/>
        </w:rPr>
        <w:t>投标人</w:t>
      </w:r>
      <w:r>
        <w:rPr>
          <w:rFonts w:hint="eastAsia" w:ascii="宋体" w:hAnsi="宋体" w:eastAsia="宋体" w:cs="宋体"/>
          <w:b/>
          <w:color w:val="auto"/>
          <w:kern w:val="0"/>
          <w:sz w:val="22"/>
          <w:szCs w:val="22"/>
          <w:highlight w:val="none"/>
          <w:u w:val="single"/>
        </w:rPr>
        <w:t>每天（包括法定节假日）早上6：20前将订单内所有货品送到</w:t>
      </w:r>
      <w:r>
        <w:rPr>
          <w:rFonts w:hint="eastAsia" w:ascii="宋体" w:hAnsi="宋体" w:cs="宋体"/>
          <w:b/>
          <w:color w:val="auto"/>
          <w:kern w:val="0"/>
          <w:sz w:val="22"/>
          <w:szCs w:val="22"/>
          <w:highlight w:val="none"/>
          <w:u w:val="single"/>
          <w:lang w:eastAsia="zh-CN"/>
        </w:rPr>
        <w:t>采购人</w:t>
      </w:r>
      <w:r>
        <w:rPr>
          <w:rFonts w:hint="eastAsia" w:ascii="宋体" w:hAnsi="宋体" w:eastAsia="宋体" w:cs="宋体"/>
          <w:b/>
          <w:color w:val="auto"/>
          <w:kern w:val="0"/>
          <w:sz w:val="22"/>
          <w:szCs w:val="22"/>
          <w:highlight w:val="none"/>
          <w:u w:val="single"/>
        </w:rPr>
        <w:t>指定的地点并配送完毕（协助</w:t>
      </w:r>
      <w:r>
        <w:rPr>
          <w:rFonts w:hint="eastAsia" w:ascii="宋体" w:hAnsi="宋体" w:cs="宋体"/>
          <w:b/>
          <w:color w:val="auto"/>
          <w:kern w:val="0"/>
          <w:sz w:val="22"/>
          <w:szCs w:val="22"/>
          <w:highlight w:val="none"/>
          <w:u w:val="single"/>
          <w:lang w:eastAsia="zh-CN"/>
        </w:rPr>
        <w:t>采购人</w:t>
      </w:r>
      <w:r>
        <w:rPr>
          <w:rFonts w:hint="eastAsia" w:ascii="宋体" w:hAnsi="宋体" w:eastAsia="宋体" w:cs="宋体"/>
          <w:b/>
          <w:color w:val="auto"/>
          <w:kern w:val="0"/>
          <w:sz w:val="22"/>
          <w:szCs w:val="22"/>
          <w:highlight w:val="none"/>
          <w:u w:val="single"/>
        </w:rPr>
        <w:t>做好签收记录）。根据实际情况，如需一天配送多次，</w:t>
      </w:r>
      <w:r>
        <w:rPr>
          <w:rFonts w:hint="eastAsia" w:ascii="宋体" w:hAnsi="宋体" w:cs="宋体"/>
          <w:b/>
          <w:color w:val="auto"/>
          <w:kern w:val="0"/>
          <w:sz w:val="22"/>
          <w:szCs w:val="22"/>
          <w:highlight w:val="none"/>
          <w:u w:val="single"/>
          <w:lang w:eastAsia="zh-CN"/>
        </w:rPr>
        <w:t>投标人</w:t>
      </w:r>
      <w:r>
        <w:rPr>
          <w:rFonts w:hint="eastAsia" w:ascii="宋体" w:hAnsi="宋体" w:eastAsia="宋体" w:cs="宋体"/>
          <w:b/>
          <w:color w:val="auto"/>
          <w:kern w:val="0"/>
          <w:sz w:val="22"/>
          <w:szCs w:val="22"/>
          <w:highlight w:val="none"/>
          <w:u w:val="single"/>
        </w:rPr>
        <w:t>必须无条件响应</w:t>
      </w:r>
      <w:r>
        <w:rPr>
          <w:rFonts w:hint="eastAsia" w:ascii="宋体" w:hAnsi="宋体" w:eastAsia="宋体" w:cs="宋体"/>
          <w:b/>
          <w:color w:val="auto"/>
          <w:kern w:val="0"/>
          <w:sz w:val="22"/>
          <w:szCs w:val="22"/>
          <w:highlight w:val="none"/>
        </w:rPr>
        <w:t>。</w:t>
      </w:r>
      <w:r>
        <w:rPr>
          <w:rFonts w:hint="eastAsia" w:ascii="宋体" w:hAnsi="宋体" w:cs="宋体"/>
          <w:b/>
          <w:color w:val="auto"/>
          <w:kern w:val="0"/>
          <w:sz w:val="22"/>
          <w:szCs w:val="22"/>
          <w:highlight w:val="none"/>
          <w:lang w:eastAsia="zh-CN"/>
        </w:rPr>
        <w:t>投标人</w:t>
      </w:r>
      <w:r>
        <w:rPr>
          <w:rFonts w:hint="eastAsia" w:ascii="宋体" w:hAnsi="宋体" w:eastAsia="宋体" w:cs="宋体"/>
          <w:b/>
          <w:color w:val="auto"/>
          <w:kern w:val="0"/>
          <w:sz w:val="22"/>
          <w:szCs w:val="22"/>
          <w:highlight w:val="none"/>
        </w:rPr>
        <w:t>提供《送货清单》一式三份（其中采购两份，一份食堂留档，一份财务做账），双方现场过秤并验收签名，作结算凭证。</w:t>
      </w:r>
    </w:p>
    <w:p w14:paraId="37504CBA">
      <w:pPr>
        <w:autoSpaceDE w:val="0"/>
        <w:autoSpaceDN w:val="0"/>
        <w:adjustRightInd w:val="0"/>
        <w:snapToGrid w:val="0"/>
        <w:spacing w:line="460" w:lineRule="exact"/>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2、所有品种按除箱净重过磅（所有食材包括但不限于宰杀、预处理、预加工等），采购品种有误须立即更换，最终交易重量以双方确认的过磅数为准。</w:t>
      </w:r>
    </w:p>
    <w:p w14:paraId="56F2FD21">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送货人员负责将货物从车上搬到称上过磅，然后放到指定地点，由</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食堂人员负责验收并签字确认。</w:t>
      </w:r>
    </w:p>
    <w:p w14:paraId="280269B8">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4、考虑到叶菜类品种的特殊性，要求</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实际供应除叶菜类外的品种及数量与</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订单要 求相差不能超过10％，叶菜类的品种及数量与</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订单要求相差不能超过30％。各品种数量超出规定的部分由</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带回，不纳入结算，短缺的部份由</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补足。</w:t>
      </w:r>
    </w:p>
    <w:p w14:paraId="251C00FE">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5、肉类货品根据采购要求加工（如排骨切块），肉末、肉丝等原则上由采购食堂自行加工，在发生急需加工的情况时，可由</w:t>
      </w:r>
      <w:r>
        <w:rPr>
          <w:rFonts w:hint="eastAsia" w:ascii="宋体" w:hAnsi="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代为加工，但必须是招标单位的相关人员确定原材料量后，在招标单位的相关人员在场的情况下完成加工。</w:t>
      </w:r>
    </w:p>
    <w:p w14:paraId="11B08D88">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6、当天采购的配送产品分类存储、运送，海鲜水产品须存放在</w:t>
      </w:r>
      <w:r>
        <w:rPr>
          <w:rFonts w:hint="eastAsia"/>
        </w:rPr>
        <w:t>保鲜</w:t>
      </w:r>
      <w:r>
        <w:rPr>
          <w:rFonts w:hint="eastAsia" w:ascii="宋体" w:hAnsi="宋体" w:eastAsia="宋体" w:cs="宋体"/>
          <w:color w:val="auto"/>
          <w:kern w:val="0"/>
          <w:sz w:val="22"/>
          <w:szCs w:val="22"/>
          <w:highlight w:val="none"/>
        </w:rPr>
        <w:t xml:space="preserve">箱里面，并配置冰块保鲜。 </w:t>
      </w:r>
    </w:p>
    <w:p w14:paraId="2C2F8F8A">
      <w:pPr>
        <w:autoSpaceDE w:val="0"/>
        <w:autoSpaceDN w:val="0"/>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7、质量必须达到本标书配送所列的要求及验收标准。</w:t>
      </w:r>
    </w:p>
    <w:p w14:paraId="4B0AE7DF">
      <w:pPr>
        <w:autoSpaceDE w:val="0"/>
        <w:autoSpaceDN w:val="0"/>
        <w:adjustRightInd w:val="0"/>
        <w:snapToGrid w:val="0"/>
        <w:spacing w:line="46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九、服务期限</w:t>
      </w:r>
    </w:p>
    <w:p w14:paraId="100FA2BD">
      <w:pPr>
        <w:wordWrap w:val="0"/>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配送期限：一年（20   年   月    日至20    年    月     日）。</w:t>
      </w:r>
    </w:p>
    <w:p w14:paraId="6D844EA4">
      <w:pPr>
        <w:wordWrap w:val="0"/>
        <w:autoSpaceDE w:val="0"/>
        <w:autoSpaceDN w:val="0"/>
        <w:adjustRightInd w:val="0"/>
        <w:snapToGrid w:val="0"/>
        <w:spacing w:line="460" w:lineRule="exact"/>
        <w:ind w:firstLine="440" w:firstLineChars="200"/>
        <w:rPr>
          <w:rFonts w:hint="eastAsia" w:ascii="宋体" w:hAnsi="宋体" w:eastAsia="宋体" w:cs="宋体"/>
          <w:b/>
          <w:color w:val="auto"/>
          <w:kern w:val="0"/>
          <w:sz w:val="22"/>
          <w:szCs w:val="22"/>
          <w:highlight w:val="none"/>
          <w:u w:val="single"/>
        </w:rPr>
      </w:pPr>
      <w:r>
        <w:rPr>
          <w:rFonts w:hint="eastAsia" w:ascii="宋体" w:hAnsi="宋体" w:eastAsia="宋体" w:cs="宋体"/>
          <w:bCs/>
          <w:color w:val="auto"/>
          <w:sz w:val="22"/>
          <w:szCs w:val="22"/>
          <w:highlight w:val="none"/>
        </w:rPr>
        <w:t>★</w:t>
      </w:r>
      <w:r>
        <w:rPr>
          <w:rFonts w:hint="eastAsia" w:ascii="宋体" w:hAnsi="宋体" w:eastAsia="宋体" w:cs="宋体"/>
          <w:b/>
          <w:color w:val="auto"/>
          <w:kern w:val="0"/>
          <w:sz w:val="22"/>
          <w:szCs w:val="22"/>
          <w:highlight w:val="none"/>
          <w:u w:val="single"/>
        </w:rPr>
        <w:t>1年或采购金额达到总预算金额，任一条件达到即视为合作期结束。</w:t>
      </w:r>
    </w:p>
    <w:p w14:paraId="6558B1F5">
      <w:pPr>
        <w:autoSpaceDE w:val="0"/>
        <w:autoSpaceDN w:val="0"/>
        <w:adjustRightInd w:val="0"/>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特别约定：</w:t>
      </w:r>
      <w:r>
        <w:rPr>
          <w:rFonts w:hint="eastAsia" w:ascii="宋体" w:hAnsi="宋体" w:eastAsia="宋体" w:cs="宋体"/>
          <w:b/>
          <w:bCs/>
          <w:color w:val="auto"/>
          <w:sz w:val="22"/>
          <w:szCs w:val="22"/>
          <w:highlight w:val="none"/>
          <w:lang w:val="en-US" w:eastAsia="zh-CN"/>
        </w:rPr>
        <w:t>双方同意如因</w:t>
      </w:r>
      <w:r>
        <w:rPr>
          <w:rFonts w:hint="eastAsia" w:ascii="宋体" w:hAnsi="宋体" w:cs="宋体"/>
          <w:b/>
          <w:bCs/>
          <w:color w:val="auto"/>
          <w:sz w:val="22"/>
          <w:szCs w:val="22"/>
          <w:highlight w:val="none"/>
          <w:lang w:val="en-US" w:eastAsia="zh-CN"/>
        </w:rPr>
        <w:t>采购人</w:t>
      </w:r>
      <w:r>
        <w:rPr>
          <w:rFonts w:hint="eastAsia" w:ascii="宋体" w:hAnsi="宋体" w:eastAsia="宋体" w:cs="宋体"/>
          <w:b/>
          <w:bCs/>
          <w:color w:val="auto"/>
          <w:sz w:val="22"/>
          <w:szCs w:val="22"/>
          <w:highlight w:val="none"/>
          <w:lang w:val="en-US" w:eastAsia="zh-CN"/>
        </w:rPr>
        <w:t>合同期内如遇政策性原因或内部管理等特殊情况，导致合同无法履行，</w:t>
      </w:r>
      <w:r>
        <w:rPr>
          <w:rFonts w:hint="eastAsia" w:ascii="宋体" w:hAnsi="宋体" w:cs="宋体"/>
          <w:b/>
          <w:bCs/>
          <w:color w:val="auto"/>
          <w:sz w:val="22"/>
          <w:szCs w:val="22"/>
          <w:highlight w:val="none"/>
          <w:lang w:val="en-US" w:eastAsia="zh-CN"/>
        </w:rPr>
        <w:t>采购人</w:t>
      </w:r>
      <w:r>
        <w:rPr>
          <w:rFonts w:hint="eastAsia" w:ascii="宋体" w:hAnsi="宋体" w:eastAsia="宋体" w:cs="宋体"/>
          <w:b/>
          <w:bCs/>
          <w:color w:val="auto"/>
          <w:sz w:val="22"/>
          <w:szCs w:val="22"/>
          <w:highlight w:val="none"/>
          <w:lang w:val="en-US" w:eastAsia="zh-CN"/>
        </w:rPr>
        <w:t>可提前一个月告知</w:t>
      </w:r>
      <w:r>
        <w:rPr>
          <w:rFonts w:hint="eastAsia" w:ascii="宋体" w:hAnsi="宋体" w:cs="宋体"/>
          <w:b/>
          <w:bCs/>
          <w:color w:val="auto"/>
          <w:sz w:val="22"/>
          <w:szCs w:val="22"/>
          <w:highlight w:val="none"/>
          <w:lang w:val="en-US" w:eastAsia="zh-CN"/>
        </w:rPr>
        <w:t>中标人</w:t>
      </w:r>
      <w:r>
        <w:rPr>
          <w:rFonts w:hint="eastAsia" w:ascii="宋体" w:hAnsi="宋体" w:eastAsia="宋体" w:cs="宋体"/>
          <w:b/>
          <w:bCs/>
          <w:color w:val="auto"/>
          <w:sz w:val="22"/>
          <w:szCs w:val="22"/>
          <w:highlight w:val="none"/>
          <w:lang w:val="en-US" w:eastAsia="zh-CN"/>
        </w:rPr>
        <w:t>解除合同，且不用任何赔偿，合同自行终止。</w:t>
      </w:r>
    </w:p>
    <w:p w14:paraId="75DE3DAD">
      <w:pPr>
        <w:numPr>
          <w:ilvl w:val="0"/>
          <w:numId w:val="3"/>
        </w:numPr>
        <w:autoSpaceDE w:val="0"/>
        <w:autoSpaceDN w:val="0"/>
        <w:adjustRightInd w:val="0"/>
        <w:snapToGrid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配送地点：</w:t>
      </w:r>
      <w:r>
        <w:rPr>
          <w:rFonts w:hint="eastAsia" w:ascii="宋体" w:hAnsi="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指定的地点</w:t>
      </w:r>
    </w:p>
    <w:p w14:paraId="436342D4">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1、永宁消防救援站：温州市龙湾区永中街道永宁西路666号</w:t>
      </w:r>
    </w:p>
    <w:p w14:paraId="51E120D8">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2、永兴消防救援站：温州市龙湾区滨海六道1010号</w:t>
      </w:r>
    </w:p>
    <w:p w14:paraId="2B5C36B6">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3、永中消防救援站：温州市龙湾区永中街道围垦路</w:t>
      </w:r>
    </w:p>
    <w:p w14:paraId="069DE311">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4、状元消防救援站：温州市龙湾区温州大道龙腾南路状元街道兴华路21号</w:t>
      </w:r>
    </w:p>
    <w:p w14:paraId="37D638BA">
      <w:pPr>
        <w:autoSpaceDE w:val="0"/>
        <w:autoSpaceDN w:val="0"/>
        <w:adjustRightInd w:val="0"/>
        <w:snapToGrid w:val="0"/>
        <w:spacing w:line="460" w:lineRule="exact"/>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十一、其他要求</w:t>
      </w:r>
    </w:p>
    <w:p w14:paraId="3E59AC4C">
      <w:pPr>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rPr>
        <w:t>1、</w:t>
      </w:r>
      <w:r>
        <w:rPr>
          <w:rFonts w:hint="eastAsia" w:ascii="宋体" w:hAnsi="宋体" w:eastAsia="宋体" w:cs="宋体"/>
          <w:b/>
          <w:color w:val="auto"/>
          <w:kern w:val="0"/>
          <w:sz w:val="22"/>
          <w:szCs w:val="22"/>
          <w:highlight w:val="none"/>
          <w:lang w:val="zh-CN"/>
        </w:rPr>
        <w:t>对食品质量问题在30分钟内响应，2小时以内到现场解决问题；不能当场解决的，必须采取更换等措施，以保证采购单位的正常使用，如因食品质量问题造成食用人的不良反应，</w:t>
      </w:r>
      <w:r>
        <w:rPr>
          <w:rFonts w:hint="eastAsia" w:ascii="宋体" w:hAnsi="宋体" w:cs="宋体"/>
          <w:b/>
          <w:color w:val="auto"/>
          <w:kern w:val="0"/>
          <w:sz w:val="22"/>
          <w:szCs w:val="22"/>
          <w:highlight w:val="none"/>
          <w:lang w:val="zh-CN"/>
        </w:rPr>
        <w:t>投标人</w:t>
      </w:r>
      <w:r>
        <w:rPr>
          <w:rFonts w:hint="eastAsia" w:ascii="宋体" w:hAnsi="宋体" w:eastAsia="宋体" w:cs="宋体"/>
          <w:b/>
          <w:color w:val="auto"/>
          <w:kern w:val="0"/>
          <w:sz w:val="22"/>
          <w:szCs w:val="22"/>
          <w:highlight w:val="none"/>
          <w:lang w:val="zh-CN"/>
        </w:rPr>
        <w:t>需负全部责任。</w:t>
      </w:r>
    </w:p>
    <w:p w14:paraId="560F9E84">
      <w:pPr>
        <w:autoSpaceDE w:val="0"/>
        <w:autoSpaceDN w:val="0"/>
        <w:adjustRightInd w:val="0"/>
        <w:snapToGrid w:val="0"/>
        <w:spacing w:line="460" w:lineRule="exact"/>
        <w:ind w:firstLine="442" w:firstLineChars="200"/>
        <w:rPr>
          <w:rFonts w:hint="eastAsia" w:ascii="宋体" w:hAnsi="宋体" w:eastAsia="宋体" w:cs="宋体"/>
          <w:b/>
          <w:color w:val="auto"/>
          <w:kern w:val="0"/>
          <w:sz w:val="22"/>
          <w:szCs w:val="22"/>
          <w:highlight w:val="none"/>
          <w:lang w:val="zh-CN"/>
        </w:rPr>
      </w:pPr>
      <w:r>
        <w:rPr>
          <w:rFonts w:hint="eastAsia" w:ascii="宋体" w:hAnsi="宋体" w:eastAsia="宋体" w:cs="宋体"/>
          <w:b/>
          <w:color w:val="auto"/>
          <w:kern w:val="0"/>
          <w:sz w:val="22"/>
          <w:szCs w:val="22"/>
          <w:highlight w:val="none"/>
          <w:lang w:val="zh-CN"/>
        </w:rPr>
        <w:t>2、结算以过磅验收的订单数量为准，</w:t>
      </w:r>
      <w:r>
        <w:rPr>
          <w:rFonts w:hint="eastAsia" w:ascii="宋体" w:hAnsi="宋体" w:cs="宋体"/>
          <w:b/>
          <w:color w:val="auto"/>
          <w:kern w:val="0"/>
          <w:sz w:val="22"/>
          <w:szCs w:val="22"/>
          <w:highlight w:val="none"/>
          <w:lang w:val="zh-CN"/>
        </w:rPr>
        <w:t>投标人</w:t>
      </w:r>
      <w:r>
        <w:rPr>
          <w:rFonts w:hint="eastAsia" w:ascii="宋体" w:hAnsi="宋体" w:eastAsia="宋体" w:cs="宋体"/>
          <w:b/>
          <w:color w:val="auto"/>
          <w:kern w:val="0"/>
          <w:sz w:val="22"/>
          <w:szCs w:val="22"/>
          <w:highlight w:val="none"/>
          <w:lang w:val="zh-CN"/>
        </w:rPr>
        <w:t>配送产品的数量须与</w:t>
      </w:r>
      <w:r>
        <w:rPr>
          <w:rFonts w:hint="eastAsia" w:ascii="宋体" w:hAnsi="宋体" w:cs="宋体"/>
          <w:b/>
          <w:color w:val="auto"/>
          <w:kern w:val="0"/>
          <w:sz w:val="22"/>
          <w:szCs w:val="22"/>
          <w:highlight w:val="none"/>
          <w:lang w:val="zh-CN"/>
        </w:rPr>
        <w:t>采购人</w:t>
      </w:r>
      <w:r>
        <w:rPr>
          <w:rFonts w:hint="eastAsia" w:ascii="宋体" w:hAnsi="宋体" w:eastAsia="宋体" w:cs="宋体"/>
          <w:b/>
          <w:color w:val="auto"/>
          <w:kern w:val="0"/>
          <w:sz w:val="22"/>
          <w:szCs w:val="22"/>
          <w:highlight w:val="none"/>
          <w:lang w:val="zh-CN"/>
        </w:rPr>
        <w:t>的采购计划一致，如出现缺斤少两，</w:t>
      </w:r>
      <w:r>
        <w:rPr>
          <w:rFonts w:hint="eastAsia" w:ascii="宋体" w:hAnsi="宋体" w:eastAsia="宋体" w:cs="宋体"/>
          <w:b/>
          <w:color w:val="auto"/>
          <w:kern w:val="0"/>
          <w:sz w:val="22"/>
          <w:szCs w:val="22"/>
          <w:highlight w:val="none"/>
        </w:rPr>
        <w:t>或配送产品非</w:t>
      </w:r>
      <w:r>
        <w:rPr>
          <w:rFonts w:hint="eastAsia" w:ascii="宋体" w:hAnsi="宋体" w:cs="宋体"/>
          <w:b/>
          <w:color w:val="auto"/>
          <w:kern w:val="0"/>
          <w:sz w:val="22"/>
          <w:szCs w:val="22"/>
          <w:highlight w:val="none"/>
          <w:lang w:eastAsia="zh-CN"/>
        </w:rPr>
        <w:t>采购人</w:t>
      </w:r>
      <w:r>
        <w:rPr>
          <w:rFonts w:hint="eastAsia" w:ascii="宋体" w:hAnsi="宋体" w:eastAsia="宋体" w:cs="宋体"/>
          <w:b/>
          <w:color w:val="auto"/>
          <w:kern w:val="0"/>
          <w:sz w:val="22"/>
          <w:szCs w:val="22"/>
          <w:highlight w:val="none"/>
        </w:rPr>
        <w:t>所列计划清单内产品，</w:t>
      </w:r>
      <w:r>
        <w:rPr>
          <w:rFonts w:hint="eastAsia" w:ascii="宋体" w:hAnsi="宋体" w:eastAsia="宋体" w:cs="宋体"/>
          <w:b/>
          <w:color w:val="auto"/>
          <w:kern w:val="0"/>
          <w:sz w:val="22"/>
          <w:szCs w:val="22"/>
          <w:highlight w:val="none"/>
          <w:lang w:val="zh-CN"/>
        </w:rPr>
        <w:t>务必在一小时内补齐</w:t>
      </w:r>
      <w:r>
        <w:rPr>
          <w:rFonts w:hint="eastAsia" w:ascii="宋体" w:hAnsi="宋体" w:eastAsia="宋体" w:cs="宋体"/>
          <w:b/>
          <w:color w:val="auto"/>
          <w:kern w:val="0"/>
          <w:sz w:val="22"/>
          <w:szCs w:val="22"/>
          <w:highlight w:val="none"/>
        </w:rPr>
        <w:t>或更换</w:t>
      </w:r>
      <w:r>
        <w:rPr>
          <w:rFonts w:hint="eastAsia" w:ascii="宋体" w:hAnsi="宋体" w:eastAsia="宋体" w:cs="宋体"/>
          <w:b/>
          <w:color w:val="auto"/>
          <w:kern w:val="0"/>
          <w:sz w:val="22"/>
          <w:szCs w:val="22"/>
          <w:highlight w:val="none"/>
          <w:lang w:val="zh-CN"/>
        </w:rPr>
        <w:t>。情节严重，影响当天单位人员餐食的，按</w:t>
      </w:r>
      <w:r>
        <w:rPr>
          <w:rFonts w:hint="eastAsia" w:ascii="宋体" w:hAnsi="宋体" w:eastAsia="宋体" w:cs="宋体"/>
          <w:b/>
          <w:color w:val="auto"/>
          <w:kern w:val="0"/>
          <w:sz w:val="22"/>
          <w:szCs w:val="22"/>
          <w:highlight w:val="none"/>
        </w:rPr>
        <w:t>合同</w:t>
      </w:r>
      <w:r>
        <w:rPr>
          <w:rFonts w:hint="eastAsia" w:ascii="宋体" w:hAnsi="宋体" w:cs="宋体"/>
          <w:b/>
          <w:color w:val="auto"/>
          <w:kern w:val="0"/>
          <w:sz w:val="22"/>
          <w:szCs w:val="22"/>
          <w:highlight w:val="none"/>
          <w:lang w:val="en-US" w:eastAsia="zh-CN"/>
        </w:rPr>
        <w:t>要求</w:t>
      </w:r>
      <w:r>
        <w:rPr>
          <w:rFonts w:hint="eastAsia" w:ascii="宋体" w:hAnsi="宋体" w:eastAsia="宋体" w:cs="宋体"/>
          <w:b/>
          <w:color w:val="auto"/>
          <w:kern w:val="0"/>
          <w:sz w:val="22"/>
          <w:szCs w:val="22"/>
          <w:highlight w:val="none"/>
        </w:rPr>
        <w:t>违约</w:t>
      </w:r>
      <w:r>
        <w:rPr>
          <w:rFonts w:hint="eastAsia" w:ascii="宋体" w:hAnsi="宋体" w:eastAsia="宋体" w:cs="宋体"/>
          <w:b/>
          <w:color w:val="auto"/>
          <w:kern w:val="0"/>
          <w:sz w:val="22"/>
          <w:szCs w:val="22"/>
          <w:highlight w:val="none"/>
          <w:lang w:val="zh-CN"/>
        </w:rPr>
        <w:t>处理。</w:t>
      </w:r>
    </w:p>
    <w:p w14:paraId="79A11858">
      <w:pPr>
        <w:snapToGrid w:val="0"/>
        <w:spacing w:line="46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zh-CN"/>
        </w:rPr>
        <w:t>十</w:t>
      </w:r>
      <w:bookmarkEnd w:id="54"/>
      <w:r>
        <w:rPr>
          <w:rFonts w:hint="eastAsia" w:ascii="宋体" w:hAnsi="宋体" w:eastAsia="宋体" w:cs="宋体"/>
          <w:b/>
          <w:bCs/>
          <w:color w:val="auto"/>
          <w:kern w:val="0"/>
          <w:sz w:val="22"/>
          <w:szCs w:val="22"/>
          <w:highlight w:val="none"/>
        </w:rPr>
        <w:t>二</w:t>
      </w:r>
      <w:r>
        <w:rPr>
          <w:rFonts w:hint="eastAsia" w:ascii="宋体" w:hAnsi="宋体" w:eastAsia="宋体" w:cs="宋体"/>
          <w:b/>
          <w:bCs/>
          <w:color w:val="auto"/>
          <w:kern w:val="0"/>
          <w:sz w:val="22"/>
          <w:szCs w:val="22"/>
          <w:highlight w:val="none"/>
          <w:lang w:val="zh-CN"/>
        </w:rPr>
        <w:t>、报价要求</w:t>
      </w:r>
    </w:p>
    <w:p w14:paraId="3BDB6646">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本项目投标报价。</w:t>
      </w:r>
    </w:p>
    <w:p w14:paraId="2A6D27D9">
      <w:pPr>
        <w:tabs>
          <w:tab w:val="left" w:pos="540"/>
        </w:tabs>
        <w:spacing w:line="460" w:lineRule="exact"/>
        <w:ind w:firstLine="442" w:firstLineChars="200"/>
        <w:rPr>
          <w:rFonts w:hint="eastAsia" w:ascii="宋体" w:hAnsi="宋体" w:eastAsia="宋体" w:cs="宋体"/>
          <w:b/>
          <w:bCs w:val="0"/>
          <w:color w:val="auto"/>
          <w:sz w:val="22"/>
          <w:szCs w:val="22"/>
          <w:highlight w:val="none"/>
          <w:u w:val="single"/>
        </w:rPr>
      </w:pPr>
      <w:r>
        <w:rPr>
          <w:rFonts w:hint="eastAsia" w:ascii="宋体" w:hAnsi="宋体" w:eastAsia="宋体" w:cs="宋体"/>
          <w:b/>
          <w:bCs w:val="0"/>
          <w:color w:val="auto"/>
          <w:sz w:val="22"/>
          <w:szCs w:val="22"/>
          <w:highlight w:val="none"/>
          <w:u w:val="single"/>
        </w:rPr>
        <w:t>本项目根据温州市发展和改革委员会官方网站（http://wzfgw.wenzhou.gov.cn/col/col1216782/index.html）最近之日公布的温州市区农贸市场价格监测表中</w:t>
      </w:r>
      <w:r>
        <w:rPr>
          <w:rFonts w:hint="eastAsia" w:ascii="宋体" w:hAnsi="宋体" w:cs="宋体"/>
          <w:b/>
          <w:bCs w:val="0"/>
          <w:color w:val="auto"/>
          <w:sz w:val="22"/>
          <w:szCs w:val="22"/>
          <w:u w:val="single"/>
        </w:rPr>
        <w:t>永中农贸市场</w:t>
      </w:r>
      <w:r>
        <w:rPr>
          <w:rFonts w:hint="eastAsia" w:ascii="宋体" w:hAnsi="宋体" w:eastAsia="宋体" w:cs="宋体"/>
          <w:b/>
          <w:bCs w:val="0"/>
          <w:color w:val="auto"/>
          <w:sz w:val="22"/>
          <w:szCs w:val="22"/>
          <w:highlight w:val="none"/>
          <w:u w:val="single"/>
          <w:lang w:eastAsia="zh-CN"/>
        </w:rPr>
        <w:t>的产品价格做为所需产品参考价</w:t>
      </w:r>
      <w:r>
        <w:rPr>
          <w:rFonts w:hint="eastAsia" w:ascii="宋体" w:hAnsi="宋体" w:eastAsia="宋体" w:cs="宋体"/>
          <w:b/>
          <w:bCs w:val="0"/>
          <w:color w:val="auto"/>
          <w:sz w:val="22"/>
          <w:szCs w:val="22"/>
          <w:highlight w:val="none"/>
          <w:u w:val="single"/>
        </w:rPr>
        <w:t>格。温州市发展和改革委员会官方网站上未列明的货品，</w:t>
      </w:r>
      <w:r>
        <w:rPr>
          <w:rFonts w:hint="eastAsia" w:ascii="宋体" w:hAnsi="宋体" w:cs="宋体"/>
          <w:b/>
          <w:bCs w:val="0"/>
          <w:color w:val="auto"/>
          <w:sz w:val="22"/>
          <w:szCs w:val="22"/>
          <w:highlight w:val="none"/>
          <w:u w:val="single"/>
          <w:lang w:eastAsia="zh-CN"/>
        </w:rPr>
        <w:t>采购人</w:t>
      </w:r>
      <w:r>
        <w:rPr>
          <w:rFonts w:hint="eastAsia" w:ascii="宋体" w:hAnsi="宋体" w:eastAsia="宋体" w:cs="宋体"/>
          <w:b/>
          <w:bCs w:val="0"/>
          <w:color w:val="auto"/>
          <w:sz w:val="22"/>
          <w:szCs w:val="22"/>
          <w:highlight w:val="none"/>
          <w:u w:val="single"/>
          <w:lang w:eastAsia="zh-CN"/>
        </w:rPr>
        <w:t>有权选</w:t>
      </w:r>
      <w:r>
        <w:rPr>
          <w:rFonts w:hint="eastAsia" w:ascii="宋体" w:hAnsi="宋体" w:eastAsia="宋体" w:cs="宋体"/>
          <w:b/>
          <w:bCs w:val="0"/>
          <w:color w:val="auto"/>
          <w:sz w:val="22"/>
          <w:highlight w:val="none"/>
          <w:u w:val="single"/>
          <w:lang w:eastAsia="zh-CN"/>
        </w:rPr>
        <w:t>龙湾区</w:t>
      </w:r>
      <w:r>
        <w:rPr>
          <w:rFonts w:hint="eastAsia" w:ascii="宋体" w:hAnsi="宋体" w:eastAsia="宋体" w:cs="宋体"/>
          <w:b/>
          <w:bCs w:val="0"/>
          <w:color w:val="auto"/>
          <w:sz w:val="22"/>
          <w:highlight w:val="none"/>
          <w:u w:val="single"/>
        </w:rPr>
        <w:t>镇北</w:t>
      </w:r>
      <w:r>
        <w:rPr>
          <w:rFonts w:hint="eastAsia" w:ascii="宋体" w:hAnsi="宋体" w:eastAsia="宋体" w:cs="宋体"/>
          <w:b/>
          <w:bCs w:val="0"/>
          <w:color w:val="auto"/>
          <w:sz w:val="22"/>
          <w:szCs w:val="22"/>
          <w:highlight w:val="none"/>
          <w:u w:val="single"/>
          <w:lang w:eastAsia="zh-CN"/>
        </w:rPr>
        <w:t>农贸市场进行市场</w:t>
      </w:r>
      <w:r>
        <w:rPr>
          <w:rFonts w:hint="eastAsia" w:ascii="宋体" w:hAnsi="宋体" w:eastAsia="宋体" w:cs="宋体"/>
          <w:b/>
          <w:bCs w:val="0"/>
          <w:color w:val="auto"/>
          <w:sz w:val="22"/>
          <w:szCs w:val="22"/>
          <w:highlight w:val="none"/>
          <w:u w:val="single"/>
        </w:rPr>
        <w:t>询价的市场价作为产品参考价格；禁止配送无市场实际零售商品或专供产品。投标人应自行考虑食材的供货</w:t>
      </w:r>
      <w:r>
        <w:rPr>
          <w:rFonts w:hint="eastAsia" w:ascii="宋体" w:hAnsi="宋体" w:eastAsia="宋体" w:cs="宋体"/>
          <w:b/>
          <w:bCs w:val="0"/>
          <w:color w:val="auto"/>
          <w:kern w:val="0"/>
          <w:sz w:val="22"/>
          <w:szCs w:val="22"/>
          <w:highlight w:val="none"/>
          <w:u w:val="single"/>
        </w:rPr>
        <w:t>（包括但不限于宰杀、预处理、预加工等）</w:t>
      </w:r>
      <w:r>
        <w:rPr>
          <w:rFonts w:hint="eastAsia" w:ascii="宋体" w:hAnsi="宋体" w:eastAsia="宋体" w:cs="宋体"/>
          <w:b/>
          <w:bCs w:val="0"/>
          <w:color w:val="auto"/>
          <w:sz w:val="22"/>
          <w:szCs w:val="22"/>
          <w:highlight w:val="none"/>
          <w:u w:val="single"/>
        </w:rPr>
        <w:t>、税金、包装、运输、装卸、验收及其所有税费、招标代理服务费等全部费用后计算价格折扣。</w:t>
      </w:r>
    </w:p>
    <w:p w14:paraId="77799BB2">
      <w:pPr>
        <w:pStyle w:val="22"/>
        <w:rPr>
          <w:rFonts w:hint="eastAsia" w:ascii="宋体" w:hAnsi="宋体" w:eastAsia="宋体" w:cs="宋体"/>
          <w:color w:val="auto"/>
          <w:highlight w:val="none"/>
        </w:rPr>
      </w:pPr>
    </w:p>
    <w:p w14:paraId="47DF1374">
      <w:pPr>
        <w:snapToGrid w:val="0"/>
        <w:spacing w:line="460" w:lineRule="exact"/>
        <w:ind w:firstLine="42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w:t>
      </w:r>
      <w:bookmarkStart w:id="55" w:name="_Hlk101893412"/>
      <w:r>
        <w:rPr>
          <w:rFonts w:hint="eastAsia" w:ascii="宋体" w:hAnsi="宋体" w:eastAsia="宋体" w:cs="宋体"/>
          <w:color w:val="auto"/>
          <w:sz w:val="22"/>
          <w:szCs w:val="22"/>
          <w:highlight w:val="none"/>
        </w:rPr>
        <w:t>1</w:t>
      </w:r>
      <w:bookmarkEnd w:id="55"/>
      <w:r>
        <w:rPr>
          <w:rFonts w:hint="eastAsia" w:ascii="宋体" w:hAnsi="宋体" w:eastAsia="宋体" w:cs="宋体"/>
          <w:color w:val="auto"/>
          <w:sz w:val="22"/>
          <w:szCs w:val="22"/>
          <w:highlight w:val="none"/>
        </w:rPr>
        <w:t>某宗产品当期结算价=该宗产品实际供货数量*当期该宗产品市场单价*中标折扣。</w:t>
      </w:r>
    </w:p>
    <w:p w14:paraId="3256385B">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1.2投标价：报价折扣。</w:t>
      </w:r>
    </w:p>
    <w:p w14:paraId="38D08F7D">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十三、项目投标要求</w:t>
      </w:r>
    </w:p>
    <w:p w14:paraId="6827AA30">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具有类似项目的实施经验。</w:t>
      </w:r>
    </w:p>
    <w:p w14:paraId="0760A5EE">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具有完善的管理体系，包括质量管理体系认证、环境认证体系认证和职业健康管理体系认证。</w:t>
      </w:r>
    </w:p>
    <w:p w14:paraId="2D349208">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具有完善的内部管理制度、保管、发货等规章制度和保障措施。</w:t>
      </w:r>
    </w:p>
    <w:p w14:paraId="20DEF5D5">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应严格把控食品安全。货物来源渠道、检测仪器设备配备、商品质量及安全的承诺。</w:t>
      </w:r>
    </w:p>
    <w:p w14:paraId="69D8AB5A">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具有较强的仓储能力，有固定的仓储场所和齐全的相关设备。</w:t>
      </w:r>
    </w:p>
    <w:p w14:paraId="3323FF8B">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具有独立、封闭的检测室且有农药残留快速测试仪，具有保鲜库和冷链库。</w:t>
      </w:r>
    </w:p>
    <w:p w14:paraId="196F1AF8">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具有较强的配送能力，充足的运输车辆和配送驾驶员、齐全的配送网点。</w:t>
      </w:r>
    </w:p>
    <w:p w14:paraId="3BD6C161">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制定合理完善的项目管理实施方案，包括货物品质保证措施，货物加工、包装及保存、仓储、运输环节的质量保证及食品安全措施和供货方案。</w:t>
      </w:r>
    </w:p>
    <w:p w14:paraId="3803B946">
      <w:pPr>
        <w:snapToGrid w:val="0"/>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需制定完整的售后服务方案，应急方案。</w:t>
      </w:r>
      <w:bookmarkStart w:id="56" w:name="_Toc11962"/>
    </w:p>
    <w:p w14:paraId="6A9F1794">
      <w:pPr>
        <w:snapToGrid w:val="0"/>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5F5C0D8F">
      <w:pPr>
        <w:pStyle w:val="23"/>
        <w:spacing w:line="460" w:lineRule="exact"/>
        <w:ind w:left="602" w:hanging="602"/>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评标原则及方法</w:t>
      </w:r>
      <w:bookmarkEnd w:id="56"/>
    </w:p>
    <w:p w14:paraId="51D67111">
      <w:pPr>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根据《中华人民共和国政府采购法》、《中华人民共和国政府采购法实施条例》、《政府采购货物和服务招标投标管理办法》等相关法规特制定以下评标办法。</w:t>
      </w:r>
    </w:p>
    <w:p w14:paraId="3F4C2F58">
      <w:pPr>
        <w:spacing w:line="460" w:lineRule="exact"/>
        <w:ind w:firstLine="442" w:firstLineChars="200"/>
        <w:outlineLvl w:val="1"/>
        <w:rPr>
          <w:rFonts w:hint="eastAsia" w:ascii="宋体" w:hAnsi="宋体" w:eastAsia="宋体" w:cs="宋体"/>
          <w:b/>
          <w:color w:val="auto"/>
          <w:sz w:val="22"/>
          <w:szCs w:val="22"/>
          <w:highlight w:val="none"/>
        </w:rPr>
      </w:pPr>
      <w:bookmarkStart w:id="57" w:name="_Toc6231"/>
      <w:r>
        <w:rPr>
          <w:rFonts w:hint="eastAsia" w:ascii="宋体" w:hAnsi="宋体" w:eastAsia="宋体" w:cs="宋体"/>
          <w:b/>
          <w:color w:val="auto"/>
          <w:sz w:val="22"/>
          <w:szCs w:val="22"/>
          <w:highlight w:val="none"/>
        </w:rPr>
        <w:t>一、总 则</w:t>
      </w:r>
      <w:bookmarkEnd w:id="57"/>
    </w:p>
    <w:p w14:paraId="266CB05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151E3485">
      <w:pPr>
        <w:spacing w:line="460" w:lineRule="exact"/>
        <w:ind w:firstLine="442" w:firstLineChars="200"/>
        <w:outlineLvl w:val="1"/>
        <w:rPr>
          <w:rFonts w:hint="eastAsia" w:ascii="宋体" w:hAnsi="宋体" w:eastAsia="宋体" w:cs="宋体"/>
          <w:b/>
          <w:color w:val="auto"/>
          <w:sz w:val="22"/>
          <w:szCs w:val="22"/>
          <w:highlight w:val="none"/>
        </w:rPr>
      </w:pPr>
      <w:bookmarkStart w:id="58" w:name="_Toc14694"/>
      <w:r>
        <w:rPr>
          <w:rFonts w:hint="eastAsia" w:ascii="宋体" w:hAnsi="宋体" w:eastAsia="宋体" w:cs="宋体"/>
          <w:b/>
          <w:color w:val="auto"/>
          <w:sz w:val="22"/>
          <w:szCs w:val="22"/>
          <w:highlight w:val="none"/>
        </w:rPr>
        <w:t>二、评标组织</w:t>
      </w:r>
      <w:bookmarkEnd w:id="58"/>
    </w:p>
    <w:p w14:paraId="359DF3A6">
      <w:pPr>
        <w:spacing w:line="460" w:lineRule="exact"/>
        <w:ind w:firstLine="440" w:firstLineChars="200"/>
        <w:rPr>
          <w:rFonts w:hint="eastAsia" w:ascii="宋体" w:hAnsi="宋体" w:eastAsia="宋体" w:cs="宋体"/>
          <w:color w:val="FF0000"/>
          <w:sz w:val="22"/>
          <w:szCs w:val="22"/>
          <w:highlight w:val="none"/>
        </w:rPr>
      </w:pPr>
      <w:r>
        <w:rPr>
          <w:rFonts w:hint="eastAsia" w:ascii="宋体" w:hAnsi="宋体" w:eastAsia="宋体" w:cs="宋体"/>
          <w:color w:val="auto"/>
          <w:sz w:val="22"/>
          <w:szCs w:val="22"/>
          <w:highlight w:val="none"/>
        </w:rPr>
        <w:t>评标工作由</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组建的评标委员会负责。</w:t>
      </w:r>
    </w:p>
    <w:p w14:paraId="167E21E5">
      <w:pPr>
        <w:spacing w:line="460" w:lineRule="exact"/>
        <w:ind w:firstLine="442" w:firstLineChars="200"/>
        <w:outlineLvl w:val="1"/>
        <w:rPr>
          <w:rFonts w:hint="eastAsia" w:ascii="宋体" w:hAnsi="宋体" w:eastAsia="宋体" w:cs="宋体"/>
          <w:b/>
          <w:color w:val="auto"/>
          <w:sz w:val="22"/>
          <w:szCs w:val="22"/>
          <w:highlight w:val="none"/>
        </w:rPr>
      </w:pPr>
      <w:bookmarkStart w:id="59" w:name="_Toc8948"/>
      <w:r>
        <w:rPr>
          <w:rFonts w:hint="eastAsia" w:ascii="宋体" w:hAnsi="宋体" w:eastAsia="宋体" w:cs="宋体"/>
          <w:b/>
          <w:color w:val="auto"/>
          <w:sz w:val="22"/>
          <w:szCs w:val="22"/>
          <w:highlight w:val="none"/>
        </w:rPr>
        <w:t>三、评标程序</w:t>
      </w:r>
      <w:bookmarkEnd w:id="59"/>
    </w:p>
    <w:p w14:paraId="2CBE9BD6">
      <w:pPr>
        <w:spacing w:line="460" w:lineRule="exact"/>
        <w:ind w:firstLine="440" w:firstLineChars="200"/>
        <w:rPr>
          <w:rFonts w:hint="eastAsia"/>
          <w:color w:val="auto"/>
          <w:highlight w:val="none"/>
        </w:rPr>
      </w:pPr>
      <w:r>
        <w:rPr>
          <w:rFonts w:hint="eastAsia" w:ascii="宋体" w:hAnsi="宋体" w:cs="宋体"/>
          <w:color w:val="auto"/>
          <w:sz w:val="22"/>
          <w:szCs w:val="22"/>
          <w:highlight w:val="none"/>
          <w:lang w:val="en-US" w:eastAsia="zh-CN"/>
        </w:rPr>
        <w:t>采购人</w:t>
      </w:r>
      <w:r>
        <w:rPr>
          <w:rFonts w:hint="eastAsia" w:ascii="宋体" w:hAnsi="宋体" w:cs="宋体"/>
          <w:color w:val="auto"/>
          <w:sz w:val="22"/>
          <w:szCs w:val="22"/>
          <w:highlight w:val="none"/>
        </w:rPr>
        <w:t>或</w:t>
      </w:r>
      <w:r>
        <w:rPr>
          <w:rFonts w:hint="eastAsia" w:ascii="宋体"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对各投标人</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资格进行审查；然后评标委员会对合格投标人的</w:t>
      </w:r>
      <w:r>
        <w:rPr>
          <w:rFonts w:hint="eastAsia" w:ascii="宋体" w:hAnsi="宋体" w:eastAsia="宋体" w:cs="宋体"/>
          <w:color w:val="auto"/>
          <w:kern w:val="0"/>
          <w:sz w:val="22"/>
          <w:szCs w:val="22"/>
          <w:highlight w:val="none"/>
        </w:rPr>
        <w:t>投标文件进行符合性审查，以确定其是否满足招标文件的实质性要求。不满足招标文件的实质性要求的，投标无效</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然后</w:t>
      </w:r>
      <w:r>
        <w:rPr>
          <w:rFonts w:hint="eastAsia" w:ascii="宋体" w:hAnsi="宋体" w:eastAsia="宋体" w:cs="宋体"/>
          <w:color w:val="auto"/>
          <w:sz w:val="22"/>
          <w:szCs w:val="22"/>
          <w:highlight w:val="none"/>
        </w:rPr>
        <w:t>技术资信标进行评审；技术资信标评审结束后即公布投标人技术资信得分情况，根据综合评审结果，提交评审报告。</w:t>
      </w:r>
    </w:p>
    <w:p w14:paraId="14557F7B">
      <w:pPr>
        <w:spacing w:line="460" w:lineRule="exact"/>
        <w:ind w:firstLine="442" w:firstLineChars="200"/>
        <w:outlineLvl w:val="1"/>
        <w:rPr>
          <w:rFonts w:hint="eastAsia" w:ascii="宋体" w:hAnsi="宋体" w:eastAsia="宋体" w:cs="宋体"/>
          <w:b/>
          <w:color w:val="auto"/>
          <w:sz w:val="22"/>
          <w:szCs w:val="22"/>
          <w:highlight w:val="none"/>
        </w:rPr>
      </w:pPr>
      <w:bookmarkStart w:id="60" w:name="_Toc3273"/>
      <w:r>
        <w:rPr>
          <w:rFonts w:hint="eastAsia" w:ascii="宋体" w:hAnsi="宋体" w:eastAsia="宋体" w:cs="宋体"/>
          <w:b/>
          <w:color w:val="auto"/>
          <w:sz w:val="22"/>
          <w:szCs w:val="22"/>
          <w:highlight w:val="none"/>
        </w:rPr>
        <w:t>四、评标办法</w:t>
      </w:r>
      <w:bookmarkEnd w:id="60"/>
    </w:p>
    <w:p w14:paraId="1FAFE4D2">
      <w:pPr>
        <w:spacing w:line="460" w:lineRule="exact"/>
        <w:ind w:firstLine="440" w:firstLineChars="200"/>
        <w:rPr>
          <w:rFonts w:hint="eastAsia"/>
        </w:rPr>
      </w:pPr>
      <w:r>
        <w:rPr>
          <w:rFonts w:hint="eastAsia" w:ascii="宋体" w:hAnsi="宋体" w:eastAsia="宋体" w:cs="宋体"/>
          <w:color w:val="auto"/>
          <w:sz w:val="22"/>
          <w:szCs w:val="22"/>
          <w:highlight w:val="none"/>
        </w:rPr>
        <w:t>本次招标采用百分制综合评分法，是指投标文件满足招标文件全部实质性要求</w:t>
      </w:r>
      <w:r>
        <w:rPr>
          <w:rFonts w:hint="eastAsia" w:ascii="宋体" w:hAnsi="宋体" w:eastAsia="宋体" w:cs="宋体"/>
          <w:color w:val="auto"/>
          <w:sz w:val="22"/>
          <w:szCs w:val="22"/>
          <w:highlight w:val="none"/>
          <w:lang w:val="en-US" w:eastAsia="zh-CN"/>
        </w:rPr>
        <w:t>的基础上</w:t>
      </w:r>
      <w:r>
        <w:rPr>
          <w:rFonts w:hint="eastAsia" w:ascii="宋体" w:hAnsi="宋体" w:eastAsia="宋体" w:cs="宋体"/>
          <w:color w:val="auto"/>
          <w:sz w:val="22"/>
          <w:szCs w:val="22"/>
          <w:highlight w:val="none"/>
        </w:rPr>
        <w:t>，按照招标文件的各项因素进行综合评审后，以评标总得分前二名的投标人作为第一和第二中标候选人的评标方法。根据招标要求，</w:t>
      </w:r>
      <w:r>
        <w:rPr>
          <w:rFonts w:hint="eastAsia" w:ascii="宋体" w:hAnsi="宋体" w:eastAsia="宋体" w:cs="宋体"/>
          <w:b/>
          <w:color w:val="auto"/>
          <w:sz w:val="22"/>
          <w:szCs w:val="22"/>
          <w:highlight w:val="none"/>
        </w:rPr>
        <w:t>总分设定为100分：技术标90分（权值90%），商务标（报价）10分（权值10%）。</w:t>
      </w:r>
    </w:p>
    <w:p w14:paraId="411643B5">
      <w:pPr>
        <w:spacing w:line="460" w:lineRule="exact"/>
        <w:ind w:firstLine="442" w:firstLineChars="200"/>
        <w:outlineLvl w:val="1"/>
        <w:rPr>
          <w:rFonts w:hint="eastAsia" w:ascii="宋体" w:hAnsi="宋体" w:eastAsia="宋体" w:cs="宋体"/>
          <w:b/>
          <w:color w:val="auto"/>
          <w:sz w:val="22"/>
          <w:szCs w:val="22"/>
          <w:highlight w:val="none"/>
        </w:rPr>
      </w:pPr>
      <w:bookmarkStart w:id="61" w:name="_Toc30145"/>
      <w:r>
        <w:rPr>
          <w:rFonts w:hint="eastAsia" w:ascii="宋体" w:hAnsi="宋体" w:eastAsia="宋体" w:cs="宋体"/>
          <w:b/>
          <w:color w:val="auto"/>
          <w:sz w:val="22"/>
          <w:szCs w:val="22"/>
          <w:highlight w:val="none"/>
        </w:rPr>
        <w:t>五、评分细则</w:t>
      </w:r>
      <w:bookmarkEnd w:id="61"/>
    </w:p>
    <w:p w14:paraId="2E7E7F6F">
      <w:pPr>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1、技术分的评定（90分）</w:t>
      </w:r>
    </w:p>
    <w:p w14:paraId="3701DF9A">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各评委成员按下列评分项目进行评判，每人一张评分计算票，并记名。投标文件各项评分内容由评标委员会成员各自评分，如某张票的一个因素项目超过规定的范围，则该张票无效。各评标委员会</w:t>
      </w:r>
      <w:r>
        <w:rPr>
          <w:rFonts w:hint="eastAsia" w:ascii="宋体" w:hAnsi="宋体" w:eastAsia="宋体" w:cs="宋体"/>
          <w:color w:val="auto"/>
          <w:sz w:val="22"/>
          <w:szCs w:val="22"/>
          <w:highlight w:val="none"/>
        </w:rPr>
        <w:t>成员对各投标人的各项评分内容评分的算术平均值为各投标人技术分得分（小数点后按四舍五入保留2位）。</w:t>
      </w:r>
    </w:p>
    <w:tbl>
      <w:tblPr>
        <w:tblStyle w:val="51"/>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843"/>
        <w:gridCol w:w="485"/>
        <w:gridCol w:w="696"/>
        <w:gridCol w:w="7000"/>
        <w:gridCol w:w="1130"/>
      </w:tblGrid>
      <w:tr w14:paraId="7C87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5B3ABC73">
            <w:pPr>
              <w:snapToGrid w:val="0"/>
              <w:spacing w:line="240" w:lineRule="auto"/>
              <w:jc w:val="center"/>
              <w:rPr>
                <w:rFonts w:hint="eastAsia" w:ascii="宋体" w:hAnsi="宋体" w:eastAsia="宋体" w:cs="宋体"/>
                <w:color w:val="auto"/>
                <w:sz w:val="22"/>
                <w:szCs w:val="22"/>
                <w:highlight w:val="none"/>
              </w:rPr>
            </w:pPr>
            <w:bookmarkStart w:id="66" w:name="_GoBack" w:colFirst="0" w:colLast="5"/>
            <w:r>
              <w:rPr>
                <w:rFonts w:hint="eastAsia" w:ascii="宋体" w:hAnsi="宋体" w:eastAsia="宋体" w:cs="宋体"/>
                <w:color w:val="auto"/>
                <w:sz w:val="22"/>
                <w:szCs w:val="22"/>
                <w:highlight w:val="none"/>
              </w:rPr>
              <w:t>序号</w:t>
            </w:r>
          </w:p>
        </w:tc>
        <w:tc>
          <w:tcPr>
            <w:tcW w:w="391" w:type="pct"/>
            <w:vAlign w:val="center"/>
          </w:tcPr>
          <w:p w14:paraId="054069DF">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评分项目</w:t>
            </w:r>
          </w:p>
        </w:tc>
        <w:tc>
          <w:tcPr>
            <w:tcW w:w="548" w:type="pct"/>
            <w:gridSpan w:val="2"/>
            <w:vAlign w:val="center"/>
          </w:tcPr>
          <w:p w14:paraId="76C40820">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分值（分）</w:t>
            </w:r>
          </w:p>
        </w:tc>
        <w:tc>
          <w:tcPr>
            <w:tcW w:w="3249" w:type="pct"/>
            <w:vAlign w:val="center"/>
          </w:tcPr>
          <w:p w14:paraId="702E3B87">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评分标准</w:t>
            </w:r>
          </w:p>
        </w:tc>
        <w:tc>
          <w:tcPr>
            <w:tcW w:w="524" w:type="pct"/>
            <w:vAlign w:val="center"/>
          </w:tcPr>
          <w:p w14:paraId="04B785FE">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lang w:val="en-US" w:eastAsia="zh-CN"/>
              </w:rPr>
              <w:t>主观分或客观分</w:t>
            </w:r>
          </w:p>
        </w:tc>
      </w:tr>
      <w:tr w14:paraId="1F89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286" w:type="pct"/>
            <w:vMerge w:val="restart"/>
            <w:vAlign w:val="center"/>
          </w:tcPr>
          <w:p w14:paraId="4EC41988">
            <w:pPr>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391" w:type="pct"/>
            <w:vMerge w:val="restart"/>
            <w:vAlign w:val="center"/>
          </w:tcPr>
          <w:p w14:paraId="385019F5">
            <w:pPr>
              <w:snapToGrid w:val="0"/>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为本项目提供的场所配置能力</w:t>
            </w:r>
          </w:p>
          <w:p w14:paraId="2AAAFFA9">
            <w:pPr>
              <w:snapToGrid w:val="0"/>
              <w:spacing w:line="240" w:lineRule="auto"/>
              <w:jc w:val="center"/>
              <w:rPr>
                <w:rFonts w:hint="eastAsia" w:ascii="宋体" w:hAnsi="宋体" w:eastAsia="宋体" w:cs="宋体"/>
                <w:color w:val="auto"/>
                <w:sz w:val="22"/>
                <w:szCs w:val="22"/>
                <w:highlight w:val="none"/>
              </w:rPr>
            </w:pPr>
          </w:p>
        </w:tc>
        <w:tc>
          <w:tcPr>
            <w:tcW w:w="548" w:type="pct"/>
            <w:gridSpan w:val="2"/>
            <w:vAlign w:val="center"/>
          </w:tcPr>
          <w:p w14:paraId="1B5984D7">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2</w:t>
            </w:r>
          </w:p>
        </w:tc>
        <w:tc>
          <w:tcPr>
            <w:tcW w:w="3249" w:type="pct"/>
            <w:vAlign w:val="center"/>
          </w:tcPr>
          <w:p w14:paraId="33C27F66">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rPr>
              <w:t>投标人具有独立的办公区得2分。</w:t>
            </w:r>
          </w:p>
          <w:p w14:paraId="24FE1AE0">
            <w:pPr>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注：投标人自有场地的提供产权证明，投标人租赁场地的提供产权证明及租赁合同扫描件，提供能体现场平面布局图及图片，否则不得分。</w:t>
            </w:r>
          </w:p>
        </w:tc>
        <w:tc>
          <w:tcPr>
            <w:tcW w:w="524" w:type="pct"/>
            <w:vAlign w:val="center"/>
          </w:tcPr>
          <w:p w14:paraId="1C24EE6F">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13CF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286" w:type="pct"/>
            <w:vMerge w:val="continue"/>
            <w:vAlign w:val="center"/>
          </w:tcPr>
          <w:p w14:paraId="37504D8D">
            <w:pPr>
              <w:snapToGrid w:val="0"/>
              <w:spacing w:line="240" w:lineRule="auto"/>
              <w:jc w:val="center"/>
              <w:rPr>
                <w:rFonts w:hint="eastAsia" w:ascii="宋体" w:hAnsi="宋体" w:cs="宋体"/>
                <w:color w:val="auto"/>
                <w:sz w:val="22"/>
                <w:szCs w:val="22"/>
                <w:highlight w:val="none"/>
                <w:lang w:val="en-US" w:eastAsia="zh-CN"/>
              </w:rPr>
            </w:pPr>
          </w:p>
        </w:tc>
        <w:tc>
          <w:tcPr>
            <w:tcW w:w="391" w:type="pct"/>
            <w:vMerge w:val="continue"/>
            <w:vAlign w:val="center"/>
          </w:tcPr>
          <w:p w14:paraId="251F3250">
            <w:pPr>
              <w:snapToGrid w:val="0"/>
              <w:spacing w:line="240" w:lineRule="auto"/>
              <w:jc w:val="center"/>
              <w:rPr>
                <w:rFonts w:hint="eastAsia" w:ascii="宋体" w:hAnsi="宋体" w:eastAsia="宋体" w:cs="宋体"/>
                <w:color w:val="auto"/>
                <w:sz w:val="22"/>
                <w:szCs w:val="22"/>
                <w:highlight w:val="none"/>
              </w:rPr>
            </w:pPr>
          </w:p>
        </w:tc>
        <w:tc>
          <w:tcPr>
            <w:tcW w:w="548" w:type="pct"/>
            <w:gridSpan w:val="2"/>
            <w:vAlign w:val="center"/>
          </w:tcPr>
          <w:p w14:paraId="536CD9B0">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2</w:t>
            </w:r>
          </w:p>
        </w:tc>
        <w:tc>
          <w:tcPr>
            <w:tcW w:w="3249" w:type="pct"/>
            <w:vAlign w:val="center"/>
          </w:tcPr>
          <w:p w14:paraId="065B88A2">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投标人具有独立的分拣车间</w:t>
            </w:r>
            <w:r>
              <w:rPr>
                <w:rFonts w:hint="eastAsia" w:ascii="宋体" w:hAnsi="宋体" w:cs="宋体"/>
                <w:color w:val="auto"/>
                <w:sz w:val="22"/>
                <w:szCs w:val="22"/>
                <w:highlight w:val="none"/>
                <w:lang w:val="en-US" w:eastAsia="zh-CN"/>
              </w:rPr>
              <w:t>区</w:t>
            </w:r>
            <w:r>
              <w:rPr>
                <w:rFonts w:hint="eastAsia" w:ascii="宋体" w:hAnsi="宋体" w:cs="宋体"/>
                <w:color w:val="auto"/>
                <w:sz w:val="22"/>
                <w:szCs w:val="22"/>
                <w:highlight w:val="none"/>
              </w:rPr>
              <w:t>得2分。</w:t>
            </w:r>
          </w:p>
          <w:p w14:paraId="7484B83A">
            <w:pPr>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注：投标人自有场地的提供产权证明，投标人租赁场地的提供产权证明及租赁合同扫描件，提供能体现场平面布局图及图片，否则不得分。</w:t>
            </w:r>
          </w:p>
        </w:tc>
        <w:tc>
          <w:tcPr>
            <w:tcW w:w="524" w:type="pct"/>
            <w:vAlign w:val="center"/>
          </w:tcPr>
          <w:p w14:paraId="0F2EAF8A">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24F2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86" w:type="pct"/>
            <w:vMerge w:val="continue"/>
            <w:vAlign w:val="center"/>
          </w:tcPr>
          <w:p w14:paraId="269CDE22">
            <w:pPr>
              <w:snapToGrid w:val="0"/>
              <w:spacing w:line="240" w:lineRule="auto"/>
              <w:jc w:val="center"/>
              <w:rPr>
                <w:rFonts w:hint="eastAsia" w:ascii="宋体" w:hAnsi="宋体" w:cs="宋体"/>
                <w:color w:val="auto"/>
                <w:sz w:val="22"/>
                <w:szCs w:val="22"/>
                <w:highlight w:val="none"/>
                <w:lang w:val="en-US" w:eastAsia="zh-CN"/>
              </w:rPr>
            </w:pPr>
          </w:p>
        </w:tc>
        <w:tc>
          <w:tcPr>
            <w:tcW w:w="391" w:type="pct"/>
            <w:vMerge w:val="continue"/>
            <w:vAlign w:val="center"/>
          </w:tcPr>
          <w:p w14:paraId="5B376C1A">
            <w:pPr>
              <w:snapToGrid w:val="0"/>
              <w:spacing w:line="240" w:lineRule="auto"/>
              <w:jc w:val="center"/>
              <w:rPr>
                <w:rFonts w:hint="eastAsia" w:ascii="宋体" w:hAnsi="宋体" w:eastAsia="宋体" w:cs="宋体"/>
                <w:color w:val="auto"/>
                <w:sz w:val="22"/>
                <w:szCs w:val="22"/>
                <w:highlight w:val="none"/>
              </w:rPr>
            </w:pPr>
          </w:p>
        </w:tc>
        <w:tc>
          <w:tcPr>
            <w:tcW w:w="548" w:type="pct"/>
            <w:gridSpan w:val="2"/>
            <w:vAlign w:val="center"/>
          </w:tcPr>
          <w:p w14:paraId="1BFA1C5F">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2</w:t>
            </w:r>
          </w:p>
        </w:tc>
        <w:tc>
          <w:tcPr>
            <w:tcW w:w="3249" w:type="pct"/>
            <w:vAlign w:val="center"/>
          </w:tcPr>
          <w:p w14:paraId="22EECEBF">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rPr>
              <w:t>投标人具有独立的检验室</w:t>
            </w:r>
            <w:r>
              <w:rPr>
                <w:rFonts w:hint="eastAsia" w:ascii="宋体" w:hAnsi="宋体" w:cs="宋体"/>
                <w:color w:val="auto"/>
                <w:sz w:val="22"/>
                <w:szCs w:val="22"/>
                <w:highlight w:val="none"/>
                <w:lang w:val="en-US" w:eastAsia="zh-CN"/>
              </w:rPr>
              <w:t>区</w:t>
            </w:r>
            <w:r>
              <w:rPr>
                <w:rFonts w:hint="eastAsia" w:ascii="宋体" w:hAnsi="宋体" w:cs="宋体"/>
                <w:color w:val="auto"/>
                <w:sz w:val="22"/>
                <w:szCs w:val="22"/>
                <w:highlight w:val="none"/>
              </w:rPr>
              <w:t>得2分。</w:t>
            </w:r>
          </w:p>
          <w:p w14:paraId="5EB11155">
            <w:pPr>
              <w:snapToGrid w:val="0"/>
              <w:spacing w:line="4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注：投标人自有场地的提供产权证明，投标人租赁场地的提供产权证明及租赁合同扫描件，提供能体现场平面布局图及图片，否则不得分。</w:t>
            </w:r>
          </w:p>
        </w:tc>
        <w:tc>
          <w:tcPr>
            <w:tcW w:w="524" w:type="pct"/>
            <w:vAlign w:val="center"/>
          </w:tcPr>
          <w:p w14:paraId="1D6B2556">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客观分</w:t>
            </w:r>
          </w:p>
        </w:tc>
      </w:tr>
      <w:tr w14:paraId="462E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286" w:type="pct"/>
            <w:vMerge w:val="continue"/>
            <w:vAlign w:val="center"/>
          </w:tcPr>
          <w:p w14:paraId="2BD13C55">
            <w:pPr>
              <w:snapToGrid w:val="0"/>
              <w:spacing w:line="240" w:lineRule="auto"/>
              <w:jc w:val="center"/>
              <w:rPr>
                <w:rFonts w:hint="eastAsia" w:ascii="宋体" w:hAnsi="宋体" w:cs="宋体"/>
                <w:color w:val="auto"/>
                <w:sz w:val="22"/>
                <w:szCs w:val="22"/>
                <w:highlight w:val="none"/>
                <w:lang w:val="en-US" w:eastAsia="zh-CN"/>
              </w:rPr>
            </w:pPr>
          </w:p>
        </w:tc>
        <w:tc>
          <w:tcPr>
            <w:tcW w:w="391" w:type="pct"/>
            <w:vMerge w:val="continue"/>
            <w:vAlign w:val="center"/>
          </w:tcPr>
          <w:p w14:paraId="008D90B9">
            <w:pPr>
              <w:snapToGrid w:val="0"/>
              <w:spacing w:line="240" w:lineRule="auto"/>
              <w:jc w:val="center"/>
              <w:rPr>
                <w:rFonts w:hint="eastAsia" w:ascii="宋体" w:hAnsi="宋体" w:eastAsia="宋体" w:cs="宋体"/>
                <w:color w:val="auto"/>
                <w:sz w:val="22"/>
                <w:szCs w:val="22"/>
                <w:highlight w:val="none"/>
              </w:rPr>
            </w:pPr>
          </w:p>
        </w:tc>
        <w:tc>
          <w:tcPr>
            <w:tcW w:w="548" w:type="pct"/>
            <w:gridSpan w:val="2"/>
            <w:vAlign w:val="center"/>
          </w:tcPr>
          <w:p w14:paraId="2E88FBC4">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0-2</w:t>
            </w:r>
          </w:p>
        </w:tc>
        <w:tc>
          <w:tcPr>
            <w:tcW w:w="3249" w:type="pct"/>
            <w:vAlign w:val="center"/>
          </w:tcPr>
          <w:p w14:paraId="3C27DD8C">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1.4.</w:t>
            </w:r>
            <w:r>
              <w:rPr>
                <w:rFonts w:hint="eastAsia" w:ascii="宋体" w:hAnsi="宋体" w:cs="宋体"/>
                <w:color w:val="auto"/>
                <w:sz w:val="22"/>
                <w:szCs w:val="22"/>
                <w:highlight w:val="none"/>
              </w:rPr>
              <w:t>投标人具有独立的冷冻区得2分。</w:t>
            </w:r>
          </w:p>
          <w:p w14:paraId="430197A6">
            <w:pPr>
              <w:spacing w:line="460" w:lineRule="exact"/>
              <w:jc w:val="left"/>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注：投标人自有场地的提供产权证明，投标人租赁场地的提供产权证明及租赁合同扫描件，提供能体现制冷设备的图片，否则不得分。</w:t>
            </w:r>
          </w:p>
        </w:tc>
        <w:tc>
          <w:tcPr>
            <w:tcW w:w="524" w:type="pct"/>
            <w:vAlign w:val="center"/>
          </w:tcPr>
          <w:p w14:paraId="48696150">
            <w:pPr>
              <w:snapToGrid w:val="0"/>
              <w:spacing w:line="460" w:lineRule="exact"/>
              <w:jc w:val="center"/>
              <w:rPr>
                <w:rFonts w:hint="eastAsia" w:ascii="宋体" w:hAnsi="宋体" w:eastAsia="宋体" w:cs="宋体"/>
                <w:b w:val="0"/>
                <w:bCs w:val="0"/>
                <w:color w:val="auto"/>
                <w:sz w:val="22"/>
                <w:szCs w:val="22"/>
                <w:lang w:val="en-US" w:eastAsia="zh-CN"/>
              </w:rPr>
            </w:pPr>
            <w:r>
              <w:rPr>
                <w:rFonts w:hint="eastAsia" w:ascii="宋体" w:hAnsi="宋体" w:cs="宋体"/>
                <w:color w:val="auto"/>
                <w:sz w:val="22"/>
                <w:szCs w:val="22"/>
                <w:highlight w:val="none"/>
              </w:rPr>
              <w:t>客观分</w:t>
            </w:r>
          </w:p>
        </w:tc>
      </w:tr>
      <w:tr w14:paraId="6C89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86" w:type="pct"/>
            <w:vMerge w:val="continue"/>
            <w:vAlign w:val="center"/>
          </w:tcPr>
          <w:p w14:paraId="4180DAA0">
            <w:pPr>
              <w:snapToGrid w:val="0"/>
              <w:spacing w:line="240" w:lineRule="auto"/>
              <w:jc w:val="center"/>
              <w:rPr>
                <w:rFonts w:hint="eastAsia" w:ascii="宋体" w:hAnsi="宋体" w:cs="宋体"/>
                <w:color w:val="auto"/>
                <w:sz w:val="22"/>
                <w:szCs w:val="22"/>
                <w:highlight w:val="none"/>
                <w:lang w:val="en-US" w:eastAsia="zh-CN"/>
              </w:rPr>
            </w:pPr>
          </w:p>
        </w:tc>
        <w:tc>
          <w:tcPr>
            <w:tcW w:w="391" w:type="pct"/>
            <w:vMerge w:val="continue"/>
            <w:vAlign w:val="center"/>
          </w:tcPr>
          <w:p w14:paraId="74C75D38">
            <w:pPr>
              <w:snapToGrid w:val="0"/>
              <w:spacing w:line="240" w:lineRule="auto"/>
              <w:jc w:val="center"/>
              <w:rPr>
                <w:rFonts w:hint="eastAsia" w:ascii="宋体" w:hAnsi="宋体" w:eastAsia="宋体" w:cs="宋体"/>
                <w:color w:val="auto"/>
                <w:sz w:val="22"/>
                <w:szCs w:val="22"/>
                <w:highlight w:val="none"/>
              </w:rPr>
            </w:pPr>
          </w:p>
        </w:tc>
        <w:tc>
          <w:tcPr>
            <w:tcW w:w="548" w:type="pct"/>
            <w:gridSpan w:val="2"/>
            <w:vAlign w:val="center"/>
          </w:tcPr>
          <w:p w14:paraId="2DC5CD52">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0-2</w:t>
            </w:r>
          </w:p>
        </w:tc>
        <w:tc>
          <w:tcPr>
            <w:tcW w:w="3249" w:type="pct"/>
            <w:vAlign w:val="center"/>
          </w:tcPr>
          <w:p w14:paraId="77BD59D9">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投标人具有独立的恒温保鲜库得2分。</w:t>
            </w:r>
          </w:p>
          <w:p w14:paraId="3BB32AF1">
            <w:pPr>
              <w:spacing w:line="460" w:lineRule="exact"/>
              <w:jc w:val="left"/>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注：投标人自有场地的提供产权证明，投标人租赁场地的提供产权证明及租赁合同扫描件，提供能体现恒温保鲜设备的图片，否则不得分。</w:t>
            </w:r>
          </w:p>
        </w:tc>
        <w:tc>
          <w:tcPr>
            <w:tcW w:w="524" w:type="pct"/>
            <w:vAlign w:val="center"/>
          </w:tcPr>
          <w:p w14:paraId="7F4B7B65">
            <w:pPr>
              <w:snapToGrid w:val="0"/>
              <w:spacing w:line="460" w:lineRule="exact"/>
              <w:jc w:val="center"/>
              <w:rPr>
                <w:rFonts w:hint="eastAsia" w:ascii="宋体" w:hAnsi="宋体" w:eastAsia="宋体" w:cs="宋体"/>
                <w:b w:val="0"/>
                <w:bCs w:val="0"/>
                <w:color w:val="auto"/>
                <w:sz w:val="22"/>
                <w:szCs w:val="22"/>
                <w:lang w:val="en-US" w:eastAsia="zh-CN"/>
              </w:rPr>
            </w:pPr>
            <w:r>
              <w:rPr>
                <w:rFonts w:hint="eastAsia" w:ascii="宋体" w:hAnsi="宋体" w:cs="宋体"/>
                <w:color w:val="auto"/>
                <w:sz w:val="22"/>
                <w:szCs w:val="22"/>
                <w:highlight w:val="none"/>
              </w:rPr>
              <w:t>客观分</w:t>
            </w:r>
          </w:p>
        </w:tc>
      </w:tr>
      <w:tr w14:paraId="340F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86" w:type="pct"/>
            <w:vMerge w:val="continue"/>
            <w:vAlign w:val="center"/>
          </w:tcPr>
          <w:p w14:paraId="15CD9BFA">
            <w:pPr>
              <w:snapToGrid w:val="0"/>
              <w:spacing w:line="240" w:lineRule="auto"/>
              <w:jc w:val="center"/>
              <w:rPr>
                <w:rFonts w:hint="eastAsia" w:ascii="宋体" w:hAnsi="宋体" w:cs="宋体"/>
                <w:color w:val="auto"/>
                <w:sz w:val="22"/>
                <w:szCs w:val="22"/>
                <w:highlight w:val="none"/>
                <w:lang w:val="en-US" w:eastAsia="zh-CN"/>
              </w:rPr>
            </w:pPr>
          </w:p>
        </w:tc>
        <w:tc>
          <w:tcPr>
            <w:tcW w:w="391" w:type="pct"/>
            <w:vMerge w:val="continue"/>
            <w:vAlign w:val="center"/>
          </w:tcPr>
          <w:p w14:paraId="0D31EF01">
            <w:pPr>
              <w:snapToGrid w:val="0"/>
              <w:spacing w:line="240" w:lineRule="auto"/>
              <w:jc w:val="center"/>
              <w:rPr>
                <w:rFonts w:hint="eastAsia" w:ascii="宋体" w:hAnsi="宋体" w:eastAsia="宋体" w:cs="宋体"/>
                <w:color w:val="auto"/>
                <w:sz w:val="22"/>
                <w:szCs w:val="22"/>
                <w:highlight w:val="none"/>
              </w:rPr>
            </w:pPr>
          </w:p>
        </w:tc>
        <w:tc>
          <w:tcPr>
            <w:tcW w:w="548" w:type="pct"/>
            <w:gridSpan w:val="2"/>
            <w:vAlign w:val="center"/>
          </w:tcPr>
          <w:p w14:paraId="284F91C8">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0-2</w:t>
            </w:r>
          </w:p>
        </w:tc>
        <w:tc>
          <w:tcPr>
            <w:tcW w:w="3249" w:type="pct"/>
            <w:vAlign w:val="center"/>
          </w:tcPr>
          <w:p w14:paraId="2D61A1A6">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1.6.</w:t>
            </w:r>
            <w:r>
              <w:rPr>
                <w:rFonts w:hint="eastAsia" w:ascii="宋体" w:hAnsi="宋体" w:cs="宋体"/>
                <w:color w:val="auto"/>
                <w:sz w:val="22"/>
                <w:szCs w:val="22"/>
                <w:highlight w:val="none"/>
              </w:rPr>
              <w:t>投标人具有独立的副食品仓储得2分。</w:t>
            </w:r>
          </w:p>
          <w:p w14:paraId="1D3DC1A7">
            <w:pPr>
              <w:snapToGrid w:val="0"/>
              <w:spacing w:line="460" w:lineRule="exact"/>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rPr>
              <w:t>注：投标人自有场地的提供产权证明，投标人租赁场地的提供产权证明及租赁合同扫描件，否则不得分。</w:t>
            </w:r>
          </w:p>
        </w:tc>
        <w:tc>
          <w:tcPr>
            <w:tcW w:w="524" w:type="pct"/>
            <w:vAlign w:val="center"/>
          </w:tcPr>
          <w:p w14:paraId="1D9E7980">
            <w:pPr>
              <w:snapToGrid w:val="0"/>
              <w:spacing w:line="460" w:lineRule="exact"/>
              <w:jc w:val="center"/>
              <w:rPr>
                <w:rFonts w:hint="eastAsia" w:ascii="宋体" w:hAnsi="宋体" w:eastAsia="宋体" w:cs="宋体"/>
                <w:b w:val="0"/>
                <w:bCs w:val="0"/>
                <w:color w:val="auto"/>
                <w:sz w:val="22"/>
                <w:szCs w:val="22"/>
                <w:lang w:val="en-US" w:eastAsia="zh-CN"/>
              </w:rPr>
            </w:pPr>
            <w:r>
              <w:rPr>
                <w:rFonts w:hint="eastAsia" w:ascii="宋体" w:hAnsi="宋体" w:cs="宋体"/>
                <w:color w:val="auto"/>
                <w:sz w:val="22"/>
                <w:szCs w:val="22"/>
                <w:highlight w:val="none"/>
              </w:rPr>
              <w:t>客观分</w:t>
            </w:r>
          </w:p>
        </w:tc>
      </w:tr>
      <w:tr w14:paraId="76BA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86" w:type="pct"/>
            <w:vMerge w:val="continue"/>
            <w:vAlign w:val="center"/>
          </w:tcPr>
          <w:p w14:paraId="61AC3C07">
            <w:pPr>
              <w:snapToGrid w:val="0"/>
              <w:spacing w:line="240" w:lineRule="auto"/>
              <w:jc w:val="center"/>
              <w:rPr>
                <w:rFonts w:hint="eastAsia" w:ascii="宋体" w:hAnsi="宋体" w:cs="宋体"/>
                <w:color w:val="auto"/>
                <w:sz w:val="22"/>
                <w:szCs w:val="22"/>
                <w:highlight w:val="none"/>
                <w:lang w:val="en-US" w:eastAsia="zh-CN"/>
              </w:rPr>
            </w:pPr>
          </w:p>
        </w:tc>
        <w:tc>
          <w:tcPr>
            <w:tcW w:w="391" w:type="pct"/>
            <w:vMerge w:val="continue"/>
            <w:vAlign w:val="center"/>
          </w:tcPr>
          <w:p w14:paraId="6FD9E66B">
            <w:pPr>
              <w:snapToGrid w:val="0"/>
              <w:spacing w:line="240" w:lineRule="auto"/>
              <w:jc w:val="center"/>
              <w:rPr>
                <w:rFonts w:hint="eastAsia" w:ascii="宋体" w:hAnsi="宋体" w:eastAsia="宋体" w:cs="宋体"/>
                <w:color w:val="auto"/>
                <w:sz w:val="22"/>
                <w:szCs w:val="22"/>
                <w:highlight w:val="none"/>
              </w:rPr>
            </w:pPr>
          </w:p>
        </w:tc>
        <w:tc>
          <w:tcPr>
            <w:tcW w:w="548" w:type="pct"/>
            <w:gridSpan w:val="2"/>
            <w:vAlign w:val="center"/>
          </w:tcPr>
          <w:p w14:paraId="6CC20E83">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0-5</w:t>
            </w:r>
          </w:p>
        </w:tc>
        <w:tc>
          <w:tcPr>
            <w:tcW w:w="3249" w:type="pct"/>
            <w:vAlign w:val="center"/>
          </w:tcPr>
          <w:p w14:paraId="72251C54">
            <w:pPr>
              <w:spacing w:line="460" w:lineRule="exact"/>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lang w:val="zh-CN"/>
              </w:rPr>
              <w:t>根据存储</w:t>
            </w:r>
            <w:r>
              <w:rPr>
                <w:rFonts w:hint="eastAsia" w:ascii="宋体" w:hAnsi="宋体" w:cs="宋体"/>
                <w:color w:val="auto"/>
                <w:sz w:val="22"/>
                <w:szCs w:val="22"/>
                <w:highlight w:val="none"/>
              </w:rPr>
              <w:t>仓库</w:t>
            </w:r>
            <w:r>
              <w:rPr>
                <w:rFonts w:hint="eastAsia" w:ascii="宋体" w:hAnsi="宋体" w:cs="宋体"/>
                <w:color w:val="auto"/>
                <w:sz w:val="22"/>
                <w:szCs w:val="22"/>
                <w:highlight w:val="none"/>
                <w:lang w:val="zh-CN"/>
              </w:rPr>
              <w:t>环境卫生情况进行</w:t>
            </w:r>
            <w:r>
              <w:rPr>
                <w:rFonts w:hint="eastAsia" w:ascii="宋体" w:hAnsi="宋体" w:cs="宋体"/>
                <w:color w:val="auto"/>
                <w:sz w:val="22"/>
                <w:szCs w:val="22"/>
                <w:highlight w:val="none"/>
              </w:rPr>
              <w:t>综合</w:t>
            </w:r>
            <w:r>
              <w:rPr>
                <w:rFonts w:hint="eastAsia" w:ascii="宋体" w:hAnsi="宋体" w:cs="宋体"/>
                <w:color w:val="auto"/>
                <w:sz w:val="22"/>
                <w:szCs w:val="22"/>
                <w:highlight w:val="none"/>
                <w:lang w:val="zh-CN"/>
              </w:rPr>
              <w:t>评分。</w:t>
            </w:r>
          </w:p>
          <w:p w14:paraId="41F583E8">
            <w:pPr>
              <w:spacing w:line="460" w:lineRule="exact"/>
              <w:jc w:val="left"/>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1、仓库的环境</w:t>
            </w:r>
            <w:r>
              <w:rPr>
                <w:rFonts w:hint="eastAsia" w:ascii="宋体" w:hAnsi="宋体" w:cs="宋体"/>
                <w:color w:val="auto"/>
                <w:sz w:val="22"/>
                <w:szCs w:val="22"/>
                <w:highlight w:val="none"/>
              </w:rPr>
              <w:t>卫生</w:t>
            </w:r>
            <w:r>
              <w:rPr>
                <w:rFonts w:hint="eastAsia" w:ascii="宋体" w:hAnsi="宋体" w:cs="宋体"/>
                <w:color w:val="auto"/>
                <w:sz w:val="22"/>
                <w:szCs w:val="22"/>
                <w:highlight w:val="none"/>
                <w:lang w:val="zh-CN"/>
              </w:rPr>
              <w:t>整洁得</w:t>
            </w:r>
            <w:r>
              <w:rPr>
                <w:rFonts w:hint="eastAsia" w:ascii="宋体" w:hAnsi="宋体" w:cs="宋体"/>
                <w:color w:val="auto"/>
                <w:sz w:val="22"/>
                <w:szCs w:val="22"/>
                <w:highlight w:val="none"/>
              </w:rPr>
              <w:t>5</w:t>
            </w:r>
            <w:r>
              <w:rPr>
                <w:rFonts w:hint="eastAsia" w:ascii="宋体" w:hAnsi="宋体" w:cs="宋体"/>
                <w:color w:val="auto"/>
                <w:sz w:val="22"/>
                <w:szCs w:val="22"/>
                <w:highlight w:val="none"/>
                <w:lang w:val="zh-CN"/>
              </w:rPr>
              <w:t>分；</w:t>
            </w:r>
          </w:p>
          <w:p w14:paraId="10F4B4E3">
            <w:pPr>
              <w:spacing w:line="460" w:lineRule="exact"/>
              <w:jc w:val="left"/>
              <w:rPr>
                <w:rFonts w:ascii="宋体" w:hAnsi="宋体" w:cs="宋体"/>
                <w:color w:val="auto"/>
                <w:sz w:val="22"/>
                <w:szCs w:val="22"/>
                <w:highlight w:val="none"/>
                <w:lang w:val="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、仓库的环境</w:t>
            </w:r>
            <w:r>
              <w:rPr>
                <w:rFonts w:hint="eastAsia" w:ascii="宋体" w:hAnsi="宋体" w:cs="宋体"/>
                <w:color w:val="auto"/>
                <w:sz w:val="22"/>
                <w:szCs w:val="22"/>
                <w:highlight w:val="none"/>
              </w:rPr>
              <w:t>卫生较</w:t>
            </w:r>
            <w:r>
              <w:rPr>
                <w:rFonts w:hint="eastAsia" w:ascii="宋体" w:hAnsi="宋体" w:cs="宋体"/>
                <w:color w:val="auto"/>
                <w:sz w:val="22"/>
                <w:szCs w:val="22"/>
                <w:highlight w:val="none"/>
                <w:lang w:val="zh-CN"/>
              </w:rPr>
              <w:t>整洁得</w:t>
            </w: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分；</w:t>
            </w:r>
          </w:p>
          <w:p w14:paraId="6BB88023">
            <w:pPr>
              <w:spacing w:line="460" w:lineRule="exact"/>
              <w:jc w:val="left"/>
              <w:rPr>
                <w:rFonts w:ascii="宋体" w:hAnsi="宋体" w:cs="宋体"/>
                <w:color w:val="auto"/>
                <w:sz w:val="22"/>
                <w:szCs w:val="22"/>
                <w:highlight w:val="none"/>
                <w:lang w:val="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、仓库的环境</w:t>
            </w:r>
            <w:r>
              <w:rPr>
                <w:rFonts w:hint="eastAsia" w:ascii="宋体" w:hAnsi="宋体" w:cs="宋体"/>
                <w:color w:val="auto"/>
                <w:sz w:val="22"/>
                <w:szCs w:val="22"/>
                <w:highlight w:val="none"/>
              </w:rPr>
              <w:t>卫生基本整洁</w:t>
            </w:r>
            <w:r>
              <w:rPr>
                <w:rFonts w:hint="eastAsia" w:ascii="宋体" w:hAnsi="宋体" w:cs="宋体"/>
                <w:color w:val="auto"/>
                <w:sz w:val="22"/>
                <w:szCs w:val="22"/>
                <w:highlight w:val="none"/>
                <w:lang w:val="zh-CN"/>
              </w:rPr>
              <w:t>得1分；</w:t>
            </w:r>
          </w:p>
          <w:p w14:paraId="7A111CC2">
            <w:pPr>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zh-CN"/>
              </w:rPr>
              <w:t>、仓库的环境</w:t>
            </w:r>
            <w:r>
              <w:rPr>
                <w:rFonts w:hint="eastAsia" w:ascii="宋体" w:hAnsi="宋体" w:cs="宋体"/>
                <w:color w:val="auto"/>
                <w:sz w:val="22"/>
                <w:szCs w:val="22"/>
                <w:highlight w:val="none"/>
              </w:rPr>
              <w:t>卫生不整洁或</w:t>
            </w:r>
            <w:r>
              <w:rPr>
                <w:rFonts w:hint="eastAsia" w:ascii="宋体" w:hAnsi="宋体" w:cs="宋体"/>
                <w:color w:val="auto"/>
                <w:sz w:val="22"/>
                <w:szCs w:val="22"/>
                <w:highlight w:val="none"/>
                <w:lang w:val="zh-CN"/>
              </w:rPr>
              <w:t>未提供</w:t>
            </w:r>
            <w:r>
              <w:rPr>
                <w:rFonts w:hint="eastAsia" w:ascii="宋体" w:hAnsi="宋体" w:cs="宋体"/>
                <w:color w:val="auto"/>
                <w:sz w:val="22"/>
                <w:szCs w:val="22"/>
                <w:highlight w:val="none"/>
              </w:rPr>
              <w:t>不得分</w:t>
            </w:r>
            <w:r>
              <w:rPr>
                <w:rFonts w:hint="eastAsia" w:ascii="宋体" w:hAnsi="宋体" w:cs="宋体"/>
                <w:color w:val="auto"/>
                <w:sz w:val="22"/>
                <w:szCs w:val="22"/>
                <w:highlight w:val="none"/>
                <w:lang w:val="zh-CN"/>
              </w:rPr>
              <w:t>。</w:t>
            </w:r>
          </w:p>
          <w:p w14:paraId="48DCAEAF">
            <w:pPr>
              <w:spacing w:line="460" w:lineRule="exact"/>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rPr>
              <w:t>注：</w:t>
            </w:r>
            <w:r>
              <w:rPr>
                <w:rFonts w:hint="eastAsia" w:ascii="宋体" w:hAnsi="宋体" w:cs="宋体"/>
                <w:color w:val="auto"/>
                <w:sz w:val="22"/>
                <w:szCs w:val="22"/>
                <w:highlight w:val="none"/>
                <w:lang w:val="zh-CN"/>
              </w:rPr>
              <w:t>提供现场照片、</w:t>
            </w:r>
            <w:r>
              <w:rPr>
                <w:rFonts w:hint="eastAsia" w:ascii="宋体" w:hAnsi="宋体" w:cs="宋体"/>
                <w:color w:val="auto"/>
                <w:sz w:val="22"/>
                <w:szCs w:val="22"/>
                <w:highlight w:val="none"/>
              </w:rPr>
              <w:t>清洁记录表及清洁人员安排表</w:t>
            </w:r>
            <w:r>
              <w:rPr>
                <w:rFonts w:hint="eastAsia" w:ascii="宋体" w:hAnsi="宋体" w:cs="宋体"/>
                <w:color w:val="auto"/>
                <w:sz w:val="22"/>
                <w:szCs w:val="22"/>
                <w:highlight w:val="none"/>
                <w:lang w:val="zh-CN"/>
              </w:rPr>
              <w:t>等，未提供证明材料的不得分。</w:t>
            </w:r>
          </w:p>
        </w:tc>
        <w:tc>
          <w:tcPr>
            <w:tcW w:w="524" w:type="pct"/>
            <w:vAlign w:val="center"/>
          </w:tcPr>
          <w:p w14:paraId="3C8FA631">
            <w:pPr>
              <w:snapToGrid w:val="0"/>
              <w:spacing w:line="460" w:lineRule="exact"/>
              <w:jc w:val="center"/>
              <w:rPr>
                <w:rFonts w:hint="eastAsia" w:ascii="宋体" w:hAnsi="宋体" w:eastAsia="宋体" w:cs="宋体"/>
                <w:b w:val="0"/>
                <w:bCs w:val="0"/>
                <w:color w:val="auto"/>
                <w:sz w:val="22"/>
                <w:szCs w:val="22"/>
                <w:lang w:val="en-US" w:eastAsia="zh-CN"/>
              </w:rPr>
            </w:pPr>
            <w:r>
              <w:rPr>
                <w:rFonts w:hint="eastAsia" w:ascii="宋体" w:hAnsi="宋体" w:cs="宋体"/>
                <w:color w:val="auto"/>
                <w:sz w:val="22"/>
                <w:szCs w:val="22"/>
                <w:highlight w:val="none"/>
              </w:rPr>
              <w:t>主观分</w:t>
            </w:r>
          </w:p>
        </w:tc>
      </w:tr>
      <w:tr w14:paraId="4E4A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286" w:type="pct"/>
            <w:vMerge w:val="restart"/>
            <w:vAlign w:val="center"/>
          </w:tcPr>
          <w:p w14:paraId="79F74F88">
            <w:pPr>
              <w:snapToGrid w:val="0"/>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391" w:type="pct"/>
            <w:vMerge w:val="restart"/>
            <w:vAlign w:val="center"/>
          </w:tcPr>
          <w:p w14:paraId="21348403">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供货物的进货渠道</w:t>
            </w:r>
          </w:p>
        </w:tc>
        <w:tc>
          <w:tcPr>
            <w:tcW w:w="548" w:type="pct"/>
            <w:gridSpan w:val="2"/>
            <w:vAlign w:val="center"/>
          </w:tcPr>
          <w:p w14:paraId="6F85D055">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4C270BED">
            <w:pPr>
              <w:adjustRightInd w:val="0"/>
              <w:snapToGrid w:val="0"/>
              <w:spacing w:line="460" w:lineRule="exact"/>
              <w:jc w:val="left"/>
              <w:rPr>
                <w:rFonts w:hint="eastAsia" w:ascii="宋体" w:hAnsi="宋体" w:eastAsia="宋体" w:cs="宋体"/>
                <w:color w:val="auto"/>
                <w:sz w:val="22"/>
                <w:szCs w:val="22"/>
              </w:rPr>
            </w:pPr>
            <w:r>
              <w:rPr>
                <w:rFonts w:hint="eastAsia" w:ascii="宋体" w:hAnsi="宋体" w:cs="宋体"/>
                <w:color w:val="auto"/>
                <w:sz w:val="22"/>
                <w:szCs w:val="22"/>
                <w:highlight w:val="none"/>
                <w:lang w:val="en-US" w:eastAsia="zh-CN"/>
              </w:rPr>
              <w:t>2.1.</w:t>
            </w:r>
            <w:r>
              <w:rPr>
                <w:rFonts w:hint="eastAsia" w:ascii="宋体" w:hAnsi="宋体" w:eastAsia="宋体" w:cs="宋体"/>
                <w:color w:val="auto"/>
                <w:sz w:val="22"/>
                <w:szCs w:val="22"/>
              </w:rPr>
              <w:t>根据投标人对所供肉类产品渠道保障情况进行打分。</w:t>
            </w:r>
          </w:p>
          <w:p w14:paraId="174180C0">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1.肉类产品渠道保障措施完整详细，可实施性高的得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p>
          <w:p w14:paraId="09895DB1">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2.肉类产品渠道保障措施基本完整，可实施性基本满足采购需求的得2</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4EC2F46E">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3.肉类产品渠道保障措施内容有欠缺的得1</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42BC9987">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rPr>
              <w:t>4.未提供不得分。</w:t>
            </w:r>
          </w:p>
        </w:tc>
        <w:tc>
          <w:tcPr>
            <w:tcW w:w="524" w:type="pct"/>
            <w:vAlign w:val="center"/>
          </w:tcPr>
          <w:p w14:paraId="6AADC82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4A215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1113BF37">
            <w:pPr>
              <w:snapToGrid w:val="0"/>
              <w:spacing w:line="460" w:lineRule="exact"/>
              <w:jc w:val="center"/>
              <w:rPr>
                <w:rFonts w:hint="eastAsia" w:ascii="宋体" w:hAnsi="宋体" w:cs="宋体"/>
                <w:color w:val="auto"/>
                <w:sz w:val="22"/>
                <w:szCs w:val="22"/>
                <w:highlight w:val="none"/>
                <w:lang w:val="en-US" w:eastAsia="zh-CN"/>
              </w:rPr>
            </w:pPr>
          </w:p>
        </w:tc>
        <w:tc>
          <w:tcPr>
            <w:tcW w:w="391" w:type="pct"/>
            <w:vMerge w:val="continue"/>
            <w:vAlign w:val="center"/>
          </w:tcPr>
          <w:p w14:paraId="7489E533">
            <w:pPr>
              <w:snapToGrid w:val="0"/>
              <w:spacing w:line="460" w:lineRule="exact"/>
              <w:jc w:val="center"/>
              <w:rPr>
                <w:rFonts w:hint="eastAsia" w:ascii="宋体" w:hAnsi="宋体" w:cs="宋体"/>
                <w:color w:val="auto"/>
                <w:sz w:val="22"/>
                <w:szCs w:val="22"/>
                <w:highlight w:val="none"/>
                <w:lang w:eastAsia="zh-CN"/>
              </w:rPr>
            </w:pPr>
          </w:p>
        </w:tc>
        <w:tc>
          <w:tcPr>
            <w:tcW w:w="548" w:type="pct"/>
            <w:gridSpan w:val="2"/>
            <w:vAlign w:val="center"/>
          </w:tcPr>
          <w:p w14:paraId="581E5979">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7DA834B0">
            <w:pPr>
              <w:adjustRightInd w:val="0"/>
              <w:snapToGrid w:val="0"/>
              <w:spacing w:line="460" w:lineRule="exact"/>
              <w:jc w:val="left"/>
              <w:rPr>
                <w:rFonts w:hint="eastAsia" w:ascii="宋体" w:hAnsi="宋体" w:eastAsia="宋体" w:cs="宋体"/>
                <w:color w:val="auto"/>
                <w:sz w:val="22"/>
                <w:szCs w:val="22"/>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.根据投标人对所供蔬菜类渠道保障情况进行打分。</w:t>
            </w:r>
          </w:p>
          <w:p w14:paraId="2F8E7D25">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1.蔬菜类渠道保障措施完整详细，可实施性高的得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p>
          <w:p w14:paraId="75810581">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2.蔬菜类渠道保障措施基本完整，可实施性基本满足采购需求的得2</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4B90A272">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3.蔬菜类渠道保障措施内容有欠缺的得1</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258E9346">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rPr>
              <w:t>4.未提供不得分。</w:t>
            </w:r>
          </w:p>
        </w:tc>
        <w:tc>
          <w:tcPr>
            <w:tcW w:w="524" w:type="pct"/>
            <w:vAlign w:val="center"/>
          </w:tcPr>
          <w:p w14:paraId="4401157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01AC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3140D586">
            <w:pPr>
              <w:snapToGrid w:val="0"/>
              <w:spacing w:line="460" w:lineRule="exact"/>
              <w:jc w:val="center"/>
              <w:rPr>
                <w:rFonts w:hint="eastAsia" w:ascii="宋体" w:hAnsi="宋体" w:cs="宋体"/>
                <w:color w:val="auto"/>
                <w:sz w:val="22"/>
                <w:szCs w:val="22"/>
                <w:highlight w:val="none"/>
                <w:lang w:val="en-US" w:eastAsia="zh-CN"/>
              </w:rPr>
            </w:pPr>
          </w:p>
        </w:tc>
        <w:tc>
          <w:tcPr>
            <w:tcW w:w="391" w:type="pct"/>
            <w:vMerge w:val="continue"/>
            <w:vAlign w:val="center"/>
          </w:tcPr>
          <w:p w14:paraId="58E1D62B">
            <w:pPr>
              <w:snapToGrid w:val="0"/>
              <w:spacing w:line="460" w:lineRule="exact"/>
              <w:jc w:val="center"/>
              <w:rPr>
                <w:rFonts w:hint="eastAsia" w:ascii="宋体" w:hAnsi="宋体" w:cs="宋体"/>
                <w:color w:val="auto"/>
                <w:sz w:val="22"/>
                <w:szCs w:val="22"/>
                <w:highlight w:val="none"/>
                <w:lang w:eastAsia="zh-CN"/>
              </w:rPr>
            </w:pPr>
          </w:p>
        </w:tc>
        <w:tc>
          <w:tcPr>
            <w:tcW w:w="548" w:type="pct"/>
            <w:gridSpan w:val="2"/>
            <w:vAlign w:val="center"/>
          </w:tcPr>
          <w:p w14:paraId="2A78478C">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311DF1C0">
            <w:pPr>
              <w:adjustRightInd w:val="0"/>
              <w:snapToGrid w:val="0"/>
              <w:spacing w:line="460" w:lineRule="exact"/>
              <w:jc w:val="left"/>
              <w:rPr>
                <w:rFonts w:hint="eastAsia" w:ascii="宋体" w:hAnsi="宋体" w:eastAsia="宋体" w:cs="宋体"/>
                <w:color w:val="auto"/>
                <w:sz w:val="22"/>
                <w:szCs w:val="22"/>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.根据投标人对所供水产类渠道保障情况进行打分。</w:t>
            </w:r>
          </w:p>
          <w:p w14:paraId="24F3D8BE">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1.水产类渠道保障措施完整详细，可实施性高的得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p>
          <w:p w14:paraId="153722CE">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2.水产类渠道保障措施基本完整，可实施性基本满足采购需求的得2</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192BDCDD">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3.水产类渠道保障措施内容有欠缺的得1</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1C3183A4">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rPr>
              <w:t>4.未提供不得分。</w:t>
            </w:r>
          </w:p>
        </w:tc>
        <w:tc>
          <w:tcPr>
            <w:tcW w:w="524" w:type="pct"/>
            <w:vAlign w:val="center"/>
          </w:tcPr>
          <w:p w14:paraId="76E080FB">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6E6E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09F4B8E9">
            <w:pPr>
              <w:snapToGrid w:val="0"/>
              <w:spacing w:line="460" w:lineRule="exact"/>
              <w:jc w:val="center"/>
              <w:rPr>
                <w:rFonts w:hint="eastAsia" w:ascii="宋体" w:hAnsi="宋体" w:cs="宋体"/>
                <w:color w:val="auto"/>
                <w:sz w:val="22"/>
                <w:szCs w:val="22"/>
                <w:highlight w:val="none"/>
                <w:lang w:val="en-US" w:eastAsia="zh-CN"/>
              </w:rPr>
            </w:pPr>
          </w:p>
        </w:tc>
        <w:tc>
          <w:tcPr>
            <w:tcW w:w="391" w:type="pct"/>
            <w:vMerge w:val="continue"/>
            <w:vAlign w:val="center"/>
          </w:tcPr>
          <w:p w14:paraId="6E092BDF">
            <w:pPr>
              <w:snapToGrid w:val="0"/>
              <w:spacing w:line="460" w:lineRule="exact"/>
              <w:jc w:val="center"/>
              <w:rPr>
                <w:rFonts w:hint="eastAsia" w:ascii="宋体" w:hAnsi="宋体" w:cs="宋体"/>
                <w:color w:val="auto"/>
                <w:sz w:val="22"/>
                <w:szCs w:val="22"/>
                <w:highlight w:val="none"/>
                <w:lang w:eastAsia="zh-CN"/>
              </w:rPr>
            </w:pPr>
          </w:p>
        </w:tc>
        <w:tc>
          <w:tcPr>
            <w:tcW w:w="548" w:type="pct"/>
            <w:gridSpan w:val="2"/>
            <w:vAlign w:val="center"/>
          </w:tcPr>
          <w:p w14:paraId="78A0E420">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4A1A0946">
            <w:pPr>
              <w:adjustRightInd w:val="0"/>
              <w:snapToGrid w:val="0"/>
              <w:spacing w:line="460" w:lineRule="exact"/>
              <w:jc w:val="left"/>
              <w:rPr>
                <w:rFonts w:hint="eastAsia" w:ascii="宋体" w:hAnsi="宋体" w:eastAsia="宋体" w:cs="宋体"/>
                <w:color w:val="auto"/>
                <w:sz w:val="22"/>
                <w:szCs w:val="22"/>
              </w:rPr>
            </w:pP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.根据投标人对所供</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eastAsia="宋体" w:cs="宋体"/>
                <w:color w:val="auto"/>
                <w:sz w:val="22"/>
                <w:szCs w:val="22"/>
              </w:rPr>
              <w:t>渠道保障情况进行打分。</w:t>
            </w:r>
          </w:p>
          <w:p w14:paraId="0E99D4DC">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eastAsia="宋体" w:cs="宋体"/>
                <w:color w:val="auto"/>
                <w:sz w:val="22"/>
                <w:szCs w:val="22"/>
              </w:rPr>
              <w:t>渠道保障措施完整详细，可实施性高的得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分；</w:t>
            </w:r>
          </w:p>
          <w:p w14:paraId="0C033C36">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eastAsia="宋体" w:cs="宋体"/>
                <w:color w:val="auto"/>
                <w:sz w:val="22"/>
                <w:szCs w:val="22"/>
              </w:rPr>
              <w:t>渠道保障措施基本完整，可实施性基本满足采购需求的得2</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7184DAC7">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eastAsia="宋体" w:cs="宋体"/>
                <w:color w:val="auto"/>
                <w:sz w:val="22"/>
                <w:szCs w:val="22"/>
              </w:rPr>
              <w:t>渠道保障措施内容有欠缺的得1</w:t>
            </w:r>
            <w:r>
              <w:rPr>
                <w:rFonts w:hint="eastAsia" w:ascii="宋体" w:hAnsi="宋体" w:cs="宋体"/>
                <w:color w:val="auto"/>
                <w:sz w:val="22"/>
                <w:szCs w:val="22"/>
                <w:lang w:val="en-US" w:eastAsia="zh-CN"/>
              </w:rPr>
              <w:t>.5</w:t>
            </w:r>
            <w:r>
              <w:rPr>
                <w:rFonts w:hint="eastAsia" w:ascii="宋体" w:hAnsi="宋体" w:eastAsia="宋体" w:cs="宋体"/>
                <w:color w:val="auto"/>
                <w:sz w:val="22"/>
                <w:szCs w:val="22"/>
              </w:rPr>
              <w:t>分；</w:t>
            </w:r>
          </w:p>
          <w:p w14:paraId="41176674">
            <w:pPr>
              <w:adjustRightInd w:val="0"/>
              <w:snapToGrid w:val="0"/>
              <w:spacing w:line="460" w:lineRule="exact"/>
              <w:jc w:val="left"/>
              <w:rPr>
                <w:rFonts w:hint="eastAsia" w:ascii="宋体" w:hAnsi="宋体" w:eastAsia="宋体" w:cs="宋体"/>
                <w:color w:val="auto"/>
                <w:sz w:val="22"/>
                <w:szCs w:val="22"/>
              </w:rPr>
            </w:pPr>
            <w:r>
              <w:rPr>
                <w:rFonts w:hint="eastAsia" w:ascii="宋体" w:hAnsi="宋体" w:eastAsia="宋体" w:cs="宋体"/>
                <w:color w:val="auto"/>
                <w:sz w:val="22"/>
                <w:szCs w:val="22"/>
              </w:rPr>
              <w:t>4.未提供不得分。</w:t>
            </w:r>
          </w:p>
        </w:tc>
        <w:tc>
          <w:tcPr>
            <w:tcW w:w="524" w:type="pct"/>
            <w:vAlign w:val="center"/>
          </w:tcPr>
          <w:p w14:paraId="0CEE16D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6F4C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7E56A3F2">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c>
          <w:tcPr>
            <w:tcW w:w="391" w:type="pct"/>
            <w:vAlign w:val="center"/>
          </w:tcPr>
          <w:p w14:paraId="7CD9503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认证证书</w:t>
            </w:r>
          </w:p>
        </w:tc>
        <w:tc>
          <w:tcPr>
            <w:tcW w:w="548" w:type="pct"/>
            <w:gridSpan w:val="2"/>
            <w:vAlign w:val="center"/>
          </w:tcPr>
          <w:p w14:paraId="05FB5EB6">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43EFF002">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（1）具有质量管理体系认证证书</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得1分，</w:t>
            </w:r>
          </w:p>
          <w:p w14:paraId="2148C1F9">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（2）具有环境管理体系认证证书</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得1分，</w:t>
            </w:r>
          </w:p>
          <w:p w14:paraId="5C7691C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（3）具有职业健康安全管理体系认证证书</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得1分，</w:t>
            </w:r>
          </w:p>
          <w:p w14:paraId="2517B56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（4）具有食品安全管理体系认证证书</w:t>
            </w:r>
            <w:r>
              <w:rPr>
                <w:rFonts w:hint="eastAsia" w:ascii="宋体" w:hAnsi="宋体" w:cs="宋体"/>
                <w:color w:val="auto"/>
                <w:sz w:val="22"/>
                <w:szCs w:val="22"/>
                <w:highlight w:val="none"/>
                <w:lang w:val="en-US" w:eastAsia="zh-CN"/>
              </w:rPr>
              <w:t>的</w:t>
            </w:r>
            <w:r>
              <w:rPr>
                <w:rFonts w:hint="eastAsia" w:ascii="宋体" w:hAnsi="宋体" w:eastAsia="宋体" w:cs="宋体"/>
                <w:color w:val="auto"/>
                <w:sz w:val="22"/>
                <w:szCs w:val="22"/>
                <w:highlight w:val="none"/>
              </w:rPr>
              <w:t>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57672D2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lang w:val="zh-CN" w:eastAsia="zh-CN"/>
              </w:rPr>
              <w:t>响应文件内提供以上证书复印件加盖公章，并要求可在中国国家认证认可监督管理委员会官网认证查询系统内查询到相关证书信息提供截图证明</w:t>
            </w:r>
            <w:r>
              <w:rPr>
                <w:rFonts w:hint="eastAsia" w:ascii="宋体" w:hAnsi="宋体" w:eastAsia="宋体" w:cs="宋体"/>
                <w:b/>
                <w:bCs/>
                <w:color w:val="auto"/>
                <w:sz w:val="22"/>
                <w:szCs w:val="22"/>
                <w:lang w:val="en-US" w:eastAsia="zh-CN"/>
              </w:rPr>
              <w:t>和</w:t>
            </w:r>
            <w:r>
              <w:rPr>
                <w:rFonts w:hint="eastAsia" w:ascii="宋体" w:hAnsi="宋体" w:eastAsia="宋体" w:cs="宋体"/>
                <w:b/>
                <w:bCs/>
                <w:color w:val="auto"/>
                <w:sz w:val="22"/>
                <w:szCs w:val="22"/>
                <w:lang w:val="zh-CN" w:eastAsia="zh-CN"/>
              </w:rPr>
              <w:t>ISO认证证书</w:t>
            </w:r>
            <w:r>
              <w:rPr>
                <w:rFonts w:hint="eastAsia" w:ascii="宋体" w:hAnsi="宋体" w:eastAsia="宋体" w:cs="宋体"/>
                <w:b/>
                <w:bCs/>
                <w:color w:val="auto"/>
                <w:sz w:val="22"/>
                <w:szCs w:val="22"/>
                <w:lang w:val="en-US" w:eastAsia="zh-CN"/>
              </w:rPr>
              <w:t>办证公司名称必须在</w:t>
            </w:r>
            <w:r>
              <w:rPr>
                <w:rFonts w:hint="eastAsia" w:ascii="宋体" w:hAnsi="宋体" w:eastAsia="宋体" w:cs="宋体"/>
                <w:b/>
                <w:bCs/>
                <w:color w:val="auto"/>
                <w:sz w:val="22"/>
                <w:szCs w:val="22"/>
                <w:lang w:val="zh-CN" w:eastAsia="zh-CN"/>
              </w:rPr>
              <w:t>全国认证认可信息公共服务平台查询到相关</w:t>
            </w:r>
            <w:r>
              <w:rPr>
                <w:rFonts w:hint="eastAsia" w:ascii="宋体" w:hAnsi="宋体" w:eastAsia="宋体" w:cs="宋体"/>
                <w:b/>
                <w:bCs/>
                <w:color w:val="auto"/>
                <w:sz w:val="22"/>
                <w:szCs w:val="22"/>
                <w:lang w:val="en-US" w:eastAsia="zh-CN"/>
              </w:rPr>
              <w:t>公司</w:t>
            </w:r>
            <w:r>
              <w:rPr>
                <w:rFonts w:hint="eastAsia" w:ascii="宋体" w:hAnsi="宋体" w:eastAsia="宋体" w:cs="宋体"/>
                <w:b/>
                <w:bCs/>
                <w:color w:val="auto"/>
                <w:sz w:val="22"/>
                <w:szCs w:val="22"/>
                <w:lang w:val="zh-CN" w:eastAsia="zh-CN"/>
              </w:rPr>
              <w:t>信息提供截图证明，否则不得分。</w:t>
            </w:r>
          </w:p>
        </w:tc>
        <w:tc>
          <w:tcPr>
            <w:tcW w:w="524" w:type="pct"/>
            <w:vAlign w:val="center"/>
          </w:tcPr>
          <w:p w14:paraId="3783824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1AB3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5BF48759">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c>
          <w:tcPr>
            <w:tcW w:w="391" w:type="pct"/>
            <w:vAlign w:val="center"/>
          </w:tcPr>
          <w:p w14:paraId="13751F5D">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项目案例业绩</w:t>
            </w:r>
          </w:p>
        </w:tc>
        <w:tc>
          <w:tcPr>
            <w:tcW w:w="548" w:type="pct"/>
            <w:gridSpan w:val="2"/>
            <w:vAlign w:val="center"/>
          </w:tcPr>
          <w:p w14:paraId="7BCB65E9">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0-1</w:t>
            </w:r>
          </w:p>
        </w:tc>
        <w:tc>
          <w:tcPr>
            <w:tcW w:w="3249" w:type="pct"/>
            <w:vAlign w:val="center"/>
          </w:tcPr>
          <w:p w14:paraId="0366570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年1月1日至今（以合同签订时间为准）承担过类似食堂食材采购及配送服务业绩情况，每提供</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个业绩的0.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分，最高得1分。</w:t>
            </w:r>
          </w:p>
          <w:p w14:paraId="5EC7DA99">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注：需提供合同、中标通知书及任一期发票扫描件，否则不得分。</w:t>
            </w:r>
          </w:p>
        </w:tc>
        <w:tc>
          <w:tcPr>
            <w:tcW w:w="524" w:type="pct"/>
            <w:vAlign w:val="center"/>
          </w:tcPr>
          <w:p w14:paraId="5EE43A5C">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6FE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Align w:val="center"/>
          </w:tcPr>
          <w:p w14:paraId="2C0F801B">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391" w:type="pct"/>
            <w:vAlign w:val="center"/>
          </w:tcPr>
          <w:p w14:paraId="177F3F00">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供货保证措施</w:t>
            </w:r>
          </w:p>
        </w:tc>
        <w:tc>
          <w:tcPr>
            <w:tcW w:w="548" w:type="pct"/>
            <w:gridSpan w:val="2"/>
            <w:vAlign w:val="center"/>
          </w:tcPr>
          <w:p w14:paraId="0A11E3B7">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vAlign w:val="center"/>
          </w:tcPr>
          <w:p w14:paraId="4EA6D595">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在接到订货通知后能按要求时间送到的承诺及保证措施等情况进行打分。</w:t>
            </w:r>
          </w:p>
          <w:p w14:paraId="4ABAB803">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（1）能满足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需求，供货</w:t>
            </w:r>
            <w:r>
              <w:rPr>
                <w:rFonts w:hint="eastAsia" w:ascii="宋体" w:hAnsi="宋体" w:eastAsia="宋体" w:cs="宋体"/>
                <w:color w:val="auto"/>
                <w:sz w:val="22"/>
                <w:szCs w:val="22"/>
                <w:lang w:val="zh-CN"/>
              </w:rPr>
              <w:t>响应时间</w:t>
            </w:r>
            <w:r>
              <w:rPr>
                <w:rFonts w:hint="eastAsia" w:ascii="宋体" w:hAnsi="宋体" w:eastAsia="宋体" w:cs="宋体"/>
                <w:color w:val="auto"/>
                <w:sz w:val="22"/>
                <w:szCs w:val="22"/>
              </w:rPr>
              <w:t>短</w:t>
            </w:r>
            <w:r>
              <w:rPr>
                <w:rFonts w:hint="eastAsia" w:ascii="宋体" w:hAnsi="宋体" w:cs="宋体"/>
                <w:color w:val="auto"/>
                <w:sz w:val="22"/>
                <w:szCs w:val="22"/>
                <w:lang w:eastAsia="zh-CN"/>
              </w:rPr>
              <w:t>，</w:t>
            </w:r>
            <w:r>
              <w:rPr>
                <w:rFonts w:hint="eastAsia" w:ascii="宋体" w:hAnsi="宋体" w:eastAsia="宋体" w:cs="宋体"/>
                <w:color w:val="auto"/>
                <w:sz w:val="22"/>
                <w:szCs w:val="22"/>
                <w:highlight w:val="none"/>
              </w:rPr>
              <w:t>保证措施合理可行、针对性强的得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0F1F71AC">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（2）能比较满足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需求，供货</w:t>
            </w:r>
            <w:r>
              <w:rPr>
                <w:rFonts w:hint="eastAsia" w:ascii="宋体" w:hAnsi="宋体" w:eastAsia="宋体" w:cs="宋体"/>
                <w:color w:val="auto"/>
                <w:sz w:val="22"/>
                <w:szCs w:val="22"/>
                <w:lang w:val="zh-CN"/>
              </w:rPr>
              <w:t>响应时间</w:t>
            </w:r>
            <w:r>
              <w:rPr>
                <w:rFonts w:hint="eastAsia" w:ascii="宋体" w:hAnsi="宋体" w:eastAsia="宋体" w:cs="宋体"/>
                <w:color w:val="auto"/>
                <w:sz w:val="22"/>
                <w:szCs w:val="22"/>
              </w:rPr>
              <w:t>短</w:t>
            </w:r>
            <w:r>
              <w:rPr>
                <w:rFonts w:hint="eastAsia" w:ascii="宋体" w:hAnsi="宋体" w:cs="宋体"/>
                <w:color w:val="auto"/>
                <w:sz w:val="22"/>
                <w:szCs w:val="22"/>
                <w:lang w:eastAsia="zh-CN"/>
              </w:rPr>
              <w:t>，</w:t>
            </w:r>
            <w:r>
              <w:rPr>
                <w:rFonts w:hint="eastAsia" w:ascii="宋体" w:hAnsi="宋体" w:eastAsia="宋体" w:cs="宋体"/>
                <w:color w:val="auto"/>
                <w:sz w:val="22"/>
                <w:szCs w:val="22"/>
                <w:highlight w:val="none"/>
              </w:rPr>
              <w:t>保证措施较合理可行、针对性较强的得</w:t>
            </w:r>
            <w:r>
              <w:rPr>
                <w:rFonts w:hint="eastAsia" w:ascii="宋体" w:hAnsi="宋体" w:cs="宋体"/>
                <w:color w:val="auto"/>
                <w:sz w:val="22"/>
                <w:szCs w:val="22"/>
                <w:highlight w:val="none"/>
                <w:lang w:val="en-US" w:eastAsia="zh-CN"/>
              </w:rPr>
              <w:t>2.5</w:t>
            </w:r>
            <w:r>
              <w:rPr>
                <w:rFonts w:hint="eastAsia" w:ascii="宋体" w:hAnsi="宋体" w:eastAsia="宋体" w:cs="宋体"/>
                <w:color w:val="auto"/>
                <w:sz w:val="22"/>
                <w:szCs w:val="22"/>
                <w:highlight w:val="none"/>
              </w:rPr>
              <w:t>分；</w:t>
            </w:r>
          </w:p>
          <w:p w14:paraId="304DBFB7">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（3）能基本满足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需求，供货</w:t>
            </w:r>
            <w:r>
              <w:rPr>
                <w:rFonts w:hint="eastAsia" w:ascii="宋体" w:hAnsi="宋体" w:eastAsia="宋体" w:cs="宋体"/>
                <w:color w:val="auto"/>
                <w:sz w:val="22"/>
                <w:szCs w:val="22"/>
                <w:lang w:val="zh-CN"/>
              </w:rPr>
              <w:t>响应时间</w:t>
            </w:r>
            <w:r>
              <w:rPr>
                <w:rFonts w:hint="eastAsia" w:ascii="宋体" w:hAnsi="宋体" w:eastAsia="宋体" w:cs="宋体"/>
                <w:color w:val="auto"/>
                <w:sz w:val="22"/>
                <w:szCs w:val="22"/>
              </w:rPr>
              <w:t>短</w:t>
            </w:r>
            <w:r>
              <w:rPr>
                <w:rFonts w:hint="eastAsia" w:ascii="宋体" w:hAnsi="宋体" w:cs="宋体"/>
                <w:color w:val="auto"/>
                <w:sz w:val="22"/>
                <w:szCs w:val="22"/>
                <w:lang w:eastAsia="zh-CN"/>
              </w:rPr>
              <w:t>，</w:t>
            </w:r>
            <w:r>
              <w:rPr>
                <w:rFonts w:hint="eastAsia" w:ascii="宋体" w:hAnsi="宋体" w:eastAsia="宋体" w:cs="宋体"/>
                <w:color w:val="auto"/>
                <w:sz w:val="22"/>
                <w:szCs w:val="22"/>
                <w:highlight w:val="none"/>
              </w:rPr>
              <w:t>保证措施合理性、可行性、针对性一般的得</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p w14:paraId="496F8DE2">
            <w:pPr>
              <w:adjustRightInd w:val="0"/>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（4）不提供的0分。</w:t>
            </w:r>
          </w:p>
        </w:tc>
        <w:tc>
          <w:tcPr>
            <w:tcW w:w="524" w:type="pct"/>
            <w:vAlign w:val="center"/>
          </w:tcPr>
          <w:p w14:paraId="564F9CBF">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533D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86" w:type="pct"/>
            <w:vMerge w:val="restart"/>
            <w:vAlign w:val="center"/>
          </w:tcPr>
          <w:p w14:paraId="5C1B1E27">
            <w:pPr>
              <w:snapToGrid w:val="0"/>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391" w:type="pct"/>
            <w:vMerge w:val="restart"/>
            <w:vAlign w:val="center"/>
          </w:tcPr>
          <w:p w14:paraId="4BD4B8DE">
            <w:pPr>
              <w:snapToGrid w:val="0"/>
              <w:spacing w:line="460" w:lineRule="exact"/>
              <w:rPr>
                <w:rFonts w:hint="eastAsia" w:ascii="宋体" w:hAnsi="宋体" w:eastAsia="宋体" w:cs="宋体"/>
                <w:color w:val="auto"/>
                <w:sz w:val="22"/>
                <w:szCs w:val="22"/>
                <w:highlight w:val="none"/>
              </w:rPr>
            </w:pPr>
          </w:p>
        </w:tc>
        <w:tc>
          <w:tcPr>
            <w:tcW w:w="548" w:type="pct"/>
            <w:gridSpan w:val="2"/>
            <w:vAlign w:val="center"/>
          </w:tcPr>
          <w:p w14:paraId="0B7383E5">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3</w:t>
            </w:r>
          </w:p>
        </w:tc>
        <w:tc>
          <w:tcPr>
            <w:tcW w:w="3249" w:type="pct"/>
            <w:vAlign w:val="center"/>
          </w:tcPr>
          <w:p w14:paraId="75E9C164">
            <w:pPr>
              <w:spacing w:line="460" w:lineRule="exact"/>
              <w:jc w:val="left"/>
              <w:rPr>
                <w:rFonts w:eastAsia="新宋体"/>
                <w:color w:val="auto"/>
                <w:sz w:val="22"/>
                <w:szCs w:val="22"/>
                <w:lang w:val="zh-CN"/>
              </w:rPr>
            </w:pPr>
            <w:r>
              <w:rPr>
                <w:rFonts w:hint="eastAsia" w:ascii="宋体" w:hAnsi="宋体" w:cs="宋体"/>
                <w:color w:val="auto"/>
                <w:sz w:val="22"/>
                <w:szCs w:val="22"/>
                <w:highlight w:val="none"/>
                <w:lang w:val="en-US" w:eastAsia="zh-CN"/>
              </w:rPr>
              <w:t>6.1.</w:t>
            </w:r>
            <w:r>
              <w:rPr>
                <w:rFonts w:hint="eastAsia" w:eastAsia="新宋体"/>
                <w:color w:val="auto"/>
                <w:sz w:val="22"/>
                <w:szCs w:val="22"/>
                <w:lang w:val="zh-CN"/>
              </w:rPr>
              <w:t>投标人</w:t>
            </w:r>
            <w:r>
              <w:rPr>
                <w:rFonts w:eastAsia="新宋体"/>
                <w:color w:val="auto"/>
                <w:sz w:val="22"/>
                <w:szCs w:val="22"/>
                <w:lang w:val="zh-CN"/>
              </w:rPr>
              <w:t>投保食品安全责任保险，根据食品安全责任险保险单的内容及额度情况进行评分。需提供保单复印件，要求保额清晰可见。</w:t>
            </w:r>
          </w:p>
          <w:p w14:paraId="56E695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00万元的得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w:t>
            </w:r>
          </w:p>
          <w:p w14:paraId="591B87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00万元＜保险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00万元的得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135E66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00万元＜保险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00万元的得</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p w14:paraId="2591F8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00万元＜保险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00万元的得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347A87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00万元＜保险</w:t>
            </w:r>
            <w:r>
              <w:rPr>
                <w:rFonts w:hint="eastAsia" w:ascii="宋体" w:hAnsi="宋体" w:eastAsia="宋体" w:cs="宋体"/>
                <w:color w:val="auto"/>
                <w:sz w:val="22"/>
                <w:szCs w:val="22"/>
                <w:highlight w:val="none"/>
                <w:lang w:val="en-US" w:eastAsia="zh-CN"/>
              </w:rPr>
              <w:t>金额</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50</w:t>
            </w:r>
            <w:r>
              <w:rPr>
                <w:rFonts w:hint="eastAsia" w:ascii="宋体" w:hAnsi="宋体" w:eastAsia="宋体" w:cs="宋体"/>
                <w:color w:val="auto"/>
                <w:sz w:val="22"/>
                <w:szCs w:val="22"/>
                <w:highlight w:val="none"/>
              </w:rPr>
              <w:t>00万元的得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c>
          <w:tcPr>
            <w:tcW w:w="524" w:type="pct"/>
            <w:vAlign w:val="center"/>
          </w:tcPr>
          <w:p w14:paraId="561A0C9F">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3111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30E79504">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vAlign w:val="center"/>
          </w:tcPr>
          <w:p w14:paraId="0D7F841B">
            <w:pPr>
              <w:snapToGrid w:val="0"/>
              <w:spacing w:line="460" w:lineRule="exact"/>
              <w:rPr>
                <w:rFonts w:hint="eastAsia" w:ascii="宋体" w:hAnsi="宋体" w:eastAsia="宋体" w:cs="宋体"/>
                <w:color w:val="auto"/>
                <w:sz w:val="22"/>
                <w:szCs w:val="22"/>
                <w:highlight w:val="none"/>
              </w:rPr>
            </w:pPr>
          </w:p>
        </w:tc>
        <w:tc>
          <w:tcPr>
            <w:tcW w:w="548" w:type="pct"/>
            <w:gridSpan w:val="2"/>
            <w:vAlign w:val="center"/>
          </w:tcPr>
          <w:p w14:paraId="2C3E602E">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0-3</w:t>
            </w:r>
          </w:p>
        </w:tc>
        <w:tc>
          <w:tcPr>
            <w:tcW w:w="3249" w:type="pct"/>
            <w:vAlign w:val="center"/>
          </w:tcPr>
          <w:p w14:paraId="7AFAC222">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6.2.</w:t>
            </w:r>
            <w:r>
              <w:rPr>
                <w:rFonts w:hint="eastAsia" w:ascii="宋体" w:hAnsi="宋体" w:cs="宋体"/>
                <w:color w:val="auto"/>
                <w:sz w:val="22"/>
                <w:szCs w:val="22"/>
                <w:highlight w:val="none"/>
              </w:rPr>
              <w:t>根据投标人对所供水产品质量保证措施等情况进行打分。</w:t>
            </w:r>
          </w:p>
          <w:p w14:paraId="16FA7FFF">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1.水产品质量保证措施完整详细，可实施性高的得3分；</w:t>
            </w:r>
          </w:p>
          <w:p w14:paraId="074322F7">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2.水产品质量保证措施基本完整，可实施性基本满足采购需求的得2分；</w:t>
            </w:r>
          </w:p>
          <w:p w14:paraId="418D4D80">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3.水产品质量保证措施内容有欠缺，得1分；</w:t>
            </w:r>
          </w:p>
          <w:p w14:paraId="2D31DA28">
            <w:pPr>
              <w:snapToGrid w:val="0"/>
              <w:spacing w:line="460" w:lineRule="exact"/>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rPr>
              <w:t>4.未提供不得分。</w:t>
            </w:r>
          </w:p>
        </w:tc>
        <w:tc>
          <w:tcPr>
            <w:tcW w:w="524" w:type="pct"/>
            <w:vAlign w:val="center"/>
          </w:tcPr>
          <w:p w14:paraId="7E87EF83">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主观分</w:t>
            </w:r>
          </w:p>
        </w:tc>
      </w:tr>
      <w:tr w14:paraId="0D1A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24116F1C">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vAlign w:val="center"/>
          </w:tcPr>
          <w:p w14:paraId="0AC1C9C2">
            <w:pPr>
              <w:snapToGrid w:val="0"/>
              <w:spacing w:line="460" w:lineRule="exact"/>
              <w:rPr>
                <w:rFonts w:hint="eastAsia" w:ascii="宋体" w:hAnsi="宋体" w:eastAsia="宋体" w:cs="宋体"/>
                <w:color w:val="auto"/>
                <w:sz w:val="22"/>
                <w:szCs w:val="22"/>
                <w:highlight w:val="none"/>
              </w:rPr>
            </w:pPr>
          </w:p>
        </w:tc>
        <w:tc>
          <w:tcPr>
            <w:tcW w:w="548" w:type="pct"/>
            <w:gridSpan w:val="2"/>
            <w:vAlign w:val="center"/>
          </w:tcPr>
          <w:p w14:paraId="5AF07230">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0-3</w:t>
            </w:r>
          </w:p>
        </w:tc>
        <w:tc>
          <w:tcPr>
            <w:tcW w:w="3249" w:type="pct"/>
            <w:vAlign w:val="center"/>
          </w:tcPr>
          <w:p w14:paraId="7C8A75C0">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6.3.</w:t>
            </w:r>
            <w:r>
              <w:rPr>
                <w:rFonts w:hint="eastAsia" w:ascii="宋体" w:hAnsi="宋体" w:cs="宋体"/>
                <w:color w:val="auto"/>
                <w:sz w:val="22"/>
                <w:szCs w:val="22"/>
                <w:highlight w:val="none"/>
              </w:rPr>
              <w:t>根据投标人对所供肉类产品质量保证措施等情况进行打分。</w:t>
            </w:r>
          </w:p>
          <w:p w14:paraId="0A484B35">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1.肉类产品质量保证措施完整详细，可实施性高的得3分；</w:t>
            </w:r>
          </w:p>
          <w:p w14:paraId="04A0823B">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2.肉类产品质量保证措施基本完整，可实施性基本满足采购需求的得2分；</w:t>
            </w:r>
          </w:p>
          <w:p w14:paraId="7316385C">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3.肉类产品质量保证措施内容有欠缺的得1分；</w:t>
            </w:r>
          </w:p>
          <w:p w14:paraId="2AF40F60">
            <w:pPr>
              <w:adjustRightInd w:val="0"/>
              <w:snapToGrid w:val="0"/>
              <w:spacing w:line="460" w:lineRule="exact"/>
              <w:jc w:val="left"/>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rPr>
              <w:t>4.未提供不得分。</w:t>
            </w:r>
          </w:p>
        </w:tc>
        <w:tc>
          <w:tcPr>
            <w:tcW w:w="524" w:type="pct"/>
            <w:vAlign w:val="center"/>
          </w:tcPr>
          <w:p w14:paraId="076D92E8">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主观分</w:t>
            </w:r>
          </w:p>
        </w:tc>
      </w:tr>
      <w:tr w14:paraId="7248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4D30B00E">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vAlign w:val="center"/>
          </w:tcPr>
          <w:p w14:paraId="6A4B4F23">
            <w:pPr>
              <w:snapToGrid w:val="0"/>
              <w:spacing w:line="460" w:lineRule="exact"/>
              <w:rPr>
                <w:rFonts w:hint="eastAsia" w:ascii="宋体" w:hAnsi="宋体" w:eastAsia="宋体" w:cs="宋体"/>
                <w:color w:val="auto"/>
                <w:sz w:val="22"/>
                <w:szCs w:val="22"/>
                <w:highlight w:val="none"/>
              </w:rPr>
            </w:pPr>
          </w:p>
        </w:tc>
        <w:tc>
          <w:tcPr>
            <w:tcW w:w="548" w:type="pct"/>
            <w:gridSpan w:val="2"/>
            <w:vAlign w:val="center"/>
          </w:tcPr>
          <w:p w14:paraId="68C525D6">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0-3</w:t>
            </w:r>
          </w:p>
        </w:tc>
        <w:tc>
          <w:tcPr>
            <w:tcW w:w="3249" w:type="pct"/>
            <w:vAlign w:val="center"/>
          </w:tcPr>
          <w:p w14:paraId="728115C3">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6.4.</w:t>
            </w:r>
            <w:r>
              <w:rPr>
                <w:rFonts w:hint="eastAsia" w:ascii="宋体" w:hAnsi="宋体" w:cs="宋体"/>
                <w:color w:val="auto"/>
                <w:sz w:val="22"/>
                <w:szCs w:val="22"/>
                <w:highlight w:val="none"/>
              </w:rPr>
              <w:t>根据投标人对所供蔬菜质量保证措施等情况进行打分。</w:t>
            </w:r>
          </w:p>
          <w:p w14:paraId="13B7808C">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1.蔬菜质量保证措施完整详细，可实施性高的得3分；</w:t>
            </w:r>
          </w:p>
          <w:p w14:paraId="2694BBBE">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2.蔬菜质量保证措施基本完整，可实施性基本满足采购需求的得2分；</w:t>
            </w:r>
          </w:p>
          <w:p w14:paraId="0FFE7A86">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3.蔬菜质量保证措施内容有欠缺的得1分；</w:t>
            </w:r>
          </w:p>
          <w:p w14:paraId="2A0CAD3C">
            <w:pPr>
              <w:adjustRightInd w:val="0"/>
              <w:snapToGrid w:val="0"/>
              <w:spacing w:line="460" w:lineRule="exact"/>
              <w:jc w:val="left"/>
              <w:rPr>
                <w:rFonts w:hint="eastAsia" w:ascii="宋体" w:hAnsi="宋体" w:eastAsia="宋体" w:cs="宋体"/>
                <w:b/>
                <w:bCs/>
                <w:color w:val="auto"/>
                <w:sz w:val="22"/>
                <w:szCs w:val="22"/>
                <w:highlight w:val="none"/>
                <w:lang w:val="en-US" w:eastAsia="zh-CN"/>
              </w:rPr>
            </w:pPr>
            <w:r>
              <w:rPr>
                <w:rFonts w:hint="eastAsia" w:ascii="宋体" w:hAnsi="宋体" w:cs="宋体"/>
                <w:color w:val="auto"/>
                <w:sz w:val="22"/>
                <w:szCs w:val="22"/>
                <w:highlight w:val="none"/>
              </w:rPr>
              <w:t>4.未提供不得分。</w:t>
            </w:r>
          </w:p>
        </w:tc>
        <w:tc>
          <w:tcPr>
            <w:tcW w:w="524" w:type="pct"/>
            <w:vAlign w:val="center"/>
          </w:tcPr>
          <w:p w14:paraId="4235BEF1">
            <w:pPr>
              <w:snapToGrid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主观分</w:t>
            </w:r>
          </w:p>
        </w:tc>
      </w:tr>
      <w:tr w14:paraId="57AD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vAlign w:val="center"/>
          </w:tcPr>
          <w:p w14:paraId="61E4A92B">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vAlign w:val="center"/>
          </w:tcPr>
          <w:p w14:paraId="096A890C">
            <w:pPr>
              <w:snapToGrid w:val="0"/>
              <w:spacing w:line="460" w:lineRule="exact"/>
              <w:rPr>
                <w:rFonts w:hint="eastAsia" w:ascii="宋体" w:hAnsi="宋体" w:eastAsia="宋体" w:cs="宋体"/>
                <w:color w:val="auto"/>
                <w:sz w:val="22"/>
                <w:szCs w:val="22"/>
                <w:highlight w:val="none"/>
              </w:rPr>
            </w:pPr>
          </w:p>
        </w:tc>
        <w:tc>
          <w:tcPr>
            <w:tcW w:w="548" w:type="pct"/>
            <w:gridSpan w:val="2"/>
            <w:vAlign w:val="center"/>
          </w:tcPr>
          <w:p w14:paraId="381972DC">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0-3</w:t>
            </w:r>
          </w:p>
        </w:tc>
        <w:tc>
          <w:tcPr>
            <w:tcW w:w="3249" w:type="pct"/>
            <w:vAlign w:val="center"/>
          </w:tcPr>
          <w:p w14:paraId="222CCB8E">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6.5.</w:t>
            </w:r>
            <w:r>
              <w:rPr>
                <w:rFonts w:hint="eastAsia" w:ascii="宋体" w:hAnsi="宋体" w:cs="宋体"/>
                <w:color w:val="auto"/>
                <w:sz w:val="22"/>
                <w:szCs w:val="22"/>
                <w:highlight w:val="none"/>
              </w:rPr>
              <w:t>根据投标人对所供</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cs="宋体"/>
                <w:color w:val="auto"/>
                <w:sz w:val="22"/>
                <w:szCs w:val="22"/>
                <w:highlight w:val="none"/>
              </w:rPr>
              <w:t>质量保证措施等情况进行打分。</w:t>
            </w:r>
          </w:p>
          <w:p w14:paraId="7C7370FF">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cs="宋体"/>
                <w:color w:val="auto"/>
                <w:sz w:val="22"/>
                <w:szCs w:val="22"/>
                <w:highlight w:val="none"/>
              </w:rPr>
              <w:t>质量保证措施完整详细，可实施性高的得3分；</w:t>
            </w:r>
          </w:p>
          <w:p w14:paraId="33AA68F3">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cs="宋体"/>
                <w:color w:val="auto"/>
                <w:sz w:val="22"/>
                <w:szCs w:val="22"/>
                <w:highlight w:val="none"/>
              </w:rPr>
              <w:t>质量保证措施基本完整，可实施性基本满足采购需求的得2分；</w:t>
            </w:r>
          </w:p>
          <w:p w14:paraId="5193D007">
            <w:pPr>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eastAsia="宋体" w:cs="宋体"/>
                <w:color w:val="auto"/>
                <w:sz w:val="22"/>
                <w:szCs w:val="22"/>
                <w:highlight w:val="none"/>
              </w:rPr>
              <w:t>水果类</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调味品</w:t>
            </w:r>
            <w:r>
              <w:rPr>
                <w:rFonts w:hint="eastAsia" w:ascii="宋体" w:hAnsi="宋体" w:cs="宋体"/>
                <w:color w:val="auto"/>
                <w:sz w:val="22"/>
                <w:szCs w:val="22"/>
                <w:highlight w:val="none"/>
              </w:rPr>
              <w:t>质量保证措施内容有欠缺的得1分；</w:t>
            </w:r>
          </w:p>
          <w:p w14:paraId="64239031">
            <w:pPr>
              <w:adjustRightInd w:val="0"/>
              <w:snapToGrid w:val="0"/>
              <w:spacing w:line="4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4.未提供不得分。</w:t>
            </w:r>
          </w:p>
        </w:tc>
        <w:tc>
          <w:tcPr>
            <w:tcW w:w="524" w:type="pct"/>
            <w:vAlign w:val="center"/>
          </w:tcPr>
          <w:p w14:paraId="646D872C">
            <w:pPr>
              <w:snapToGrid w:val="0"/>
              <w:spacing w:line="4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主观分</w:t>
            </w:r>
          </w:p>
        </w:tc>
      </w:tr>
      <w:tr w14:paraId="1D59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restart"/>
            <w:tcBorders>
              <w:top w:val="single" w:color="auto" w:sz="4" w:space="0"/>
              <w:left w:val="single" w:color="auto" w:sz="4" w:space="0"/>
              <w:right w:val="single" w:color="auto" w:sz="4" w:space="0"/>
            </w:tcBorders>
            <w:vAlign w:val="center"/>
          </w:tcPr>
          <w:p w14:paraId="1DD130D9">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p>
        </w:tc>
        <w:tc>
          <w:tcPr>
            <w:tcW w:w="391" w:type="pct"/>
            <w:vMerge w:val="restart"/>
            <w:tcBorders>
              <w:top w:val="single" w:color="auto" w:sz="4" w:space="0"/>
              <w:left w:val="single" w:color="auto" w:sz="4" w:space="0"/>
              <w:right w:val="single" w:color="auto" w:sz="4" w:space="0"/>
            </w:tcBorders>
            <w:vAlign w:val="center"/>
          </w:tcPr>
          <w:p w14:paraId="7B63074B">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配送能力</w:t>
            </w:r>
          </w:p>
        </w:tc>
        <w:tc>
          <w:tcPr>
            <w:tcW w:w="225" w:type="pct"/>
            <w:tcBorders>
              <w:top w:val="single" w:color="auto" w:sz="4" w:space="0"/>
              <w:left w:val="single" w:color="auto" w:sz="4" w:space="0"/>
              <w:right w:val="single" w:color="auto" w:sz="4" w:space="0"/>
            </w:tcBorders>
            <w:vAlign w:val="center"/>
          </w:tcPr>
          <w:p w14:paraId="5781C7E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配送车辆</w:t>
            </w:r>
          </w:p>
        </w:tc>
        <w:tc>
          <w:tcPr>
            <w:tcW w:w="323" w:type="pct"/>
            <w:tcBorders>
              <w:top w:val="single" w:color="auto" w:sz="4" w:space="0"/>
              <w:left w:val="single" w:color="auto" w:sz="4" w:space="0"/>
              <w:bottom w:val="single" w:color="auto" w:sz="4" w:space="0"/>
              <w:right w:val="single" w:color="auto" w:sz="4" w:space="0"/>
            </w:tcBorders>
            <w:vAlign w:val="center"/>
          </w:tcPr>
          <w:p w14:paraId="5FE42FCD">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0-8</w:t>
            </w:r>
          </w:p>
        </w:tc>
        <w:tc>
          <w:tcPr>
            <w:tcW w:w="3249" w:type="pct"/>
            <w:tcBorders>
              <w:top w:val="single" w:color="auto" w:sz="4" w:space="0"/>
              <w:left w:val="single" w:color="auto" w:sz="4" w:space="0"/>
              <w:bottom w:val="single" w:color="auto" w:sz="4" w:space="0"/>
              <w:right w:val="single" w:color="auto" w:sz="4" w:space="0"/>
            </w:tcBorders>
            <w:vAlign w:val="center"/>
          </w:tcPr>
          <w:p w14:paraId="0A729B66">
            <w:pPr>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具备配送冷藏车一辆的得1分，本小项最多4分。</w:t>
            </w:r>
          </w:p>
          <w:p w14:paraId="40187D6B">
            <w:pPr>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具备配送厢式货车一辆的得1分，本小项最多4分。</w:t>
            </w:r>
          </w:p>
          <w:p w14:paraId="21BA0974">
            <w:pPr>
              <w:snapToGrid w:val="0"/>
              <w:spacing w:line="460" w:lineRule="exact"/>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val="en-US" w:eastAsia="zh-CN"/>
              </w:rPr>
              <w:t>同一</w:t>
            </w:r>
            <w:r>
              <w:rPr>
                <w:rFonts w:hint="eastAsia" w:ascii="宋体" w:hAnsi="宋体" w:eastAsia="宋体" w:cs="宋体"/>
                <w:b/>
                <w:bCs/>
                <w:color w:val="auto"/>
                <w:sz w:val="22"/>
                <w:szCs w:val="22"/>
                <w:highlight w:val="none"/>
              </w:rPr>
              <w:t>辆车</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冷藏车</w:t>
            </w:r>
            <w:r>
              <w:rPr>
                <w:rFonts w:hint="eastAsia" w:ascii="宋体" w:hAnsi="宋体" w:eastAsia="宋体" w:cs="宋体"/>
                <w:b/>
                <w:bCs/>
                <w:color w:val="auto"/>
                <w:sz w:val="22"/>
                <w:szCs w:val="22"/>
                <w:highlight w:val="none"/>
                <w:lang w:eastAsia="zh-CN"/>
              </w:rPr>
              <w:t>或</w:t>
            </w:r>
            <w:r>
              <w:rPr>
                <w:rFonts w:hint="eastAsia" w:ascii="宋体" w:hAnsi="宋体" w:eastAsia="宋体" w:cs="宋体"/>
                <w:b/>
                <w:bCs/>
                <w:color w:val="auto"/>
                <w:sz w:val="22"/>
                <w:szCs w:val="22"/>
                <w:highlight w:val="none"/>
              </w:rPr>
              <w:t>厢式货车</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只能得</w:t>
            </w:r>
            <w:r>
              <w:rPr>
                <w:rFonts w:hint="eastAsia" w:ascii="宋体" w:hAnsi="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分，</w:t>
            </w:r>
            <w:r>
              <w:rPr>
                <w:rFonts w:hint="eastAsia" w:ascii="宋体" w:hAnsi="宋体" w:eastAsia="宋体" w:cs="宋体"/>
                <w:b/>
                <w:bCs/>
                <w:color w:val="auto"/>
                <w:sz w:val="22"/>
                <w:szCs w:val="22"/>
                <w:highlight w:val="none"/>
              </w:rPr>
              <w:t>需提供该</w:t>
            </w:r>
            <w:r>
              <w:rPr>
                <w:rFonts w:hint="eastAsia" w:ascii="宋体" w:hAnsi="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所具备的配送车辆的相关证明材料（自有车辆行驶证或投标截止日前的有效车辆租赁协议及其车辆行驶证），并加盖公章，冷藏车认定以车辆照片的制冷机组为准，车辆正面照片，显示车牌</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否则不得分。</w:t>
            </w:r>
          </w:p>
        </w:tc>
        <w:tc>
          <w:tcPr>
            <w:tcW w:w="524" w:type="pct"/>
            <w:tcBorders>
              <w:top w:val="single" w:color="auto" w:sz="4" w:space="0"/>
              <w:left w:val="single" w:color="auto" w:sz="4" w:space="0"/>
              <w:bottom w:val="single" w:color="auto" w:sz="4" w:space="0"/>
              <w:right w:val="single" w:color="auto" w:sz="4" w:space="0"/>
            </w:tcBorders>
            <w:vAlign w:val="center"/>
          </w:tcPr>
          <w:p w14:paraId="5C83FBA3">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18EF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vMerge w:val="continue"/>
            <w:tcBorders>
              <w:left w:val="single" w:color="auto" w:sz="4" w:space="0"/>
              <w:right w:val="single" w:color="auto" w:sz="4" w:space="0"/>
            </w:tcBorders>
            <w:vAlign w:val="center"/>
          </w:tcPr>
          <w:p w14:paraId="65605985">
            <w:pPr>
              <w:snapToGrid w:val="0"/>
              <w:spacing w:line="460" w:lineRule="exact"/>
              <w:ind w:firstLine="220" w:firstLineChars="100"/>
              <w:jc w:val="center"/>
              <w:rPr>
                <w:rFonts w:hint="eastAsia" w:ascii="宋体" w:hAnsi="宋体" w:eastAsia="宋体" w:cs="宋体"/>
                <w:color w:val="auto"/>
                <w:sz w:val="22"/>
                <w:szCs w:val="22"/>
                <w:highlight w:val="none"/>
              </w:rPr>
            </w:pPr>
          </w:p>
        </w:tc>
        <w:tc>
          <w:tcPr>
            <w:tcW w:w="391" w:type="pct"/>
            <w:vMerge w:val="continue"/>
            <w:tcBorders>
              <w:left w:val="single" w:color="auto" w:sz="4" w:space="0"/>
              <w:right w:val="single" w:color="auto" w:sz="4" w:space="0"/>
            </w:tcBorders>
            <w:vAlign w:val="center"/>
          </w:tcPr>
          <w:p w14:paraId="52A386D0">
            <w:pPr>
              <w:snapToGrid w:val="0"/>
              <w:spacing w:line="460" w:lineRule="exact"/>
              <w:jc w:val="center"/>
              <w:rPr>
                <w:rFonts w:hint="eastAsia" w:ascii="宋体" w:hAnsi="宋体" w:eastAsia="宋体" w:cs="宋体"/>
                <w:color w:val="auto"/>
                <w:sz w:val="22"/>
                <w:szCs w:val="22"/>
                <w:highlight w:val="none"/>
              </w:rPr>
            </w:pPr>
          </w:p>
        </w:tc>
        <w:tc>
          <w:tcPr>
            <w:tcW w:w="225" w:type="pct"/>
            <w:tcBorders>
              <w:top w:val="single" w:color="auto" w:sz="4" w:space="0"/>
              <w:left w:val="single" w:color="auto" w:sz="4" w:space="0"/>
              <w:right w:val="single" w:color="auto" w:sz="4" w:space="0"/>
            </w:tcBorders>
            <w:vAlign w:val="center"/>
          </w:tcPr>
          <w:p w14:paraId="14C0113A">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驾驶员</w:t>
            </w:r>
          </w:p>
        </w:tc>
        <w:tc>
          <w:tcPr>
            <w:tcW w:w="323" w:type="pct"/>
            <w:tcBorders>
              <w:top w:val="single" w:color="auto" w:sz="4" w:space="0"/>
              <w:left w:val="single" w:color="auto" w:sz="4" w:space="0"/>
              <w:bottom w:val="single" w:color="auto" w:sz="4" w:space="0"/>
              <w:right w:val="single" w:color="auto" w:sz="4" w:space="0"/>
            </w:tcBorders>
            <w:vAlign w:val="center"/>
          </w:tcPr>
          <w:p w14:paraId="02DBBE6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0-3</w:t>
            </w:r>
          </w:p>
        </w:tc>
        <w:tc>
          <w:tcPr>
            <w:tcW w:w="3249" w:type="pct"/>
            <w:tcBorders>
              <w:top w:val="single" w:color="auto" w:sz="4" w:space="0"/>
              <w:left w:val="single" w:color="auto" w:sz="4" w:space="0"/>
              <w:bottom w:val="single" w:color="auto" w:sz="4" w:space="0"/>
              <w:right w:val="single" w:color="auto" w:sz="4" w:space="0"/>
            </w:tcBorders>
            <w:vAlign w:val="center"/>
          </w:tcPr>
          <w:p w14:paraId="7F1BC01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为本项目投入的驾驶员数量，驾龄情况进行打分</w:t>
            </w:r>
          </w:p>
          <w:p w14:paraId="1615C537">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)驾驶员数量充足、经验丰富的得3分；</w:t>
            </w:r>
          </w:p>
          <w:p w14:paraId="4BC77A22">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(2)驾驶员数量较充足、经验较丰富的得2分；</w:t>
            </w:r>
          </w:p>
          <w:p w14:paraId="1AFFB65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(3)驾驶员数量一般、经验一般的得1分；</w:t>
            </w:r>
          </w:p>
          <w:p w14:paraId="3879D20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(4)驾驶员满足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需求的或不提供的得0分。</w:t>
            </w:r>
          </w:p>
          <w:p w14:paraId="7BCA8324">
            <w:pPr>
              <w:pStyle w:val="9"/>
              <w:snapToGrid w:val="0"/>
              <w:spacing w:line="460" w:lineRule="exact"/>
              <w:ind w:firstLine="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rPr>
              <w:t>注：</w:t>
            </w:r>
            <w:r>
              <w:rPr>
                <w:rFonts w:hint="eastAsia" w:ascii="宋体" w:hAnsi="宋体" w:eastAsia="宋体" w:cs="宋体"/>
                <w:color w:val="auto"/>
                <w:sz w:val="22"/>
                <w:szCs w:val="22"/>
                <w:highlight w:val="none"/>
              </w:rPr>
              <w:t>提供驾驶证、劳动合同复印件加盖公章，否则不得分</w:t>
            </w:r>
            <w:r>
              <w:rPr>
                <w:rFonts w:hint="eastAsia" w:ascii="宋体" w:hAnsi="宋体" w:cs="宋体"/>
                <w:color w:val="auto"/>
                <w:sz w:val="22"/>
                <w:szCs w:val="22"/>
                <w:highlight w:val="none"/>
                <w:lang w:eastAsia="zh-CN"/>
              </w:rPr>
              <w:t>。</w:t>
            </w:r>
          </w:p>
        </w:tc>
        <w:tc>
          <w:tcPr>
            <w:tcW w:w="524" w:type="pct"/>
            <w:tcBorders>
              <w:top w:val="single" w:color="auto" w:sz="4" w:space="0"/>
              <w:left w:val="single" w:color="auto" w:sz="4" w:space="0"/>
              <w:bottom w:val="single" w:color="auto" w:sz="4" w:space="0"/>
              <w:right w:val="single" w:color="auto" w:sz="4" w:space="0"/>
            </w:tcBorders>
            <w:vAlign w:val="center"/>
          </w:tcPr>
          <w:p w14:paraId="7909764F">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4482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0371FECF">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8</w:t>
            </w:r>
          </w:p>
        </w:tc>
        <w:tc>
          <w:tcPr>
            <w:tcW w:w="391" w:type="pct"/>
            <w:tcBorders>
              <w:left w:val="single" w:color="auto" w:sz="4" w:space="0"/>
              <w:right w:val="single" w:color="auto" w:sz="4" w:space="0"/>
            </w:tcBorders>
            <w:vAlign w:val="center"/>
          </w:tcPr>
          <w:p w14:paraId="0963E4F9">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食品检测设备</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5FC9AA79">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6</w:t>
            </w:r>
          </w:p>
        </w:tc>
        <w:tc>
          <w:tcPr>
            <w:tcW w:w="3249" w:type="pct"/>
            <w:tcBorders>
              <w:top w:val="single" w:color="auto" w:sz="4" w:space="0"/>
              <w:left w:val="single" w:color="auto" w:sz="4" w:space="0"/>
              <w:bottom w:val="single" w:color="auto" w:sz="4" w:space="0"/>
              <w:right w:val="single" w:color="auto" w:sz="4" w:space="0"/>
            </w:tcBorders>
            <w:vAlign w:val="center"/>
          </w:tcPr>
          <w:p w14:paraId="30A38DCB">
            <w:pPr>
              <w:pStyle w:val="215"/>
              <w:snapToGrid w:val="0"/>
              <w:spacing w:before="22" w:line="460" w:lineRule="exact"/>
              <w:ind w:left="0" w:right="41"/>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投标人</w:t>
            </w:r>
            <w:r>
              <w:rPr>
                <w:rFonts w:hint="eastAsia" w:ascii="宋体" w:hAnsi="宋体" w:eastAsia="宋体" w:cs="宋体"/>
                <w:color w:val="auto"/>
                <w:sz w:val="22"/>
                <w:szCs w:val="22"/>
                <w:highlight w:val="none"/>
              </w:rPr>
              <w:t>具有食品多功能检测仪、农药残留速测仪、兽药残留检测仪、微生物检测仪、瘦肉精检测仪</w:t>
            </w:r>
            <w:r>
              <w:rPr>
                <w:rFonts w:hint="eastAsia" w:cs="宋体"/>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食品重金属检测仪</w:t>
            </w:r>
            <w:r>
              <w:rPr>
                <w:rFonts w:hint="eastAsia" w:ascii="宋体" w:hAnsi="宋体" w:eastAsia="宋体" w:cs="宋体"/>
                <w:color w:val="auto"/>
                <w:sz w:val="22"/>
                <w:szCs w:val="22"/>
                <w:highlight w:val="none"/>
              </w:rPr>
              <w:t>，每个得 1 分，最高得</w:t>
            </w:r>
            <w:r>
              <w:rPr>
                <w:rFonts w:hint="eastAsia"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271FD064">
            <w:pPr>
              <w:pStyle w:val="215"/>
              <w:snapToGrid w:val="0"/>
              <w:spacing w:before="22" w:line="460" w:lineRule="exact"/>
              <w:ind w:left="0" w:right="4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注：设备照片、设备发票或设备使用权证明加盖公章</w:t>
            </w:r>
            <w:r>
              <w:rPr>
                <w:rFonts w:hint="eastAsia" w:cs="宋体"/>
                <w:color w:val="auto"/>
                <w:sz w:val="22"/>
                <w:szCs w:val="22"/>
                <w:highlight w:val="none"/>
                <w:lang w:eastAsia="zh-CN"/>
              </w:rPr>
              <w:t>。</w:t>
            </w:r>
          </w:p>
        </w:tc>
        <w:tc>
          <w:tcPr>
            <w:tcW w:w="524" w:type="pct"/>
            <w:tcBorders>
              <w:top w:val="single" w:color="auto" w:sz="4" w:space="0"/>
              <w:left w:val="single" w:color="auto" w:sz="4" w:space="0"/>
              <w:bottom w:val="single" w:color="auto" w:sz="4" w:space="0"/>
              <w:right w:val="single" w:color="auto" w:sz="4" w:space="0"/>
            </w:tcBorders>
            <w:vAlign w:val="center"/>
          </w:tcPr>
          <w:p w14:paraId="489CC76D">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14:paraId="1386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211AB32C">
            <w:pPr>
              <w:snapToGrid w:val="0"/>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391" w:type="pct"/>
            <w:tcBorders>
              <w:left w:val="single" w:color="auto" w:sz="4" w:space="0"/>
              <w:right w:val="single" w:color="auto" w:sz="4" w:space="0"/>
            </w:tcBorders>
            <w:vAlign w:val="center"/>
          </w:tcPr>
          <w:p w14:paraId="20FA3296">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项目组成员</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405351D7">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7</w:t>
            </w:r>
          </w:p>
        </w:tc>
        <w:tc>
          <w:tcPr>
            <w:tcW w:w="3249" w:type="pct"/>
            <w:tcBorders>
              <w:top w:val="single" w:color="auto" w:sz="4" w:space="0"/>
              <w:left w:val="single" w:color="auto" w:sz="4" w:space="0"/>
              <w:bottom w:val="single" w:color="auto" w:sz="4" w:space="0"/>
              <w:right w:val="single" w:color="auto" w:sz="4" w:space="0"/>
            </w:tcBorders>
            <w:vAlign w:val="center"/>
          </w:tcPr>
          <w:p w14:paraId="49840361">
            <w:pPr>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的拟投入</w:t>
            </w:r>
            <w:r>
              <w:rPr>
                <w:rFonts w:hint="eastAsia" w:ascii="宋体" w:hAnsi="宋体" w:cs="宋体"/>
                <w:color w:val="auto"/>
                <w:sz w:val="22"/>
                <w:szCs w:val="22"/>
                <w:highlight w:val="none"/>
              </w:rPr>
              <w:t>员工数量、经验、能力等</w:t>
            </w:r>
            <w:r>
              <w:rPr>
                <w:rFonts w:hint="eastAsia" w:ascii="宋体" w:hAnsi="宋体" w:eastAsia="宋体" w:cs="宋体"/>
                <w:color w:val="auto"/>
                <w:sz w:val="22"/>
                <w:szCs w:val="22"/>
                <w:highlight w:val="none"/>
              </w:rPr>
              <w:t>情况进行打分。</w:t>
            </w:r>
          </w:p>
          <w:p w14:paraId="02881A41">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(1)人员数量充足、经验丰富、能力强的得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7CA0C6FD">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(2)人员数量较充足、经验较丰富、能力较强的得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776ADA4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(3)人员数量一般、经验一般、能力一般的得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667D5227">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(4)不能满足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需求的或不提供得0分。</w:t>
            </w:r>
          </w:p>
          <w:p w14:paraId="02B4B2BA">
            <w:pPr>
              <w:snapToGrid w:val="0"/>
              <w:spacing w:line="460" w:lineRule="exact"/>
              <w:rPr>
                <w:rFonts w:hint="eastAsia" w:ascii="宋体" w:hAnsi="宋体" w:eastAsia="宋体" w:cs="宋体"/>
                <w:color w:val="auto"/>
                <w:sz w:val="22"/>
                <w:szCs w:val="22"/>
                <w:highlight w:val="none"/>
              </w:rPr>
            </w:pPr>
            <w:bookmarkStart w:id="62" w:name="_Toc20392"/>
            <w:bookmarkStart w:id="63" w:name="_Toc25512"/>
            <w:r>
              <w:rPr>
                <w:rFonts w:hint="eastAsia" w:ascii="宋体" w:hAnsi="宋体" w:eastAsia="宋体" w:cs="宋体"/>
                <w:color w:val="auto"/>
                <w:sz w:val="22"/>
                <w:szCs w:val="22"/>
                <w:highlight w:val="none"/>
              </w:rPr>
              <w:t>注：需提供人员健康证和近三个月的社保证明，否则不得分。</w:t>
            </w:r>
            <w:bookmarkEnd w:id="62"/>
            <w:bookmarkEnd w:id="63"/>
          </w:p>
          <w:p w14:paraId="4D5BF674">
            <w:pPr>
              <w:snapToGrid w:val="0"/>
              <w:spacing w:line="460" w:lineRule="exac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的拟投入</w:t>
            </w:r>
            <w:r>
              <w:rPr>
                <w:rFonts w:hint="eastAsia" w:ascii="宋体" w:hAnsi="宋体" w:eastAsia="宋体" w:cs="宋体"/>
                <w:color w:val="auto"/>
                <w:sz w:val="22"/>
                <w:szCs w:val="22"/>
                <w:highlight w:val="none"/>
                <w:lang w:eastAsia="zh-CN"/>
              </w:rPr>
              <w:t>询价组</w:t>
            </w:r>
            <w:r>
              <w:rPr>
                <w:rFonts w:hint="eastAsia" w:ascii="宋体" w:hAnsi="宋体" w:eastAsia="宋体" w:cs="宋体"/>
                <w:color w:val="auto"/>
                <w:sz w:val="22"/>
                <w:szCs w:val="22"/>
                <w:highlight w:val="none"/>
              </w:rPr>
              <w:t>员工数量、投入</w:t>
            </w:r>
            <w:r>
              <w:rPr>
                <w:rFonts w:hint="eastAsia" w:ascii="宋体" w:hAnsi="宋体" w:eastAsia="宋体" w:cs="宋体"/>
                <w:color w:val="auto"/>
                <w:sz w:val="22"/>
                <w:szCs w:val="22"/>
                <w:highlight w:val="none"/>
                <w:lang w:val="en-US" w:eastAsia="zh-CN"/>
              </w:rPr>
              <w:t>的设备、</w:t>
            </w:r>
            <w:r>
              <w:rPr>
                <w:rFonts w:hint="eastAsia" w:ascii="宋体" w:hAnsi="宋体" w:cs="宋体"/>
                <w:color w:val="auto"/>
                <w:sz w:val="22"/>
                <w:szCs w:val="22"/>
                <w:highlight w:val="none"/>
              </w:rPr>
              <w:t>经验、能力等</w:t>
            </w:r>
            <w:r>
              <w:rPr>
                <w:rFonts w:hint="eastAsia" w:ascii="宋体" w:hAnsi="宋体" w:eastAsia="宋体" w:cs="宋体"/>
                <w:color w:val="auto"/>
                <w:sz w:val="22"/>
                <w:szCs w:val="22"/>
                <w:highlight w:val="none"/>
              </w:rPr>
              <w:t>情况进行打分</w:t>
            </w:r>
            <w:r>
              <w:rPr>
                <w:rFonts w:hint="eastAsia" w:ascii="宋体" w:hAnsi="宋体" w:eastAsia="宋体" w:cs="宋体"/>
                <w:color w:val="auto"/>
                <w:sz w:val="22"/>
                <w:szCs w:val="22"/>
                <w:highlight w:val="none"/>
                <w:lang w:val="en-US" w:eastAsia="zh-CN"/>
              </w:rPr>
              <w:t>。</w:t>
            </w:r>
          </w:p>
          <w:p w14:paraId="4A27BB1B">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(1)投入</w:t>
            </w:r>
            <w:r>
              <w:rPr>
                <w:rFonts w:hint="eastAsia" w:ascii="宋体" w:hAnsi="宋体" w:eastAsia="宋体" w:cs="宋体"/>
                <w:color w:val="auto"/>
                <w:sz w:val="22"/>
                <w:szCs w:val="22"/>
                <w:highlight w:val="none"/>
                <w:lang w:val="en-US" w:eastAsia="zh-CN"/>
              </w:rPr>
              <w:t>的设备、</w:t>
            </w:r>
            <w:r>
              <w:rPr>
                <w:rFonts w:hint="eastAsia" w:ascii="宋体" w:hAnsi="宋体" w:eastAsia="宋体" w:cs="宋体"/>
                <w:color w:val="auto"/>
                <w:sz w:val="22"/>
                <w:szCs w:val="22"/>
                <w:highlight w:val="none"/>
              </w:rPr>
              <w:t>人员数量充足、经验丰富、能力强的得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10DE3B33">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(2)投入</w:t>
            </w:r>
            <w:r>
              <w:rPr>
                <w:rFonts w:hint="eastAsia" w:ascii="宋体" w:hAnsi="宋体" w:eastAsia="宋体" w:cs="宋体"/>
                <w:color w:val="auto"/>
                <w:sz w:val="22"/>
                <w:szCs w:val="22"/>
                <w:highlight w:val="none"/>
                <w:lang w:val="en-US" w:eastAsia="zh-CN"/>
              </w:rPr>
              <w:t>的设备、</w:t>
            </w:r>
            <w:r>
              <w:rPr>
                <w:rFonts w:hint="eastAsia" w:ascii="宋体" w:hAnsi="宋体" w:eastAsia="宋体" w:cs="宋体"/>
                <w:color w:val="auto"/>
                <w:sz w:val="22"/>
                <w:szCs w:val="22"/>
                <w:highlight w:val="none"/>
              </w:rPr>
              <w:t>人员数量一般、经验一般、能力一般的得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7081FE4B">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)不能满足</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需求的或不提供得0分。</w:t>
            </w:r>
          </w:p>
          <w:p w14:paraId="396E99F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注：需提供人员健康证和近三个月的社保证明，否则不得分。</w:t>
            </w:r>
          </w:p>
        </w:tc>
        <w:tc>
          <w:tcPr>
            <w:tcW w:w="524" w:type="pct"/>
            <w:tcBorders>
              <w:top w:val="single" w:color="auto" w:sz="4" w:space="0"/>
              <w:left w:val="single" w:color="auto" w:sz="4" w:space="0"/>
              <w:bottom w:val="single" w:color="auto" w:sz="4" w:space="0"/>
              <w:right w:val="single" w:color="auto" w:sz="4" w:space="0"/>
            </w:tcBorders>
            <w:vAlign w:val="center"/>
          </w:tcPr>
          <w:p w14:paraId="7B9C456E">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2FDC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671FD0F7">
            <w:pPr>
              <w:snapToGrid w:val="0"/>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391" w:type="pct"/>
            <w:tcBorders>
              <w:left w:val="single" w:color="auto" w:sz="4" w:space="0"/>
              <w:right w:val="single" w:color="auto" w:sz="4" w:space="0"/>
            </w:tcBorders>
            <w:vAlign w:val="center"/>
          </w:tcPr>
          <w:p w14:paraId="18F1AB50">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管理的规范性</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2CDD1B97">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4</w:t>
            </w:r>
          </w:p>
        </w:tc>
        <w:tc>
          <w:tcPr>
            <w:tcW w:w="3249" w:type="pct"/>
            <w:tcBorders>
              <w:top w:val="single" w:color="auto" w:sz="4" w:space="0"/>
              <w:left w:val="single" w:color="auto" w:sz="4" w:space="0"/>
              <w:bottom w:val="single" w:color="auto" w:sz="4" w:space="0"/>
              <w:right w:val="single" w:color="auto" w:sz="4" w:space="0"/>
            </w:tcBorders>
            <w:vAlign w:val="center"/>
          </w:tcPr>
          <w:p w14:paraId="78CC6279">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组织制度健全、岗位职责、质量考核办法三项内容进行打分。</w:t>
            </w:r>
          </w:p>
          <w:p w14:paraId="0A8D7E89">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(1)组织制度健全、岗位职责全面、质量考核办法严谨规范的得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2C091E44">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(2)组织制度较健全、岗位职责较全面、质量考核办法较严谨规范的得</w:t>
            </w:r>
            <w:r>
              <w:rPr>
                <w:rFonts w:hint="eastAsia" w:ascii="宋体" w:hAnsi="宋体" w:cs="宋体"/>
                <w:color w:val="auto"/>
                <w:sz w:val="22"/>
                <w:szCs w:val="22"/>
                <w:highlight w:val="none"/>
                <w:lang w:val="en-US" w:eastAsia="zh-CN"/>
              </w:rPr>
              <w:t>2.5</w:t>
            </w:r>
            <w:r>
              <w:rPr>
                <w:rFonts w:hint="eastAsia" w:ascii="宋体" w:hAnsi="宋体" w:eastAsia="宋体" w:cs="宋体"/>
                <w:color w:val="auto"/>
                <w:sz w:val="22"/>
                <w:szCs w:val="22"/>
                <w:highlight w:val="none"/>
              </w:rPr>
              <w:t>分；</w:t>
            </w:r>
          </w:p>
          <w:p w14:paraId="13B55DA7">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(3)组织制度不健全、岗位职责松散、质量考核办法不严谨不规范的得1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66A312D7">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(4)不提供的得0分。</w:t>
            </w:r>
          </w:p>
        </w:tc>
        <w:tc>
          <w:tcPr>
            <w:tcW w:w="524" w:type="pct"/>
            <w:tcBorders>
              <w:top w:val="single" w:color="auto" w:sz="4" w:space="0"/>
              <w:left w:val="single" w:color="auto" w:sz="4" w:space="0"/>
              <w:bottom w:val="single" w:color="auto" w:sz="4" w:space="0"/>
              <w:right w:val="single" w:color="auto" w:sz="4" w:space="0"/>
            </w:tcBorders>
            <w:vAlign w:val="center"/>
          </w:tcPr>
          <w:p w14:paraId="667E2367">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14:paraId="5EAA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86" w:type="pct"/>
            <w:tcBorders>
              <w:left w:val="single" w:color="auto" w:sz="4" w:space="0"/>
              <w:right w:val="single" w:color="auto" w:sz="4" w:space="0"/>
            </w:tcBorders>
            <w:vAlign w:val="center"/>
          </w:tcPr>
          <w:p w14:paraId="1690E09B">
            <w:pPr>
              <w:snapToGrid w:val="0"/>
              <w:spacing w:line="46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391" w:type="pct"/>
            <w:tcBorders>
              <w:left w:val="single" w:color="auto" w:sz="4" w:space="0"/>
              <w:right w:val="single" w:color="auto" w:sz="4" w:space="0"/>
            </w:tcBorders>
            <w:vAlign w:val="center"/>
          </w:tcPr>
          <w:p w14:paraId="11785CD6">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突发事件应急预案</w:t>
            </w:r>
          </w:p>
        </w:tc>
        <w:tc>
          <w:tcPr>
            <w:tcW w:w="548" w:type="pct"/>
            <w:gridSpan w:val="2"/>
            <w:tcBorders>
              <w:top w:val="single" w:color="auto" w:sz="4" w:space="0"/>
              <w:left w:val="single" w:color="auto" w:sz="4" w:space="0"/>
              <w:bottom w:val="single" w:color="auto" w:sz="4" w:space="0"/>
              <w:right w:val="single" w:color="auto" w:sz="4" w:space="0"/>
            </w:tcBorders>
            <w:vAlign w:val="center"/>
          </w:tcPr>
          <w:p w14:paraId="0E858E0B">
            <w:pPr>
              <w:snapToGrid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p>
        </w:tc>
        <w:tc>
          <w:tcPr>
            <w:tcW w:w="3249" w:type="pct"/>
            <w:tcBorders>
              <w:top w:val="single" w:color="auto" w:sz="4" w:space="0"/>
              <w:left w:val="single" w:color="auto" w:sz="4" w:space="0"/>
              <w:bottom w:val="single" w:color="auto" w:sz="4" w:space="0"/>
              <w:right w:val="single" w:color="auto" w:sz="4" w:space="0"/>
            </w:tcBorders>
            <w:vAlign w:val="center"/>
          </w:tcPr>
          <w:p w14:paraId="0D7A7384">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针对突发事件应急预案进行打分。</w:t>
            </w:r>
          </w:p>
          <w:p w14:paraId="5B5AA096">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（1）方案能贴合</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需求，合理可行、针对性强的得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6BA1402F">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（2）能比较贴合</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需求，较合理可行、针对性较强的得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15EC17E4">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（3）能基本贴合</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需求，合理性、可行性、针对性一般的得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5CE6F1AE">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（4）不提供的0分。</w:t>
            </w:r>
          </w:p>
        </w:tc>
        <w:tc>
          <w:tcPr>
            <w:tcW w:w="524" w:type="pct"/>
            <w:tcBorders>
              <w:top w:val="single" w:color="auto" w:sz="4" w:space="0"/>
              <w:left w:val="single" w:color="auto" w:sz="4" w:space="0"/>
              <w:bottom w:val="single" w:color="auto" w:sz="4" w:space="0"/>
              <w:right w:val="single" w:color="auto" w:sz="4" w:space="0"/>
            </w:tcBorders>
            <w:vAlign w:val="center"/>
          </w:tcPr>
          <w:p w14:paraId="7BC61434">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bookmarkEnd w:id="66"/>
    </w:tbl>
    <w:p w14:paraId="356ED1DE">
      <w:pPr>
        <w:snapToGrid w:val="0"/>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b/>
          <w:color w:val="auto"/>
          <w:sz w:val="22"/>
          <w:szCs w:val="22"/>
          <w:highlight w:val="none"/>
        </w:rPr>
        <w:t>商务（报价）标（10分）：</w:t>
      </w:r>
    </w:p>
    <w:p w14:paraId="25C64519">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满足招标文件要求且投标报价（折扣）最低的</w:t>
      </w:r>
      <w:r>
        <w:rPr>
          <w:rFonts w:hint="eastAsia" w:ascii="宋体" w:hAnsi="宋体" w:eastAsia="宋体" w:cs="宋体"/>
          <w:b/>
          <w:bCs/>
          <w:color w:val="auto"/>
          <w:sz w:val="22"/>
          <w:szCs w:val="22"/>
          <w:highlight w:val="none"/>
          <w:u w:val="single"/>
        </w:rPr>
        <w:t>投标报价</w:t>
      </w:r>
      <w:r>
        <w:rPr>
          <w:rFonts w:hint="eastAsia" w:ascii="宋体" w:hAnsi="宋体" w:eastAsia="宋体" w:cs="宋体"/>
          <w:color w:val="auto"/>
          <w:sz w:val="22"/>
          <w:szCs w:val="22"/>
          <w:highlight w:val="none"/>
        </w:rPr>
        <w:t>为</w:t>
      </w:r>
      <w:r>
        <w:rPr>
          <w:rFonts w:hint="eastAsia" w:ascii="宋体" w:hAnsi="宋体" w:eastAsia="宋体" w:cs="宋体"/>
          <w:b/>
          <w:bCs/>
          <w:color w:val="auto"/>
          <w:sz w:val="22"/>
          <w:szCs w:val="22"/>
          <w:highlight w:val="none"/>
          <w:u w:val="single"/>
        </w:rPr>
        <w:t>评标基准价</w:t>
      </w:r>
      <w:r>
        <w:rPr>
          <w:rFonts w:hint="eastAsia" w:ascii="宋体" w:hAnsi="宋体" w:eastAsia="宋体" w:cs="宋体"/>
          <w:color w:val="auto"/>
          <w:sz w:val="22"/>
          <w:szCs w:val="22"/>
          <w:highlight w:val="none"/>
        </w:rPr>
        <w:t>，其余投标人投标报价（折扣）与该基准价对比，计算出报价评分值（保留小数点后2位）：</w:t>
      </w:r>
    </w:p>
    <w:p w14:paraId="71CA6539">
      <w:pPr>
        <w:widowControl/>
        <w:snapToGrid w:val="0"/>
        <w:spacing w:line="460" w:lineRule="exact"/>
        <w:ind w:firstLine="440" w:firstLineChars="20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投标报价得分=（</w:t>
      </w:r>
      <w:r>
        <w:rPr>
          <w:rFonts w:hint="eastAsia" w:ascii="宋体" w:hAnsi="宋体" w:eastAsia="宋体" w:cs="宋体"/>
          <w:b/>
          <w:color w:val="auto"/>
          <w:kern w:val="0"/>
          <w:sz w:val="22"/>
          <w:szCs w:val="22"/>
          <w:highlight w:val="none"/>
          <w:u w:val="thick"/>
        </w:rPr>
        <w:t>评标基准价</w:t>
      </w:r>
      <w:r>
        <w:rPr>
          <w:rFonts w:hint="eastAsia" w:ascii="宋体" w:hAnsi="宋体" w:eastAsia="宋体" w:cs="宋体"/>
          <w:color w:val="auto"/>
          <w:kern w:val="0"/>
          <w:sz w:val="22"/>
          <w:szCs w:val="22"/>
          <w:highlight w:val="none"/>
        </w:rPr>
        <w:t>/</w:t>
      </w:r>
      <w:r>
        <w:rPr>
          <w:rFonts w:hint="eastAsia" w:ascii="宋体" w:hAnsi="宋体" w:eastAsia="宋体" w:cs="宋体"/>
          <w:b/>
          <w:color w:val="auto"/>
          <w:kern w:val="0"/>
          <w:sz w:val="22"/>
          <w:szCs w:val="22"/>
          <w:highlight w:val="none"/>
          <w:u w:val="thick"/>
        </w:rPr>
        <w:t>投标报价</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10</w:t>
      </w:r>
    </w:p>
    <w:p w14:paraId="49A3017C">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14:paraId="160B48B1">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D133E4">
      <w:pPr>
        <w:snapToGrid w:val="0"/>
        <w:spacing w:line="460" w:lineRule="exact"/>
        <w:ind w:firstLine="442" w:firstLineChars="200"/>
        <w:outlineLvl w:val="1"/>
        <w:rPr>
          <w:rFonts w:hint="eastAsia" w:ascii="宋体" w:hAnsi="宋体" w:eastAsia="宋体" w:cs="宋体"/>
          <w:b/>
          <w:color w:val="auto"/>
          <w:sz w:val="22"/>
          <w:szCs w:val="22"/>
          <w:highlight w:val="none"/>
        </w:rPr>
      </w:pPr>
      <w:bookmarkStart w:id="64" w:name="_Toc14755"/>
      <w:r>
        <w:rPr>
          <w:rFonts w:hint="eastAsia" w:ascii="宋体" w:hAnsi="宋体" w:eastAsia="宋体" w:cs="宋体"/>
          <w:b/>
          <w:color w:val="auto"/>
          <w:sz w:val="22"/>
          <w:szCs w:val="22"/>
          <w:highlight w:val="none"/>
        </w:rPr>
        <w:t>六、定标办法</w:t>
      </w:r>
      <w:bookmarkEnd w:id="64"/>
    </w:p>
    <w:p w14:paraId="4671F87D">
      <w:pPr>
        <w:snapToGrid w:val="0"/>
        <w:spacing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14:paraId="52845265">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14:paraId="1FBB9998">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w:t>
      </w:r>
      <w:r>
        <w:rPr>
          <w:rFonts w:hint="eastAsia" w:ascii="宋体" w:hAnsi="宋体" w:eastAsia="宋体" w:cs="宋体"/>
          <w:color w:val="auto"/>
          <w:sz w:val="22"/>
          <w:szCs w:val="22"/>
          <w:highlight w:val="none"/>
          <w:lang w:val="en-US" w:eastAsia="zh-CN"/>
        </w:rPr>
        <w:t>并列</w:t>
      </w:r>
      <w:r>
        <w:rPr>
          <w:rFonts w:hint="eastAsia" w:ascii="宋体" w:hAnsi="宋体" w:eastAsia="宋体" w:cs="宋体"/>
          <w:color w:val="auto"/>
          <w:sz w:val="22"/>
          <w:szCs w:val="22"/>
          <w:highlight w:val="none"/>
        </w:rPr>
        <w:t>。）向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推荐。</w:t>
      </w:r>
    </w:p>
    <w:p w14:paraId="77CA21D4">
      <w:pPr>
        <w:snapToGrid w:val="0"/>
        <w:spacing w:line="46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2、确定中标人</w:t>
      </w:r>
    </w:p>
    <w:p w14:paraId="6ECDB846">
      <w:pPr>
        <w:snapToGrid w:val="0"/>
        <w:spacing w:line="46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w:t>
      </w:r>
      <w:r>
        <w:rPr>
          <w:rFonts w:hint="eastAsia" w:ascii="宋体" w:hAnsi="宋体" w:cs="宋体"/>
          <w:b/>
          <w:bCs/>
          <w:color w:val="auto"/>
          <w:sz w:val="22"/>
          <w:szCs w:val="22"/>
          <w:highlight w:val="none"/>
          <w:lang w:eastAsia="zh-CN"/>
        </w:rPr>
        <w:t>采购人</w:t>
      </w:r>
      <w:r>
        <w:rPr>
          <w:rFonts w:hint="eastAsia" w:ascii="宋体" w:hAnsi="宋体" w:eastAsia="宋体" w:cs="宋体"/>
          <w:b/>
          <w:bCs/>
          <w:color w:val="auto"/>
          <w:sz w:val="22"/>
          <w:szCs w:val="22"/>
          <w:highlight w:val="none"/>
        </w:rPr>
        <w:t>按照评标报告中推荐的中标候选</w:t>
      </w:r>
      <w:r>
        <w:rPr>
          <w:rFonts w:hint="eastAsia" w:ascii="宋体" w:hAnsi="宋体" w:cs="宋体"/>
          <w:b/>
          <w:bCs/>
          <w:color w:val="auto"/>
          <w:sz w:val="22"/>
          <w:szCs w:val="22"/>
          <w:highlight w:val="none"/>
          <w:lang w:eastAsia="zh-CN"/>
        </w:rPr>
        <w:t>投标人</w:t>
      </w:r>
      <w:r>
        <w:rPr>
          <w:rFonts w:hint="eastAsia" w:ascii="宋体" w:hAnsi="宋体" w:eastAsia="宋体" w:cs="宋体"/>
          <w:b/>
          <w:bCs/>
          <w:color w:val="auto"/>
          <w:sz w:val="22"/>
          <w:szCs w:val="22"/>
          <w:highlight w:val="none"/>
        </w:rPr>
        <w:t>顺序确定中标人；中标候选人并列的，采取随机抽取的方式确定。</w:t>
      </w:r>
    </w:p>
    <w:p w14:paraId="0434171B">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2.2如中标人放弃中标、或者招标文件规定应当提交履约保证金而在规定的期限内未能提交的；或未能在规定时间内与招标单位签订合同的；或者经质疑，</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审查后，确因排名第一的候选人在本次招标活动中存在违法违规行为或其他原因使质疑成立的，</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可以视情况直接确定排名第二的候选人为中标人或重新招标。</w:t>
      </w:r>
    </w:p>
    <w:p w14:paraId="57BE8B0C">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将在媒体公告中标结果，</w:t>
      </w:r>
      <w:r>
        <w:rPr>
          <w:rFonts w:hint="eastAsia" w:ascii="宋体" w:hAnsi="宋体" w:cs="宋体"/>
          <w:color w:val="auto"/>
          <w:sz w:val="22"/>
          <w:szCs w:val="22"/>
          <w:highlight w:val="none"/>
          <w:lang w:eastAsia="zh-CN"/>
        </w:rPr>
        <w:t>采购人</w:t>
      </w:r>
      <w:r>
        <w:rPr>
          <w:rFonts w:hint="eastAsia" w:ascii="宋体" w:hAnsi="宋体" w:eastAsia="宋体" w:cs="宋体"/>
          <w:color w:val="auto"/>
          <w:sz w:val="22"/>
          <w:szCs w:val="22"/>
          <w:highlight w:val="none"/>
        </w:rPr>
        <w:t>向中标人发出中标通知书。</w:t>
      </w:r>
    </w:p>
    <w:p w14:paraId="31E6500A">
      <w:pPr>
        <w:snapToGrid w:val="0"/>
        <w:spacing w:line="460" w:lineRule="exact"/>
        <w:ind w:firstLine="442" w:firstLineChars="200"/>
        <w:outlineLvl w:val="1"/>
        <w:rPr>
          <w:rFonts w:hint="eastAsia" w:ascii="宋体" w:hAnsi="宋体" w:eastAsia="宋体" w:cs="宋体"/>
          <w:b/>
          <w:color w:val="auto"/>
          <w:sz w:val="22"/>
          <w:szCs w:val="22"/>
          <w:highlight w:val="none"/>
        </w:rPr>
      </w:pPr>
      <w:bookmarkStart w:id="65" w:name="_Toc23307"/>
      <w:r>
        <w:rPr>
          <w:rFonts w:hint="eastAsia" w:ascii="宋体" w:hAnsi="宋体" w:eastAsia="宋体" w:cs="宋体"/>
          <w:b/>
          <w:color w:val="auto"/>
          <w:sz w:val="22"/>
          <w:szCs w:val="22"/>
          <w:highlight w:val="none"/>
        </w:rPr>
        <w:t>七、投标人义务</w:t>
      </w:r>
      <w:bookmarkEnd w:id="65"/>
    </w:p>
    <w:p w14:paraId="25617C14">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1、投标人应随时接受评标委员会的询标，解答包括有关的商务、技术问题等。评标结束，所有评标资料存招标机构备查。</w:t>
      </w:r>
    </w:p>
    <w:p w14:paraId="3F6F2772">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b/>
          <w:bCs/>
          <w:sz w:val="22"/>
          <w:szCs w:val="22"/>
        </w:rPr>
        <w:t>提供电子版备份一份</w:t>
      </w:r>
      <w:r>
        <w:rPr>
          <w:rFonts w:hint="eastAsia" w:ascii="宋体" w:hAnsi="宋体" w:cs="宋体"/>
          <w:sz w:val="22"/>
          <w:szCs w:val="22"/>
        </w:rPr>
        <w:t>，以PDF格式（投标文件正本扫描）存储于介质（U盘），不得带有密码，装入商务（报价）标密封袋，用于存档，不做为评审依据。存储介质（U盘）可予</w:t>
      </w:r>
      <w:r>
        <w:rPr>
          <w:rFonts w:hint="eastAsia" w:ascii="宋体" w:hAnsi="宋体" w:cs="宋体"/>
          <w:sz w:val="22"/>
          <w:szCs w:val="22"/>
          <w:lang w:eastAsia="zh-CN"/>
        </w:rPr>
        <w:t>采购代理机构</w:t>
      </w:r>
      <w:r>
        <w:rPr>
          <w:rFonts w:hint="eastAsia" w:ascii="宋体" w:hAnsi="宋体" w:cs="宋体"/>
          <w:sz w:val="22"/>
          <w:szCs w:val="22"/>
        </w:rPr>
        <w:t>提取电子版备份后取回</w:t>
      </w:r>
      <w:r>
        <w:rPr>
          <w:rFonts w:hint="eastAsia" w:ascii="宋体" w:hAnsi="宋体" w:eastAsia="宋体" w:cs="宋体"/>
          <w:color w:val="auto"/>
          <w:sz w:val="22"/>
          <w:szCs w:val="22"/>
          <w:highlight w:val="none"/>
        </w:rPr>
        <w:t>。</w:t>
      </w:r>
    </w:p>
    <w:p w14:paraId="4F9057F8">
      <w:pPr>
        <w:snapToGrid w:val="0"/>
        <w:spacing w:line="460" w:lineRule="exact"/>
        <w:rPr>
          <w:rFonts w:hint="eastAsia" w:ascii="宋体" w:hAnsi="宋体" w:eastAsia="宋体" w:cs="宋体"/>
          <w:color w:val="auto"/>
          <w:highlight w:val="none"/>
        </w:rPr>
      </w:pPr>
    </w:p>
    <w:p w14:paraId="3549DCAD">
      <w:pPr>
        <w:snapToGrid w:val="0"/>
        <w:spacing w:line="460" w:lineRule="exact"/>
        <w:rPr>
          <w:rFonts w:hint="eastAsia" w:ascii="宋体" w:hAnsi="宋体" w:eastAsia="宋体" w:cs="宋体"/>
          <w:color w:val="auto"/>
          <w:highlight w:val="none"/>
        </w:rPr>
      </w:pPr>
    </w:p>
    <w:sectPr>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ED9F">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F64FE">
    <w:pPr>
      <w:pStyle w:val="35"/>
      <w:framePr w:wrap="around" w:vAnchor="text" w:hAnchor="margin" w:xAlign="center" w:y="1"/>
      <w:rPr>
        <w:rStyle w:val="55"/>
      </w:rPr>
    </w:pPr>
    <w:r>
      <w:fldChar w:fldCharType="begin"/>
    </w:r>
    <w:r>
      <w:rPr>
        <w:rStyle w:val="55"/>
      </w:rPr>
      <w:instrText xml:space="preserve">PAGE  </w:instrText>
    </w:r>
    <w:r>
      <w:fldChar w:fldCharType="separate"/>
    </w:r>
    <w:r>
      <w:rPr>
        <w:rStyle w:val="55"/>
      </w:rPr>
      <w:t>52</w:t>
    </w:r>
    <w:r>
      <w:fldChar w:fldCharType="end"/>
    </w:r>
  </w:p>
  <w:p w14:paraId="08DE853F">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276E">
    <w:pPr>
      <w:pStyle w:val="35"/>
      <w:ind w:right="36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EF481">
    <w:pPr>
      <w:pStyle w:val="35"/>
      <w:ind w:right="360" w:firstLine="4500" w:firstLineChars="2500"/>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path/>
          <v:fill on="f" focussize="0,0"/>
          <v:stroke on="f" weight="1.25pt" joinstyle="miter"/>
          <v:imagedata o:title=""/>
          <o:lock v:ext="edit"/>
          <v:textbox inset="0mm,0mm,0mm,0mm" style="mso-fit-shape-to-text:t;">
            <w:txbxContent>
              <w:p w14:paraId="7A2C9D3F">
                <w:pPr>
                  <w:pStyle w:val="35"/>
                </w:pPr>
                <w:r>
                  <w:fldChar w:fldCharType="begin"/>
                </w:r>
                <w:r>
                  <w:instrText xml:space="preserve"> PAGE  \* MERGEFORMAT </w:instrText>
                </w:r>
                <w:r>
                  <w:fldChar w:fldCharType="separate"/>
                </w:r>
                <w:r>
                  <w:t>26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117A8">
    <w:pPr>
      <w:pStyle w:val="35"/>
      <w:ind w:right="360"/>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path/>
          <v:fill on="f" focussize="0,0"/>
          <v:stroke on="f" weight="1.25pt" joinstyle="miter"/>
          <v:imagedata o:title=""/>
          <o:lock v:ext="edit"/>
          <v:textbox inset="0mm,0mm,0mm,0mm" style="mso-fit-shape-to-text:t;">
            <w:txbxContent>
              <w:p w14:paraId="6F4032DE">
                <w:pPr>
                  <w:pStyle w:val="35"/>
                </w:pPr>
                <w:r>
                  <w:fldChar w:fldCharType="begin"/>
                </w:r>
                <w:r>
                  <w:instrText xml:space="preserve"> PAGE  \* MERGEFORMAT </w:instrText>
                </w:r>
                <w:r>
                  <w:fldChar w:fldCharType="separate"/>
                </w:r>
                <w:r>
                  <w:t>12</w:t>
                </w:r>
                <w:r>
                  <w:fldChar w:fldCharType="end"/>
                </w:r>
              </w:p>
            </w:txbxContent>
          </v:textbox>
        </v:shape>
      </w:pic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F8D0B">
    <w:pPr>
      <w:pStyle w:val="35"/>
      <w:ind w:right="360" w:firstLine="4500" w:firstLineChars="250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rVwiftAQAA1gMAAA4AAABkcnMvZTJvRG9jLnhtbK1TzY7TMBC+&#10;I/EOlu802a4WoqjuaqFahIQAaeEBXMdpLPlPY7dJeQB4A05cuPNcfY4dO0kXLZc97CWZ8cx8M9/n&#10;8ep6MJocJATlLKMXi5ISaYVrlN0x+u3r7auKkhC5bbh2VjJ6lIFer1++WPW+lkvXOd1IIAhiQ917&#10;RrsYfV0UQXTS8LBwXloMtg4Mj+jCrmiA94hudLEsy9dF76Dx4IQMAU83Y5BOiPAUQNe2SsiNE3sj&#10;bRxRQWoekVLolA90nadtWyni57YNMhLNKDKN+YtN0N6mb7Fe8XoH3HdKTCPwp4zwiJPhymLTM9SG&#10;R072oP6DMkqAC66NC+FMMRLJiiCLi/KRNncd9zJzQamDP4seng9WfDp8AaIaRi8psdzghZ9+/Tz9&#10;/nv684NcJnl6H2rMuvOYF4e3bsClmc8DHibWQwsm/ZEPwTiKezyLK4dIRCqqllVVYkhgbHYQv3go&#10;9xDie+kMSQajgLeXReWHjyGOqXNK6mbdrdI636C2pEfUq+rNVa44hxBd25Qs8zJMOInTOHuy4rAd&#10;JqJb1xyRJz4P7N85+E5Jj8vBqMW3QIn+YFH7tEezAbOxnQ1uBRYy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2tXCJ+0BAADWAwAADgAAAAAAAAABACAAAAAiAQAAZHJzL2Uyb0RvYy54bWxQSwUGAAAAAAYABgBZ&#10;AQAAgQUAAAAA&#10;">
          <v:path/>
          <v:fill on="f" focussize="0,0"/>
          <v:stroke on="f" weight="1.25pt" joinstyle="miter"/>
          <v:imagedata o:title=""/>
          <o:lock v:ext="edit"/>
          <v:textbox inset="0mm,0mm,0mm,0mm" style="mso-fit-shape-to-text:t;">
            <w:txbxContent>
              <w:p w14:paraId="7F5CFCB1">
                <w:pPr>
                  <w:pStyle w:val="35"/>
                </w:pPr>
                <w:r>
                  <w:fldChar w:fldCharType="begin"/>
                </w:r>
                <w:r>
                  <w:instrText xml:space="preserve"> PAGE  \* MERGEFORMAT </w:instrText>
                </w:r>
                <w:r>
                  <w:fldChar w:fldCharType="separate"/>
                </w:r>
                <w:r>
                  <w:t>52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33B7C">
    <w:pPr>
      <w:pStyle w:val="36"/>
      <w:pBdr>
        <w:bottom w:val="single" w:color="auto" w:sz="6" w:space="0"/>
      </w:pBdr>
      <w:jc w:val="both"/>
      <w:rPr>
        <w:rFonts w:hint="eastAsia" w:eastAsia="宋体"/>
        <w:lang w:eastAsia="zh-CN"/>
      </w:rPr>
    </w:pPr>
    <w:r>
      <w:rPr>
        <w:rFonts w:hint="eastAsia"/>
      </w:rPr>
      <w:t>温州市龙湾区消防救援大队招标文件                                            项目编号：</w:t>
    </w:r>
    <w:r>
      <w:rPr>
        <w:rFonts w:hint="eastAsia" w:ascii="宋体" w:hAnsi="宋体" w:cs="宋体"/>
        <w:color w:val="auto"/>
        <w:sz w:val="22"/>
        <w:szCs w:val="22"/>
        <w:highlight w:val="none"/>
        <w:lang w:eastAsia="zh-CN"/>
      </w:rPr>
      <w:t>XYZB-WZS-2025-01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0E955">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1145C">
    <w:pPr>
      <w:pStyle w:val="36"/>
      <w:pBdr>
        <w:bottom w:val="single" w:color="auto" w:sz="6" w:space="0"/>
      </w:pBdr>
      <w:jc w:val="both"/>
      <w:rPr>
        <w:rFonts w:hint="eastAsia" w:eastAsia="宋体"/>
        <w:lang w:eastAsia="zh-CN"/>
      </w:rPr>
    </w:pPr>
    <w:r>
      <w:rPr>
        <w:rFonts w:hint="eastAsia"/>
      </w:rPr>
      <w:t>温州市龙湾区消防救援大队采购招标文件                                        项目编号：</w:t>
    </w:r>
    <w:r>
      <w:rPr>
        <w:rFonts w:hint="eastAsia"/>
        <w:lang w:eastAsia="zh-CN"/>
      </w:rPr>
      <w:t>WZLCZB（L）-2024-05162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4"/>
      <w:suff w:val="nothing"/>
      <w:lvlText w:val="第%1章"/>
      <w:lvlJc w:val="left"/>
      <w:pPr>
        <w:ind w:left="0" w:firstLine="0"/>
      </w:pPr>
      <w:rPr>
        <w:rFonts w:hint="default" w:ascii="Times New Roman" w:hAnsi="Times New Roman" w:eastAsia="黑体"/>
        <w:b/>
        <w:i w:val="0"/>
        <w:sz w:val="32"/>
        <w:szCs w:val="32"/>
      </w:rPr>
    </w:lvl>
    <w:lvl w:ilvl="1" w:tentative="0">
      <w:start w:val="1"/>
      <w:numFmt w:val="none"/>
      <w:pStyle w:val="5"/>
      <w:suff w:val="nothing"/>
      <w:lvlText w:val=""/>
      <w:lvlJc w:val="left"/>
      <w:pPr>
        <w:ind w:left="0" w:firstLine="0"/>
      </w:pPr>
      <w:rPr>
        <w:rFonts w:hint="eastAsia"/>
      </w:rPr>
    </w:lvl>
    <w:lvl w:ilvl="2" w:tentative="0">
      <w:start w:val="1"/>
      <w:numFmt w:val="none"/>
      <w:pStyle w:val="6"/>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1">
    <w:nsid w:val="0000000B"/>
    <w:multiLevelType w:val="multilevel"/>
    <w:tmpl w:val="0000000B"/>
    <w:lvl w:ilvl="0" w:tentative="0">
      <w:start w:val="1"/>
      <w:numFmt w:val="decimal"/>
      <w:pStyle w:val="289"/>
      <w:lvlText w:val="（%1）"/>
      <w:lvlJc w:val="left"/>
      <w:pPr>
        <w:tabs>
          <w:tab w:val="left" w:pos="3349"/>
        </w:tabs>
        <w:ind w:left="3349" w:hanging="720"/>
      </w:pPr>
      <w:rPr>
        <w:rFonts w:hint="default"/>
      </w:rPr>
    </w:lvl>
    <w:lvl w:ilvl="1" w:tentative="0">
      <w:start w:val="1"/>
      <w:numFmt w:val="lowerLetter"/>
      <w:pStyle w:val="254"/>
      <w:lvlText w:val="%2)"/>
      <w:lvlJc w:val="left"/>
      <w:pPr>
        <w:tabs>
          <w:tab w:val="left" w:pos="3469"/>
        </w:tabs>
        <w:ind w:left="3469" w:hanging="420"/>
      </w:pPr>
    </w:lvl>
    <w:lvl w:ilvl="2" w:tentative="0">
      <w:start w:val="1"/>
      <w:numFmt w:val="lowerRoman"/>
      <w:pStyle w:val="226"/>
      <w:lvlText w:val="%3."/>
      <w:lvlJc w:val="right"/>
      <w:pPr>
        <w:tabs>
          <w:tab w:val="left" w:pos="3889"/>
        </w:tabs>
        <w:ind w:left="3889" w:hanging="420"/>
      </w:pPr>
    </w:lvl>
    <w:lvl w:ilvl="3" w:tentative="0">
      <w:start w:val="1"/>
      <w:numFmt w:val="decimal"/>
      <w:pStyle w:val="225"/>
      <w:lvlText w:val="%4."/>
      <w:lvlJc w:val="left"/>
      <w:pPr>
        <w:tabs>
          <w:tab w:val="left" w:pos="4309"/>
        </w:tabs>
        <w:ind w:left="4309" w:hanging="420"/>
      </w:pPr>
    </w:lvl>
    <w:lvl w:ilvl="4" w:tentative="0">
      <w:start w:val="1"/>
      <w:numFmt w:val="lowerLetter"/>
      <w:pStyle w:val="224"/>
      <w:lvlText w:val="%5)"/>
      <w:lvlJc w:val="left"/>
      <w:pPr>
        <w:tabs>
          <w:tab w:val="left" w:pos="4729"/>
        </w:tabs>
        <w:ind w:left="4729" w:hanging="420"/>
      </w:pPr>
    </w:lvl>
    <w:lvl w:ilvl="5" w:tentative="0">
      <w:start w:val="1"/>
      <w:numFmt w:val="lowerRoman"/>
      <w:pStyle w:val="223"/>
      <w:lvlText w:val="%6."/>
      <w:lvlJc w:val="right"/>
      <w:pPr>
        <w:tabs>
          <w:tab w:val="left" w:pos="5149"/>
        </w:tabs>
        <w:ind w:left="5149" w:hanging="420"/>
      </w:pPr>
    </w:lvl>
    <w:lvl w:ilvl="6" w:tentative="0">
      <w:start w:val="1"/>
      <w:numFmt w:val="decimal"/>
      <w:pStyle w:val="266"/>
      <w:lvlText w:val="%7."/>
      <w:lvlJc w:val="left"/>
      <w:pPr>
        <w:tabs>
          <w:tab w:val="left" w:pos="5569"/>
        </w:tabs>
        <w:ind w:left="5569" w:hanging="420"/>
      </w:pPr>
    </w:lvl>
    <w:lvl w:ilvl="7" w:tentative="0">
      <w:start w:val="1"/>
      <w:numFmt w:val="lowerLetter"/>
      <w:lvlText w:val="%8)"/>
      <w:lvlJc w:val="left"/>
      <w:pPr>
        <w:tabs>
          <w:tab w:val="left" w:pos="5989"/>
        </w:tabs>
        <w:ind w:left="5989" w:hanging="420"/>
      </w:pPr>
    </w:lvl>
    <w:lvl w:ilvl="8" w:tentative="0">
      <w:start w:val="1"/>
      <w:numFmt w:val="lowerRoman"/>
      <w:lvlText w:val="%9."/>
      <w:lvlJc w:val="right"/>
      <w:pPr>
        <w:tabs>
          <w:tab w:val="left" w:pos="6409"/>
        </w:tabs>
        <w:ind w:left="6409" w:hanging="420"/>
      </w:pPr>
    </w:lvl>
  </w:abstractNum>
  <w:abstractNum w:abstractNumId="2">
    <w:nsid w:val="11300B8F"/>
    <w:multiLevelType w:val="singleLevel"/>
    <w:tmpl w:val="11300B8F"/>
    <w:lvl w:ilvl="0" w:tentative="0">
      <w:start w:val="10"/>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TQzM2JkNDhjZjM1ZDA0OTYyYzExNzBlMGM3MmIzMGEifQ=="/>
  </w:docVars>
  <w:rsids>
    <w:rsidRoot w:val="00172A27"/>
    <w:rsid w:val="00023B0F"/>
    <w:rsid w:val="000267F4"/>
    <w:rsid w:val="00033AD3"/>
    <w:rsid w:val="000429F0"/>
    <w:rsid w:val="00060622"/>
    <w:rsid w:val="00075216"/>
    <w:rsid w:val="000A5CD8"/>
    <w:rsid w:val="000D5479"/>
    <w:rsid w:val="000D5650"/>
    <w:rsid w:val="00105F4E"/>
    <w:rsid w:val="00114A35"/>
    <w:rsid w:val="00124564"/>
    <w:rsid w:val="0014244F"/>
    <w:rsid w:val="00144487"/>
    <w:rsid w:val="00147498"/>
    <w:rsid w:val="0015657B"/>
    <w:rsid w:val="0016305B"/>
    <w:rsid w:val="00172A27"/>
    <w:rsid w:val="00176527"/>
    <w:rsid w:val="001839A9"/>
    <w:rsid w:val="0019243E"/>
    <w:rsid w:val="001A2680"/>
    <w:rsid w:val="001A455A"/>
    <w:rsid w:val="001B11AB"/>
    <w:rsid w:val="001B1E20"/>
    <w:rsid w:val="001B6F3A"/>
    <w:rsid w:val="001C0A0E"/>
    <w:rsid w:val="001D29D9"/>
    <w:rsid w:val="001F2DE5"/>
    <w:rsid w:val="002149FF"/>
    <w:rsid w:val="00216824"/>
    <w:rsid w:val="00220369"/>
    <w:rsid w:val="00232E4D"/>
    <w:rsid w:val="00254DD3"/>
    <w:rsid w:val="00257DEA"/>
    <w:rsid w:val="00272F56"/>
    <w:rsid w:val="00281973"/>
    <w:rsid w:val="00287A48"/>
    <w:rsid w:val="00291040"/>
    <w:rsid w:val="002A4CF3"/>
    <w:rsid w:val="002B72DD"/>
    <w:rsid w:val="002D2065"/>
    <w:rsid w:val="002E4F42"/>
    <w:rsid w:val="002E52F4"/>
    <w:rsid w:val="002F00B9"/>
    <w:rsid w:val="0033372C"/>
    <w:rsid w:val="003371A5"/>
    <w:rsid w:val="003421E1"/>
    <w:rsid w:val="0034303B"/>
    <w:rsid w:val="00346A8E"/>
    <w:rsid w:val="00351ADE"/>
    <w:rsid w:val="0035798B"/>
    <w:rsid w:val="00367688"/>
    <w:rsid w:val="00382004"/>
    <w:rsid w:val="00385CFB"/>
    <w:rsid w:val="003C3AFE"/>
    <w:rsid w:val="003C6EF2"/>
    <w:rsid w:val="003C7B25"/>
    <w:rsid w:val="003D3956"/>
    <w:rsid w:val="003D49F4"/>
    <w:rsid w:val="00442B01"/>
    <w:rsid w:val="00445F9D"/>
    <w:rsid w:val="004821A8"/>
    <w:rsid w:val="004B64F3"/>
    <w:rsid w:val="004C138B"/>
    <w:rsid w:val="004C3451"/>
    <w:rsid w:val="004C428A"/>
    <w:rsid w:val="004E2805"/>
    <w:rsid w:val="004E61E9"/>
    <w:rsid w:val="004F667E"/>
    <w:rsid w:val="00500CFA"/>
    <w:rsid w:val="00532790"/>
    <w:rsid w:val="0054101E"/>
    <w:rsid w:val="00545A35"/>
    <w:rsid w:val="00545F78"/>
    <w:rsid w:val="00565137"/>
    <w:rsid w:val="00573C6B"/>
    <w:rsid w:val="00577570"/>
    <w:rsid w:val="0059026C"/>
    <w:rsid w:val="00596A23"/>
    <w:rsid w:val="00597BF0"/>
    <w:rsid w:val="005A43A7"/>
    <w:rsid w:val="005A70D4"/>
    <w:rsid w:val="005C3E40"/>
    <w:rsid w:val="005D7A1E"/>
    <w:rsid w:val="005E5A31"/>
    <w:rsid w:val="00600701"/>
    <w:rsid w:val="0061079F"/>
    <w:rsid w:val="006267E7"/>
    <w:rsid w:val="00626A8D"/>
    <w:rsid w:val="006343EA"/>
    <w:rsid w:val="00635416"/>
    <w:rsid w:val="006466D2"/>
    <w:rsid w:val="00646F29"/>
    <w:rsid w:val="00647614"/>
    <w:rsid w:val="00675D8D"/>
    <w:rsid w:val="006847AF"/>
    <w:rsid w:val="006A78FB"/>
    <w:rsid w:val="006C19FA"/>
    <w:rsid w:val="006C2B78"/>
    <w:rsid w:val="006C68C7"/>
    <w:rsid w:val="006C7F48"/>
    <w:rsid w:val="00711AAE"/>
    <w:rsid w:val="00716182"/>
    <w:rsid w:val="00742D37"/>
    <w:rsid w:val="007470CC"/>
    <w:rsid w:val="00750994"/>
    <w:rsid w:val="0076647A"/>
    <w:rsid w:val="007A525E"/>
    <w:rsid w:val="007A5929"/>
    <w:rsid w:val="007A5AF2"/>
    <w:rsid w:val="007E0420"/>
    <w:rsid w:val="00810245"/>
    <w:rsid w:val="00814561"/>
    <w:rsid w:val="00825BE0"/>
    <w:rsid w:val="0082796D"/>
    <w:rsid w:val="00832B91"/>
    <w:rsid w:val="0085063B"/>
    <w:rsid w:val="00863DF6"/>
    <w:rsid w:val="0087253F"/>
    <w:rsid w:val="008754BA"/>
    <w:rsid w:val="0088137E"/>
    <w:rsid w:val="00893F39"/>
    <w:rsid w:val="008967E6"/>
    <w:rsid w:val="008A4C39"/>
    <w:rsid w:val="008D0EFD"/>
    <w:rsid w:val="008E2511"/>
    <w:rsid w:val="008E6C94"/>
    <w:rsid w:val="008F016B"/>
    <w:rsid w:val="008F04C8"/>
    <w:rsid w:val="008F3E9F"/>
    <w:rsid w:val="00914E2B"/>
    <w:rsid w:val="00915138"/>
    <w:rsid w:val="009153E8"/>
    <w:rsid w:val="00951847"/>
    <w:rsid w:val="00970E48"/>
    <w:rsid w:val="00985CE2"/>
    <w:rsid w:val="00990DF3"/>
    <w:rsid w:val="009A5CA6"/>
    <w:rsid w:val="009C4758"/>
    <w:rsid w:val="009C70D0"/>
    <w:rsid w:val="009D00C1"/>
    <w:rsid w:val="009E29AD"/>
    <w:rsid w:val="009E75D2"/>
    <w:rsid w:val="009F12E7"/>
    <w:rsid w:val="00A0706D"/>
    <w:rsid w:val="00A12376"/>
    <w:rsid w:val="00A25201"/>
    <w:rsid w:val="00A60BA0"/>
    <w:rsid w:val="00A62E64"/>
    <w:rsid w:val="00A7164F"/>
    <w:rsid w:val="00A953E6"/>
    <w:rsid w:val="00AA6D5A"/>
    <w:rsid w:val="00AB136B"/>
    <w:rsid w:val="00AB7798"/>
    <w:rsid w:val="00AE4F73"/>
    <w:rsid w:val="00AF19DA"/>
    <w:rsid w:val="00B056AD"/>
    <w:rsid w:val="00B40D8E"/>
    <w:rsid w:val="00B721EC"/>
    <w:rsid w:val="00B93FF0"/>
    <w:rsid w:val="00B947C9"/>
    <w:rsid w:val="00B95FB6"/>
    <w:rsid w:val="00BB6D96"/>
    <w:rsid w:val="00BC0B06"/>
    <w:rsid w:val="00BC1B41"/>
    <w:rsid w:val="00BC243D"/>
    <w:rsid w:val="00BC4025"/>
    <w:rsid w:val="00BE47B8"/>
    <w:rsid w:val="00BE750D"/>
    <w:rsid w:val="00BF773D"/>
    <w:rsid w:val="00C4410F"/>
    <w:rsid w:val="00C475B4"/>
    <w:rsid w:val="00C611F2"/>
    <w:rsid w:val="00C676FF"/>
    <w:rsid w:val="00C7102D"/>
    <w:rsid w:val="00C74D63"/>
    <w:rsid w:val="00C853BA"/>
    <w:rsid w:val="00CC48BC"/>
    <w:rsid w:val="00CF4788"/>
    <w:rsid w:val="00CF71DD"/>
    <w:rsid w:val="00CF75EB"/>
    <w:rsid w:val="00D16073"/>
    <w:rsid w:val="00D17C1E"/>
    <w:rsid w:val="00D26D76"/>
    <w:rsid w:val="00D30C9D"/>
    <w:rsid w:val="00D46336"/>
    <w:rsid w:val="00D51184"/>
    <w:rsid w:val="00D5688F"/>
    <w:rsid w:val="00D63897"/>
    <w:rsid w:val="00D729AA"/>
    <w:rsid w:val="00D75456"/>
    <w:rsid w:val="00D76C78"/>
    <w:rsid w:val="00DC69E7"/>
    <w:rsid w:val="00E24A94"/>
    <w:rsid w:val="00E25AA7"/>
    <w:rsid w:val="00E512BF"/>
    <w:rsid w:val="00E517E5"/>
    <w:rsid w:val="00E62BD6"/>
    <w:rsid w:val="00E64AF8"/>
    <w:rsid w:val="00E85F32"/>
    <w:rsid w:val="00E92D9F"/>
    <w:rsid w:val="00E9310D"/>
    <w:rsid w:val="00EA1C8A"/>
    <w:rsid w:val="00EC5EDB"/>
    <w:rsid w:val="00ED1212"/>
    <w:rsid w:val="00ED4305"/>
    <w:rsid w:val="00EF6F83"/>
    <w:rsid w:val="00F05B43"/>
    <w:rsid w:val="00F37AF0"/>
    <w:rsid w:val="00F37CC2"/>
    <w:rsid w:val="00F47E53"/>
    <w:rsid w:val="00F645EB"/>
    <w:rsid w:val="00F719BC"/>
    <w:rsid w:val="00F82034"/>
    <w:rsid w:val="00F83C55"/>
    <w:rsid w:val="00F9584D"/>
    <w:rsid w:val="00FA2D5D"/>
    <w:rsid w:val="00FA3894"/>
    <w:rsid w:val="00FD626F"/>
    <w:rsid w:val="00FD6937"/>
    <w:rsid w:val="00FE360C"/>
    <w:rsid w:val="0112244E"/>
    <w:rsid w:val="01264972"/>
    <w:rsid w:val="012B4C62"/>
    <w:rsid w:val="012B5576"/>
    <w:rsid w:val="014F22B3"/>
    <w:rsid w:val="01700352"/>
    <w:rsid w:val="0182354D"/>
    <w:rsid w:val="01921DD1"/>
    <w:rsid w:val="01B52838"/>
    <w:rsid w:val="01C75570"/>
    <w:rsid w:val="01D31408"/>
    <w:rsid w:val="01D838FD"/>
    <w:rsid w:val="01E34D25"/>
    <w:rsid w:val="01FA47FF"/>
    <w:rsid w:val="01FF0994"/>
    <w:rsid w:val="020142D5"/>
    <w:rsid w:val="0205041C"/>
    <w:rsid w:val="02063FE0"/>
    <w:rsid w:val="02125874"/>
    <w:rsid w:val="02204B8A"/>
    <w:rsid w:val="022B099C"/>
    <w:rsid w:val="022F2C26"/>
    <w:rsid w:val="023B6BC5"/>
    <w:rsid w:val="023F763D"/>
    <w:rsid w:val="02437C23"/>
    <w:rsid w:val="024960FC"/>
    <w:rsid w:val="02497F4C"/>
    <w:rsid w:val="024D1089"/>
    <w:rsid w:val="02646578"/>
    <w:rsid w:val="02671CED"/>
    <w:rsid w:val="027F0426"/>
    <w:rsid w:val="028C11CF"/>
    <w:rsid w:val="02BC028B"/>
    <w:rsid w:val="02D103B9"/>
    <w:rsid w:val="031F27B4"/>
    <w:rsid w:val="03346764"/>
    <w:rsid w:val="03397053"/>
    <w:rsid w:val="034967D3"/>
    <w:rsid w:val="03547F3F"/>
    <w:rsid w:val="0359140E"/>
    <w:rsid w:val="03724537"/>
    <w:rsid w:val="038D75EE"/>
    <w:rsid w:val="03994AA7"/>
    <w:rsid w:val="03C255BA"/>
    <w:rsid w:val="03CB2647"/>
    <w:rsid w:val="03D71CDD"/>
    <w:rsid w:val="03E80687"/>
    <w:rsid w:val="03F716B2"/>
    <w:rsid w:val="03FF761E"/>
    <w:rsid w:val="043966BE"/>
    <w:rsid w:val="045D79B7"/>
    <w:rsid w:val="04800E71"/>
    <w:rsid w:val="048E304A"/>
    <w:rsid w:val="04936845"/>
    <w:rsid w:val="04A13CAC"/>
    <w:rsid w:val="04B11640"/>
    <w:rsid w:val="04CB66B4"/>
    <w:rsid w:val="04D26A9F"/>
    <w:rsid w:val="051A2E33"/>
    <w:rsid w:val="05352D7D"/>
    <w:rsid w:val="05595CE0"/>
    <w:rsid w:val="057766FF"/>
    <w:rsid w:val="05B5126E"/>
    <w:rsid w:val="05B66CEF"/>
    <w:rsid w:val="05CA49D3"/>
    <w:rsid w:val="05EB3658"/>
    <w:rsid w:val="06222576"/>
    <w:rsid w:val="06413050"/>
    <w:rsid w:val="064B141D"/>
    <w:rsid w:val="064F49ED"/>
    <w:rsid w:val="065660C6"/>
    <w:rsid w:val="06602E99"/>
    <w:rsid w:val="067A44AE"/>
    <w:rsid w:val="067E640F"/>
    <w:rsid w:val="06853629"/>
    <w:rsid w:val="069150A5"/>
    <w:rsid w:val="06941D28"/>
    <w:rsid w:val="069A7FF8"/>
    <w:rsid w:val="06A12170"/>
    <w:rsid w:val="06AB3B69"/>
    <w:rsid w:val="06B72100"/>
    <w:rsid w:val="06BF45B4"/>
    <w:rsid w:val="06C415B3"/>
    <w:rsid w:val="06DB57CD"/>
    <w:rsid w:val="06F82B7E"/>
    <w:rsid w:val="07167BB0"/>
    <w:rsid w:val="071C1AB9"/>
    <w:rsid w:val="07364802"/>
    <w:rsid w:val="077A5181"/>
    <w:rsid w:val="078C55F0"/>
    <w:rsid w:val="07944BFB"/>
    <w:rsid w:val="07A53867"/>
    <w:rsid w:val="07A80859"/>
    <w:rsid w:val="07BC64D5"/>
    <w:rsid w:val="07C410B5"/>
    <w:rsid w:val="07CF4DE0"/>
    <w:rsid w:val="07D95375"/>
    <w:rsid w:val="07DA78EE"/>
    <w:rsid w:val="081F7E78"/>
    <w:rsid w:val="082522BE"/>
    <w:rsid w:val="082B6990"/>
    <w:rsid w:val="08552189"/>
    <w:rsid w:val="08730206"/>
    <w:rsid w:val="089622E5"/>
    <w:rsid w:val="08A118B5"/>
    <w:rsid w:val="08BD11E5"/>
    <w:rsid w:val="08CA4C78"/>
    <w:rsid w:val="08E311C2"/>
    <w:rsid w:val="08F82A40"/>
    <w:rsid w:val="090179C0"/>
    <w:rsid w:val="09223108"/>
    <w:rsid w:val="09260512"/>
    <w:rsid w:val="093E4881"/>
    <w:rsid w:val="095C5ACD"/>
    <w:rsid w:val="095F57C8"/>
    <w:rsid w:val="098B341D"/>
    <w:rsid w:val="09911622"/>
    <w:rsid w:val="09C16630"/>
    <w:rsid w:val="09DA28B7"/>
    <w:rsid w:val="0A230DF5"/>
    <w:rsid w:val="0A2574A6"/>
    <w:rsid w:val="0A3A6268"/>
    <w:rsid w:val="0A3D6784"/>
    <w:rsid w:val="0A476E68"/>
    <w:rsid w:val="0A482EEB"/>
    <w:rsid w:val="0A4A209B"/>
    <w:rsid w:val="0A7572B3"/>
    <w:rsid w:val="0A7D2A65"/>
    <w:rsid w:val="0A82253A"/>
    <w:rsid w:val="0A960A6B"/>
    <w:rsid w:val="0AA95014"/>
    <w:rsid w:val="0AAE1995"/>
    <w:rsid w:val="0AB3379D"/>
    <w:rsid w:val="0AF10769"/>
    <w:rsid w:val="0AF5210A"/>
    <w:rsid w:val="0B0D7BEA"/>
    <w:rsid w:val="0B2D4462"/>
    <w:rsid w:val="0B7102DF"/>
    <w:rsid w:val="0B7E67EB"/>
    <w:rsid w:val="0B985E87"/>
    <w:rsid w:val="0BBF5039"/>
    <w:rsid w:val="0BDF7B09"/>
    <w:rsid w:val="0BF13338"/>
    <w:rsid w:val="0BFF01B1"/>
    <w:rsid w:val="0C043203"/>
    <w:rsid w:val="0C1153DF"/>
    <w:rsid w:val="0C3B2421"/>
    <w:rsid w:val="0C3C5F6D"/>
    <w:rsid w:val="0C5A3BCF"/>
    <w:rsid w:val="0C654149"/>
    <w:rsid w:val="0C6C7C4D"/>
    <w:rsid w:val="0C7D2B5C"/>
    <w:rsid w:val="0CB56867"/>
    <w:rsid w:val="0CB952B6"/>
    <w:rsid w:val="0CC25DD9"/>
    <w:rsid w:val="0CED7638"/>
    <w:rsid w:val="0D250D6B"/>
    <w:rsid w:val="0D47431A"/>
    <w:rsid w:val="0D8B359D"/>
    <w:rsid w:val="0D9F4266"/>
    <w:rsid w:val="0DC23522"/>
    <w:rsid w:val="0DD62047"/>
    <w:rsid w:val="0DDB40CB"/>
    <w:rsid w:val="0DF30981"/>
    <w:rsid w:val="0E012653"/>
    <w:rsid w:val="0E14552A"/>
    <w:rsid w:val="0E256145"/>
    <w:rsid w:val="0E272EC6"/>
    <w:rsid w:val="0E2F02D2"/>
    <w:rsid w:val="0E3015A8"/>
    <w:rsid w:val="0E931C2A"/>
    <w:rsid w:val="0EA71BCE"/>
    <w:rsid w:val="0EA82549"/>
    <w:rsid w:val="0EAF1F63"/>
    <w:rsid w:val="0EB85C4B"/>
    <w:rsid w:val="0ED24AE4"/>
    <w:rsid w:val="0F006637"/>
    <w:rsid w:val="0F02058A"/>
    <w:rsid w:val="0F576C9E"/>
    <w:rsid w:val="0F786E19"/>
    <w:rsid w:val="0FAA46EC"/>
    <w:rsid w:val="0FD30983"/>
    <w:rsid w:val="0FE72816"/>
    <w:rsid w:val="0FE95EB3"/>
    <w:rsid w:val="10181477"/>
    <w:rsid w:val="102B7AAA"/>
    <w:rsid w:val="10322223"/>
    <w:rsid w:val="10433F94"/>
    <w:rsid w:val="105F5E11"/>
    <w:rsid w:val="106F4084"/>
    <w:rsid w:val="10711C66"/>
    <w:rsid w:val="1092654A"/>
    <w:rsid w:val="109B2DB3"/>
    <w:rsid w:val="10A17382"/>
    <w:rsid w:val="10C14D88"/>
    <w:rsid w:val="10C964CE"/>
    <w:rsid w:val="10CA65D0"/>
    <w:rsid w:val="10CC31BD"/>
    <w:rsid w:val="10D82AD4"/>
    <w:rsid w:val="10E47CBF"/>
    <w:rsid w:val="10EA4A94"/>
    <w:rsid w:val="10ED2754"/>
    <w:rsid w:val="11235736"/>
    <w:rsid w:val="11235C29"/>
    <w:rsid w:val="115F0800"/>
    <w:rsid w:val="11853BCD"/>
    <w:rsid w:val="11A25AC2"/>
    <w:rsid w:val="11A26C85"/>
    <w:rsid w:val="11A46680"/>
    <w:rsid w:val="11D35ECA"/>
    <w:rsid w:val="11D838AA"/>
    <w:rsid w:val="11D86190"/>
    <w:rsid w:val="11DD425B"/>
    <w:rsid w:val="11EC0FF2"/>
    <w:rsid w:val="12067458"/>
    <w:rsid w:val="12317569"/>
    <w:rsid w:val="12510819"/>
    <w:rsid w:val="12696BB9"/>
    <w:rsid w:val="126B2BAF"/>
    <w:rsid w:val="1274381F"/>
    <w:rsid w:val="12972790"/>
    <w:rsid w:val="12AD10B0"/>
    <w:rsid w:val="12CE0D7F"/>
    <w:rsid w:val="12EA61CA"/>
    <w:rsid w:val="12EE791C"/>
    <w:rsid w:val="12FD6C27"/>
    <w:rsid w:val="13076D7C"/>
    <w:rsid w:val="13180760"/>
    <w:rsid w:val="131D6126"/>
    <w:rsid w:val="135C7F4F"/>
    <w:rsid w:val="13714381"/>
    <w:rsid w:val="137F1409"/>
    <w:rsid w:val="13A670CA"/>
    <w:rsid w:val="13AC2571"/>
    <w:rsid w:val="13B55B78"/>
    <w:rsid w:val="13BE0D84"/>
    <w:rsid w:val="13D50B53"/>
    <w:rsid w:val="13DE2AA7"/>
    <w:rsid w:val="13FE2129"/>
    <w:rsid w:val="14116779"/>
    <w:rsid w:val="14123C2A"/>
    <w:rsid w:val="148E15C6"/>
    <w:rsid w:val="149A4376"/>
    <w:rsid w:val="14B7278A"/>
    <w:rsid w:val="14CC6EAC"/>
    <w:rsid w:val="14DD044C"/>
    <w:rsid w:val="14F70FF5"/>
    <w:rsid w:val="150A42DA"/>
    <w:rsid w:val="1511631C"/>
    <w:rsid w:val="15262A3E"/>
    <w:rsid w:val="15262A5E"/>
    <w:rsid w:val="15610CF3"/>
    <w:rsid w:val="156770AE"/>
    <w:rsid w:val="15751685"/>
    <w:rsid w:val="15756602"/>
    <w:rsid w:val="15A502B2"/>
    <w:rsid w:val="15AC3F9C"/>
    <w:rsid w:val="15AF7DC2"/>
    <w:rsid w:val="15BD1CB8"/>
    <w:rsid w:val="15BF56ED"/>
    <w:rsid w:val="15C0086C"/>
    <w:rsid w:val="15DA61C1"/>
    <w:rsid w:val="15DF7350"/>
    <w:rsid w:val="15E223B1"/>
    <w:rsid w:val="15F7044D"/>
    <w:rsid w:val="15FB06EE"/>
    <w:rsid w:val="160E0421"/>
    <w:rsid w:val="163A2FC4"/>
    <w:rsid w:val="16450C97"/>
    <w:rsid w:val="164534F5"/>
    <w:rsid w:val="16504596"/>
    <w:rsid w:val="166B0010"/>
    <w:rsid w:val="16A90B2E"/>
    <w:rsid w:val="16AD59D4"/>
    <w:rsid w:val="16B15F0F"/>
    <w:rsid w:val="16D57191"/>
    <w:rsid w:val="16E53451"/>
    <w:rsid w:val="16EC01AC"/>
    <w:rsid w:val="16EF0253"/>
    <w:rsid w:val="171E2B79"/>
    <w:rsid w:val="17231FC8"/>
    <w:rsid w:val="172B12C7"/>
    <w:rsid w:val="175852DC"/>
    <w:rsid w:val="17697775"/>
    <w:rsid w:val="177A5491"/>
    <w:rsid w:val="178A352D"/>
    <w:rsid w:val="17B51DF3"/>
    <w:rsid w:val="17DF4C96"/>
    <w:rsid w:val="17F9411E"/>
    <w:rsid w:val="185621E3"/>
    <w:rsid w:val="18637293"/>
    <w:rsid w:val="18724BC4"/>
    <w:rsid w:val="18912A5B"/>
    <w:rsid w:val="18A57A35"/>
    <w:rsid w:val="18A64941"/>
    <w:rsid w:val="18AC3511"/>
    <w:rsid w:val="18C63235"/>
    <w:rsid w:val="1901283C"/>
    <w:rsid w:val="19206E47"/>
    <w:rsid w:val="192F165F"/>
    <w:rsid w:val="19375EE1"/>
    <w:rsid w:val="19A2611B"/>
    <w:rsid w:val="19D94077"/>
    <w:rsid w:val="19DC0139"/>
    <w:rsid w:val="19F30626"/>
    <w:rsid w:val="1A0738C1"/>
    <w:rsid w:val="1A1928E2"/>
    <w:rsid w:val="1A1A5BB8"/>
    <w:rsid w:val="1A424CCC"/>
    <w:rsid w:val="1A4A739A"/>
    <w:rsid w:val="1A551442"/>
    <w:rsid w:val="1A5724ED"/>
    <w:rsid w:val="1A710D19"/>
    <w:rsid w:val="1A8803C5"/>
    <w:rsid w:val="1A9C1E3E"/>
    <w:rsid w:val="1AAF2DD5"/>
    <w:rsid w:val="1ADD1FEF"/>
    <w:rsid w:val="1B263D19"/>
    <w:rsid w:val="1B3058FD"/>
    <w:rsid w:val="1B465F09"/>
    <w:rsid w:val="1B666D00"/>
    <w:rsid w:val="1B767810"/>
    <w:rsid w:val="1B884CB7"/>
    <w:rsid w:val="1B905946"/>
    <w:rsid w:val="1BBD0954"/>
    <w:rsid w:val="1BD0092E"/>
    <w:rsid w:val="1C0E2F29"/>
    <w:rsid w:val="1C616018"/>
    <w:rsid w:val="1C7D1ECB"/>
    <w:rsid w:val="1C7D7B4D"/>
    <w:rsid w:val="1C8A7ACD"/>
    <w:rsid w:val="1CAC606E"/>
    <w:rsid w:val="1D0B4E33"/>
    <w:rsid w:val="1D1F1C29"/>
    <w:rsid w:val="1D430810"/>
    <w:rsid w:val="1D541761"/>
    <w:rsid w:val="1D575FE9"/>
    <w:rsid w:val="1D5A5EBE"/>
    <w:rsid w:val="1D7E169F"/>
    <w:rsid w:val="1D8A42D9"/>
    <w:rsid w:val="1DA340AC"/>
    <w:rsid w:val="1DA43137"/>
    <w:rsid w:val="1DB4497E"/>
    <w:rsid w:val="1DB530CD"/>
    <w:rsid w:val="1DBE6BE1"/>
    <w:rsid w:val="1DD174E5"/>
    <w:rsid w:val="1DD63087"/>
    <w:rsid w:val="1DDC550B"/>
    <w:rsid w:val="1E0122A1"/>
    <w:rsid w:val="1E0F4D36"/>
    <w:rsid w:val="1E192DF2"/>
    <w:rsid w:val="1E2458FF"/>
    <w:rsid w:val="1E256C04"/>
    <w:rsid w:val="1E3E5127"/>
    <w:rsid w:val="1E417DEF"/>
    <w:rsid w:val="1E5A6D13"/>
    <w:rsid w:val="1E834A1F"/>
    <w:rsid w:val="1E851DDC"/>
    <w:rsid w:val="1E876FC3"/>
    <w:rsid w:val="1E881421"/>
    <w:rsid w:val="1E8C78AD"/>
    <w:rsid w:val="1ED50FA6"/>
    <w:rsid w:val="1EDF2EF3"/>
    <w:rsid w:val="1EEA1E45"/>
    <w:rsid w:val="1EEC0BCC"/>
    <w:rsid w:val="1F042D95"/>
    <w:rsid w:val="1F0771F7"/>
    <w:rsid w:val="1F0C6CAD"/>
    <w:rsid w:val="1F104283"/>
    <w:rsid w:val="1F1F28D3"/>
    <w:rsid w:val="1F222FF6"/>
    <w:rsid w:val="1F536EA5"/>
    <w:rsid w:val="1F6E6369"/>
    <w:rsid w:val="1F7E7BC0"/>
    <w:rsid w:val="1FB43DE7"/>
    <w:rsid w:val="1FE83A91"/>
    <w:rsid w:val="1FEE21FF"/>
    <w:rsid w:val="1FFF3F0C"/>
    <w:rsid w:val="200C6AA5"/>
    <w:rsid w:val="20105BA6"/>
    <w:rsid w:val="201578CD"/>
    <w:rsid w:val="201E69BF"/>
    <w:rsid w:val="20327BDE"/>
    <w:rsid w:val="203733D4"/>
    <w:rsid w:val="203F5CE6"/>
    <w:rsid w:val="206E043A"/>
    <w:rsid w:val="20BE4D41"/>
    <w:rsid w:val="20C640EA"/>
    <w:rsid w:val="20CF25FB"/>
    <w:rsid w:val="20D17AE7"/>
    <w:rsid w:val="20E21F80"/>
    <w:rsid w:val="20FA2EAA"/>
    <w:rsid w:val="21062784"/>
    <w:rsid w:val="210D43E1"/>
    <w:rsid w:val="211F76AE"/>
    <w:rsid w:val="21376E03"/>
    <w:rsid w:val="21521F39"/>
    <w:rsid w:val="218D78C5"/>
    <w:rsid w:val="21A03146"/>
    <w:rsid w:val="21B07874"/>
    <w:rsid w:val="21E64000"/>
    <w:rsid w:val="21EE7AC8"/>
    <w:rsid w:val="21F67C11"/>
    <w:rsid w:val="22143E55"/>
    <w:rsid w:val="222E6B6D"/>
    <w:rsid w:val="223A3836"/>
    <w:rsid w:val="225A62E9"/>
    <w:rsid w:val="2284712E"/>
    <w:rsid w:val="22A21F61"/>
    <w:rsid w:val="22BD09C2"/>
    <w:rsid w:val="22C51BDB"/>
    <w:rsid w:val="22D82CFA"/>
    <w:rsid w:val="22D86BB8"/>
    <w:rsid w:val="22E3100E"/>
    <w:rsid w:val="22E84C54"/>
    <w:rsid w:val="22F7406F"/>
    <w:rsid w:val="230177C4"/>
    <w:rsid w:val="23385CD8"/>
    <w:rsid w:val="236F00B3"/>
    <w:rsid w:val="23855491"/>
    <w:rsid w:val="23992A16"/>
    <w:rsid w:val="23AB1C4C"/>
    <w:rsid w:val="23C4333D"/>
    <w:rsid w:val="23EF0898"/>
    <w:rsid w:val="240C3731"/>
    <w:rsid w:val="24153B2D"/>
    <w:rsid w:val="24171AC2"/>
    <w:rsid w:val="24267B5E"/>
    <w:rsid w:val="242867C5"/>
    <w:rsid w:val="24610C3D"/>
    <w:rsid w:val="247266E0"/>
    <w:rsid w:val="24792C9E"/>
    <w:rsid w:val="247F01ED"/>
    <w:rsid w:val="24AA2336"/>
    <w:rsid w:val="24B0423F"/>
    <w:rsid w:val="24BE5820"/>
    <w:rsid w:val="24C21763"/>
    <w:rsid w:val="24C84E71"/>
    <w:rsid w:val="24EC5C7D"/>
    <w:rsid w:val="2509234F"/>
    <w:rsid w:val="252217F3"/>
    <w:rsid w:val="25234D55"/>
    <w:rsid w:val="255657B3"/>
    <w:rsid w:val="255B46D8"/>
    <w:rsid w:val="259014BB"/>
    <w:rsid w:val="259557B7"/>
    <w:rsid w:val="2598741E"/>
    <w:rsid w:val="259F53EC"/>
    <w:rsid w:val="25AD002B"/>
    <w:rsid w:val="25C50504"/>
    <w:rsid w:val="25E32445"/>
    <w:rsid w:val="25E64E2D"/>
    <w:rsid w:val="26066D6F"/>
    <w:rsid w:val="26234045"/>
    <w:rsid w:val="262426B4"/>
    <w:rsid w:val="262C7FA3"/>
    <w:rsid w:val="26395782"/>
    <w:rsid w:val="26676272"/>
    <w:rsid w:val="266C1F97"/>
    <w:rsid w:val="2672022B"/>
    <w:rsid w:val="267679F9"/>
    <w:rsid w:val="26774532"/>
    <w:rsid w:val="267B47B0"/>
    <w:rsid w:val="268564DD"/>
    <w:rsid w:val="26914755"/>
    <w:rsid w:val="26962499"/>
    <w:rsid w:val="26994A3F"/>
    <w:rsid w:val="269B62C4"/>
    <w:rsid w:val="26C808CA"/>
    <w:rsid w:val="26CD491F"/>
    <w:rsid w:val="26E56982"/>
    <w:rsid w:val="26FC3E04"/>
    <w:rsid w:val="27004DE7"/>
    <w:rsid w:val="271414AB"/>
    <w:rsid w:val="271866BD"/>
    <w:rsid w:val="2764472D"/>
    <w:rsid w:val="2764476E"/>
    <w:rsid w:val="277B168E"/>
    <w:rsid w:val="279122AA"/>
    <w:rsid w:val="279F584C"/>
    <w:rsid w:val="27A37603"/>
    <w:rsid w:val="27BA4B02"/>
    <w:rsid w:val="27C24440"/>
    <w:rsid w:val="27C93C5B"/>
    <w:rsid w:val="27E66631"/>
    <w:rsid w:val="27F665C4"/>
    <w:rsid w:val="27F72C57"/>
    <w:rsid w:val="28377363"/>
    <w:rsid w:val="28431B9D"/>
    <w:rsid w:val="284B3726"/>
    <w:rsid w:val="28680AD8"/>
    <w:rsid w:val="28692869"/>
    <w:rsid w:val="28906419"/>
    <w:rsid w:val="289857DC"/>
    <w:rsid w:val="28B76ECB"/>
    <w:rsid w:val="28C11F57"/>
    <w:rsid w:val="28C84941"/>
    <w:rsid w:val="28DA0B35"/>
    <w:rsid w:val="28EB10B1"/>
    <w:rsid w:val="292D173D"/>
    <w:rsid w:val="293017FF"/>
    <w:rsid w:val="29346F27"/>
    <w:rsid w:val="293D5D11"/>
    <w:rsid w:val="294C017B"/>
    <w:rsid w:val="29552CDF"/>
    <w:rsid w:val="295920A7"/>
    <w:rsid w:val="297A7A90"/>
    <w:rsid w:val="29927AE5"/>
    <w:rsid w:val="29986C4B"/>
    <w:rsid w:val="29AF138D"/>
    <w:rsid w:val="29CD5AB0"/>
    <w:rsid w:val="29D55709"/>
    <w:rsid w:val="29E12EF9"/>
    <w:rsid w:val="2A2A6ECA"/>
    <w:rsid w:val="2A3A09D3"/>
    <w:rsid w:val="2A3B6454"/>
    <w:rsid w:val="2A555696"/>
    <w:rsid w:val="2A932366"/>
    <w:rsid w:val="2A95366B"/>
    <w:rsid w:val="2A9C51F4"/>
    <w:rsid w:val="2AC31FC3"/>
    <w:rsid w:val="2AC63E3A"/>
    <w:rsid w:val="2AC678BF"/>
    <w:rsid w:val="2AC84BEB"/>
    <w:rsid w:val="2AEA2D75"/>
    <w:rsid w:val="2B0A1C91"/>
    <w:rsid w:val="2B2A3B5F"/>
    <w:rsid w:val="2B4B799F"/>
    <w:rsid w:val="2B5D30B4"/>
    <w:rsid w:val="2B797161"/>
    <w:rsid w:val="2B7F4E85"/>
    <w:rsid w:val="2B8C0380"/>
    <w:rsid w:val="2B9A2891"/>
    <w:rsid w:val="2BAF34DE"/>
    <w:rsid w:val="2BD3004D"/>
    <w:rsid w:val="2BE42B6E"/>
    <w:rsid w:val="2BE80E99"/>
    <w:rsid w:val="2C1732E8"/>
    <w:rsid w:val="2C3937DF"/>
    <w:rsid w:val="2C5544DD"/>
    <w:rsid w:val="2C6F63F4"/>
    <w:rsid w:val="2C776709"/>
    <w:rsid w:val="2C781282"/>
    <w:rsid w:val="2CB80212"/>
    <w:rsid w:val="2CBD595C"/>
    <w:rsid w:val="2CD70A89"/>
    <w:rsid w:val="2CE72BBB"/>
    <w:rsid w:val="2CEE58E5"/>
    <w:rsid w:val="2D1C2904"/>
    <w:rsid w:val="2D3A4BC3"/>
    <w:rsid w:val="2D4C4ADE"/>
    <w:rsid w:val="2D572190"/>
    <w:rsid w:val="2D6D5012"/>
    <w:rsid w:val="2D9177D0"/>
    <w:rsid w:val="2DB3100A"/>
    <w:rsid w:val="2DBA0995"/>
    <w:rsid w:val="2DCE582F"/>
    <w:rsid w:val="2E1F613B"/>
    <w:rsid w:val="2E581010"/>
    <w:rsid w:val="2E603672"/>
    <w:rsid w:val="2E9118D4"/>
    <w:rsid w:val="2E917F80"/>
    <w:rsid w:val="2EB41B71"/>
    <w:rsid w:val="2F1342ED"/>
    <w:rsid w:val="2F154A24"/>
    <w:rsid w:val="2F227FDA"/>
    <w:rsid w:val="2F305F78"/>
    <w:rsid w:val="2F3A598B"/>
    <w:rsid w:val="2F3B74F9"/>
    <w:rsid w:val="2F421715"/>
    <w:rsid w:val="2F7431E9"/>
    <w:rsid w:val="2F980AD0"/>
    <w:rsid w:val="2FA10558"/>
    <w:rsid w:val="2FD25781"/>
    <w:rsid w:val="2FDA0882"/>
    <w:rsid w:val="2FEC7489"/>
    <w:rsid w:val="300C7EE4"/>
    <w:rsid w:val="30101553"/>
    <w:rsid w:val="304E7BC9"/>
    <w:rsid w:val="306A325F"/>
    <w:rsid w:val="30742E35"/>
    <w:rsid w:val="30792A97"/>
    <w:rsid w:val="30BF581E"/>
    <w:rsid w:val="30D255E0"/>
    <w:rsid w:val="31156E54"/>
    <w:rsid w:val="3125512E"/>
    <w:rsid w:val="312C033C"/>
    <w:rsid w:val="31340E3D"/>
    <w:rsid w:val="31350C4C"/>
    <w:rsid w:val="31472049"/>
    <w:rsid w:val="314E3D74"/>
    <w:rsid w:val="314F5F72"/>
    <w:rsid w:val="315C308A"/>
    <w:rsid w:val="3187194F"/>
    <w:rsid w:val="31A15D7C"/>
    <w:rsid w:val="31AD298A"/>
    <w:rsid w:val="31E06CBE"/>
    <w:rsid w:val="31EB1674"/>
    <w:rsid w:val="31F05AFB"/>
    <w:rsid w:val="31FF0314"/>
    <w:rsid w:val="32191131"/>
    <w:rsid w:val="32211B4E"/>
    <w:rsid w:val="3221751C"/>
    <w:rsid w:val="32280791"/>
    <w:rsid w:val="32296600"/>
    <w:rsid w:val="323507EE"/>
    <w:rsid w:val="32393E58"/>
    <w:rsid w:val="3252231D"/>
    <w:rsid w:val="32676A3F"/>
    <w:rsid w:val="328A2477"/>
    <w:rsid w:val="32A515F0"/>
    <w:rsid w:val="32B026B6"/>
    <w:rsid w:val="32C27ACE"/>
    <w:rsid w:val="32C558B7"/>
    <w:rsid w:val="32D21971"/>
    <w:rsid w:val="332809D2"/>
    <w:rsid w:val="3333106F"/>
    <w:rsid w:val="338C75D9"/>
    <w:rsid w:val="339729B4"/>
    <w:rsid w:val="339C68C6"/>
    <w:rsid w:val="339D48BD"/>
    <w:rsid w:val="33B57872"/>
    <w:rsid w:val="33BE6FF0"/>
    <w:rsid w:val="33CA6686"/>
    <w:rsid w:val="33D22636"/>
    <w:rsid w:val="33D2699B"/>
    <w:rsid w:val="34043DAD"/>
    <w:rsid w:val="342032E0"/>
    <w:rsid w:val="344804D5"/>
    <w:rsid w:val="34526039"/>
    <w:rsid w:val="34575606"/>
    <w:rsid w:val="345879FF"/>
    <w:rsid w:val="347D4E16"/>
    <w:rsid w:val="348832D1"/>
    <w:rsid w:val="34897F90"/>
    <w:rsid w:val="348E3E46"/>
    <w:rsid w:val="34923E01"/>
    <w:rsid w:val="349C5301"/>
    <w:rsid w:val="34A43DEB"/>
    <w:rsid w:val="34B035ED"/>
    <w:rsid w:val="34BB6546"/>
    <w:rsid w:val="34C1119D"/>
    <w:rsid w:val="34DB3F45"/>
    <w:rsid w:val="34E32803"/>
    <w:rsid w:val="34E62A14"/>
    <w:rsid w:val="34EC41DF"/>
    <w:rsid w:val="3507028C"/>
    <w:rsid w:val="3522284D"/>
    <w:rsid w:val="353115DE"/>
    <w:rsid w:val="35324954"/>
    <w:rsid w:val="35675644"/>
    <w:rsid w:val="35B96959"/>
    <w:rsid w:val="35CD180F"/>
    <w:rsid w:val="35D46B3A"/>
    <w:rsid w:val="35F153AB"/>
    <w:rsid w:val="36167396"/>
    <w:rsid w:val="361A6D8D"/>
    <w:rsid w:val="361B48D1"/>
    <w:rsid w:val="362551E1"/>
    <w:rsid w:val="363244F6"/>
    <w:rsid w:val="36362EFD"/>
    <w:rsid w:val="363B7384"/>
    <w:rsid w:val="36430F12"/>
    <w:rsid w:val="366E1D9B"/>
    <w:rsid w:val="367B0D63"/>
    <w:rsid w:val="367F173F"/>
    <w:rsid w:val="36906ABF"/>
    <w:rsid w:val="36C245FB"/>
    <w:rsid w:val="36D24271"/>
    <w:rsid w:val="37111966"/>
    <w:rsid w:val="37123B84"/>
    <w:rsid w:val="373B0A15"/>
    <w:rsid w:val="373C4D72"/>
    <w:rsid w:val="373C55B4"/>
    <w:rsid w:val="37560EB3"/>
    <w:rsid w:val="375E6974"/>
    <w:rsid w:val="379C0478"/>
    <w:rsid w:val="37A96549"/>
    <w:rsid w:val="37C27EC3"/>
    <w:rsid w:val="37CF1C23"/>
    <w:rsid w:val="37FC2378"/>
    <w:rsid w:val="38033706"/>
    <w:rsid w:val="380B6447"/>
    <w:rsid w:val="3813028F"/>
    <w:rsid w:val="38650F93"/>
    <w:rsid w:val="38864D4B"/>
    <w:rsid w:val="388C3BDA"/>
    <w:rsid w:val="389D426B"/>
    <w:rsid w:val="38A87560"/>
    <w:rsid w:val="38AD224D"/>
    <w:rsid w:val="38C147B2"/>
    <w:rsid w:val="38F2694B"/>
    <w:rsid w:val="38FD240B"/>
    <w:rsid w:val="39080B20"/>
    <w:rsid w:val="39160DB7"/>
    <w:rsid w:val="394624FA"/>
    <w:rsid w:val="39561BA0"/>
    <w:rsid w:val="396226AE"/>
    <w:rsid w:val="3972729A"/>
    <w:rsid w:val="398C63C1"/>
    <w:rsid w:val="399F0F4E"/>
    <w:rsid w:val="39A403DD"/>
    <w:rsid w:val="39B36A66"/>
    <w:rsid w:val="39D97F6A"/>
    <w:rsid w:val="39F92531"/>
    <w:rsid w:val="3A112941"/>
    <w:rsid w:val="3A553367"/>
    <w:rsid w:val="3A684EE0"/>
    <w:rsid w:val="3A716474"/>
    <w:rsid w:val="3A770C79"/>
    <w:rsid w:val="3A777CB4"/>
    <w:rsid w:val="3A872D51"/>
    <w:rsid w:val="3A880567"/>
    <w:rsid w:val="3ABC01EE"/>
    <w:rsid w:val="3AC37B79"/>
    <w:rsid w:val="3AD34590"/>
    <w:rsid w:val="3AF84280"/>
    <w:rsid w:val="3B0428DC"/>
    <w:rsid w:val="3B0F6019"/>
    <w:rsid w:val="3B1D0E7B"/>
    <w:rsid w:val="3B2B6D80"/>
    <w:rsid w:val="3B59226A"/>
    <w:rsid w:val="3B7D6FA7"/>
    <w:rsid w:val="3B801E82"/>
    <w:rsid w:val="3B8652ED"/>
    <w:rsid w:val="3B9912BF"/>
    <w:rsid w:val="3B9A16D9"/>
    <w:rsid w:val="3BA526EA"/>
    <w:rsid w:val="3BAA6271"/>
    <w:rsid w:val="3BB84132"/>
    <w:rsid w:val="3BC52C1E"/>
    <w:rsid w:val="3BC5620C"/>
    <w:rsid w:val="3BC76554"/>
    <w:rsid w:val="3BE829CD"/>
    <w:rsid w:val="3BEF3A63"/>
    <w:rsid w:val="3C003CFD"/>
    <w:rsid w:val="3C0225FF"/>
    <w:rsid w:val="3C043C7E"/>
    <w:rsid w:val="3C1415AE"/>
    <w:rsid w:val="3C277977"/>
    <w:rsid w:val="3C3663D5"/>
    <w:rsid w:val="3C394810"/>
    <w:rsid w:val="3C5574A8"/>
    <w:rsid w:val="3C8C3269"/>
    <w:rsid w:val="3C8F78ED"/>
    <w:rsid w:val="3C930CED"/>
    <w:rsid w:val="3C984016"/>
    <w:rsid w:val="3C9F54F2"/>
    <w:rsid w:val="3CA65723"/>
    <w:rsid w:val="3CB91994"/>
    <w:rsid w:val="3CBC2A4F"/>
    <w:rsid w:val="3CD2757E"/>
    <w:rsid w:val="3D0535AB"/>
    <w:rsid w:val="3D3F0B93"/>
    <w:rsid w:val="3D6302B5"/>
    <w:rsid w:val="3DAC2788"/>
    <w:rsid w:val="3E0439BD"/>
    <w:rsid w:val="3E21686A"/>
    <w:rsid w:val="3E266F05"/>
    <w:rsid w:val="3E3B2818"/>
    <w:rsid w:val="3E3D6E40"/>
    <w:rsid w:val="3E802A97"/>
    <w:rsid w:val="3E860224"/>
    <w:rsid w:val="3EB81611"/>
    <w:rsid w:val="3EC316BB"/>
    <w:rsid w:val="3EC86B10"/>
    <w:rsid w:val="3ED03B1B"/>
    <w:rsid w:val="3ED206B7"/>
    <w:rsid w:val="3EF25354"/>
    <w:rsid w:val="3F4F1E6B"/>
    <w:rsid w:val="3F6A0496"/>
    <w:rsid w:val="3F705C23"/>
    <w:rsid w:val="3F721126"/>
    <w:rsid w:val="3F993564"/>
    <w:rsid w:val="3FAF5707"/>
    <w:rsid w:val="3FBF43B6"/>
    <w:rsid w:val="3FFE2678"/>
    <w:rsid w:val="401818B4"/>
    <w:rsid w:val="404E6796"/>
    <w:rsid w:val="40880C6E"/>
    <w:rsid w:val="40D16AE4"/>
    <w:rsid w:val="40D54F73"/>
    <w:rsid w:val="40DA08F0"/>
    <w:rsid w:val="41011179"/>
    <w:rsid w:val="412874F2"/>
    <w:rsid w:val="413D15C8"/>
    <w:rsid w:val="414954A9"/>
    <w:rsid w:val="41501279"/>
    <w:rsid w:val="41510EEF"/>
    <w:rsid w:val="415E1BCB"/>
    <w:rsid w:val="416A0352"/>
    <w:rsid w:val="418870A7"/>
    <w:rsid w:val="41926BA2"/>
    <w:rsid w:val="41C07F5B"/>
    <w:rsid w:val="41D91AE4"/>
    <w:rsid w:val="41EF14BA"/>
    <w:rsid w:val="420D0A6A"/>
    <w:rsid w:val="421E0190"/>
    <w:rsid w:val="421F7A8A"/>
    <w:rsid w:val="422A5E1B"/>
    <w:rsid w:val="424853CC"/>
    <w:rsid w:val="429441C6"/>
    <w:rsid w:val="42A012DD"/>
    <w:rsid w:val="42A800ED"/>
    <w:rsid w:val="42B61B65"/>
    <w:rsid w:val="42C02FD4"/>
    <w:rsid w:val="42C11812"/>
    <w:rsid w:val="42CC0717"/>
    <w:rsid w:val="42D36683"/>
    <w:rsid w:val="430A2F0B"/>
    <w:rsid w:val="43184012"/>
    <w:rsid w:val="43322FD5"/>
    <w:rsid w:val="433F02A4"/>
    <w:rsid w:val="43554284"/>
    <w:rsid w:val="435B1CC9"/>
    <w:rsid w:val="43672D9B"/>
    <w:rsid w:val="43AA42CB"/>
    <w:rsid w:val="43B35F95"/>
    <w:rsid w:val="442962A2"/>
    <w:rsid w:val="442C42E7"/>
    <w:rsid w:val="44301750"/>
    <w:rsid w:val="44315CA7"/>
    <w:rsid w:val="4439415D"/>
    <w:rsid w:val="446E05D4"/>
    <w:rsid w:val="446F0254"/>
    <w:rsid w:val="4490658A"/>
    <w:rsid w:val="44B9194D"/>
    <w:rsid w:val="44C4575F"/>
    <w:rsid w:val="44DA22AC"/>
    <w:rsid w:val="45116471"/>
    <w:rsid w:val="451B783B"/>
    <w:rsid w:val="451C3622"/>
    <w:rsid w:val="451C4E9D"/>
    <w:rsid w:val="452B420A"/>
    <w:rsid w:val="452F70E9"/>
    <w:rsid w:val="453026C5"/>
    <w:rsid w:val="45337098"/>
    <w:rsid w:val="45692A85"/>
    <w:rsid w:val="45905E44"/>
    <w:rsid w:val="45C35682"/>
    <w:rsid w:val="45E05775"/>
    <w:rsid w:val="460C6FD1"/>
    <w:rsid w:val="460E227E"/>
    <w:rsid w:val="46162856"/>
    <w:rsid w:val="461A466B"/>
    <w:rsid w:val="46422FBD"/>
    <w:rsid w:val="464C2ACC"/>
    <w:rsid w:val="46541E6B"/>
    <w:rsid w:val="465A6E6A"/>
    <w:rsid w:val="46641814"/>
    <w:rsid w:val="466F1508"/>
    <w:rsid w:val="46750F8A"/>
    <w:rsid w:val="46836503"/>
    <w:rsid w:val="468C3D61"/>
    <w:rsid w:val="46955760"/>
    <w:rsid w:val="469730DC"/>
    <w:rsid w:val="46A83FA4"/>
    <w:rsid w:val="46E33A54"/>
    <w:rsid w:val="46F73E93"/>
    <w:rsid w:val="46FC5B46"/>
    <w:rsid w:val="473A79DD"/>
    <w:rsid w:val="474F0A1B"/>
    <w:rsid w:val="476210A8"/>
    <w:rsid w:val="476B4739"/>
    <w:rsid w:val="47916B77"/>
    <w:rsid w:val="47BA1F3A"/>
    <w:rsid w:val="47D95C35"/>
    <w:rsid w:val="47DB5CF2"/>
    <w:rsid w:val="47DB78B4"/>
    <w:rsid w:val="47DE6C76"/>
    <w:rsid w:val="47DF083D"/>
    <w:rsid w:val="47EF4992"/>
    <w:rsid w:val="481A32B8"/>
    <w:rsid w:val="48516FB5"/>
    <w:rsid w:val="485B33EB"/>
    <w:rsid w:val="48A37CB9"/>
    <w:rsid w:val="48BC6A59"/>
    <w:rsid w:val="48D20808"/>
    <w:rsid w:val="48D76117"/>
    <w:rsid w:val="48FB08AE"/>
    <w:rsid w:val="48FC1CD7"/>
    <w:rsid w:val="48FC3130"/>
    <w:rsid w:val="4906188D"/>
    <w:rsid w:val="49110144"/>
    <w:rsid w:val="491D499E"/>
    <w:rsid w:val="493D25C6"/>
    <w:rsid w:val="494F3655"/>
    <w:rsid w:val="49620FF1"/>
    <w:rsid w:val="497420EF"/>
    <w:rsid w:val="497A1F1B"/>
    <w:rsid w:val="497D52BA"/>
    <w:rsid w:val="497D74FE"/>
    <w:rsid w:val="49801C26"/>
    <w:rsid w:val="498615B1"/>
    <w:rsid w:val="49896CB2"/>
    <w:rsid w:val="49C115B4"/>
    <w:rsid w:val="49DA454D"/>
    <w:rsid w:val="4A045CD4"/>
    <w:rsid w:val="4A1925C9"/>
    <w:rsid w:val="4A4009DF"/>
    <w:rsid w:val="4A49386D"/>
    <w:rsid w:val="4A4D18A8"/>
    <w:rsid w:val="4A685F30"/>
    <w:rsid w:val="4A7C4FC1"/>
    <w:rsid w:val="4A8039C7"/>
    <w:rsid w:val="4A8A7B5A"/>
    <w:rsid w:val="4A8B1D58"/>
    <w:rsid w:val="4A8B416F"/>
    <w:rsid w:val="4A8E2CDD"/>
    <w:rsid w:val="4A937164"/>
    <w:rsid w:val="4AB04516"/>
    <w:rsid w:val="4AC36EA0"/>
    <w:rsid w:val="4AC46006"/>
    <w:rsid w:val="4AC56403"/>
    <w:rsid w:val="4ACE7349"/>
    <w:rsid w:val="4ACF7970"/>
    <w:rsid w:val="4ADE5AFE"/>
    <w:rsid w:val="4AF02D81"/>
    <w:rsid w:val="4AFB7040"/>
    <w:rsid w:val="4AFC3012"/>
    <w:rsid w:val="4AFF2781"/>
    <w:rsid w:val="4B09281F"/>
    <w:rsid w:val="4B2A63DE"/>
    <w:rsid w:val="4B3515FC"/>
    <w:rsid w:val="4B473790"/>
    <w:rsid w:val="4B7C61E8"/>
    <w:rsid w:val="4B8B2489"/>
    <w:rsid w:val="4B955A8D"/>
    <w:rsid w:val="4B9C06D0"/>
    <w:rsid w:val="4B9F3E1E"/>
    <w:rsid w:val="4BB040B9"/>
    <w:rsid w:val="4BBC63E0"/>
    <w:rsid w:val="4BBD33CE"/>
    <w:rsid w:val="4BC44B03"/>
    <w:rsid w:val="4BC465DD"/>
    <w:rsid w:val="4BC84689"/>
    <w:rsid w:val="4BD36F60"/>
    <w:rsid w:val="4BDF4993"/>
    <w:rsid w:val="4BF6482D"/>
    <w:rsid w:val="4C2C21FD"/>
    <w:rsid w:val="4C406AFB"/>
    <w:rsid w:val="4C5F77FA"/>
    <w:rsid w:val="4C6F3C8F"/>
    <w:rsid w:val="4C72046F"/>
    <w:rsid w:val="4CAD655A"/>
    <w:rsid w:val="4CB644F0"/>
    <w:rsid w:val="4CC306FE"/>
    <w:rsid w:val="4CE71BB7"/>
    <w:rsid w:val="4CE950BA"/>
    <w:rsid w:val="4CFB24FB"/>
    <w:rsid w:val="4D20220D"/>
    <w:rsid w:val="4D2E0342"/>
    <w:rsid w:val="4D304C6C"/>
    <w:rsid w:val="4D436E4F"/>
    <w:rsid w:val="4D4E2584"/>
    <w:rsid w:val="4D6C5694"/>
    <w:rsid w:val="4D8F0D50"/>
    <w:rsid w:val="4D90291B"/>
    <w:rsid w:val="4D940DD6"/>
    <w:rsid w:val="4D9F1366"/>
    <w:rsid w:val="4DAB2CD7"/>
    <w:rsid w:val="4DB237E3"/>
    <w:rsid w:val="4DB35E08"/>
    <w:rsid w:val="4DC42B98"/>
    <w:rsid w:val="4DC823D1"/>
    <w:rsid w:val="4DCD3D71"/>
    <w:rsid w:val="4DEC2FAC"/>
    <w:rsid w:val="4E11793D"/>
    <w:rsid w:val="4E2B22D4"/>
    <w:rsid w:val="4E790429"/>
    <w:rsid w:val="4E8E31EC"/>
    <w:rsid w:val="4EA41181"/>
    <w:rsid w:val="4EBB043F"/>
    <w:rsid w:val="4ECC0AD3"/>
    <w:rsid w:val="4EDD6486"/>
    <w:rsid w:val="4EE57987"/>
    <w:rsid w:val="4EEF38AF"/>
    <w:rsid w:val="4F044A7C"/>
    <w:rsid w:val="4F14570F"/>
    <w:rsid w:val="4F2852AB"/>
    <w:rsid w:val="4F290B6C"/>
    <w:rsid w:val="4F342A81"/>
    <w:rsid w:val="4F3C7E8D"/>
    <w:rsid w:val="4F416513"/>
    <w:rsid w:val="4F4A4C24"/>
    <w:rsid w:val="4F5145AF"/>
    <w:rsid w:val="4F545534"/>
    <w:rsid w:val="4F583652"/>
    <w:rsid w:val="4F620BD9"/>
    <w:rsid w:val="4F722A43"/>
    <w:rsid w:val="4F89218B"/>
    <w:rsid w:val="4F954B79"/>
    <w:rsid w:val="4FAD6EC7"/>
    <w:rsid w:val="4FB85F72"/>
    <w:rsid w:val="4FF7696F"/>
    <w:rsid w:val="50082A59"/>
    <w:rsid w:val="50120DEA"/>
    <w:rsid w:val="501A736E"/>
    <w:rsid w:val="503D54B2"/>
    <w:rsid w:val="50434BF1"/>
    <w:rsid w:val="50517AB5"/>
    <w:rsid w:val="506F76E3"/>
    <w:rsid w:val="50930868"/>
    <w:rsid w:val="50CC3DC0"/>
    <w:rsid w:val="50D17F23"/>
    <w:rsid w:val="50DE6AB4"/>
    <w:rsid w:val="50F626E2"/>
    <w:rsid w:val="5107760F"/>
    <w:rsid w:val="512F3B40"/>
    <w:rsid w:val="51325034"/>
    <w:rsid w:val="518C0EC1"/>
    <w:rsid w:val="51A4544C"/>
    <w:rsid w:val="51B23E9C"/>
    <w:rsid w:val="51C273F1"/>
    <w:rsid w:val="52117366"/>
    <w:rsid w:val="5222187E"/>
    <w:rsid w:val="52600965"/>
    <w:rsid w:val="526B217C"/>
    <w:rsid w:val="528775F5"/>
    <w:rsid w:val="52A2556C"/>
    <w:rsid w:val="52AA302D"/>
    <w:rsid w:val="53051DE2"/>
    <w:rsid w:val="530968C9"/>
    <w:rsid w:val="53155F5F"/>
    <w:rsid w:val="532661FA"/>
    <w:rsid w:val="533D5463"/>
    <w:rsid w:val="534C5090"/>
    <w:rsid w:val="53514ABF"/>
    <w:rsid w:val="536F7228"/>
    <w:rsid w:val="537F430A"/>
    <w:rsid w:val="53902FFE"/>
    <w:rsid w:val="539A72B3"/>
    <w:rsid w:val="539F2640"/>
    <w:rsid w:val="53C23AF9"/>
    <w:rsid w:val="53F41F08"/>
    <w:rsid w:val="544F520C"/>
    <w:rsid w:val="54576514"/>
    <w:rsid w:val="54684AC0"/>
    <w:rsid w:val="54751709"/>
    <w:rsid w:val="54754022"/>
    <w:rsid w:val="548B5741"/>
    <w:rsid w:val="54B00E27"/>
    <w:rsid w:val="54CC782F"/>
    <w:rsid w:val="54D25EB5"/>
    <w:rsid w:val="54D371BA"/>
    <w:rsid w:val="54E35B29"/>
    <w:rsid w:val="55170BA8"/>
    <w:rsid w:val="55750F41"/>
    <w:rsid w:val="558A4EDF"/>
    <w:rsid w:val="558B0E71"/>
    <w:rsid w:val="55974979"/>
    <w:rsid w:val="55A50C04"/>
    <w:rsid w:val="55AB5B9F"/>
    <w:rsid w:val="55AC109B"/>
    <w:rsid w:val="55D36D5C"/>
    <w:rsid w:val="55E97EC3"/>
    <w:rsid w:val="55FD0694"/>
    <w:rsid w:val="56150081"/>
    <w:rsid w:val="56193C4E"/>
    <w:rsid w:val="56424E12"/>
    <w:rsid w:val="56434A8F"/>
    <w:rsid w:val="56455D97"/>
    <w:rsid w:val="56477942"/>
    <w:rsid w:val="56510B27"/>
    <w:rsid w:val="565150FB"/>
    <w:rsid w:val="565D63A1"/>
    <w:rsid w:val="5670465C"/>
    <w:rsid w:val="56732641"/>
    <w:rsid w:val="567F4C77"/>
    <w:rsid w:val="56881D03"/>
    <w:rsid w:val="56A71364"/>
    <w:rsid w:val="56B728CB"/>
    <w:rsid w:val="56B73D78"/>
    <w:rsid w:val="56BE6173"/>
    <w:rsid w:val="56C0018C"/>
    <w:rsid w:val="56D8660A"/>
    <w:rsid w:val="56DC2BFE"/>
    <w:rsid w:val="56F7363C"/>
    <w:rsid w:val="570F0CE3"/>
    <w:rsid w:val="57166D5D"/>
    <w:rsid w:val="572A730E"/>
    <w:rsid w:val="573840A5"/>
    <w:rsid w:val="575141B1"/>
    <w:rsid w:val="575C0DE2"/>
    <w:rsid w:val="578E7560"/>
    <w:rsid w:val="57A859DE"/>
    <w:rsid w:val="57E4334C"/>
    <w:rsid w:val="57FE2B69"/>
    <w:rsid w:val="57FE4576"/>
    <w:rsid w:val="58001FB9"/>
    <w:rsid w:val="583077A8"/>
    <w:rsid w:val="58422359"/>
    <w:rsid w:val="58712EA8"/>
    <w:rsid w:val="588144B9"/>
    <w:rsid w:val="5895585D"/>
    <w:rsid w:val="589907E9"/>
    <w:rsid w:val="58D920A8"/>
    <w:rsid w:val="58F741A0"/>
    <w:rsid w:val="59024996"/>
    <w:rsid w:val="590A7CB0"/>
    <w:rsid w:val="590E4494"/>
    <w:rsid w:val="59160DA5"/>
    <w:rsid w:val="592A00D8"/>
    <w:rsid w:val="5939414F"/>
    <w:rsid w:val="59517F98"/>
    <w:rsid w:val="59571ECC"/>
    <w:rsid w:val="595F0A60"/>
    <w:rsid w:val="597E2795"/>
    <w:rsid w:val="599B4B2E"/>
    <w:rsid w:val="599E2BC3"/>
    <w:rsid w:val="59C26DF6"/>
    <w:rsid w:val="59CB35ED"/>
    <w:rsid w:val="59E35308"/>
    <w:rsid w:val="59E71CD3"/>
    <w:rsid w:val="59EA6A42"/>
    <w:rsid w:val="59F27B21"/>
    <w:rsid w:val="59F35F66"/>
    <w:rsid w:val="5A1030D6"/>
    <w:rsid w:val="5A1B6236"/>
    <w:rsid w:val="5A2A7C7B"/>
    <w:rsid w:val="5A3E219F"/>
    <w:rsid w:val="5A4958D6"/>
    <w:rsid w:val="5A4E49B8"/>
    <w:rsid w:val="5A5F48DF"/>
    <w:rsid w:val="5A7A0CFF"/>
    <w:rsid w:val="5A9F7BC7"/>
    <w:rsid w:val="5AA1498D"/>
    <w:rsid w:val="5AA248E1"/>
    <w:rsid w:val="5AAE2453"/>
    <w:rsid w:val="5AB3646E"/>
    <w:rsid w:val="5AB42E2E"/>
    <w:rsid w:val="5AC01473"/>
    <w:rsid w:val="5AE25570"/>
    <w:rsid w:val="5B0C6822"/>
    <w:rsid w:val="5B164401"/>
    <w:rsid w:val="5B232375"/>
    <w:rsid w:val="5B287B9E"/>
    <w:rsid w:val="5B3916C4"/>
    <w:rsid w:val="5B4B35D6"/>
    <w:rsid w:val="5B630C7D"/>
    <w:rsid w:val="5B6D0D13"/>
    <w:rsid w:val="5B9242D5"/>
    <w:rsid w:val="5B986E2C"/>
    <w:rsid w:val="5BA76380"/>
    <w:rsid w:val="5BD252E5"/>
    <w:rsid w:val="5BEA7C5C"/>
    <w:rsid w:val="5C163158"/>
    <w:rsid w:val="5C1E5B2C"/>
    <w:rsid w:val="5C464AF3"/>
    <w:rsid w:val="5C4D1930"/>
    <w:rsid w:val="5C7368BB"/>
    <w:rsid w:val="5C764F7E"/>
    <w:rsid w:val="5C7D2F1B"/>
    <w:rsid w:val="5CCB4D4C"/>
    <w:rsid w:val="5CD97408"/>
    <w:rsid w:val="5D375134"/>
    <w:rsid w:val="5D5932C9"/>
    <w:rsid w:val="5D703912"/>
    <w:rsid w:val="5D805774"/>
    <w:rsid w:val="5D8C7FFB"/>
    <w:rsid w:val="5D952470"/>
    <w:rsid w:val="5DA2372A"/>
    <w:rsid w:val="5DAC2B81"/>
    <w:rsid w:val="5DB01104"/>
    <w:rsid w:val="5DC43157"/>
    <w:rsid w:val="5DE4494F"/>
    <w:rsid w:val="5DE540A2"/>
    <w:rsid w:val="5DEA05B3"/>
    <w:rsid w:val="5E086CAD"/>
    <w:rsid w:val="5E153A69"/>
    <w:rsid w:val="5E194BAD"/>
    <w:rsid w:val="5E286F76"/>
    <w:rsid w:val="5E6B348D"/>
    <w:rsid w:val="5E6F59A1"/>
    <w:rsid w:val="5E766F86"/>
    <w:rsid w:val="5E783246"/>
    <w:rsid w:val="5E9033B3"/>
    <w:rsid w:val="5EAB402C"/>
    <w:rsid w:val="5EB94577"/>
    <w:rsid w:val="5ECA38DC"/>
    <w:rsid w:val="5EDF5A84"/>
    <w:rsid w:val="5EF902AD"/>
    <w:rsid w:val="5F1D0A18"/>
    <w:rsid w:val="5F1E6298"/>
    <w:rsid w:val="5F2C36CF"/>
    <w:rsid w:val="5F557AF4"/>
    <w:rsid w:val="5F5B5DC5"/>
    <w:rsid w:val="5F6C401A"/>
    <w:rsid w:val="5F864BC4"/>
    <w:rsid w:val="5F870946"/>
    <w:rsid w:val="5F870C13"/>
    <w:rsid w:val="5F973A9F"/>
    <w:rsid w:val="5FAB2F90"/>
    <w:rsid w:val="5FAE2505"/>
    <w:rsid w:val="5FB84EF1"/>
    <w:rsid w:val="5FD03D3F"/>
    <w:rsid w:val="5FDE4B0E"/>
    <w:rsid w:val="5FE90390"/>
    <w:rsid w:val="5FEE5335"/>
    <w:rsid w:val="5FF217E7"/>
    <w:rsid w:val="5FF94F03"/>
    <w:rsid w:val="60045493"/>
    <w:rsid w:val="601A2EBA"/>
    <w:rsid w:val="60262063"/>
    <w:rsid w:val="605A0420"/>
    <w:rsid w:val="606B5276"/>
    <w:rsid w:val="607B41D8"/>
    <w:rsid w:val="608853A1"/>
    <w:rsid w:val="608B07C0"/>
    <w:rsid w:val="608D41E9"/>
    <w:rsid w:val="60A305F5"/>
    <w:rsid w:val="60B50B3A"/>
    <w:rsid w:val="60D33CBD"/>
    <w:rsid w:val="60D62AC5"/>
    <w:rsid w:val="60D91FF3"/>
    <w:rsid w:val="60EA7D0F"/>
    <w:rsid w:val="6118535B"/>
    <w:rsid w:val="611B62E0"/>
    <w:rsid w:val="612C0778"/>
    <w:rsid w:val="613B0F6B"/>
    <w:rsid w:val="61667784"/>
    <w:rsid w:val="617E0582"/>
    <w:rsid w:val="619D6C60"/>
    <w:rsid w:val="619E6E5D"/>
    <w:rsid w:val="61A50442"/>
    <w:rsid w:val="61A73945"/>
    <w:rsid w:val="61B66365"/>
    <w:rsid w:val="61C52EF5"/>
    <w:rsid w:val="61D06D08"/>
    <w:rsid w:val="61D75508"/>
    <w:rsid w:val="61DD3E1F"/>
    <w:rsid w:val="61EC7E7F"/>
    <w:rsid w:val="61EE0D04"/>
    <w:rsid w:val="620A52F3"/>
    <w:rsid w:val="620F042E"/>
    <w:rsid w:val="62124D93"/>
    <w:rsid w:val="62166DC4"/>
    <w:rsid w:val="622B3B31"/>
    <w:rsid w:val="623779B1"/>
    <w:rsid w:val="62605A04"/>
    <w:rsid w:val="6263230B"/>
    <w:rsid w:val="62695EBD"/>
    <w:rsid w:val="626C34AF"/>
    <w:rsid w:val="6278621C"/>
    <w:rsid w:val="62856665"/>
    <w:rsid w:val="62924D73"/>
    <w:rsid w:val="62DF3642"/>
    <w:rsid w:val="630927BF"/>
    <w:rsid w:val="631D4DCC"/>
    <w:rsid w:val="63306D29"/>
    <w:rsid w:val="63312951"/>
    <w:rsid w:val="633A04D8"/>
    <w:rsid w:val="633B3BCF"/>
    <w:rsid w:val="638D4ABB"/>
    <w:rsid w:val="638D7235"/>
    <w:rsid w:val="63916CE9"/>
    <w:rsid w:val="639578ED"/>
    <w:rsid w:val="63991E2C"/>
    <w:rsid w:val="63AE62B1"/>
    <w:rsid w:val="643D3D60"/>
    <w:rsid w:val="6458106E"/>
    <w:rsid w:val="64935DDC"/>
    <w:rsid w:val="64C85114"/>
    <w:rsid w:val="64DF71B1"/>
    <w:rsid w:val="65161B16"/>
    <w:rsid w:val="65346E5E"/>
    <w:rsid w:val="653A3A54"/>
    <w:rsid w:val="653F1EA7"/>
    <w:rsid w:val="65500C62"/>
    <w:rsid w:val="65556322"/>
    <w:rsid w:val="655E2B41"/>
    <w:rsid w:val="656362D6"/>
    <w:rsid w:val="65E24F34"/>
    <w:rsid w:val="65F6158D"/>
    <w:rsid w:val="65FE645C"/>
    <w:rsid w:val="6602326A"/>
    <w:rsid w:val="661C4ED6"/>
    <w:rsid w:val="66253350"/>
    <w:rsid w:val="66295856"/>
    <w:rsid w:val="663275EF"/>
    <w:rsid w:val="665E22FF"/>
    <w:rsid w:val="66967B50"/>
    <w:rsid w:val="66B039EC"/>
    <w:rsid w:val="66BE59D2"/>
    <w:rsid w:val="66CA479B"/>
    <w:rsid w:val="66CC02BC"/>
    <w:rsid w:val="66D81FC8"/>
    <w:rsid w:val="66E52310"/>
    <w:rsid w:val="66E77BCB"/>
    <w:rsid w:val="6701575E"/>
    <w:rsid w:val="670D6C1F"/>
    <w:rsid w:val="67160F42"/>
    <w:rsid w:val="672E04E8"/>
    <w:rsid w:val="672F3D42"/>
    <w:rsid w:val="67530DBD"/>
    <w:rsid w:val="67617A04"/>
    <w:rsid w:val="677767A0"/>
    <w:rsid w:val="67A6181F"/>
    <w:rsid w:val="67C25449"/>
    <w:rsid w:val="67D068B1"/>
    <w:rsid w:val="67F22786"/>
    <w:rsid w:val="67FE5053"/>
    <w:rsid w:val="680D179A"/>
    <w:rsid w:val="68101C9D"/>
    <w:rsid w:val="681F5B23"/>
    <w:rsid w:val="682A71D6"/>
    <w:rsid w:val="682E257A"/>
    <w:rsid w:val="684E08B0"/>
    <w:rsid w:val="685A46C3"/>
    <w:rsid w:val="68700D0F"/>
    <w:rsid w:val="688B573A"/>
    <w:rsid w:val="68A66D41"/>
    <w:rsid w:val="68AF77EB"/>
    <w:rsid w:val="68B176F5"/>
    <w:rsid w:val="68BB6F39"/>
    <w:rsid w:val="68C1329E"/>
    <w:rsid w:val="68C51BAE"/>
    <w:rsid w:val="68D4658B"/>
    <w:rsid w:val="68EE7135"/>
    <w:rsid w:val="68F25B3B"/>
    <w:rsid w:val="690A6C3B"/>
    <w:rsid w:val="696F1634"/>
    <w:rsid w:val="697D65C5"/>
    <w:rsid w:val="699321E7"/>
    <w:rsid w:val="69966CF2"/>
    <w:rsid w:val="69CD741B"/>
    <w:rsid w:val="69D35328"/>
    <w:rsid w:val="69D84B34"/>
    <w:rsid w:val="69F134E0"/>
    <w:rsid w:val="69F72FE2"/>
    <w:rsid w:val="69FC5FED"/>
    <w:rsid w:val="6A1B68A2"/>
    <w:rsid w:val="6A350C4E"/>
    <w:rsid w:val="6A374FA7"/>
    <w:rsid w:val="6A3D2EB0"/>
    <w:rsid w:val="6A4836A7"/>
    <w:rsid w:val="6A49294B"/>
    <w:rsid w:val="6A4F7FF6"/>
    <w:rsid w:val="6A553058"/>
    <w:rsid w:val="6A785127"/>
    <w:rsid w:val="6A8D7E41"/>
    <w:rsid w:val="6AA64F87"/>
    <w:rsid w:val="6B2E2D35"/>
    <w:rsid w:val="6B30724A"/>
    <w:rsid w:val="6B3B697A"/>
    <w:rsid w:val="6B457289"/>
    <w:rsid w:val="6B4C2497"/>
    <w:rsid w:val="6B557947"/>
    <w:rsid w:val="6B961612"/>
    <w:rsid w:val="6B9B1A18"/>
    <w:rsid w:val="6BA01F21"/>
    <w:rsid w:val="6BA25424"/>
    <w:rsid w:val="6BBA2ACB"/>
    <w:rsid w:val="6BBB3062"/>
    <w:rsid w:val="6BBC12BA"/>
    <w:rsid w:val="6BC261C0"/>
    <w:rsid w:val="6BD3098E"/>
    <w:rsid w:val="6BD97773"/>
    <w:rsid w:val="6BF96F33"/>
    <w:rsid w:val="6C313854"/>
    <w:rsid w:val="6C666467"/>
    <w:rsid w:val="6C7553FD"/>
    <w:rsid w:val="6C7E1E01"/>
    <w:rsid w:val="6C9C0EC0"/>
    <w:rsid w:val="6CB304CE"/>
    <w:rsid w:val="6CC664D5"/>
    <w:rsid w:val="6CD854A1"/>
    <w:rsid w:val="6CDD27F9"/>
    <w:rsid w:val="6CFD43DC"/>
    <w:rsid w:val="6D21195D"/>
    <w:rsid w:val="6D213317"/>
    <w:rsid w:val="6D5B736F"/>
    <w:rsid w:val="6D60667F"/>
    <w:rsid w:val="6D6B0293"/>
    <w:rsid w:val="6D7C5FAF"/>
    <w:rsid w:val="6D7E3582"/>
    <w:rsid w:val="6D806684"/>
    <w:rsid w:val="6DA4006D"/>
    <w:rsid w:val="6DB7708E"/>
    <w:rsid w:val="6DC76061"/>
    <w:rsid w:val="6DE40E56"/>
    <w:rsid w:val="6DFD08A6"/>
    <w:rsid w:val="6E04138B"/>
    <w:rsid w:val="6E2D5DD3"/>
    <w:rsid w:val="6E300D57"/>
    <w:rsid w:val="6E3808E1"/>
    <w:rsid w:val="6E4475BC"/>
    <w:rsid w:val="6E5A5DCF"/>
    <w:rsid w:val="6E6A3CC7"/>
    <w:rsid w:val="6E725242"/>
    <w:rsid w:val="6E79134A"/>
    <w:rsid w:val="6E794BCD"/>
    <w:rsid w:val="6E7C32EF"/>
    <w:rsid w:val="6E916664"/>
    <w:rsid w:val="6E935777"/>
    <w:rsid w:val="6EA477FD"/>
    <w:rsid w:val="6EA72219"/>
    <w:rsid w:val="6EB33AAD"/>
    <w:rsid w:val="6EED407B"/>
    <w:rsid w:val="6EFA6397"/>
    <w:rsid w:val="6F2B2472"/>
    <w:rsid w:val="6F380483"/>
    <w:rsid w:val="6F414E9A"/>
    <w:rsid w:val="6F4A74A4"/>
    <w:rsid w:val="6F9319FD"/>
    <w:rsid w:val="6FD8258B"/>
    <w:rsid w:val="6FDF7997"/>
    <w:rsid w:val="6FE65646"/>
    <w:rsid w:val="6FE860A9"/>
    <w:rsid w:val="6FF638D9"/>
    <w:rsid w:val="6FFC72C8"/>
    <w:rsid w:val="70173375"/>
    <w:rsid w:val="70221706"/>
    <w:rsid w:val="703D35B4"/>
    <w:rsid w:val="703F273A"/>
    <w:rsid w:val="704C254A"/>
    <w:rsid w:val="705D51E7"/>
    <w:rsid w:val="705F3769"/>
    <w:rsid w:val="70650423"/>
    <w:rsid w:val="70670B75"/>
    <w:rsid w:val="70682C82"/>
    <w:rsid w:val="707F7A0E"/>
    <w:rsid w:val="709E5136"/>
    <w:rsid w:val="70B331F3"/>
    <w:rsid w:val="70C83DAA"/>
    <w:rsid w:val="70FA1B4A"/>
    <w:rsid w:val="70FE61FA"/>
    <w:rsid w:val="71023B18"/>
    <w:rsid w:val="710E4698"/>
    <w:rsid w:val="710F68B9"/>
    <w:rsid w:val="71424A8C"/>
    <w:rsid w:val="715C0189"/>
    <w:rsid w:val="715E09DC"/>
    <w:rsid w:val="718070C4"/>
    <w:rsid w:val="719941B8"/>
    <w:rsid w:val="71B12A9B"/>
    <w:rsid w:val="71BE790F"/>
    <w:rsid w:val="71DA5435"/>
    <w:rsid w:val="71ED1C76"/>
    <w:rsid w:val="71F62B06"/>
    <w:rsid w:val="7217238C"/>
    <w:rsid w:val="722978DD"/>
    <w:rsid w:val="7251779C"/>
    <w:rsid w:val="7257516A"/>
    <w:rsid w:val="72631803"/>
    <w:rsid w:val="72866971"/>
    <w:rsid w:val="72A262A2"/>
    <w:rsid w:val="72A35F21"/>
    <w:rsid w:val="72A823A9"/>
    <w:rsid w:val="72CB1664"/>
    <w:rsid w:val="72DA3EEC"/>
    <w:rsid w:val="72DD7776"/>
    <w:rsid w:val="730162BB"/>
    <w:rsid w:val="7318280F"/>
    <w:rsid w:val="731E4B67"/>
    <w:rsid w:val="732035CF"/>
    <w:rsid w:val="732566A2"/>
    <w:rsid w:val="73265500"/>
    <w:rsid w:val="732B4479"/>
    <w:rsid w:val="7359309E"/>
    <w:rsid w:val="736A69B4"/>
    <w:rsid w:val="737B72CC"/>
    <w:rsid w:val="73843011"/>
    <w:rsid w:val="7393092A"/>
    <w:rsid w:val="73AC273F"/>
    <w:rsid w:val="73B415E2"/>
    <w:rsid w:val="73C970C4"/>
    <w:rsid w:val="73CC6C88"/>
    <w:rsid w:val="73D43F48"/>
    <w:rsid w:val="74054864"/>
    <w:rsid w:val="74077D67"/>
    <w:rsid w:val="742452F2"/>
    <w:rsid w:val="742A23CE"/>
    <w:rsid w:val="74374CB7"/>
    <w:rsid w:val="745201E6"/>
    <w:rsid w:val="74563369"/>
    <w:rsid w:val="74736F42"/>
    <w:rsid w:val="74821A87"/>
    <w:rsid w:val="74C05B2D"/>
    <w:rsid w:val="75070F8F"/>
    <w:rsid w:val="75073003"/>
    <w:rsid w:val="750914BF"/>
    <w:rsid w:val="750E70AC"/>
    <w:rsid w:val="750F3E1D"/>
    <w:rsid w:val="752F05AF"/>
    <w:rsid w:val="753F6B6A"/>
    <w:rsid w:val="75575F1C"/>
    <w:rsid w:val="75A17B08"/>
    <w:rsid w:val="75B46B29"/>
    <w:rsid w:val="75B479F1"/>
    <w:rsid w:val="75C500C8"/>
    <w:rsid w:val="75D27C98"/>
    <w:rsid w:val="75DB6337"/>
    <w:rsid w:val="75E04993"/>
    <w:rsid w:val="75F00B6F"/>
    <w:rsid w:val="75F8181C"/>
    <w:rsid w:val="760527E2"/>
    <w:rsid w:val="7619749F"/>
    <w:rsid w:val="761B77D2"/>
    <w:rsid w:val="76352F6D"/>
    <w:rsid w:val="767E6C03"/>
    <w:rsid w:val="76A032AE"/>
    <w:rsid w:val="76A209B0"/>
    <w:rsid w:val="76A57736"/>
    <w:rsid w:val="76C02BBE"/>
    <w:rsid w:val="770C03DF"/>
    <w:rsid w:val="771F6F0D"/>
    <w:rsid w:val="772B62D6"/>
    <w:rsid w:val="77335BFD"/>
    <w:rsid w:val="77384726"/>
    <w:rsid w:val="775626EC"/>
    <w:rsid w:val="775904DE"/>
    <w:rsid w:val="776B03F9"/>
    <w:rsid w:val="777C270A"/>
    <w:rsid w:val="7781259C"/>
    <w:rsid w:val="77957A74"/>
    <w:rsid w:val="77A411C1"/>
    <w:rsid w:val="77A45FD4"/>
    <w:rsid w:val="77C36889"/>
    <w:rsid w:val="77C74EAF"/>
    <w:rsid w:val="77D323A7"/>
    <w:rsid w:val="77F23B55"/>
    <w:rsid w:val="77FB434F"/>
    <w:rsid w:val="781B2E87"/>
    <w:rsid w:val="781F6409"/>
    <w:rsid w:val="782D5F38"/>
    <w:rsid w:val="783436C5"/>
    <w:rsid w:val="783922B8"/>
    <w:rsid w:val="7850747A"/>
    <w:rsid w:val="785547BB"/>
    <w:rsid w:val="78622F0F"/>
    <w:rsid w:val="78A11546"/>
    <w:rsid w:val="78AB4608"/>
    <w:rsid w:val="78AC213D"/>
    <w:rsid w:val="78BC6AA1"/>
    <w:rsid w:val="78C16B71"/>
    <w:rsid w:val="78D019E8"/>
    <w:rsid w:val="78E26882"/>
    <w:rsid w:val="78F4247E"/>
    <w:rsid w:val="78F43EE5"/>
    <w:rsid w:val="78F8460C"/>
    <w:rsid w:val="79001B14"/>
    <w:rsid w:val="79191EF6"/>
    <w:rsid w:val="792719D3"/>
    <w:rsid w:val="7930583F"/>
    <w:rsid w:val="793262A2"/>
    <w:rsid w:val="79407CE9"/>
    <w:rsid w:val="795E40AC"/>
    <w:rsid w:val="796F1DC8"/>
    <w:rsid w:val="797A6EC9"/>
    <w:rsid w:val="7993780F"/>
    <w:rsid w:val="79B54B04"/>
    <w:rsid w:val="79B6253C"/>
    <w:rsid w:val="79EB2C8E"/>
    <w:rsid w:val="79F223A1"/>
    <w:rsid w:val="79FA4F99"/>
    <w:rsid w:val="7A1B1EF4"/>
    <w:rsid w:val="7A3C534F"/>
    <w:rsid w:val="7A480840"/>
    <w:rsid w:val="7A4C04B1"/>
    <w:rsid w:val="7A551A6B"/>
    <w:rsid w:val="7A80126F"/>
    <w:rsid w:val="7A8A6C86"/>
    <w:rsid w:val="7AA27158"/>
    <w:rsid w:val="7AB6535C"/>
    <w:rsid w:val="7AD602D6"/>
    <w:rsid w:val="7AF46D27"/>
    <w:rsid w:val="7AFE508C"/>
    <w:rsid w:val="7B034450"/>
    <w:rsid w:val="7B0E1042"/>
    <w:rsid w:val="7B340541"/>
    <w:rsid w:val="7B89704B"/>
    <w:rsid w:val="7BBB2949"/>
    <w:rsid w:val="7BBF0CBF"/>
    <w:rsid w:val="7BC21317"/>
    <w:rsid w:val="7BDD5E7E"/>
    <w:rsid w:val="7BF86BD0"/>
    <w:rsid w:val="7BFD7420"/>
    <w:rsid w:val="7C137E1D"/>
    <w:rsid w:val="7C1C2F96"/>
    <w:rsid w:val="7C1E56D2"/>
    <w:rsid w:val="7C2D62F5"/>
    <w:rsid w:val="7C463846"/>
    <w:rsid w:val="7C5461B0"/>
    <w:rsid w:val="7C587FC8"/>
    <w:rsid w:val="7C7F29CF"/>
    <w:rsid w:val="7C8051CC"/>
    <w:rsid w:val="7C933BEE"/>
    <w:rsid w:val="7C9A081D"/>
    <w:rsid w:val="7C9B487E"/>
    <w:rsid w:val="7CA133C2"/>
    <w:rsid w:val="7CAF5B67"/>
    <w:rsid w:val="7CB266A1"/>
    <w:rsid w:val="7CB4634A"/>
    <w:rsid w:val="7CC83788"/>
    <w:rsid w:val="7CD25034"/>
    <w:rsid w:val="7D236FA4"/>
    <w:rsid w:val="7D2569E0"/>
    <w:rsid w:val="7D2F72F0"/>
    <w:rsid w:val="7D341239"/>
    <w:rsid w:val="7D8B740C"/>
    <w:rsid w:val="7D9E5E5C"/>
    <w:rsid w:val="7DE22616"/>
    <w:rsid w:val="7DF1701E"/>
    <w:rsid w:val="7DF612B7"/>
    <w:rsid w:val="7E021846"/>
    <w:rsid w:val="7E2B0F6C"/>
    <w:rsid w:val="7E3C3FAA"/>
    <w:rsid w:val="7E507EC2"/>
    <w:rsid w:val="7EBF0BD3"/>
    <w:rsid w:val="7EC44CC7"/>
    <w:rsid w:val="7EE92554"/>
    <w:rsid w:val="7F3663C0"/>
    <w:rsid w:val="7F587BFA"/>
    <w:rsid w:val="7F5B0B7E"/>
    <w:rsid w:val="7F672BF5"/>
    <w:rsid w:val="7F751728"/>
    <w:rsid w:val="7F795BB0"/>
    <w:rsid w:val="7F7B6EB5"/>
    <w:rsid w:val="7F8374CE"/>
    <w:rsid w:val="7F8D69DE"/>
    <w:rsid w:val="7F985088"/>
    <w:rsid w:val="7F9F6E1A"/>
    <w:rsid w:val="7FB203B3"/>
    <w:rsid w:val="7FC5261C"/>
    <w:rsid w:val="7FC539D1"/>
    <w:rsid w:val="7FF51EAC"/>
    <w:rsid w:val="7FFD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autoRedefine/>
    <w:qFormat/>
    <w:uiPriority w:val="0"/>
    <w:pPr>
      <w:keepNext/>
      <w:numPr>
        <w:ilvl w:val="0"/>
        <w:numId w:val="1"/>
      </w:numPr>
      <w:jc w:val="center"/>
      <w:outlineLvl w:val="0"/>
    </w:pPr>
    <w:rPr>
      <w:rFonts w:eastAsia="黑体"/>
      <w:b/>
      <w:sz w:val="32"/>
      <w:szCs w:val="20"/>
    </w:rPr>
  </w:style>
  <w:style w:type="paragraph" w:styleId="5">
    <w:name w:val="heading 2"/>
    <w:basedOn w:val="1"/>
    <w:next w:val="1"/>
    <w:link w:val="71"/>
    <w:autoRedefine/>
    <w:qFormat/>
    <w:uiPriority w:val="0"/>
    <w:pPr>
      <w:keepNext/>
      <w:numPr>
        <w:ilvl w:val="1"/>
        <w:numId w:val="1"/>
      </w:numPr>
      <w:outlineLvl w:val="1"/>
    </w:pPr>
    <w:rPr>
      <w:sz w:val="28"/>
      <w:szCs w:val="20"/>
    </w:rPr>
  </w:style>
  <w:style w:type="paragraph" w:styleId="6">
    <w:name w:val="heading 3"/>
    <w:basedOn w:val="1"/>
    <w:next w:val="1"/>
    <w:link w:val="72"/>
    <w:autoRedefine/>
    <w:qFormat/>
    <w:uiPriority w:val="0"/>
    <w:pPr>
      <w:keepNext/>
      <w:keepLines/>
      <w:numPr>
        <w:ilvl w:val="2"/>
        <w:numId w:val="1"/>
      </w:numPr>
      <w:spacing w:line="540" w:lineRule="atLeast"/>
      <w:outlineLvl w:val="2"/>
    </w:pPr>
    <w:rPr>
      <w:rFonts w:eastAsia="黑体"/>
      <w:b/>
      <w:sz w:val="28"/>
      <w:szCs w:val="20"/>
    </w:rPr>
  </w:style>
  <w:style w:type="paragraph" w:styleId="7">
    <w:name w:val="heading 4"/>
    <w:basedOn w:val="1"/>
    <w:next w:val="1"/>
    <w:link w:val="68"/>
    <w:autoRedefine/>
    <w:qFormat/>
    <w:uiPriority w:val="0"/>
    <w:pPr>
      <w:keepNext/>
      <w:keepLines/>
      <w:numPr>
        <w:ilvl w:val="3"/>
        <w:numId w:val="1"/>
      </w:numPr>
      <w:spacing w:line="540" w:lineRule="atLeast"/>
      <w:outlineLvl w:val="3"/>
    </w:pPr>
    <w:rPr>
      <w:sz w:val="28"/>
      <w:szCs w:val="28"/>
    </w:rPr>
  </w:style>
  <w:style w:type="paragraph" w:styleId="8">
    <w:name w:val="heading 5"/>
    <w:basedOn w:val="1"/>
    <w:next w:val="9"/>
    <w:link w:val="73"/>
    <w:autoRedefine/>
    <w:qFormat/>
    <w:uiPriority w:val="0"/>
    <w:pPr>
      <w:keepNext/>
      <w:keepLines/>
      <w:numPr>
        <w:ilvl w:val="4"/>
        <w:numId w:val="1"/>
      </w:numPr>
      <w:spacing w:line="372" w:lineRule="auto"/>
      <w:outlineLvl w:val="4"/>
    </w:pPr>
    <w:rPr>
      <w:b/>
      <w:sz w:val="28"/>
      <w:szCs w:val="20"/>
    </w:rPr>
  </w:style>
  <w:style w:type="paragraph" w:styleId="10">
    <w:name w:val="heading 6"/>
    <w:basedOn w:val="1"/>
    <w:next w:val="9"/>
    <w:link w:val="75"/>
    <w:autoRedefine/>
    <w:qFormat/>
    <w:uiPriority w:val="0"/>
    <w:pPr>
      <w:keepNext/>
      <w:keepLines/>
      <w:numPr>
        <w:ilvl w:val="5"/>
        <w:numId w:val="1"/>
      </w:numPr>
      <w:spacing w:line="317" w:lineRule="auto"/>
      <w:outlineLvl w:val="5"/>
    </w:pPr>
    <w:rPr>
      <w:rFonts w:ascii="Arial" w:hAnsi="Arial" w:eastAsia="黑体"/>
      <w:b/>
      <w:sz w:val="24"/>
      <w:szCs w:val="20"/>
    </w:rPr>
  </w:style>
  <w:style w:type="paragraph" w:styleId="11">
    <w:name w:val="heading 7"/>
    <w:basedOn w:val="1"/>
    <w:next w:val="9"/>
    <w:link w:val="76"/>
    <w:autoRedefine/>
    <w:qFormat/>
    <w:uiPriority w:val="0"/>
    <w:pPr>
      <w:keepNext/>
      <w:keepLines/>
      <w:numPr>
        <w:ilvl w:val="6"/>
        <w:numId w:val="1"/>
      </w:numPr>
      <w:spacing w:line="317" w:lineRule="auto"/>
      <w:outlineLvl w:val="6"/>
    </w:pPr>
    <w:rPr>
      <w:b/>
      <w:sz w:val="24"/>
      <w:szCs w:val="20"/>
    </w:rPr>
  </w:style>
  <w:style w:type="paragraph" w:styleId="12">
    <w:name w:val="heading 8"/>
    <w:basedOn w:val="1"/>
    <w:next w:val="9"/>
    <w:link w:val="77"/>
    <w:autoRedefine/>
    <w:qFormat/>
    <w:uiPriority w:val="0"/>
    <w:pPr>
      <w:keepNext/>
      <w:keepLines/>
      <w:numPr>
        <w:ilvl w:val="7"/>
        <w:numId w:val="1"/>
      </w:numPr>
      <w:spacing w:line="317" w:lineRule="auto"/>
      <w:outlineLvl w:val="7"/>
    </w:pPr>
    <w:rPr>
      <w:rFonts w:ascii="Arial" w:hAnsi="Arial" w:eastAsia="黑体"/>
      <w:sz w:val="24"/>
      <w:szCs w:val="20"/>
    </w:rPr>
  </w:style>
  <w:style w:type="paragraph" w:styleId="13">
    <w:name w:val="heading 9"/>
    <w:basedOn w:val="1"/>
    <w:next w:val="9"/>
    <w:link w:val="78"/>
    <w:autoRedefine/>
    <w:qFormat/>
    <w:uiPriority w:val="0"/>
    <w:pPr>
      <w:keepNext/>
      <w:keepLines/>
      <w:numPr>
        <w:ilvl w:val="8"/>
        <w:numId w:val="1"/>
      </w:numPr>
      <w:spacing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4"/>
    <w:autoRedefine/>
    <w:qFormat/>
    <w:uiPriority w:val="0"/>
    <w:pPr>
      <w:widowControl/>
      <w:overflowPunct w:val="0"/>
      <w:autoSpaceDE w:val="0"/>
      <w:autoSpaceDN w:val="0"/>
      <w:adjustRightInd w:val="0"/>
      <w:jc w:val="left"/>
      <w:textAlignment w:val="baseline"/>
    </w:pPr>
    <w:rPr>
      <w:rFonts w:ascii="宋体" w:hAnsi="Courier New" w:eastAsia="楷体_GB2312"/>
      <w:sz w:val="28"/>
      <w:szCs w:val="20"/>
    </w:rPr>
  </w:style>
  <w:style w:type="paragraph" w:styleId="3">
    <w:name w:val="macro"/>
    <w:link w:val="6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74"/>
    <w:autoRedefine/>
    <w:qFormat/>
    <w:uiPriority w:val="0"/>
    <w:pPr>
      <w:adjustRightInd w:val="0"/>
      <w:spacing w:line="312" w:lineRule="atLeast"/>
      <w:ind w:firstLine="420"/>
      <w:textAlignment w:val="baseline"/>
    </w:pPr>
  </w:style>
  <w:style w:type="paragraph" w:styleId="14">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5">
    <w:name w:val="List Number"/>
    <w:basedOn w:val="1"/>
    <w:autoRedefine/>
    <w:qFormat/>
    <w:uiPriority w:val="0"/>
    <w:pPr>
      <w:tabs>
        <w:tab w:val="left" w:pos="360"/>
      </w:tabs>
      <w:ind w:left="360" w:hanging="360" w:hangingChars="200"/>
    </w:pPr>
  </w:style>
  <w:style w:type="paragraph" w:styleId="16">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autoRedefine/>
    <w:qFormat/>
    <w:uiPriority w:val="0"/>
    <w:pPr>
      <w:tabs>
        <w:tab w:val="left" w:pos="360"/>
      </w:tabs>
    </w:pPr>
    <w:rPr>
      <w:rFonts w:ascii="Calibri" w:hAnsi="Calibri"/>
      <w:szCs w:val="22"/>
    </w:rPr>
  </w:style>
  <w:style w:type="paragraph" w:styleId="18">
    <w:name w:val="Document Map"/>
    <w:basedOn w:val="1"/>
    <w:link w:val="79"/>
    <w:autoRedefine/>
    <w:qFormat/>
    <w:uiPriority w:val="0"/>
    <w:pPr>
      <w:shd w:val="clear" w:color="auto" w:fill="000080"/>
    </w:pPr>
  </w:style>
  <w:style w:type="paragraph" w:styleId="19">
    <w:name w:val="annotation text"/>
    <w:basedOn w:val="1"/>
    <w:link w:val="80"/>
    <w:autoRedefine/>
    <w:qFormat/>
    <w:uiPriority w:val="0"/>
    <w:pPr>
      <w:jc w:val="left"/>
    </w:pPr>
  </w:style>
  <w:style w:type="paragraph" w:styleId="20">
    <w:name w:val="Salutation"/>
    <w:basedOn w:val="1"/>
    <w:next w:val="1"/>
    <w:autoRedefine/>
    <w:qFormat/>
    <w:uiPriority w:val="0"/>
    <w:pPr>
      <w:tabs>
        <w:tab w:val="left" w:pos="840"/>
      </w:tabs>
      <w:autoSpaceDE w:val="0"/>
      <w:autoSpaceDN w:val="0"/>
      <w:adjustRightInd w:val="0"/>
      <w:jc w:val="left"/>
    </w:pPr>
    <w:rPr>
      <w:kern w:val="0"/>
      <w:sz w:val="24"/>
      <w:szCs w:val="20"/>
    </w:rPr>
  </w:style>
  <w:style w:type="paragraph" w:styleId="21">
    <w:name w:val="Body Text 3"/>
    <w:basedOn w:val="1"/>
    <w:autoRedefine/>
    <w:qFormat/>
    <w:uiPriority w:val="0"/>
    <w:pPr>
      <w:autoSpaceDE w:val="0"/>
      <w:autoSpaceDN w:val="0"/>
      <w:adjustRightInd w:val="0"/>
      <w:jc w:val="center"/>
    </w:pPr>
    <w:rPr>
      <w:kern w:val="0"/>
      <w:sz w:val="20"/>
      <w:szCs w:val="20"/>
    </w:rPr>
  </w:style>
  <w:style w:type="paragraph" w:styleId="22">
    <w:name w:val="Body Text"/>
    <w:basedOn w:val="1"/>
    <w:next w:val="1"/>
    <w:link w:val="81"/>
    <w:autoRedefine/>
    <w:qFormat/>
    <w:uiPriority w:val="0"/>
  </w:style>
  <w:style w:type="paragraph" w:styleId="23">
    <w:name w:val="Body Text Indent"/>
    <w:basedOn w:val="1"/>
    <w:next w:val="24"/>
    <w:link w:val="83"/>
    <w:autoRedefine/>
    <w:qFormat/>
    <w:uiPriority w:val="0"/>
    <w:pPr>
      <w:ind w:left="480" w:hanging="480" w:hangingChars="200"/>
    </w:pPr>
    <w:rPr>
      <w:sz w:val="24"/>
    </w:rPr>
  </w:style>
  <w:style w:type="paragraph" w:styleId="24">
    <w:name w:val="Body Text First Indent 2"/>
    <w:basedOn w:val="23"/>
    <w:autoRedefine/>
    <w:qFormat/>
    <w:uiPriority w:val="0"/>
    <w:pPr>
      <w:spacing w:after="120"/>
      <w:ind w:left="420" w:leftChars="200" w:firstLine="420"/>
    </w:pPr>
    <w:rPr>
      <w:rFonts w:cs="宋体"/>
      <w:sz w:val="21"/>
      <w:szCs w:val="21"/>
    </w:rPr>
  </w:style>
  <w:style w:type="paragraph" w:styleId="25">
    <w:name w:val="List Number 3"/>
    <w:basedOn w:val="1"/>
    <w:autoRedefine/>
    <w:qFormat/>
    <w:uiPriority w:val="0"/>
    <w:pPr>
      <w:tabs>
        <w:tab w:val="left" w:pos="1200"/>
      </w:tabs>
      <w:ind w:left="1200" w:leftChars="400" w:hanging="360" w:hangingChars="200"/>
    </w:pPr>
  </w:style>
  <w:style w:type="paragraph" w:styleId="26">
    <w:name w:val="Block Text"/>
    <w:basedOn w:val="1"/>
    <w:autoRedefine/>
    <w:qFormat/>
    <w:uiPriority w:val="99"/>
    <w:pPr>
      <w:adjustRightInd w:val="0"/>
      <w:spacing w:line="300" w:lineRule="auto"/>
      <w:ind w:left="958" w:right="-120" w:rightChars="-120"/>
      <w:jc w:val="left"/>
    </w:pPr>
    <w:rPr>
      <w:rFonts w:ascii="宋体" w:hAnsi="宋体"/>
      <w:sz w:val="28"/>
    </w:rPr>
  </w:style>
  <w:style w:type="paragraph" w:styleId="27">
    <w:name w:val="List Bullet 2"/>
    <w:basedOn w:val="1"/>
    <w:autoRedefine/>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0"/>
    <w:pPr>
      <w:ind w:left="840" w:leftChars="400"/>
    </w:pPr>
  </w:style>
  <w:style w:type="paragraph" w:styleId="30">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2">
    <w:name w:val="Date"/>
    <w:basedOn w:val="1"/>
    <w:next w:val="1"/>
    <w:link w:val="85"/>
    <w:autoRedefine/>
    <w:qFormat/>
    <w:uiPriority w:val="0"/>
    <w:pPr>
      <w:ind w:left="100" w:leftChars="2500"/>
    </w:pPr>
  </w:style>
  <w:style w:type="paragraph" w:styleId="33">
    <w:name w:val="Body Text Indent 2"/>
    <w:basedOn w:val="1"/>
    <w:link w:val="86"/>
    <w:autoRedefine/>
    <w:qFormat/>
    <w:uiPriority w:val="0"/>
    <w:pPr>
      <w:spacing w:line="500" w:lineRule="exact"/>
      <w:ind w:firstLine="511" w:firstLineChars="213"/>
    </w:pPr>
    <w:rPr>
      <w:sz w:val="24"/>
    </w:rPr>
  </w:style>
  <w:style w:type="paragraph" w:styleId="34">
    <w:name w:val="Balloon Text"/>
    <w:basedOn w:val="1"/>
    <w:link w:val="87"/>
    <w:autoRedefine/>
    <w:qFormat/>
    <w:uiPriority w:val="0"/>
    <w:rPr>
      <w:sz w:val="18"/>
      <w:szCs w:val="18"/>
    </w:rPr>
  </w:style>
  <w:style w:type="paragraph" w:styleId="35">
    <w:name w:val="footer"/>
    <w:basedOn w:val="1"/>
    <w:link w:val="88"/>
    <w:autoRedefine/>
    <w:qFormat/>
    <w:uiPriority w:val="0"/>
    <w:pPr>
      <w:tabs>
        <w:tab w:val="center" w:pos="4153"/>
        <w:tab w:val="right" w:pos="8306"/>
      </w:tabs>
      <w:snapToGrid w:val="0"/>
      <w:jc w:val="left"/>
    </w:pPr>
    <w:rPr>
      <w:sz w:val="18"/>
      <w:szCs w:val="18"/>
    </w:rPr>
  </w:style>
  <w:style w:type="paragraph" w:styleId="36">
    <w:name w:val="header"/>
    <w:basedOn w:val="1"/>
    <w:link w:val="89"/>
    <w:autoRedefine/>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autoRedefine/>
    <w:qFormat/>
    <w:uiPriority w:val="0"/>
    <w:pPr>
      <w:autoSpaceDE w:val="0"/>
      <w:autoSpaceDN w:val="0"/>
      <w:adjustRightInd w:val="0"/>
      <w:spacing w:line="312" w:lineRule="atLeast"/>
      <w:jc w:val="center"/>
      <w:textAlignment w:val="baseline"/>
    </w:pPr>
    <w:rPr>
      <w:rFonts w:eastAsia="仿宋_GB2312"/>
      <w:kern w:val="0"/>
      <w:sz w:val="24"/>
      <w:szCs w:val="20"/>
    </w:rPr>
  </w:style>
  <w:style w:type="paragraph" w:styleId="38">
    <w:name w:val="toc 1"/>
    <w:basedOn w:val="1"/>
    <w:next w:val="1"/>
    <w:autoRedefine/>
    <w:qFormat/>
    <w:uiPriority w:val="0"/>
  </w:style>
  <w:style w:type="paragraph" w:styleId="39">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90"/>
    <w:autoRedefine/>
    <w:qFormat/>
    <w:uiPriority w:val="0"/>
    <w:pPr>
      <w:spacing w:line="312" w:lineRule="auto"/>
      <w:jc w:val="center"/>
      <w:outlineLvl w:val="1"/>
    </w:pPr>
    <w:rPr>
      <w:rFonts w:ascii="Cambria" w:hAnsi="Cambria"/>
      <w:b/>
      <w:bCs/>
      <w:kern w:val="28"/>
      <w:sz w:val="32"/>
      <w:szCs w:val="32"/>
    </w:rPr>
  </w:style>
  <w:style w:type="paragraph" w:styleId="41">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91"/>
    <w:autoRedefine/>
    <w:qFormat/>
    <w:uiPriority w:val="0"/>
    <w:pPr>
      <w:spacing w:line="500" w:lineRule="exact"/>
      <w:ind w:left="511" w:hanging="511" w:hangingChars="213"/>
    </w:pPr>
    <w:rPr>
      <w:sz w:val="24"/>
    </w:rPr>
  </w:style>
  <w:style w:type="paragraph" w:styleId="44">
    <w:name w:val="toc 2"/>
    <w:basedOn w:val="1"/>
    <w:next w:val="1"/>
    <w:autoRedefine/>
    <w:qFormat/>
    <w:uiPriority w:val="0"/>
    <w:pPr>
      <w:ind w:left="420" w:leftChars="200"/>
    </w:pPr>
  </w:style>
  <w:style w:type="paragraph" w:styleId="45">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6">
    <w:name w:val="Body Text 2"/>
    <w:basedOn w:val="1"/>
    <w:autoRedefine/>
    <w:qFormat/>
    <w:uiPriority w:val="0"/>
    <w:pPr>
      <w:autoSpaceDE w:val="0"/>
      <w:autoSpaceDN w:val="0"/>
      <w:adjustRightInd w:val="0"/>
      <w:spacing w:line="480" w:lineRule="auto"/>
      <w:jc w:val="left"/>
    </w:pPr>
    <w:rPr>
      <w:kern w:val="0"/>
      <w:sz w:val="20"/>
      <w:szCs w:val="20"/>
    </w:rPr>
  </w:style>
  <w:style w:type="paragraph" w:styleId="47">
    <w:name w:val="Normal (Web)"/>
    <w:basedOn w:val="1"/>
    <w:autoRedefine/>
    <w:qFormat/>
    <w:uiPriority w:val="99"/>
    <w:pPr>
      <w:widowControl/>
      <w:spacing w:beforeAutospacing="1" w:afterAutospacing="1"/>
      <w:jc w:val="left"/>
    </w:pPr>
    <w:rPr>
      <w:rFonts w:ascii="宋体" w:hAnsi="宋体" w:cs="宋体"/>
      <w:kern w:val="0"/>
      <w:sz w:val="24"/>
    </w:rPr>
  </w:style>
  <w:style w:type="paragraph" w:styleId="48">
    <w:name w:val="Title"/>
    <w:basedOn w:val="1"/>
    <w:next w:val="1"/>
    <w:link w:val="92"/>
    <w:autoRedefine/>
    <w:qFormat/>
    <w:uiPriority w:val="0"/>
    <w:pPr>
      <w:jc w:val="center"/>
      <w:outlineLvl w:val="0"/>
    </w:pPr>
    <w:rPr>
      <w:rFonts w:ascii="Cambria" w:hAnsi="Cambria"/>
      <w:b/>
      <w:bCs/>
      <w:sz w:val="32"/>
      <w:szCs w:val="32"/>
    </w:rPr>
  </w:style>
  <w:style w:type="paragraph" w:styleId="49">
    <w:name w:val="annotation subject"/>
    <w:basedOn w:val="19"/>
    <w:next w:val="19"/>
    <w:link w:val="93"/>
    <w:autoRedefine/>
    <w:qFormat/>
    <w:uiPriority w:val="0"/>
    <w:rPr>
      <w:b/>
      <w:bCs/>
    </w:rPr>
  </w:style>
  <w:style w:type="paragraph" w:styleId="50">
    <w:name w:val="Body Text First Indent"/>
    <w:basedOn w:val="22"/>
    <w:next w:val="42"/>
    <w:link w:val="82"/>
    <w:autoRedefine/>
    <w:qFormat/>
    <w:uiPriority w:val="0"/>
    <w:pPr>
      <w:autoSpaceDE w:val="0"/>
      <w:autoSpaceDN w:val="0"/>
      <w:adjustRightInd w:val="0"/>
      <w:ind w:firstLine="420" w:firstLineChars="100"/>
      <w:jc w:val="left"/>
    </w:pPr>
    <w:rPr>
      <w:kern w:val="0"/>
      <w:sz w:val="20"/>
      <w:szCs w:val="20"/>
    </w:rPr>
  </w:style>
  <w:style w:type="table" w:styleId="52">
    <w:name w:val="Table Grid"/>
    <w:basedOn w:val="5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0"/>
    <w:rPr>
      <w:bCs/>
    </w:rPr>
  </w:style>
  <w:style w:type="character" w:styleId="55">
    <w:name w:val="page number"/>
    <w:autoRedefine/>
    <w:qFormat/>
    <w:uiPriority w:val="0"/>
  </w:style>
  <w:style w:type="character" w:styleId="56">
    <w:name w:val="FollowedHyperlink"/>
    <w:autoRedefine/>
    <w:qFormat/>
    <w:uiPriority w:val="0"/>
    <w:rPr>
      <w:color w:val="338DE6"/>
      <w:u w:val="none"/>
    </w:rPr>
  </w:style>
  <w:style w:type="character" w:styleId="57">
    <w:name w:val="Emphasis"/>
    <w:autoRedefine/>
    <w:qFormat/>
    <w:uiPriority w:val="0"/>
    <w:rPr>
      <w:i/>
      <w:iCs/>
    </w:rPr>
  </w:style>
  <w:style w:type="character" w:styleId="58">
    <w:name w:val="line number"/>
    <w:autoRedefine/>
    <w:qFormat/>
    <w:uiPriority w:val="0"/>
  </w:style>
  <w:style w:type="character" w:styleId="59">
    <w:name w:val="HTML Definition"/>
    <w:autoRedefine/>
    <w:qFormat/>
    <w:uiPriority w:val="0"/>
  </w:style>
  <w:style w:type="character" w:styleId="60">
    <w:name w:val="HTML Variable"/>
    <w:autoRedefine/>
    <w:qFormat/>
    <w:uiPriority w:val="0"/>
  </w:style>
  <w:style w:type="character" w:styleId="61">
    <w:name w:val="Hyperlink"/>
    <w:basedOn w:val="53"/>
    <w:autoRedefine/>
    <w:qFormat/>
    <w:uiPriority w:val="0"/>
    <w:rPr>
      <w:color w:val="338DE6"/>
      <w:u w:val="none"/>
    </w:rPr>
  </w:style>
  <w:style w:type="character" w:styleId="62">
    <w:name w:val="HTML Code"/>
    <w:autoRedefine/>
    <w:qFormat/>
    <w:uiPriority w:val="0"/>
    <w:rPr>
      <w:rFonts w:hint="default" w:ascii="monospace" w:hAnsi="monospace" w:eastAsia="monospace" w:cs="monospace"/>
      <w:sz w:val="21"/>
      <w:szCs w:val="21"/>
    </w:rPr>
  </w:style>
  <w:style w:type="character" w:styleId="63">
    <w:name w:val="annotation reference"/>
    <w:autoRedefine/>
    <w:qFormat/>
    <w:uiPriority w:val="0"/>
    <w:rPr>
      <w:sz w:val="21"/>
      <w:szCs w:val="21"/>
    </w:rPr>
  </w:style>
  <w:style w:type="character" w:styleId="64">
    <w:name w:val="HTML Cite"/>
    <w:autoRedefine/>
    <w:qFormat/>
    <w:uiPriority w:val="0"/>
    <w:rPr>
      <w:color w:val="008000"/>
    </w:rPr>
  </w:style>
  <w:style w:type="character" w:styleId="65">
    <w:name w:val="HTML Keyboard"/>
    <w:autoRedefine/>
    <w:qFormat/>
    <w:uiPriority w:val="0"/>
    <w:rPr>
      <w:rFonts w:hint="default" w:ascii="monospace" w:hAnsi="monospace" w:eastAsia="monospace" w:cs="monospace"/>
      <w:sz w:val="21"/>
      <w:szCs w:val="21"/>
    </w:rPr>
  </w:style>
  <w:style w:type="character" w:styleId="66">
    <w:name w:val="HTML Sample"/>
    <w:autoRedefine/>
    <w:qFormat/>
    <w:uiPriority w:val="0"/>
    <w:rPr>
      <w:rFonts w:ascii="monospace" w:hAnsi="monospace" w:eastAsia="monospace" w:cs="monospace"/>
      <w:sz w:val="21"/>
      <w:szCs w:val="21"/>
    </w:rPr>
  </w:style>
  <w:style w:type="paragraph" w:customStyle="1" w:styleId="67">
    <w:name w:val="样式 正文文本缩进 + 首行缩进:  2 字符 行距: 1.5 倍行距"/>
    <w:basedOn w:val="23"/>
    <w:autoRedefine/>
    <w:qFormat/>
    <w:uiPriority w:val="0"/>
    <w:pPr>
      <w:spacing w:before="156"/>
      <w:ind w:left="0" w:firstLine="482"/>
    </w:pPr>
    <w:rPr>
      <w:rFonts w:cs="宋体"/>
      <w:b/>
    </w:rPr>
  </w:style>
  <w:style w:type="character" w:customStyle="1" w:styleId="68">
    <w:name w:val="标题 4 Char"/>
    <w:link w:val="7"/>
    <w:autoRedefine/>
    <w:qFormat/>
    <w:uiPriority w:val="0"/>
    <w:rPr>
      <w:rFonts w:eastAsia="宋体"/>
      <w:kern w:val="2"/>
      <w:sz w:val="28"/>
      <w:szCs w:val="28"/>
      <w:lang w:val="en-US" w:eastAsia="zh-CN" w:bidi="ar-SA"/>
    </w:rPr>
  </w:style>
  <w:style w:type="character" w:customStyle="1" w:styleId="69">
    <w:name w:val="宏文本 Char"/>
    <w:link w:val="3"/>
    <w:autoRedefine/>
    <w:qFormat/>
    <w:uiPriority w:val="0"/>
    <w:rPr>
      <w:rFonts w:ascii="Courier New" w:hAnsi="Courier New" w:eastAsia="Times New Roman"/>
      <w:kern w:val="2"/>
      <w:sz w:val="24"/>
      <w:szCs w:val="24"/>
      <w:lang w:val="en-US" w:eastAsia="zh-CN" w:bidi="ar-SA"/>
    </w:rPr>
  </w:style>
  <w:style w:type="character" w:customStyle="1" w:styleId="70">
    <w:name w:val="标题 1 Char"/>
    <w:link w:val="4"/>
    <w:autoRedefine/>
    <w:qFormat/>
    <w:uiPriority w:val="0"/>
    <w:rPr>
      <w:rFonts w:eastAsia="黑体"/>
      <w:b/>
      <w:kern w:val="2"/>
      <w:sz w:val="32"/>
      <w:lang w:val="en-US" w:eastAsia="zh-CN" w:bidi="ar-SA"/>
    </w:rPr>
  </w:style>
  <w:style w:type="character" w:customStyle="1" w:styleId="71">
    <w:name w:val="标题 2 Char"/>
    <w:link w:val="5"/>
    <w:autoRedefine/>
    <w:qFormat/>
    <w:uiPriority w:val="0"/>
    <w:rPr>
      <w:rFonts w:eastAsia="华文仿宋"/>
      <w:kern w:val="2"/>
      <w:sz w:val="28"/>
    </w:rPr>
  </w:style>
  <w:style w:type="character" w:customStyle="1" w:styleId="72">
    <w:name w:val="标题 3 Char"/>
    <w:link w:val="6"/>
    <w:autoRedefine/>
    <w:qFormat/>
    <w:uiPriority w:val="0"/>
    <w:rPr>
      <w:rFonts w:eastAsia="黑体"/>
      <w:b/>
      <w:kern w:val="2"/>
      <w:sz w:val="28"/>
      <w:lang w:val="en-US" w:eastAsia="zh-CN" w:bidi="ar-SA"/>
    </w:rPr>
  </w:style>
  <w:style w:type="character" w:customStyle="1" w:styleId="73">
    <w:name w:val="标题 5 Char"/>
    <w:link w:val="8"/>
    <w:autoRedefine/>
    <w:qFormat/>
    <w:uiPriority w:val="0"/>
    <w:rPr>
      <w:rFonts w:eastAsia="宋体"/>
      <w:b/>
      <w:kern w:val="2"/>
      <w:sz w:val="28"/>
      <w:lang w:val="en-US" w:eastAsia="zh-CN" w:bidi="ar-SA"/>
    </w:rPr>
  </w:style>
  <w:style w:type="character" w:customStyle="1" w:styleId="74">
    <w:name w:val="正文缩进 Char"/>
    <w:link w:val="9"/>
    <w:autoRedefine/>
    <w:qFormat/>
    <w:uiPriority w:val="0"/>
    <w:rPr>
      <w:rFonts w:eastAsia="宋体"/>
      <w:sz w:val="21"/>
      <w:lang w:val="en-US" w:eastAsia="zh-CN" w:bidi="ar-SA"/>
    </w:rPr>
  </w:style>
  <w:style w:type="character" w:customStyle="1" w:styleId="75">
    <w:name w:val="标题 6 Char"/>
    <w:link w:val="10"/>
    <w:autoRedefine/>
    <w:qFormat/>
    <w:uiPriority w:val="0"/>
    <w:rPr>
      <w:rFonts w:ascii="Arial" w:hAnsi="Arial" w:eastAsia="黑体"/>
      <w:b/>
      <w:kern w:val="2"/>
      <w:sz w:val="24"/>
      <w:lang w:val="en-US" w:eastAsia="zh-CN" w:bidi="ar-SA"/>
    </w:rPr>
  </w:style>
  <w:style w:type="character" w:customStyle="1" w:styleId="76">
    <w:name w:val="标题 7 Char"/>
    <w:link w:val="11"/>
    <w:autoRedefine/>
    <w:qFormat/>
    <w:uiPriority w:val="0"/>
    <w:rPr>
      <w:rFonts w:eastAsia="宋体"/>
      <w:b/>
      <w:kern w:val="2"/>
      <w:sz w:val="24"/>
      <w:lang w:val="en-US" w:eastAsia="zh-CN" w:bidi="ar-SA"/>
    </w:rPr>
  </w:style>
  <w:style w:type="character" w:customStyle="1" w:styleId="77">
    <w:name w:val="标题 8 Char"/>
    <w:link w:val="12"/>
    <w:autoRedefine/>
    <w:qFormat/>
    <w:uiPriority w:val="0"/>
    <w:rPr>
      <w:rFonts w:ascii="Arial" w:hAnsi="Arial" w:eastAsia="黑体"/>
      <w:kern w:val="2"/>
      <w:sz w:val="24"/>
      <w:lang w:val="en-US" w:eastAsia="zh-CN" w:bidi="ar-SA"/>
    </w:rPr>
  </w:style>
  <w:style w:type="character" w:customStyle="1" w:styleId="78">
    <w:name w:val="标题 9 Char"/>
    <w:link w:val="13"/>
    <w:autoRedefine/>
    <w:qFormat/>
    <w:uiPriority w:val="0"/>
    <w:rPr>
      <w:rFonts w:ascii="Arial" w:hAnsi="Arial" w:eastAsia="黑体"/>
      <w:kern w:val="2"/>
      <w:sz w:val="21"/>
      <w:lang w:val="en-US" w:eastAsia="zh-CN" w:bidi="ar-SA"/>
    </w:rPr>
  </w:style>
  <w:style w:type="character" w:customStyle="1" w:styleId="79">
    <w:name w:val="文档结构图 Char"/>
    <w:link w:val="18"/>
    <w:autoRedefine/>
    <w:qFormat/>
    <w:uiPriority w:val="0"/>
    <w:rPr>
      <w:rFonts w:eastAsia="宋体"/>
      <w:kern w:val="2"/>
      <w:sz w:val="21"/>
      <w:szCs w:val="24"/>
      <w:lang w:val="en-US" w:eastAsia="zh-CN" w:bidi="ar-SA"/>
    </w:rPr>
  </w:style>
  <w:style w:type="character" w:customStyle="1" w:styleId="80">
    <w:name w:val="批注文字 Char"/>
    <w:link w:val="19"/>
    <w:autoRedefine/>
    <w:qFormat/>
    <w:uiPriority w:val="0"/>
    <w:rPr>
      <w:rFonts w:eastAsia="宋体"/>
      <w:kern w:val="2"/>
      <w:sz w:val="21"/>
      <w:szCs w:val="24"/>
      <w:lang w:val="en-US" w:eastAsia="zh-CN" w:bidi="ar-SA"/>
    </w:rPr>
  </w:style>
  <w:style w:type="character" w:customStyle="1" w:styleId="81">
    <w:name w:val="正文文本 Char"/>
    <w:link w:val="22"/>
    <w:autoRedefine/>
    <w:qFormat/>
    <w:uiPriority w:val="0"/>
    <w:rPr>
      <w:rFonts w:eastAsia="宋体"/>
      <w:kern w:val="2"/>
      <w:sz w:val="21"/>
      <w:szCs w:val="24"/>
      <w:lang w:val="en-US" w:eastAsia="zh-CN" w:bidi="ar-SA"/>
    </w:rPr>
  </w:style>
  <w:style w:type="character" w:customStyle="1" w:styleId="82">
    <w:name w:val="正文首行缩进 Char"/>
    <w:link w:val="50"/>
    <w:autoRedefine/>
    <w:qFormat/>
    <w:uiPriority w:val="0"/>
    <w:rPr>
      <w:rFonts w:eastAsia="宋体"/>
      <w:lang w:val="en-US" w:eastAsia="zh-CN" w:bidi="ar-SA"/>
    </w:rPr>
  </w:style>
  <w:style w:type="character" w:customStyle="1" w:styleId="83">
    <w:name w:val="正文文本缩进 Char"/>
    <w:link w:val="23"/>
    <w:autoRedefine/>
    <w:qFormat/>
    <w:uiPriority w:val="0"/>
    <w:rPr>
      <w:rFonts w:eastAsia="宋体"/>
      <w:kern w:val="2"/>
      <w:sz w:val="24"/>
      <w:szCs w:val="24"/>
      <w:lang w:val="en-US" w:eastAsia="zh-CN" w:bidi="ar-SA"/>
    </w:rPr>
  </w:style>
  <w:style w:type="character" w:customStyle="1" w:styleId="84">
    <w:name w:val="纯文本 Char"/>
    <w:link w:val="2"/>
    <w:autoRedefine/>
    <w:qFormat/>
    <w:uiPriority w:val="0"/>
    <w:rPr>
      <w:rFonts w:ascii="宋体" w:hAnsi="Courier New" w:eastAsia="宋体"/>
      <w:sz w:val="21"/>
      <w:szCs w:val="21"/>
      <w:lang w:val="en-US" w:eastAsia="zh-CN" w:bidi="ar-SA"/>
    </w:rPr>
  </w:style>
  <w:style w:type="character" w:customStyle="1" w:styleId="85">
    <w:name w:val="日期 Char"/>
    <w:link w:val="32"/>
    <w:autoRedefine/>
    <w:qFormat/>
    <w:uiPriority w:val="0"/>
    <w:rPr>
      <w:rFonts w:eastAsia="宋体"/>
      <w:kern w:val="2"/>
      <w:sz w:val="21"/>
      <w:szCs w:val="24"/>
      <w:lang w:val="en-US" w:eastAsia="zh-CN" w:bidi="ar-SA"/>
    </w:rPr>
  </w:style>
  <w:style w:type="character" w:customStyle="1" w:styleId="86">
    <w:name w:val="正文文本缩进 2 Char"/>
    <w:link w:val="33"/>
    <w:autoRedefine/>
    <w:qFormat/>
    <w:uiPriority w:val="0"/>
    <w:rPr>
      <w:rFonts w:eastAsia="宋体"/>
      <w:kern w:val="2"/>
      <w:sz w:val="24"/>
      <w:szCs w:val="24"/>
      <w:lang w:val="en-US" w:eastAsia="zh-CN" w:bidi="ar-SA"/>
    </w:rPr>
  </w:style>
  <w:style w:type="character" w:customStyle="1" w:styleId="87">
    <w:name w:val="批注框文本 Char"/>
    <w:link w:val="34"/>
    <w:autoRedefine/>
    <w:qFormat/>
    <w:uiPriority w:val="0"/>
    <w:rPr>
      <w:rFonts w:eastAsia="宋体"/>
      <w:kern w:val="2"/>
      <w:sz w:val="18"/>
      <w:szCs w:val="18"/>
      <w:lang w:val="en-US" w:eastAsia="zh-CN" w:bidi="ar-SA"/>
    </w:rPr>
  </w:style>
  <w:style w:type="character" w:customStyle="1" w:styleId="88">
    <w:name w:val="页脚 Char"/>
    <w:link w:val="35"/>
    <w:autoRedefine/>
    <w:qFormat/>
    <w:uiPriority w:val="0"/>
    <w:rPr>
      <w:rFonts w:eastAsia="宋体"/>
      <w:kern w:val="2"/>
      <w:sz w:val="18"/>
      <w:szCs w:val="18"/>
      <w:lang w:val="en-US" w:eastAsia="zh-CN" w:bidi="ar-SA"/>
    </w:rPr>
  </w:style>
  <w:style w:type="character" w:customStyle="1" w:styleId="89">
    <w:name w:val="页眉 Char"/>
    <w:link w:val="36"/>
    <w:autoRedefine/>
    <w:qFormat/>
    <w:uiPriority w:val="0"/>
    <w:rPr>
      <w:rFonts w:eastAsia="宋体"/>
      <w:kern w:val="2"/>
      <w:sz w:val="18"/>
      <w:szCs w:val="18"/>
      <w:lang w:val="en-US" w:eastAsia="zh-CN" w:bidi="ar-SA"/>
    </w:rPr>
  </w:style>
  <w:style w:type="character" w:customStyle="1" w:styleId="90">
    <w:name w:val="副标题 Char"/>
    <w:link w:val="40"/>
    <w:autoRedefine/>
    <w:qFormat/>
    <w:uiPriority w:val="0"/>
    <w:rPr>
      <w:rFonts w:ascii="Cambria" w:hAnsi="Cambria" w:eastAsia="宋体"/>
      <w:b/>
      <w:bCs/>
      <w:kern w:val="28"/>
      <w:sz w:val="32"/>
      <w:szCs w:val="32"/>
      <w:lang w:val="en-US" w:eastAsia="zh-CN" w:bidi="ar-SA"/>
    </w:rPr>
  </w:style>
  <w:style w:type="character" w:customStyle="1" w:styleId="91">
    <w:name w:val="正文文本缩进 3 Char"/>
    <w:link w:val="43"/>
    <w:autoRedefine/>
    <w:qFormat/>
    <w:uiPriority w:val="0"/>
    <w:rPr>
      <w:rFonts w:eastAsia="宋体"/>
      <w:kern w:val="2"/>
      <w:sz w:val="24"/>
      <w:szCs w:val="24"/>
      <w:lang w:val="en-US" w:eastAsia="zh-CN" w:bidi="ar-SA"/>
    </w:rPr>
  </w:style>
  <w:style w:type="character" w:customStyle="1" w:styleId="92">
    <w:name w:val="标题 Char"/>
    <w:link w:val="48"/>
    <w:autoRedefine/>
    <w:qFormat/>
    <w:uiPriority w:val="0"/>
    <w:rPr>
      <w:rFonts w:ascii="Cambria" w:hAnsi="Cambria" w:eastAsia="宋体"/>
      <w:b/>
      <w:bCs/>
      <w:kern w:val="2"/>
      <w:sz w:val="32"/>
      <w:szCs w:val="32"/>
      <w:lang w:val="en-US" w:eastAsia="zh-CN" w:bidi="ar-SA"/>
    </w:rPr>
  </w:style>
  <w:style w:type="character" w:customStyle="1" w:styleId="93">
    <w:name w:val="批注主题 Char"/>
    <w:link w:val="49"/>
    <w:autoRedefine/>
    <w:qFormat/>
    <w:uiPriority w:val="0"/>
    <w:rPr>
      <w:rFonts w:eastAsia="宋体"/>
      <w:b/>
      <w:bCs/>
      <w:kern w:val="2"/>
      <w:sz w:val="21"/>
      <w:szCs w:val="24"/>
      <w:lang w:val="en-US" w:eastAsia="zh-CN" w:bidi="ar-SA"/>
    </w:rPr>
  </w:style>
  <w:style w:type="paragraph" w:customStyle="1" w:styleId="94">
    <w:name w:val="表格文字"/>
    <w:basedOn w:val="1"/>
    <w:next w:val="22"/>
    <w:autoRedefine/>
    <w:qFormat/>
    <w:uiPriority w:val="0"/>
    <w:pPr>
      <w:adjustRightInd w:val="0"/>
      <w:spacing w:line="420" w:lineRule="atLeast"/>
      <w:jc w:val="left"/>
      <w:textAlignment w:val="baseline"/>
    </w:pPr>
    <w:rPr>
      <w:kern w:val="0"/>
    </w:rPr>
  </w:style>
  <w:style w:type="character" w:customStyle="1" w:styleId="95">
    <w:name w:val="PI Char"/>
    <w:autoRedefine/>
    <w:qFormat/>
    <w:uiPriority w:val="0"/>
    <w:rPr>
      <w:rFonts w:ascii="宋体" w:hAnsi="宋体"/>
      <w:sz w:val="24"/>
    </w:rPr>
  </w:style>
  <w:style w:type="character" w:customStyle="1" w:styleId="96">
    <w:name w:val="fontborder"/>
    <w:autoRedefine/>
    <w:qFormat/>
    <w:uiPriority w:val="0"/>
    <w:rPr>
      <w:bdr w:val="single" w:color="000000" w:sz="4" w:space="0"/>
    </w:rPr>
  </w:style>
  <w:style w:type="character" w:customStyle="1" w:styleId="97">
    <w:name w:val="Char Char17"/>
    <w:autoRedefine/>
    <w:qFormat/>
    <w:uiPriority w:val="0"/>
    <w:rPr>
      <w:rFonts w:ascii="Cambria" w:hAnsi="Cambria"/>
      <w:b/>
      <w:bCs/>
      <w:kern w:val="2"/>
      <w:sz w:val="28"/>
      <w:szCs w:val="28"/>
    </w:rPr>
  </w:style>
  <w:style w:type="character" w:customStyle="1" w:styleId="98">
    <w:name w:val="heading 5 Char2"/>
    <w:autoRedefine/>
    <w:qFormat/>
    <w:uiPriority w:val="0"/>
    <w:rPr>
      <w:b/>
      <w:bCs/>
      <w:kern w:val="2"/>
      <w:sz w:val="28"/>
      <w:szCs w:val="28"/>
    </w:rPr>
  </w:style>
  <w:style w:type="character" w:customStyle="1" w:styleId="99">
    <w:name w:val="textcolor1"/>
    <w:autoRedefine/>
    <w:qFormat/>
    <w:uiPriority w:val="0"/>
    <w:rPr>
      <w:color w:val="FF6600"/>
    </w:rPr>
  </w:style>
  <w:style w:type="character" w:customStyle="1" w:styleId="100">
    <w:name w:val="PI Char2"/>
    <w:autoRedefine/>
    <w:qFormat/>
    <w:uiPriority w:val="0"/>
    <w:rPr>
      <w:kern w:val="2"/>
      <w:sz w:val="24"/>
      <w:szCs w:val="24"/>
    </w:rPr>
  </w:style>
  <w:style w:type="character" w:customStyle="1" w:styleId="101">
    <w:name w:val="Style5"/>
    <w:autoRedefine/>
    <w:qFormat/>
    <w:uiPriority w:val="0"/>
    <w:rPr>
      <w:rFonts w:ascii="Calibri" w:hAnsi="宋体" w:eastAsia="宋体" w:cs="Times New Roman"/>
      <w:sz w:val="22"/>
      <w:szCs w:val="22"/>
      <w:lang w:eastAsia="zh-CN"/>
    </w:rPr>
  </w:style>
  <w:style w:type="character" w:customStyle="1" w:styleId="102">
    <w:name w:val="Char Char211"/>
    <w:autoRedefine/>
    <w:qFormat/>
    <w:uiPriority w:val="0"/>
    <w:rPr>
      <w:rFonts w:ascii="Times New Roman" w:hAnsi="Times New Roman" w:eastAsia="宋体" w:cs="Times New Roman"/>
      <w:b/>
      <w:bCs/>
      <w:kern w:val="44"/>
      <w:sz w:val="44"/>
      <w:szCs w:val="44"/>
    </w:rPr>
  </w:style>
  <w:style w:type="character" w:customStyle="1" w:styleId="103">
    <w:name w:val="heading 5 Char"/>
    <w:autoRedefine/>
    <w:qFormat/>
    <w:uiPriority w:val="0"/>
    <w:rPr>
      <w:rFonts w:ascii="Arial" w:hAnsi="Arial" w:eastAsia="黑体"/>
      <w:sz w:val="21"/>
      <w:szCs w:val="21"/>
    </w:rPr>
  </w:style>
  <w:style w:type="character" w:customStyle="1" w:styleId="104">
    <w:name w:val="style111"/>
    <w:autoRedefine/>
    <w:qFormat/>
    <w:uiPriority w:val="0"/>
    <w:rPr>
      <w:sz w:val="27"/>
      <w:szCs w:val="27"/>
    </w:rPr>
  </w:style>
  <w:style w:type="character" w:customStyle="1" w:styleId="105">
    <w:name w:val="blue1"/>
    <w:autoRedefine/>
    <w:qFormat/>
    <w:uiPriority w:val="0"/>
  </w:style>
  <w:style w:type="character" w:customStyle="1" w:styleId="106">
    <w:name w:val="ändrad Char1"/>
    <w:autoRedefine/>
    <w:qFormat/>
    <w:uiPriority w:val="0"/>
    <w:rPr>
      <w:rFonts w:eastAsia="宋体"/>
      <w:kern w:val="2"/>
      <w:sz w:val="21"/>
      <w:szCs w:val="24"/>
      <w:lang w:val="en-US" w:eastAsia="zh-CN" w:bidi="ar-SA"/>
    </w:rPr>
  </w:style>
  <w:style w:type="character" w:customStyle="1" w:styleId="107">
    <w:name w:val="style41"/>
    <w:autoRedefine/>
    <w:qFormat/>
    <w:uiPriority w:val="0"/>
    <w:rPr>
      <w:color w:val="auto"/>
    </w:rPr>
  </w:style>
  <w:style w:type="character" w:customStyle="1" w:styleId="108">
    <w:name w:val="Footer-Even Char"/>
    <w:autoRedefine/>
    <w:qFormat/>
    <w:uiPriority w:val="0"/>
    <w:rPr>
      <w:sz w:val="18"/>
      <w:szCs w:val="18"/>
    </w:rPr>
  </w:style>
  <w:style w:type="character" w:customStyle="1" w:styleId="109">
    <w:name w:val="Char Char15"/>
    <w:autoRedefine/>
    <w:qFormat/>
    <w:uiPriority w:val="0"/>
    <w:rPr>
      <w:rFonts w:ascii="Arial" w:hAnsi="Arial" w:eastAsia="黑体"/>
      <w:sz w:val="24"/>
      <w:szCs w:val="24"/>
    </w:rPr>
  </w:style>
  <w:style w:type="character" w:customStyle="1" w:styleId="110">
    <w:name w:val="heading 5 Char1"/>
    <w:autoRedefine/>
    <w:qFormat/>
    <w:uiPriority w:val="0"/>
    <w:rPr>
      <w:rFonts w:eastAsia="宋体"/>
      <w:b/>
      <w:bCs/>
      <w:kern w:val="2"/>
      <w:sz w:val="28"/>
      <w:szCs w:val="28"/>
      <w:lang w:val="en-US" w:eastAsia="zh-CN" w:bidi="ar-SA"/>
    </w:rPr>
  </w:style>
  <w:style w:type="character" w:customStyle="1" w:styleId="111">
    <w:name w:val="Char Char18"/>
    <w:autoRedefine/>
    <w:qFormat/>
    <w:uiPriority w:val="0"/>
    <w:rPr>
      <w:b/>
      <w:bCs/>
      <w:kern w:val="2"/>
      <w:sz w:val="32"/>
      <w:szCs w:val="32"/>
    </w:rPr>
  </w:style>
  <w:style w:type="character" w:customStyle="1" w:styleId="112">
    <w:name w:val="_Style 111"/>
    <w:autoRedefine/>
    <w:qFormat/>
    <w:uiPriority w:val="0"/>
    <w:rPr>
      <w:b/>
      <w:bCs/>
      <w:smallCaps/>
      <w:spacing w:val="5"/>
    </w:rPr>
  </w:style>
  <w:style w:type="character" w:customStyle="1" w:styleId="113">
    <w:name w:val="heading 1 Char2"/>
    <w:autoRedefine/>
    <w:qFormat/>
    <w:uiPriority w:val="0"/>
    <w:rPr>
      <w:b/>
      <w:bCs/>
      <w:kern w:val="44"/>
      <w:sz w:val="44"/>
      <w:szCs w:val="44"/>
    </w:rPr>
  </w:style>
  <w:style w:type="character" w:customStyle="1" w:styleId="114">
    <w:name w:val="Char Char2"/>
    <w:autoRedefine/>
    <w:qFormat/>
    <w:uiPriority w:val="0"/>
    <w:rPr>
      <w:rFonts w:ascii="Arial" w:hAnsi="Arial" w:eastAsia="黑体"/>
      <w:b/>
      <w:bCs/>
      <w:kern w:val="44"/>
      <w:sz w:val="30"/>
      <w:szCs w:val="44"/>
      <w:lang w:val="en-US" w:eastAsia="zh-CN" w:bidi="ar-SA"/>
    </w:rPr>
  </w:style>
  <w:style w:type="character" w:customStyle="1" w:styleId="115">
    <w:name w:val="heading 3 Char1"/>
    <w:autoRedefine/>
    <w:qFormat/>
    <w:uiPriority w:val="0"/>
    <w:rPr>
      <w:rFonts w:eastAsia="宋体"/>
      <w:b/>
      <w:bCs/>
      <w:kern w:val="2"/>
      <w:sz w:val="32"/>
      <w:szCs w:val="32"/>
      <w:lang w:val="en-US" w:eastAsia="zh-CN" w:bidi="ar-SA"/>
    </w:rPr>
  </w:style>
  <w:style w:type="character" w:customStyle="1" w:styleId="116">
    <w:name w:val="Char Char4"/>
    <w:autoRedefine/>
    <w:qFormat/>
    <w:uiPriority w:val="0"/>
    <w:rPr>
      <w:rFonts w:ascii="Cambria" w:hAnsi="Cambria" w:eastAsia="宋体"/>
      <w:b/>
      <w:bCs/>
      <w:sz w:val="32"/>
      <w:szCs w:val="32"/>
      <w:lang w:bidi="ar-SA"/>
    </w:rPr>
  </w:style>
  <w:style w:type="character" w:customStyle="1" w:styleId="117">
    <w:name w:val="heading 2 Char2"/>
    <w:autoRedefine/>
    <w:qFormat/>
    <w:uiPriority w:val="0"/>
    <w:rPr>
      <w:rFonts w:ascii="Cambria" w:hAnsi="Cambria"/>
      <w:b/>
      <w:bCs/>
      <w:kern w:val="2"/>
      <w:sz w:val="32"/>
      <w:szCs w:val="32"/>
    </w:rPr>
  </w:style>
  <w:style w:type="character" w:customStyle="1" w:styleId="118">
    <w:name w:val="heading 3 Char2"/>
    <w:autoRedefine/>
    <w:qFormat/>
    <w:uiPriority w:val="0"/>
    <w:rPr>
      <w:b/>
      <w:bCs/>
      <w:kern w:val="2"/>
      <w:sz w:val="32"/>
      <w:szCs w:val="32"/>
    </w:rPr>
  </w:style>
  <w:style w:type="character" w:customStyle="1" w:styleId="119">
    <w:name w:val="Plain Text Char"/>
    <w:autoRedefine/>
    <w:qFormat/>
    <w:uiPriority w:val="0"/>
    <w:rPr>
      <w:rFonts w:ascii="宋体" w:hAnsi="Courier New" w:eastAsia="宋体" w:cs="Times New Roman"/>
      <w:sz w:val="21"/>
      <w:szCs w:val="21"/>
    </w:rPr>
  </w:style>
  <w:style w:type="character" w:customStyle="1" w:styleId="120">
    <w:name w:val="heading 9 Char1"/>
    <w:autoRedefine/>
    <w:qFormat/>
    <w:uiPriority w:val="0"/>
    <w:rPr>
      <w:rFonts w:ascii="Arial" w:hAnsi="Arial" w:eastAsia="黑体"/>
      <w:sz w:val="21"/>
      <w:lang w:val="en-US" w:eastAsia="zh-CN" w:bidi="ar-SA"/>
    </w:rPr>
  </w:style>
  <w:style w:type="character" w:customStyle="1" w:styleId="121">
    <w:name w:val="heading 7 Char1"/>
    <w:autoRedefine/>
    <w:qFormat/>
    <w:uiPriority w:val="0"/>
    <w:rPr>
      <w:rFonts w:ascii="Arial" w:hAnsi="Arial" w:eastAsia="黑体"/>
      <w:sz w:val="21"/>
      <w:szCs w:val="21"/>
      <w:lang w:val="en-US" w:eastAsia="zh-CN" w:bidi="ar-SA"/>
    </w:rPr>
  </w:style>
  <w:style w:type="character" w:customStyle="1" w:styleId="122">
    <w:name w:val="Char Char11"/>
    <w:autoRedefine/>
    <w:qFormat/>
    <w:uiPriority w:val="0"/>
    <w:rPr>
      <w:rFonts w:ascii="Times New Roman" w:hAnsi="Times New Roman" w:eastAsia="宋体" w:cs="Times New Roman"/>
      <w:sz w:val="18"/>
      <w:szCs w:val="18"/>
    </w:rPr>
  </w:style>
  <w:style w:type="character" w:customStyle="1" w:styleId="123">
    <w:name w:val="引用 Char"/>
    <w:link w:val="124"/>
    <w:autoRedefine/>
    <w:qFormat/>
    <w:uiPriority w:val="0"/>
    <w:rPr>
      <w:rFonts w:ascii="Calibri" w:hAnsi="Calibri" w:eastAsia="宋体"/>
      <w:i/>
      <w:iCs/>
      <w:color w:val="000000"/>
      <w:lang w:val="en-US" w:eastAsia="zh-CN" w:bidi="ar-SA"/>
    </w:rPr>
  </w:style>
  <w:style w:type="paragraph" w:styleId="124">
    <w:name w:val="Quote"/>
    <w:basedOn w:val="1"/>
    <w:next w:val="1"/>
    <w:link w:val="123"/>
    <w:autoRedefine/>
    <w:qFormat/>
    <w:uiPriority w:val="0"/>
    <w:rPr>
      <w:rFonts w:ascii="Calibri" w:hAnsi="Calibri"/>
      <w:i/>
      <w:iCs/>
      <w:color w:val="000000"/>
      <w:kern w:val="0"/>
      <w:sz w:val="20"/>
      <w:szCs w:val="20"/>
    </w:rPr>
  </w:style>
  <w:style w:type="character" w:customStyle="1" w:styleId="125">
    <w:name w:val="Style1"/>
    <w:autoRedefine/>
    <w:qFormat/>
    <w:uiPriority w:val="0"/>
    <w:rPr>
      <w:rFonts w:ascii="Calibri" w:hAnsi="宋体" w:eastAsia="宋体" w:cs="Times New Roman"/>
      <w:sz w:val="22"/>
      <w:szCs w:val="22"/>
      <w:lang w:eastAsia="zh-CN"/>
    </w:rPr>
  </w:style>
  <w:style w:type="character" w:customStyle="1" w:styleId="126">
    <w:name w:val="_Style 125"/>
    <w:autoRedefine/>
    <w:qFormat/>
    <w:uiPriority w:val="0"/>
    <w:rPr>
      <w:b/>
      <w:bCs/>
      <w:smallCaps/>
      <w:color w:val="C0504D"/>
      <w:spacing w:val="5"/>
      <w:u w:val="single"/>
    </w:rPr>
  </w:style>
  <w:style w:type="character" w:customStyle="1" w:styleId="127">
    <w:name w:val="heading 8 Char1"/>
    <w:autoRedefine/>
    <w:qFormat/>
    <w:uiPriority w:val="0"/>
    <w:rPr>
      <w:rFonts w:ascii="Arial" w:hAnsi="Arial" w:eastAsia="黑体"/>
      <w:sz w:val="24"/>
      <w:lang w:val="en-US" w:eastAsia="zh-CN" w:bidi="ar-SA"/>
    </w:rPr>
  </w:style>
  <w:style w:type="character" w:customStyle="1" w:styleId="128">
    <w:name w:val="Char Char27"/>
    <w:autoRedefine/>
    <w:qFormat/>
    <w:uiPriority w:val="0"/>
    <w:rPr>
      <w:rFonts w:eastAsia="宋体"/>
      <w:kern w:val="2"/>
      <w:sz w:val="28"/>
      <w:lang w:val="en-US" w:eastAsia="zh-CN" w:bidi="ar-SA"/>
    </w:rPr>
  </w:style>
  <w:style w:type="character" w:customStyle="1" w:styleId="129">
    <w:name w:val="Footer-Even Char1"/>
    <w:autoRedefine/>
    <w:qFormat/>
    <w:uiPriority w:val="0"/>
    <w:rPr>
      <w:rFonts w:eastAsia="宋体"/>
      <w:kern w:val="2"/>
      <w:sz w:val="18"/>
      <w:szCs w:val="18"/>
      <w:lang w:val="en-US" w:eastAsia="zh-CN" w:bidi="ar-SA"/>
    </w:rPr>
  </w:style>
  <w:style w:type="character" w:customStyle="1" w:styleId="130">
    <w:name w:val="heading 4 Char1"/>
    <w:autoRedefine/>
    <w:qFormat/>
    <w:uiPriority w:val="0"/>
    <w:rPr>
      <w:rFonts w:ascii="Cambria" w:hAnsi="Cambria" w:eastAsia="宋体"/>
      <w:b/>
      <w:bCs/>
      <w:kern w:val="2"/>
      <w:sz w:val="28"/>
      <w:szCs w:val="28"/>
      <w:lang w:val="en-US" w:eastAsia="zh-CN" w:bidi="ar-SA"/>
    </w:rPr>
  </w:style>
  <w:style w:type="character" w:customStyle="1" w:styleId="131">
    <w:name w:val="Char Char12"/>
    <w:autoRedefine/>
    <w:qFormat/>
    <w:uiPriority w:val="0"/>
    <w:rPr>
      <w:rFonts w:eastAsia="宋体"/>
      <w:kern w:val="2"/>
      <w:sz w:val="21"/>
      <w:szCs w:val="24"/>
      <w:lang w:val="en-US" w:eastAsia="zh-CN" w:bidi="ar-SA"/>
    </w:rPr>
  </w:style>
  <w:style w:type="character" w:customStyle="1" w:styleId="132">
    <w:name w:val="heading 3 Char"/>
    <w:autoRedefine/>
    <w:qFormat/>
    <w:uiPriority w:val="0"/>
    <w:rPr>
      <w:rFonts w:ascii="Arial" w:hAnsi="Arial" w:eastAsia="黑体"/>
      <w:sz w:val="28"/>
      <w:szCs w:val="24"/>
    </w:rPr>
  </w:style>
  <w:style w:type="character" w:customStyle="1" w:styleId="133">
    <w:name w:val="表格 Char Char"/>
    <w:link w:val="134"/>
    <w:autoRedefine/>
    <w:qFormat/>
    <w:uiPriority w:val="0"/>
    <w:rPr>
      <w:rFonts w:ascii="宋体" w:hAnsi="宋体" w:eastAsia="宋体"/>
      <w:lang w:val="en-US" w:eastAsia="zh-CN" w:bidi="ar-SA"/>
    </w:rPr>
  </w:style>
  <w:style w:type="paragraph" w:customStyle="1" w:styleId="134">
    <w:name w:val="表格"/>
    <w:basedOn w:val="1"/>
    <w:link w:val="133"/>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35">
    <w:name w:val="_Style 134"/>
    <w:autoRedefine/>
    <w:qFormat/>
    <w:uiPriority w:val="0"/>
    <w:rPr>
      <w:b/>
      <w:bCs/>
      <w:i/>
      <w:iCs/>
      <w:color w:val="4F81BD"/>
    </w:rPr>
  </w:style>
  <w:style w:type="character" w:customStyle="1" w:styleId="136">
    <w:name w:val="Ò³Ã¼ Char Char"/>
    <w:autoRedefine/>
    <w:qFormat/>
    <w:uiPriority w:val="0"/>
    <w:rPr>
      <w:sz w:val="18"/>
      <w:szCs w:val="18"/>
    </w:rPr>
  </w:style>
  <w:style w:type="character" w:customStyle="1" w:styleId="137">
    <w:name w:val="heading 1 Char"/>
    <w:autoRedefine/>
    <w:qFormat/>
    <w:uiPriority w:val="0"/>
    <w:rPr>
      <w:rFonts w:ascii="Arial" w:hAnsi="Arial" w:eastAsia="黑体"/>
      <w:b/>
      <w:sz w:val="36"/>
      <w:szCs w:val="36"/>
    </w:rPr>
  </w:style>
  <w:style w:type="character" w:customStyle="1" w:styleId="138">
    <w:name w:val="明显引用 Char"/>
    <w:link w:val="139"/>
    <w:autoRedefine/>
    <w:qFormat/>
    <w:uiPriority w:val="0"/>
    <w:rPr>
      <w:rFonts w:ascii="Calibri" w:hAnsi="Calibri" w:eastAsia="宋体"/>
      <w:b/>
      <w:bCs/>
      <w:i/>
      <w:iCs/>
      <w:color w:val="4F81BD"/>
      <w:lang w:val="en-US" w:eastAsia="zh-CN" w:bidi="ar-SA"/>
    </w:rPr>
  </w:style>
  <w:style w:type="paragraph" w:styleId="139">
    <w:name w:val="Intense Quote"/>
    <w:basedOn w:val="1"/>
    <w:next w:val="1"/>
    <w:link w:val="138"/>
    <w:autoRedefine/>
    <w:qFormat/>
    <w:uiPriority w:val="0"/>
    <w:pPr>
      <w:pBdr>
        <w:bottom w:val="single" w:color="4F81BD" w:sz="4" w:space="4"/>
      </w:pBdr>
      <w:ind w:left="936" w:right="936"/>
    </w:pPr>
    <w:rPr>
      <w:rFonts w:ascii="Calibri" w:hAnsi="Calibri"/>
      <w:b/>
      <w:bCs/>
      <w:i/>
      <w:iCs/>
      <w:color w:val="4F81BD"/>
      <w:kern w:val="0"/>
      <w:sz w:val="20"/>
      <w:szCs w:val="20"/>
    </w:rPr>
  </w:style>
  <w:style w:type="character" w:customStyle="1" w:styleId="140">
    <w:name w:val="Char Char19"/>
    <w:autoRedefine/>
    <w:qFormat/>
    <w:uiPriority w:val="0"/>
    <w:rPr>
      <w:rFonts w:ascii="Cambria" w:hAnsi="Cambria"/>
      <w:b/>
      <w:bCs/>
      <w:kern w:val="2"/>
      <w:sz w:val="32"/>
      <w:szCs w:val="32"/>
    </w:rPr>
  </w:style>
  <w:style w:type="character" w:customStyle="1" w:styleId="141">
    <w:name w:val="样式 宋体"/>
    <w:autoRedefine/>
    <w:qFormat/>
    <w:uiPriority w:val="0"/>
    <w:rPr>
      <w:rFonts w:ascii="宋体" w:hAnsi="宋体" w:eastAsia="宋体"/>
      <w:sz w:val="24"/>
      <w:szCs w:val="24"/>
    </w:rPr>
  </w:style>
  <w:style w:type="character" w:customStyle="1" w:styleId="142">
    <w:name w:val="PI Char1"/>
    <w:autoRedefine/>
    <w:qFormat/>
    <w:uiPriority w:val="0"/>
    <w:rPr>
      <w:rFonts w:eastAsia="宋体"/>
      <w:kern w:val="2"/>
      <w:sz w:val="24"/>
      <w:szCs w:val="24"/>
      <w:lang w:val="en-US" w:eastAsia="zh-CN" w:bidi="ar-SA"/>
    </w:rPr>
  </w:style>
  <w:style w:type="character" w:customStyle="1" w:styleId="143">
    <w:name w:val="smalltxt1"/>
    <w:autoRedefine/>
    <w:qFormat/>
    <w:uiPriority w:val="0"/>
    <w:rPr>
      <w:rFonts w:hint="default" w:ascii="ˎ̥" w:hAnsi="ˎ̥"/>
      <w:sz w:val="24"/>
      <w:szCs w:val="24"/>
    </w:rPr>
  </w:style>
  <w:style w:type="character" w:customStyle="1" w:styleId="144">
    <w:name w:val="Ò³Ã¼ Char Char2"/>
    <w:autoRedefine/>
    <w:qFormat/>
    <w:uiPriority w:val="0"/>
    <w:rPr>
      <w:kern w:val="2"/>
      <w:sz w:val="18"/>
      <w:szCs w:val="18"/>
    </w:rPr>
  </w:style>
  <w:style w:type="character" w:customStyle="1" w:styleId="145">
    <w:name w:val="样式 标题 3 + 黑体 小四 Char Char"/>
    <w:link w:val="146"/>
    <w:autoRedefine/>
    <w:qFormat/>
    <w:uiPriority w:val="0"/>
    <w:rPr>
      <w:rFonts w:ascii="黑体" w:hAnsi="Arial" w:eastAsia="黑体"/>
      <w:bCs/>
      <w:sz w:val="24"/>
      <w:szCs w:val="24"/>
      <w:lang w:bidi="ar-SA"/>
    </w:rPr>
  </w:style>
  <w:style w:type="paragraph" w:customStyle="1" w:styleId="146">
    <w:name w:val="样式 标题 3 + 黑体 小四"/>
    <w:basedOn w:val="6"/>
    <w:link w:val="145"/>
    <w:autoRedefine/>
    <w:qFormat/>
    <w:uiPriority w:val="0"/>
    <w:pPr>
      <w:numPr>
        <w:numId w:val="0"/>
      </w:numPr>
      <w:spacing w:line="415" w:lineRule="auto"/>
    </w:pPr>
    <w:rPr>
      <w:rFonts w:ascii="黑体" w:hAnsi="Arial"/>
      <w:b w:val="0"/>
      <w:bCs/>
      <w:kern w:val="0"/>
      <w:sz w:val="24"/>
      <w:szCs w:val="24"/>
    </w:rPr>
  </w:style>
  <w:style w:type="character" w:customStyle="1" w:styleId="147">
    <w:name w:val="Char Char1"/>
    <w:autoRedefine/>
    <w:qFormat/>
    <w:uiPriority w:val="0"/>
    <w:rPr>
      <w:rFonts w:eastAsia="宋体"/>
      <w:sz w:val="21"/>
      <w:lang w:val="en-US" w:eastAsia="zh-CN" w:bidi="ar-SA"/>
    </w:rPr>
  </w:style>
  <w:style w:type="character" w:customStyle="1" w:styleId="148">
    <w:name w:val="Style3"/>
    <w:autoRedefine/>
    <w:qFormat/>
    <w:uiPriority w:val="0"/>
    <w:rPr>
      <w:rFonts w:ascii="Calibri" w:hAnsi="宋体" w:eastAsia="宋体" w:cs="Times New Roman"/>
      <w:szCs w:val="22"/>
      <w:lang w:eastAsia="zh-CN"/>
    </w:rPr>
  </w:style>
  <w:style w:type="character" w:customStyle="1" w:styleId="149">
    <w:name w:val="heading 1 Char1"/>
    <w:autoRedefine/>
    <w:qFormat/>
    <w:uiPriority w:val="0"/>
    <w:rPr>
      <w:rFonts w:eastAsia="宋体"/>
      <w:b/>
      <w:bCs/>
      <w:kern w:val="44"/>
      <w:sz w:val="44"/>
      <w:szCs w:val="44"/>
      <w:lang w:val="en-US" w:eastAsia="zh-CN" w:bidi="ar-SA"/>
    </w:rPr>
  </w:style>
  <w:style w:type="character" w:customStyle="1" w:styleId="150">
    <w:name w:val="Char Char22"/>
    <w:autoRedefine/>
    <w:qFormat/>
    <w:uiPriority w:val="0"/>
    <w:rPr>
      <w:rFonts w:ascii="Arial" w:hAnsi="Arial" w:eastAsia="黑体"/>
      <w:b/>
      <w:bCs/>
      <w:kern w:val="44"/>
      <w:sz w:val="30"/>
      <w:szCs w:val="44"/>
      <w:lang w:val="en-US" w:eastAsia="zh-CN" w:bidi="ar-SA"/>
    </w:rPr>
  </w:style>
  <w:style w:type="character" w:customStyle="1" w:styleId="151">
    <w:name w:val="表正文 Char2"/>
    <w:autoRedefine/>
    <w:qFormat/>
    <w:uiPriority w:val="0"/>
    <w:rPr>
      <w:rFonts w:ascii="Times New Roman" w:hAnsi="Times New Roman" w:eastAsia="宋体" w:cs="Times New Roman"/>
      <w:szCs w:val="24"/>
    </w:rPr>
  </w:style>
  <w:style w:type="character" w:customStyle="1" w:styleId="152">
    <w:name w:val="heading 6 Char1"/>
    <w:autoRedefine/>
    <w:qFormat/>
    <w:uiPriority w:val="0"/>
    <w:rPr>
      <w:rFonts w:ascii="Arial" w:hAnsi="Arial" w:eastAsia="黑体"/>
      <w:kern w:val="2"/>
      <w:sz w:val="24"/>
      <w:szCs w:val="24"/>
      <w:lang w:val="en-US" w:eastAsia="zh-CN" w:bidi="ar-SA"/>
    </w:rPr>
  </w:style>
  <w:style w:type="character" w:customStyle="1" w:styleId="153">
    <w:name w:val="dandyren_title1"/>
    <w:autoRedefine/>
    <w:qFormat/>
    <w:uiPriority w:val="0"/>
    <w:rPr>
      <w:b/>
      <w:bCs/>
      <w:color w:val="FF6633"/>
      <w:sz w:val="18"/>
      <w:szCs w:val="18"/>
    </w:rPr>
  </w:style>
  <w:style w:type="character" w:customStyle="1" w:styleId="154">
    <w:name w:val="Char Char201"/>
    <w:autoRedefine/>
    <w:qFormat/>
    <w:uiPriority w:val="0"/>
    <w:rPr>
      <w:rFonts w:ascii="Cambria" w:hAnsi="Cambria" w:eastAsia="宋体" w:cs="Times New Roman"/>
      <w:b/>
      <w:bCs/>
      <w:sz w:val="32"/>
      <w:szCs w:val="32"/>
    </w:rPr>
  </w:style>
  <w:style w:type="character" w:customStyle="1" w:styleId="155">
    <w:name w:val="pt141"/>
    <w:autoRedefine/>
    <w:qFormat/>
    <w:uiPriority w:val="0"/>
    <w:rPr>
      <w:color w:val="330066"/>
      <w:spacing w:val="450"/>
      <w:sz w:val="22"/>
      <w:szCs w:val="22"/>
    </w:rPr>
  </w:style>
  <w:style w:type="character" w:customStyle="1" w:styleId="156">
    <w:name w:val="Char Char21"/>
    <w:autoRedefine/>
    <w:qFormat/>
    <w:uiPriority w:val="0"/>
    <w:rPr>
      <w:rFonts w:ascii="Times New Roman" w:hAnsi="Times New Roman" w:eastAsia="宋体" w:cs="Times New Roman"/>
      <w:b/>
      <w:bCs/>
      <w:kern w:val="44"/>
      <w:sz w:val="44"/>
      <w:szCs w:val="44"/>
    </w:rPr>
  </w:style>
  <w:style w:type="character" w:customStyle="1" w:styleId="157">
    <w:name w:val="heading 4 Char2"/>
    <w:autoRedefine/>
    <w:qFormat/>
    <w:uiPriority w:val="0"/>
    <w:rPr>
      <w:rFonts w:ascii="Cambria" w:hAnsi="Cambria"/>
      <w:b/>
      <w:bCs/>
      <w:kern w:val="2"/>
      <w:sz w:val="28"/>
      <w:szCs w:val="28"/>
    </w:rPr>
  </w:style>
  <w:style w:type="character" w:customStyle="1" w:styleId="158">
    <w:name w:val="_Style 157"/>
    <w:autoRedefine/>
    <w:qFormat/>
    <w:uiPriority w:val="0"/>
    <w:rPr>
      <w:i/>
      <w:iCs/>
      <w:color w:val="808080"/>
    </w:rPr>
  </w:style>
  <w:style w:type="character" w:customStyle="1" w:styleId="159">
    <w:name w:val="_Style 158"/>
    <w:autoRedefine/>
    <w:qFormat/>
    <w:uiPriority w:val="0"/>
    <w:rPr>
      <w:smallCaps/>
      <w:color w:val="C0504D"/>
      <w:u w:val="single"/>
    </w:rPr>
  </w:style>
  <w:style w:type="character" w:customStyle="1" w:styleId="160">
    <w:name w:val="gray6"/>
    <w:autoRedefine/>
    <w:qFormat/>
    <w:uiPriority w:val="0"/>
  </w:style>
  <w:style w:type="character" w:customStyle="1" w:styleId="161">
    <w:name w:val="Char Char111"/>
    <w:autoRedefine/>
    <w:qFormat/>
    <w:uiPriority w:val="0"/>
    <w:rPr>
      <w:rFonts w:ascii="Times New Roman" w:hAnsi="Times New Roman" w:eastAsia="宋体" w:cs="Times New Roman"/>
      <w:sz w:val="18"/>
      <w:szCs w:val="18"/>
    </w:rPr>
  </w:style>
  <w:style w:type="character" w:customStyle="1" w:styleId="162">
    <w:name w:val="body text Char Char"/>
    <w:autoRedefine/>
    <w:qFormat/>
    <w:uiPriority w:val="0"/>
    <w:rPr>
      <w:rFonts w:eastAsia="宋体"/>
      <w:kern w:val="2"/>
      <w:sz w:val="21"/>
      <w:szCs w:val="24"/>
      <w:lang w:val="en-US" w:eastAsia="zh-CN" w:bidi="ar-SA"/>
    </w:rPr>
  </w:style>
  <w:style w:type="character" w:customStyle="1" w:styleId="163">
    <w:name w:val="Char Char Char Char Char Char Char Char Char"/>
    <w:autoRedefine/>
    <w:qFormat/>
    <w:uiPriority w:val="0"/>
    <w:rPr>
      <w:rFonts w:ascii="宋体" w:hAnsi="Courier New" w:eastAsia="宋体"/>
      <w:sz w:val="21"/>
      <w:szCs w:val="21"/>
      <w:lang w:val="en-US" w:eastAsia="zh-CN" w:bidi="ar-SA"/>
    </w:rPr>
  </w:style>
  <w:style w:type="character" w:customStyle="1" w:styleId="164">
    <w:name w:val="Char Char Char1"/>
    <w:autoRedefine/>
    <w:qFormat/>
    <w:uiPriority w:val="0"/>
    <w:rPr>
      <w:rFonts w:ascii="宋体" w:hAnsi="Courier New"/>
      <w:sz w:val="21"/>
      <w:szCs w:val="21"/>
    </w:rPr>
  </w:style>
  <w:style w:type="character" w:customStyle="1" w:styleId="165">
    <w:name w:val="Char Char16"/>
    <w:autoRedefine/>
    <w:qFormat/>
    <w:uiPriority w:val="0"/>
    <w:rPr>
      <w:b/>
      <w:bCs/>
      <w:kern w:val="2"/>
      <w:sz w:val="28"/>
      <w:szCs w:val="28"/>
    </w:rPr>
  </w:style>
  <w:style w:type="character" w:customStyle="1" w:styleId="166">
    <w:name w:val="Char Char6"/>
    <w:autoRedefine/>
    <w:qFormat/>
    <w:uiPriority w:val="0"/>
    <w:rPr>
      <w:rFonts w:ascii="Times New Roman" w:hAnsi="Times New Roman" w:eastAsia="宋体" w:cs="Times New Roman"/>
      <w:szCs w:val="24"/>
    </w:rPr>
  </w:style>
  <w:style w:type="character" w:customStyle="1" w:styleId="167">
    <w:name w:val="Ò³Ã¼ Char Char1"/>
    <w:autoRedefine/>
    <w:qFormat/>
    <w:uiPriority w:val="0"/>
    <w:rPr>
      <w:rFonts w:eastAsia="宋体"/>
      <w:kern w:val="2"/>
      <w:sz w:val="18"/>
      <w:szCs w:val="18"/>
      <w:lang w:val="en-US" w:eastAsia="zh-CN" w:bidi="ar-SA"/>
    </w:rPr>
  </w:style>
  <w:style w:type="character" w:customStyle="1" w:styleId="168">
    <w:name w:val="Texte Char Char"/>
    <w:autoRedefine/>
    <w:qFormat/>
    <w:uiPriority w:val="0"/>
    <w:rPr>
      <w:rFonts w:ascii="宋体" w:hAnsi="Courier New" w:eastAsia="宋体"/>
      <w:sz w:val="21"/>
      <w:szCs w:val="21"/>
      <w:lang w:val="en-US" w:eastAsia="zh-CN" w:bidi="ar-SA"/>
    </w:rPr>
  </w:style>
  <w:style w:type="character" w:customStyle="1" w:styleId="169">
    <w:name w:val="Char Char Char"/>
    <w:autoRedefine/>
    <w:qFormat/>
    <w:uiPriority w:val="0"/>
    <w:rPr>
      <w:rFonts w:ascii="宋体" w:hAnsi="Courier New" w:eastAsia="宋体"/>
      <w:sz w:val="21"/>
      <w:szCs w:val="21"/>
      <w:lang w:val="en-US" w:eastAsia="zh-CN" w:bidi="ar-SA"/>
    </w:rPr>
  </w:style>
  <w:style w:type="character" w:customStyle="1" w:styleId="170">
    <w:name w:val="样式2 Char Char"/>
    <w:link w:val="171"/>
    <w:autoRedefine/>
    <w:qFormat/>
    <w:uiPriority w:val="0"/>
    <w:rPr>
      <w:rFonts w:ascii="宋体" w:hAnsi="宋体" w:eastAsia="宋体"/>
      <w:bCs/>
      <w:kern w:val="2"/>
      <w:sz w:val="28"/>
      <w:szCs w:val="28"/>
      <w:lang w:val="en-US" w:eastAsia="zh-CN" w:bidi="ar-SA"/>
    </w:rPr>
  </w:style>
  <w:style w:type="paragraph" w:customStyle="1" w:styleId="171">
    <w:name w:val="样式2"/>
    <w:basedOn w:val="5"/>
    <w:link w:val="170"/>
    <w:autoRedefine/>
    <w:qFormat/>
    <w:uiPriority w:val="0"/>
    <w:pPr>
      <w:keepLines/>
      <w:numPr>
        <w:numId w:val="0"/>
      </w:numPr>
      <w:snapToGrid w:val="0"/>
      <w:spacing w:afterLines="50" w:line="480" w:lineRule="exact"/>
      <w:ind w:firstLine="556"/>
    </w:pPr>
    <w:rPr>
      <w:rFonts w:ascii="宋体" w:hAnsi="宋体"/>
      <w:bCs/>
      <w:szCs w:val="28"/>
    </w:rPr>
  </w:style>
  <w:style w:type="character" w:customStyle="1" w:styleId="172">
    <w:name w:val="无间隔 Char"/>
    <w:link w:val="173"/>
    <w:autoRedefine/>
    <w:qFormat/>
    <w:uiPriority w:val="0"/>
    <w:rPr>
      <w:rFonts w:ascii="Calibri" w:hAnsi="Calibri" w:eastAsia="Times New Roman"/>
      <w:sz w:val="22"/>
      <w:szCs w:val="22"/>
      <w:lang w:val="en-US" w:eastAsia="zh-CN" w:bidi="ar-SA"/>
    </w:rPr>
  </w:style>
  <w:style w:type="paragraph" w:styleId="173">
    <w:name w:val="No Spacing"/>
    <w:link w:val="172"/>
    <w:autoRedefine/>
    <w:qFormat/>
    <w:uiPriority w:val="0"/>
    <w:rPr>
      <w:rFonts w:ascii="Calibri" w:hAnsi="Calibri" w:eastAsia="Times New Roman" w:cs="Times New Roman"/>
      <w:sz w:val="22"/>
      <w:szCs w:val="22"/>
      <w:lang w:val="en-US" w:eastAsia="zh-CN" w:bidi="ar-SA"/>
    </w:rPr>
  </w:style>
  <w:style w:type="character" w:customStyle="1" w:styleId="174">
    <w:name w:val="Char Char20"/>
    <w:autoRedefine/>
    <w:qFormat/>
    <w:uiPriority w:val="0"/>
    <w:rPr>
      <w:b/>
      <w:bCs/>
      <w:kern w:val="44"/>
      <w:sz w:val="44"/>
      <w:szCs w:val="44"/>
    </w:rPr>
  </w:style>
  <w:style w:type="character" w:customStyle="1" w:styleId="175">
    <w:name w:val="fontstrikethrough"/>
    <w:autoRedefine/>
    <w:qFormat/>
    <w:uiPriority w:val="0"/>
    <w:rPr>
      <w:strike/>
    </w:rPr>
  </w:style>
  <w:style w:type="character" w:customStyle="1" w:styleId="176">
    <w:name w:val="heading 2 Char1"/>
    <w:autoRedefine/>
    <w:qFormat/>
    <w:uiPriority w:val="0"/>
    <w:rPr>
      <w:rFonts w:ascii="Cambria" w:hAnsi="Cambria" w:eastAsia="宋体"/>
      <w:b/>
      <w:bCs/>
      <w:kern w:val="2"/>
      <w:sz w:val="32"/>
      <w:szCs w:val="32"/>
      <w:lang w:val="en-US" w:eastAsia="zh-CN" w:bidi="ar-SA"/>
    </w:rPr>
  </w:style>
  <w:style w:type="character" w:customStyle="1" w:styleId="177">
    <w:name w:val="正文1 Char Char"/>
    <w:link w:val="178"/>
    <w:autoRedefine/>
    <w:qFormat/>
    <w:uiPriority w:val="0"/>
    <w:rPr>
      <w:rFonts w:ascii="宋体" w:hAnsi="宋体" w:eastAsia="宋体" w:cs="宋体"/>
      <w:sz w:val="21"/>
      <w:lang w:val="en-US" w:eastAsia="zh-CN" w:bidi="ar-SA"/>
    </w:rPr>
  </w:style>
  <w:style w:type="paragraph" w:customStyle="1" w:styleId="178">
    <w:name w:val="正文1"/>
    <w:basedOn w:val="1"/>
    <w:link w:val="177"/>
    <w:autoRedefine/>
    <w:qFormat/>
    <w:uiPriority w:val="0"/>
    <w:pPr>
      <w:widowControl/>
      <w:spacing w:line="360" w:lineRule="auto"/>
      <w:ind w:left="360" w:firstLine="420"/>
      <w:jc w:val="left"/>
    </w:pPr>
    <w:rPr>
      <w:rFonts w:ascii="宋体" w:hAnsi="宋体" w:cs="宋体"/>
      <w:kern w:val="0"/>
      <w:szCs w:val="20"/>
    </w:rPr>
  </w:style>
  <w:style w:type="character" w:customStyle="1" w:styleId="179">
    <w:name w:val="Style2"/>
    <w:autoRedefine/>
    <w:qFormat/>
    <w:uiPriority w:val="0"/>
    <w:rPr>
      <w:rFonts w:ascii="Calibri" w:hAnsi="宋体" w:eastAsia="宋体" w:cs="Times New Roman"/>
      <w:sz w:val="22"/>
      <w:szCs w:val="22"/>
      <w:lang w:eastAsia="zh-CN"/>
    </w:rPr>
  </w:style>
  <w:style w:type="character" w:customStyle="1" w:styleId="180">
    <w:name w:val="Char Char61"/>
    <w:autoRedefine/>
    <w:qFormat/>
    <w:uiPriority w:val="0"/>
    <w:rPr>
      <w:rFonts w:ascii="Times New Roman" w:hAnsi="Times New Roman" w:eastAsia="宋体" w:cs="Times New Roman"/>
      <w:szCs w:val="24"/>
    </w:rPr>
  </w:style>
  <w:style w:type="character" w:customStyle="1" w:styleId="181">
    <w:name w:val="heading 4 Char"/>
    <w:autoRedefine/>
    <w:qFormat/>
    <w:uiPriority w:val="0"/>
    <w:rPr>
      <w:rFonts w:ascii="Arial" w:hAnsi="Arial" w:eastAsia="黑体" w:cs="Times New Roman"/>
      <w:sz w:val="21"/>
      <w:szCs w:val="21"/>
    </w:rPr>
  </w:style>
  <w:style w:type="character" w:customStyle="1" w:styleId="182">
    <w:name w:val="ändrad Char"/>
    <w:autoRedefine/>
    <w:qFormat/>
    <w:uiPriority w:val="0"/>
    <w:rPr>
      <w:rFonts w:eastAsia="宋体"/>
      <w:kern w:val="2"/>
      <w:sz w:val="21"/>
      <w:szCs w:val="24"/>
      <w:lang w:val="en-US" w:eastAsia="zh-CN" w:bidi="ar-SA"/>
    </w:rPr>
  </w:style>
  <w:style w:type="character" w:customStyle="1" w:styleId="183">
    <w:name w:val="Footer-Even Char2"/>
    <w:autoRedefine/>
    <w:qFormat/>
    <w:uiPriority w:val="0"/>
    <w:rPr>
      <w:kern w:val="2"/>
      <w:sz w:val="18"/>
      <w:szCs w:val="18"/>
    </w:rPr>
  </w:style>
  <w:style w:type="character" w:customStyle="1" w:styleId="184">
    <w:name w:val="Style4"/>
    <w:autoRedefine/>
    <w:qFormat/>
    <w:uiPriority w:val="0"/>
    <w:rPr>
      <w:rFonts w:ascii="Calibri" w:hAnsi="宋体" w:eastAsia="宋体" w:cs="Times New Roman"/>
      <w:szCs w:val="22"/>
      <w:lang w:eastAsia="zh-CN"/>
    </w:rPr>
  </w:style>
  <w:style w:type="character" w:customStyle="1" w:styleId="185">
    <w:name w:val="heading 2 Char"/>
    <w:autoRedefine/>
    <w:qFormat/>
    <w:uiPriority w:val="0"/>
    <w:rPr>
      <w:rFonts w:ascii="Arial" w:hAnsi="Arial" w:eastAsia="黑体" w:cs="Times New Roman"/>
      <w:sz w:val="30"/>
      <w:szCs w:val="24"/>
    </w:rPr>
  </w:style>
  <w:style w:type="character" w:customStyle="1" w:styleId="186">
    <w:name w:val="style21"/>
    <w:autoRedefine/>
    <w:qFormat/>
    <w:uiPriority w:val="0"/>
    <w:rPr>
      <w:sz w:val="15"/>
      <w:szCs w:val="15"/>
    </w:rPr>
  </w:style>
  <w:style w:type="character" w:customStyle="1" w:styleId="187">
    <w:name w:val="Table Text Char Char"/>
    <w:link w:val="188"/>
    <w:autoRedefine/>
    <w:qFormat/>
    <w:uiPriority w:val="0"/>
    <w:rPr>
      <w:sz w:val="21"/>
      <w:lang w:val="en-US" w:eastAsia="en-US" w:bidi="ar-SA"/>
    </w:rPr>
  </w:style>
  <w:style w:type="paragraph" w:customStyle="1" w:styleId="188">
    <w:name w:val="Table Text"/>
    <w:basedOn w:val="1"/>
    <w:link w:val="187"/>
    <w:autoRedefine/>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paragraph" w:customStyle="1" w:styleId="189">
    <w:name w:val="xl77"/>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b/>
      <w:bCs/>
      <w:kern w:val="0"/>
      <w:sz w:val="28"/>
      <w:szCs w:val="28"/>
    </w:rPr>
  </w:style>
  <w:style w:type="paragraph" w:customStyle="1" w:styleId="19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textAlignment w:val="top"/>
    </w:pPr>
    <w:rPr>
      <w:rFonts w:ascii="新宋体" w:hAnsi="新宋体" w:eastAsia="新宋体" w:cs="宋体"/>
      <w:color w:val="000000"/>
      <w:kern w:val="0"/>
      <w:sz w:val="24"/>
    </w:rPr>
  </w:style>
  <w:style w:type="paragraph" w:customStyle="1" w:styleId="191">
    <w:name w:val="xl89"/>
    <w:basedOn w:val="1"/>
    <w:autoRedefine/>
    <w:qFormat/>
    <w:uiPriority w:val="0"/>
    <w:pPr>
      <w:widowControl/>
      <w:spacing w:beforeAutospacing="1" w:afterAutospacing="1"/>
      <w:jc w:val="left"/>
    </w:pPr>
    <w:rPr>
      <w:rFonts w:ascii="宋体" w:hAnsi="宋体" w:cs="宋体"/>
      <w:kern w:val="0"/>
      <w:sz w:val="24"/>
    </w:rPr>
  </w:style>
  <w:style w:type="paragraph" w:customStyle="1" w:styleId="192">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19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4">
    <w:name w:val="文档正文"/>
    <w:basedOn w:val="1"/>
    <w:autoRedefine/>
    <w:qFormat/>
    <w:uiPriority w:val="0"/>
    <w:pPr>
      <w:adjustRightInd w:val="0"/>
      <w:spacing w:line="300" w:lineRule="auto"/>
      <w:ind w:firstLine="567"/>
      <w:textAlignment w:val="baseline"/>
    </w:pPr>
    <w:rPr>
      <w:kern w:val="0"/>
      <w:sz w:val="24"/>
      <w:szCs w:val="20"/>
    </w:rPr>
  </w:style>
  <w:style w:type="paragraph" w:customStyle="1" w:styleId="195">
    <w:name w:val="Char1"/>
    <w:basedOn w:val="1"/>
    <w:autoRedefine/>
    <w:qFormat/>
    <w:uiPriority w:val="0"/>
    <w:rPr>
      <w:rFonts w:ascii="仿宋_GB2312" w:eastAsia="仿宋_GB2312"/>
      <w:b/>
      <w:sz w:val="32"/>
      <w:szCs w:val="32"/>
    </w:rPr>
  </w:style>
  <w:style w:type="paragraph" w:customStyle="1" w:styleId="196">
    <w:name w:val="xl90"/>
    <w:basedOn w:val="1"/>
    <w:autoRedefine/>
    <w:qFormat/>
    <w:uiPriority w:val="0"/>
    <w:pPr>
      <w:widowControl/>
      <w:pBdr>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197">
    <w:name w:val="xl82"/>
    <w:basedOn w:val="1"/>
    <w:autoRedefine/>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198">
    <w:name w:val="正文文本 21"/>
    <w:basedOn w:val="1"/>
    <w:autoRedefine/>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199">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00">
    <w:name w:val="Table Contents"/>
    <w:basedOn w:val="1"/>
    <w:autoRedefine/>
    <w:qFormat/>
    <w:uiPriority w:val="0"/>
    <w:pPr>
      <w:suppressAutoHyphens/>
      <w:autoSpaceDE w:val="0"/>
      <w:autoSpaceDN w:val="0"/>
      <w:adjustRightInd w:val="0"/>
      <w:jc w:val="left"/>
    </w:pPr>
    <w:rPr>
      <w:rFonts w:ascii="Helvetica" w:hAnsi="Helvetica"/>
      <w:kern w:val="1"/>
      <w:sz w:val="20"/>
      <w:szCs w:val="20"/>
    </w:rPr>
  </w:style>
  <w:style w:type="paragraph" w:customStyle="1" w:styleId="201">
    <w:name w:val="简单回函地址"/>
    <w:basedOn w:val="1"/>
    <w:autoRedefine/>
    <w:qFormat/>
    <w:uiPriority w:val="0"/>
  </w:style>
  <w:style w:type="paragraph" w:customStyle="1" w:styleId="202">
    <w:name w:val="样式 标题 3 + 黑体 小四 非加粗"/>
    <w:basedOn w:val="6"/>
    <w:autoRedefine/>
    <w:qFormat/>
    <w:uiPriority w:val="0"/>
    <w:pPr>
      <w:numPr>
        <w:numId w:val="0"/>
      </w:numPr>
      <w:spacing w:line="415" w:lineRule="auto"/>
    </w:pPr>
    <w:rPr>
      <w:rFonts w:ascii="黑体" w:hAnsi="黑体"/>
      <w:b w:val="0"/>
      <w:kern w:val="0"/>
      <w:sz w:val="24"/>
      <w:szCs w:val="32"/>
    </w:rPr>
  </w:style>
  <w:style w:type="paragraph" w:customStyle="1" w:styleId="203">
    <w:name w:val="xl35"/>
    <w:basedOn w:val="1"/>
    <w:autoRedefine/>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204">
    <w:name w:val="样式 标题 3 + 黑色 段前: 5 磅 段后: 5 磅 行距: 1.5 倍行距"/>
    <w:basedOn w:val="1"/>
    <w:autoRedefine/>
    <w:qFormat/>
    <w:uiPriority w:val="0"/>
    <w:pPr>
      <w:ind w:left="855" w:hanging="855"/>
    </w:pPr>
    <w:rPr>
      <w:sz w:val="24"/>
      <w:szCs w:val="20"/>
    </w:rPr>
  </w:style>
  <w:style w:type="paragraph" w:customStyle="1" w:styleId="205">
    <w:name w:val="样式 左侧:  0.85 厘米 首行缩进:  0.85 厘米"/>
    <w:basedOn w:val="1"/>
    <w:autoRedefine/>
    <w:qFormat/>
    <w:uiPriority w:val="0"/>
    <w:pPr>
      <w:autoSpaceDE w:val="0"/>
      <w:autoSpaceDN w:val="0"/>
      <w:adjustRightInd w:val="0"/>
      <w:spacing w:line="360" w:lineRule="auto"/>
      <w:ind w:firstLine="482"/>
      <w:jc w:val="left"/>
    </w:pPr>
    <w:rPr>
      <w:rFonts w:cs="宋体"/>
      <w:kern w:val="0"/>
      <w:sz w:val="24"/>
      <w:szCs w:val="20"/>
    </w:rPr>
  </w:style>
  <w:style w:type="paragraph" w:customStyle="1" w:styleId="20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08">
    <w:name w:val="Char11"/>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09">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11">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12">
    <w:name w:val="标题五"/>
    <w:basedOn w:val="1"/>
    <w:autoRedefine/>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13">
    <w:name w:val="标准段落"/>
    <w:basedOn w:val="1"/>
    <w:autoRedefine/>
    <w:qFormat/>
    <w:uiPriority w:val="0"/>
    <w:pPr>
      <w:spacing w:line="360" w:lineRule="auto"/>
      <w:ind w:firstLine="420"/>
    </w:pPr>
    <w:rPr>
      <w:rFonts w:ascii="黑体" w:hAnsi="宋体" w:eastAsia="黑体"/>
      <w:b/>
      <w:spacing w:val="6"/>
      <w:szCs w:val="22"/>
    </w:rPr>
  </w:style>
  <w:style w:type="paragraph" w:customStyle="1" w:styleId="214">
    <w:name w:val="正文缩进1"/>
    <w:basedOn w:val="1"/>
    <w:next w:val="23"/>
    <w:autoRedefine/>
    <w:qFormat/>
    <w:uiPriority w:val="0"/>
    <w:pPr>
      <w:autoSpaceDE w:val="0"/>
      <w:autoSpaceDN w:val="0"/>
      <w:adjustRightInd w:val="0"/>
      <w:snapToGrid w:val="0"/>
      <w:spacing w:line="360" w:lineRule="auto"/>
      <w:ind w:left="420" w:leftChars="200" w:firstLine="480" w:firstLineChars="200"/>
      <w:jc w:val="left"/>
    </w:pPr>
    <w:rPr>
      <w:kern w:val="0"/>
      <w:sz w:val="24"/>
      <w:szCs w:val="21"/>
    </w:rPr>
  </w:style>
  <w:style w:type="paragraph" w:customStyle="1" w:styleId="215">
    <w:name w:val="Table Paragraph"/>
    <w:basedOn w:val="1"/>
    <w:autoRedefine/>
    <w:qFormat/>
    <w:uiPriority w:val="1"/>
    <w:pPr>
      <w:ind w:left="107"/>
    </w:pPr>
    <w:rPr>
      <w:rFonts w:ascii="宋体" w:hAnsi="宋体" w:cs="宋体"/>
      <w:lang w:val="zh-CN" w:bidi="zh-CN"/>
    </w:rPr>
  </w:style>
  <w:style w:type="paragraph" w:customStyle="1" w:styleId="216">
    <w:name w:val="xl25"/>
    <w:basedOn w:val="1"/>
    <w:autoRedefine/>
    <w:qFormat/>
    <w:uiPriority w:val="0"/>
    <w:pPr>
      <w:widowControl/>
      <w:autoSpaceDE w:val="0"/>
      <w:autoSpaceDN w:val="0"/>
      <w:adjustRightInd w:val="0"/>
      <w:spacing w:beforeAutospacing="1" w:afterAutospacing="1"/>
      <w:jc w:val="center"/>
      <w:textAlignment w:val="center"/>
    </w:pPr>
    <w:rPr>
      <w:rFonts w:hint="eastAsia" w:ascii="楷体_GB2312" w:hAnsi="宋体" w:eastAsia="楷体_GB2312"/>
      <w:kern w:val="0"/>
      <w:sz w:val="24"/>
      <w:szCs w:val="20"/>
    </w:rPr>
  </w:style>
  <w:style w:type="paragraph" w:customStyle="1" w:styleId="217">
    <w:name w:val="Char Char Char Char Char Char Char Char Char Char Char Char Char"/>
    <w:basedOn w:val="1"/>
    <w:autoRedefine/>
    <w:qFormat/>
    <w:uiPriority w:val="0"/>
  </w:style>
  <w:style w:type="paragraph" w:customStyle="1" w:styleId="218">
    <w:name w:val="Char Char Char Char Char Char Char Char Char Char Char Char Char1"/>
    <w:basedOn w:val="1"/>
    <w:autoRedefine/>
    <w:qFormat/>
    <w:uiPriority w:val="0"/>
    <w:rPr>
      <w:rFonts w:ascii="Tahoma" w:hAnsi="Tahoma"/>
      <w:sz w:val="24"/>
      <w:szCs w:val="20"/>
    </w:rPr>
  </w:style>
  <w:style w:type="paragraph" w:customStyle="1" w:styleId="219">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20">
    <w:name w:val="font5"/>
    <w:basedOn w:val="1"/>
    <w:autoRedefine/>
    <w:qFormat/>
    <w:uiPriority w:val="0"/>
    <w:pPr>
      <w:widowControl/>
      <w:spacing w:beforeAutospacing="1" w:afterAutospacing="1"/>
      <w:jc w:val="left"/>
    </w:pPr>
    <w:rPr>
      <w:rFonts w:ascii="宋体" w:hAnsi="宋体" w:cs="宋体"/>
      <w:kern w:val="0"/>
      <w:sz w:val="18"/>
      <w:szCs w:val="18"/>
    </w:rPr>
  </w:style>
  <w:style w:type="paragraph" w:customStyle="1" w:styleId="221">
    <w:name w:val="p0"/>
    <w:basedOn w:val="1"/>
    <w:autoRedefine/>
    <w:qFormat/>
    <w:uiPriority w:val="0"/>
    <w:pPr>
      <w:widowControl/>
    </w:pPr>
    <w:rPr>
      <w:kern w:val="0"/>
      <w:szCs w:val="21"/>
    </w:rPr>
  </w:style>
  <w:style w:type="paragraph" w:customStyle="1" w:styleId="222">
    <w:name w:val="NICMAN Body Text"/>
    <w:basedOn w:val="1"/>
    <w:next w:val="22"/>
    <w:autoRedefine/>
    <w:qFormat/>
    <w:uiPriority w:val="0"/>
    <w:pPr>
      <w:autoSpaceDE w:val="0"/>
      <w:autoSpaceDN w:val="0"/>
      <w:adjustRightInd w:val="0"/>
      <w:jc w:val="left"/>
    </w:pPr>
    <w:rPr>
      <w:kern w:val="0"/>
      <w:sz w:val="20"/>
      <w:szCs w:val="20"/>
    </w:rPr>
  </w:style>
  <w:style w:type="paragraph" w:customStyle="1" w:styleId="223">
    <w:name w:val="四级条标题"/>
    <w:basedOn w:val="224"/>
    <w:next w:val="1"/>
    <w:autoRedefine/>
    <w:qFormat/>
    <w:uiPriority w:val="0"/>
    <w:pPr>
      <w:numPr>
        <w:ilvl w:val="5"/>
      </w:numPr>
      <w:tabs>
        <w:tab w:val="left" w:pos="3889"/>
      </w:tabs>
      <w:outlineLvl w:val="5"/>
    </w:pPr>
  </w:style>
  <w:style w:type="paragraph" w:customStyle="1" w:styleId="224">
    <w:name w:val="三级条标题"/>
    <w:basedOn w:val="225"/>
    <w:next w:val="1"/>
    <w:autoRedefine/>
    <w:qFormat/>
    <w:uiPriority w:val="0"/>
    <w:pPr>
      <w:numPr>
        <w:ilvl w:val="4"/>
      </w:numPr>
      <w:tabs>
        <w:tab w:val="left" w:pos="3889"/>
      </w:tabs>
      <w:outlineLvl w:val="4"/>
    </w:pPr>
  </w:style>
  <w:style w:type="paragraph" w:customStyle="1" w:styleId="225">
    <w:name w:val="二级条标题"/>
    <w:basedOn w:val="226"/>
    <w:next w:val="1"/>
    <w:autoRedefine/>
    <w:qFormat/>
    <w:uiPriority w:val="0"/>
    <w:pPr>
      <w:numPr>
        <w:ilvl w:val="3"/>
      </w:numPr>
      <w:tabs>
        <w:tab w:val="left" w:pos="3889"/>
      </w:tabs>
      <w:outlineLvl w:val="3"/>
    </w:pPr>
  </w:style>
  <w:style w:type="paragraph" w:customStyle="1" w:styleId="226">
    <w:name w:val="一级条标题"/>
    <w:next w:val="1"/>
    <w:autoRedefine/>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27">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228">
    <w:name w:val="1.1.1"/>
    <w:basedOn w:val="1"/>
    <w:autoRedefine/>
    <w:qFormat/>
    <w:uiPriority w:val="0"/>
    <w:pPr>
      <w:tabs>
        <w:tab w:val="left" w:pos="0"/>
        <w:tab w:val="left" w:pos="1134"/>
        <w:tab w:val="left" w:pos="8505"/>
      </w:tabs>
      <w:autoSpaceDE w:val="0"/>
      <w:autoSpaceDN w:val="0"/>
      <w:adjustRightInd w:val="0"/>
      <w:spacing w:line="360" w:lineRule="atLeast"/>
    </w:pPr>
    <w:rPr>
      <w:rFonts w:ascii="宋体"/>
      <w:b/>
      <w:kern w:val="0"/>
      <w:sz w:val="24"/>
      <w:szCs w:val="20"/>
    </w:rPr>
  </w:style>
  <w:style w:type="paragraph" w:customStyle="1" w:styleId="229">
    <w:name w:val="xl80"/>
    <w:basedOn w:val="1"/>
    <w:autoRedefine/>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30">
    <w:name w:val="Char13"/>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31">
    <w:name w:val="Table Heading"/>
    <w:autoRedefine/>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32">
    <w:name w:val="列出段落1"/>
    <w:basedOn w:val="1"/>
    <w:autoRedefine/>
    <w:qFormat/>
    <w:uiPriority w:val="0"/>
    <w:pPr>
      <w:ind w:firstLine="420" w:firstLineChars="200"/>
    </w:pPr>
    <w:rPr>
      <w:szCs w:val="20"/>
    </w:rPr>
  </w:style>
  <w:style w:type="paragraph" w:customStyle="1" w:styleId="233">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234">
    <w:name w:val="xl83"/>
    <w:basedOn w:val="1"/>
    <w:autoRedefine/>
    <w:qFormat/>
    <w:uiPriority w:val="0"/>
    <w:pPr>
      <w:widowControl/>
      <w:pBdr>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35">
    <w:name w:val="features1"/>
    <w:basedOn w:val="1"/>
    <w:autoRedefine/>
    <w:qFormat/>
    <w:uiPriority w:val="0"/>
    <w:pPr>
      <w:widowControl/>
      <w:spacing w:beforeAutospacing="1" w:afterAutospacing="1"/>
      <w:jc w:val="left"/>
    </w:pPr>
    <w:rPr>
      <w:rFonts w:ascii="宋体" w:hAnsi="宋体" w:cs="宋体"/>
      <w:b/>
      <w:bCs/>
      <w:kern w:val="0"/>
      <w:sz w:val="18"/>
      <w:szCs w:val="18"/>
    </w:rPr>
  </w:style>
  <w:style w:type="paragraph" w:customStyle="1" w:styleId="236">
    <w:name w:val="样式 标题 1Level 1Level 11h1II+IHeading1H1-Heading 1Header 1..."/>
    <w:basedOn w:val="4"/>
    <w:autoRedefine/>
    <w:qFormat/>
    <w:uiPriority w:val="0"/>
    <w:pPr>
      <w:keepLines/>
      <w:pageBreakBefore/>
      <w:numPr>
        <w:numId w:val="0"/>
      </w:numPr>
      <w:spacing w:line="360" w:lineRule="auto"/>
      <w:ind w:left="1680" w:hanging="420"/>
      <w:jc w:val="left"/>
    </w:pPr>
    <w:rPr>
      <w:rFonts w:ascii="Arial" w:hAnsi="Arial" w:cs="宋体"/>
      <w:bCs/>
      <w:kern w:val="44"/>
      <w:sz w:val="44"/>
    </w:rPr>
  </w:style>
  <w:style w:type="paragraph" w:customStyle="1" w:styleId="237">
    <w:name w:val="正文2"/>
    <w:basedOn w:val="1"/>
    <w:autoRedefine/>
    <w:qFormat/>
    <w:uiPriority w:val="0"/>
    <w:pPr>
      <w:autoSpaceDE w:val="0"/>
      <w:autoSpaceDN w:val="0"/>
      <w:adjustRightInd w:val="0"/>
      <w:spacing w:line="360" w:lineRule="auto"/>
      <w:ind w:firstLine="510" w:firstLineChars="200"/>
      <w:jc w:val="left"/>
    </w:pPr>
    <w:rPr>
      <w:kern w:val="0"/>
      <w:sz w:val="24"/>
      <w:szCs w:val="20"/>
    </w:rPr>
  </w:style>
  <w:style w:type="paragraph" w:customStyle="1" w:styleId="238">
    <w:name w:val="排列"/>
    <w:basedOn w:val="1"/>
    <w:autoRedefine/>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3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0">
    <w:name w:val="Char Char13"/>
    <w:basedOn w:val="1"/>
    <w:autoRedefine/>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241">
    <w:name w:val="正文－恩普"/>
    <w:basedOn w:val="9"/>
    <w:autoRedefine/>
    <w:qFormat/>
    <w:uiPriority w:val="0"/>
    <w:pPr>
      <w:adjustRightInd/>
      <w:spacing w:line="360" w:lineRule="auto"/>
      <w:ind w:firstLine="200" w:firstLineChars="200"/>
      <w:textAlignment w:val="auto"/>
    </w:pPr>
    <w:rPr>
      <w:sz w:val="24"/>
    </w:rPr>
  </w:style>
  <w:style w:type="paragraph" w:customStyle="1" w:styleId="24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43">
    <w:name w:val="font6"/>
    <w:basedOn w:val="1"/>
    <w:autoRedefine/>
    <w:qFormat/>
    <w:uiPriority w:val="0"/>
    <w:pPr>
      <w:widowControl/>
      <w:spacing w:beforeAutospacing="1" w:afterAutospacing="1"/>
      <w:jc w:val="left"/>
    </w:pPr>
    <w:rPr>
      <w:rFonts w:ascii="宋体" w:hAnsi="宋体" w:cs="宋体"/>
      <w:kern w:val="0"/>
      <w:sz w:val="18"/>
      <w:szCs w:val="18"/>
    </w:rPr>
  </w:style>
  <w:style w:type="paragraph" w:customStyle="1" w:styleId="244">
    <w:name w:val="xl91"/>
    <w:basedOn w:val="1"/>
    <w:autoRedefine/>
    <w:qFormat/>
    <w:uiPriority w:val="0"/>
    <w:pPr>
      <w:widowControl/>
      <w:pBdr>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45">
    <w:name w:val="Char Char"/>
    <w:basedOn w:val="1"/>
    <w:autoRedefine/>
    <w:qFormat/>
    <w:uiPriority w:val="0"/>
    <w:rPr>
      <w:rFonts w:ascii="仿宋_GB2312" w:eastAsia="仿宋_GB2312"/>
      <w:b/>
      <w:sz w:val="32"/>
      <w:szCs w:val="32"/>
    </w:rPr>
  </w:style>
  <w:style w:type="paragraph" w:customStyle="1" w:styleId="246">
    <w:name w:val="xl76"/>
    <w:basedOn w:val="1"/>
    <w:autoRedefine/>
    <w:qFormat/>
    <w:uiPriority w:val="0"/>
    <w:pPr>
      <w:widowControl/>
      <w:pBdr>
        <w:top w:val="single" w:color="auto" w:sz="4" w:space="0"/>
        <w:bottom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7">
    <w:name w:val="正文字缩2字"/>
    <w:basedOn w:val="1"/>
    <w:autoRedefine/>
    <w:qFormat/>
    <w:uiPriority w:val="0"/>
    <w:pPr>
      <w:spacing w:line="360" w:lineRule="auto"/>
      <w:ind w:left="200" w:leftChars="200" w:firstLine="200" w:firstLineChars="200"/>
    </w:pPr>
    <w:rPr>
      <w:sz w:val="24"/>
    </w:rPr>
  </w:style>
  <w:style w:type="paragraph" w:customStyle="1" w:styleId="248">
    <w:name w:val="xl92"/>
    <w:basedOn w:val="1"/>
    <w:autoRedefine/>
    <w:qFormat/>
    <w:uiPriority w:val="0"/>
    <w:pPr>
      <w:widowControl/>
      <w:pBdr>
        <w:top w:val="single" w:color="auto" w:sz="4" w:space="0"/>
        <w:left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0">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51">
    <w:name w:val="标书正文带编号"/>
    <w:basedOn w:val="1"/>
    <w:autoRedefine/>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2">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3">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54">
    <w:name w:val="章标题"/>
    <w:next w:val="1"/>
    <w:autoRedefine/>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55">
    <w:name w:val="tabletext"/>
    <w:basedOn w:val="1"/>
    <w:autoRedefine/>
    <w:qFormat/>
    <w:uiPriority w:val="0"/>
    <w:pPr>
      <w:widowControl/>
      <w:spacing w:line="300" w:lineRule="atLeast"/>
      <w:jc w:val="left"/>
    </w:pPr>
    <w:rPr>
      <w:rFonts w:ascii="宋体" w:hAnsi="宋体" w:cs="宋体"/>
      <w:kern w:val="0"/>
      <w:sz w:val="18"/>
      <w:szCs w:val="18"/>
    </w:rPr>
  </w:style>
  <w:style w:type="paragraph" w:customStyle="1" w:styleId="256">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57">
    <w:name w:val="xl81"/>
    <w:basedOn w:val="1"/>
    <w:autoRedefine/>
    <w:qFormat/>
    <w:uiPriority w:val="0"/>
    <w:pPr>
      <w:widowControl/>
      <w:pBdr>
        <w:top w:val="single" w:color="auto" w:sz="4" w:space="0"/>
        <w:left w:val="single" w:color="auto" w:sz="4" w:space="0"/>
        <w:right w:val="single" w:color="auto" w:sz="4" w:space="0"/>
      </w:pBdr>
      <w:spacing w:beforeAutospacing="1" w:afterAutospacing="1"/>
      <w:jc w:val="center"/>
    </w:pPr>
    <w:rPr>
      <w:rFonts w:ascii="新宋体" w:hAnsi="新宋体" w:eastAsia="新宋体" w:cs="宋体"/>
      <w:color w:val="000000"/>
      <w:kern w:val="0"/>
      <w:sz w:val="24"/>
    </w:rPr>
  </w:style>
  <w:style w:type="paragraph" w:customStyle="1" w:styleId="258">
    <w:name w:val="Char"/>
    <w:basedOn w:val="1"/>
    <w:autoRedefine/>
    <w:qFormat/>
    <w:uiPriority w:val="0"/>
    <w:rPr>
      <w:rFonts w:ascii="仿宋_GB2312" w:eastAsia="仿宋_GB2312"/>
      <w:b/>
      <w:sz w:val="32"/>
      <w:szCs w:val="32"/>
    </w:rPr>
  </w:style>
  <w:style w:type="paragraph" w:customStyle="1" w:styleId="259">
    <w:name w:val="保留正文"/>
    <w:basedOn w:val="22"/>
    <w:autoRedefine/>
    <w:qFormat/>
    <w:uiPriority w:val="0"/>
    <w:pPr>
      <w:keepNext/>
    </w:pPr>
    <w:rPr>
      <w:szCs w:val="20"/>
    </w:rPr>
  </w:style>
  <w:style w:type="paragraph" w:customStyle="1" w:styleId="260">
    <w:name w:val="Char Char Char Char"/>
    <w:basedOn w:val="18"/>
    <w:autoRedefine/>
    <w:qFormat/>
    <w:uiPriority w:val="0"/>
    <w:rPr>
      <w:rFonts w:ascii="Tahoma" w:hAnsi="Tahoma"/>
      <w:sz w:val="24"/>
    </w:rPr>
  </w:style>
  <w:style w:type="paragraph" w:customStyle="1" w:styleId="261">
    <w:name w:val="正文文字表格居中"/>
    <w:basedOn w:val="1"/>
    <w:next w:val="46"/>
    <w:autoRedefine/>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62">
    <w:name w:val="_Style 261"/>
    <w:basedOn w:val="4"/>
    <w:next w:val="1"/>
    <w:autoRedefine/>
    <w:qFormat/>
    <w:uiPriority w:val="0"/>
    <w:pPr>
      <w:keepLines/>
      <w:widowControl/>
      <w:numPr>
        <w:numId w:val="0"/>
      </w:numPr>
      <w:spacing w:line="276" w:lineRule="auto"/>
      <w:jc w:val="left"/>
      <w:outlineLvl w:val="9"/>
    </w:pPr>
    <w:rPr>
      <w:rFonts w:ascii="Cambria" w:hAnsi="Cambria" w:eastAsia="宋体"/>
      <w:bCs/>
      <w:color w:val="365F91"/>
      <w:kern w:val="0"/>
      <w:sz w:val="28"/>
      <w:szCs w:val="28"/>
    </w:rPr>
  </w:style>
  <w:style w:type="paragraph" w:customStyle="1" w:styleId="263">
    <w:name w:val="正文（首行缩进）"/>
    <w:basedOn w:val="23"/>
    <w:autoRedefine/>
    <w:qFormat/>
    <w:uiPriority w:val="0"/>
    <w:pPr>
      <w:widowControl/>
      <w:overflowPunct w:val="0"/>
      <w:autoSpaceDE w:val="0"/>
      <w:autoSpaceDN w:val="0"/>
      <w:adjustRightInd w:val="0"/>
      <w:spacing w:beforeLines="50" w:line="400" w:lineRule="exact"/>
      <w:ind w:left="200" w:leftChars="200" w:firstLine="200" w:firstLineChars="200"/>
      <w:jc w:val="left"/>
      <w:textAlignment w:val="baseline"/>
    </w:pPr>
    <w:rPr>
      <w:spacing w:val="10"/>
      <w:kern w:val="0"/>
      <w:szCs w:val="20"/>
    </w:rPr>
  </w:style>
  <w:style w:type="paragraph" w:customStyle="1" w:styleId="264">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65">
    <w:name w:val="样式"/>
    <w:basedOn w:val="1"/>
    <w:autoRedefine/>
    <w:qFormat/>
    <w:uiPriority w:val="0"/>
    <w:pPr>
      <w:autoSpaceDE w:val="0"/>
      <w:autoSpaceDN w:val="0"/>
      <w:adjustRightInd w:val="0"/>
      <w:snapToGrid w:val="0"/>
      <w:spacing w:line="360" w:lineRule="auto"/>
      <w:jc w:val="left"/>
    </w:pPr>
    <w:rPr>
      <w:rFonts w:ascii="宋体"/>
      <w:kern w:val="0"/>
      <w:sz w:val="24"/>
      <w:szCs w:val="20"/>
    </w:rPr>
  </w:style>
  <w:style w:type="paragraph" w:customStyle="1" w:styleId="266">
    <w:name w:val="五级条标题"/>
    <w:basedOn w:val="223"/>
    <w:next w:val="1"/>
    <w:autoRedefine/>
    <w:qFormat/>
    <w:uiPriority w:val="0"/>
    <w:pPr>
      <w:numPr>
        <w:ilvl w:val="6"/>
      </w:numPr>
      <w:outlineLvl w:val="6"/>
    </w:pPr>
  </w:style>
  <w:style w:type="paragraph" w:customStyle="1" w:styleId="267">
    <w:name w:val="正文样式 首行缩进:  0.74 厘米"/>
    <w:basedOn w:val="1"/>
    <w:autoRedefine/>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68">
    <w:name w:val="Test2"/>
    <w:basedOn w:val="5"/>
    <w:autoRedefine/>
    <w:qFormat/>
    <w:uiPriority w:val="0"/>
    <w:pPr>
      <w:keepNext w:val="0"/>
      <w:widowControl/>
      <w:numPr>
        <w:numId w:val="0"/>
      </w:numPr>
      <w:tabs>
        <w:tab w:val="left" w:pos="774"/>
      </w:tabs>
      <w:autoSpaceDE w:val="0"/>
      <w:autoSpaceDN w:val="0"/>
      <w:adjustRightInd w:val="0"/>
      <w:snapToGrid w:val="0"/>
      <w:spacing w:line="240" w:lineRule="atLeast"/>
      <w:ind w:left="774" w:hanging="576"/>
      <w:jc w:val="left"/>
    </w:pPr>
    <w:rPr>
      <w:rFonts w:ascii="宋体" w:hAnsi="Arial"/>
      <w:snapToGrid w:val="0"/>
      <w:kern w:val="0"/>
      <w:szCs w:val="32"/>
    </w:rPr>
  </w:style>
  <w:style w:type="paragraph" w:customStyle="1" w:styleId="269">
    <w:name w:val="Char Char Char Char1"/>
    <w:basedOn w:val="1"/>
    <w:autoRedefine/>
    <w:qFormat/>
    <w:uiPriority w:val="0"/>
    <w:pPr>
      <w:autoSpaceDE w:val="0"/>
      <w:autoSpaceDN w:val="0"/>
      <w:adjustRightInd w:val="0"/>
      <w:jc w:val="left"/>
    </w:pPr>
    <w:rPr>
      <w:rFonts w:ascii="Tahoma" w:hAnsi="Tahoma"/>
      <w:kern w:val="0"/>
      <w:sz w:val="24"/>
      <w:szCs w:val="20"/>
    </w:rPr>
  </w:style>
  <w:style w:type="paragraph" w:customStyle="1" w:styleId="270">
    <w:name w:val="Char Char Char Char Char Char Char Char Char Char"/>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71">
    <w:name w:val="xl29"/>
    <w:basedOn w:val="1"/>
    <w:autoRedefine/>
    <w:qFormat/>
    <w:uiPriority w:val="0"/>
    <w:pPr>
      <w:widowControl/>
      <w:autoSpaceDE w:val="0"/>
      <w:autoSpaceDN w:val="0"/>
      <w:adjustRightInd w:val="0"/>
      <w:spacing w:beforeAutospacing="1" w:afterAutospacing="1"/>
      <w:jc w:val="center"/>
    </w:pPr>
    <w:rPr>
      <w:rFonts w:ascii="Arial Unicode MS" w:hAnsi="Arial Unicode MS" w:eastAsia="Arial Unicode MS"/>
      <w:kern w:val="0"/>
      <w:sz w:val="24"/>
      <w:szCs w:val="20"/>
    </w:rPr>
  </w:style>
  <w:style w:type="paragraph" w:customStyle="1" w:styleId="27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73">
    <w:name w:val="Char Char1 Char Char Char Char Char Char Char Char Char Char Char Char Char Char"/>
    <w:basedOn w:val="1"/>
    <w:autoRedefine/>
    <w:qFormat/>
    <w:uiPriority w:val="0"/>
    <w:pPr>
      <w:widowControl/>
      <w:autoSpaceDE w:val="0"/>
      <w:autoSpaceDN w:val="0"/>
      <w:adjustRightInd w:val="0"/>
      <w:spacing w:line="240" w:lineRule="exact"/>
      <w:jc w:val="left"/>
    </w:pPr>
    <w:rPr>
      <w:kern w:val="0"/>
      <w:sz w:val="20"/>
      <w:szCs w:val="20"/>
    </w:rPr>
  </w:style>
  <w:style w:type="paragraph" w:customStyle="1" w:styleId="274">
    <w:name w:val="VIT-Text"/>
    <w:basedOn w:val="1"/>
    <w:autoRedefine/>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75">
    <w:name w:val="小标题"/>
    <w:basedOn w:val="1"/>
    <w:autoRedefine/>
    <w:qFormat/>
    <w:uiPriority w:val="0"/>
    <w:pPr>
      <w:autoSpaceDE w:val="0"/>
      <w:autoSpaceDN w:val="0"/>
      <w:adjustRightInd w:val="0"/>
      <w:spacing w:line="360" w:lineRule="atLeast"/>
      <w:ind w:left="1134"/>
      <w:jc w:val="left"/>
      <w:textAlignment w:val="baseline"/>
    </w:pPr>
    <w:rPr>
      <w:rFonts w:eastAsia="黑体"/>
      <w:kern w:val="0"/>
      <w:sz w:val="20"/>
      <w:szCs w:val="20"/>
    </w:rPr>
  </w:style>
  <w:style w:type="paragraph" w:customStyle="1" w:styleId="276">
    <w:name w:val="Char2"/>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277">
    <w:name w:val="button"/>
    <w:basedOn w:val="1"/>
    <w:autoRedefine/>
    <w:qFormat/>
    <w:uiPriority w:val="0"/>
    <w:pPr>
      <w:widowControl/>
      <w:autoSpaceDE w:val="0"/>
      <w:autoSpaceDN w:val="0"/>
      <w:adjustRightInd w:val="0"/>
      <w:spacing w:beforeAutospacing="1" w:afterAutospacing="1"/>
      <w:jc w:val="left"/>
    </w:pPr>
    <w:rPr>
      <w:rFonts w:ascii="Arial Unicode MS" w:hAnsi="Arial Unicode MS"/>
      <w:color w:val="000000"/>
      <w:kern w:val="0"/>
      <w:sz w:val="24"/>
      <w:szCs w:val="20"/>
    </w:rPr>
  </w:style>
  <w:style w:type="paragraph" w:customStyle="1" w:styleId="27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新宋体" w:hAnsi="新宋体" w:eastAsia="新宋体" w:cs="宋体"/>
      <w:b/>
      <w:bCs/>
      <w:color w:val="000000"/>
      <w:kern w:val="0"/>
      <w:sz w:val="24"/>
    </w:rPr>
  </w:style>
  <w:style w:type="paragraph" w:customStyle="1" w:styleId="279">
    <w:name w:val="xl84"/>
    <w:basedOn w:val="1"/>
    <w:autoRedefine/>
    <w:qFormat/>
    <w:uiPriority w:val="0"/>
    <w:pPr>
      <w:widowControl/>
      <w:pBdr>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0">
    <w:name w:val="Char Char Char Char Char Char Char"/>
    <w:basedOn w:val="1"/>
    <w:autoRedefine/>
    <w:qFormat/>
    <w:uiPriority w:val="0"/>
    <w:rPr>
      <w:rFonts w:ascii="仿宋_GB2312" w:eastAsia="仿宋_GB2312"/>
      <w:b/>
      <w:sz w:val="32"/>
      <w:szCs w:val="32"/>
    </w:rPr>
  </w:style>
  <w:style w:type="paragraph" w:customStyle="1" w:styleId="281">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82">
    <w:name w:val="正文-宋体四号"/>
    <w:basedOn w:val="1"/>
    <w:autoRedefine/>
    <w:qFormat/>
    <w:uiPriority w:val="0"/>
    <w:pPr>
      <w:spacing w:line="360" w:lineRule="auto"/>
      <w:ind w:firstLine="560" w:firstLineChars="200"/>
    </w:pPr>
    <w:rPr>
      <w:rFonts w:cs="宋体"/>
      <w:sz w:val="28"/>
      <w:szCs w:val="20"/>
    </w:rPr>
  </w:style>
  <w:style w:type="paragraph" w:customStyle="1" w:styleId="28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84">
    <w:name w:val="xl78"/>
    <w:basedOn w:val="1"/>
    <w:autoRedefine/>
    <w:qFormat/>
    <w:uiPriority w:val="0"/>
    <w:pPr>
      <w:widowControl/>
      <w:pBdr>
        <w:top w:val="single" w:color="auto" w:sz="4" w:space="0"/>
        <w:left w:val="single" w:color="auto" w:sz="4" w:space="0"/>
        <w:bottom w:val="single" w:color="auto" w:sz="4" w:space="0"/>
      </w:pBdr>
      <w:spacing w:beforeAutospacing="1" w:afterAutospacing="1"/>
      <w:jc w:val="left"/>
    </w:pPr>
    <w:rPr>
      <w:rFonts w:ascii="新宋体" w:hAnsi="新宋体" w:eastAsia="新宋体" w:cs="宋体"/>
      <w:b/>
      <w:bCs/>
      <w:color w:val="FF0000"/>
      <w:kern w:val="0"/>
      <w:sz w:val="24"/>
    </w:rPr>
  </w:style>
  <w:style w:type="paragraph" w:customStyle="1" w:styleId="285">
    <w:name w:val="正文 首行缩进:  2 字符 Char"/>
    <w:basedOn w:val="1"/>
    <w:autoRedefine/>
    <w:qFormat/>
    <w:uiPriority w:val="0"/>
    <w:pPr>
      <w:spacing w:line="360" w:lineRule="auto"/>
      <w:ind w:firstLine="480"/>
    </w:pPr>
    <w:rPr>
      <w:rFonts w:cs="宋体"/>
      <w:sz w:val="24"/>
      <w:szCs w:val="20"/>
    </w:rPr>
  </w:style>
  <w:style w:type="paragraph" w:customStyle="1" w:styleId="286">
    <w:name w:val="xl88"/>
    <w:basedOn w:val="1"/>
    <w:autoRedefine/>
    <w:qFormat/>
    <w:uiPriority w:val="0"/>
    <w:pPr>
      <w:widowControl/>
      <w:pBdr>
        <w:top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87">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Autospacing="1"/>
      <w:jc w:val="center"/>
    </w:pPr>
    <w:rPr>
      <w:rFonts w:ascii="宋体" w:hAnsi="宋体" w:cs="宋体"/>
      <w:b/>
      <w:bCs/>
      <w:color w:val="000000"/>
      <w:kern w:val="0"/>
      <w:sz w:val="24"/>
    </w:rPr>
  </w:style>
  <w:style w:type="paragraph" w:customStyle="1" w:styleId="288">
    <w:name w:val="Char1 Char Char Char Char Char Char"/>
    <w:basedOn w:val="1"/>
    <w:autoRedefine/>
    <w:qFormat/>
    <w:uiPriority w:val="0"/>
    <w:rPr>
      <w:rFonts w:ascii="宋体" w:hAnsi="宋体"/>
      <w:color w:val="000000"/>
      <w:sz w:val="24"/>
    </w:rPr>
  </w:style>
  <w:style w:type="paragraph" w:customStyle="1" w:styleId="289">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0">
    <w:name w:val="Char Char Char Char Char Char Char1"/>
    <w:basedOn w:val="1"/>
    <w:autoRedefine/>
    <w:qFormat/>
    <w:uiPriority w:val="0"/>
    <w:rPr>
      <w:rFonts w:ascii="仿宋_GB2312" w:eastAsia="仿宋_GB2312"/>
      <w:b/>
      <w:sz w:val="32"/>
      <w:szCs w:val="32"/>
    </w:rPr>
  </w:style>
  <w:style w:type="paragraph" w:customStyle="1" w:styleId="291">
    <w:name w:val="默认段落字体 Para Char Char Char Char Char Char Char"/>
    <w:basedOn w:val="1"/>
    <w:autoRedefine/>
    <w:qFormat/>
    <w:uiPriority w:val="0"/>
  </w:style>
  <w:style w:type="paragraph" w:customStyle="1" w:styleId="29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pPr>
    <w:rPr>
      <w:rFonts w:ascii="新宋体" w:hAnsi="新宋体" w:eastAsia="新宋体" w:cs="宋体"/>
      <w:color w:val="000000"/>
      <w:kern w:val="0"/>
      <w:sz w:val="24"/>
    </w:rPr>
  </w:style>
  <w:style w:type="paragraph" w:customStyle="1" w:styleId="293">
    <w:name w:val="表格文字（大）"/>
    <w:basedOn w:val="1"/>
    <w:autoRedefine/>
    <w:qFormat/>
    <w:uiPriority w:val="0"/>
    <w:pPr>
      <w:autoSpaceDE w:val="0"/>
      <w:autoSpaceDN w:val="0"/>
      <w:adjustRightInd w:val="0"/>
      <w:jc w:val="left"/>
    </w:pPr>
    <w:rPr>
      <w:rFonts w:ascii="Century Gothic" w:hAnsi="Century Gothic" w:cs="Century Gothic"/>
      <w:kern w:val="0"/>
      <w:sz w:val="24"/>
      <w:szCs w:val="20"/>
    </w:rPr>
  </w:style>
  <w:style w:type="paragraph" w:customStyle="1" w:styleId="29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rPr>
  </w:style>
  <w:style w:type="paragraph" w:customStyle="1" w:styleId="295">
    <w:name w:val="1 Char"/>
    <w:basedOn w:val="9"/>
    <w:autoRedefine/>
    <w:qFormat/>
    <w:uiPriority w:val="0"/>
    <w:pPr>
      <w:adjustRightInd/>
      <w:spacing w:line="360" w:lineRule="auto"/>
      <w:ind w:firstLine="200" w:firstLineChars="200"/>
      <w:textAlignment w:val="auto"/>
    </w:pPr>
  </w:style>
  <w:style w:type="paragraph" w:customStyle="1" w:styleId="29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2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99">
    <w:name w:val="样式5"/>
    <w:basedOn w:val="9"/>
    <w:autoRedefine/>
    <w:qFormat/>
    <w:uiPriority w:val="0"/>
    <w:pPr>
      <w:adjustRightInd/>
      <w:spacing w:line="360" w:lineRule="auto"/>
      <w:ind w:firstLine="200" w:firstLineChars="200"/>
      <w:textAlignment w:val="auto"/>
    </w:pPr>
    <w:rPr>
      <w:sz w:val="28"/>
      <w:szCs w:val="21"/>
    </w:rPr>
  </w:style>
  <w:style w:type="paragraph" w:customStyle="1" w:styleId="300">
    <w:name w:val="Item List in Table"/>
    <w:autoRedefin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30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3">
    <w:name w:val="a"/>
    <w:basedOn w:val="1"/>
    <w:autoRedefine/>
    <w:qFormat/>
    <w:uiPriority w:val="0"/>
    <w:pPr>
      <w:widowControl/>
      <w:spacing w:beforeAutospacing="1" w:afterAutospacing="1"/>
      <w:jc w:val="left"/>
    </w:pPr>
    <w:rPr>
      <w:rFonts w:ascii="宋体" w:hAnsi="宋体" w:cs="宋体"/>
      <w:kern w:val="0"/>
      <w:sz w:val="24"/>
    </w:rPr>
  </w:style>
  <w:style w:type="paragraph" w:styleId="304">
    <w:name w:val="List Paragraph"/>
    <w:basedOn w:val="1"/>
    <w:autoRedefine/>
    <w:qFormat/>
    <w:uiPriority w:val="0"/>
    <w:pPr>
      <w:ind w:firstLine="420" w:firstLineChars="200"/>
    </w:pPr>
    <w:rPr>
      <w:rFonts w:ascii="Calibri" w:hAnsi="Calibri"/>
      <w:szCs w:val="22"/>
    </w:rPr>
  </w:style>
  <w:style w:type="paragraph" w:customStyle="1" w:styleId="305">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306">
    <w:name w:val="Char Char Char Char Char Char Char Char Char Char Char Char Char Char Char Char Char Char Char1"/>
    <w:basedOn w:val="1"/>
    <w:autoRedefine/>
    <w:qFormat/>
    <w:uiPriority w:val="0"/>
    <w:rPr>
      <w:rFonts w:ascii="仿宋_GB2312" w:eastAsia="仿宋_GB2312"/>
      <w:b/>
      <w:sz w:val="32"/>
      <w:szCs w:val="32"/>
    </w:rPr>
  </w:style>
  <w:style w:type="paragraph" w:customStyle="1" w:styleId="307">
    <w:name w:val="样式1"/>
    <w:basedOn w:val="1"/>
    <w:autoRedefine/>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55</Pages>
  <Words>10880</Words>
  <Characters>11540</Characters>
  <Lines>267</Lines>
  <Paragraphs>75</Paragraphs>
  <TotalTime>35</TotalTime>
  <ScaleCrop>false</ScaleCrop>
  <LinksUpToDate>false</LinksUpToDate>
  <CharactersWithSpaces>11880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2024-03-27T01:45:00Z</dcterms:created>
  <dc:creator>zyq</dc:creator>
  <cp:lastModifiedBy>chdn</cp:lastModifiedBy>
  <cp:lastPrinted>2025-05-12T09:13:00Z</cp:lastPrinted>
  <dcterms:modified xsi:type="dcterms:W3CDTF">2025-06-14T14:19:57Z</dcterms:modified>
  <dc:title>招标文件目录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62E3B03E58B74BB7A4DC3155AA91CF61_13</vt:lpwstr>
  </property>
  <property fmtid="{D5CDD505-2E9C-101B-9397-08002B2CF9AE}" pid="4" name="KSOTemplateDocerSaveRecord">
    <vt:lpwstr>eyJoZGlkIjoiZjk0MjU0NjNhODY4OGI2NjFjY2RiYWIzMTY3OGNhZDEifQ==</vt:lpwstr>
  </property>
</Properties>
</file>