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42562">
      <w:pPr>
        <w:spacing w:line="360" w:lineRule="auto"/>
        <w:jc w:val="center"/>
        <w:rPr>
          <w:rFonts w:ascii="宋体" w:hAnsi="宋体" w:cs="宋体"/>
          <w:b/>
          <w:color w:val="auto"/>
          <w:sz w:val="24"/>
        </w:rPr>
      </w:pPr>
    </w:p>
    <w:p w14:paraId="6F17D2C1">
      <w:pPr>
        <w:spacing w:line="360" w:lineRule="auto"/>
        <w:jc w:val="center"/>
        <w:rPr>
          <w:rFonts w:ascii="宋体" w:hAnsi="宋体" w:cs="宋体"/>
          <w:b/>
          <w:color w:val="auto"/>
          <w:sz w:val="24"/>
        </w:rPr>
      </w:pPr>
    </w:p>
    <w:p w14:paraId="695127F0">
      <w:pPr>
        <w:spacing w:line="360" w:lineRule="auto"/>
        <w:jc w:val="center"/>
        <w:rPr>
          <w:rFonts w:ascii="宋体" w:hAnsi="宋体" w:cs="宋体"/>
          <w:b/>
          <w:color w:val="auto"/>
          <w:sz w:val="44"/>
          <w:szCs w:val="44"/>
        </w:rPr>
      </w:pPr>
    </w:p>
    <w:p w14:paraId="79DF57EC">
      <w:pPr>
        <w:adjustRightInd/>
        <w:spacing w:line="360" w:lineRule="auto"/>
        <w:jc w:val="center"/>
        <w:rPr>
          <w:rFonts w:ascii="宋体" w:hAnsi="宋体" w:cs="宋体"/>
          <w:b/>
          <w:color w:val="auto"/>
          <w:sz w:val="48"/>
          <w:szCs w:val="48"/>
        </w:rPr>
      </w:pPr>
    </w:p>
    <w:p w14:paraId="7B7B6274">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宁海县中心城区防洪排涝工程-跃龙街道赵溪村撇洪渠防洪工程</w:t>
      </w:r>
    </w:p>
    <w:p w14:paraId="6146EDEA">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51A275B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04B4239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温中代字(2025)宁019</w:t>
      </w:r>
    </w:p>
    <w:p w14:paraId="38A229BD">
      <w:pPr>
        <w:adjustRightInd/>
        <w:spacing w:line="360" w:lineRule="auto"/>
        <w:rPr>
          <w:rFonts w:ascii="宋体" w:hAnsi="宋体" w:cs="宋体"/>
          <w:color w:val="auto"/>
          <w:sz w:val="28"/>
          <w:szCs w:val="20"/>
        </w:rPr>
      </w:pPr>
    </w:p>
    <w:p w14:paraId="15CABB0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4B1E58E">
      <w:pPr>
        <w:spacing w:line="360" w:lineRule="auto"/>
        <w:jc w:val="center"/>
        <w:rPr>
          <w:rFonts w:ascii="宋体" w:hAnsi="宋体" w:cs="宋体"/>
          <w:b/>
          <w:color w:val="auto"/>
          <w:sz w:val="44"/>
          <w:szCs w:val="44"/>
        </w:rPr>
      </w:pPr>
    </w:p>
    <w:p w14:paraId="213AC2CE">
      <w:pPr>
        <w:spacing w:line="360" w:lineRule="auto"/>
        <w:jc w:val="center"/>
        <w:rPr>
          <w:rFonts w:ascii="宋体" w:hAnsi="宋体" w:cs="宋体"/>
          <w:color w:val="auto"/>
          <w:sz w:val="24"/>
        </w:rPr>
      </w:pPr>
    </w:p>
    <w:p w14:paraId="3555956C">
      <w:pPr>
        <w:spacing w:line="360" w:lineRule="auto"/>
        <w:jc w:val="center"/>
        <w:rPr>
          <w:rFonts w:ascii="宋体" w:hAnsi="宋体" w:cs="宋体"/>
          <w:color w:val="auto"/>
          <w:sz w:val="24"/>
        </w:rPr>
      </w:pPr>
    </w:p>
    <w:p w14:paraId="5EBC7034">
      <w:pPr>
        <w:spacing w:line="360" w:lineRule="auto"/>
        <w:rPr>
          <w:rFonts w:ascii="宋体" w:hAnsi="宋体" w:cs="宋体"/>
          <w:color w:val="auto"/>
          <w:sz w:val="32"/>
          <w:szCs w:val="32"/>
        </w:rPr>
      </w:pPr>
    </w:p>
    <w:p w14:paraId="305359E9">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eastAsia="zh-CN"/>
        </w:rPr>
        <w:t>宁海县人民政府跃龙街道办事处</w:t>
      </w:r>
      <w:r>
        <w:rPr>
          <w:rFonts w:hint="eastAsia" w:ascii="宋体" w:hAnsi="宋体" w:cs="宋体"/>
          <w:bCs/>
          <w:color w:val="auto"/>
          <w:sz w:val="32"/>
          <w:szCs w:val="32"/>
        </w:rPr>
        <w:t xml:space="preserve"> </w:t>
      </w:r>
    </w:p>
    <w:p w14:paraId="2AD998CE">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代理机构：温州中源工程项目管理有限公司</w:t>
      </w:r>
    </w:p>
    <w:p w14:paraId="08EE4309">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w:t>
      </w:r>
      <w:r>
        <w:rPr>
          <w:rFonts w:hint="eastAsia" w:ascii="宋体" w:hAnsi="宋体" w:cs="宋体"/>
          <w:bCs/>
          <w:color w:val="auto"/>
          <w:sz w:val="32"/>
          <w:szCs w:val="32"/>
          <w:lang w:val="en-US" w:eastAsia="zh-CN"/>
        </w:rPr>
        <w:t>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7</w:t>
      </w:r>
      <w:r>
        <w:rPr>
          <w:rFonts w:hint="eastAsia" w:ascii="宋体" w:hAnsi="宋体" w:cs="宋体"/>
          <w:bCs/>
          <w:color w:val="auto"/>
          <w:sz w:val="32"/>
          <w:szCs w:val="32"/>
        </w:rPr>
        <w:t>月</w:t>
      </w:r>
    </w:p>
    <w:p w14:paraId="67C2C15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40DE782">
      <w:pPr>
        <w:spacing w:line="360" w:lineRule="auto"/>
        <w:jc w:val="center"/>
        <w:rPr>
          <w:rFonts w:ascii="宋体" w:hAnsi="宋体" w:cs="宋体"/>
          <w:color w:val="auto"/>
          <w:sz w:val="24"/>
        </w:rPr>
      </w:pPr>
    </w:p>
    <w:p w14:paraId="64125D8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CB69E54">
      <w:pPr>
        <w:spacing w:line="360" w:lineRule="auto"/>
        <w:rPr>
          <w:rFonts w:ascii="宋体" w:hAnsi="宋体" w:cs="宋体"/>
          <w:color w:val="auto"/>
          <w:sz w:val="32"/>
          <w:szCs w:val="32"/>
        </w:rPr>
      </w:pPr>
    </w:p>
    <w:p w14:paraId="6D67750C">
      <w:pPr>
        <w:spacing w:line="360" w:lineRule="auto"/>
        <w:rPr>
          <w:rFonts w:ascii="宋体" w:hAnsi="宋体" w:cs="宋体"/>
          <w:color w:val="auto"/>
          <w:sz w:val="32"/>
          <w:szCs w:val="32"/>
        </w:rPr>
      </w:pPr>
    </w:p>
    <w:p w14:paraId="5F91D53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7C64CDD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14:paraId="293D68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CA2299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1314ABC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B640DA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B970AE8">
      <w:pPr>
        <w:spacing w:line="360" w:lineRule="auto"/>
        <w:ind w:firstLine="1280" w:firstLineChars="400"/>
        <w:rPr>
          <w:rFonts w:ascii="宋体" w:hAnsi="宋体" w:cs="宋体"/>
          <w:color w:val="auto"/>
          <w:sz w:val="32"/>
          <w:szCs w:val="32"/>
        </w:rPr>
      </w:pPr>
    </w:p>
    <w:p w14:paraId="6E634B03">
      <w:pPr>
        <w:spacing w:line="360" w:lineRule="auto"/>
        <w:ind w:firstLine="549" w:firstLineChars="229"/>
        <w:rPr>
          <w:rFonts w:ascii="宋体" w:hAnsi="宋体" w:cs="宋体"/>
          <w:color w:val="auto"/>
          <w:sz w:val="24"/>
        </w:rPr>
      </w:pPr>
      <w:bookmarkStart w:id="1" w:name="_Hlt91233176"/>
      <w:bookmarkEnd w:id="1"/>
      <w:bookmarkStart w:id="2" w:name="_Toc91899869"/>
    </w:p>
    <w:p w14:paraId="7D8C6716">
      <w:pPr>
        <w:spacing w:line="360" w:lineRule="auto"/>
        <w:ind w:firstLine="549" w:firstLineChars="229"/>
        <w:rPr>
          <w:rFonts w:ascii="宋体" w:hAnsi="宋体" w:cs="宋体"/>
          <w:color w:val="auto"/>
          <w:sz w:val="24"/>
        </w:rPr>
      </w:pPr>
    </w:p>
    <w:p w14:paraId="26CF63D2">
      <w:pPr>
        <w:spacing w:line="360" w:lineRule="auto"/>
        <w:ind w:firstLine="549" w:firstLineChars="229"/>
        <w:rPr>
          <w:rFonts w:ascii="宋体" w:hAnsi="宋体" w:cs="宋体"/>
          <w:color w:val="auto"/>
          <w:sz w:val="24"/>
        </w:rPr>
      </w:pPr>
    </w:p>
    <w:p w14:paraId="5A15A5C3">
      <w:pPr>
        <w:spacing w:line="360" w:lineRule="auto"/>
        <w:ind w:firstLine="549" w:firstLineChars="229"/>
        <w:rPr>
          <w:rFonts w:ascii="宋体" w:hAnsi="宋体" w:cs="宋体"/>
          <w:color w:val="auto"/>
          <w:sz w:val="24"/>
        </w:rPr>
      </w:pPr>
    </w:p>
    <w:p w14:paraId="0FF5F46C">
      <w:pPr>
        <w:spacing w:line="360" w:lineRule="auto"/>
        <w:ind w:firstLine="549" w:firstLineChars="229"/>
        <w:rPr>
          <w:rFonts w:ascii="宋体" w:hAnsi="宋体" w:cs="宋体"/>
          <w:color w:val="auto"/>
          <w:sz w:val="24"/>
        </w:rPr>
      </w:pPr>
    </w:p>
    <w:p w14:paraId="26BB87BB">
      <w:pPr>
        <w:spacing w:line="360" w:lineRule="auto"/>
        <w:ind w:firstLine="549" w:firstLineChars="229"/>
        <w:rPr>
          <w:rFonts w:ascii="宋体" w:hAnsi="宋体" w:cs="宋体"/>
          <w:color w:val="auto"/>
          <w:sz w:val="24"/>
        </w:rPr>
      </w:pPr>
    </w:p>
    <w:p w14:paraId="61D4124D">
      <w:pPr>
        <w:spacing w:line="360" w:lineRule="auto"/>
        <w:ind w:firstLine="549" w:firstLineChars="229"/>
        <w:rPr>
          <w:rFonts w:ascii="宋体" w:hAnsi="宋体" w:cs="宋体"/>
          <w:color w:val="auto"/>
          <w:sz w:val="24"/>
        </w:rPr>
      </w:pPr>
    </w:p>
    <w:p w14:paraId="22337698">
      <w:pPr>
        <w:spacing w:line="360" w:lineRule="auto"/>
        <w:ind w:firstLine="549" w:firstLineChars="229"/>
        <w:rPr>
          <w:rFonts w:ascii="宋体" w:hAnsi="宋体" w:cs="宋体"/>
          <w:color w:val="auto"/>
          <w:sz w:val="24"/>
        </w:rPr>
      </w:pPr>
    </w:p>
    <w:p w14:paraId="16940A87">
      <w:pPr>
        <w:spacing w:line="360" w:lineRule="auto"/>
        <w:ind w:firstLine="549" w:firstLineChars="229"/>
        <w:rPr>
          <w:rFonts w:ascii="宋体" w:hAnsi="宋体" w:cs="宋体"/>
          <w:color w:val="auto"/>
          <w:sz w:val="24"/>
        </w:rPr>
      </w:pPr>
    </w:p>
    <w:p w14:paraId="52EF2135">
      <w:pPr>
        <w:spacing w:line="360" w:lineRule="auto"/>
        <w:ind w:firstLine="549" w:firstLineChars="229"/>
        <w:rPr>
          <w:rFonts w:ascii="宋体" w:hAnsi="宋体" w:cs="宋体"/>
          <w:color w:val="auto"/>
          <w:sz w:val="24"/>
        </w:rPr>
      </w:pPr>
    </w:p>
    <w:p w14:paraId="4F583AD2">
      <w:pPr>
        <w:spacing w:line="360" w:lineRule="auto"/>
        <w:ind w:firstLine="549" w:firstLineChars="229"/>
        <w:rPr>
          <w:rFonts w:ascii="宋体" w:hAnsi="宋体" w:cs="宋体"/>
          <w:color w:val="auto"/>
          <w:sz w:val="24"/>
        </w:rPr>
      </w:pPr>
    </w:p>
    <w:p w14:paraId="64C07E32">
      <w:pPr>
        <w:spacing w:line="360" w:lineRule="auto"/>
        <w:ind w:firstLine="549" w:firstLineChars="229"/>
        <w:rPr>
          <w:rFonts w:ascii="宋体" w:hAnsi="宋体" w:cs="宋体"/>
          <w:color w:val="auto"/>
          <w:sz w:val="24"/>
        </w:rPr>
      </w:pPr>
    </w:p>
    <w:p w14:paraId="5FC43E33">
      <w:pPr>
        <w:spacing w:line="360" w:lineRule="auto"/>
        <w:ind w:firstLine="549" w:firstLineChars="229"/>
        <w:rPr>
          <w:rFonts w:ascii="宋体" w:hAnsi="宋体" w:cs="宋体"/>
          <w:color w:val="auto"/>
          <w:sz w:val="24"/>
        </w:rPr>
      </w:pPr>
    </w:p>
    <w:p w14:paraId="726DC43C">
      <w:pPr>
        <w:spacing w:line="360" w:lineRule="auto"/>
        <w:rPr>
          <w:rFonts w:ascii="宋体" w:hAnsi="宋体" w:cs="宋体"/>
          <w:color w:val="auto"/>
          <w:sz w:val="24"/>
        </w:rPr>
      </w:pPr>
    </w:p>
    <w:p w14:paraId="3F3B33A3">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rPr>
        <w:t>第一部分 竞争性磋商公告</w:t>
      </w:r>
    </w:p>
    <w:p w14:paraId="479B68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C0FB0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宁海县中心城区防洪排涝工程-跃龙街道赵溪村撇洪渠防洪工程</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月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8F2854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0E316D6">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温中代字(2025)宁019</w:t>
      </w:r>
    </w:p>
    <w:p w14:paraId="37C86595">
      <w:pPr>
        <w:snapToGrid w:val="0"/>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cs="宋体"/>
          <w:b/>
          <w:color w:val="auto"/>
          <w:sz w:val="24"/>
        </w:rPr>
        <w:t>项目名称：</w:t>
      </w:r>
      <w:r>
        <w:rPr>
          <w:rFonts w:hint="eastAsia" w:ascii="宋体" w:hAnsi="宋体" w:cs="宋体"/>
          <w:b w:val="0"/>
          <w:bCs/>
          <w:color w:val="auto"/>
          <w:sz w:val="24"/>
          <w:highlight w:val="none"/>
          <w:lang w:eastAsia="zh-CN"/>
        </w:rPr>
        <w:t>宁海县中心城区防洪排涝工程-跃龙街道赵溪村撇洪渠防洪工程</w:t>
      </w:r>
    </w:p>
    <w:p w14:paraId="09985273">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eastAsia="zh-CN"/>
        </w:rPr>
        <w:t>3300676</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7B551CFF">
      <w:pPr>
        <w:snapToGrid w:val="0"/>
        <w:spacing w:line="360" w:lineRule="auto"/>
        <w:ind w:firstLine="482" w:firstLineChars="200"/>
        <w:rPr>
          <w:rFonts w:hint="eastAsia" w:ascii="宋体" w:hAnsi="宋体" w:eastAsia="宋体" w:cs="宋体"/>
          <w:b w:val="0"/>
          <w:bCs/>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eastAsia="zh-CN"/>
        </w:rPr>
        <w:t>2989548</w:t>
      </w:r>
    </w:p>
    <w:p w14:paraId="500F7DFE">
      <w:pPr>
        <w:pStyle w:val="5"/>
        <w:spacing w:line="360" w:lineRule="auto"/>
        <w:ind w:firstLine="482" w:firstLineChars="200"/>
        <w:rPr>
          <w:rFonts w:hint="eastAsia" w:hAnsi="宋体" w:eastAsia="宋体" w:cs="宋体"/>
          <w:b w:val="0"/>
          <w:bCs/>
          <w:color w:val="auto"/>
          <w:sz w:val="24"/>
          <w:highlight w:val="none"/>
          <w:lang w:eastAsia="zh-CN"/>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宁海县中心城区防洪排涝工程-跃龙街道赵溪村撇洪渠防洪工程</w:t>
      </w:r>
    </w:p>
    <w:p w14:paraId="6711657F">
      <w:pPr>
        <w:pStyle w:val="5"/>
        <w:spacing w:line="360" w:lineRule="auto"/>
        <w:ind w:firstLine="482" w:firstLineChars="200"/>
        <w:rPr>
          <w:rFonts w:hAnsi="宋体" w:cs="宋体"/>
          <w:b w:val="0"/>
          <w:bCs/>
          <w:snapToGrid/>
          <w:color w:val="auto"/>
          <w:kern w:val="2"/>
          <w:sz w:val="24"/>
          <w:szCs w:val="24"/>
          <w:highlight w:val="none"/>
        </w:rPr>
      </w:pPr>
      <w:r>
        <w:rPr>
          <w:rFonts w:hint="eastAsia" w:hAnsi="宋体" w:cs="宋体"/>
          <w:b/>
          <w:bCs w:val="0"/>
          <w:snapToGrid/>
          <w:color w:val="auto"/>
          <w:kern w:val="2"/>
          <w:sz w:val="24"/>
          <w:szCs w:val="24"/>
          <w:highlight w:val="none"/>
        </w:rPr>
        <w:t>主要内容</w:t>
      </w:r>
      <w:r>
        <w:rPr>
          <w:rFonts w:hint="eastAsia" w:hAnsi="宋体" w:cs="宋体"/>
          <w:b w:val="0"/>
          <w:bCs/>
          <w:snapToGrid/>
          <w:color w:val="auto"/>
          <w:kern w:val="2"/>
          <w:sz w:val="24"/>
          <w:szCs w:val="24"/>
          <w:highlight w:val="none"/>
        </w:rPr>
        <w:t>： 详见采购文件第三部分采购需求。</w:t>
      </w:r>
    </w:p>
    <w:p w14:paraId="5973DD65">
      <w:pPr>
        <w:pStyle w:val="130"/>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自开工令发出之日起</w:t>
      </w:r>
      <w:r>
        <w:rPr>
          <w:rFonts w:hint="eastAsia" w:ascii="宋体" w:hAnsi="宋体" w:cs="宋体"/>
          <w:b w:val="0"/>
          <w:bCs/>
          <w:color w:val="auto"/>
          <w:highlight w:val="none"/>
          <w:lang w:val="en-US" w:eastAsia="zh-CN"/>
        </w:rPr>
        <w:t>210日历天</w:t>
      </w:r>
      <w:r>
        <w:rPr>
          <w:rFonts w:hint="eastAsia" w:ascii="宋体" w:hAnsi="宋体" w:cs="宋体"/>
          <w:b w:val="0"/>
          <w:bCs/>
          <w:color w:val="auto"/>
          <w:highlight w:val="none"/>
        </w:rPr>
        <w:t>内完成。</w:t>
      </w:r>
    </w:p>
    <w:p w14:paraId="7A4420FC">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4D273A8D">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14:paraId="4E830AC5">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6624F166">
      <w:pPr>
        <w:pStyle w:val="130"/>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09F532EB">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6F2C9DF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49B25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0630BFC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37A30E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14:paraId="48C511F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087C1F2">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14:paraId="165B098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工程全部由符合政策要求的小微企业承建，提供中小企业声明函；</w:t>
      </w:r>
    </w:p>
    <w:p w14:paraId="308EB1B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393415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4FE4FA0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u w:val="single"/>
        </w:rPr>
        <w:t>供应商须具备水利水电工程施工总承包叁级及以上资质并具备有效的建筑施工企业安全生产许可证</w:t>
      </w:r>
      <w:r>
        <w:rPr>
          <w:rFonts w:hint="eastAsia" w:ascii="宋体" w:hAnsi="宋体" w:cs="宋体"/>
          <w:color w:val="auto"/>
          <w:sz w:val="24"/>
        </w:rPr>
        <w:t>。</w:t>
      </w:r>
    </w:p>
    <w:p w14:paraId="389B05B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353360">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AADA6C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年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C16812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44A36C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F5ED4E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16A1AC">
      <w:pPr>
        <w:spacing w:line="360" w:lineRule="auto"/>
        <w:rPr>
          <w:rFonts w:ascii="宋体" w:hAnsi="宋体" w:cs="宋体"/>
          <w:b/>
          <w:color w:val="auto"/>
          <w:sz w:val="24"/>
        </w:rPr>
      </w:pPr>
      <w:r>
        <w:rPr>
          <w:rFonts w:hint="eastAsia" w:ascii="宋体" w:hAnsi="宋体" w:cs="宋体"/>
          <w:b/>
          <w:color w:val="auto"/>
          <w:sz w:val="24"/>
        </w:rPr>
        <w:t>四、响应文件提交（上传）</w:t>
      </w:r>
    </w:p>
    <w:p w14:paraId="473BE35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月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D0ABB43">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B68BEB">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4F48DC1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日 </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w:t>
      </w:r>
      <w:r>
        <w:rPr>
          <w:rFonts w:hint="eastAsia" w:ascii="宋体" w:hAnsi="宋体" w:cs="宋体"/>
          <w:bCs/>
          <w:color w:val="auto"/>
          <w:sz w:val="24"/>
          <w:u w:val="single"/>
        </w:rPr>
        <w:t xml:space="preserve"> </w:t>
      </w:r>
    </w:p>
    <w:p w14:paraId="4FF0A62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7A634120">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0BFE072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49CFF33C">
      <w:pPr>
        <w:spacing w:line="360" w:lineRule="auto"/>
        <w:rPr>
          <w:rFonts w:ascii="宋体" w:hAnsi="宋体" w:cs="宋体"/>
          <w:b/>
          <w:color w:val="auto"/>
          <w:sz w:val="24"/>
        </w:rPr>
      </w:pPr>
      <w:r>
        <w:rPr>
          <w:rFonts w:hint="eastAsia" w:ascii="宋体" w:hAnsi="宋体" w:cs="宋体"/>
          <w:b/>
          <w:color w:val="auto"/>
          <w:sz w:val="24"/>
        </w:rPr>
        <w:t>七、其他补充事宜</w:t>
      </w:r>
    </w:p>
    <w:p w14:paraId="05806B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57F805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F0A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33BCA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A9148F7">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136A5321">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w:t>
      </w:r>
      <w:r>
        <w:rPr>
          <w:rFonts w:hint="eastAsia" w:ascii="宋体" w:hAnsi="宋体" w:cs="宋体"/>
          <w:color w:val="auto"/>
          <w:sz w:val="24"/>
          <w:szCs w:val="24"/>
          <w:highlight w:val="none"/>
          <w:lang w:eastAsia="zh-CN"/>
        </w:rPr>
        <w:t>宁海县人民政府跃龙街道办事处</w:t>
      </w:r>
    </w:p>
    <w:p w14:paraId="312D0C00">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  址： </w:t>
      </w:r>
      <w:r>
        <w:rPr>
          <w:rFonts w:hint="eastAsia" w:ascii="宋体" w:hAnsi="宋体" w:cs="宋体"/>
          <w:color w:val="auto"/>
          <w:sz w:val="24"/>
          <w:szCs w:val="24"/>
          <w:highlight w:val="none"/>
          <w:lang w:eastAsia="zh-CN"/>
        </w:rPr>
        <w:t>宁海县跃龙街道人民大道75号</w:t>
      </w:r>
    </w:p>
    <w:p w14:paraId="737BB7D8">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联系人： </w:t>
      </w:r>
      <w:r>
        <w:rPr>
          <w:rFonts w:hint="eastAsia" w:ascii="宋体" w:hAnsi="宋体" w:cs="宋体"/>
          <w:color w:val="auto"/>
          <w:sz w:val="24"/>
          <w:szCs w:val="24"/>
          <w:highlight w:val="none"/>
          <w:lang w:eastAsia="zh-CN"/>
        </w:rPr>
        <w:t>叶先生</w:t>
      </w:r>
    </w:p>
    <w:p w14:paraId="06411D2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13505783706</w:t>
      </w:r>
    </w:p>
    <w:p w14:paraId="52011EE7">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p>
    <w:p w14:paraId="4BEEAE2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p>
    <w:p w14:paraId="34C517E5">
      <w:pPr>
        <w:widowControl/>
        <w:spacing w:line="360" w:lineRule="auto"/>
        <w:ind w:firstLine="480" w:firstLineChars="200"/>
        <w:jc w:val="left"/>
        <w:rPr>
          <w:rFonts w:hint="eastAsia" w:ascii="宋体" w:hAnsi="宋体" w:eastAsia="宋体" w:cs="宋体"/>
          <w:color w:val="auto"/>
          <w:sz w:val="24"/>
          <w:szCs w:val="24"/>
          <w:highlight w:val="none"/>
          <w:lang w:eastAsia="zh-CN"/>
        </w:rPr>
      </w:pPr>
    </w:p>
    <w:p w14:paraId="578BB66F">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2.代理机构：</w:t>
      </w:r>
      <w:r>
        <w:rPr>
          <w:rFonts w:hint="eastAsia" w:ascii="宋体" w:hAnsi="宋体" w:eastAsia="宋体" w:cs="宋体"/>
          <w:color w:val="auto"/>
          <w:sz w:val="24"/>
          <w:szCs w:val="24"/>
          <w:highlight w:val="none"/>
          <w:lang w:eastAsia="zh-CN"/>
        </w:rPr>
        <w:t>温州中源工程项目管理有限公司</w:t>
      </w:r>
    </w:p>
    <w:p w14:paraId="2471DC9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0"/>
          <w:sz w:val="24"/>
          <w:szCs w:val="24"/>
          <w:highlight w:val="none"/>
        </w:rPr>
        <w:t>宁海县北斗北路359号三楼</w:t>
      </w:r>
    </w:p>
    <w:p w14:paraId="50C8CB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kern w:val="0"/>
          <w:sz w:val="24"/>
          <w:szCs w:val="24"/>
          <w:highlight w:val="none"/>
        </w:rPr>
        <w:t>童静</w:t>
      </w:r>
      <w:r>
        <w:rPr>
          <w:rFonts w:hint="eastAsia" w:ascii="宋体" w:hAnsi="宋体" w:eastAsia="宋体" w:cs="宋体"/>
          <w:color w:val="auto"/>
          <w:sz w:val="24"/>
          <w:szCs w:val="24"/>
          <w:highlight w:val="none"/>
        </w:rPr>
        <w:t xml:space="preserve">       </w:t>
      </w:r>
    </w:p>
    <w:p w14:paraId="0BEDCA2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联系电话：0574-59976439、13566627412</w:t>
      </w:r>
    </w:p>
    <w:p w14:paraId="0383309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 胡旭辉</w:t>
      </w:r>
    </w:p>
    <w:p w14:paraId="66A8476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eastAsia="zh-CN"/>
        </w:rPr>
        <w:t>0574-59976439</w:t>
      </w:r>
      <w:r>
        <w:rPr>
          <w:rFonts w:hint="eastAsia" w:ascii="宋体" w:hAnsi="宋体" w:eastAsia="宋体" w:cs="宋体"/>
          <w:color w:val="auto"/>
          <w:sz w:val="24"/>
          <w:szCs w:val="24"/>
          <w:highlight w:val="none"/>
        </w:rPr>
        <w:t xml:space="preserve"> </w:t>
      </w:r>
    </w:p>
    <w:p w14:paraId="54E24960">
      <w:pPr>
        <w:widowControl/>
        <w:spacing w:line="360" w:lineRule="auto"/>
        <w:ind w:firstLine="480" w:firstLineChars="200"/>
        <w:jc w:val="left"/>
        <w:rPr>
          <w:rFonts w:hint="eastAsia" w:ascii="宋体" w:hAnsi="宋体" w:eastAsia="宋体" w:cs="宋体"/>
          <w:color w:val="auto"/>
          <w:sz w:val="24"/>
          <w:szCs w:val="24"/>
          <w:highlight w:val="none"/>
        </w:rPr>
      </w:pPr>
    </w:p>
    <w:p w14:paraId="756B29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42E89C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称：宁海县政府采购管理办公室             </w:t>
      </w:r>
    </w:p>
    <w:p w14:paraId="76CBC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址：宁海县跃龙街道桃源中路218号            </w:t>
      </w:r>
    </w:p>
    <w:p w14:paraId="5C2D73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真：0574-65265612            </w:t>
      </w:r>
    </w:p>
    <w:p w14:paraId="7692B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：王老师             </w:t>
      </w:r>
    </w:p>
    <w:p w14:paraId="07571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投诉电话：0574-65265668 </w:t>
      </w:r>
    </w:p>
    <w:p w14:paraId="0FC7F5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12E3C2B7">
      <w:pPr>
        <w:snapToGrid w:val="0"/>
        <w:spacing w:line="360" w:lineRule="auto"/>
        <w:ind w:firstLine="480" w:firstLineChars="200"/>
        <w:rPr>
          <w:rFonts w:ascii="宋体" w:hAnsi="宋体" w:cs="宋体"/>
          <w:color w:val="auto"/>
          <w:sz w:val="24"/>
          <w:szCs w:val="24"/>
        </w:rPr>
        <w:sectPr>
          <w:headerReference r:id="rId3" w:type="first"/>
          <w:footerReference r:id="rId4" w:type="even"/>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CA问题联系电话（人工）：汇信CA 400-888-4636；天谷CA 400-087-8198</w:t>
      </w:r>
      <w:r>
        <w:rPr>
          <w:rFonts w:hint="eastAsia" w:ascii="宋体" w:hAnsi="宋体" w:cs="宋体"/>
          <w:color w:val="auto"/>
          <w:sz w:val="24"/>
          <w:szCs w:val="24"/>
        </w:rPr>
        <w:t>。</w:t>
      </w:r>
    </w:p>
    <w:p w14:paraId="1E216AA9">
      <w:pPr>
        <w:pStyle w:val="32"/>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8"/>
      <w:r>
        <w:rPr>
          <w:rFonts w:hint="eastAsia" w:hAnsi="宋体" w:cs="宋体"/>
          <w:b/>
          <w:snapToGrid/>
          <w:color w:val="auto"/>
          <w:sz w:val="36"/>
          <w:szCs w:val="20"/>
        </w:rPr>
        <w:t xml:space="preserve"> 供应商须知</w:t>
      </w:r>
      <w:bookmarkEnd w:id="9"/>
    </w:p>
    <w:p w14:paraId="0525084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C55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FC8D51A">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093" w:type="dxa"/>
            <w:vAlign w:val="center"/>
          </w:tcPr>
          <w:p w14:paraId="135A8540">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事项</w:t>
            </w:r>
          </w:p>
        </w:tc>
        <w:tc>
          <w:tcPr>
            <w:tcW w:w="6927" w:type="dxa"/>
            <w:vAlign w:val="center"/>
          </w:tcPr>
          <w:p w14:paraId="27DB21F1">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78BA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B2BD12">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93" w:type="dxa"/>
            <w:vAlign w:val="center"/>
          </w:tcPr>
          <w:p w14:paraId="3DE81EFB">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项目属性</w:t>
            </w:r>
          </w:p>
        </w:tc>
        <w:tc>
          <w:tcPr>
            <w:tcW w:w="6927" w:type="dxa"/>
            <w:vAlign w:val="center"/>
          </w:tcPr>
          <w:p w14:paraId="1696971A">
            <w:pPr>
              <w:spacing w:line="24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工程</w:t>
            </w:r>
            <w:r>
              <w:rPr>
                <w:rFonts w:hint="eastAsia" w:ascii="宋体" w:hAnsi="宋体" w:eastAsia="宋体" w:cs="宋体"/>
                <w:color w:val="auto"/>
                <w:sz w:val="24"/>
                <w:szCs w:val="24"/>
              </w:rPr>
              <w:t>类</w:t>
            </w:r>
          </w:p>
        </w:tc>
      </w:tr>
      <w:tr w14:paraId="062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1B43A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93" w:type="dxa"/>
            <w:vAlign w:val="center"/>
          </w:tcPr>
          <w:p w14:paraId="47C16E1D">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927" w:type="dxa"/>
            <w:vAlign w:val="center"/>
          </w:tcPr>
          <w:p w14:paraId="05B55C00">
            <w:pPr>
              <w:snapToGrid w:val="0"/>
              <w:spacing w:line="240" w:lineRule="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rPr>
              <w:t>（1）标的：</w:t>
            </w:r>
            <w:r>
              <w:rPr>
                <w:rFonts w:hint="eastAsia" w:ascii="宋体" w:hAnsi="宋体" w:eastAsia="宋体" w:cs="宋体"/>
                <w:color w:val="auto"/>
                <w:kern w:val="0"/>
                <w:sz w:val="24"/>
                <w:szCs w:val="24"/>
                <w:u w:val="single"/>
              </w:rPr>
              <w:t xml:space="preserve"> </w:t>
            </w:r>
            <w:r>
              <w:rPr>
                <w:rFonts w:hint="eastAsia" w:ascii="宋体" w:hAnsi="宋体" w:cs="宋体"/>
                <w:color w:val="auto"/>
                <w:kern w:val="0"/>
                <w:sz w:val="24"/>
                <w:szCs w:val="24"/>
                <w:u w:val="single"/>
                <w:lang w:eastAsia="zh-CN"/>
              </w:rPr>
              <w:t>宁海县中心城区防洪排涝工程-跃龙街道赵溪村撇洪渠防洪工程</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建筑业 </w:t>
            </w:r>
            <w:r>
              <w:rPr>
                <w:rFonts w:hint="eastAsia" w:ascii="宋体" w:hAnsi="宋体" w:eastAsia="宋体" w:cs="宋体"/>
                <w:color w:val="auto"/>
                <w:kern w:val="0"/>
                <w:sz w:val="24"/>
                <w:szCs w:val="24"/>
              </w:rPr>
              <w:t>行业；</w:t>
            </w:r>
          </w:p>
        </w:tc>
      </w:tr>
      <w:tr w14:paraId="4774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4336E5">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93" w:type="dxa"/>
            <w:vAlign w:val="center"/>
          </w:tcPr>
          <w:p w14:paraId="606F2FC4">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927" w:type="dxa"/>
            <w:vAlign w:val="center"/>
          </w:tcPr>
          <w:p w14:paraId="5BCDF586">
            <w:pPr>
              <w:spacing w:line="24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本项目不允许采购进口产品。</w:t>
            </w:r>
          </w:p>
          <w:p w14:paraId="5AFEFD7C">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可以就</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采购进口产品。</w:t>
            </w:r>
          </w:p>
        </w:tc>
      </w:tr>
      <w:tr w14:paraId="5683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5B228A">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93" w:type="dxa"/>
            <w:vAlign w:val="center"/>
          </w:tcPr>
          <w:p w14:paraId="044C2B4B">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927" w:type="dxa"/>
            <w:vAlign w:val="center"/>
          </w:tcPr>
          <w:p w14:paraId="0C042FE4">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3BAF4A41">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不同意分包，具体理由：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5D4AD67">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2606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6338A4">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93" w:type="dxa"/>
            <w:vAlign w:val="center"/>
          </w:tcPr>
          <w:p w14:paraId="373453AE">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磋商前答疑会或现场考察</w:t>
            </w:r>
          </w:p>
        </w:tc>
        <w:tc>
          <w:tcPr>
            <w:tcW w:w="6927" w:type="dxa"/>
            <w:vAlign w:val="center"/>
          </w:tcPr>
          <w:p w14:paraId="0EF860CE">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65DD5370">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3C6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4FE059">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93" w:type="dxa"/>
            <w:vAlign w:val="center"/>
          </w:tcPr>
          <w:p w14:paraId="4C9EDE57">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927" w:type="dxa"/>
            <w:vAlign w:val="center"/>
          </w:tcPr>
          <w:p w14:paraId="0A17F563">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不要求提供。</w:t>
            </w:r>
          </w:p>
          <w:p w14:paraId="21A69EFC">
            <w:pPr>
              <w:spacing w:line="24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B要求提供，</w:t>
            </w:r>
          </w:p>
          <w:p w14:paraId="14E7B80E">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0A9C244E">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F8D85CE">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评审办法</w:t>
            </w:r>
            <w:r>
              <w:rPr>
                <w:rFonts w:hint="eastAsia" w:ascii="宋体" w:hAnsi="宋体" w:eastAsia="宋体" w:cs="宋体"/>
                <w:color w:val="auto"/>
                <w:kern w:val="0"/>
                <w:sz w:val="24"/>
                <w:szCs w:val="24"/>
              </w:rPr>
              <w:t>；</w:t>
            </w:r>
          </w:p>
          <w:p w14:paraId="1BD16234">
            <w:pPr>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sdt>
              <w:sdtPr>
                <w:rPr>
                  <w:rFonts w:hint="eastAsia" w:ascii="宋体" w:hAnsi="宋体" w:eastAsia="宋体" w:cs="宋体"/>
                  <w:color w:val="auto"/>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否；</w:t>
            </w:r>
            <w:sdt>
              <w:sdtPr>
                <w:rPr>
                  <w:rFonts w:hint="eastAsia" w:ascii="宋体" w:hAnsi="宋体" w:eastAsia="宋体" w:cs="宋体"/>
                  <w:color w:val="auto"/>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8DE464B">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；联系人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kern w:val="28"/>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。请供应商在上述时间内提供样品并按规定位置安装完毕。超过截止时间的，采购人或采购代理机构将不予接收，并将清场并封闭样品现场。</w:t>
            </w:r>
          </w:p>
          <w:p w14:paraId="0F98F8ED">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(6)采购活动结束后，对于未成交供应商提供的样品，采购人、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将通知未成交供应商在规定的时间内取回，逾期未取回的，采购人、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不负保管义务；对于成交供应商提供的样品，采购人将进行保管、封存，并作为履约验收的参考。</w:t>
            </w:r>
          </w:p>
          <w:p w14:paraId="526CE137">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（7）制作、运输、安装和保管样品所发生的一切费用由供应商自理。</w:t>
            </w:r>
          </w:p>
        </w:tc>
      </w:tr>
      <w:tr w14:paraId="4862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752768">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93" w:type="dxa"/>
            <w:vAlign w:val="center"/>
          </w:tcPr>
          <w:p w14:paraId="514A8DE7">
            <w:pPr>
              <w:snapToGrid w:val="0"/>
              <w:spacing w:line="24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927" w:type="dxa"/>
            <w:vAlign w:val="center"/>
          </w:tcPr>
          <w:p w14:paraId="234CB394">
            <w:pPr>
              <w:spacing w:line="24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3134089F">
            <w:pPr>
              <w:spacing w:line="24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p>
          <w:p w14:paraId="3966E76E">
            <w:pPr>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（1）在评审时安排每个供应商进行方案讲解演示。每个供应商时间不超过</w:t>
            </w:r>
            <w:r>
              <w:rPr>
                <w:rFonts w:hint="eastAsia" w:ascii="宋体" w:hAnsi="宋体" w:eastAsia="宋体" w:cs="宋体"/>
                <w:color w:val="auto"/>
                <w:kern w:val="0"/>
                <w:sz w:val="24"/>
                <w:szCs w:val="24"/>
                <w:u w:val="single"/>
              </w:rPr>
              <w:t>20</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分钟，讲解次序以响应文件解密时间先后次序为准，讲解演示人员不超过</w:t>
            </w:r>
            <w:r>
              <w:rPr>
                <w:rFonts w:hint="eastAsia" w:ascii="宋体" w:hAnsi="宋体" w:eastAsia="宋体" w:cs="宋体"/>
                <w:color w:val="auto"/>
                <w:kern w:val="0"/>
                <w:sz w:val="24"/>
                <w:szCs w:val="24"/>
                <w:u w:val="single"/>
              </w:rPr>
              <w:t>3</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人。讲解演示结束后按要求解答磋商小组提问。</w:t>
            </w:r>
          </w:p>
          <w:p w14:paraId="03D0AB01">
            <w:pPr>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（2）方案讲解演示可选择以下其中一种方式：</w:t>
            </w:r>
          </w:p>
          <w:p w14:paraId="0791EF67">
            <w:pPr>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方式一：政采云平台在线讲解演示。政采云平台在线讲解需供应商根据政采云平台操作要求做好准备工作，提前完善软硬件配置环境。</w:t>
            </w:r>
          </w:p>
          <w:p w14:paraId="6BC4FDD4">
            <w:pPr>
              <w:snapToGrid w:val="0"/>
              <w:spacing w:line="24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方式二：现场讲解演示。现场讲解地点为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，讲解演示所用电脑等设备由供应商自备。现场讲解演示人员进场时提供讲解人员名单（加盖公章或授权代表签名）及身份证明，否则不得讲解演示。</w:t>
            </w:r>
          </w:p>
          <w:p w14:paraId="751D3FC0">
            <w:pPr>
              <w:snapToGrid w:val="0"/>
              <w:spacing w:line="240" w:lineRule="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FBE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6" w:hRule="atLeast"/>
        </w:trPr>
        <w:tc>
          <w:tcPr>
            <w:tcW w:w="714" w:type="dxa"/>
            <w:vMerge w:val="restart"/>
            <w:vAlign w:val="center"/>
          </w:tcPr>
          <w:p w14:paraId="366E11B3">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93" w:type="dxa"/>
            <w:vMerge w:val="restart"/>
            <w:vAlign w:val="center"/>
          </w:tcPr>
          <w:p w14:paraId="04400D57">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供应商应当提供的资格、资信证明文件</w:t>
            </w:r>
          </w:p>
        </w:tc>
        <w:tc>
          <w:tcPr>
            <w:tcW w:w="6927" w:type="dxa"/>
            <w:vAlign w:val="center"/>
          </w:tcPr>
          <w:p w14:paraId="70CA1F83">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（1）资格证明文件：见采购文件第二部分11.1。</w:t>
            </w:r>
          </w:p>
          <w:p w14:paraId="0D37751C">
            <w:pPr>
              <w:spacing w:line="24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供应商未提供有效的资格证明文件的，视为供应商不具备采购文件中规定的资格要求，响应文件无效。</w:t>
            </w:r>
          </w:p>
        </w:tc>
      </w:tr>
      <w:tr w14:paraId="4F1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trPr>
        <w:tc>
          <w:tcPr>
            <w:tcW w:w="714" w:type="dxa"/>
            <w:vMerge w:val="continue"/>
            <w:vAlign w:val="center"/>
          </w:tcPr>
          <w:p w14:paraId="5D2F5D06">
            <w:pPr>
              <w:snapToGrid w:val="0"/>
              <w:spacing w:line="240" w:lineRule="auto"/>
              <w:jc w:val="center"/>
              <w:rPr>
                <w:rFonts w:hint="eastAsia" w:ascii="宋体" w:hAnsi="宋体" w:eastAsia="宋体" w:cs="宋体"/>
                <w:color w:val="auto"/>
                <w:sz w:val="24"/>
                <w:szCs w:val="24"/>
              </w:rPr>
            </w:pPr>
          </w:p>
        </w:tc>
        <w:tc>
          <w:tcPr>
            <w:tcW w:w="2093" w:type="dxa"/>
            <w:vMerge w:val="continue"/>
            <w:vAlign w:val="center"/>
          </w:tcPr>
          <w:p w14:paraId="31348DB5">
            <w:pPr>
              <w:snapToGrid w:val="0"/>
              <w:spacing w:line="240" w:lineRule="auto"/>
              <w:jc w:val="center"/>
              <w:rPr>
                <w:rFonts w:hint="eastAsia" w:ascii="宋体" w:hAnsi="宋体" w:eastAsia="宋体" w:cs="宋体"/>
                <w:b/>
                <w:color w:val="auto"/>
                <w:sz w:val="24"/>
                <w:szCs w:val="24"/>
              </w:rPr>
            </w:pPr>
          </w:p>
        </w:tc>
        <w:tc>
          <w:tcPr>
            <w:tcW w:w="6927" w:type="dxa"/>
            <w:vAlign w:val="center"/>
          </w:tcPr>
          <w:p w14:paraId="254AA749">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（2）资信证明文件：根据采购文件第四部分评审标准提供。</w:t>
            </w:r>
          </w:p>
        </w:tc>
      </w:tr>
      <w:tr w14:paraId="6CFF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7A4650">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93" w:type="dxa"/>
            <w:vAlign w:val="center"/>
          </w:tcPr>
          <w:p w14:paraId="2870076B">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927" w:type="dxa"/>
            <w:vAlign w:val="center"/>
          </w:tcPr>
          <w:p w14:paraId="38772249">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DB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B1541E">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93" w:type="dxa"/>
            <w:vAlign w:val="center"/>
          </w:tcPr>
          <w:p w14:paraId="798159D6">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927" w:type="dxa"/>
            <w:vAlign w:val="center"/>
          </w:tcPr>
          <w:p w14:paraId="4EEADCBB">
            <w:pPr>
              <w:snapToGrid w:val="0"/>
              <w:spacing w:line="24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color w:val="auto"/>
                <w:sz w:val="24"/>
                <w:szCs w:val="24"/>
              </w:rPr>
              <w:t>报价单是报价的唯一载体</w:t>
            </w:r>
            <w:r>
              <w:rPr>
                <w:rFonts w:hint="eastAsia" w:ascii="宋体" w:hAnsi="宋体" w:eastAsia="宋体" w:cs="宋体"/>
                <w:color w:val="auto"/>
                <w:kern w:val="0"/>
                <w:sz w:val="24"/>
                <w:szCs w:val="24"/>
                <w:lang w:val="zh-CN"/>
              </w:rPr>
              <w:t>。响应文件中价格全部采用人民币报价。采购文件未列明，而供应商认为必需的费用也需列入报价。</w:t>
            </w:r>
            <w:r>
              <w:rPr>
                <w:rFonts w:hint="eastAsia" w:ascii="宋体" w:hAnsi="宋体" w:eastAsia="宋体" w:cs="宋体"/>
                <w:b/>
                <w:color w:val="auto"/>
                <w:kern w:val="0"/>
                <w:sz w:val="24"/>
                <w:szCs w:val="24"/>
                <w:lang w:val="zh-CN"/>
              </w:rPr>
              <w:t>提醒：验收时检测费用由采购人承担，不包含在总价中。</w:t>
            </w:r>
          </w:p>
          <w:p w14:paraId="7690FD73">
            <w:pPr>
              <w:snapToGrid w:val="0"/>
              <w:spacing w:line="24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最后报价出现下列情形的，响应文件无效：</w:t>
            </w:r>
          </w:p>
          <w:p w14:paraId="0E64E671">
            <w:pPr>
              <w:snapToGrid w:val="0"/>
              <w:spacing w:line="24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响应文件出现不是唯一的、有选择性最后报价的；</w:t>
            </w:r>
          </w:p>
          <w:p w14:paraId="3AFC7677">
            <w:pPr>
              <w:snapToGrid w:val="0"/>
              <w:spacing w:line="24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最后报价超过采购文件中规定的预算金额或者最高限价的;</w:t>
            </w:r>
          </w:p>
          <w:p w14:paraId="67F90259">
            <w:pPr>
              <w:pStyle w:val="3"/>
              <w:spacing w:line="240" w:lineRule="auto"/>
              <w:rPr>
                <w:rFonts w:hint="eastAsia" w:ascii="宋体" w:hAnsi="宋体" w:eastAsia="宋体" w:cs="宋体"/>
                <w:color w:val="auto"/>
                <w:sz w:val="24"/>
                <w:szCs w:val="24"/>
              </w:rPr>
            </w:pPr>
          </w:p>
          <w:p w14:paraId="3D654F02">
            <w:pPr>
              <w:spacing w:line="24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6F9BF696">
            <w:pPr>
              <w:spacing w:line="240"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kern w:val="0"/>
                <w:sz w:val="24"/>
                <w:szCs w:val="24"/>
              </w:rPr>
              <w:t>供应商对根据修正原则修正后的报价不确认的</w:t>
            </w:r>
            <w:r>
              <w:rPr>
                <w:rFonts w:hint="eastAsia" w:ascii="宋体" w:hAnsi="宋体" w:eastAsia="宋体" w:cs="宋体"/>
                <w:b/>
                <w:color w:val="auto"/>
                <w:sz w:val="24"/>
                <w:szCs w:val="24"/>
              </w:rPr>
              <w:t>。</w:t>
            </w:r>
          </w:p>
        </w:tc>
      </w:tr>
      <w:tr w14:paraId="3FAD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9B1BBC2">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93" w:type="dxa"/>
            <w:vAlign w:val="center"/>
          </w:tcPr>
          <w:p w14:paraId="168A41DF">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927" w:type="dxa"/>
            <w:vAlign w:val="center"/>
          </w:tcPr>
          <w:p w14:paraId="530F7E0E">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28"/>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2E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1B561D">
            <w:pPr>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93" w:type="dxa"/>
            <w:vAlign w:val="center"/>
          </w:tcPr>
          <w:p w14:paraId="2FF4244E">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备份响应文件送达地点和签收人员</w:t>
            </w:r>
          </w:p>
        </w:tc>
        <w:tc>
          <w:tcPr>
            <w:tcW w:w="6927" w:type="dxa"/>
            <w:vAlign w:val="center"/>
          </w:tcPr>
          <w:p w14:paraId="649E133E">
            <w:pPr>
              <w:pStyle w:val="32"/>
              <w:spacing w:line="240" w:lineRule="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备份响应文件送达地点：</w:t>
            </w:r>
            <w:r>
              <w:rPr>
                <w:rFonts w:hint="eastAsia" w:ascii="宋体" w:hAnsi="宋体" w:eastAsia="宋体" w:cs="宋体"/>
                <w:color w:val="auto"/>
                <w:sz w:val="24"/>
                <w:szCs w:val="24"/>
                <w:u w:val="single"/>
              </w:rPr>
              <w:t xml:space="preserve"> 宁海县北斗北路359号三楼，温州中源工程项目管理有限公司招标代理部  </w:t>
            </w:r>
            <w:r>
              <w:rPr>
                <w:rFonts w:hint="eastAsia" w:ascii="宋体" w:hAnsi="宋体" w:eastAsia="宋体" w:cs="宋体"/>
                <w:color w:val="auto"/>
                <w:kern w:val="28"/>
                <w:sz w:val="24"/>
                <w:szCs w:val="24"/>
              </w:rPr>
              <w:t>；</w:t>
            </w:r>
          </w:p>
          <w:p w14:paraId="559BD45B">
            <w:pPr>
              <w:pStyle w:val="32"/>
              <w:spacing w:line="240" w:lineRule="auto"/>
              <w:rPr>
                <w:rFonts w:hint="eastAsia" w:ascii="宋体" w:hAnsi="宋体" w:eastAsia="宋体" w:cs="宋体"/>
                <w:color w:val="auto"/>
                <w:sz w:val="24"/>
                <w:szCs w:val="24"/>
              </w:rPr>
            </w:pPr>
            <w:r>
              <w:rPr>
                <w:rFonts w:hint="eastAsia" w:ascii="宋体" w:hAnsi="宋体" w:eastAsia="宋体" w:cs="宋体"/>
                <w:color w:val="auto"/>
                <w:kern w:val="28"/>
                <w:sz w:val="24"/>
                <w:szCs w:val="24"/>
              </w:rPr>
              <w:t>备份响应文件签收人员联系电话：</w:t>
            </w:r>
            <w:r>
              <w:rPr>
                <w:rFonts w:hint="eastAsia" w:ascii="宋体" w:hAnsi="宋体" w:eastAsia="宋体" w:cs="宋体"/>
                <w:color w:val="auto"/>
                <w:sz w:val="24"/>
                <w:szCs w:val="24"/>
                <w:u w:val="single"/>
              </w:rPr>
              <w:t xml:space="preserve">  童静 0574-59976439 </w:t>
            </w:r>
            <w:r>
              <w:rPr>
                <w:rFonts w:hint="eastAsia" w:ascii="宋体" w:hAnsi="宋体" w:eastAsia="宋体" w:cs="宋体"/>
                <w:color w:val="auto"/>
                <w:sz w:val="24"/>
                <w:szCs w:val="24"/>
              </w:rPr>
              <w:t>。</w:t>
            </w:r>
          </w:p>
          <w:p w14:paraId="4DCB67CA">
            <w:pPr>
              <w:pStyle w:val="32"/>
              <w:spacing w:line="240" w:lineRule="auto"/>
              <w:rPr>
                <w:rFonts w:hint="eastAsia" w:ascii="宋体" w:hAnsi="宋体" w:eastAsia="宋体" w:cs="宋体"/>
                <w:color w:val="auto"/>
                <w:kern w:val="28"/>
                <w:sz w:val="24"/>
                <w:szCs w:val="24"/>
              </w:rPr>
            </w:pP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不强制或变相强制供应商提交备份响应文件。</w:t>
            </w:r>
          </w:p>
        </w:tc>
      </w:tr>
      <w:tr w14:paraId="3025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714" w:type="dxa"/>
            <w:vAlign w:val="center"/>
          </w:tcPr>
          <w:p w14:paraId="2EC4F663">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093" w:type="dxa"/>
            <w:vAlign w:val="center"/>
          </w:tcPr>
          <w:p w14:paraId="3434DBCB">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否决投标的情形</w:t>
            </w:r>
          </w:p>
        </w:tc>
        <w:tc>
          <w:tcPr>
            <w:tcW w:w="6927" w:type="dxa"/>
            <w:vAlign w:val="center"/>
          </w:tcPr>
          <w:p w14:paraId="0DD95D4E">
            <w:pPr>
              <w:spacing w:line="240" w:lineRule="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投标文件</w:t>
            </w:r>
            <w:r>
              <w:rPr>
                <w:rFonts w:hint="eastAsia" w:ascii="宋体" w:hAnsi="宋体" w:eastAsia="宋体" w:cs="宋体"/>
                <w:snapToGrid w:val="0"/>
                <w:color w:val="auto"/>
                <w:kern w:val="28"/>
                <w:sz w:val="24"/>
                <w:szCs w:val="24"/>
                <w:lang w:val="en-US" w:eastAsia="zh-CN"/>
              </w:rPr>
              <w:t>有</w:t>
            </w:r>
            <w:r>
              <w:rPr>
                <w:rFonts w:hint="eastAsia" w:ascii="宋体" w:hAnsi="宋体" w:eastAsia="宋体" w:cs="宋体"/>
                <w:snapToGrid w:val="0"/>
                <w:color w:val="auto"/>
                <w:kern w:val="28"/>
                <w:sz w:val="24"/>
                <w:szCs w:val="24"/>
              </w:rPr>
              <w:t>以下情形之一的，由评标委员会</w:t>
            </w:r>
            <w:r>
              <w:rPr>
                <w:rFonts w:hint="eastAsia" w:ascii="宋体" w:hAnsi="宋体" w:eastAsia="宋体" w:cs="宋体"/>
                <w:snapToGrid w:val="0"/>
                <w:color w:val="auto"/>
                <w:kern w:val="28"/>
                <w:sz w:val="24"/>
                <w:szCs w:val="24"/>
                <w:lang w:val="en-US" w:eastAsia="zh-CN"/>
              </w:rPr>
              <w:t>审核</w:t>
            </w:r>
            <w:r>
              <w:rPr>
                <w:rFonts w:hint="eastAsia" w:ascii="宋体" w:hAnsi="宋体" w:eastAsia="宋体" w:cs="宋体"/>
                <w:snapToGrid w:val="0"/>
                <w:color w:val="auto"/>
                <w:kern w:val="28"/>
                <w:sz w:val="24"/>
                <w:szCs w:val="24"/>
              </w:rPr>
              <w:t>并经过询</w:t>
            </w:r>
            <w:r>
              <w:rPr>
                <w:rFonts w:hint="eastAsia" w:ascii="宋体" w:hAnsi="宋体" w:eastAsia="宋体" w:cs="宋体"/>
                <w:snapToGrid w:val="0"/>
                <w:color w:val="auto"/>
                <w:kern w:val="28"/>
                <w:sz w:val="24"/>
                <w:szCs w:val="24"/>
                <w:lang w:val="en-US" w:eastAsia="zh-CN"/>
              </w:rPr>
              <w:t>标</w:t>
            </w:r>
            <w:r>
              <w:rPr>
                <w:rFonts w:hint="eastAsia" w:ascii="宋体" w:hAnsi="宋体" w:eastAsia="宋体" w:cs="宋体"/>
                <w:snapToGrid w:val="0"/>
                <w:color w:val="auto"/>
                <w:kern w:val="28"/>
                <w:sz w:val="24"/>
                <w:szCs w:val="24"/>
              </w:rPr>
              <w:t>程序，作否决投标处理：</w:t>
            </w:r>
          </w:p>
          <w:p w14:paraId="2C143E45">
            <w:pPr>
              <w:spacing w:line="24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1、</w:t>
            </w:r>
            <w:r>
              <w:rPr>
                <w:rFonts w:hint="eastAsia" w:ascii="宋体" w:hAnsi="宋体" w:eastAsia="宋体" w:cs="宋体"/>
                <w:snapToGrid w:val="0"/>
                <w:color w:val="auto"/>
                <w:kern w:val="28"/>
                <w:sz w:val="24"/>
                <w:szCs w:val="24"/>
                <w:lang w:eastAsia="zh-CN"/>
              </w:rPr>
              <w:t>投标人以联合体形式投标时，</w:t>
            </w:r>
            <w:r>
              <w:rPr>
                <w:rFonts w:hint="eastAsia" w:ascii="宋体" w:hAnsi="宋体" w:eastAsia="宋体" w:cs="宋体"/>
                <w:snapToGrid w:val="0"/>
                <w:color w:val="auto"/>
                <w:kern w:val="28"/>
                <w:sz w:val="24"/>
                <w:szCs w:val="24"/>
                <w:lang w:val="en-US" w:eastAsia="zh-CN"/>
              </w:rPr>
              <w:t>未</w:t>
            </w:r>
            <w:r>
              <w:rPr>
                <w:rFonts w:hint="eastAsia" w:ascii="宋体" w:hAnsi="宋体" w:eastAsia="宋体" w:cs="宋体"/>
                <w:snapToGrid w:val="0"/>
                <w:color w:val="auto"/>
                <w:kern w:val="28"/>
                <w:sz w:val="24"/>
                <w:szCs w:val="24"/>
              </w:rPr>
              <w:t>提交符合招标文件要求的联合体协议书</w:t>
            </w:r>
            <w:r>
              <w:rPr>
                <w:rFonts w:hint="eastAsia" w:ascii="宋体" w:hAnsi="宋体" w:eastAsia="宋体" w:cs="宋体"/>
                <w:snapToGrid w:val="0"/>
                <w:color w:val="auto"/>
                <w:kern w:val="28"/>
                <w:sz w:val="24"/>
                <w:szCs w:val="24"/>
                <w:lang w:val="en-US" w:eastAsia="zh-CN"/>
              </w:rPr>
              <w:t>的；</w:t>
            </w:r>
          </w:p>
          <w:p w14:paraId="0F3609D9">
            <w:pPr>
              <w:spacing w:line="24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lang w:val="en-US" w:eastAsia="zh-CN"/>
              </w:rPr>
              <w:t>2、</w:t>
            </w:r>
            <w:r>
              <w:rPr>
                <w:rFonts w:hint="eastAsia" w:ascii="宋体" w:hAnsi="宋体" w:eastAsia="宋体" w:cs="宋体"/>
                <w:snapToGrid w:val="0"/>
                <w:color w:val="auto"/>
                <w:kern w:val="28"/>
                <w:sz w:val="24"/>
                <w:szCs w:val="24"/>
                <w:lang w:eastAsia="zh-CN"/>
              </w:rPr>
              <w:t>投标人递交备选投标方案的；</w:t>
            </w:r>
          </w:p>
          <w:p w14:paraId="205BB899">
            <w:pPr>
              <w:spacing w:line="24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lang w:val="en-US" w:eastAsia="zh-CN"/>
              </w:rPr>
              <w:t>3、</w:t>
            </w:r>
            <w:r>
              <w:rPr>
                <w:rFonts w:hint="eastAsia" w:ascii="宋体" w:hAnsi="宋体" w:eastAsia="宋体" w:cs="宋体"/>
                <w:snapToGrid w:val="0"/>
                <w:color w:val="auto"/>
                <w:kern w:val="28"/>
                <w:sz w:val="24"/>
                <w:szCs w:val="24"/>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3D2EA906">
            <w:pPr>
              <w:spacing w:line="240" w:lineRule="auto"/>
              <w:rPr>
                <w:rFonts w:hint="eastAsia" w:ascii="宋体" w:hAnsi="宋体" w:eastAsia="宋体" w:cs="宋体"/>
                <w:b/>
                <w:color w:val="auto"/>
                <w:sz w:val="24"/>
                <w:szCs w:val="24"/>
              </w:rPr>
            </w:pPr>
            <w:r>
              <w:rPr>
                <w:rFonts w:hint="eastAsia" w:ascii="宋体" w:hAnsi="宋体" w:eastAsia="宋体" w:cs="宋体"/>
                <w:snapToGrid w:val="0"/>
                <w:color w:val="auto"/>
                <w:kern w:val="28"/>
                <w:sz w:val="24"/>
                <w:szCs w:val="24"/>
                <w:lang w:val="en-US" w:eastAsia="zh-CN"/>
              </w:rPr>
              <w:t>4、</w:t>
            </w:r>
            <w:r>
              <w:rPr>
                <w:rFonts w:hint="eastAsia" w:ascii="宋体" w:hAnsi="宋体" w:eastAsia="宋体" w:cs="宋体"/>
                <w:snapToGrid w:val="0"/>
                <w:color w:val="auto"/>
                <w:kern w:val="28"/>
                <w:sz w:val="24"/>
                <w:szCs w:val="24"/>
                <w:lang w:eastAsia="zh-CN"/>
              </w:rPr>
              <w:t>投标人未提供《中小企业声明函》或未按照招标文件所附的《中小企业声明函》格式提供的；</w:t>
            </w:r>
          </w:p>
        </w:tc>
      </w:tr>
      <w:tr w14:paraId="3B07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BE8E03A">
            <w:pPr>
              <w:snapToGrid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2093" w:type="dxa"/>
            <w:vAlign w:val="center"/>
          </w:tcPr>
          <w:p w14:paraId="4DF82156">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其它说明</w:t>
            </w:r>
          </w:p>
        </w:tc>
        <w:tc>
          <w:tcPr>
            <w:tcW w:w="6927" w:type="dxa"/>
            <w:vAlign w:val="center"/>
          </w:tcPr>
          <w:p w14:paraId="3346FE96">
            <w:pPr>
              <w:spacing w:line="24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color w:val="auto"/>
                <w:kern w:val="28"/>
                <w:sz w:val="24"/>
                <w:szCs w:val="24"/>
                <w:highlight w:val="none"/>
              </w:rPr>
              <w:t>业绩数量以提供材料较少的</w:t>
            </w:r>
            <w:r>
              <w:rPr>
                <w:rFonts w:hint="eastAsia" w:ascii="宋体" w:hAnsi="宋体" w:eastAsia="宋体" w:cs="宋体"/>
                <w:b w:val="0"/>
                <w:bCs w:val="0"/>
                <w:snapToGrid w:val="0"/>
                <w:color w:val="auto"/>
                <w:kern w:val="28"/>
                <w:sz w:val="24"/>
                <w:szCs w:val="24"/>
                <w:highlight w:val="none"/>
              </w:rPr>
              <w:t>一方为准</w:t>
            </w:r>
            <w:r>
              <w:rPr>
                <w:rFonts w:hint="eastAsia" w:ascii="宋体" w:hAnsi="宋体" w:cs="宋体"/>
                <w:b w:val="0"/>
                <w:bCs w:val="0"/>
                <w:snapToGrid w:val="0"/>
                <w:color w:val="auto"/>
                <w:kern w:val="28"/>
                <w:sz w:val="24"/>
                <w:szCs w:val="24"/>
                <w:highlight w:val="none"/>
                <w:lang w:eastAsia="zh-CN"/>
              </w:rPr>
              <w:t>。</w:t>
            </w:r>
          </w:p>
        </w:tc>
      </w:tr>
      <w:tr w14:paraId="47E8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8F7A93">
            <w:pPr>
              <w:snapToGrid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2093" w:type="dxa"/>
            <w:vAlign w:val="center"/>
          </w:tcPr>
          <w:p w14:paraId="2AA5D62F">
            <w:pPr>
              <w:snapToGrid w:val="0"/>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采购代理服务费</w:t>
            </w:r>
          </w:p>
        </w:tc>
        <w:tc>
          <w:tcPr>
            <w:tcW w:w="6927" w:type="dxa"/>
            <w:vAlign w:val="center"/>
          </w:tcPr>
          <w:p w14:paraId="23EF25B3">
            <w:pPr>
              <w:spacing w:line="240" w:lineRule="auto"/>
              <w:jc w:val="left"/>
              <w:rPr>
                <w:rFonts w:hint="eastAsia" w:ascii="宋体" w:hAnsi="宋体" w:eastAsia="宋体" w:cs="宋体"/>
                <w:color w:val="auto"/>
                <w:sz w:val="24"/>
                <w:szCs w:val="24"/>
                <w:highlight w:val="none"/>
              </w:rPr>
            </w:pPr>
          </w:p>
          <w:p w14:paraId="6C90B280">
            <w:pPr>
              <w:spacing w:line="240" w:lineRule="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lang w:val="en-US" w:eastAsia="zh-CN"/>
              </w:rPr>
              <w:t>1、</w:t>
            </w:r>
            <w:r>
              <w:rPr>
                <w:rFonts w:hint="eastAsia" w:ascii="宋体" w:hAnsi="宋体" w:eastAsia="宋体" w:cs="宋体"/>
                <w:snapToGrid w:val="0"/>
                <w:color w:val="auto"/>
                <w:kern w:val="28"/>
                <w:sz w:val="24"/>
                <w:szCs w:val="24"/>
              </w:rPr>
              <w:t>招标代理公司按下表中</w:t>
            </w:r>
            <w:r>
              <w:rPr>
                <w:rFonts w:hint="eastAsia" w:ascii="宋体" w:hAnsi="宋体" w:cs="宋体"/>
                <w:snapToGrid w:val="0"/>
                <w:color w:val="auto"/>
                <w:kern w:val="28"/>
                <w:sz w:val="24"/>
                <w:szCs w:val="24"/>
                <w:lang w:val="en-US" w:eastAsia="zh-CN"/>
              </w:rPr>
              <w:t>工程</w:t>
            </w:r>
            <w:r>
              <w:rPr>
                <w:rFonts w:hint="eastAsia" w:ascii="宋体" w:hAnsi="宋体" w:eastAsia="宋体" w:cs="宋体"/>
                <w:snapToGrid w:val="0"/>
                <w:color w:val="auto"/>
                <w:kern w:val="28"/>
                <w:sz w:val="24"/>
                <w:szCs w:val="24"/>
              </w:rPr>
              <w:t>招标的标准，根据中标金额，向中标供应商收取招标代理服务费。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55"/>
              <w:gridCol w:w="1052"/>
              <w:gridCol w:w="990"/>
              <w:gridCol w:w="1032"/>
            </w:tblGrid>
            <w:tr w14:paraId="4B5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755"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6A9FC89B">
                  <w:pPr>
                    <w:spacing w:line="240" w:lineRule="auto"/>
                    <w:rPr>
                      <w:rFonts w:hint="eastAsia" w:ascii="宋体" w:hAnsi="宋体" w:eastAsia="宋体" w:cs="宋体"/>
                      <w:snapToGrid w:val="0"/>
                      <w:color w:val="auto"/>
                      <w:kern w:val="28"/>
                      <w:sz w:val="24"/>
                      <w:szCs w:val="24"/>
                      <w:highlight w:val="none"/>
                    </w:rPr>
                  </w:pPr>
                </w:p>
                <w:p w14:paraId="5DDF106F">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w:t>
                  </w:r>
                </w:p>
                <w:p w14:paraId="18096DF9">
                  <w:pPr>
                    <w:spacing w:line="24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（万元）</w:t>
                  </w:r>
                </w:p>
                <w:p w14:paraId="054AF4AD">
                  <w:pPr>
                    <w:spacing w:line="24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费率</w:t>
                  </w:r>
                </w:p>
                <w:p w14:paraId="786A24F4">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服务类型</w:t>
                  </w:r>
                </w:p>
              </w:tc>
              <w:tc>
                <w:tcPr>
                  <w:tcW w:w="1052" w:type="dxa"/>
                  <w:noWrap w:val="0"/>
                  <w:tcMar>
                    <w:top w:w="30" w:type="dxa"/>
                    <w:left w:w="150" w:type="dxa"/>
                    <w:bottom w:w="30" w:type="dxa"/>
                    <w:right w:w="150" w:type="dxa"/>
                  </w:tcMar>
                  <w:vAlign w:val="center"/>
                </w:tcPr>
                <w:p w14:paraId="236433A2">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货物</w:t>
                  </w:r>
                </w:p>
                <w:p w14:paraId="08D13742">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c>
                <w:tcPr>
                  <w:tcW w:w="990" w:type="dxa"/>
                  <w:noWrap w:val="0"/>
                  <w:tcMar>
                    <w:top w:w="30" w:type="dxa"/>
                    <w:left w:w="150" w:type="dxa"/>
                    <w:bottom w:w="30" w:type="dxa"/>
                    <w:right w:w="150" w:type="dxa"/>
                  </w:tcMar>
                  <w:vAlign w:val="center"/>
                </w:tcPr>
                <w:p w14:paraId="48E76E1F">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w:t>
                  </w:r>
                </w:p>
                <w:p w14:paraId="597AA3E7">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c>
                <w:tcPr>
                  <w:tcW w:w="1032" w:type="dxa"/>
                  <w:noWrap w:val="0"/>
                  <w:tcMar>
                    <w:top w:w="30" w:type="dxa"/>
                    <w:left w:w="150" w:type="dxa"/>
                    <w:bottom w:w="30" w:type="dxa"/>
                    <w:right w:w="150" w:type="dxa"/>
                  </w:tcMar>
                  <w:vAlign w:val="center"/>
                </w:tcPr>
                <w:p w14:paraId="62710899">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工程</w:t>
                  </w:r>
                </w:p>
                <w:p w14:paraId="0AAEB73C">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r>
            <w:tr w14:paraId="6C55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5BC3E982">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100以下(含)</w:t>
                  </w:r>
                </w:p>
              </w:tc>
              <w:tc>
                <w:tcPr>
                  <w:tcW w:w="1052" w:type="dxa"/>
                  <w:noWrap w:val="0"/>
                  <w:tcMar>
                    <w:top w:w="30" w:type="dxa"/>
                    <w:left w:w="150" w:type="dxa"/>
                    <w:bottom w:w="30" w:type="dxa"/>
                    <w:right w:w="150" w:type="dxa"/>
                  </w:tcMar>
                  <w:vAlign w:val="center"/>
                </w:tcPr>
                <w:p w14:paraId="1475106A">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2F45A2BE">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0ED1C582">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w:t>
                  </w:r>
                </w:p>
              </w:tc>
            </w:tr>
            <w:tr w14:paraId="28E9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631572B">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100-500(含)</w:t>
                  </w:r>
                </w:p>
              </w:tc>
              <w:tc>
                <w:tcPr>
                  <w:tcW w:w="1052" w:type="dxa"/>
                  <w:noWrap w:val="0"/>
                  <w:tcMar>
                    <w:top w:w="30" w:type="dxa"/>
                    <w:left w:w="150" w:type="dxa"/>
                    <w:bottom w:w="30" w:type="dxa"/>
                    <w:right w:w="150" w:type="dxa"/>
                  </w:tcMar>
                  <w:vAlign w:val="center"/>
                </w:tcPr>
                <w:p w14:paraId="4117297B">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302C7345">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0A04AB4D">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0.7%</w:t>
                  </w:r>
                </w:p>
              </w:tc>
            </w:tr>
            <w:tr w14:paraId="4C8C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016F075">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500-1000(含)</w:t>
                  </w:r>
                </w:p>
              </w:tc>
              <w:tc>
                <w:tcPr>
                  <w:tcW w:w="1052" w:type="dxa"/>
                  <w:noWrap w:val="0"/>
                  <w:tcMar>
                    <w:top w:w="30" w:type="dxa"/>
                    <w:left w:w="150" w:type="dxa"/>
                    <w:bottom w:w="30" w:type="dxa"/>
                    <w:right w:w="150" w:type="dxa"/>
                  </w:tcMar>
                  <w:vAlign w:val="center"/>
                </w:tcPr>
                <w:p w14:paraId="6262F17A">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09FA5929">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6131162D">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0.55%</w:t>
                  </w:r>
                </w:p>
              </w:tc>
            </w:tr>
            <w:tr w14:paraId="0E6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2D96BF3F">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1000-5000(含)</w:t>
                  </w:r>
                </w:p>
              </w:tc>
              <w:tc>
                <w:tcPr>
                  <w:tcW w:w="1052" w:type="dxa"/>
                  <w:noWrap w:val="0"/>
                  <w:tcMar>
                    <w:top w:w="30" w:type="dxa"/>
                    <w:left w:w="150" w:type="dxa"/>
                    <w:bottom w:w="30" w:type="dxa"/>
                    <w:right w:w="150" w:type="dxa"/>
                  </w:tcMar>
                  <w:vAlign w:val="center"/>
                </w:tcPr>
                <w:p w14:paraId="6183C450">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0.6%</w:t>
                  </w:r>
                </w:p>
              </w:tc>
              <w:tc>
                <w:tcPr>
                  <w:tcW w:w="990" w:type="dxa"/>
                  <w:noWrap w:val="0"/>
                  <w:tcMar>
                    <w:top w:w="30" w:type="dxa"/>
                    <w:left w:w="150" w:type="dxa"/>
                    <w:bottom w:w="30" w:type="dxa"/>
                    <w:right w:w="150" w:type="dxa"/>
                  </w:tcMar>
                  <w:vAlign w:val="center"/>
                </w:tcPr>
                <w:p w14:paraId="355E5F67">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c>
                <w:tcPr>
                  <w:tcW w:w="1032" w:type="dxa"/>
                  <w:noWrap w:val="0"/>
                  <w:tcMar>
                    <w:top w:w="30" w:type="dxa"/>
                    <w:left w:w="150" w:type="dxa"/>
                    <w:bottom w:w="30" w:type="dxa"/>
                    <w:right w:w="150" w:type="dxa"/>
                  </w:tcMar>
                  <w:vAlign w:val="center"/>
                </w:tcPr>
                <w:p w14:paraId="413C8DB6">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0.35%</w:t>
                  </w:r>
                </w:p>
              </w:tc>
            </w:tr>
            <w:tr w14:paraId="70A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59C37676">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5000-10000(含)</w:t>
                  </w:r>
                </w:p>
              </w:tc>
              <w:tc>
                <w:tcPr>
                  <w:tcW w:w="1052" w:type="dxa"/>
                  <w:noWrap w:val="0"/>
                  <w:tcMar>
                    <w:top w:w="30" w:type="dxa"/>
                    <w:left w:w="150" w:type="dxa"/>
                    <w:bottom w:w="30" w:type="dxa"/>
                    <w:right w:w="150" w:type="dxa"/>
                  </w:tcMar>
                  <w:vAlign w:val="center"/>
                </w:tcPr>
                <w:p w14:paraId="6D0DCEF8">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c>
                <w:tcPr>
                  <w:tcW w:w="990" w:type="dxa"/>
                  <w:noWrap w:val="0"/>
                  <w:tcMar>
                    <w:top w:w="30" w:type="dxa"/>
                    <w:left w:w="150" w:type="dxa"/>
                    <w:bottom w:w="30" w:type="dxa"/>
                    <w:right w:w="150" w:type="dxa"/>
                  </w:tcMar>
                  <w:vAlign w:val="center"/>
                </w:tcPr>
                <w:p w14:paraId="4F46C701">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0.1%</w:t>
                  </w:r>
                </w:p>
              </w:tc>
              <w:tc>
                <w:tcPr>
                  <w:tcW w:w="1032" w:type="dxa"/>
                  <w:noWrap w:val="0"/>
                  <w:tcMar>
                    <w:top w:w="30" w:type="dxa"/>
                    <w:left w:w="150" w:type="dxa"/>
                    <w:bottom w:w="30" w:type="dxa"/>
                    <w:right w:w="150" w:type="dxa"/>
                  </w:tcMar>
                  <w:vAlign w:val="center"/>
                </w:tcPr>
                <w:p w14:paraId="669A0AA0">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r>
            <w:tr w14:paraId="7AB7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EFA822A">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10000-100000(含)</w:t>
                  </w:r>
                </w:p>
              </w:tc>
              <w:tc>
                <w:tcPr>
                  <w:tcW w:w="1052" w:type="dxa"/>
                  <w:noWrap w:val="0"/>
                  <w:tcMar>
                    <w:top w:w="30" w:type="dxa"/>
                    <w:left w:w="150" w:type="dxa"/>
                    <w:bottom w:w="30" w:type="dxa"/>
                    <w:right w:w="150" w:type="dxa"/>
                  </w:tcMar>
                  <w:vAlign w:val="center"/>
                </w:tcPr>
                <w:p w14:paraId="3419CCE5">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0.05%</w:t>
                  </w:r>
                </w:p>
              </w:tc>
              <w:tc>
                <w:tcPr>
                  <w:tcW w:w="990" w:type="dxa"/>
                  <w:noWrap w:val="0"/>
                  <w:tcMar>
                    <w:top w:w="30" w:type="dxa"/>
                    <w:left w:w="150" w:type="dxa"/>
                    <w:bottom w:w="30" w:type="dxa"/>
                    <w:right w:w="150" w:type="dxa"/>
                  </w:tcMar>
                  <w:vAlign w:val="center"/>
                </w:tcPr>
                <w:p w14:paraId="42442132">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0.05%</w:t>
                  </w:r>
                </w:p>
              </w:tc>
              <w:tc>
                <w:tcPr>
                  <w:tcW w:w="1032" w:type="dxa"/>
                  <w:noWrap w:val="0"/>
                  <w:tcMar>
                    <w:top w:w="30" w:type="dxa"/>
                    <w:left w:w="150" w:type="dxa"/>
                    <w:bottom w:w="30" w:type="dxa"/>
                    <w:right w:w="150" w:type="dxa"/>
                  </w:tcMar>
                  <w:vAlign w:val="center"/>
                </w:tcPr>
                <w:p w14:paraId="197516B7">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0.04%</w:t>
                  </w:r>
                </w:p>
              </w:tc>
            </w:tr>
            <w:tr w14:paraId="032E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755" w:type="dxa"/>
                  <w:noWrap w:val="0"/>
                  <w:tcMar>
                    <w:top w:w="30" w:type="dxa"/>
                    <w:left w:w="150" w:type="dxa"/>
                    <w:bottom w:w="30" w:type="dxa"/>
                    <w:right w:w="150" w:type="dxa"/>
                  </w:tcMar>
                  <w:vAlign w:val="center"/>
                </w:tcPr>
                <w:p w14:paraId="0D839FA4">
                  <w:pPr>
                    <w:spacing w:line="24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100000以上</w:t>
                  </w:r>
                </w:p>
              </w:tc>
              <w:tc>
                <w:tcPr>
                  <w:tcW w:w="1052" w:type="dxa"/>
                  <w:noWrap w:val="0"/>
                  <w:tcMar>
                    <w:top w:w="30" w:type="dxa"/>
                    <w:left w:w="150" w:type="dxa"/>
                    <w:bottom w:w="30" w:type="dxa"/>
                    <w:right w:w="150" w:type="dxa"/>
                  </w:tcMar>
                  <w:vAlign w:val="center"/>
                </w:tcPr>
                <w:p w14:paraId="3D65B8C2">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c>
                <w:tcPr>
                  <w:tcW w:w="990" w:type="dxa"/>
                  <w:noWrap w:val="0"/>
                  <w:tcMar>
                    <w:top w:w="30" w:type="dxa"/>
                    <w:left w:w="150" w:type="dxa"/>
                    <w:bottom w:w="30" w:type="dxa"/>
                    <w:right w:w="150" w:type="dxa"/>
                  </w:tcMar>
                  <w:vAlign w:val="center"/>
                </w:tcPr>
                <w:p w14:paraId="49CA443C">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c>
                <w:tcPr>
                  <w:tcW w:w="1032" w:type="dxa"/>
                  <w:noWrap w:val="0"/>
                  <w:tcMar>
                    <w:top w:w="30" w:type="dxa"/>
                    <w:left w:w="150" w:type="dxa"/>
                    <w:bottom w:w="30" w:type="dxa"/>
                    <w:right w:w="150" w:type="dxa"/>
                  </w:tcMar>
                  <w:vAlign w:val="center"/>
                </w:tcPr>
                <w:p w14:paraId="6E75D9A7">
                  <w:pPr>
                    <w:spacing w:line="24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r>
          </w:tbl>
          <w:p w14:paraId="595DFC60">
            <w:pPr>
              <w:spacing w:line="240" w:lineRule="auto"/>
              <w:jc w:val="left"/>
              <w:rPr>
                <w:rFonts w:hint="eastAsia" w:ascii="宋体" w:hAnsi="宋体" w:eastAsia="宋体" w:cs="宋体"/>
                <w:color w:val="auto"/>
                <w:sz w:val="24"/>
                <w:szCs w:val="24"/>
                <w:highlight w:val="none"/>
              </w:rPr>
            </w:pPr>
          </w:p>
          <w:p w14:paraId="6D1B8D66">
            <w:pPr>
              <w:snapToGrid w:val="0"/>
              <w:spacing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注：中标服务费按差额定率累进法计算</w:t>
            </w:r>
          </w:p>
          <w:p w14:paraId="1E1DCE46">
            <w:pPr>
              <w:snapToGrid w:val="0"/>
              <w:spacing w:line="24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2、中标服务费以电汇、网银方式汇款。</w:t>
            </w:r>
          </w:p>
          <w:p w14:paraId="41C1C711">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帐户名称：温州中源工程项目管理有限公司宁海分公司</w:t>
            </w:r>
          </w:p>
          <w:p w14:paraId="629E59CA">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账号：60010122000882859</w:t>
            </w:r>
          </w:p>
          <w:p w14:paraId="035C9B21">
            <w:pPr>
              <w:spacing w:line="240" w:lineRule="auto"/>
              <w:rPr>
                <w:rFonts w:hint="eastAsia" w:ascii="宋体" w:hAnsi="宋体" w:eastAsia="宋体" w:cs="宋体"/>
                <w:snapToGrid w:val="0"/>
                <w:color w:val="auto"/>
                <w:kern w:val="28"/>
                <w:sz w:val="24"/>
                <w:szCs w:val="24"/>
              </w:rPr>
            </w:pPr>
            <w:r>
              <w:rPr>
                <w:rFonts w:hint="eastAsia" w:ascii="宋体" w:hAnsi="宋体" w:eastAsia="宋体" w:cs="宋体"/>
                <w:color w:val="auto"/>
                <w:sz w:val="24"/>
                <w:szCs w:val="24"/>
                <w:highlight w:val="none"/>
                <w:lang w:val="en-US" w:eastAsia="zh-CN"/>
              </w:rPr>
              <w:t>开户银行：宁波银行宁海支行</w:t>
            </w:r>
          </w:p>
        </w:tc>
      </w:tr>
      <w:tr w14:paraId="7AEF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CB7F67">
            <w:pPr>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093" w:type="dxa"/>
            <w:vAlign w:val="center"/>
          </w:tcPr>
          <w:p w14:paraId="741FE5F2">
            <w:pPr>
              <w:snapToGrid w:val="0"/>
              <w:spacing w:line="24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其他</w:t>
            </w:r>
          </w:p>
        </w:tc>
        <w:tc>
          <w:tcPr>
            <w:tcW w:w="6927" w:type="dxa"/>
            <w:vAlign w:val="center"/>
          </w:tcPr>
          <w:p w14:paraId="62B8363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投标文件数量：</w:t>
            </w:r>
          </w:p>
          <w:p w14:paraId="70948330">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上传到政府采购云平台的电子投标文件（含资格文件、商务技术文件、报价文件）1份。</w:t>
            </w:r>
          </w:p>
          <w:p w14:paraId="6756C755">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以U盘存储的电子备份投标文件（含资格文件、商务技术文件、报价文件）1份。</w:t>
            </w:r>
          </w:p>
          <w:p w14:paraId="552DA87D">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中标人需在中标公示结束后将正本一份，副本六份的纸质竞包文件提交给招标代理人。</w:t>
            </w:r>
          </w:p>
        </w:tc>
      </w:tr>
      <w:bookmarkEnd w:id="10"/>
    </w:tbl>
    <w:p w14:paraId="661996C5">
      <w:pPr>
        <w:snapToGrid w:val="0"/>
        <w:spacing w:line="360" w:lineRule="auto"/>
        <w:jc w:val="center"/>
        <w:outlineLvl w:val="0"/>
        <w:rPr>
          <w:rFonts w:hint="eastAsia" w:ascii="宋体" w:hAnsi="宋体" w:cs="宋体"/>
          <w:b/>
          <w:color w:val="auto"/>
          <w:sz w:val="32"/>
          <w:szCs w:val="20"/>
        </w:rPr>
      </w:pPr>
      <w:bookmarkStart w:id="13" w:name="_Toc164416483"/>
      <w:bookmarkStart w:id="14" w:name="第三部分"/>
    </w:p>
    <w:p w14:paraId="6AB7612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一、总则</w:t>
      </w:r>
    </w:p>
    <w:p w14:paraId="167A10F4">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6745A95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3CE874B8">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2614A6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633935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12EE8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135DCB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707C4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BE704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6E26B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626C346E">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C5FBE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AFB1B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2FB9D626">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1CB441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349881B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241D2F9">
      <w:pPr>
        <w:pStyle w:val="3"/>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9C1C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67B95A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E927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A21806F">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0BE65CC5">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2A199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932F7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5437F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DCDF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BB5E2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DAA3E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F66EA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7DC22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782CAB">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7D565BA">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1EE4D5FD">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770D74ED">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5226C7">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FE8468E">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424B58">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70740D8">
      <w:pPr>
        <w:pStyle w:val="32"/>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3F8EE368">
      <w:pPr>
        <w:pStyle w:val="32"/>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BC57C4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00B81868">
      <w:pPr>
        <w:pStyle w:val="32"/>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211341A8">
      <w:pPr>
        <w:pStyle w:val="32"/>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716444D8">
      <w:pPr>
        <w:pStyle w:val="32"/>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F66F584">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137729B4">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7279B2FD">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4782FF3C">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5A9AA602">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15134C60">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45BF742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A15BA26">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1E03AD8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3DA63A46">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FC0090B">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5C08EB2">
      <w:pPr>
        <w:pStyle w:val="888"/>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351B4682">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2BBC71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626DDD9">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1C54C652">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6C335731">
      <w:pPr>
        <w:pStyle w:val="888"/>
        <w:shd w:val="clear" w:color="auto" w:fill="FFFFFF"/>
        <w:snapToGrid w:val="0"/>
        <w:spacing w:after="240" w:afterAutospacing="0" w:line="360" w:lineRule="auto"/>
        <w:ind w:firstLine="480" w:firstLineChars="200"/>
        <w:contextualSpacing/>
        <w:rPr>
          <w:rFonts w:ascii="宋体" w:hAnsi="宋体" w:cs="宋体"/>
          <w:color w:val="auto"/>
          <w:sz w:val="18"/>
          <w:szCs w:val="18"/>
        </w:rPr>
      </w:pPr>
      <w:r>
        <w:rPr>
          <w:rFonts w:hint="eastAsia" w:asciiTheme="minorEastAsia" w:hAnsiTheme="minorEastAsia" w:eastAsiaTheme="minorEastAsia"/>
          <w:color w:val="auto"/>
        </w:rPr>
        <w:t>4.5.5</w:t>
      </w:r>
      <w:r>
        <w:rPr>
          <w:rFonts w:hint="eastAsia"/>
          <w:color w:val="auto"/>
          <w:highlight w:val="none"/>
        </w:rPr>
        <w:t>。</w:t>
      </w:r>
      <w:r>
        <w:rPr>
          <w:rFonts w:hint="eastAsia"/>
          <w:color w:val="auto"/>
        </w:rPr>
        <w:t>投诉书范本及制作说明详见附件3。</w:t>
      </w:r>
    </w:p>
    <w:p w14:paraId="721FF1EE">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6CDD6ED9">
      <w:pPr>
        <w:pStyle w:val="32"/>
        <w:spacing w:line="360" w:lineRule="auto"/>
        <w:rPr>
          <w:rFonts w:hAnsi="宋体" w:cs="宋体"/>
          <w:b/>
          <w:color w:val="auto"/>
          <w:sz w:val="24"/>
          <w:szCs w:val="24"/>
        </w:rPr>
      </w:pPr>
      <w:r>
        <w:rPr>
          <w:rFonts w:hint="eastAsia" w:hAnsi="宋体" w:cs="宋体"/>
          <w:b/>
          <w:color w:val="auto"/>
          <w:sz w:val="24"/>
          <w:szCs w:val="24"/>
        </w:rPr>
        <w:t>5．采购文件的构成</w:t>
      </w:r>
    </w:p>
    <w:p w14:paraId="71896BF9">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2BA7EB5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17793FD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134B047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5F37D4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3EEBD3D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B98BA7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66A8F7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7CD39D95">
      <w:pPr>
        <w:pStyle w:val="32"/>
        <w:spacing w:line="360" w:lineRule="auto"/>
        <w:rPr>
          <w:rFonts w:hAnsi="宋体" w:cs="宋体"/>
          <w:b/>
          <w:color w:val="auto"/>
          <w:sz w:val="24"/>
          <w:szCs w:val="24"/>
        </w:rPr>
      </w:pPr>
      <w:r>
        <w:rPr>
          <w:rFonts w:hint="eastAsia" w:hAnsi="宋体" w:cs="宋体"/>
          <w:b/>
          <w:color w:val="auto"/>
          <w:sz w:val="24"/>
          <w:szCs w:val="24"/>
        </w:rPr>
        <w:t>6. 采购文件的澄清、修改</w:t>
      </w:r>
    </w:p>
    <w:p w14:paraId="54C81B02">
      <w:pPr>
        <w:pStyle w:val="130"/>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BF4E3AD">
      <w:pPr>
        <w:pStyle w:val="130"/>
        <w:snapToGrid w:val="0"/>
        <w:spacing w:before="0"/>
        <w:ind w:firstLine="480"/>
        <w:rPr>
          <w:rFonts w:hAnsi="宋体" w:cs="宋体"/>
          <w:color w:val="auto"/>
          <w:sz w:val="18"/>
          <w:szCs w:val="18"/>
          <w:lang w:val="en-US"/>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7721C81">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169058BE">
      <w:pPr>
        <w:pStyle w:val="32"/>
        <w:spacing w:line="360" w:lineRule="auto"/>
        <w:rPr>
          <w:rFonts w:hAnsi="宋体" w:cs="宋体"/>
          <w:b/>
          <w:color w:val="auto"/>
          <w:sz w:val="24"/>
          <w:szCs w:val="24"/>
        </w:rPr>
      </w:pPr>
      <w:r>
        <w:rPr>
          <w:rFonts w:hint="eastAsia" w:hAnsi="宋体" w:cs="宋体"/>
          <w:b/>
          <w:color w:val="auto"/>
          <w:sz w:val="24"/>
          <w:szCs w:val="24"/>
        </w:rPr>
        <w:t>7. 采购文件的获取</w:t>
      </w:r>
    </w:p>
    <w:p w14:paraId="464D62C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08903D23">
      <w:pPr>
        <w:pStyle w:val="32"/>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498AFEF4">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44A79B34">
      <w:pPr>
        <w:pStyle w:val="32"/>
        <w:spacing w:line="360" w:lineRule="auto"/>
        <w:rPr>
          <w:rFonts w:hAnsi="宋体" w:cs="宋体"/>
          <w:b/>
          <w:color w:val="auto"/>
          <w:szCs w:val="24"/>
        </w:rPr>
      </w:pPr>
      <w:r>
        <w:rPr>
          <w:rFonts w:hint="eastAsia" w:hAnsi="宋体" w:cs="宋体"/>
          <w:b/>
          <w:color w:val="auto"/>
          <w:kern w:val="28"/>
          <w:sz w:val="24"/>
          <w:szCs w:val="24"/>
        </w:rPr>
        <w:t>9.磋商保证金</w:t>
      </w:r>
    </w:p>
    <w:p w14:paraId="0593FA0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11EC">
      <w:pPr>
        <w:pStyle w:val="32"/>
        <w:spacing w:line="360" w:lineRule="auto"/>
        <w:rPr>
          <w:rFonts w:hAnsi="宋体" w:cs="宋体"/>
          <w:b/>
          <w:color w:val="auto"/>
          <w:sz w:val="24"/>
          <w:szCs w:val="24"/>
        </w:rPr>
      </w:pPr>
      <w:r>
        <w:rPr>
          <w:rFonts w:hint="eastAsia" w:hAnsi="宋体" w:cs="宋体"/>
          <w:b/>
          <w:color w:val="auto"/>
          <w:sz w:val="24"/>
          <w:szCs w:val="24"/>
        </w:rPr>
        <w:t>10. 响应文件的语言</w:t>
      </w:r>
    </w:p>
    <w:p w14:paraId="211943A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6121254C">
      <w:pPr>
        <w:pStyle w:val="32"/>
        <w:spacing w:line="360" w:lineRule="auto"/>
        <w:rPr>
          <w:rFonts w:hAnsi="宋体" w:cs="宋体"/>
          <w:b/>
          <w:color w:val="auto"/>
          <w:sz w:val="24"/>
          <w:szCs w:val="24"/>
        </w:rPr>
      </w:pPr>
      <w:r>
        <w:rPr>
          <w:rFonts w:hint="eastAsia" w:hAnsi="宋体" w:cs="宋体"/>
          <w:b/>
          <w:color w:val="auto"/>
          <w:sz w:val="24"/>
          <w:szCs w:val="24"/>
        </w:rPr>
        <w:t>11. 响应文件的组成</w:t>
      </w:r>
    </w:p>
    <w:p w14:paraId="4A2630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8C5D75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2282D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Start w:id="17" w:name="_Hlk101257010"/>
      <w:r>
        <w:rPr>
          <w:rFonts w:hint="eastAsia" w:ascii="宋体" w:hAnsi="宋体" w:cs="宋体"/>
          <w:snapToGrid w:val="0"/>
          <w:color w:val="auto"/>
          <w:kern w:val="28"/>
          <w:sz w:val="24"/>
          <w:szCs w:val="20"/>
        </w:rPr>
        <w:t>（如果有)</w:t>
      </w:r>
      <w:bookmarkEnd w:id="16"/>
      <w:bookmarkEnd w:id="17"/>
      <w:r>
        <w:rPr>
          <w:rFonts w:hint="eastAsia" w:ascii="宋体" w:hAnsi="宋体" w:cs="宋体"/>
          <w:snapToGrid w:val="0"/>
          <w:color w:val="auto"/>
          <w:kern w:val="28"/>
          <w:sz w:val="24"/>
          <w:szCs w:val="20"/>
        </w:rPr>
        <w:t>；</w:t>
      </w:r>
    </w:p>
    <w:p w14:paraId="5F4279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DC05D6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2342C6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643419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4B105F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71447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5A0B4D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564CA8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361F64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59F634D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495154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3DD36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11C74F1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14:paraId="575733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14:paraId="4633047A">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494093DC">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供应商提供虚假材料的，响应文件无效。</w:t>
      </w:r>
    </w:p>
    <w:p w14:paraId="17125E95">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351F5DAB">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8D789D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39059D">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B0D057A">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0E8B9790">
      <w:pPr>
        <w:pStyle w:val="130"/>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7E21743C">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2C2001A1">
      <w:pPr>
        <w:pStyle w:val="130"/>
        <w:snapToGrid w:val="0"/>
        <w:spacing w:before="0"/>
        <w:ind w:firstLine="480"/>
        <w:rPr>
          <w:rFonts w:ascii="宋体" w:hAnsi="宋体" w:cs="宋体"/>
          <w:b/>
          <w:color w:val="auto"/>
          <w:szCs w:val="24"/>
        </w:rPr>
      </w:pPr>
      <w:r>
        <w:rPr>
          <w:rFonts w:hint="eastAsia" w:ascii="宋体" w:hAnsi="宋体" w:cs="宋体"/>
          <w:color w:val="auto"/>
        </w:rPr>
        <w:t>13.3采购文件对响应文件签署、盖章的要求适用于电子签名。</w:t>
      </w:r>
    </w:p>
    <w:p w14:paraId="4670893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03CA7AAF">
      <w:pPr>
        <w:pStyle w:val="130"/>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2260AD4">
      <w:pPr>
        <w:pStyle w:val="130"/>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4BF0037">
      <w:pPr>
        <w:pStyle w:val="130"/>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58CA6F45">
      <w:pPr>
        <w:pStyle w:val="32"/>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1D5A01F2">
      <w:pPr>
        <w:pStyle w:val="32"/>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7A9E3079">
      <w:pPr>
        <w:pStyle w:val="32"/>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210F136B">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25D1D8B6">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2180D86A">
      <w:pPr>
        <w:pStyle w:val="32"/>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03265BC1">
      <w:pPr>
        <w:pStyle w:val="130"/>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1962E848">
      <w:pPr>
        <w:pStyle w:val="24"/>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2DF7AB65">
      <w:pPr>
        <w:pStyle w:val="130"/>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0ACEC8B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7D1408DC">
      <w:pPr>
        <w:pStyle w:val="130"/>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0EB0924F">
      <w:pPr>
        <w:pStyle w:val="130"/>
        <w:spacing w:before="0"/>
        <w:ind w:firstLine="480"/>
        <w:rPr>
          <w:rFonts w:ascii="宋体" w:hAnsi="宋体" w:cs="宋体"/>
          <w:b/>
          <w:color w:val="auto"/>
          <w:sz w:val="32"/>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41079128">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402C1F7B">
      <w:pPr>
        <w:pStyle w:val="556"/>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0BBFF32B">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22D979C8">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6658FD2A">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6722B1B4">
      <w:pPr>
        <w:pStyle w:val="556"/>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59C7B01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25BA2A02">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0F5C2FBD">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8BCF0B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77D68F68">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3D5D1B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0BF0961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7568E89E">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14:paraId="57CF6F2E">
      <w:pPr>
        <w:pStyle w:val="130"/>
        <w:spacing w:before="0"/>
        <w:ind w:firstLine="480"/>
        <w:rPr>
          <w:rFonts w:ascii="宋体" w:hAnsi="宋体" w:cs="宋体"/>
          <w:color w:val="auto"/>
          <w:kern w:val="0"/>
          <w:szCs w:val="24"/>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9B899E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606F8F9E">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4F95AA9A">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7D34AAE4">
      <w:pPr>
        <w:pStyle w:val="24"/>
        <w:spacing w:line="360" w:lineRule="auto"/>
        <w:ind w:left="479" w:hanging="479" w:hangingChars="199"/>
        <w:rPr>
          <w:rFonts w:cs="宋体"/>
          <w:b/>
          <w:color w:val="auto"/>
        </w:rPr>
      </w:pPr>
      <w:r>
        <w:rPr>
          <w:rFonts w:hint="eastAsia" w:cs="宋体"/>
          <w:b/>
          <w:color w:val="auto"/>
        </w:rPr>
        <w:t>22. 确定成交供应商</w:t>
      </w:r>
    </w:p>
    <w:p w14:paraId="78B9BF3F">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91A05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5B33D2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509CD89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9591DC9">
      <w:pPr>
        <w:widowControl/>
        <w:shd w:val="clear" w:color="auto" w:fill="FFFFFF"/>
        <w:spacing w:line="360" w:lineRule="auto"/>
        <w:ind w:firstLine="480"/>
        <w:jc w:val="left"/>
        <w:rPr>
          <w:rFonts w:ascii="宋体" w:hAnsi="宋体" w:cs="宋体"/>
          <w:b/>
          <w:color w:val="auto"/>
          <w:sz w:val="32"/>
        </w:rPr>
      </w:pPr>
      <w:r>
        <w:rPr>
          <w:rFonts w:hint="eastAsia" w:ascii="宋体" w:hAnsi="宋体" w:cs="宋体"/>
          <w:color w:val="auto"/>
          <w:sz w:val="24"/>
        </w:rPr>
        <w:t>23.3公告期限为1个工作日。</w:t>
      </w:r>
    </w:p>
    <w:p w14:paraId="6C43770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1D4C037C">
      <w:pPr>
        <w:pStyle w:val="24"/>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637160E">
      <w:pPr>
        <w:pStyle w:val="24"/>
        <w:snapToGrid w:val="0"/>
        <w:spacing w:line="360" w:lineRule="auto"/>
        <w:ind w:left="479" w:hanging="479" w:hangingChars="199"/>
        <w:rPr>
          <w:rFonts w:cs="宋体"/>
          <w:b/>
          <w:color w:val="auto"/>
        </w:rPr>
      </w:pPr>
      <w:r>
        <w:rPr>
          <w:rFonts w:hint="eastAsia" w:cs="宋体"/>
          <w:b/>
          <w:color w:val="auto"/>
        </w:rPr>
        <w:t>25. 合同的签订</w:t>
      </w:r>
    </w:p>
    <w:p w14:paraId="302CB456">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D22E2DF">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0C8FBD2">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A62B7F6">
      <w:pPr>
        <w:pStyle w:val="130"/>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3AA121B">
      <w:pPr>
        <w:pStyle w:val="130"/>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74B613A4">
      <w:pPr>
        <w:pStyle w:val="24"/>
        <w:snapToGrid w:val="0"/>
        <w:spacing w:line="360" w:lineRule="auto"/>
        <w:ind w:left="479" w:hanging="479" w:hangingChars="199"/>
        <w:rPr>
          <w:rFonts w:cs="宋体"/>
          <w:b/>
          <w:color w:val="auto"/>
        </w:rPr>
      </w:pPr>
      <w:r>
        <w:rPr>
          <w:rFonts w:hint="eastAsia" w:cs="宋体"/>
          <w:b/>
          <w:color w:val="auto"/>
        </w:rPr>
        <w:t>26. 履约保证金</w:t>
      </w:r>
    </w:p>
    <w:p w14:paraId="53290887">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r>
        <w:rPr>
          <w:rFonts w:hint="eastAsia" w:ascii="宋体" w:hAnsi="宋体" w:cs="宋体"/>
          <w:color w:val="auto"/>
          <w:sz w:val="24"/>
          <w:lang w:val="en-US" w:eastAsia="zh-CN"/>
        </w:rPr>
        <w:t>浙江省</w:t>
      </w:r>
      <w:r>
        <w:rPr>
          <w:rFonts w:hint="eastAsia" w:ascii="宋体" w:hAnsi="宋体" w:cs="宋体"/>
          <w:color w:val="auto"/>
          <w:sz w:val="24"/>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1D60BB">
      <w:pPr>
        <w:pStyle w:val="3"/>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1E0191">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5FF2B552">
      <w:pPr>
        <w:adjustRightInd/>
        <w:spacing w:line="360" w:lineRule="auto"/>
        <w:ind w:firstLine="480" w:firstLineChars="200"/>
        <w:rPr>
          <w:rFonts w:ascii="宋体" w:hAnsi="宋体" w:cs="宋体"/>
          <w:b/>
          <w:color w:val="auto"/>
          <w:sz w:val="32"/>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35552AF3">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2A589292">
      <w:pPr>
        <w:pStyle w:val="130"/>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D810570">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B77D9B3">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306F8580">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4B48692">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A718B1F">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0903DAB">
      <w:pPr>
        <w:pStyle w:val="130"/>
        <w:snapToGrid w:val="0"/>
        <w:spacing w:before="0"/>
        <w:ind w:firstLine="0" w:firstLineChars="0"/>
        <w:rPr>
          <w:rFonts w:ascii="宋体" w:hAnsi="宋体" w:cs="宋体"/>
          <w:color w:val="auto"/>
          <w:sz w:val="24"/>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6709C06">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5CF693A5">
      <w:pPr>
        <w:pStyle w:val="24"/>
        <w:spacing w:line="360" w:lineRule="auto"/>
        <w:ind w:firstLine="0" w:firstLineChars="0"/>
        <w:rPr>
          <w:rFonts w:cs="宋体"/>
          <w:b/>
          <w:color w:val="auto"/>
        </w:rPr>
      </w:pPr>
      <w:r>
        <w:rPr>
          <w:rFonts w:hint="eastAsia" w:cs="宋体"/>
          <w:b/>
          <w:color w:val="auto"/>
        </w:rPr>
        <w:t>30.验收</w:t>
      </w:r>
    </w:p>
    <w:p w14:paraId="1CE4D8B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3C246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75BC61B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7FF3B">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29589BF">
      <w:pPr>
        <w:tabs>
          <w:tab w:val="left" w:pos="0"/>
        </w:tabs>
        <w:spacing w:line="360" w:lineRule="auto"/>
        <w:ind w:firstLine="480"/>
        <w:rPr>
          <w:rFonts w:ascii="宋体" w:hAnsi="宋体" w:cs="宋体"/>
          <w:color w:val="auto"/>
          <w:kern w:val="0"/>
          <w:sz w:val="24"/>
        </w:rPr>
        <w:sectPr>
          <w:pgSz w:w="11906" w:h="16838"/>
          <w:pgMar w:top="1440" w:right="1080" w:bottom="1440" w:left="1080" w:header="851" w:footer="992" w:gutter="0"/>
          <w:pgNumType w:fmt="decimal"/>
          <w:cols w:space="720" w:num="1"/>
          <w:titlePg/>
          <w:docGrid w:linePitch="312" w:charSpace="0"/>
        </w:sectPr>
      </w:pPr>
      <w:bookmarkStart w:id="19" w:name="_Hlt75236290"/>
      <w:bookmarkEnd w:id="19"/>
      <w:bookmarkStart w:id="20" w:name="_Hlt74730295"/>
      <w:bookmarkEnd w:id="20"/>
      <w:bookmarkStart w:id="21" w:name="_Hlt68072990"/>
      <w:bookmarkEnd w:id="21"/>
      <w:bookmarkStart w:id="22" w:name="_Hlt68057669"/>
      <w:bookmarkEnd w:id="22"/>
      <w:bookmarkStart w:id="23" w:name="_Hlt74729768"/>
      <w:bookmarkEnd w:id="23"/>
      <w:bookmarkStart w:id="24" w:name="_Hlt74707468"/>
      <w:bookmarkEnd w:id="24"/>
      <w:bookmarkStart w:id="25" w:name="_Hlt68403820"/>
      <w:bookmarkEnd w:id="25"/>
      <w:bookmarkStart w:id="26" w:name="_Hlt75236011"/>
      <w:bookmarkEnd w:id="26"/>
      <w:bookmarkStart w:id="27" w:name="_Hlt68072998"/>
      <w:bookmarkEnd w:id="27"/>
      <w:bookmarkStart w:id="28" w:name="_Hlt68073093"/>
      <w:bookmarkEnd w:id="28"/>
      <w:bookmarkStart w:id="29" w:name="_Hlt75236101"/>
      <w:bookmarkEnd w:id="29"/>
      <w:bookmarkStart w:id="30" w:name="_Hlt74714665"/>
      <w:bookmarkEnd w:id="30"/>
    </w:p>
    <w:bookmarkEnd w:id="13"/>
    <w:bookmarkEnd w:id="14"/>
    <w:p w14:paraId="6E235024">
      <w:pPr>
        <w:pStyle w:val="32"/>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3E110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一、工程概况</w:t>
      </w:r>
    </w:p>
    <w:p w14:paraId="6BBE9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bookmarkStart w:id="32" w:name="_Toc397325815"/>
      <w:r>
        <w:rPr>
          <w:rFonts w:hint="eastAsia" w:ascii="宋体" w:hAnsi="宋体" w:eastAsia="宋体" w:cs="宋体"/>
          <w:color w:val="auto"/>
          <w:kern w:val="2"/>
          <w:sz w:val="24"/>
          <w:szCs w:val="24"/>
          <w:highlight w:val="none"/>
          <w:lang w:val="en-US" w:eastAsia="zh-CN" w:bidi="ar-SA"/>
        </w:rPr>
        <w:t>（一）项目概况</w:t>
      </w:r>
    </w:p>
    <w:p w14:paraId="2C415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项目概况：该项目位于宁海县跃龙街道赵溪村。</w:t>
      </w:r>
    </w:p>
    <w:p w14:paraId="49B92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采购范围：土方开挖回填，新建钢筋砼箱涵约458m，箱涵顶部种植土回填，新建排水闸1座等工作内容。（具体详见图纸及清单）</w:t>
      </w:r>
    </w:p>
    <w:p w14:paraId="20D10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图纸</w:t>
      </w:r>
    </w:p>
    <w:p w14:paraId="34A7FE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详见采购文件附件：工程量清单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图纸</w:t>
      </w:r>
    </w:p>
    <w:p w14:paraId="2AD46F1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）项目技术要求</w:t>
      </w:r>
    </w:p>
    <w:p w14:paraId="2FAA14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36FC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2.本工程量清单应与采购文件中的竞争性磋商须知、合同条款、技术标准和要求及图纸（如有）等一起阅读和理解。</w:t>
      </w:r>
    </w:p>
    <w:p w14:paraId="3F05BD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BDFFA1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5.供应商按采购文件提供的《工程量清单》格式报价附件。</w:t>
      </w:r>
    </w:p>
    <w:p w14:paraId="5134EEA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6.供应商应在报价中综合考虑施工区域封闭的措施费用，工程实施过程中采购人不再补偿相关费用。</w:t>
      </w:r>
    </w:p>
    <w:p w14:paraId="3DD39EF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7.本工程要求承包人做好现场安全文明施工；现场悬挂安全文明施工警示牌、对施工造成的道路上的洒落进行清理、材料堆放要求整齐并做好维护等。</w:t>
      </w:r>
    </w:p>
    <w:p w14:paraId="03225AC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8.所有混凝土及钢筋混凝土构件报价均含模板养护，含钢筋和预埋铁件制作、安装的费用，混凝土均采用商品混凝土。</w:t>
      </w:r>
    </w:p>
    <w:p w14:paraId="4A4C6F3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rPr>
        <w:t>承包人在施工过程中与其他项目发生的任何冲突问题由采购人组织解决，不允许收取任何进场费、配合费等其他任何费用。</w:t>
      </w:r>
    </w:p>
    <w:p w14:paraId="5E4B25FF">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10、发包人无施工设备和临时设施提供，均需由承包人自行提供，</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4"/>
          <w:szCs w:val="24"/>
          <w:highlight w:val="none"/>
          <w:lang w:val="en-US" w:eastAsia="zh-CN"/>
        </w:rPr>
        <w:t>。</w:t>
      </w:r>
    </w:p>
    <w:p w14:paraId="5ADCE2DF">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须配备满足施工要求的主要</w:t>
      </w:r>
      <w:r>
        <w:rPr>
          <w:rFonts w:hint="eastAsia" w:ascii="宋体" w:hAnsi="宋体" w:eastAsia="宋体" w:cs="宋体"/>
          <w:color w:val="auto"/>
          <w:sz w:val="24"/>
          <w:szCs w:val="24"/>
          <w:highlight w:val="none"/>
          <w:lang w:val="en-US" w:eastAsia="zh-CN"/>
        </w:rPr>
        <w:t>施工人员</w:t>
      </w:r>
      <w:r>
        <w:rPr>
          <w:rFonts w:hint="eastAsia" w:ascii="宋体" w:hAnsi="宋体" w:eastAsia="宋体" w:cs="宋体"/>
          <w:color w:val="auto"/>
          <w:sz w:val="24"/>
          <w:szCs w:val="24"/>
          <w:highlight w:val="none"/>
          <w:lang w:eastAsia="zh-CN"/>
        </w:rPr>
        <w:t>（包括但不限于项目负责人、技术负责人、施工员、质检员、</w:t>
      </w:r>
      <w:r>
        <w:rPr>
          <w:rFonts w:hint="eastAsia" w:ascii="宋体" w:hAnsi="宋体" w:eastAsia="宋体" w:cs="宋体"/>
          <w:color w:val="auto"/>
          <w:sz w:val="24"/>
          <w:szCs w:val="24"/>
          <w:highlight w:val="none"/>
          <w:lang w:val="en-US" w:eastAsia="zh-CN"/>
        </w:rPr>
        <w:t>专职安全员</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w:t>
      </w:r>
    </w:p>
    <w:p w14:paraId="54C7CB83">
      <w:pPr>
        <w:spacing w:line="500" w:lineRule="exact"/>
        <w:ind w:firstLine="480" w:firstLineChars="200"/>
        <w:rPr>
          <w:rFonts w:hint="eastAsia" w:ascii="宋体" w:hAnsi="宋体" w:eastAsia="宋体" w:cs="宋体"/>
          <w:color w:val="auto"/>
          <w:sz w:val="24"/>
          <w:szCs w:val="24"/>
          <w:highlight w:val="none"/>
          <w:lang w:val="en-US" w:eastAsia="zh-CN"/>
        </w:rPr>
      </w:pPr>
    </w:p>
    <w:p w14:paraId="4BF6818C">
      <w:pPr>
        <w:rPr>
          <w:highlight w:val="none"/>
        </w:rPr>
      </w:pPr>
    </w:p>
    <w:p w14:paraId="1CBCF11C">
      <w:pPr>
        <w:spacing w:line="500" w:lineRule="exact"/>
        <w:ind w:firstLine="480" w:firstLineChars="200"/>
        <w:rPr>
          <w:rFonts w:hint="eastAsia" w:ascii="宋体" w:hAnsi="宋体" w:eastAsia="宋体" w:cs="宋体"/>
          <w:color w:val="auto"/>
          <w:sz w:val="24"/>
          <w:szCs w:val="24"/>
          <w:highlight w:val="yellow"/>
          <w:lang w:val="en-US" w:eastAsia="zh-CN"/>
        </w:rPr>
      </w:pPr>
    </w:p>
    <w:p w14:paraId="244DC8A8">
      <w:pPr>
        <w:spacing w:line="500" w:lineRule="exact"/>
        <w:ind w:firstLine="360" w:firstLineChars="200"/>
        <w:rPr>
          <w:rFonts w:hint="eastAsia" w:ascii="宋体" w:hAnsi="宋体" w:eastAsia="宋体" w:cs="宋体"/>
          <w:color w:val="auto"/>
          <w:sz w:val="18"/>
          <w:szCs w:val="18"/>
          <w:highlight w:val="none"/>
          <w:lang w:val="en-US" w:eastAsia="zh-CN"/>
        </w:rPr>
      </w:pPr>
    </w:p>
    <w:p w14:paraId="703E995B">
      <w:pPr>
        <w:spacing w:line="500" w:lineRule="exact"/>
        <w:ind w:firstLine="360" w:firstLineChars="200"/>
        <w:rPr>
          <w:rFonts w:hint="eastAsia" w:ascii="宋体" w:hAnsi="宋体" w:eastAsia="宋体" w:cs="宋体"/>
          <w:color w:val="auto"/>
          <w:sz w:val="18"/>
          <w:szCs w:val="18"/>
          <w:highlight w:val="none"/>
          <w:lang w:val="en-US" w:eastAsia="zh-CN"/>
        </w:rPr>
      </w:pPr>
    </w:p>
    <w:p w14:paraId="797A9B62">
      <w:pPr>
        <w:spacing w:line="500" w:lineRule="exact"/>
        <w:ind w:firstLine="360" w:firstLineChars="200"/>
        <w:rPr>
          <w:rFonts w:hint="eastAsia" w:ascii="宋体" w:hAnsi="宋体" w:eastAsia="宋体" w:cs="宋体"/>
          <w:color w:val="auto"/>
          <w:sz w:val="18"/>
          <w:szCs w:val="18"/>
          <w:highlight w:val="none"/>
          <w:lang w:val="en-US" w:eastAsia="zh-CN"/>
        </w:rPr>
      </w:pPr>
    </w:p>
    <w:p w14:paraId="2040E656">
      <w:pPr>
        <w:spacing w:line="500" w:lineRule="exact"/>
        <w:ind w:firstLine="360" w:firstLineChars="200"/>
        <w:rPr>
          <w:rFonts w:hint="eastAsia" w:ascii="宋体" w:hAnsi="宋体" w:eastAsia="宋体" w:cs="宋体"/>
          <w:color w:val="auto"/>
          <w:sz w:val="18"/>
          <w:szCs w:val="18"/>
          <w:highlight w:val="none"/>
          <w:lang w:val="en-US" w:eastAsia="zh-CN"/>
        </w:rPr>
      </w:pPr>
    </w:p>
    <w:p w14:paraId="735A54C4">
      <w:pPr>
        <w:spacing w:line="500" w:lineRule="exact"/>
        <w:ind w:firstLine="360" w:firstLineChars="200"/>
        <w:rPr>
          <w:rFonts w:hint="eastAsia" w:ascii="宋体" w:hAnsi="宋体" w:eastAsia="宋体" w:cs="宋体"/>
          <w:color w:val="auto"/>
          <w:sz w:val="18"/>
          <w:szCs w:val="18"/>
          <w:highlight w:val="none"/>
          <w:lang w:val="en-US" w:eastAsia="zh-CN"/>
        </w:rPr>
      </w:pPr>
    </w:p>
    <w:p w14:paraId="49F34E67">
      <w:pPr>
        <w:spacing w:line="500" w:lineRule="exact"/>
        <w:ind w:firstLine="360" w:firstLineChars="200"/>
        <w:rPr>
          <w:rFonts w:hint="eastAsia" w:ascii="宋体" w:hAnsi="宋体" w:eastAsia="宋体" w:cs="宋体"/>
          <w:color w:val="auto"/>
          <w:sz w:val="18"/>
          <w:szCs w:val="18"/>
          <w:highlight w:val="none"/>
          <w:lang w:val="en-US" w:eastAsia="zh-CN"/>
        </w:rPr>
      </w:pPr>
    </w:p>
    <w:p w14:paraId="3636D279">
      <w:pPr>
        <w:spacing w:line="500" w:lineRule="exact"/>
        <w:ind w:firstLine="360" w:firstLineChars="200"/>
        <w:rPr>
          <w:rFonts w:hint="eastAsia" w:ascii="宋体" w:hAnsi="宋体" w:eastAsia="宋体" w:cs="宋体"/>
          <w:color w:val="auto"/>
          <w:sz w:val="18"/>
          <w:szCs w:val="18"/>
          <w:highlight w:val="none"/>
          <w:lang w:val="en-US" w:eastAsia="zh-CN"/>
        </w:rPr>
      </w:pPr>
    </w:p>
    <w:p w14:paraId="4B5B1449">
      <w:pPr>
        <w:spacing w:line="500" w:lineRule="exact"/>
        <w:ind w:firstLine="360" w:firstLineChars="200"/>
        <w:rPr>
          <w:rFonts w:hint="eastAsia" w:ascii="宋体" w:hAnsi="宋体" w:eastAsia="宋体" w:cs="宋体"/>
          <w:color w:val="auto"/>
          <w:sz w:val="18"/>
          <w:szCs w:val="18"/>
          <w:highlight w:val="none"/>
          <w:lang w:val="en-US" w:eastAsia="zh-CN"/>
        </w:rPr>
      </w:pPr>
    </w:p>
    <w:p w14:paraId="72D391C1">
      <w:pPr>
        <w:spacing w:line="500" w:lineRule="exact"/>
        <w:ind w:firstLine="360" w:firstLineChars="200"/>
        <w:rPr>
          <w:rFonts w:hint="eastAsia" w:ascii="宋体" w:hAnsi="宋体" w:eastAsia="宋体" w:cs="宋体"/>
          <w:color w:val="auto"/>
          <w:sz w:val="18"/>
          <w:szCs w:val="18"/>
          <w:highlight w:val="none"/>
          <w:lang w:val="en-US" w:eastAsia="zh-CN"/>
        </w:rPr>
      </w:pPr>
    </w:p>
    <w:p w14:paraId="73C9C44E">
      <w:pPr>
        <w:spacing w:line="500" w:lineRule="exact"/>
        <w:ind w:firstLine="360" w:firstLineChars="200"/>
        <w:rPr>
          <w:rFonts w:hint="eastAsia" w:ascii="宋体" w:hAnsi="宋体" w:eastAsia="宋体" w:cs="宋体"/>
          <w:color w:val="auto"/>
          <w:sz w:val="18"/>
          <w:szCs w:val="18"/>
          <w:highlight w:val="none"/>
          <w:lang w:val="en-US" w:eastAsia="zh-CN"/>
        </w:rPr>
      </w:pPr>
    </w:p>
    <w:p w14:paraId="1C36CE1D">
      <w:pPr>
        <w:spacing w:line="500" w:lineRule="exact"/>
        <w:ind w:firstLine="360" w:firstLineChars="200"/>
        <w:rPr>
          <w:rFonts w:hint="eastAsia" w:ascii="宋体" w:hAnsi="宋体" w:eastAsia="宋体" w:cs="宋体"/>
          <w:color w:val="auto"/>
          <w:sz w:val="18"/>
          <w:szCs w:val="18"/>
          <w:highlight w:val="none"/>
          <w:lang w:val="en-US" w:eastAsia="zh-CN"/>
        </w:rPr>
      </w:pPr>
    </w:p>
    <w:p w14:paraId="226DFCD8">
      <w:pPr>
        <w:spacing w:line="500" w:lineRule="exact"/>
        <w:ind w:firstLine="360" w:firstLineChars="200"/>
        <w:rPr>
          <w:rFonts w:hint="eastAsia" w:ascii="宋体" w:hAnsi="宋体" w:eastAsia="宋体" w:cs="宋体"/>
          <w:color w:val="auto"/>
          <w:sz w:val="18"/>
          <w:szCs w:val="18"/>
          <w:highlight w:val="none"/>
          <w:lang w:val="en-US" w:eastAsia="zh-CN"/>
        </w:rPr>
      </w:pPr>
    </w:p>
    <w:p w14:paraId="11847C49">
      <w:pPr>
        <w:spacing w:line="500" w:lineRule="exact"/>
        <w:ind w:firstLine="360" w:firstLineChars="200"/>
        <w:rPr>
          <w:rFonts w:hint="eastAsia" w:ascii="宋体" w:hAnsi="宋体" w:eastAsia="宋体" w:cs="宋体"/>
          <w:color w:val="auto"/>
          <w:sz w:val="18"/>
          <w:szCs w:val="18"/>
          <w:highlight w:val="none"/>
          <w:lang w:val="en-US" w:eastAsia="zh-CN"/>
        </w:rPr>
      </w:pPr>
    </w:p>
    <w:p w14:paraId="1121DB1A">
      <w:pPr>
        <w:spacing w:line="500" w:lineRule="exact"/>
        <w:ind w:firstLine="360" w:firstLineChars="200"/>
        <w:rPr>
          <w:rFonts w:hint="eastAsia" w:ascii="宋体" w:hAnsi="宋体" w:eastAsia="宋体" w:cs="宋体"/>
          <w:color w:val="auto"/>
          <w:sz w:val="18"/>
          <w:szCs w:val="18"/>
          <w:highlight w:val="none"/>
          <w:lang w:val="en-US" w:eastAsia="zh-CN"/>
        </w:rPr>
      </w:pPr>
    </w:p>
    <w:p w14:paraId="05E9D15F">
      <w:pPr>
        <w:spacing w:line="500" w:lineRule="exact"/>
        <w:ind w:firstLine="360" w:firstLineChars="200"/>
        <w:rPr>
          <w:rFonts w:hint="eastAsia" w:ascii="宋体" w:hAnsi="宋体" w:eastAsia="宋体" w:cs="宋体"/>
          <w:color w:val="auto"/>
          <w:sz w:val="18"/>
          <w:szCs w:val="18"/>
          <w:highlight w:val="none"/>
          <w:lang w:val="en-US" w:eastAsia="zh-CN"/>
        </w:rPr>
      </w:pPr>
    </w:p>
    <w:p w14:paraId="3AF0D81F">
      <w:pPr>
        <w:spacing w:line="500" w:lineRule="exact"/>
        <w:ind w:firstLine="360" w:firstLineChars="200"/>
        <w:rPr>
          <w:rFonts w:hint="eastAsia" w:ascii="宋体" w:hAnsi="宋体" w:eastAsia="宋体" w:cs="宋体"/>
          <w:color w:val="auto"/>
          <w:sz w:val="18"/>
          <w:szCs w:val="18"/>
          <w:highlight w:val="none"/>
          <w:lang w:val="en-US" w:eastAsia="zh-CN"/>
        </w:rPr>
      </w:pPr>
    </w:p>
    <w:p w14:paraId="104866DD">
      <w:pPr>
        <w:spacing w:line="500" w:lineRule="exact"/>
        <w:ind w:firstLine="360" w:firstLineChars="200"/>
        <w:rPr>
          <w:rFonts w:hint="eastAsia" w:ascii="宋体" w:hAnsi="宋体" w:eastAsia="宋体" w:cs="宋体"/>
          <w:color w:val="auto"/>
          <w:sz w:val="18"/>
          <w:szCs w:val="18"/>
          <w:highlight w:val="none"/>
          <w:lang w:val="en-US" w:eastAsia="zh-CN"/>
        </w:rPr>
      </w:pPr>
    </w:p>
    <w:p w14:paraId="3A42C218">
      <w:pPr>
        <w:spacing w:line="500" w:lineRule="exact"/>
        <w:ind w:firstLine="360" w:firstLineChars="200"/>
        <w:rPr>
          <w:rFonts w:hint="eastAsia" w:ascii="宋体" w:hAnsi="宋体" w:eastAsia="宋体" w:cs="宋体"/>
          <w:color w:val="auto"/>
          <w:sz w:val="18"/>
          <w:szCs w:val="18"/>
          <w:highlight w:val="none"/>
          <w:lang w:val="en-US" w:eastAsia="zh-CN"/>
        </w:rPr>
      </w:pPr>
    </w:p>
    <w:p w14:paraId="102301E9">
      <w:pPr>
        <w:spacing w:line="500" w:lineRule="exact"/>
        <w:ind w:firstLine="360" w:firstLineChars="200"/>
        <w:rPr>
          <w:rFonts w:hint="eastAsia" w:ascii="宋体" w:hAnsi="宋体" w:eastAsia="宋体" w:cs="宋体"/>
          <w:color w:val="auto"/>
          <w:sz w:val="18"/>
          <w:szCs w:val="18"/>
          <w:highlight w:val="none"/>
          <w:lang w:val="en-US" w:eastAsia="zh-CN"/>
        </w:rPr>
      </w:pPr>
    </w:p>
    <w:p w14:paraId="10159701">
      <w:pPr>
        <w:spacing w:line="500" w:lineRule="exact"/>
        <w:ind w:firstLine="360" w:firstLineChars="200"/>
        <w:rPr>
          <w:rFonts w:hint="eastAsia" w:ascii="宋体" w:hAnsi="宋体" w:eastAsia="宋体" w:cs="宋体"/>
          <w:color w:val="auto"/>
          <w:sz w:val="18"/>
          <w:szCs w:val="18"/>
          <w:highlight w:val="none"/>
          <w:lang w:val="en-US" w:eastAsia="zh-CN"/>
        </w:rPr>
      </w:pPr>
    </w:p>
    <w:p w14:paraId="4FC9569E">
      <w:pPr>
        <w:spacing w:line="500" w:lineRule="exact"/>
        <w:ind w:firstLine="360" w:firstLineChars="200"/>
        <w:rPr>
          <w:rFonts w:hint="eastAsia" w:ascii="宋体" w:hAnsi="宋体" w:eastAsia="宋体" w:cs="宋体"/>
          <w:color w:val="auto"/>
          <w:sz w:val="18"/>
          <w:szCs w:val="18"/>
          <w:highlight w:val="none"/>
          <w:lang w:val="en-US" w:eastAsia="zh-CN"/>
        </w:rPr>
      </w:pPr>
    </w:p>
    <w:p w14:paraId="56BDF6E2">
      <w:pPr>
        <w:spacing w:line="500" w:lineRule="exact"/>
        <w:ind w:firstLine="360" w:firstLineChars="200"/>
        <w:rPr>
          <w:rFonts w:hint="eastAsia" w:ascii="宋体" w:hAnsi="宋体" w:eastAsia="宋体" w:cs="宋体"/>
          <w:color w:val="auto"/>
          <w:sz w:val="18"/>
          <w:szCs w:val="18"/>
          <w:highlight w:val="none"/>
          <w:lang w:val="en-US" w:eastAsia="zh-CN"/>
        </w:rPr>
      </w:pPr>
    </w:p>
    <w:p w14:paraId="67618140">
      <w:pPr>
        <w:spacing w:line="500" w:lineRule="exact"/>
        <w:ind w:firstLine="360" w:firstLineChars="200"/>
        <w:rPr>
          <w:rFonts w:hint="eastAsia" w:ascii="宋体" w:hAnsi="宋体" w:eastAsia="宋体" w:cs="宋体"/>
          <w:color w:val="auto"/>
          <w:sz w:val="18"/>
          <w:szCs w:val="18"/>
          <w:highlight w:val="none"/>
          <w:lang w:val="en-US" w:eastAsia="zh-CN"/>
        </w:rPr>
      </w:pPr>
    </w:p>
    <w:p w14:paraId="54AD33CD">
      <w:pPr>
        <w:spacing w:before="120" w:beforeLines="50" w:after="120" w:afterLines="50" w:line="4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二、商务条款要求</w:t>
      </w:r>
    </w:p>
    <w:bookmarkEnd w:id="32"/>
    <w:tbl>
      <w:tblPr>
        <w:tblStyle w:val="62"/>
        <w:tblW w:w="9141" w:type="dxa"/>
        <w:tblInd w:w="0" w:type="dxa"/>
        <w:tblLayout w:type="fixed"/>
        <w:tblCellMar>
          <w:top w:w="0" w:type="dxa"/>
          <w:left w:w="108" w:type="dxa"/>
          <w:bottom w:w="0" w:type="dxa"/>
          <w:right w:w="108" w:type="dxa"/>
        </w:tblCellMar>
      </w:tblPr>
      <w:tblGrid>
        <w:gridCol w:w="2261"/>
        <w:gridCol w:w="6880"/>
      </w:tblGrid>
      <w:tr w14:paraId="46E888A5">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18D7A96">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A697551">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要 求</w:t>
            </w:r>
          </w:p>
        </w:tc>
      </w:tr>
      <w:tr w14:paraId="00668BC0">
        <w:tblPrEx>
          <w:tblCellMar>
            <w:top w:w="0" w:type="dxa"/>
            <w:left w:w="108" w:type="dxa"/>
            <w:bottom w:w="0" w:type="dxa"/>
            <w:right w:w="108" w:type="dxa"/>
          </w:tblCellMar>
        </w:tblPrEx>
        <w:trPr>
          <w:trHeight w:val="820"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FE18C97">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37534EC">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土方开挖回填，新建钢筋砼箱涵约458m，箱涵顶部种植土回填，新建排水闸1座等工作内容。</w:t>
            </w:r>
          </w:p>
        </w:tc>
      </w:tr>
      <w:tr w14:paraId="73575F7E">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B44EF1">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FBD4F77">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包工包料</w:t>
            </w:r>
          </w:p>
        </w:tc>
      </w:tr>
      <w:tr w14:paraId="3C8C92D2">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15774ED">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A29C026">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达到国家和行业施工验收规范，验收合格</w:t>
            </w:r>
          </w:p>
        </w:tc>
      </w:tr>
      <w:tr w14:paraId="7ABA859C">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5078609">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F0FAC9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合格</w:t>
            </w:r>
          </w:p>
        </w:tc>
      </w:tr>
      <w:tr w14:paraId="596F6CCD">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5690E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0AD4384">
            <w:pPr>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210日历天</w:t>
            </w:r>
          </w:p>
        </w:tc>
      </w:tr>
      <w:tr w14:paraId="1ACB0AC3">
        <w:tblPrEx>
          <w:tblCellMar>
            <w:top w:w="0" w:type="dxa"/>
            <w:left w:w="108" w:type="dxa"/>
            <w:bottom w:w="0" w:type="dxa"/>
            <w:right w:w="108" w:type="dxa"/>
          </w:tblCellMar>
        </w:tblPrEx>
        <w:trPr>
          <w:trHeight w:val="9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EC998D7">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193" w:rightChars="-92" w:firstLine="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人员配备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1B42D38">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1.拟派项目负责人要求：1名，具备水利水电贰级及以上（不含临时）建造师注册证书，应持有水行政主管部门颁发的安全生产考核合格证书（B证）</w:t>
            </w:r>
            <w:r>
              <w:rPr>
                <w:rFonts w:hint="eastAsia" w:ascii="宋体" w:hAnsi="宋体" w:cs="宋体"/>
                <w:color w:val="auto"/>
                <w:sz w:val="24"/>
                <w:szCs w:val="24"/>
                <w:highlight w:val="none"/>
                <w:lang w:val="en-US" w:eastAsia="zh-CN"/>
              </w:rPr>
              <w:t>，且在投标截止日不得在其他任何在建合同工程中担任项目负责人（包括工程总承包项目中的施工负责人）。</w:t>
            </w:r>
          </w:p>
          <w:p w14:paraId="3289D269">
            <w:pPr>
              <w:keepNext w:val="0"/>
              <w:keepLines w:val="0"/>
              <w:pageBreakBefore w:val="0"/>
              <w:widowControl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2.项目技术负责人须具备水利相关专业工程师及以上职称证书，1名；施工员和质检员须具备相应的专业岗位资格证书或岗位培训合格证书，专职安全员具有行政主管部门颁发的安全生产考核合格证书C证，各1名。</w:t>
            </w:r>
          </w:p>
          <w:p w14:paraId="7F74C734">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注：1.响应文件中提供相关证书的扫描件或复印件。</w:t>
            </w:r>
          </w:p>
          <w:p w14:paraId="5E17DD39">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625B08B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3.“在建合同工程”范围：包括在中华人民共和国境内所有建设工程，不受地域、行业和投资性质的限制。</w:t>
            </w:r>
          </w:p>
        </w:tc>
      </w:tr>
      <w:tr w14:paraId="45D42AC8">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EE7335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481C93A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CEB4205">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本工程为固定单价合同，工程量按实际工程量结算。</w:t>
            </w:r>
          </w:p>
          <w:p w14:paraId="7187F4B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3659B29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施工单位须落实安全生产措施，在施工中发生的一切生产安全事故及其它事故由施工单位负责，同采购人无涉。</w:t>
            </w:r>
          </w:p>
        </w:tc>
      </w:tr>
      <w:tr w14:paraId="0ACDF8CB">
        <w:tblPrEx>
          <w:tblCellMar>
            <w:top w:w="0" w:type="dxa"/>
            <w:left w:w="108" w:type="dxa"/>
            <w:bottom w:w="0" w:type="dxa"/>
            <w:right w:w="108" w:type="dxa"/>
          </w:tblCellMar>
        </w:tblPrEx>
        <w:trPr>
          <w:trHeight w:val="97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2BD6C0">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E8EBF9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供应商按采购文件提供的《工程量清单》格式报价</w:t>
            </w:r>
            <w:r>
              <w:rPr>
                <w:rFonts w:hint="eastAsia" w:ascii="宋体" w:hAnsi="宋体" w:eastAsia="宋体" w:cs="宋体"/>
                <w:color w:val="auto"/>
                <w:kern w:val="0"/>
                <w:sz w:val="24"/>
                <w:szCs w:val="24"/>
                <w:highlight w:val="none"/>
                <w:lang w:eastAsia="zh-CN"/>
              </w:rPr>
              <w:t>。</w:t>
            </w:r>
          </w:p>
          <w:p w14:paraId="30C9EA8C">
            <w:pPr>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本工程实行工程量清单固定综合单价，工程量按实际结算。</w:t>
            </w:r>
          </w:p>
        </w:tc>
      </w:tr>
      <w:tr w14:paraId="5CEAE7AB">
        <w:tblPrEx>
          <w:tblCellMar>
            <w:top w:w="0" w:type="dxa"/>
            <w:left w:w="108" w:type="dxa"/>
            <w:bottom w:w="0" w:type="dxa"/>
            <w:right w:w="108" w:type="dxa"/>
          </w:tblCellMar>
        </w:tblPrEx>
        <w:trPr>
          <w:trHeight w:val="974"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41AFD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FE8104D">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签约合同价</w:t>
            </w:r>
            <w:r>
              <w:rPr>
                <w:rFonts w:hint="eastAsia" w:ascii="宋体" w:hAnsi="宋体" w:eastAsia="宋体" w:cs="宋体"/>
                <w:color w:val="auto"/>
                <w:sz w:val="24"/>
                <w:szCs w:val="24"/>
                <w:highlight w:val="none"/>
                <w:lang w:val="en-US" w:eastAsia="zh-CN"/>
              </w:rPr>
              <w:t>=中标价</w:t>
            </w:r>
          </w:p>
          <w:p w14:paraId="0C455C06">
            <w:pPr>
              <w:pStyle w:val="966"/>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zh-CN" w:eastAsia="zh-CN"/>
              </w:rPr>
              <w:t>特别说明：具体预算金额以预算报告为准</w:t>
            </w:r>
          </w:p>
        </w:tc>
      </w:tr>
      <w:tr w14:paraId="2D7E57CC">
        <w:tblPrEx>
          <w:tblCellMar>
            <w:top w:w="0" w:type="dxa"/>
            <w:left w:w="108" w:type="dxa"/>
            <w:bottom w:w="0" w:type="dxa"/>
            <w:right w:w="108" w:type="dxa"/>
          </w:tblCellMar>
        </w:tblPrEx>
        <w:trPr>
          <w:trHeight w:val="77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5086B79">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4BEB822">
            <w:pPr>
              <w:pStyle w:val="966"/>
              <w:keepNext w:val="0"/>
              <w:keepLines w:val="0"/>
              <w:pageBreakBefore w:val="0"/>
              <w:widowControl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rPr>
              <w:t>履约保证金金额：</w:t>
            </w:r>
            <w:r>
              <w:rPr>
                <w:rFonts w:hint="eastAsia" w:ascii="宋体" w:hAnsi="宋体" w:eastAsia="宋体" w:cs="宋体"/>
                <w:color w:val="auto"/>
                <w:sz w:val="24"/>
                <w:szCs w:val="24"/>
                <w:highlight w:val="none"/>
                <w:lang w:val="zh-CN" w:eastAsia="zh-CN"/>
              </w:rPr>
              <w:t>合同总价的</w:t>
            </w:r>
            <w:r>
              <w:rPr>
                <w:rFonts w:hint="eastAsia" w:ascii="宋体" w:hAnsi="宋体" w:eastAsia="宋体" w:cs="宋体"/>
                <w:color w:val="auto"/>
                <w:sz w:val="24"/>
                <w:szCs w:val="24"/>
                <w:highlight w:val="none"/>
                <w:u w:val="single"/>
                <w:lang w:val="zh-CN" w:eastAsia="zh-CN"/>
              </w:rPr>
              <w:t xml:space="preserve"> 1% </w:t>
            </w:r>
            <w:r>
              <w:rPr>
                <w:rFonts w:hint="eastAsia" w:ascii="宋体" w:hAnsi="宋体" w:eastAsia="宋体" w:cs="宋体"/>
                <w:color w:val="auto"/>
                <w:sz w:val="24"/>
                <w:szCs w:val="24"/>
                <w:highlight w:val="none"/>
                <w:u w:val="none"/>
                <w:lang w:val="zh-CN" w:eastAsia="zh-CN"/>
              </w:rPr>
              <w:t>。</w:t>
            </w:r>
          </w:p>
        </w:tc>
      </w:tr>
    </w:tbl>
    <w:p w14:paraId="131350B9">
      <w:pPr>
        <w:spacing w:line="360" w:lineRule="auto"/>
        <w:jc w:val="both"/>
        <w:outlineLvl w:val="0"/>
        <w:rPr>
          <w:rFonts w:hint="eastAsia" w:ascii="宋体" w:hAnsi="宋体" w:eastAsia="宋体" w:cs="宋体"/>
          <w:b/>
          <w:bCs/>
          <w:color w:val="auto"/>
          <w:sz w:val="24"/>
          <w:szCs w:val="24"/>
          <w:highlight w:val="none"/>
        </w:rPr>
      </w:pPr>
    </w:p>
    <w:p w14:paraId="54E6F889">
      <w:pPr>
        <w:spacing w:line="360" w:lineRule="auto"/>
        <w:ind w:left="210" w:left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2DCE17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CBB11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58" w:type="dxa"/>
            <w:shd w:val="clear" w:color="auto" w:fill="auto"/>
            <w:vAlign w:val="center"/>
          </w:tcPr>
          <w:p w14:paraId="5EE7A5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付款比例（%）</w:t>
            </w:r>
          </w:p>
        </w:tc>
        <w:tc>
          <w:tcPr>
            <w:tcW w:w="6002" w:type="dxa"/>
            <w:shd w:val="clear" w:color="auto" w:fill="auto"/>
            <w:vAlign w:val="center"/>
          </w:tcPr>
          <w:p w14:paraId="6F8220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r>
      <w:tr w14:paraId="76B23A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78CB6AC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8" w:type="dxa"/>
            <w:shd w:val="clear" w:color="auto" w:fill="auto"/>
            <w:vAlign w:val="center"/>
          </w:tcPr>
          <w:p w14:paraId="4E279636">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支付合同价的40%</w:t>
            </w:r>
          </w:p>
        </w:tc>
        <w:tc>
          <w:tcPr>
            <w:tcW w:w="6002" w:type="dxa"/>
            <w:shd w:val="clear" w:color="auto" w:fill="auto"/>
            <w:vAlign w:val="center"/>
          </w:tcPr>
          <w:p w14:paraId="466518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合同生效以及具备实施条件后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7DEF1F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73C7AC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8" w:type="dxa"/>
            <w:shd w:val="clear" w:color="auto" w:fill="auto"/>
            <w:vAlign w:val="center"/>
          </w:tcPr>
          <w:p w14:paraId="66259E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支付合同价的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6002" w:type="dxa"/>
            <w:shd w:val="clear" w:color="auto" w:fill="auto"/>
            <w:vAlign w:val="center"/>
          </w:tcPr>
          <w:p w14:paraId="44C80E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满足合同约定支付条件的，</w:t>
            </w:r>
            <w:r>
              <w:rPr>
                <w:rFonts w:hint="eastAsia" w:ascii="宋体" w:hAnsi="宋体" w:eastAsia="宋体" w:cs="宋体"/>
                <w:color w:val="auto"/>
                <w:sz w:val="24"/>
                <w:szCs w:val="24"/>
                <w:lang w:val="en-US" w:eastAsia="zh-CN"/>
              </w:rPr>
              <w:t>并</w:t>
            </w:r>
            <w:r>
              <w:rPr>
                <w:rFonts w:hint="eastAsia" w:ascii="宋体" w:hAnsi="宋体" w:eastAsia="宋体" w:cs="宋体"/>
                <w:snapToGrid w:val="0"/>
                <w:color w:val="auto"/>
                <w:sz w:val="24"/>
                <w:szCs w:val="24"/>
              </w:rPr>
              <w:t>完成合同工程量的80％</w:t>
            </w:r>
            <w:r>
              <w:rPr>
                <w:rFonts w:hint="eastAsia" w:ascii="宋体" w:hAnsi="宋体" w:eastAsia="宋体" w:cs="宋体"/>
                <w:snapToGrid w:val="0"/>
                <w:color w:val="auto"/>
                <w:sz w:val="24"/>
                <w:szCs w:val="24"/>
                <w:lang w:eastAsia="zh-CN"/>
              </w:rPr>
              <w:t>，</w:t>
            </w:r>
            <w:r>
              <w:rPr>
                <w:rFonts w:hint="eastAsia" w:ascii="宋体" w:hAnsi="宋体" w:eastAsia="宋体" w:cs="宋体"/>
                <w:color w:val="auto"/>
                <w:sz w:val="24"/>
                <w:szCs w:val="24"/>
              </w:rPr>
              <w:t>自收到发票后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3F5C9B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0F46B59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358" w:type="dxa"/>
            <w:shd w:val="clear" w:color="auto" w:fill="auto"/>
            <w:vAlign w:val="center"/>
          </w:tcPr>
          <w:p w14:paraId="01D9C324">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支付剩余款项</w:t>
            </w:r>
          </w:p>
        </w:tc>
        <w:tc>
          <w:tcPr>
            <w:tcW w:w="6002" w:type="dxa"/>
            <w:shd w:val="clear" w:color="auto" w:fill="auto"/>
            <w:vAlign w:val="center"/>
          </w:tcPr>
          <w:p w14:paraId="33C3A16B">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项目验收合格并办理交付手续后7个工作日内</w:t>
            </w:r>
          </w:p>
        </w:tc>
      </w:tr>
    </w:tbl>
    <w:p w14:paraId="67E05C42">
      <w:pPr>
        <w:widowControl/>
        <w:ind w:firstLine="720" w:firstLineChars="300"/>
        <w:jc w:val="left"/>
        <w:rPr>
          <w:rFonts w:ascii="宋体" w:hAnsi="宋体" w:cs="宋体"/>
          <w:bCs/>
          <w:color w:val="auto"/>
          <w:sz w:val="24"/>
        </w:rPr>
      </w:pPr>
    </w:p>
    <w:p w14:paraId="09F7799E">
      <w:pPr>
        <w:keepNext/>
        <w:keepLines/>
        <w:spacing w:line="360" w:lineRule="auto"/>
        <w:jc w:val="center"/>
        <w:outlineLvl w:val="0"/>
        <w:rPr>
          <w:rFonts w:hint="eastAsia" w:ascii="黑体" w:hAnsi="黑体" w:eastAsia="黑体" w:cs="黑体"/>
          <w:color w:val="auto"/>
          <w:sz w:val="32"/>
          <w:lang w:eastAsia="zh-CN"/>
        </w:rPr>
        <w:sectPr>
          <w:pgSz w:w="11906" w:h="16838"/>
          <w:pgMar w:top="1440" w:right="1106" w:bottom="1440" w:left="1752" w:header="851" w:footer="992" w:gutter="0"/>
          <w:pgNumType w:fmt="decimal"/>
          <w:cols w:space="720" w:num="1"/>
          <w:docGrid w:type="lines" w:linePitch="312" w:charSpace="0"/>
        </w:sectPr>
      </w:pPr>
    </w:p>
    <w:p w14:paraId="3BB9B7AB">
      <w:pPr>
        <w:keepNext/>
        <w:keepLines/>
        <w:spacing w:line="360" w:lineRule="auto"/>
        <w:jc w:val="center"/>
        <w:outlineLvl w:val="0"/>
        <w:rPr>
          <w:color w:val="auto"/>
          <w:highlight w:val="none"/>
        </w:rPr>
      </w:pPr>
      <w:r>
        <w:rPr>
          <w:rFonts w:hint="eastAsia" w:ascii="黑体" w:hAnsi="黑体" w:eastAsia="黑体" w:cs="黑体"/>
          <w:color w:val="auto"/>
          <w:sz w:val="32"/>
          <w:highlight w:val="none"/>
        </w:rPr>
        <w:t>工程量清单编制说明</w:t>
      </w:r>
    </w:p>
    <w:p w14:paraId="595593D1">
      <w:pPr>
        <w:spacing w:line="360" w:lineRule="auto"/>
        <w:ind w:firstLine="480" w:firstLineChars="200"/>
        <w:rPr>
          <w:rFonts w:hint="eastAsia" w:ascii="宋体" w:hAnsi="宋体" w:cs="宋体"/>
          <w:sz w:val="24"/>
        </w:rPr>
      </w:pPr>
      <w:r>
        <w:rPr>
          <w:rFonts w:hint="eastAsia" w:ascii="宋体" w:hAnsi="宋体" w:cs="宋体"/>
          <w:sz w:val="24"/>
          <w:lang w:val="en-US" w:eastAsia="zh-CN"/>
        </w:rPr>
        <w:t>一、工程概况及招标范围</w:t>
      </w:r>
    </w:p>
    <w:p w14:paraId="6AA4CF3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该工程由宁海县人民政府跃龙街道办事处负责建设，由宁波市水利水电规划设计研究院有限公司负责施工图设计。</w:t>
      </w:r>
    </w:p>
    <w:p w14:paraId="6F9D2EC0">
      <w:pPr>
        <w:spacing w:line="360" w:lineRule="auto"/>
        <w:ind w:firstLine="480" w:firstLineChars="200"/>
        <w:rPr>
          <w:rFonts w:hint="eastAsia" w:ascii="宋体" w:hAnsi="宋体" w:cs="宋体"/>
          <w:sz w:val="24"/>
          <w:lang w:val="en-US" w:eastAsia="zh-CN"/>
        </w:rPr>
      </w:pPr>
      <w:r>
        <w:rPr>
          <w:rFonts w:hint="eastAsia" w:ascii="宋体" w:hAnsi="宋体" w:cs="宋体"/>
          <w:sz w:val="24"/>
        </w:rPr>
        <w:t>二、编制依据</w:t>
      </w:r>
    </w:p>
    <w:p w14:paraId="4E225CB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1、《浙江省水利水电建筑工程预算定额（2021）》；</w:t>
      </w:r>
    </w:p>
    <w:p w14:paraId="51FC08C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2、《浙江省水利水电工程设计概（预）算编制规定（2021年）》；</w:t>
      </w:r>
    </w:p>
    <w:p w14:paraId="716EC77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3、《浙江省水利水电工程施工机械台班费定额（2021）》；</w:t>
      </w:r>
    </w:p>
    <w:p w14:paraId="5F88256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4、《宁波建设工程造价信息综合版》（2025年5月刊）；</w:t>
      </w:r>
    </w:p>
    <w:p w14:paraId="52BEBB1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5、《浙江省水利工程工程量清单计价办法》；</w:t>
      </w:r>
    </w:p>
    <w:p w14:paraId="2F7581D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6、不足部分参照国家有关定额。</w:t>
      </w:r>
    </w:p>
    <w:p w14:paraId="4664FBC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三、编制原则及办法</w:t>
      </w:r>
    </w:p>
    <w:p w14:paraId="46D774D6">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1、建筑工程</w:t>
      </w:r>
    </w:p>
    <w:p w14:paraId="3EE8C9D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工程量以设计图纸为依据，根据设计断面尺寸计算。工程部分单价按施工组织设计提供的施工方法套用《浙江省水利水电建筑工程预算定额》，不足部分套用国家规定相应有关工程定额和标准。</w:t>
      </w:r>
    </w:p>
    <w:p w14:paraId="49CF4A4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2、施工机械台班</w:t>
      </w:r>
    </w:p>
    <w:p w14:paraId="7CB7B07B">
      <w:pPr>
        <w:spacing w:line="360" w:lineRule="auto"/>
        <w:ind w:firstLine="480" w:firstLineChars="200"/>
        <w:rPr>
          <w:rFonts w:hint="eastAsia" w:ascii="宋体" w:hAnsi="宋体" w:cs="宋体"/>
          <w:sz w:val="24"/>
        </w:rPr>
      </w:pPr>
      <w:r>
        <w:rPr>
          <w:rFonts w:hint="eastAsia" w:ascii="宋体" w:hAnsi="宋体" w:cs="宋体"/>
          <w:sz w:val="24"/>
          <w:lang w:val="en-US" w:eastAsia="zh-CN"/>
        </w:rPr>
        <w:t>施工机械台班费套用《浙</w:t>
      </w:r>
      <w:r>
        <w:rPr>
          <w:rFonts w:hint="eastAsia" w:ascii="宋体" w:hAnsi="宋体" w:cs="宋体"/>
          <w:sz w:val="24"/>
        </w:rPr>
        <w:t>江省水利水电工程施工机械台班费定额（20</w:t>
      </w:r>
      <w:r>
        <w:rPr>
          <w:rFonts w:hint="eastAsia" w:ascii="宋体" w:hAnsi="宋体" w:cs="宋体"/>
          <w:sz w:val="24"/>
          <w:lang w:val="en-US" w:eastAsia="zh-CN"/>
        </w:rPr>
        <w:t>21</w:t>
      </w:r>
      <w:r>
        <w:rPr>
          <w:rFonts w:hint="eastAsia" w:ascii="宋体" w:hAnsi="宋体" w:cs="宋体"/>
          <w:sz w:val="24"/>
        </w:rPr>
        <w:t>）》。</w:t>
      </w:r>
    </w:p>
    <w:p w14:paraId="68DDB9C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3、基础单价</w:t>
      </w:r>
    </w:p>
    <w:p w14:paraId="253B269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（1）人工预算单价，根据浙江省工资标准和年应工作天数（250天），不分工程等别，人工预算单价为128元/工日）；</w:t>
      </w:r>
    </w:p>
    <w:p w14:paraId="1862659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进入单价的主要材料预算价格：主要材料（水泥、钢筋、木材、柴油、炸药、砂石料等）：水泥限价300元/T，柴油限价3000元/T，外购砼骨料预算限价60元/m3，外购砌筑块石预算限价60元/m3，用作垫层及回填料的外购砂、碎石（卵石）、塘渣、石渣、毛块石及抛石等预算限价30元/m3，外购成品预制构件按出厂价的25%。超过限价部分作为材料预算价差，计取税金后列入相应单价内。实际材料预算价格低于限价的按实价算；</w:t>
      </w:r>
    </w:p>
    <w:p w14:paraId="3762A9D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主要材料的价格参考《宁波建设工程造价信息综合版》（2025年5月刊）宁海县栏价格，宁海县栏无信息价部分参照宁波市区栏价格，宁波市栏无价格部分考虑市场价进入预算；</w:t>
      </w:r>
    </w:p>
    <w:p w14:paraId="03E8E4A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（3）建筑工程单价含直接费、间接费、利润和税金四项。</w:t>
      </w:r>
    </w:p>
    <w:p w14:paraId="13121C2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4、取费标准</w:t>
      </w:r>
    </w:p>
    <w:p w14:paraId="64DA954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根据工程类别确定计费标准：按三类工程标准计取，组成建筑工程单价的具体取费标准如下：</w:t>
      </w:r>
    </w:p>
    <w:p w14:paraId="6B2A75C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（1）直接费</w:t>
      </w:r>
    </w:p>
    <w:p w14:paraId="145203E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a、直接工程费</w:t>
      </w:r>
    </w:p>
    <w:p w14:paraId="46959516">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b、措施费                          3.5%</w:t>
      </w:r>
    </w:p>
    <w:p w14:paraId="4DB4529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（2）间接费</w:t>
      </w:r>
    </w:p>
    <w:p w14:paraId="4364E3A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土方工程按直接费                   6.5%</w:t>
      </w:r>
    </w:p>
    <w:p w14:paraId="6D23EB0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石方工程按直接费                   9.5%</w:t>
      </w:r>
    </w:p>
    <w:p w14:paraId="7148F9E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混凝土工程按直接费                 9.5%</w:t>
      </w:r>
    </w:p>
    <w:p w14:paraId="419AB48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基础处理工程按直接费               9.0%</w:t>
      </w:r>
    </w:p>
    <w:p w14:paraId="243B1C2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疏浚工程                       6.5%</w:t>
      </w:r>
    </w:p>
    <w:p w14:paraId="2D51498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（3）利润                          5.0%</w:t>
      </w:r>
    </w:p>
    <w:p w14:paraId="6C75A36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（4）税金                          9.0%</w:t>
      </w:r>
    </w:p>
    <w:p w14:paraId="70849D1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三、工程量清单说明</w:t>
      </w:r>
    </w:p>
    <w:p w14:paraId="5F173AF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1、工程预算价所列的工程量为施工图计算工程量，仅作为编制预算的基础，而实际则根据合同规定的计量办法核定的工程量，乘以工程量清单中的相应单价而得出的合价进行结算；</w:t>
      </w:r>
    </w:p>
    <w:p w14:paraId="1604FF4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2、工程预算价单价已包括直接费、间接费、利润和税金，同时还计入了市场风险金和工程所需但工程量清单中未单独列项的临时工程摊销费用；</w:t>
      </w:r>
    </w:p>
    <w:p w14:paraId="33BD6C4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3、本工程施工混凝土采用商品混凝土，施工用电采用网电供电,施工用水采用自来水；</w:t>
      </w:r>
    </w:p>
    <w:p w14:paraId="59196575">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4、经业主确认，本工程开挖土方（含表土剥离）外运至业主指定地点，箱涵顶部种植土考虑开挖料利用；</w:t>
      </w:r>
    </w:p>
    <w:p w14:paraId="1BE427D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5、经业主确认，根据现场施工情况，混凝土考虑场内机动翻斗车短驳，场内运距按300m计入；</w:t>
      </w:r>
    </w:p>
    <w:p w14:paraId="2F5609D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6、经业主确认，施工导流排水按30000元/项包干计入，施工临时道路按25000元/项包干计入，施工临时用电按15000元/项包干计入，施工房屋建筑按40000元/项包干计入；</w:t>
      </w:r>
    </w:p>
    <w:p w14:paraId="620157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6"/>
          <w:szCs w:val="20"/>
        </w:rPr>
      </w:pPr>
    </w:p>
    <w:p w14:paraId="50B77F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6"/>
          <w:szCs w:val="20"/>
        </w:rPr>
      </w:pPr>
    </w:p>
    <w:p w14:paraId="2EE24F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6"/>
          <w:szCs w:val="20"/>
        </w:rPr>
      </w:pPr>
      <w:r>
        <w:rPr>
          <w:rFonts w:hint="eastAsia" w:ascii="宋体" w:hAnsi="宋体" w:cs="宋体"/>
          <w:b/>
          <w:color w:val="auto"/>
          <w:sz w:val="36"/>
          <w:szCs w:val="20"/>
        </w:rPr>
        <w:t>第四部分</w:t>
      </w:r>
      <w:bookmarkStart w:id="33" w:name="_Toc184313307"/>
      <w:bookmarkEnd w:id="33"/>
      <w:bookmarkStart w:id="34" w:name="_Toc184310293"/>
      <w:bookmarkEnd w:id="34"/>
      <w:bookmarkStart w:id="35" w:name="_Toc184310320"/>
      <w:bookmarkEnd w:id="35"/>
      <w:bookmarkStart w:id="36" w:name="_Toc184313306"/>
      <w:bookmarkEnd w:id="36"/>
      <w:bookmarkStart w:id="37" w:name="_Toc184310284"/>
      <w:bookmarkEnd w:id="37"/>
      <w:bookmarkStart w:id="38" w:name="_Toc184310295"/>
      <w:bookmarkEnd w:id="38"/>
      <w:bookmarkStart w:id="39" w:name="_Toc184314428"/>
      <w:bookmarkEnd w:id="39"/>
      <w:bookmarkStart w:id="40" w:name="_Toc184314411"/>
      <w:bookmarkEnd w:id="40"/>
      <w:bookmarkStart w:id="41" w:name="_Toc184308099"/>
      <w:bookmarkEnd w:id="41"/>
      <w:bookmarkStart w:id="42" w:name="_Toc184313251"/>
      <w:bookmarkEnd w:id="42"/>
      <w:bookmarkStart w:id="43" w:name="_Toc184308041"/>
      <w:bookmarkEnd w:id="43"/>
      <w:bookmarkStart w:id="44" w:name="_Toc184308075"/>
      <w:bookmarkEnd w:id="44"/>
      <w:bookmarkStart w:id="45" w:name="_Toc184312138"/>
      <w:bookmarkEnd w:id="45"/>
      <w:bookmarkStart w:id="46" w:name="_Toc184308045"/>
      <w:bookmarkEnd w:id="46"/>
      <w:bookmarkStart w:id="47" w:name="_Toc184312091"/>
      <w:bookmarkEnd w:id="47"/>
      <w:bookmarkStart w:id="48" w:name="_Toc184312096"/>
      <w:bookmarkEnd w:id="48"/>
      <w:bookmarkStart w:id="49" w:name="_Toc184314463"/>
      <w:bookmarkEnd w:id="49"/>
      <w:bookmarkStart w:id="50" w:name="_Toc184310297"/>
      <w:bookmarkEnd w:id="50"/>
      <w:bookmarkStart w:id="51" w:name="_Toc184308046"/>
      <w:bookmarkEnd w:id="51"/>
      <w:bookmarkStart w:id="52" w:name="_Toc184312068"/>
      <w:bookmarkEnd w:id="52"/>
      <w:bookmarkStart w:id="53" w:name="_Toc184312088"/>
      <w:bookmarkEnd w:id="53"/>
      <w:bookmarkStart w:id="54" w:name="_Toc184312139"/>
      <w:bookmarkEnd w:id="54"/>
      <w:bookmarkStart w:id="55" w:name="_Toc184310305"/>
      <w:bookmarkEnd w:id="55"/>
      <w:bookmarkStart w:id="56" w:name="_Toc184308042"/>
      <w:bookmarkEnd w:id="56"/>
      <w:bookmarkStart w:id="57" w:name="_Toc184313272"/>
      <w:bookmarkEnd w:id="57"/>
      <w:bookmarkStart w:id="58" w:name="_Toc184314479"/>
      <w:bookmarkEnd w:id="58"/>
      <w:bookmarkStart w:id="59" w:name="_Toc184313252"/>
      <w:bookmarkEnd w:id="59"/>
      <w:bookmarkStart w:id="60" w:name="_Toc184308088"/>
      <w:bookmarkEnd w:id="60"/>
      <w:bookmarkStart w:id="61" w:name="_Toc184314417"/>
      <w:bookmarkEnd w:id="61"/>
      <w:bookmarkStart w:id="62" w:name="_Toc184308062"/>
      <w:bookmarkEnd w:id="62"/>
      <w:bookmarkStart w:id="63" w:name="_Toc184314424"/>
      <w:bookmarkEnd w:id="63"/>
      <w:bookmarkStart w:id="64" w:name="_Toc184314426"/>
      <w:bookmarkEnd w:id="64"/>
      <w:bookmarkStart w:id="65" w:name="_Toc184310322"/>
      <w:bookmarkEnd w:id="65"/>
      <w:bookmarkStart w:id="66" w:name="_Toc184314442"/>
      <w:bookmarkEnd w:id="66"/>
      <w:bookmarkStart w:id="67" w:name="_Toc184312110"/>
      <w:bookmarkEnd w:id="67"/>
      <w:bookmarkStart w:id="68" w:name="_Toc184308076"/>
      <w:bookmarkEnd w:id="68"/>
      <w:bookmarkStart w:id="69" w:name="_Toc184310273"/>
      <w:bookmarkEnd w:id="69"/>
      <w:bookmarkStart w:id="70" w:name="_Toc184313287"/>
      <w:bookmarkEnd w:id="70"/>
      <w:bookmarkStart w:id="71" w:name="_Toc184310299"/>
      <w:bookmarkEnd w:id="71"/>
      <w:bookmarkStart w:id="72" w:name="_Toc184314459"/>
      <w:bookmarkEnd w:id="72"/>
      <w:bookmarkStart w:id="73" w:name="_Toc184310335"/>
      <w:bookmarkEnd w:id="73"/>
      <w:bookmarkStart w:id="74" w:name="_Toc184310306"/>
      <w:bookmarkEnd w:id="74"/>
      <w:bookmarkStart w:id="75" w:name="_Toc184313298"/>
      <w:bookmarkEnd w:id="75"/>
      <w:bookmarkStart w:id="76" w:name="_Toc184314431"/>
      <w:bookmarkEnd w:id="76"/>
      <w:bookmarkStart w:id="77" w:name="_Toc184308090"/>
      <w:bookmarkEnd w:id="77"/>
      <w:bookmarkStart w:id="78" w:name="_Toc184314460"/>
      <w:bookmarkEnd w:id="78"/>
      <w:bookmarkStart w:id="79" w:name="_Toc184312123"/>
      <w:bookmarkEnd w:id="79"/>
      <w:bookmarkStart w:id="80" w:name="_Toc184314418"/>
      <w:bookmarkEnd w:id="80"/>
      <w:bookmarkStart w:id="81" w:name="_Toc184308055"/>
      <w:bookmarkEnd w:id="81"/>
      <w:bookmarkStart w:id="82" w:name="_Toc184308108"/>
      <w:bookmarkEnd w:id="82"/>
      <w:bookmarkStart w:id="83" w:name="_Toc184314458"/>
      <w:bookmarkEnd w:id="83"/>
      <w:bookmarkStart w:id="84" w:name="_Toc184312071"/>
      <w:bookmarkEnd w:id="84"/>
      <w:bookmarkStart w:id="85" w:name="_Toc184308085"/>
      <w:bookmarkEnd w:id="85"/>
      <w:bookmarkStart w:id="86" w:name="_Toc184312114"/>
      <w:bookmarkEnd w:id="86"/>
      <w:bookmarkStart w:id="87" w:name="_Toc184312121"/>
      <w:bookmarkEnd w:id="87"/>
      <w:bookmarkStart w:id="88" w:name="_Toc184312125"/>
      <w:bookmarkEnd w:id="88"/>
      <w:bookmarkStart w:id="89" w:name="_Toc184308082"/>
      <w:bookmarkEnd w:id="89"/>
      <w:bookmarkStart w:id="90" w:name="_Toc184310327"/>
      <w:bookmarkEnd w:id="90"/>
      <w:bookmarkStart w:id="91" w:name="_Toc184310289"/>
      <w:bookmarkEnd w:id="91"/>
      <w:bookmarkStart w:id="92" w:name="_Toc184314435"/>
      <w:bookmarkEnd w:id="92"/>
      <w:bookmarkStart w:id="93" w:name="_Toc184314437"/>
      <w:bookmarkEnd w:id="93"/>
      <w:bookmarkStart w:id="94" w:name="_Toc184310274"/>
      <w:bookmarkEnd w:id="94"/>
      <w:bookmarkStart w:id="95" w:name="_Toc184314448"/>
      <w:bookmarkEnd w:id="95"/>
      <w:bookmarkStart w:id="96" w:name="_Toc184314461"/>
      <w:bookmarkEnd w:id="96"/>
      <w:bookmarkStart w:id="97" w:name="_Toc184310315"/>
      <w:bookmarkEnd w:id="97"/>
      <w:bookmarkStart w:id="98" w:name="_Toc184312079"/>
      <w:bookmarkEnd w:id="98"/>
      <w:bookmarkStart w:id="99" w:name="_Toc184312101"/>
      <w:bookmarkEnd w:id="99"/>
      <w:bookmarkStart w:id="100" w:name="_Toc184312080"/>
      <w:bookmarkEnd w:id="100"/>
      <w:bookmarkStart w:id="101" w:name="_Toc184313299"/>
      <w:bookmarkEnd w:id="101"/>
      <w:bookmarkStart w:id="102" w:name="_Toc184308068"/>
      <w:bookmarkEnd w:id="102"/>
      <w:bookmarkStart w:id="103" w:name="_Toc184312083"/>
      <w:bookmarkEnd w:id="103"/>
      <w:bookmarkStart w:id="104" w:name="_Toc184312081"/>
      <w:bookmarkEnd w:id="104"/>
      <w:bookmarkStart w:id="105" w:name="_Toc184312072"/>
      <w:bookmarkEnd w:id="105"/>
      <w:bookmarkStart w:id="106" w:name="_Toc184310296"/>
      <w:bookmarkEnd w:id="106"/>
      <w:bookmarkStart w:id="107" w:name="_Toc184312077"/>
      <w:bookmarkEnd w:id="107"/>
      <w:bookmarkStart w:id="108" w:name="_Toc184314434"/>
      <w:bookmarkEnd w:id="108"/>
      <w:bookmarkStart w:id="109" w:name="_Toc184308077"/>
      <w:bookmarkEnd w:id="109"/>
      <w:bookmarkStart w:id="110" w:name="_Toc184308086"/>
      <w:bookmarkEnd w:id="110"/>
      <w:bookmarkStart w:id="111" w:name="_Toc184310332"/>
      <w:bookmarkEnd w:id="111"/>
      <w:bookmarkStart w:id="112" w:name="_Toc184312118"/>
      <w:bookmarkEnd w:id="112"/>
      <w:bookmarkStart w:id="113" w:name="_Toc184312131"/>
      <w:bookmarkEnd w:id="113"/>
      <w:bookmarkStart w:id="114" w:name="_Toc184310313"/>
      <w:bookmarkEnd w:id="114"/>
      <w:bookmarkStart w:id="115" w:name="_Toc184313273"/>
      <w:bookmarkEnd w:id="115"/>
      <w:bookmarkStart w:id="116" w:name="_Toc184314474"/>
      <w:bookmarkEnd w:id="116"/>
      <w:bookmarkStart w:id="117" w:name="_Toc184314478"/>
      <w:bookmarkEnd w:id="117"/>
      <w:bookmarkStart w:id="118" w:name="_Toc184308040"/>
      <w:bookmarkEnd w:id="118"/>
      <w:bookmarkStart w:id="119" w:name="_Toc184308038"/>
      <w:bookmarkEnd w:id="119"/>
      <w:bookmarkStart w:id="120" w:name="_Toc184308065"/>
      <w:bookmarkEnd w:id="120"/>
      <w:bookmarkStart w:id="121" w:name="_Toc184313276"/>
      <w:bookmarkEnd w:id="121"/>
      <w:bookmarkStart w:id="122" w:name="_Toc184310324"/>
      <w:bookmarkEnd w:id="122"/>
      <w:bookmarkStart w:id="123" w:name="_Toc184314466"/>
      <w:bookmarkEnd w:id="123"/>
      <w:bookmarkStart w:id="124" w:name="_Toc184308047"/>
      <w:bookmarkEnd w:id="124"/>
      <w:bookmarkStart w:id="125" w:name="_Toc184312127"/>
      <w:bookmarkEnd w:id="125"/>
      <w:bookmarkStart w:id="126" w:name="_Toc184312120"/>
      <w:bookmarkEnd w:id="126"/>
      <w:bookmarkStart w:id="127" w:name="_Toc184308091"/>
      <w:bookmarkEnd w:id="127"/>
      <w:bookmarkStart w:id="128" w:name="_Toc184310307"/>
      <w:bookmarkEnd w:id="128"/>
      <w:bookmarkStart w:id="129" w:name="_Toc184313303"/>
      <w:bookmarkEnd w:id="129"/>
      <w:bookmarkStart w:id="130" w:name="_Toc184313270"/>
      <w:bookmarkEnd w:id="130"/>
      <w:bookmarkStart w:id="131" w:name="_Toc184308059"/>
      <w:bookmarkEnd w:id="131"/>
      <w:bookmarkStart w:id="132" w:name="_Toc184314446"/>
      <w:bookmarkEnd w:id="132"/>
      <w:bookmarkStart w:id="133" w:name="_Toc184310287"/>
      <w:bookmarkEnd w:id="133"/>
      <w:bookmarkStart w:id="134" w:name="_Toc184308081"/>
      <w:bookmarkEnd w:id="134"/>
      <w:bookmarkStart w:id="135" w:name="_Toc184310341"/>
      <w:bookmarkEnd w:id="135"/>
      <w:bookmarkStart w:id="136" w:name="_Toc184312116"/>
      <w:bookmarkEnd w:id="136"/>
      <w:bookmarkStart w:id="137" w:name="_Toc184310309"/>
      <w:bookmarkEnd w:id="137"/>
      <w:bookmarkStart w:id="138" w:name="_Toc184313254"/>
      <w:bookmarkEnd w:id="138"/>
      <w:bookmarkStart w:id="139" w:name="_Toc184312132"/>
      <w:bookmarkEnd w:id="139"/>
      <w:bookmarkStart w:id="140" w:name="_Toc184312082"/>
      <w:bookmarkEnd w:id="140"/>
      <w:bookmarkStart w:id="141" w:name="_Toc184310290"/>
      <w:bookmarkEnd w:id="141"/>
      <w:bookmarkStart w:id="142" w:name="_Toc184313260"/>
      <w:bookmarkEnd w:id="142"/>
      <w:bookmarkStart w:id="143" w:name="_Toc184313265"/>
      <w:bookmarkEnd w:id="143"/>
      <w:bookmarkStart w:id="144" w:name="_Toc184310310"/>
      <w:bookmarkEnd w:id="144"/>
      <w:bookmarkStart w:id="145" w:name="_Toc184312115"/>
      <w:bookmarkEnd w:id="145"/>
      <w:bookmarkStart w:id="146" w:name="_Toc184314475"/>
      <w:bookmarkEnd w:id="146"/>
      <w:bookmarkStart w:id="147" w:name="_Toc184310302"/>
      <w:bookmarkEnd w:id="147"/>
      <w:bookmarkStart w:id="148" w:name="_Toc184313239"/>
      <w:bookmarkEnd w:id="148"/>
      <w:bookmarkStart w:id="149" w:name="_Toc184308043"/>
      <w:bookmarkEnd w:id="149"/>
      <w:bookmarkStart w:id="150" w:name="_Toc184314425"/>
      <w:bookmarkEnd w:id="150"/>
      <w:bookmarkStart w:id="151" w:name="_Toc184314465"/>
      <w:bookmarkEnd w:id="151"/>
      <w:bookmarkStart w:id="152" w:name="_Toc184313263"/>
      <w:bookmarkEnd w:id="152"/>
      <w:bookmarkStart w:id="153" w:name="_Toc184310280"/>
      <w:bookmarkEnd w:id="153"/>
      <w:bookmarkStart w:id="154" w:name="_Toc184312109"/>
      <w:bookmarkEnd w:id="154"/>
      <w:bookmarkStart w:id="155" w:name="_Toc184312100"/>
      <w:bookmarkEnd w:id="155"/>
      <w:bookmarkStart w:id="156" w:name="_Toc184308105"/>
      <w:bookmarkEnd w:id="156"/>
      <w:bookmarkStart w:id="157" w:name="_Toc184308087"/>
      <w:bookmarkEnd w:id="157"/>
      <w:bookmarkStart w:id="158" w:name="_Toc184313248"/>
      <w:bookmarkEnd w:id="158"/>
      <w:bookmarkStart w:id="159" w:name="_Toc184310277"/>
      <w:bookmarkEnd w:id="159"/>
      <w:bookmarkStart w:id="160" w:name="_Toc184312084"/>
      <w:bookmarkEnd w:id="160"/>
      <w:bookmarkStart w:id="161" w:name="_Toc184313281"/>
      <w:bookmarkEnd w:id="161"/>
      <w:bookmarkStart w:id="162" w:name="_Toc184310340"/>
      <w:bookmarkEnd w:id="162"/>
      <w:bookmarkStart w:id="163" w:name="_Toc184312094"/>
      <w:bookmarkEnd w:id="163"/>
      <w:bookmarkStart w:id="164" w:name="_Toc184310303"/>
      <w:bookmarkEnd w:id="164"/>
      <w:bookmarkStart w:id="165" w:name="_Toc184312122"/>
      <w:bookmarkEnd w:id="165"/>
      <w:bookmarkStart w:id="166" w:name="_Toc184312095"/>
      <w:bookmarkEnd w:id="166"/>
      <w:bookmarkStart w:id="167" w:name="_Toc184313250"/>
      <w:bookmarkEnd w:id="167"/>
      <w:bookmarkStart w:id="168" w:name="_Toc184310326"/>
      <w:bookmarkEnd w:id="168"/>
      <w:bookmarkStart w:id="169" w:name="_Toc184313267"/>
      <w:bookmarkEnd w:id="169"/>
      <w:bookmarkStart w:id="170" w:name="_Toc184313238"/>
      <w:bookmarkEnd w:id="170"/>
      <w:bookmarkStart w:id="171" w:name="_Toc184313291"/>
      <w:bookmarkEnd w:id="171"/>
      <w:bookmarkStart w:id="172" w:name="_Toc184310298"/>
      <w:bookmarkEnd w:id="172"/>
      <w:bookmarkStart w:id="173" w:name="_Toc184313247"/>
      <w:bookmarkEnd w:id="173"/>
      <w:bookmarkStart w:id="174" w:name="_Toc184310286"/>
      <w:bookmarkEnd w:id="174"/>
      <w:bookmarkStart w:id="175" w:name="_Toc184308054"/>
      <w:bookmarkEnd w:id="175"/>
      <w:bookmarkStart w:id="176" w:name="_Toc184310329"/>
      <w:bookmarkEnd w:id="176"/>
      <w:bookmarkStart w:id="177" w:name="_Toc184308071"/>
      <w:bookmarkEnd w:id="177"/>
      <w:bookmarkStart w:id="178" w:name="_Toc184312076"/>
      <w:bookmarkEnd w:id="178"/>
      <w:bookmarkStart w:id="179" w:name="_Toc184308102"/>
      <w:bookmarkEnd w:id="179"/>
      <w:bookmarkStart w:id="180" w:name="_Toc184313304"/>
      <w:bookmarkEnd w:id="180"/>
      <w:bookmarkStart w:id="181" w:name="_Toc184313240"/>
      <w:bookmarkEnd w:id="181"/>
      <w:bookmarkStart w:id="182" w:name="_Toc184313286"/>
      <w:bookmarkEnd w:id="182"/>
      <w:bookmarkStart w:id="183" w:name="_Toc184313310"/>
      <w:bookmarkEnd w:id="183"/>
      <w:bookmarkStart w:id="184" w:name="_Toc184314476"/>
      <w:bookmarkEnd w:id="184"/>
      <w:bookmarkStart w:id="185" w:name="_Toc184308094"/>
      <w:bookmarkEnd w:id="185"/>
      <w:bookmarkStart w:id="186" w:name="_Toc184308096"/>
      <w:bookmarkEnd w:id="186"/>
      <w:bookmarkStart w:id="187" w:name="_Toc184312074"/>
      <w:bookmarkEnd w:id="187"/>
      <w:bookmarkStart w:id="188" w:name="_Toc184308074"/>
      <w:bookmarkEnd w:id="188"/>
      <w:bookmarkStart w:id="189" w:name="_Toc184314467"/>
      <w:bookmarkEnd w:id="189"/>
      <w:bookmarkStart w:id="190" w:name="_Toc184313257"/>
      <w:bookmarkEnd w:id="190"/>
      <w:bookmarkStart w:id="191" w:name="_Toc184313309"/>
      <w:bookmarkEnd w:id="191"/>
      <w:bookmarkStart w:id="192" w:name="_Toc184313278"/>
      <w:bookmarkEnd w:id="192"/>
      <w:bookmarkStart w:id="193" w:name="_Toc184310279"/>
      <w:bookmarkEnd w:id="193"/>
      <w:bookmarkStart w:id="194" w:name="_Toc184314454"/>
      <w:bookmarkEnd w:id="194"/>
      <w:bookmarkStart w:id="195" w:name="_Toc184314456"/>
      <w:bookmarkEnd w:id="195"/>
      <w:bookmarkStart w:id="196" w:name="_Toc184313256"/>
      <w:bookmarkEnd w:id="196"/>
      <w:bookmarkStart w:id="197" w:name="_Toc184312087"/>
      <w:bookmarkEnd w:id="197"/>
      <w:bookmarkStart w:id="198" w:name="_Toc184310339"/>
      <w:bookmarkEnd w:id="198"/>
      <w:bookmarkStart w:id="199" w:name="_Toc184313253"/>
      <w:bookmarkEnd w:id="199"/>
      <w:bookmarkStart w:id="200" w:name="_Toc184312112"/>
      <w:bookmarkEnd w:id="200"/>
      <w:bookmarkStart w:id="201" w:name="_Toc184314441"/>
      <w:bookmarkEnd w:id="201"/>
      <w:bookmarkStart w:id="202" w:name="_Toc184308070"/>
      <w:bookmarkEnd w:id="202"/>
      <w:bookmarkStart w:id="203" w:name="_Toc184308061"/>
      <w:bookmarkEnd w:id="203"/>
      <w:bookmarkStart w:id="204" w:name="_Toc184312099"/>
      <w:bookmarkEnd w:id="204"/>
      <w:bookmarkStart w:id="205" w:name="_Toc184308063"/>
      <w:bookmarkEnd w:id="205"/>
      <w:bookmarkStart w:id="206" w:name="_Toc184312134"/>
      <w:bookmarkEnd w:id="206"/>
      <w:bookmarkStart w:id="207" w:name="_Toc184313294"/>
      <w:bookmarkEnd w:id="207"/>
      <w:bookmarkStart w:id="208" w:name="_Toc184310276"/>
      <w:bookmarkEnd w:id="208"/>
      <w:bookmarkStart w:id="209" w:name="_Toc184314477"/>
      <w:bookmarkEnd w:id="209"/>
      <w:bookmarkStart w:id="210" w:name="_Toc184314410"/>
      <w:bookmarkEnd w:id="210"/>
      <w:bookmarkStart w:id="211" w:name="_Toc184312124"/>
      <w:bookmarkEnd w:id="211"/>
      <w:bookmarkStart w:id="212" w:name="_Toc184308072"/>
      <w:bookmarkEnd w:id="212"/>
      <w:bookmarkStart w:id="213" w:name="_Toc184310288"/>
      <w:bookmarkEnd w:id="213"/>
      <w:bookmarkStart w:id="214" w:name="_Toc184310321"/>
      <w:bookmarkEnd w:id="214"/>
      <w:bookmarkStart w:id="215" w:name="_Toc184313280"/>
      <w:bookmarkEnd w:id="215"/>
      <w:bookmarkStart w:id="216" w:name="_Toc184314468"/>
      <w:bookmarkEnd w:id="216"/>
      <w:bookmarkStart w:id="217" w:name="_Toc184308044"/>
      <w:bookmarkEnd w:id="217"/>
      <w:bookmarkStart w:id="218" w:name="_Toc184314438"/>
      <w:bookmarkEnd w:id="218"/>
      <w:bookmarkStart w:id="219" w:name="_Toc184312108"/>
      <w:bookmarkEnd w:id="219"/>
      <w:bookmarkStart w:id="220" w:name="_Toc184310282"/>
      <w:bookmarkEnd w:id="220"/>
      <w:bookmarkStart w:id="221" w:name="_Toc184308097"/>
      <w:bookmarkEnd w:id="221"/>
      <w:bookmarkStart w:id="222" w:name="_Toc184308060"/>
      <w:bookmarkEnd w:id="222"/>
      <w:bookmarkStart w:id="223" w:name="_Toc184310278"/>
      <w:bookmarkEnd w:id="223"/>
      <w:bookmarkStart w:id="224" w:name="_Toc184314482"/>
      <w:bookmarkEnd w:id="224"/>
      <w:bookmarkStart w:id="225" w:name="_Toc184313296"/>
      <w:bookmarkEnd w:id="225"/>
      <w:bookmarkStart w:id="226" w:name="_Toc184308058"/>
      <w:bookmarkEnd w:id="226"/>
      <w:bookmarkStart w:id="227" w:name="_Toc184314471"/>
      <w:bookmarkEnd w:id="227"/>
      <w:bookmarkStart w:id="228" w:name="_Toc184310338"/>
      <w:bookmarkEnd w:id="228"/>
      <w:bookmarkStart w:id="229" w:name="_Toc184314481"/>
      <w:bookmarkEnd w:id="229"/>
      <w:bookmarkStart w:id="230" w:name="_Toc184310275"/>
      <w:bookmarkEnd w:id="230"/>
      <w:bookmarkStart w:id="231" w:name="_Toc184313242"/>
      <w:bookmarkEnd w:id="231"/>
      <w:bookmarkStart w:id="232" w:name="_Toc184314439"/>
      <w:bookmarkEnd w:id="232"/>
      <w:bookmarkStart w:id="233" w:name="_Toc184310294"/>
      <w:bookmarkEnd w:id="233"/>
      <w:bookmarkStart w:id="234" w:name="_Toc184308080"/>
      <w:bookmarkEnd w:id="234"/>
      <w:bookmarkStart w:id="235" w:name="_Toc184313261"/>
      <w:bookmarkEnd w:id="235"/>
      <w:bookmarkStart w:id="236" w:name="_Toc184313293"/>
      <w:bookmarkEnd w:id="236"/>
      <w:bookmarkStart w:id="237" w:name="_Toc184310336"/>
      <w:bookmarkEnd w:id="237"/>
      <w:bookmarkStart w:id="238" w:name="_Toc184308098"/>
      <w:bookmarkEnd w:id="238"/>
      <w:bookmarkStart w:id="239" w:name="_Toc184310343"/>
      <w:bookmarkEnd w:id="239"/>
      <w:bookmarkStart w:id="240" w:name="_Toc184313246"/>
      <w:bookmarkEnd w:id="240"/>
      <w:bookmarkStart w:id="241" w:name="_Toc184314452"/>
      <w:bookmarkEnd w:id="241"/>
      <w:bookmarkStart w:id="242" w:name="_Toc184313297"/>
      <w:bookmarkEnd w:id="242"/>
      <w:bookmarkStart w:id="243" w:name="_Toc184313288"/>
      <w:bookmarkEnd w:id="243"/>
      <w:bookmarkStart w:id="244" w:name="_Toc184313269"/>
      <w:bookmarkEnd w:id="244"/>
      <w:bookmarkStart w:id="245" w:name="_Toc184314421"/>
      <w:bookmarkEnd w:id="245"/>
      <w:bookmarkStart w:id="246" w:name="_Toc184313279"/>
      <w:bookmarkEnd w:id="246"/>
      <w:bookmarkStart w:id="247" w:name="_Toc184313271"/>
      <w:bookmarkEnd w:id="247"/>
      <w:bookmarkStart w:id="248" w:name="_Toc184313289"/>
      <w:bookmarkEnd w:id="248"/>
      <w:bookmarkStart w:id="249" w:name="_Toc184312090"/>
      <w:bookmarkEnd w:id="249"/>
      <w:bookmarkStart w:id="250" w:name="_Toc184310292"/>
      <w:bookmarkEnd w:id="250"/>
      <w:bookmarkStart w:id="251" w:name="_Toc184308078"/>
      <w:bookmarkEnd w:id="251"/>
      <w:bookmarkStart w:id="252" w:name="_Toc184313290"/>
      <w:bookmarkEnd w:id="252"/>
      <w:bookmarkStart w:id="253" w:name="_Toc184313282"/>
      <w:bookmarkEnd w:id="253"/>
      <w:bookmarkStart w:id="254" w:name="_Toc184312137"/>
      <w:bookmarkEnd w:id="254"/>
      <w:bookmarkStart w:id="255" w:name="_Toc184312111"/>
      <w:bookmarkEnd w:id="255"/>
      <w:bookmarkStart w:id="256" w:name="_Toc184308056"/>
      <w:bookmarkEnd w:id="256"/>
      <w:bookmarkStart w:id="257" w:name="_Toc184314414"/>
      <w:bookmarkEnd w:id="257"/>
      <w:bookmarkStart w:id="258" w:name="_Toc184312102"/>
      <w:bookmarkEnd w:id="258"/>
      <w:bookmarkStart w:id="259" w:name="_Toc184312093"/>
      <w:bookmarkEnd w:id="259"/>
      <w:bookmarkStart w:id="260" w:name="_Toc184310281"/>
      <w:bookmarkEnd w:id="260"/>
      <w:bookmarkStart w:id="261" w:name="_Toc184310330"/>
      <w:bookmarkEnd w:id="261"/>
      <w:bookmarkStart w:id="262" w:name="_Toc184313259"/>
      <w:bookmarkEnd w:id="262"/>
      <w:bookmarkStart w:id="263" w:name="_Toc184314427"/>
      <w:bookmarkEnd w:id="263"/>
      <w:bookmarkStart w:id="264" w:name="_Toc184312069"/>
      <w:bookmarkEnd w:id="264"/>
      <w:bookmarkStart w:id="265" w:name="_Toc184308036"/>
      <w:bookmarkEnd w:id="265"/>
      <w:bookmarkStart w:id="266" w:name="_Toc184314473"/>
      <w:bookmarkEnd w:id="266"/>
      <w:bookmarkStart w:id="267" w:name="_Toc184313245"/>
      <w:bookmarkEnd w:id="267"/>
      <w:bookmarkStart w:id="268" w:name="_Toc184314469"/>
      <w:bookmarkEnd w:id="268"/>
      <w:bookmarkStart w:id="269" w:name="_Toc184308052"/>
      <w:bookmarkEnd w:id="269"/>
      <w:bookmarkStart w:id="270" w:name="_Toc184313274"/>
      <w:bookmarkEnd w:id="270"/>
      <w:bookmarkStart w:id="271" w:name="_Toc184308089"/>
      <w:bookmarkEnd w:id="271"/>
      <w:bookmarkStart w:id="272" w:name="_Toc184308101"/>
      <w:bookmarkEnd w:id="272"/>
      <w:bookmarkStart w:id="273" w:name="_Toc184313295"/>
      <w:bookmarkEnd w:id="273"/>
      <w:bookmarkStart w:id="274" w:name="_Toc184312130"/>
      <w:bookmarkEnd w:id="274"/>
      <w:bookmarkStart w:id="275" w:name="_Toc184313249"/>
      <w:bookmarkEnd w:id="275"/>
      <w:bookmarkStart w:id="276" w:name="_Toc184308039"/>
      <w:bookmarkEnd w:id="276"/>
      <w:bookmarkStart w:id="277" w:name="_Toc184310312"/>
      <w:bookmarkEnd w:id="277"/>
      <w:bookmarkStart w:id="278" w:name="_Toc184313262"/>
      <w:bookmarkEnd w:id="278"/>
      <w:bookmarkStart w:id="279" w:name="_Toc184310300"/>
      <w:bookmarkEnd w:id="279"/>
      <w:bookmarkStart w:id="280" w:name="_Toc184313300"/>
      <w:bookmarkEnd w:id="280"/>
      <w:bookmarkStart w:id="281" w:name="_Toc184310283"/>
      <w:bookmarkEnd w:id="281"/>
      <w:bookmarkStart w:id="282" w:name="_Toc184314436"/>
      <w:bookmarkEnd w:id="282"/>
      <w:bookmarkStart w:id="283" w:name="_Toc184308057"/>
      <w:bookmarkEnd w:id="283"/>
      <w:bookmarkStart w:id="284" w:name="_Toc184313285"/>
      <w:bookmarkEnd w:id="284"/>
      <w:bookmarkStart w:id="285" w:name="_Toc184308064"/>
      <w:bookmarkEnd w:id="285"/>
      <w:bookmarkStart w:id="286" w:name="_Toc184312092"/>
      <w:bookmarkEnd w:id="286"/>
      <w:bookmarkStart w:id="287" w:name="_Toc184312086"/>
      <w:bookmarkEnd w:id="287"/>
      <w:bookmarkStart w:id="288" w:name="_Toc184312085"/>
      <w:bookmarkEnd w:id="288"/>
      <w:bookmarkStart w:id="289" w:name="_Toc184313266"/>
      <w:bookmarkEnd w:id="289"/>
      <w:bookmarkStart w:id="290" w:name="_Toc184310272"/>
      <w:bookmarkEnd w:id="290"/>
      <w:bookmarkStart w:id="291" w:name="_Toc184308079"/>
      <w:bookmarkEnd w:id="291"/>
      <w:bookmarkStart w:id="292" w:name="_Toc184308084"/>
      <w:bookmarkEnd w:id="292"/>
      <w:bookmarkStart w:id="293" w:name="_Toc184312106"/>
      <w:bookmarkEnd w:id="293"/>
      <w:bookmarkStart w:id="294" w:name="_Toc184308051"/>
      <w:bookmarkEnd w:id="294"/>
      <w:bookmarkStart w:id="295" w:name="_Toc184312103"/>
      <w:bookmarkEnd w:id="295"/>
      <w:bookmarkStart w:id="296" w:name="_Toc184312119"/>
      <w:bookmarkEnd w:id="296"/>
      <w:bookmarkStart w:id="297" w:name="_Toc184313284"/>
      <w:bookmarkEnd w:id="297"/>
      <w:bookmarkStart w:id="298" w:name="_Toc184310308"/>
      <w:bookmarkEnd w:id="298"/>
      <w:bookmarkStart w:id="299" w:name="_Toc184308107"/>
      <w:bookmarkEnd w:id="299"/>
      <w:bookmarkStart w:id="300" w:name="_Toc184308050"/>
      <w:bookmarkEnd w:id="300"/>
      <w:bookmarkStart w:id="301" w:name="_Toc184313268"/>
      <w:bookmarkEnd w:id="301"/>
      <w:bookmarkStart w:id="302" w:name="_Toc184310319"/>
      <w:bookmarkEnd w:id="302"/>
      <w:bookmarkStart w:id="303" w:name="_Toc184312089"/>
      <w:bookmarkEnd w:id="303"/>
      <w:bookmarkStart w:id="304" w:name="_Toc184310323"/>
      <w:bookmarkEnd w:id="304"/>
      <w:bookmarkStart w:id="305" w:name="_Toc184310314"/>
      <w:bookmarkEnd w:id="305"/>
      <w:bookmarkStart w:id="306" w:name="_Toc184313258"/>
      <w:bookmarkEnd w:id="306"/>
      <w:bookmarkStart w:id="307" w:name="_Toc184312098"/>
      <w:bookmarkEnd w:id="307"/>
      <w:bookmarkStart w:id="308" w:name="_Toc184314419"/>
      <w:bookmarkEnd w:id="308"/>
      <w:bookmarkStart w:id="309" w:name="_Toc184308093"/>
      <w:bookmarkEnd w:id="309"/>
      <w:bookmarkStart w:id="310" w:name="_Toc184312107"/>
      <w:bookmarkEnd w:id="310"/>
      <w:bookmarkStart w:id="311" w:name="_Toc184314444"/>
      <w:bookmarkEnd w:id="311"/>
      <w:bookmarkStart w:id="312" w:name="_Toc184312133"/>
      <w:bookmarkEnd w:id="312"/>
      <w:bookmarkStart w:id="313" w:name="_Toc184314451"/>
      <w:bookmarkEnd w:id="313"/>
      <w:bookmarkStart w:id="314" w:name="_Toc184310337"/>
      <w:bookmarkEnd w:id="314"/>
      <w:bookmarkStart w:id="315" w:name="_Toc184312104"/>
      <w:bookmarkEnd w:id="315"/>
      <w:bookmarkStart w:id="316" w:name="_Toc184310328"/>
      <w:bookmarkEnd w:id="316"/>
      <w:bookmarkStart w:id="317" w:name="_Toc184314420"/>
      <w:bookmarkEnd w:id="317"/>
      <w:bookmarkStart w:id="318" w:name="_Toc184310333"/>
      <w:bookmarkEnd w:id="318"/>
      <w:bookmarkStart w:id="319" w:name="_Toc184314462"/>
      <w:bookmarkEnd w:id="319"/>
      <w:bookmarkStart w:id="320" w:name="_Toc184310285"/>
      <w:bookmarkEnd w:id="320"/>
      <w:bookmarkStart w:id="321" w:name="_Toc184313301"/>
      <w:bookmarkEnd w:id="321"/>
      <w:bookmarkStart w:id="322" w:name="_Toc184314447"/>
      <w:bookmarkEnd w:id="322"/>
      <w:bookmarkStart w:id="323" w:name="_Toc184312129"/>
      <w:bookmarkEnd w:id="323"/>
      <w:bookmarkStart w:id="324" w:name="_Toc184308053"/>
      <w:bookmarkEnd w:id="324"/>
      <w:bookmarkStart w:id="325" w:name="_Toc184314450"/>
      <w:bookmarkEnd w:id="325"/>
      <w:bookmarkStart w:id="326" w:name="_Toc184312073"/>
      <w:bookmarkEnd w:id="326"/>
      <w:bookmarkStart w:id="327" w:name="_Toc184314470"/>
      <w:bookmarkEnd w:id="327"/>
      <w:bookmarkStart w:id="328" w:name="_Toc184314429"/>
      <w:bookmarkEnd w:id="328"/>
      <w:bookmarkStart w:id="329" w:name="_Toc184313283"/>
      <w:bookmarkEnd w:id="329"/>
      <w:bookmarkStart w:id="330" w:name="_Toc184314445"/>
      <w:bookmarkEnd w:id="330"/>
      <w:bookmarkStart w:id="331" w:name="_Toc184308048"/>
      <w:bookmarkEnd w:id="331"/>
      <w:bookmarkStart w:id="332" w:name="_Toc184314423"/>
      <w:bookmarkEnd w:id="332"/>
      <w:bookmarkStart w:id="333" w:name="_Toc184310334"/>
      <w:bookmarkEnd w:id="333"/>
      <w:bookmarkStart w:id="334" w:name="_Toc184310311"/>
      <w:bookmarkEnd w:id="334"/>
      <w:bookmarkStart w:id="335" w:name="_Toc184312105"/>
      <w:bookmarkEnd w:id="335"/>
      <w:bookmarkStart w:id="336" w:name="_Toc184308104"/>
      <w:bookmarkEnd w:id="336"/>
      <w:bookmarkStart w:id="337" w:name="_Toc184312135"/>
      <w:bookmarkEnd w:id="337"/>
      <w:bookmarkStart w:id="338" w:name="_Toc184312128"/>
      <w:bookmarkEnd w:id="338"/>
      <w:bookmarkStart w:id="339" w:name="_Toc184313308"/>
      <w:bookmarkEnd w:id="339"/>
      <w:bookmarkStart w:id="340" w:name="_Toc184308073"/>
      <w:bookmarkEnd w:id="340"/>
      <w:bookmarkStart w:id="341" w:name="_Toc184314433"/>
      <w:bookmarkEnd w:id="341"/>
      <w:bookmarkStart w:id="342" w:name="_Toc184312097"/>
      <w:bookmarkEnd w:id="342"/>
      <w:bookmarkStart w:id="343" w:name="_Toc184310316"/>
      <w:bookmarkEnd w:id="343"/>
      <w:bookmarkStart w:id="344" w:name="_Toc184314480"/>
      <w:bookmarkEnd w:id="344"/>
      <w:bookmarkStart w:id="345" w:name="_Toc184314472"/>
      <w:bookmarkEnd w:id="345"/>
      <w:bookmarkStart w:id="346" w:name="_Toc184314440"/>
      <w:bookmarkEnd w:id="346"/>
      <w:bookmarkStart w:id="347" w:name="_Toc184313292"/>
      <w:bookmarkEnd w:id="347"/>
      <w:bookmarkStart w:id="348" w:name="_Toc184313255"/>
      <w:bookmarkEnd w:id="348"/>
      <w:bookmarkStart w:id="349" w:name="_Toc184313241"/>
      <w:bookmarkEnd w:id="349"/>
      <w:bookmarkStart w:id="350" w:name="_Toc184308092"/>
      <w:bookmarkEnd w:id="350"/>
      <w:bookmarkStart w:id="351" w:name="_Toc184313275"/>
      <w:bookmarkEnd w:id="351"/>
      <w:bookmarkStart w:id="352" w:name="_Toc184310318"/>
      <w:bookmarkEnd w:id="352"/>
      <w:bookmarkStart w:id="353" w:name="_Toc184313305"/>
      <w:bookmarkEnd w:id="353"/>
      <w:bookmarkStart w:id="354" w:name="_Toc184308083"/>
      <w:bookmarkEnd w:id="354"/>
      <w:bookmarkStart w:id="355" w:name="_Toc184314422"/>
      <w:bookmarkEnd w:id="355"/>
      <w:bookmarkStart w:id="356" w:name="_Toc184314457"/>
      <w:bookmarkEnd w:id="356"/>
      <w:bookmarkStart w:id="357" w:name="_Toc184312067"/>
      <w:bookmarkEnd w:id="357"/>
      <w:bookmarkStart w:id="358" w:name="_Toc184312117"/>
      <w:bookmarkEnd w:id="358"/>
      <w:bookmarkStart w:id="359" w:name="_Toc184312113"/>
      <w:bookmarkEnd w:id="359"/>
      <w:bookmarkStart w:id="360" w:name="_Toc184308037"/>
      <w:bookmarkEnd w:id="360"/>
      <w:bookmarkStart w:id="361" w:name="_Toc184314413"/>
      <w:bookmarkEnd w:id="361"/>
      <w:bookmarkStart w:id="362" w:name="_Toc184310301"/>
      <w:bookmarkEnd w:id="362"/>
      <w:bookmarkStart w:id="363" w:name="_Toc184312070"/>
      <w:bookmarkEnd w:id="363"/>
      <w:bookmarkStart w:id="364" w:name="_Toc184308066"/>
      <w:bookmarkEnd w:id="364"/>
      <w:bookmarkStart w:id="365" w:name="_Toc184314416"/>
      <w:bookmarkEnd w:id="365"/>
      <w:bookmarkStart w:id="366" w:name="_Toc184312075"/>
      <w:bookmarkEnd w:id="366"/>
      <w:bookmarkStart w:id="367" w:name="_Toc184313244"/>
      <w:bookmarkEnd w:id="367"/>
      <w:bookmarkStart w:id="368" w:name="_Toc184314453"/>
      <w:bookmarkEnd w:id="368"/>
      <w:bookmarkStart w:id="369" w:name="_Toc184314412"/>
      <w:bookmarkEnd w:id="369"/>
      <w:bookmarkStart w:id="370" w:name="_Toc184310331"/>
      <w:bookmarkEnd w:id="370"/>
      <w:bookmarkStart w:id="371" w:name="_Toc184310325"/>
      <w:bookmarkEnd w:id="371"/>
      <w:bookmarkStart w:id="372" w:name="_Toc184310304"/>
      <w:bookmarkEnd w:id="372"/>
      <w:bookmarkStart w:id="373" w:name="_Toc184314449"/>
      <w:bookmarkEnd w:id="373"/>
      <w:bookmarkStart w:id="374" w:name="_Toc184310317"/>
      <w:bookmarkEnd w:id="374"/>
      <w:bookmarkStart w:id="375" w:name="_Toc184310344"/>
      <w:bookmarkEnd w:id="375"/>
      <w:bookmarkStart w:id="376" w:name="_Toc184308100"/>
      <w:bookmarkEnd w:id="376"/>
      <w:bookmarkStart w:id="377" w:name="_Toc184308069"/>
      <w:bookmarkEnd w:id="377"/>
      <w:bookmarkStart w:id="378" w:name="_Toc184313277"/>
      <w:bookmarkEnd w:id="378"/>
      <w:bookmarkStart w:id="379" w:name="_Toc184314455"/>
      <w:bookmarkEnd w:id="379"/>
      <w:bookmarkStart w:id="380" w:name="_Toc184310291"/>
      <w:bookmarkEnd w:id="380"/>
      <w:bookmarkStart w:id="381" w:name="_Toc184314464"/>
      <w:bookmarkEnd w:id="381"/>
      <w:bookmarkStart w:id="382" w:name="_Toc184312126"/>
      <w:bookmarkEnd w:id="382"/>
      <w:bookmarkStart w:id="383" w:name="_Toc184308049"/>
      <w:bookmarkEnd w:id="383"/>
      <w:bookmarkStart w:id="384" w:name="_Toc184308106"/>
      <w:bookmarkEnd w:id="384"/>
      <w:bookmarkStart w:id="385" w:name="_Toc184313302"/>
      <w:bookmarkEnd w:id="385"/>
      <w:bookmarkStart w:id="386" w:name="_Toc184308067"/>
      <w:bookmarkEnd w:id="386"/>
      <w:bookmarkStart w:id="387" w:name="_Toc184313243"/>
      <w:bookmarkEnd w:id="387"/>
      <w:bookmarkStart w:id="388" w:name="_Toc184314443"/>
      <w:bookmarkEnd w:id="388"/>
      <w:bookmarkStart w:id="389" w:name="_Toc184314432"/>
      <w:bookmarkEnd w:id="389"/>
      <w:bookmarkStart w:id="390" w:name="_Toc184308095"/>
      <w:bookmarkEnd w:id="390"/>
      <w:bookmarkStart w:id="391" w:name="_Toc184314415"/>
      <w:bookmarkEnd w:id="391"/>
      <w:bookmarkStart w:id="392" w:name="_Toc184310342"/>
      <w:bookmarkEnd w:id="392"/>
      <w:bookmarkStart w:id="393" w:name="_Toc184308103"/>
      <w:bookmarkEnd w:id="393"/>
      <w:bookmarkStart w:id="394" w:name="_Toc184313264"/>
      <w:bookmarkEnd w:id="394"/>
      <w:bookmarkStart w:id="395" w:name="_Toc184312078"/>
      <w:bookmarkEnd w:id="395"/>
      <w:bookmarkStart w:id="396" w:name="_Toc184312136"/>
      <w:bookmarkEnd w:id="396"/>
      <w:bookmarkStart w:id="397" w:name="_Toc184314430"/>
      <w:bookmarkEnd w:id="397"/>
      <w:r>
        <w:rPr>
          <w:rFonts w:hint="eastAsia" w:ascii="宋体" w:hAnsi="宋体" w:cs="宋体"/>
          <w:b/>
          <w:color w:val="auto"/>
          <w:sz w:val="36"/>
          <w:szCs w:val="20"/>
        </w:rPr>
        <w:t xml:space="preserve"> 评审办法</w:t>
      </w:r>
    </w:p>
    <w:p w14:paraId="7BC9C9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0"/>
          <w:szCs w:val="20"/>
          <w:shd w:val="clear" w:color="auto" w:fill="FFFFFF"/>
        </w:rPr>
      </w:pPr>
      <w:r>
        <w:rPr>
          <w:rFonts w:hint="eastAsia" w:ascii="宋体" w:hAnsi="宋体" w:cs="宋体"/>
          <w:b/>
          <w:color w:val="auto"/>
          <w:sz w:val="32"/>
          <w:szCs w:val="20"/>
        </w:rPr>
        <w:t>评审办法前附表</w:t>
      </w:r>
    </w:p>
    <w:tbl>
      <w:tblPr>
        <w:tblStyle w:val="63"/>
        <w:tblpPr w:leftFromText="180" w:rightFromText="180" w:vertAnchor="text" w:horzAnchor="page" w:tblpX="663" w:tblpY="1292"/>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38"/>
        <w:gridCol w:w="715"/>
        <w:gridCol w:w="1135"/>
        <w:gridCol w:w="5863"/>
      </w:tblGrid>
      <w:tr w14:paraId="0DB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1183A145">
            <w:pPr>
              <w:snapToGrid w:val="0"/>
              <w:spacing w:line="360" w:lineRule="auto"/>
              <w:jc w:val="center"/>
              <w:rPr>
                <w:rFonts w:hint="eastAsia" w:ascii="宋体" w:hAnsi="宋体" w:eastAsia="宋体" w:cs="宋体"/>
                <w:b/>
                <w:bCs/>
                <w:color w:val="auto"/>
                <w:sz w:val="21"/>
                <w:szCs w:val="21"/>
                <w:shd w:val="clear" w:color="auto" w:fill="FFFFFF"/>
                <w:vertAlign w:val="baseline"/>
                <w:lang w:val="en-US" w:eastAsia="zh-CN"/>
              </w:rPr>
            </w:pPr>
            <w:r>
              <w:rPr>
                <w:rFonts w:hint="eastAsia" w:ascii="宋体" w:hAnsi="宋体" w:eastAsia="宋体" w:cs="宋体"/>
                <w:b/>
                <w:bCs/>
                <w:color w:val="auto"/>
                <w:sz w:val="21"/>
                <w:szCs w:val="21"/>
                <w:shd w:val="clear" w:color="auto" w:fill="FFFFFF"/>
                <w:vertAlign w:val="baseline"/>
                <w:lang w:val="en-US" w:eastAsia="zh-CN"/>
              </w:rPr>
              <w:t>序号</w:t>
            </w:r>
          </w:p>
        </w:tc>
        <w:tc>
          <w:tcPr>
            <w:tcW w:w="1938" w:type="dxa"/>
            <w:vAlign w:val="center"/>
          </w:tcPr>
          <w:p w14:paraId="1DEF565B">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评分项目</w:t>
            </w:r>
          </w:p>
        </w:tc>
        <w:tc>
          <w:tcPr>
            <w:tcW w:w="715" w:type="dxa"/>
            <w:vAlign w:val="center"/>
          </w:tcPr>
          <w:p w14:paraId="08BE1190">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w:t>
            </w:r>
          </w:p>
        </w:tc>
        <w:tc>
          <w:tcPr>
            <w:tcW w:w="1135" w:type="dxa"/>
            <w:vAlign w:val="center"/>
          </w:tcPr>
          <w:p w14:paraId="5414F41A">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分值类型</w:t>
            </w:r>
          </w:p>
        </w:tc>
        <w:tc>
          <w:tcPr>
            <w:tcW w:w="5863" w:type="dxa"/>
            <w:vAlign w:val="center"/>
          </w:tcPr>
          <w:p w14:paraId="59A2681D">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评分内容</w:t>
            </w:r>
          </w:p>
        </w:tc>
      </w:tr>
      <w:tr w14:paraId="6F8A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26" w:type="dxa"/>
            <w:vAlign w:val="center"/>
          </w:tcPr>
          <w:p w14:paraId="0B66987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p>
        </w:tc>
        <w:tc>
          <w:tcPr>
            <w:tcW w:w="1938" w:type="dxa"/>
            <w:vAlign w:val="center"/>
          </w:tcPr>
          <w:p w14:paraId="2F62E5BD">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投标人业绩</w:t>
            </w:r>
          </w:p>
        </w:tc>
        <w:tc>
          <w:tcPr>
            <w:tcW w:w="715" w:type="dxa"/>
            <w:vAlign w:val="center"/>
          </w:tcPr>
          <w:p w14:paraId="6B7466EC">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135" w:type="dxa"/>
            <w:vAlign w:val="center"/>
          </w:tcPr>
          <w:p w14:paraId="29BE098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863" w:type="dxa"/>
            <w:vAlign w:val="center"/>
          </w:tcPr>
          <w:p w14:paraId="5431F7C5">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自20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年1月1日至投标截止日止（时间以工程竣工日期或竣工验收日期为准），投标人</w:t>
            </w:r>
            <w:r>
              <w:rPr>
                <w:rFonts w:hint="eastAsia" w:ascii="宋体" w:hAnsi="宋体" w:eastAsia="宋体" w:cs="宋体"/>
                <w:bCs/>
                <w:color w:val="auto"/>
                <w:sz w:val="21"/>
                <w:szCs w:val="21"/>
              </w:rPr>
              <w:t>完成过</w:t>
            </w:r>
            <w:r>
              <w:rPr>
                <w:rFonts w:hint="eastAsia" w:ascii="宋体" w:hAnsi="宋体" w:eastAsia="宋体" w:cs="宋体"/>
                <w:bCs/>
                <w:color w:val="auto"/>
                <w:sz w:val="21"/>
                <w:szCs w:val="21"/>
                <w:lang w:val="en-US" w:eastAsia="zh-CN"/>
              </w:rPr>
              <w:t>类似</w:t>
            </w:r>
            <w:r>
              <w:rPr>
                <w:rFonts w:hint="eastAsia" w:ascii="宋体" w:hAnsi="宋体" w:eastAsia="宋体" w:cs="宋体"/>
                <w:bCs/>
                <w:color w:val="auto"/>
                <w:sz w:val="21"/>
                <w:szCs w:val="21"/>
              </w:rPr>
              <w:t>项目</w:t>
            </w:r>
            <w:r>
              <w:rPr>
                <w:rFonts w:hint="eastAsia" w:ascii="宋体" w:hAnsi="宋体" w:eastAsia="宋体" w:cs="宋体"/>
                <w:color w:val="auto"/>
                <w:sz w:val="21"/>
                <w:szCs w:val="21"/>
              </w:rPr>
              <w:t>。每具有1个业绩得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p>
          <w:p w14:paraId="7B4CEFE6">
            <w:pPr>
              <w:pStyle w:val="32"/>
              <w:adjustRightInd w:val="0"/>
              <w:snapToGrid w:val="0"/>
              <w:spacing w:before="0" w:beforeLines="0" w:after="0" w:afterLines="0" w:line="240" w:lineRule="auto"/>
              <w:ind w:left="420" w:hanging="420" w:hanging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评分依据为：</w:t>
            </w:r>
          </w:p>
          <w:p w14:paraId="28231C71">
            <w:pPr>
              <w:pStyle w:val="32"/>
              <w:adjustRightInd w:val="0"/>
              <w:snapToGrid w:val="0"/>
              <w:spacing w:before="0" w:beforeLines="0" w:after="0" w:afterLines="0" w:line="240" w:lineRule="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47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26" w:type="dxa"/>
            <w:vAlign w:val="center"/>
          </w:tcPr>
          <w:p w14:paraId="303C4224">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2</w:t>
            </w:r>
          </w:p>
        </w:tc>
        <w:tc>
          <w:tcPr>
            <w:tcW w:w="1938" w:type="dxa"/>
            <w:vAlign w:val="center"/>
          </w:tcPr>
          <w:p w14:paraId="5E0562D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zh-CN"/>
              </w:rPr>
              <w:t>政府采购政策</w:t>
            </w:r>
          </w:p>
        </w:tc>
        <w:tc>
          <w:tcPr>
            <w:tcW w:w="715" w:type="dxa"/>
            <w:vAlign w:val="center"/>
          </w:tcPr>
          <w:p w14:paraId="1C5A92D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135" w:type="dxa"/>
            <w:vAlign w:val="center"/>
          </w:tcPr>
          <w:p w14:paraId="1622D6E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863" w:type="dxa"/>
            <w:vAlign w:val="center"/>
          </w:tcPr>
          <w:p w14:paraId="70CB63D1">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是国家认定的少数民族地区企业的得1分。（如有，投标文件附相关证明资料复印件加盖公章）。</w:t>
            </w:r>
          </w:p>
        </w:tc>
      </w:tr>
      <w:tr w14:paraId="3B4F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vAlign w:val="center"/>
          </w:tcPr>
          <w:p w14:paraId="30C6BDC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3</w:t>
            </w:r>
          </w:p>
        </w:tc>
        <w:tc>
          <w:tcPr>
            <w:tcW w:w="1938" w:type="dxa"/>
            <w:vAlign w:val="center"/>
          </w:tcPr>
          <w:p w14:paraId="15E216EA">
            <w:pPr>
              <w:pStyle w:val="32"/>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管理协调办法</w:t>
            </w:r>
          </w:p>
        </w:tc>
        <w:tc>
          <w:tcPr>
            <w:tcW w:w="715" w:type="dxa"/>
            <w:vAlign w:val="center"/>
          </w:tcPr>
          <w:p w14:paraId="185834DA">
            <w:pPr>
              <w:pStyle w:val="32"/>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3</w:t>
            </w:r>
          </w:p>
        </w:tc>
        <w:tc>
          <w:tcPr>
            <w:tcW w:w="1135" w:type="dxa"/>
            <w:vAlign w:val="center"/>
          </w:tcPr>
          <w:p w14:paraId="3E31D230">
            <w:pPr>
              <w:spacing w:line="320" w:lineRule="exact"/>
              <w:jc w:val="center"/>
              <w:rPr>
                <w:rFonts w:hint="default" w:ascii="宋体" w:hAnsi="宋体" w:eastAsia="宋体" w:cs="宋体"/>
                <w:snapToGrid w:val="0"/>
                <w:color w:val="auto"/>
                <w:kern w:val="2"/>
                <w:sz w:val="21"/>
                <w:szCs w:val="21"/>
                <w:highlight w:val="none"/>
                <w:lang w:val="en-US" w:eastAsia="zh-CN" w:bidi="ar-SA"/>
              </w:rPr>
            </w:pPr>
            <w:r>
              <w:rPr>
                <w:rFonts w:hint="eastAsia" w:ascii="宋体" w:hAnsi="宋体" w:cs="宋体"/>
                <w:snapToGrid w:val="0"/>
                <w:color w:val="auto"/>
                <w:kern w:val="2"/>
                <w:sz w:val="21"/>
                <w:szCs w:val="21"/>
                <w:highlight w:val="none"/>
                <w:lang w:val="en-US" w:eastAsia="zh-CN" w:bidi="ar-SA"/>
              </w:rPr>
              <w:t>主观</w:t>
            </w:r>
          </w:p>
        </w:tc>
        <w:tc>
          <w:tcPr>
            <w:tcW w:w="5863" w:type="dxa"/>
            <w:vAlign w:val="center"/>
          </w:tcPr>
          <w:p w14:paraId="217C5FE7">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委根据投标人提供的项目实施过程中的管理协调办法(包含但不仅限于项目管理内部协调、与建设单位的配合、与外部有关单位的协调与配合等)进行综合性评议</w:t>
            </w:r>
            <w:r>
              <w:rPr>
                <w:rFonts w:hint="eastAsia" w:ascii="宋体" w:hAnsi="宋体" w:cs="宋体"/>
                <w:snapToGrid w:val="0"/>
                <w:color w:val="auto"/>
                <w:kern w:val="2"/>
                <w:sz w:val="21"/>
                <w:szCs w:val="21"/>
                <w:lang w:val="en-US" w:eastAsia="zh-CN" w:bidi="ar-SA"/>
              </w:rPr>
              <w:t>：</w:t>
            </w:r>
          </w:p>
          <w:p w14:paraId="7AADD32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管理协调办法内容齐全、合理、可行的得</w:t>
            </w:r>
            <w:r>
              <w:rPr>
                <w:rFonts w:hint="eastAsia" w:ascii="宋体" w:hAnsi="宋体" w:cs="宋体"/>
                <w:snapToGrid w:val="0"/>
                <w:color w:val="auto"/>
                <w:kern w:val="2"/>
                <w:sz w:val="21"/>
                <w:szCs w:val="21"/>
                <w:lang w:val="en-US" w:eastAsia="zh-CN" w:bidi="ar-SA"/>
              </w:rPr>
              <w:t>3</w:t>
            </w:r>
            <w:r>
              <w:rPr>
                <w:rFonts w:hint="eastAsia" w:ascii="宋体" w:hAnsi="宋体" w:eastAsia="宋体" w:cs="宋体"/>
                <w:snapToGrid w:val="0"/>
                <w:color w:val="auto"/>
                <w:kern w:val="2"/>
                <w:sz w:val="21"/>
                <w:szCs w:val="21"/>
                <w:lang w:val="en-US" w:eastAsia="zh-CN" w:bidi="ar-SA"/>
              </w:rPr>
              <w:t>分</w:t>
            </w:r>
            <w:r>
              <w:rPr>
                <w:rFonts w:hint="eastAsia" w:ascii="宋体" w:hAnsi="宋体" w:cs="宋体"/>
                <w:snapToGrid w:val="0"/>
                <w:color w:val="auto"/>
                <w:kern w:val="2"/>
                <w:sz w:val="21"/>
                <w:szCs w:val="21"/>
                <w:lang w:val="en-US" w:eastAsia="zh-CN" w:bidi="ar-SA"/>
              </w:rPr>
              <w:t>；</w:t>
            </w:r>
            <w:r>
              <w:rPr>
                <w:rFonts w:hint="eastAsia" w:ascii="宋体" w:hAnsi="宋体" w:eastAsia="宋体" w:cs="宋体"/>
                <w:snapToGrid w:val="0"/>
                <w:color w:val="auto"/>
                <w:kern w:val="2"/>
                <w:sz w:val="21"/>
                <w:szCs w:val="21"/>
                <w:lang w:val="en-US" w:eastAsia="zh-CN" w:bidi="ar-SA"/>
              </w:rPr>
              <w:tab/>
            </w:r>
          </w:p>
          <w:p w14:paraId="15820496">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管理协调办法内容</w:t>
            </w:r>
            <w:r>
              <w:rPr>
                <w:rFonts w:hint="eastAsia" w:ascii="宋体" w:hAnsi="宋体" w:cs="宋体"/>
                <w:snapToGrid w:val="0"/>
                <w:color w:val="auto"/>
                <w:kern w:val="2"/>
                <w:sz w:val="21"/>
                <w:szCs w:val="21"/>
                <w:lang w:val="en-US" w:eastAsia="zh-CN" w:bidi="ar-SA"/>
              </w:rPr>
              <w:t>笼统</w:t>
            </w:r>
            <w:r>
              <w:rPr>
                <w:rFonts w:hint="eastAsia" w:ascii="宋体" w:hAnsi="宋体" w:eastAsia="宋体" w:cs="宋体"/>
                <w:snapToGrid w:val="0"/>
                <w:color w:val="auto"/>
                <w:kern w:val="2"/>
                <w:sz w:val="21"/>
                <w:szCs w:val="21"/>
                <w:lang w:val="en-US" w:eastAsia="zh-CN" w:bidi="ar-SA"/>
              </w:rPr>
              <w:t>、较合理、较可行的得</w:t>
            </w:r>
            <w:r>
              <w:rPr>
                <w:rFonts w:hint="eastAsia" w:ascii="宋体" w:hAnsi="宋体" w:cs="宋体"/>
                <w:snapToGrid w:val="0"/>
                <w:color w:val="auto"/>
                <w:kern w:val="2"/>
                <w:sz w:val="21"/>
                <w:szCs w:val="21"/>
                <w:lang w:val="en-US" w:eastAsia="zh-CN" w:bidi="ar-SA"/>
              </w:rPr>
              <w:t>2</w:t>
            </w:r>
            <w:r>
              <w:rPr>
                <w:rFonts w:hint="eastAsia" w:ascii="宋体" w:hAnsi="宋体" w:eastAsia="宋体" w:cs="宋体"/>
                <w:snapToGrid w:val="0"/>
                <w:color w:val="auto"/>
                <w:kern w:val="2"/>
                <w:sz w:val="21"/>
                <w:szCs w:val="21"/>
                <w:lang w:val="en-US" w:eastAsia="zh-CN" w:bidi="ar-SA"/>
              </w:rPr>
              <w:t>分</w:t>
            </w:r>
            <w:r>
              <w:rPr>
                <w:rFonts w:hint="eastAsia" w:ascii="宋体" w:hAnsi="宋体" w:cs="宋体"/>
                <w:snapToGrid w:val="0"/>
                <w:color w:val="auto"/>
                <w:kern w:val="2"/>
                <w:sz w:val="21"/>
                <w:szCs w:val="21"/>
                <w:lang w:val="en-US" w:eastAsia="zh-CN" w:bidi="ar-SA"/>
              </w:rPr>
              <w:t>；</w:t>
            </w:r>
            <w:r>
              <w:rPr>
                <w:rFonts w:hint="eastAsia" w:ascii="宋体" w:hAnsi="宋体" w:eastAsia="宋体" w:cs="宋体"/>
                <w:snapToGrid w:val="0"/>
                <w:color w:val="auto"/>
                <w:kern w:val="2"/>
                <w:sz w:val="21"/>
                <w:szCs w:val="21"/>
                <w:lang w:val="en-US" w:eastAsia="zh-CN" w:bidi="ar-SA"/>
              </w:rPr>
              <w:tab/>
            </w:r>
          </w:p>
          <w:p w14:paraId="29C1EBA0">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snapToGrid w:val="0"/>
                <w:color w:val="auto"/>
                <w:kern w:val="2"/>
                <w:sz w:val="21"/>
                <w:szCs w:val="21"/>
                <w:lang w:val="en-US" w:eastAsia="zh-CN" w:bidi="ar-SA"/>
              </w:rPr>
              <w:t>管理协调办法内容不齐全、不合理、不可行的得1分</w:t>
            </w:r>
            <w:r>
              <w:rPr>
                <w:rFonts w:hint="eastAsia" w:ascii="宋体" w:hAnsi="宋体" w:cs="宋体"/>
                <w:snapToGrid w:val="0"/>
                <w:color w:val="auto"/>
                <w:kern w:val="2"/>
                <w:sz w:val="21"/>
                <w:szCs w:val="21"/>
                <w:lang w:val="en-US" w:eastAsia="zh-CN" w:bidi="ar-SA"/>
              </w:rPr>
              <w:t>；未提供的，得0分。</w:t>
            </w:r>
          </w:p>
        </w:tc>
      </w:tr>
      <w:tr w14:paraId="0710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26" w:type="dxa"/>
            <w:vAlign w:val="center"/>
          </w:tcPr>
          <w:p w14:paraId="43038F17">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4</w:t>
            </w:r>
          </w:p>
        </w:tc>
        <w:tc>
          <w:tcPr>
            <w:tcW w:w="1938" w:type="dxa"/>
            <w:vAlign w:val="center"/>
          </w:tcPr>
          <w:p w14:paraId="163C654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施工机械设备的选用和布置</w:t>
            </w:r>
          </w:p>
        </w:tc>
        <w:tc>
          <w:tcPr>
            <w:tcW w:w="715" w:type="dxa"/>
            <w:vAlign w:val="center"/>
          </w:tcPr>
          <w:p w14:paraId="3404D24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5" w:type="dxa"/>
            <w:vAlign w:val="center"/>
          </w:tcPr>
          <w:p w14:paraId="1969E9DE">
            <w:pPr>
              <w:pStyle w:val="32"/>
              <w:adjustRightInd w:val="0"/>
              <w:snapToGrid w:val="0"/>
              <w:spacing w:before="0" w:beforeLines="0" w:after="0" w:afterLines="0" w:line="240" w:lineRule="auto"/>
              <w:jc w:val="center"/>
              <w:rPr>
                <w:rFonts w:hint="default" w:ascii="宋体" w:hAnsi="宋体" w:eastAsia="宋体" w:cs="宋体"/>
                <w:snapToGrid w:val="0"/>
                <w:color w:val="auto"/>
                <w:kern w:val="2"/>
                <w:sz w:val="21"/>
                <w:szCs w:val="21"/>
                <w:highlight w:val="none"/>
                <w:lang w:val="en-US" w:eastAsia="zh-CN" w:bidi="ar-SA"/>
              </w:rPr>
            </w:pPr>
            <w:r>
              <w:rPr>
                <w:rFonts w:hint="eastAsia" w:hAnsi="宋体" w:cs="宋体"/>
                <w:snapToGrid w:val="0"/>
                <w:color w:val="auto"/>
                <w:kern w:val="2"/>
                <w:sz w:val="21"/>
                <w:szCs w:val="21"/>
                <w:highlight w:val="none"/>
                <w:lang w:val="en-US" w:eastAsia="zh-CN" w:bidi="ar-SA"/>
              </w:rPr>
              <w:t>主观</w:t>
            </w:r>
          </w:p>
        </w:tc>
        <w:tc>
          <w:tcPr>
            <w:tcW w:w="5863" w:type="dxa"/>
            <w:vAlign w:val="center"/>
          </w:tcPr>
          <w:p w14:paraId="7B7E37D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根据投标人针对本项目施工机械设备的选用和布置进行评议：</w:t>
            </w:r>
          </w:p>
          <w:p w14:paraId="3855402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施工机械设备种类齐全、规格型号较新、能保证项目顺利实施的得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14:paraId="3CC8B94F">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施工机械设备种类较齐全、设备略为陈旧，但能保证项目顺利实施的得</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w:t>
            </w:r>
          </w:p>
          <w:p w14:paraId="4399D13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施工机械设备不全、或陈旧落后难以保证项目顺利实施的得1分。</w:t>
            </w:r>
          </w:p>
          <w:p w14:paraId="2ED1AF9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提供施工机械设备清单。未提供清单的不得分。</w:t>
            </w:r>
          </w:p>
        </w:tc>
      </w:tr>
      <w:tr w14:paraId="0D13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526" w:type="dxa"/>
            <w:vAlign w:val="center"/>
          </w:tcPr>
          <w:p w14:paraId="162D573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5</w:t>
            </w:r>
          </w:p>
        </w:tc>
        <w:tc>
          <w:tcPr>
            <w:tcW w:w="1938" w:type="dxa"/>
            <w:vAlign w:val="center"/>
          </w:tcPr>
          <w:p w14:paraId="2517D94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vAlign w:val="center"/>
          </w:tcPr>
          <w:p w14:paraId="4014A39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19DC8C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91DBF8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cs="宋体"/>
                <w:color w:val="auto"/>
                <w:sz w:val="21"/>
                <w:szCs w:val="21"/>
                <w:highlight w:val="none"/>
                <w:lang w:eastAsia="zh-CN"/>
              </w:rPr>
              <w:t>：</w:t>
            </w:r>
          </w:p>
          <w:p w14:paraId="1E943C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57A7E6C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A015D9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06F9D9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26934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766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4389091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6</w:t>
            </w:r>
          </w:p>
        </w:tc>
        <w:tc>
          <w:tcPr>
            <w:tcW w:w="1938" w:type="dxa"/>
            <w:vAlign w:val="center"/>
          </w:tcPr>
          <w:p w14:paraId="2A32C47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0FA084A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8614FB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B8E73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cs="宋体"/>
                <w:color w:val="auto"/>
                <w:sz w:val="21"/>
                <w:szCs w:val="21"/>
                <w:highlight w:val="none"/>
                <w:lang w:eastAsia="zh-CN"/>
              </w:rPr>
              <w:t>：</w:t>
            </w:r>
          </w:p>
          <w:p w14:paraId="4F2E14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62C205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C1B3E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0D973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237DBC07">
            <w:pPr>
              <w:spacing w:line="240" w:lineRule="auto"/>
              <w:rPr>
                <w:rFonts w:hint="eastAsia" w:ascii="宋体" w:hAnsi="宋体" w:eastAsia="宋体" w:cs="宋体"/>
                <w:color w:val="auto"/>
                <w:sz w:val="21"/>
                <w:szCs w:val="21"/>
                <w:highlight w:val="none"/>
                <w:lang w:val="en-US" w:eastAsia="zh-CN"/>
              </w:rPr>
            </w:pP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0D5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62D935D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7</w:t>
            </w:r>
          </w:p>
        </w:tc>
        <w:tc>
          <w:tcPr>
            <w:tcW w:w="1938" w:type="dxa"/>
            <w:vAlign w:val="center"/>
          </w:tcPr>
          <w:p w14:paraId="1418D03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227071F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90E521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66071BB1">
            <w:pPr>
              <w:pStyle w:val="23"/>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r>
              <w:rPr>
                <w:rFonts w:hint="eastAsia" w:hAnsi="宋体" w:cs="宋体"/>
                <w:color w:val="auto"/>
                <w:kern w:val="2"/>
                <w:sz w:val="21"/>
                <w:szCs w:val="21"/>
                <w:highlight w:val="none"/>
                <w:lang w:val="en-US" w:eastAsia="zh-CN" w:bidi="ar-SA"/>
              </w:rPr>
              <w:t>：</w:t>
            </w:r>
          </w:p>
          <w:p w14:paraId="6CD47AE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详细</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合理性</w:t>
            </w:r>
            <w:r>
              <w:rPr>
                <w:rFonts w:hint="default" w:ascii="Arial" w:hAnsi="Arial" w:eastAsia="宋体" w:cs="Arial"/>
                <w:color w:val="auto"/>
                <w:sz w:val="21"/>
                <w:szCs w:val="21"/>
                <w:highlight w:val="none"/>
              </w:rPr>
              <w:t>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1249E7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较为全面完整合理的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0EEB0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2292766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102E900">
            <w:pPr>
              <w:pStyle w:val="60"/>
              <w:ind w:left="0" w:leftChars="0" w:firstLine="0" w:firstLineChars="0"/>
              <w:rPr>
                <w:rFonts w:hint="eastAsia"/>
                <w:color w:val="auto"/>
                <w:highlight w:val="none"/>
                <w:lang w:val="zh-CN" w:eastAsia="zh-CN"/>
              </w:rPr>
            </w:pP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612F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630D307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8</w:t>
            </w:r>
          </w:p>
        </w:tc>
        <w:tc>
          <w:tcPr>
            <w:tcW w:w="1938" w:type="dxa"/>
            <w:vAlign w:val="center"/>
          </w:tcPr>
          <w:p w14:paraId="4FA0DDA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688B6D6D">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A1D761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262E62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487D6D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拟定的施工现场平面布置情况优秀</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2D10F1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eastAsia" w:ascii="Arial" w:hAnsi="Arial" w:eastAsia="宋体" w:cs="Arial"/>
                <w:color w:val="auto"/>
                <w:sz w:val="21"/>
                <w:szCs w:val="21"/>
                <w:highlight w:val="none"/>
                <w:lang w:val="en-US" w:eastAsia="zh-CN"/>
              </w:rPr>
              <w:t>拟定的施工现场平面布置情况良好，</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B6F5A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拟定的施工现场平面布置情况一般</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034F45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拟定的施工现场平面布置情况较弱</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EBF5B74">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拟定的施工现场平面布置情况简单</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4BD3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29A6A1A9">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9</w:t>
            </w:r>
          </w:p>
        </w:tc>
        <w:tc>
          <w:tcPr>
            <w:tcW w:w="1938" w:type="dxa"/>
            <w:vAlign w:val="center"/>
          </w:tcPr>
          <w:p w14:paraId="6BC654AC">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工程质量保证措施</w:t>
            </w:r>
          </w:p>
        </w:tc>
        <w:tc>
          <w:tcPr>
            <w:tcW w:w="715" w:type="dxa"/>
            <w:vAlign w:val="center"/>
          </w:tcPr>
          <w:p w14:paraId="25F4F97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3E3453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062BB0B7">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根据投标人针对本项目拟定的</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检验手段进行综合评议</w:t>
            </w:r>
            <w:r>
              <w:rPr>
                <w:rFonts w:hint="eastAsia" w:ascii="宋体" w:hAnsi="宋体" w:eastAsia="宋体" w:cs="宋体"/>
                <w:color w:val="auto"/>
                <w:sz w:val="21"/>
                <w:szCs w:val="21"/>
                <w:lang w:eastAsia="zh-CN"/>
              </w:rPr>
              <w:t>。</w:t>
            </w:r>
          </w:p>
          <w:p w14:paraId="33AB60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683947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D5B1D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4EDC585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拟定工程质量保证措施、检验手段</w:t>
            </w:r>
            <w:r>
              <w:rPr>
                <w:rFonts w:hint="default" w:ascii="Arial" w:hAnsi="Arial" w:eastAsia="宋体" w:cs="Arial"/>
                <w:color w:val="auto"/>
                <w:sz w:val="21"/>
                <w:szCs w:val="21"/>
                <w:highlight w:val="none"/>
              </w:rPr>
              <w:t>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82BEEAC">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宋体" w:hAnsi="宋体" w:eastAsia="宋体" w:cs="宋体"/>
                <w:color w:val="auto"/>
                <w:sz w:val="21"/>
                <w:szCs w:val="21"/>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C2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5FAE09A5">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10</w:t>
            </w:r>
          </w:p>
        </w:tc>
        <w:tc>
          <w:tcPr>
            <w:tcW w:w="1938" w:type="dxa"/>
            <w:vAlign w:val="center"/>
          </w:tcPr>
          <w:p w14:paraId="74D61AB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施工进度计划及保证措施</w:t>
            </w:r>
          </w:p>
        </w:tc>
        <w:tc>
          <w:tcPr>
            <w:tcW w:w="715" w:type="dxa"/>
            <w:vAlign w:val="center"/>
          </w:tcPr>
          <w:p w14:paraId="79962EE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23893C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E56929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根据投标人针对本项目拟定的施工进度计划及保证措施进行综合评议。</w:t>
            </w:r>
          </w:p>
          <w:p w14:paraId="6DE7EB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0783C5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16A1E3E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60E1E1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较弱的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91E762F">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1F4E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0AD7D551">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11</w:t>
            </w:r>
          </w:p>
        </w:tc>
        <w:tc>
          <w:tcPr>
            <w:tcW w:w="1938" w:type="dxa"/>
            <w:vAlign w:val="center"/>
          </w:tcPr>
          <w:p w14:paraId="11A4F6D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安全生产、文明施工</w:t>
            </w:r>
          </w:p>
        </w:tc>
        <w:tc>
          <w:tcPr>
            <w:tcW w:w="715" w:type="dxa"/>
            <w:vAlign w:val="center"/>
          </w:tcPr>
          <w:p w14:paraId="2ADDB1E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C322CC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4200F597">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根据投标人针对本项目拟定的</w:t>
            </w:r>
            <w:r>
              <w:rPr>
                <w:rFonts w:hint="eastAsia" w:ascii="宋体" w:hAnsi="宋体" w:eastAsia="宋体" w:cs="宋体"/>
                <w:bCs/>
                <w:color w:val="auto"/>
                <w:sz w:val="21"/>
                <w:szCs w:val="21"/>
                <w:lang w:val="zh-CN"/>
              </w:rPr>
              <w:t>安全生产、文明施工</w:t>
            </w:r>
            <w:r>
              <w:rPr>
                <w:rFonts w:hint="eastAsia" w:ascii="宋体" w:hAnsi="宋体" w:eastAsia="宋体" w:cs="宋体"/>
                <w:color w:val="auto"/>
                <w:sz w:val="21"/>
                <w:szCs w:val="21"/>
              </w:rPr>
              <w:t>进行综合评议</w:t>
            </w:r>
            <w:r>
              <w:rPr>
                <w:rFonts w:hint="eastAsia" w:ascii="宋体" w:hAnsi="宋体" w:eastAsia="宋体" w:cs="宋体"/>
                <w:color w:val="auto"/>
                <w:sz w:val="21"/>
                <w:szCs w:val="21"/>
                <w:lang w:eastAsia="zh-CN"/>
              </w:rPr>
              <w:t>。</w:t>
            </w:r>
          </w:p>
          <w:p w14:paraId="1CBCC63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D8BDB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6B906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3819B1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default" w:ascii="Arial" w:hAnsi="Arial" w:eastAsia="宋体" w:cs="Arial"/>
                <w:color w:val="auto"/>
                <w:sz w:val="21"/>
                <w:szCs w:val="21"/>
                <w:highlight w:val="none"/>
              </w:rPr>
              <w:t>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FC7EB38">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宋体" w:hAnsi="宋体" w:eastAsia="宋体" w:cs="宋体"/>
                <w:color w:val="auto"/>
                <w:sz w:val="21"/>
                <w:szCs w:val="21"/>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r>
              <w:rPr>
                <w:rFonts w:hint="eastAsia" w:ascii="Arial" w:hAnsi="Arial" w:cs="Arial"/>
                <w:color w:val="auto"/>
                <w:sz w:val="21"/>
                <w:szCs w:val="21"/>
                <w:highlight w:val="none"/>
                <w:lang w:val="en-US" w:eastAsia="zh-CN"/>
              </w:rPr>
              <w:t>。</w:t>
            </w:r>
          </w:p>
        </w:tc>
      </w:tr>
      <w:tr w14:paraId="4E3D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6" w:type="dxa"/>
            <w:vAlign w:val="center"/>
          </w:tcPr>
          <w:p w14:paraId="7A4CA255">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12</w:t>
            </w:r>
          </w:p>
        </w:tc>
        <w:tc>
          <w:tcPr>
            <w:tcW w:w="1938" w:type="dxa"/>
            <w:vAlign w:val="center"/>
          </w:tcPr>
          <w:p w14:paraId="2F36926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施工关键点、重难点分析</w:t>
            </w:r>
          </w:p>
        </w:tc>
        <w:tc>
          <w:tcPr>
            <w:tcW w:w="715" w:type="dxa"/>
            <w:vAlign w:val="center"/>
          </w:tcPr>
          <w:p w14:paraId="311723B3">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6281F87">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3348C0BA">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根据投标人针对本项目拟定的施工关键点、重难点分析进行综合评议。</w:t>
            </w:r>
          </w:p>
          <w:p w14:paraId="7837AC3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34BE7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2F10EE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745CE0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E7864E2">
            <w:pPr>
              <w:spacing w:line="240" w:lineRule="auto"/>
              <w:rPr>
                <w:rFonts w:hint="eastAsia" w:ascii="宋体" w:hAnsi="宋体" w:eastAsia="宋体" w:cs="宋体"/>
                <w:color w:val="auto"/>
                <w:sz w:val="21"/>
                <w:szCs w:val="21"/>
                <w:lang w:val="en-US" w:eastAsia="zh-CN"/>
              </w:rPr>
            </w:pP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58C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2CD890B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13</w:t>
            </w:r>
          </w:p>
        </w:tc>
        <w:tc>
          <w:tcPr>
            <w:tcW w:w="1938" w:type="dxa"/>
            <w:vAlign w:val="center"/>
          </w:tcPr>
          <w:p w14:paraId="6ABCFF1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6B5BDB2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57DA6C4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4EA67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23452C9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4A34EF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09AB336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540738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较弱的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925E7A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2BA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4E5178C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14</w:t>
            </w:r>
          </w:p>
        </w:tc>
        <w:tc>
          <w:tcPr>
            <w:tcW w:w="1938" w:type="dxa"/>
            <w:vAlign w:val="center"/>
          </w:tcPr>
          <w:p w14:paraId="0B19D7A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30799A5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503FA95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D90FAA4">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0B0497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72BACA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96116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409D3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描述简单，针对性较弱的，得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D097270">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2F3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2C563E4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15</w:t>
            </w:r>
          </w:p>
        </w:tc>
        <w:tc>
          <w:tcPr>
            <w:tcW w:w="1938" w:type="dxa"/>
            <w:vAlign w:val="center"/>
          </w:tcPr>
          <w:p w14:paraId="37C03F42">
            <w:pPr>
              <w:pStyle w:val="32"/>
              <w:snapToGrid w:val="0"/>
              <w:jc w:val="center"/>
              <w:rPr>
                <w:rFonts w:hint="eastAsia" w:ascii="宋体" w:hAnsi="宋体" w:eastAsia="宋体" w:cs="宋体"/>
                <w:color w:val="auto"/>
                <w:sz w:val="21"/>
                <w:szCs w:val="21"/>
                <w:highlight w:val="none"/>
              </w:rPr>
            </w:pPr>
            <w:r>
              <w:rPr>
                <w:rFonts w:hint="eastAsia" w:hAnsi="宋体" w:cs="宋体"/>
                <w:lang w:val="en-US" w:eastAsia="zh-CN"/>
              </w:rPr>
              <w:t>合理化建议</w:t>
            </w:r>
          </w:p>
        </w:tc>
        <w:tc>
          <w:tcPr>
            <w:tcW w:w="715" w:type="dxa"/>
            <w:vAlign w:val="center"/>
          </w:tcPr>
          <w:p w14:paraId="3B44644B">
            <w:pPr>
              <w:pStyle w:val="32"/>
              <w:snapToGrid w:val="0"/>
              <w:jc w:val="center"/>
              <w:rPr>
                <w:rFonts w:hint="eastAsia" w:ascii="宋体" w:hAnsi="宋体" w:eastAsia="宋体" w:cs="宋体"/>
                <w:color w:val="auto"/>
                <w:sz w:val="21"/>
                <w:szCs w:val="21"/>
                <w:highlight w:val="none"/>
                <w:lang w:val="en-US" w:eastAsia="zh-CN"/>
              </w:rPr>
            </w:pPr>
            <w:r>
              <w:rPr>
                <w:rFonts w:hint="eastAsia" w:hAnsi="宋体" w:cs="宋体"/>
              </w:rPr>
              <w:t>2</w:t>
            </w:r>
          </w:p>
        </w:tc>
        <w:tc>
          <w:tcPr>
            <w:tcW w:w="1135" w:type="dxa"/>
            <w:vAlign w:val="center"/>
          </w:tcPr>
          <w:p w14:paraId="6476574F">
            <w:pPr>
              <w:pStyle w:val="32"/>
              <w:snapToGrid w:val="0"/>
              <w:jc w:val="center"/>
              <w:rPr>
                <w:rFonts w:hint="eastAsia" w:ascii="宋体" w:hAnsi="宋体" w:eastAsia="宋体" w:cs="宋体"/>
                <w:color w:val="auto"/>
                <w:sz w:val="21"/>
                <w:szCs w:val="21"/>
                <w:highlight w:val="none"/>
                <w:lang w:val="en-US" w:eastAsia="zh-CN"/>
              </w:rPr>
            </w:pPr>
            <w:r>
              <w:rPr>
                <w:rFonts w:hint="eastAsia" w:hAnsi="宋体" w:cs="宋体"/>
                <w:lang w:val="en-US" w:eastAsia="zh-CN"/>
              </w:rPr>
              <w:t>主</w:t>
            </w:r>
            <w:r>
              <w:rPr>
                <w:rFonts w:hint="eastAsia" w:hAnsi="宋体" w:cs="宋体"/>
              </w:rPr>
              <w:t>观</w:t>
            </w:r>
          </w:p>
        </w:tc>
        <w:tc>
          <w:tcPr>
            <w:tcW w:w="5863" w:type="dxa"/>
            <w:vAlign w:val="center"/>
          </w:tcPr>
          <w:p w14:paraId="05AAE9A4">
            <w:pPr>
              <w:tabs>
                <w:tab w:val="left" w:pos="4915"/>
              </w:tabs>
              <w:spacing w:line="340" w:lineRule="exact"/>
              <w:rPr>
                <w:rFonts w:hint="eastAsia" w:ascii="Arial" w:hAnsi="Arial" w:eastAsia="宋体" w:cs="Arial"/>
                <w:color w:val="auto"/>
                <w:sz w:val="21"/>
                <w:szCs w:val="21"/>
                <w:highlight w:val="none"/>
                <w:lang w:val="en-US" w:eastAsia="zh-CN"/>
              </w:rPr>
            </w:pPr>
            <w:r>
              <w:rPr>
                <w:rFonts w:hint="eastAsia" w:ascii="宋体" w:hAnsi="宋体" w:cs="宋体"/>
                <w:szCs w:val="21"/>
              </w:rPr>
              <w:t>根据供应商提出的针对本项目的合理化建议与承诺进行评议</w:t>
            </w:r>
            <w:r>
              <w:rPr>
                <w:rFonts w:hint="eastAsia" w:ascii="宋体" w:hAnsi="宋体" w:cs="宋体"/>
                <w:szCs w:val="21"/>
                <w:lang w:eastAsia="zh-CN"/>
              </w:rPr>
              <w:t>。</w:t>
            </w:r>
            <w:r>
              <w:rPr>
                <w:rFonts w:hint="eastAsia" w:ascii="宋体" w:hAnsi="宋体" w:cs="宋体"/>
                <w:szCs w:val="21"/>
              </w:rPr>
              <w:t>与本项目履约无关的建议与承诺不予认可。</w:t>
            </w:r>
          </w:p>
        </w:tc>
      </w:tr>
      <w:tr w14:paraId="0216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vAlign w:val="center"/>
          </w:tcPr>
          <w:p w14:paraId="30F1D8A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16</w:t>
            </w:r>
          </w:p>
        </w:tc>
        <w:tc>
          <w:tcPr>
            <w:tcW w:w="1938" w:type="dxa"/>
            <w:vAlign w:val="center"/>
          </w:tcPr>
          <w:p w14:paraId="0750A31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6A3639E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359463F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23665865">
            <w:pPr>
              <w:pStyle w:val="32"/>
              <w:adjustRightInd w:val="0"/>
              <w:snapToGrid w:val="0"/>
              <w:spacing w:before="0" w:beforeLines="0" w:after="0" w:afterLines="0" w:line="240" w:lineRule="auto"/>
              <w:jc w:val="left"/>
              <w:rPr>
                <w:rFonts w:hint="eastAsia" w:hAnsi="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应急保障措施</w:t>
            </w:r>
            <w:r>
              <w:rPr>
                <w:rFonts w:hint="eastAsia" w:hAnsi="宋体" w:cs="宋体"/>
                <w:b w:val="0"/>
                <w:bCs w:val="0"/>
                <w:strike w:val="0"/>
                <w:dstrike w:val="0"/>
                <w:color w:val="auto"/>
                <w:sz w:val="21"/>
                <w:szCs w:val="21"/>
                <w:highlight w:val="none"/>
                <w:lang w:val="en-US" w:eastAsia="zh-CN"/>
              </w:rPr>
              <w:t>：</w:t>
            </w:r>
          </w:p>
          <w:p w14:paraId="4B1CFF2C">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5D38CBBA">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2F2DD495">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705EF894">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67F9D82B">
            <w:pPr>
              <w:pStyle w:val="32"/>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2D5D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26" w:type="dxa"/>
            <w:vAlign w:val="center"/>
          </w:tcPr>
          <w:p w14:paraId="37727E6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17</w:t>
            </w:r>
          </w:p>
        </w:tc>
        <w:tc>
          <w:tcPr>
            <w:tcW w:w="1938" w:type="dxa"/>
            <w:vAlign w:val="center"/>
          </w:tcPr>
          <w:p w14:paraId="61DA0D00">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77C0CD8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6CE22E2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50C482B">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7587953C">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方案内容详实，逻辑清晰，符合项目实际情况，切实可行的得5分；</w:t>
            </w:r>
          </w:p>
          <w:p w14:paraId="58A61F30">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方案内容详细，工作思路清楚，基本符合项目实际情况，合理可行的得4分；</w:t>
            </w:r>
          </w:p>
          <w:p w14:paraId="32BCD38C">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方案内容比较简单，虽然存在一些不足但无明显重大缺陷的得3分；</w:t>
            </w:r>
          </w:p>
          <w:p w14:paraId="1AB440A3">
            <w:pPr>
              <w:pStyle w:val="32"/>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w:t>
            </w:r>
            <w:bookmarkStart w:id="605" w:name="_GoBack"/>
            <w:bookmarkEnd w:id="605"/>
            <w:r>
              <w:rPr>
                <w:rFonts w:hint="eastAsia" w:ascii="宋体" w:hAnsi="宋体" w:eastAsia="宋体" w:cs="宋体"/>
                <w:strike w:val="0"/>
                <w:dstrike w:val="0"/>
                <w:color w:val="auto"/>
                <w:sz w:val="21"/>
                <w:szCs w:val="21"/>
                <w:highlight w:val="none"/>
                <w:lang w:val="en-US" w:eastAsia="zh-CN"/>
              </w:rPr>
              <w:t>提交的方案与实际情况存在一定偏差的得1分；缺项不得分。</w:t>
            </w:r>
          </w:p>
        </w:tc>
      </w:tr>
      <w:tr w14:paraId="763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26" w:type="dxa"/>
            <w:vAlign w:val="center"/>
          </w:tcPr>
          <w:p w14:paraId="3A1D93CE">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18</w:t>
            </w:r>
          </w:p>
        </w:tc>
        <w:tc>
          <w:tcPr>
            <w:tcW w:w="1938" w:type="dxa"/>
            <w:vAlign w:val="center"/>
          </w:tcPr>
          <w:p w14:paraId="650E4D9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价格部分30分</w:t>
            </w:r>
          </w:p>
        </w:tc>
        <w:tc>
          <w:tcPr>
            <w:tcW w:w="715" w:type="dxa"/>
            <w:vAlign w:val="center"/>
          </w:tcPr>
          <w:p w14:paraId="7CCC5E2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30</w:t>
            </w:r>
          </w:p>
        </w:tc>
        <w:tc>
          <w:tcPr>
            <w:tcW w:w="1135" w:type="dxa"/>
            <w:vAlign w:val="center"/>
          </w:tcPr>
          <w:p w14:paraId="79DEE76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投标报价（30分）</w:t>
            </w:r>
          </w:p>
        </w:tc>
        <w:tc>
          <w:tcPr>
            <w:tcW w:w="5863" w:type="dxa"/>
            <w:vAlign w:val="center"/>
          </w:tcPr>
          <w:p w14:paraId="675ED9C8">
            <w:pPr>
              <w:pStyle w:val="32"/>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满足采购文件要求且参与评审价格最低为评标基准价，其价格分为满分，其余投标人的价格分以下列公式计算：</w:t>
            </w:r>
          </w:p>
          <w:p w14:paraId="7632B7E7">
            <w:pPr>
              <w:pStyle w:val="32"/>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投标报价得分=（评标基准价/参与评审的价格）×30%×100</w:t>
            </w:r>
          </w:p>
          <w:p w14:paraId="7813C069">
            <w:pPr>
              <w:pStyle w:val="32"/>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参与评审价格=投标价格</w:t>
            </w:r>
          </w:p>
        </w:tc>
      </w:tr>
    </w:tbl>
    <w:p w14:paraId="40A02C47">
      <w:pPr>
        <w:snapToGrid w:val="0"/>
        <w:spacing w:line="360" w:lineRule="auto"/>
        <w:rPr>
          <w:rFonts w:hint="eastAsia" w:ascii="宋体" w:hAnsi="宋体" w:cs="宋体"/>
          <w:color w:val="auto"/>
          <w:sz w:val="20"/>
          <w:szCs w:val="20"/>
          <w:shd w:val="clear" w:color="auto" w:fill="FFFFFF"/>
        </w:rPr>
      </w:pPr>
    </w:p>
    <w:p w14:paraId="0C7CCAA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1575B10F">
      <w:pPr>
        <w:jc w:val="left"/>
        <w:rPr>
          <w:rFonts w:ascii="宋体" w:hAnsi="宋体" w:cs="宋体"/>
          <w:b/>
          <w:color w:val="auto"/>
          <w:sz w:val="32"/>
        </w:rPr>
      </w:pPr>
      <w:r>
        <w:rPr>
          <w:rFonts w:hint="eastAsia" w:ascii="宋体" w:hAnsi="宋体" w:cs="宋体"/>
          <w:b/>
          <w:color w:val="auto"/>
          <w:sz w:val="32"/>
        </w:rPr>
        <w:br w:type="page"/>
      </w:r>
    </w:p>
    <w:p w14:paraId="592EAAB2">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257536F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035A75C1">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286030D2">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30A6E9DB">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20F5170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61D4F7AE">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35C07658">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5648DE05">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3F69BFFA">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7EA57E68">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53EC554C">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C7CD921">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090B42B">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774B115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2F8D428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6A389639">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3353EC9B">
      <w:pPr>
        <w:pStyle w:val="130"/>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39DA7F1C">
      <w:pPr>
        <w:pStyle w:val="130"/>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14:paraId="35F4E1BE">
      <w:pPr>
        <w:pStyle w:val="130"/>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0889A673">
      <w:pPr>
        <w:pStyle w:val="130"/>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2F8F9634">
      <w:pPr>
        <w:pStyle w:val="130"/>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35ABB623">
      <w:pPr>
        <w:pStyle w:val="130"/>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0902CD2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5EBBC38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79881DA3">
      <w:pPr>
        <w:pStyle w:val="130"/>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72FF65">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2B625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5C62EE8">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0BAEDD18">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844587">
      <w:pPr>
        <w:pStyle w:val="24"/>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50EF3A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436E45E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19893DB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08BAB6A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18A3CF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73BBA01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42D8E0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6DAF48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6B56943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312CA9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501D1C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1E0F01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4.2.12供应商仅提交备份响应文件，未在电子交易平台传输递交响应文件的，响应文件无效；</w:t>
      </w:r>
    </w:p>
    <w:p w14:paraId="43A058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响应文件不满足采购文件的其它实质性要求的；</w:t>
      </w:r>
    </w:p>
    <w:p w14:paraId="1C361574">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4.2.14</w:t>
      </w:r>
      <w:r>
        <w:rPr>
          <w:rFonts w:hint="eastAsia" w:ascii="宋体" w:hAnsi="宋体" w:eastAsia="宋体" w:cs="宋体"/>
          <w:color w:val="auto"/>
          <w:kern w:val="0"/>
          <w:sz w:val="24"/>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60DE3832">
      <w:pPr>
        <w:spacing w:line="360" w:lineRule="auto"/>
        <w:rPr>
          <w:rFonts w:hint="eastAsia" w:ascii="宋体" w:hAnsi="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snapToGrid w:val="0"/>
          <w:color w:val="auto"/>
          <w:kern w:val="28"/>
          <w:sz w:val="24"/>
          <w:szCs w:val="24"/>
          <w:lang w:eastAsia="zh-CN"/>
        </w:rPr>
        <w:t>投标人未提供《中小企业声明函》或未按照招标文件所附的《中小企业声明函》格式提供的；</w:t>
      </w:r>
    </w:p>
    <w:p w14:paraId="380B5452">
      <w:pPr>
        <w:spacing w:line="360" w:lineRule="auto"/>
        <w:rPr>
          <w:rFonts w:hint="eastAsia" w:cs="宋体"/>
          <w:b/>
          <w:color w:val="auto"/>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76E8D8B">
      <w:pPr>
        <w:pStyle w:val="24"/>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6B30918B">
      <w:pPr>
        <w:pStyle w:val="24"/>
        <w:snapToGrid w:val="0"/>
        <w:spacing w:line="360" w:lineRule="auto"/>
        <w:rPr>
          <w:rFonts w:cs="宋体"/>
          <w:color w:val="auto"/>
        </w:rPr>
      </w:pPr>
      <w:r>
        <w:rPr>
          <w:rFonts w:hint="eastAsia" w:cs="宋体"/>
          <w:color w:val="auto"/>
        </w:rPr>
        <w:t>5.1因情况变化，不再符合规定的竞争性磋商采购方式适用情形的；</w:t>
      </w:r>
    </w:p>
    <w:p w14:paraId="70D1743A">
      <w:pPr>
        <w:pStyle w:val="24"/>
        <w:snapToGrid w:val="0"/>
        <w:spacing w:line="360" w:lineRule="auto"/>
        <w:rPr>
          <w:rFonts w:cs="宋体"/>
          <w:color w:val="auto"/>
        </w:rPr>
      </w:pPr>
      <w:r>
        <w:rPr>
          <w:rFonts w:hint="eastAsia" w:cs="宋体"/>
          <w:color w:val="auto"/>
        </w:rPr>
        <w:t>5.2出现影响采购公正的违法、违规行为的；</w:t>
      </w:r>
    </w:p>
    <w:p w14:paraId="62D2F948">
      <w:pPr>
        <w:pStyle w:val="24"/>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4CCE0649">
      <w:pPr>
        <w:pStyle w:val="24"/>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36640E08">
      <w:pPr>
        <w:pStyle w:val="24"/>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68C3BF9E">
      <w:pPr>
        <w:pStyle w:val="24"/>
        <w:snapToGrid w:val="0"/>
        <w:spacing w:line="360" w:lineRule="auto"/>
        <w:rPr>
          <w:rFonts w:cs="宋体"/>
          <w:color w:val="auto"/>
        </w:rPr>
      </w:pPr>
      <w:r>
        <w:rPr>
          <w:rFonts w:hint="eastAsia" w:cs="宋体"/>
          <w:color w:val="auto"/>
        </w:rPr>
        <w:t>6.1未确定成交供应商的，终止本次政府采购活动，重新开展政府采购活动。</w:t>
      </w:r>
    </w:p>
    <w:p w14:paraId="0869EAF5">
      <w:pPr>
        <w:pStyle w:val="24"/>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5424B5D5">
      <w:pPr>
        <w:pStyle w:val="24"/>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1CD80428">
      <w:pPr>
        <w:pStyle w:val="24"/>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793B6598">
      <w:pPr>
        <w:pStyle w:val="24"/>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1419F842">
      <w:pPr>
        <w:pStyle w:val="24"/>
        <w:snapToGrid w:val="0"/>
        <w:spacing w:line="360" w:lineRule="auto"/>
        <w:ind w:firstLine="0" w:firstLineChars="0"/>
        <w:rPr>
          <w:rFonts w:cs="宋体"/>
          <w:color w:val="auto"/>
        </w:rPr>
        <w:sectPr>
          <w:pgSz w:w="11907" w:h="16840"/>
          <w:pgMar w:top="1440" w:right="1080" w:bottom="1440" w:left="1080" w:header="851" w:footer="851" w:gutter="0"/>
          <w:pgNumType w:fmt="decimal"/>
          <w:cols w:space="720" w:num="1"/>
        </w:sectPr>
      </w:pPr>
    </w:p>
    <w:bookmarkEnd w:id="31"/>
    <w:p w14:paraId="05A25E98">
      <w:pPr>
        <w:spacing w:line="360" w:lineRule="auto"/>
        <w:jc w:val="center"/>
        <w:outlineLvl w:val="0"/>
        <w:rPr>
          <w:rFonts w:ascii="宋体" w:hAnsi="宋体" w:cs="宋体"/>
          <w:b/>
          <w:color w:val="auto"/>
          <w:sz w:val="36"/>
          <w:szCs w:val="36"/>
        </w:rPr>
      </w:pPr>
      <w:bookmarkStart w:id="398" w:name="第五部分"/>
      <w:bookmarkStart w:id="399" w:name="_Toc86217003"/>
      <w:r>
        <w:rPr>
          <w:rFonts w:hint="eastAsia" w:ascii="宋体" w:hAnsi="宋体" w:cs="宋体"/>
          <w:b/>
          <w:color w:val="auto"/>
          <w:sz w:val="36"/>
          <w:szCs w:val="36"/>
        </w:rPr>
        <w:t>第五部分 拟签订的合同文本</w:t>
      </w:r>
    </w:p>
    <w:p w14:paraId="13755FF3">
      <w:pPr>
        <w:pStyle w:val="3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协 议 书（格式）</w:t>
      </w:r>
    </w:p>
    <w:p w14:paraId="32C182DA">
      <w:pPr>
        <w:pStyle w:val="3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p w14:paraId="5831FA43">
      <w:pPr>
        <w:pStyle w:val="32"/>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kern w:val="2"/>
          <w:sz w:val="24"/>
          <w:szCs w:val="24"/>
          <w:lang w:val="en-US" w:eastAsia="zh-CN" w:bidi="ar-SA"/>
        </w:rPr>
        <w:t xml:space="preserve">：                           </w:t>
      </w:r>
    </w:p>
    <w:p w14:paraId="69ACC85F">
      <w:pPr>
        <w:spacing w:line="360" w:lineRule="auto"/>
        <w:ind w:firstLine="470" w:firstLineChars="196"/>
        <w:jc w:val="left"/>
        <w:rPr>
          <w:rFonts w:hint="eastAsia" w:ascii="宋体" w:hAnsi="宋体" w:eastAsia="宋体" w:cs="宋体"/>
          <w:b/>
          <w:bCs/>
          <w:snapToGrid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(发包人名称) </w:t>
      </w:r>
      <w:r>
        <w:rPr>
          <w:rFonts w:hint="eastAsia" w:ascii="宋体" w:hAnsi="宋体" w:eastAsia="宋体" w:cs="宋体"/>
          <w:color w:val="auto"/>
          <w:sz w:val="24"/>
          <w:szCs w:val="24"/>
          <w:highlight w:val="none"/>
        </w:rPr>
        <w:t>（以下称发包人）拟修建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工程，接受了</w:t>
      </w:r>
      <w:r>
        <w:rPr>
          <w:rFonts w:hint="eastAsia" w:ascii="宋体" w:hAnsi="宋体" w:eastAsia="宋体" w:cs="宋体"/>
          <w:color w:val="auto"/>
          <w:sz w:val="24"/>
          <w:szCs w:val="24"/>
          <w:highlight w:val="none"/>
          <w:u w:val="single"/>
        </w:rPr>
        <w:t xml:space="preserve">（承包人名称） </w:t>
      </w:r>
      <w:r>
        <w:rPr>
          <w:rFonts w:hint="eastAsia" w:ascii="宋体" w:hAnsi="宋体" w:eastAsia="宋体" w:cs="宋体"/>
          <w:color w:val="auto"/>
          <w:sz w:val="24"/>
          <w:szCs w:val="24"/>
          <w:highlight w:val="none"/>
        </w:rPr>
        <w:t>（以下称承包人）的投标，双方达成如下协议，并于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日签订了本协议书，</w:t>
      </w:r>
      <w:r>
        <w:rPr>
          <w:rFonts w:hint="eastAsia" w:ascii="宋体" w:hAnsi="宋体" w:eastAsia="宋体" w:cs="宋体"/>
          <w:snapToGrid w:val="0"/>
          <w:color w:val="auto"/>
          <w:sz w:val="24"/>
          <w:szCs w:val="24"/>
          <w:highlight w:val="none"/>
        </w:rPr>
        <w:t>合同工期</w:t>
      </w:r>
      <w:r>
        <w:rPr>
          <w:rFonts w:hint="eastAsia" w:ascii="宋体" w:hAnsi="宋体" w:eastAsia="宋体" w:cs="宋体"/>
          <w:bCs/>
          <w:snapToGrid w:val="0"/>
          <w:color w:val="auto"/>
          <w:sz w:val="24"/>
          <w:szCs w:val="24"/>
          <w:highlight w:val="none"/>
          <w:u w:val="single"/>
        </w:rPr>
        <w:t xml:space="preserve">   日历天</w:t>
      </w:r>
      <w:r>
        <w:rPr>
          <w:rFonts w:hint="eastAsia" w:ascii="宋体" w:hAnsi="宋体" w:eastAsia="宋体" w:cs="宋体"/>
          <w:snapToGrid w:val="0"/>
          <w:color w:val="auto"/>
          <w:sz w:val="24"/>
          <w:szCs w:val="24"/>
          <w:highlight w:val="none"/>
        </w:rPr>
        <w:t>，工程质量标准为</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w:t>
      </w:r>
      <w:r>
        <w:rPr>
          <w:rFonts w:hint="eastAsia" w:ascii="宋体" w:hAnsi="宋体" w:eastAsia="宋体" w:cs="宋体"/>
          <w:snapToGrid w:val="0"/>
          <w:color w:val="auto"/>
          <w:sz w:val="24"/>
          <w:szCs w:val="24"/>
          <w:highlight w:val="none"/>
        </w:rPr>
        <w:t xml:space="preserve">合同总金额为人民币（大写）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整</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元）</w:t>
      </w:r>
      <w:r>
        <w:rPr>
          <w:rFonts w:hint="eastAsia" w:ascii="宋体" w:hAnsi="宋体" w:eastAsia="宋体" w:cs="宋体"/>
          <w:snapToGrid w:val="0"/>
          <w:color w:val="auto"/>
          <w:sz w:val="24"/>
          <w:szCs w:val="24"/>
          <w:highlight w:val="none"/>
        </w:rPr>
        <w:t>。</w:t>
      </w:r>
    </w:p>
    <w:p w14:paraId="51ABFC15">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lang w:val="en-US" w:eastAsia="zh-CN" w:bidi="ar-SA"/>
        </w:rPr>
        <w:t>1．本协议书中的词语涵义与下述第2条所列的专用合同条款和通用合同条款中的词语涵义相同。</w:t>
      </w:r>
    </w:p>
    <w:p w14:paraId="5EF9F86C">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2．本合同包括下列文件： </w:t>
      </w:r>
    </w:p>
    <w:p w14:paraId="2402DD9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(1)协议书（包括补充协议）；</w:t>
      </w:r>
    </w:p>
    <w:p w14:paraId="42001F8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(2)中标通知书；</w:t>
      </w:r>
    </w:p>
    <w:p w14:paraId="0F41257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(3)专用合同条款；</w:t>
      </w:r>
    </w:p>
    <w:p w14:paraId="305E139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(4)通用合同条款；</w:t>
      </w:r>
    </w:p>
    <w:p w14:paraId="4F4433A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(5)技术条款；</w:t>
      </w:r>
    </w:p>
    <w:p w14:paraId="7C5DFF4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(6)图纸；</w:t>
      </w:r>
    </w:p>
    <w:p w14:paraId="2A3E05F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(7)已标价的工程量清单；</w:t>
      </w:r>
    </w:p>
    <w:p w14:paraId="661C47B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(8)经双方确认进入合同的其他文件。</w:t>
      </w:r>
    </w:p>
    <w:p w14:paraId="405EFEB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当组成合同各文件不一致时，应按上述排列的优先顺序作出解释。</w:t>
      </w:r>
    </w:p>
    <w:p w14:paraId="5E22CD5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上列文件汇集并代替了本协议书签订前双方为本合同签订的所有协议、会谈记录以及相互承诺的一切文件。</w:t>
      </w:r>
    </w:p>
    <w:p w14:paraId="4B10045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3．承包人保证按照合同规定全面完成各项承包工作，并承担合同规定的承包人的全部义务和责任。</w:t>
      </w:r>
    </w:p>
    <w:p w14:paraId="669CDEF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4．发包人保证按照合同规定付款并承担合同规定的发包人的全部义务和责任。</w:t>
      </w:r>
    </w:p>
    <w:p w14:paraId="48DE794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5．本协议书经双方法定代表人或其委托代理人签名并分别盖本单位公章后生效（若需公证或鉴证时尚需办理公证或鉴证手续后生效）。</w:t>
      </w:r>
    </w:p>
    <w:p w14:paraId="2C56DAD7">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6．本合同壹式壹拾贰份。其中正本贰份,双方各执壹份,副本拾份，发包人执叁份，承包人执叁份，其余副本由发包人分送有关单位。</w:t>
      </w:r>
    </w:p>
    <w:p w14:paraId="21C81726">
      <w:pPr>
        <w:pStyle w:val="32"/>
        <w:spacing w:line="240" w:lineRule="auto"/>
        <w:rPr>
          <w:rFonts w:hint="eastAsia" w:ascii="宋体" w:hAnsi="宋体" w:eastAsia="宋体" w:cs="宋体"/>
          <w:color w:val="auto"/>
          <w:sz w:val="24"/>
          <w:szCs w:val="24"/>
          <w:highlight w:val="none"/>
        </w:rPr>
      </w:pPr>
    </w:p>
    <w:p w14:paraId="01E9B4D7">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发包人：</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rPr>
        <w:t>（名称）</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b/>
          <w:bCs/>
          <w:snapToGrid w:val="0"/>
          <w:color w:val="auto"/>
          <w:sz w:val="24"/>
          <w:szCs w:val="24"/>
          <w:highlight w:val="none"/>
        </w:rPr>
        <w:t xml:space="preserve">      </w:t>
      </w:r>
      <w:r>
        <w:rPr>
          <w:rFonts w:hint="eastAsia" w:ascii="宋体" w:hAnsi="宋体" w:eastAsia="宋体" w:cs="宋体"/>
          <w:snapToGrid w:val="0"/>
          <w:color w:val="auto"/>
          <w:sz w:val="24"/>
          <w:szCs w:val="24"/>
          <w:highlight w:val="none"/>
        </w:rPr>
        <w:t>承包人：</w:t>
      </w:r>
      <w:r>
        <w:rPr>
          <w:rFonts w:hint="eastAsia" w:ascii="宋体" w:hAnsi="宋体" w:eastAsia="宋体" w:cs="宋体"/>
          <w:snapToGrid w:val="0"/>
          <w:color w:val="auto"/>
          <w:sz w:val="24"/>
          <w:szCs w:val="24"/>
          <w:highlight w:val="none"/>
          <w:u w:val="single"/>
        </w:rPr>
        <w:t xml:space="preserve">          （名称）        </w:t>
      </w:r>
    </w:p>
    <w:p w14:paraId="0AEDE393">
      <w:pPr>
        <w:pStyle w:val="32"/>
        <w:spacing w:line="360" w:lineRule="auto"/>
        <w:ind w:firstLine="1440" w:firstLineChars="6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（盖单位章）                            （盖单位章）</w:t>
      </w:r>
    </w:p>
    <w:p w14:paraId="4096E7FB">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（姓名）      </w:t>
      </w:r>
      <w:r>
        <w:rPr>
          <w:rFonts w:hint="eastAsia" w:ascii="宋体" w:hAnsi="宋体" w:eastAsia="宋体" w:cs="宋体"/>
          <w:snapToGrid w:val="0"/>
          <w:color w:val="auto"/>
          <w:sz w:val="24"/>
          <w:szCs w:val="24"/>
          <w:highlight w:val="none"/>
        </w:rPr>
        <w:t xml:space="preserve">       法定代表人：</w:t>
      </w:r>
      <w:r>
        <w:rPr>
          <w:rFonts w:hint="eastAsia" w:ascii="宋体" w:hAnsi="宋体" w:eastAsia="宋体" w:cs="宋体"/>
          <w:snapToGrid w:val="0"/>
          <w:color w:val="auto"/>
          <w:sz w:val="24"/>
          <w:szCs w:val="24"/>
          <w:highlight w:val="none"/>
          <w:u w:val="single"/>
        </w:rPr>
        <w:t xml:space="preserve">      （姓名）       </w:t>
      </w:r>
    </w:p>
    <w:p w14:paraId="5B077AF5">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或委托代理人    （签名）             或委托代理人      （签名）</w:t>
      </w:r>
    </w:p>
    <w:p w14:paraId="5372F469">
      <w:pPr>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     址：</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w:t>
      </w:r>
      <w:r>
        <w:rPr>
          <w:rFonts w:hint="eastAsia" w:ascii="宋体" w:hAnsi="宋体" w:eastAsia="宋体" w:cs="宋体"/>
          <w:snapToGrid w:val="0"/>
          <w:color w:val="auto"/>
          <w:sz w:val="24"/>
          <w:szCs w:val="24"/>
          <w:highlight w:val="none"/>
        </w:rPr>
        <w:t xml:space="preserve">    地    址：</w:t>
      </w:r>
      <w:r>
        <w:rPr>
          <w:rFonts w:hint="eastAsia" w:ascii="宋体" w:hAnsi="宋体" w:eastAsia="宋体" w:cs="宋体"/>
          <w:snapToGrid w:val="0"/>
          <w:color w:val="auto"/>
          <w:sz w:val="24"/>
          <w:szCs w:val="24"/>
          <w:highlight w:val="none"/>
          <w:u w:val="single"/>
        </w:rPr>
        <w:t xml:space="preserve">                       </w:t>
      </w:r>
    </w:p>
    <w:p w14:paraId="28B012EF">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网     址：</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网    址：</w:t>
      </w:r>
      <w:r>
        <w:rPr>
          <w:rFonts w:hint="eastAsia" w:ascii="宋体" w:hAnsi="宋体" w:eastAsia="宋体" w:cs="宋体"/>
          <w:snapToGrid w:val="0"/>
          <w:color w:val="auto"/>
          <w:sz w:val="24"/>
          <w:szCs w:val="24"/>
          <w:highlight w:val="none"/>
          <w:u w:val="single"/>
        </w:rPr>
        <w:t xml:space="preserve">                       </w:t>
      </w:r>
    </w:p>
    <w:p w14:paraId="5495D5A0">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     话：</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电    话：</w:t>
      </w:r>
      <w:r>
        <w:rPr>
          <w:rFonts w:hint="eastAsia" w:ascii="宋体" w:hAnsi="宋体" w:eastAsia="宋体" w:cs="宋体"/>
          <w:snapToGrid w:val="0"/>
          <w:color w:val="auto"/>
          <w:sz w:val="24"/>
          <w:szCs w:val="24"/>
          <w:highlight w:val="none"/>
          <w:u w:val="single"/>
        </w:rPr>
        <w:t xml:space="preserve">                       </w:t>
      </w:r>
    </w:p>
    <w:p w14:paraId="0D8DF3AC">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     真：</w:t>
      </w:r>
      <w:r>
        <w:rPr>
          <w:rFonts w:hint="eastAsia" w:ascii="宋体" w:hAnsi="宋体" w:eastAsia="宋体" w:cs="宋体"/>
          <w:b/>
          <w:color w:val="auto"/>
          <w:spacing w:val="5"/>
          <w:sz w:val="24"/>
          <w:szCs w:val="24"/>
          <w:highlight w:val="none"/>
          <w:u w:val="singl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传    真：</w:t>
      </w:r>
      <w:r>
        <w:rPr>
          <w:rFonts w:hint="eastAsia" w:ascii="宋体" w:hAnsi="宋体" w:eastAsia="宋体" w:cs="宋体"/>
          <w:snapToGrid w:val="0"/>
          <w:color w:val="auto"/>
          <w:sz w:val="24"/>
          <w:szCs w:val="24"/>
          <w:highlight w:val="none"/>
          <w:u w:val="single"/>
        </w:rPr>
        <w:t xml:space="preserve">                       </w:t>
      </w:r>
    </w:p>
    <w:p w14:paraId="193D4814">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邮政编码：</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邮政编码：</w:t>
      </w:r>
      <w:r>
        <w:rPr>
          <w:rFonts w:hint="eastAsia" w:ascii="宋体" w:hAnsi="宋体" w:eastAsia="宋体" w:cs="宋体"/>
          <w:snapToGrid w:val="0"/>
          <w:color w:val="auto"/>
          <w:sz w:val="24"/>
          <w:szCs w:val="24"/>
          <w:highlight w:val="none"/>
          <w:u w:val="single"/>
        </w:rPr>
        <w:t xml:space="preserve">                       </w:t>
      </w:r>
    </w:p>
    <w:p w14:paraId="090D9253">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开户银行：</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开户银行：</w:t>
      </w:r>
      <w:r>
        <w:rPr>
          <w:rFonts w:hint="eastAsia" w:ascii="宋体" w:hAnsi="宋体" w:eastAsia="宋体" w:cs="宋体"/>
          <w:snapToGrid w:val="0"/>
          <w:color w:val="auto"/>
          <w:sz w:val="24"/>
          <w:szCs w:val="24"/>
          <w:highlight w:val="none"/>
          <w:u w:val="single"/>
        </w:rPr>
        <w:t xml:space="preserve">                       </w:t>
      </w:r>
    </w:p>
    <w:p w14:paraId="5123188F">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账    号：</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账    号：</w:t>
      </w:r>
      <w:r>
        <w:rPr>
          <w:rFonts w:hint="eastAsia" w:ascii="宋体" w:hAnsi="宋体" w:eastAsia="宋体" w:cs="宋体"/>
          <w:snapToGrid w:val="0"/>
          <w:color w:val="auto"/>
          <w:sz w:val="24"/>
          <w:szCs w:val="24"/>
          <w:highlight w:val="none"/>
          <w:u w:val="single"/>
        </w:rPr>
        <w:t xml:space="preserve">                       </w:t>
      </w:r>
    </w:p>
    <w:p w14:paraId="76FF9B92">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u w:val="none"/>
          <w:lang w:val="en-US" w:eastAsia="zh-CN"/>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92A850F">
      <w:pPr>
        <w:pStyle w:val="32"/>
        <w:spacing w:line="360" w:lineRule="auto"/>
        <w:rPr>
          <w:rFonts w:hint="eastAsia" w:ascii="宋体" w:hAnsi="宋体" w:eastAsia="宋体" w:cs="宋体"/>
          <w:snapToGrid w:val="0"/>
          <w:color w:val="auto"/>
          <w:sz w:val="24"/>
          <w:szCs w:val="24"/>
          <w:highlight w:val="none"/>
          <w:u w:val="single"/>
        </w:rPr>
      </w:pPr>
    </w:p>
    <w:p w14:paraId="20BFFBE3">
      <w:pPr>
        <w:pStyle w:val="32"/>
        <w:spacing w:line="360" w:lineRule="auto"/>
        <w:rPr>
          <w:rFonts w:hint="eastAsia" w:hAnsi="宋体" w:eastAsia="宋体" w:cs="宋体"/>
          <w:snapToGrid w:val="0"/>
          <w:color w:val="auto"/>
          <w:sz w:val="24"/>
          <w:szCs w:val="24"/>
          <w:highlight w:val="none"/>
          <w:u w:val="single"/>
          <w:lang w:eastAsia="zh-CN"/>
        </w:rPr>
      </w:pPr>
      <w:r>
        <w:rPr>
          <w:rFonts w:hint="eastAsia" w:ascii="宋体" w:hAnsi="宋体" w:eastAsia="宋体" w:cs="宋体"/>
          <w:snapToGrid w:val="0"/>
          <w:color w:val="auto"/>
          <w:sz w:val="24"/>
          <w:szCs w:val="24"/>
          <w:highlight w:val="none"/>
          <w:u w:val="none"/>
          <w:lang w:eastAsia="zh-CN"/>
        </w:rPr>
        <w:t>合同鉴证方：</w:t>
      </w:r>
      <w:r>
        <w:rPr>
          <w:rFonts w:hint="eastAsia" w:hAnsi="宋体" w:eastAsia="宋体" w:cs="宋体"/>
          <w:snapToGrid w:val="0"/>
          <w:color w:val="auto"/>
          <w:sz w:val="24"/>
          <w:szCs w:val="24"/>
          <w:highlight w:val="none"/>
          <w:u w:val="single"/>
          <w:lang w:eastAsia="zh-CN"/>
        </w:rPr>
        <w:t>温州中源工程项目管理有限公司</w:t>
      </w:r>
    </w:p>
    <w:p w14:paraId="192E1F34">
      <w:pPr>
        <w:pStyle w:val="33"/>
        <w:rPr>
          <w:rFonts w:hint="eastAsia"/>
          <w:lang w:eastAsia="zh-CN"/>
        </w:rPr>
      </w:pPr>
    </w:p>
    <w:p w14:paraId="5637CE41">
      <w:pPr>
        <w:rPr>
          <w:rFonts w:hint="eastAsia"/>
          <w:sz w:val="24"/>
          <w:szCs w:val="24"/>
          <w:lang w:eastAsia="zh-CN"/>
        </w:rPr>
        <w:sectPr>
          <w:headerReference r:id="rId5" w:type="first"/>
          <w:footerReference r:id="rId7" w:type="first"/>
          <w:footerReference r:id="rId6" w:type="default"/>
          <w:pgSz w:w="11906" w:h="16838"/>
          <w:pgMar w:top="1440" w:right="1080" w:bottom="1440" w:left="1080" w:header="851" w:footer="992" w:gutter="0"/>
          <w:pgNumType w:fmt="decimal"/>
          <w:cols w:space="720" w:num="1"/>
          <w:titlePg/>
          <w:docGrid w:linePitch="312" w:charSpace="0"/>
        </w:sectPr>
      </w:pPr>
      <w:r>
        <w:rPr>
          <w:rFonts w:hint="eastAsia" w:hAnsi="宋体" w:cs="宋体"/>
          <w:snapToGrid w:val="0"/>
          <w:color w:val="auto"/>
          <w:sz w:val="24"/>
          <w:szCs w:val="24"/>
          <w:highlight w:val="none"/>
          <w:u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C1D2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通用合同条款</w:t>
      </w:r>
    </w:p>
    <w:p w14:paraId="5D3E13FD">
      <w:pPr>
        <w:pStyle w:val="96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全文引用《浙江省水利水电工程施工招标文件示范文本》2022年版第4章第1节的通用合同条款。</w:t>
      </w:r>
    </w:p>
    <w:p w14:paraId="154580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专用合同条款</w:t>
      </w:r>
    </w:p>
    <w:p w14:paraId="4A393921">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highlight w:val="none"/>
        </w:rPr>
      </w:pPr>
      <w:bookmarkStart w:id="400" w:name="_Toc266998242"/>
      <w:bookmarkStart w:id="401" w:name="_Toc217819038"/>
      <w:bookmarkStart w:id="402" w:name="_Toc344282749"/>
      <w:bookmarkStart w:id="403" w:name="_Toc307478972"/>
      <w:bookmarkStart w:id="404" w:name="_Toc362883273"/>
      <w:bookmarkStart w:id="405" w:name="_Toc381776143"/>
      <w:bookmarkStart w:id="406" w:name="_Toc370459050"/>
      <w:r>
        <w:rPr>
          <w:rFonts w:hint="eastAsia" w:asciiTheme="minorEastAsia" w:hAnsiTheme="minorEastAsia" w:eastAsiaTheme="minorEastAsia" w:cstheme="minorEastAsia"/>
          <w:b/>
          <w:snapToGrid w:val="0"/>
          <w:color w:val="auto"/>
          <w:sz w:val="24"/>
          <w:szCs w:val="24"/>
          <w:highlight w:val="none"/>
        </w:rPr>
        <w:t>1 一般约定</w:t>
      </w:r>
      <w:bookmarkEnd w:id="400"/>
      <w:bookmarkEnd w:id="401"/>
      <w:bookmarkEnd w:id="402"/>
      <w:bookmarkEnd w:id="403"/>
      <w:bookmarkEnd w:id="404"/>
      <w:bookmarkEnd w:id="405"/>
      <w:bookmarkEnd w:id="406"/>
    </w:p>
    <w:p w14:paraId="12BB224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pacing w:val="20"/>
          <w:sz w:val="24"/>
          <w:szCs w:val="24"/>
          <w:highlight w:val="none"/>
        </w:rPr>
        <w:t>1.1 词语定义</w:t>
      </w:r>
    </w:p>
    <w:p w14:paraId="344C6F74">
      <w:pPr>
        <w:autoSpaceDE w:val="0"/>
        <w:autoSpaceDN w:val="0"/>
        <w:adjustRightInd w:val="0"/>
        <w:spacing w:line="400" w:lineRule="exact"/>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 xml:space="preserve">    1.1.1 合同</w:t>
      </w:r>
    </w:p>
    <w:p w14:paraId="04204429">
      <w:pPr>
        <w:autoSpaceDE w:val="0"/>
        <w:autoSpaceDN w:val="0"/>
        <w:adjustRightIn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1.1.1.9其他合同文件包括：</w:t>
      </w:r>
      <w:r>
        <w:rPr>
          <w:rFonts w:hint="eastAsia" w:asciiTheme="minorEastAsia" w:hAnsiTheme="minorEastAsia" w:eastAsiaTheme="minorEastAsia" w:cstheme="minorEastAsia"/>
          <w:snapToGrid w:val="0"/>
          <w:color w:val="auto"/>
          <w:sz w:val="24"/>
          <w:szCs w:val="24"/>
          <w:highlight w:val="none"/>
          <w:u w:val="single"/>
        </w:rPr>
        <w:t>招标文件以及双方与合同有关的工程设计变更联系单、洽商、签证等书面协议或文件。</w:t>
      </w:r>
      <w:r>
        <w:rPr>
          <w:rFonts w:hint="eastAsia" w:asciiTheme="minorEastAsia" w:hAnsiTheme="minorEastAsia" w:eastAsiaTheme="minorEastAsia" w:cstheme="minorEastAsia"/>
          <w:snapToGrid w:val="0"/>
          <w:color w:val="auto"/>
          <w:sz w:val="24"/>
          <w:szCs w:val="24"/>
          <w:highlight w:val="none"/>
        </w:rPr>
        <w:t xml:space="preserve">   </w:t>
      </w:r>
    </w:p>
    <w:p w14:paraId="23F39783">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1.1.2 合同当事人和人员</w:t>
      </w:r>
    </w:p>
    <w:p w14:paraId="2FD48102">
      <w:pPr>
        <w:tabs>
          <w:tab w:val="left" w:pos="36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1.1.2.2 发包人：</w:t>
      </w:r>
      <w:r>
        <w:rPr>
          <w:rFonts w:hint="eastAsia" w:asciiTheme="minorEastAsia" w:hAnsiTheme="minorEastAsia" w:eastAsiaTheme="minorEastAsia" w:cstheme="minorEastAsia"/>
          <w:snapToGrid w:val="0"/>
          <w:color w:val="auto"/>
          <w:sz w:val="24"/>
          <w:szCs w:val="24"/>
          <w:highlight w:val="none"/>
          <w:u w:val="single"/>
          <w:lang w:eastAsia="zh-CN"/>
        </w:rPr>
        <w:t>宁海县人民政府跃龙街道办事处</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7D444D9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1.1.2.3 承包人：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（签约后填入）。</w:t>
      </w:r>
    </w:p>
    <w:p w14:paraId="5BF9A8A2">
      <w:pPr>
        <w:snapToGrid w:val="0"/>
        <w:spacing w:line="40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1.1.2.5 分包人：</w:t>
      </w:r>
      <w:r>
        <w:rPr>
          <w:rFonts w:hint="eastAsia" w:asciiTheme="minorEastAsia" w:hAnsiTheme="minorEastAsia" w:eastAsiaTheme="minorEastAsia" w:cstheme="minorEastAsia"/>
          <w:snapToGrid w:val="0"/>
          <w:color w:val="auto"/>
          <w:sz w:val="24"/>
          <w:szCs w:val="24"/>
          <w:highlight w:val="none"/>
          <w:u w:val="single"/>
        </w:rPr>
        <w:t xml:space="preserve">           /            </w:t>
      </w:r>
      <w:r>
        <w:rPr>
          <w:rFonts w:hint="eastAsia" w:asciiTheme="minorEastAsia" w:hAnsiTheme="minorEastAsia" w:eastAsiaTheme="minorEastAsia" w:cstheme="minorEastAsia"/>
          <w:snapToGrid w:val="0"/>
          <w:color w:val="auto"/>
          <w:sz w:val="24"/>
          <w:szCs w:val="24"/>
          <w:highlight w:val="none"/>
        </w:rPr>
        <w:t>。</w:t>
      </w:r>
    </w:p>
    <w:p w14:paraId="3787E6C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1.1.2.6 监理人：______________________。</w:t>
      </w:r>
    </w:p>
    <w:p w14:paraId="27162DC1">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1.1.3 工程和设备</w:t>
      </w:r>
    </w:p>
    <w:p w14:paraId="42E872C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1.1.3.4 单位工程： </w:t>
      </w:r>
      <w:r>
        <w:rPr>
          <w:rFonts w:hint="eastAsia" w:asciiTheme="minorEastAsia" w:hAnsiTheme="minorEastAsia" w:eastAsiaTheme="minorEastAsia" w:cstheme="minorEastAsia"/>
          <w:snapToGrid w:val="0"/>
          <w:color w:val="auto"/>
          <w:sz w:val="24"/>
          <w:szCs w:val="24"/>
          <w:highlight w:val="none"/>
          <w:u w:val="single"/>
        </w:rPr>
        <w:t>指经工程质量监督机构确认的工程项目划分表中确定的具有独立发挥作用或独立施工条件的永久建筑物</w:t>
      </w:r>
      <w:r>
        <w:rPr>
          <w:rFonts w:hint="eastAsia" w:asciiTheme="minorEastAsia" w:hAnsiTheme="minorEastAsia" w:eastAsiaTheme="minorEastAsia" w:cstheme="minorEastAsia"/>
          <w:snapToGrid w:val="0"/>
          <w:color w:val="auto"/>
          <w:sz w:val="24"/>
          <w:szCs w:val="24"/>
          <w:highlight w:val="none"/>
        </w:rPr>
        <w:t xml:space="preserve"> 。</w:t>
      </w:r>
    </w:p>
    <w:p w14:paraId="67F7D2C9">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bookmarkStart w:id="407" w:name="_Toc113763821"/>
      <w:bookmarkStart w:id="408" w:name="_Toc140459354"/>
      <w:bookmarkStart w:id="409" w:name="_Toc140459440"/>
      <w:bookmarkStart w:id="410" w:name="_Toc118022200"/>
      <w:bookmarkStart w:id="411" w:name="_Toc212607207"/>
      <w:bookmarkStart w:id="412" w:name="_Toc134275845"/>
      <w:r>
        <w:rPr>
          <w:rFonts w:hint="eastAsia" w:asciiTheme="minorEastAsia" w:hAnsiTheme="minorEastAsia" w:eastAsiaTheme="minorEastAsia" w:cstheme="minorEastAsia"/>
          <w:b/>
          <w:snapToGrid w:val="0"/>
          <w:color w:val="auto"/>
          <w:sz w:val="24"/>
          <w:szCs w:val="24"/>
          <w:highlight w:val="none"/>
        </w:rPr>
        <w:t>1.1.4 日期</w:t>
      </w:r>
    </w:p>
    <w:p w14:paraId="4DB348A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1.1.4.5 缺陷责任期（工程质量保修期）：为</w:t>
      </w:r>
      <w:r>
        <w:rPr>
          <w:rFonts w:hint="eastAsia" w:asciiTheme="minorEastAsia" w:hAnsiTheme="minorEastAsia" w:eastAsiaTheme="minorEastAsia" w:cstheme="minorEastAsia"/>
          <w:snapToGrid w:val="0"/>
          <w:color w:val="auto"/>
          <w:sz w:val="24"/>
          <w:szCs w:val="24"/>
          <w:highlight w:val="none"/>
          <w:u w:val="single"/>
        </w:rPr>
        <w:t xml:space="preserve"> 1 </w:t>
      </w:r>
      <w:r>
        <w:rPr>
          <w:rFonts w:hint="eastAsia" w:asciiTheme="minorEastAsia" w:hAnsiTheme="minorEastAsia" w:eastAsiaTheme="minorEastAsia" w:cstheme="minorEastAsia"/>
          <w:snapToGrid w:val="0"/>
          <w:color w:val="auto"/>
          <w:sz w:val="24"/>
          <w:szCs w:val="24"/>
          <w:highlight w:val="none"/>
        </w:rPr>
        <w:t>年。</w:t>
      </w:r>
    </w:p>
    <w:p w14:paraId="74F7AC63">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1.1.6 其他</w:t>
      </w:r>
    </w:p>
    <w:p w14:paraId="7D504E4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1.1.6.2 完工验收：指《水利水电建设工程验收规程》中的合同工程完工验收。通用合同条款中“竣工验收”一词具有相同含义。</w:t>
      </w:r>
    </w:p>
    <w:p w14:paraId="4FE0678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pacing w:val="20"/>
          <w:sz w:val="24"/>
          <w:szCs w:val="24"/>
          <w:highlight w:val="none"/>
        </w:rPr>
        <w:t>1.4 合同文件的优先顺序</w:t>
      </w:r>
      <w:bookmarkEnd w:id="407"/>
      <w:bookmarkEnd w:id="408"/>
      <w:bookmarkEnd w:id="409"/>
      <w:bookmarkEnd w:id="410"/>
      <w:bookmarkEnd w:id="411"/>
      <w:bookmarkEnd w:id="412"/>
    </w:p>
    <w:p w14:paraId="3A5D0C8D">
      <w:pPr>
        <w:autoSpaceDE w:val="0"/>
        <w:autoSpaceDN w:val="0"/>
        <w:adjustRightInd w:val="0"/>
        <w:snapToGrid w:val="0"/>
        <w:spacing w:line="400" w:lineRule="exact"/>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除合同另有规定外，解释合同文件的优先顺序如下： </w:t>
      </w:r>
    </w:p>
    <w:p w14:paraId="7494F7B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合同协议书（包括补充协议书）；</w:t>
      </w:r>
    </w:p>
    <w:p w14:paraId="2437988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⑵ 中标通知书；</w:t>
      </w:r>
    </w:p>
    <w:p w14:paraId="315236BC">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投标函及投标函附录；</w:t>
      </w:r>
    </w:p>
    <w:p w14:paraId="110047F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⑷ 招投标文件澄清问题、澄清问题的复函、补充通知等相关资料；</w:t>
      </w:r>
    </w:p>
    <w:p w14:paraId="3BB429E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专用合同条款；</w:t>
      </w:r>
    </w:p>
    <w:p w14:paraId="5F0D9F2F">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⑹ 通用合同条款；</w:t>
      </w:r>
    </w:p>
    <w:p w14:paraId="26936B7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⑺ 技术标准和要求；</w:t>
      </w:r>
    </w:p>
    <w:p w14:paraId="1C1D3FD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⑻ 图纸；</w:t>
      </w:r>
    </w:p>
    <w:p w14:paraId="61CE5D3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⑼ 已标价的工程量清单</w:t>
      </w:r>
    </w:p>
    <w:p w14:paraId="6B87A98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⑽ 经双方确认进入合同的其他文件。</w:t>
      </w:r>
    </w:p>
    <w:p w14:paraId="4CC4C7A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13" w:name="_Toc217819044"/>
      <w:r>
        <w:rPr>
          <w:rFonts w:hint="eastAsia" w:asciiTheme="minorEastAsia" w:hAnsiTheme="minorEastAsia" w:eastAsiaTheme="minorEastAsia" w:cstheme="minorEastAsia"/>
          <w:b/>
          <w:color w:val="auto"/>
          <w:spacing w:val="20"/>
          <w:sz w:val="24"/>
          <w:szCs w:val="24"/>
        </w:rPr>
        <w:t>1.7 联络</w:t>
      </w:r>
    </w:p>
    <w:p w14:paraId="14B6DA1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1.7.2 来往函件均应按技术标准和要求（合同技术条款）约定的期限送达</w:t>
      </w:r>
      <w:r>
        <w:rPr>
          <w:rFonts w:hint="eastAsia" w:asciiTheme="minorEastAsia" w:hAnsiTheme="minorEastAsia" w:eastAsiaTheme="minorEastAsia" w:cstheme="minorEastAsia"/>
          <w:snapToGrid w:val="0"/>
          <w:color w:val="auto"/>
          <w:sz w:val="24"/>
          <w:szCs w:val="24"/>
          <w:u w:val="single"/>
          <w:lang w:eastAsia="zh-CN"/>
        </w:rPr>
        <w:t>宁海县人民政府跃龙街道办事处</w:t>
      </w:r>
      <w:r>
        <w:rPr>
          <w:rFonts w:hint="eastAsia" w:asciiTheme="minorEastAsia" w:hAnsiTheme="minorEastAsia" w:eastAsiaTheme="minorEastAsia" w:cstheme="minorEastAsia"/>
          <w:snapToGrid w:val="0"/>
          <w:color w:val="auto"/>
          <w:sz w:val="24"/>
          <w:szCs w:val="24"/>
        </w:rPr>
        <w:t>。</w:t>
      </w:r>
    </w:p>
    <w:p w14:paraId="41B055AE">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14" w:name="_Toc370459051"/>
      <w:bookmarkStart w:id="415" w:name="_Toc307478973"/>
      <w:bookmarkStart w:id="416" w:name="_Toc362883274"/>
      <w:bookmarkStart w:id="417" w:name="_Toc266998243"/>
      <w:bookmarkStart w:id="418" w:name="_Toc381776144"/>
      <w:bookmarkStart w:id="419" w:name="_Toc344282750"/>
      <w:r>
        <w:rPr>
          <w:rFonts w:hint="eastAsia" w:asciiTheme="minorEastAsia" w:hAnsiTheme="minorEastAsia" w:eastAsiaTheme="minorEastAsia" w:cstheme="minorEastAsia"/>
          <w:b/>
          <w:snapToGrid w:val="0"/>
          <w:color w:val="auto"/>
          <w:sz w:val="24"/>
          <w:szCs w:val="24"/>
        </w:rPr>
        <w:t>2 发包人义务</w:t>
      </w:r>
      <w:bookmarkEnd w:id="413"/>
      <w:bookmarkEnd w:id="414"/>
      <w:bookmarkEnd w:id="415"/>
      <w:bookmarkEnd w:id="416"/>
      <w:bookmarkEnd w:id="417"/>
      <w:bookmarkEnd w:id="418"/>
      <w:bookmarkEnd w:id="419"/>
    </w:p>
    <w:p w14:paraId="4C1AFC23">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20" w:name="_Toc211414960"/>
      <w:r>
        <w:rPr>
          <w:rFonts w:hint="eastAsia" w:asciiTheme="minorEastAsia" w:hAnsiTheme="minorEastAsia" w:eastAsiaTheme="minorEastAsia" w:cstheme="minorEastAsia"/>
          <w:b/>
          <w:color w:val="auto"/>
          <w:spacing w:val="20"/>
          <w:sz w:val="24"/>
          <w:szCs w:val="24"/>
        </w:rPr>
        <w:t>2.3 提供施工场地</w:t>
      </w:r>
    </w:p>
    <w:bookmarkEnd w:id="420"/>
    <w:p w14:paraId="77C7B44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2.3.2 发包人提供的用地范围为：</w:t>
      </w:r>
      <w:r>
        <w:rPr>
          <w:rFonts w:hint="eastAsia" w:asciiTheme="minorEastAsia" w:hAnsiTheme="minorEastAsia" w:eastAsiaTheme="minorEastAsia" w:cstheme="minorEastAsia"/>
          <w:snapToGrid w:val="0"/>
          <w:color w:val="auto"/>
          <w:sz w:val="24"/>
          <w:szCs w:val="24"/>
          <w:u w:val="single"/>
        </w:rPr>
        <w:t xml:space="preserve"> </w:t>
      </w:r>
      <w:r>
        <w:rPr>
          <w:rFonts w:hint="eastAsia" w:asciiTheme="minorEastAsia" w:hAnsiTheme="minorEastAsia" w:eastAsiaTheme="minorEastAsia" w:cstheme="minorEastAsia"/>
          <w:color w:val="auto"/>
          <w:sz w:val="24"/>
          <w:szCs w:val="24"/>
          <w:u w:val="single"/>
        </w:rPr>
        <w:t>征地红线范围内（</w:t>
      </w:r>
      <w:r>
        <w:rPr>
          <w:rFonts w:hint="eastAsia" w:asciiTheme="minorEastAsia" w:hAnsiTheme="minorEastAsia" w:eastAsiaTheme="minorEastAsia" w:cstheme="minorEastAsia"/>
          <w:snapToGrid w:val="0"/>
          <w:color w:val="auto"/>
          <w:sz w:val="24"/>
          <w:szCs w:val="24"/>
          <w:u w:val="single"/>
        </w:rPr>
        <w:t>即工程招标征地范围图之内</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snapToGrid w:val="0"/>
          <w:color w:val="auto"/>
          <w:sz w:val="24"/>
          <w:szCs w:val="24"/>
        </w:rPr>
        <w:t>。</w:t>
      </w:r>
    </w:p>
    <w:p w14:paraId="73763D9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21" w:name="_Toc266998244"/>
      <w:bookmarkStart w:id="422" w:name="_Toc217819045"/>
      <w:bookmarkStart w:id="423" w:name="_Toc307478974"/>
      <w:bookmarkStart w:id="424" w:name="_Toc362883275"/>
      <w:bookmarkStart w:id="425" w:name="_Toc381776145"/>
      <w:bookmarkStart w:id="426" w:name="_Toc344282751"/>
      <w:bookmarkStart w:id="427" w:name="_Toc370459052"/>
      <w:r>
        <w:rPr>
          <w:rFonts w:hint="eastAsia" w:asciiTheme="minorEastAsia" w:hAnsiTheme="minorEastAsia" w:eastAsiaTheme="minorEastAsia" w:cstheme="minorEastAsia"/>
          <w:b/>
          <w:snapToGrid w:val="0"/>
          <w:color w:val="auto"/>
          <w:sz w:val="24"/>
          <w:szCs w:val="24"/>
        </w:rPr>
        <w:t>3 监理人</w:t>
      </w:r>
      <w:bookmarkEnd w:id="421"/>
      <w:bookmarkEnd w:id="422"/>
      <w:bookmarkEnd w:id="423"/>
      <w:bookmarkEnd w:id="424"/>
      <w:bookmarkEnd w:id="425"/>
      <w:bookmarkEnd w:id="426"/>
      <w:bookmarkEnd w:id="427"/>
    </w:p>
    <w:p w14:paraId="4A18EC78">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28" w:name="_Toc134275850"/>
      <w:bookmarkStart w:id="429" w:name="_Toc211414965"/>
      <w:bookmarkStart w:id="430" w:name="_Toc140459445"/>
      <w:bookmarkStart w:id="431" w:name="_Toc118022205"/>
      <w:bookmarkStart w:id="432" w:name="_Toc140459359"/>
      <w:bookmarkStart w:id="433" w:name="_Toc113763826"/>
      <w:r>
        <w:rPr>
          <w:rFonts w:hint="eastAsia" w:asciiTheme="minorEastAsia" w:hAnsiTheme="minorEastAsia" w:eastAsiaTheme="minorEastAsia" w:cstheme="minorEastAsia"/>
          <w:b/>
          <w:color w:val="auto"/>
          <w:spacing w:val="20"/>
          <w:sz w:val="24"/>
          <w:szCs w:val="24"/>
        </w:rPr>
        <w:t xml:space="preserve">3.1 </w:t>
      </w:r>
      <w:bookmarkEnd w:id="428"/>
      <w:bookmarkEnd w:id="429"/>
      <w:bookmarkEnd w:id="430"/>
      <w:bookmarkEnd w:id="431"/>
      <w:bookmarkEnd w:id="432"/>
      <w:bookmarkEnd w:id="433"/>
      <w:bookmarkStart w:id="434" w:name="_Toc118022206"/>
      <w:bookmarkStart w:id="435" w:name="_Toc113763827"/>
      <w:r>
        <w:rPr>
          <w:rFonts w:hint="eastAsia" w:asciiTheme="minorEastAsia" w:hAnsiTheme="minorEastAsia" w:eastAsiaTheme="minorEastAsia" w:cstheme="minorEastAsia"/>
          <w:b/>
          <w:color w:val="auto"/>
          <w:spacing w:val="20"/>
          <w:sz w:val="24"/>
          <w:szCs w:val="24"/>
        </w:rPr>
        <w:t>监理人的职责和权力</w:t>
      </w:r>
      <w:bookmarkEnd w:id="434"/>
      <w:bookmarkEnd w:id="435"/>
    </w:p>
    <w:p w14:paraId="7CC58150">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3.1.1 监理人在行使下列权力前须得到发包人的事先批准：</w:t>
      </w:r>
    </w:p>
    <w:p w14:paraId="5AF30D30">
      <w:pPr>
        <w:autoSpaceDE w:val="0"/>
        <w:autoSpaceDN w:val="0"/>
        <w:adjustRightInd w:val="0"/>
        <w:snapToGrid w:val="0"/>
        <w:spacing w:line="400" w:lineRule="exact"/>
        <w:ind w:firstLine="240" w:firstLineChars="1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⑴</w:t>
      </w:r>
      <w:r>
        <w:rPr>
          <w:rFonts w:hint="eastAsia" w:asciiTheme="minorEastAsia" w:hAnsiTheme="minorEastAsia" w:eastAsiaTheme="minorEastAsia" w:cstheme="minorEastAsia"/>
          <w:snapToGrid w:val="0"/>
          <w:color w:val="auto"/>
          <w:sz w:val="24"/>
          <w:szCs w:val="24"/>
          <w:u w:val="single"/>
        </w:rPr>
        <w:t xml:space="preserve"> 按第4.3条规定，批准工程分包 </w:t>
      </w:r>
      <w:r>
        <w:rPr>
          <w:rFonts w:hint="eastAsia" w:asciiTheme="minorEastAsia" w:hAnsiTheme="minorEastAsia" w:eastAsiaTheme="minorEastAsia" w:cstheme="minorEastAsia"/>
          <w:snapToGrid w:val="0"/>
          <w:color w:val="auto"/>
          <w:sz w:val="24"/>
          <w:szCs w:val="24"/>
        </w:rPr>
        <w:t>；</w:t>
      </w:r>
    </w:p>
    <w:p w14:paraId="4150EA6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⑵</w:t>
      </w:r>
      <w:r>
        <w:rPr>
          <w:rFonts w:hint="eastAsia" w:asciiTheme="minorEastAsia" w:hAnsiTheme="minorEastAsia" w:eastAsiaTheme="minorEastAsia" w:cstheme="minorEastAsia"/>
          <w:snapToGrid w:val="0"/>
          <w:color w:val="auto"/>
          <w:sz w:val="24"/>
          <w:szCs w:val="24"/>
          <w:u w:val="single"/>
        </w:rPr>
        <w:t xml:space="preserve"> 按第11.3款规定，确定延长完工期限 </w:t>
      </w:r>
      <w:r>
        <w:rPr>
          <w:rFonts w:hint="eastAsia" w:asciiTheme="minorEastAsia" w:hAnsiTheme="minorEastAsia" w:eastAsiaTheme="minorEastAsia" w:cstheme="minorEastAsia"/>
          <w:snapToGrid w:val="0"/>
          <w:color w:val="auto"/>
          <w:sz w:val="24"/>
          <w:szCs w:val="24"/>
        </w:rPr>
        <w:t>；</w:t>
      </w:r>
    </w:p>
    <w:p w14:paraId="0675F05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w:t>
      </w:r>
      <w:r>
        <w:rPr>
          <w:rFonts w:hint="eastAsia" w:asciiTheme="minorEastAsia" w:hAnsiTheme="minorEastAsia" w:eastAsiaTheme="minorEastAsia" w:cstheme="minorEastAsia"/>
          <w:snapToGrid w:val="0"/>
          <w:color w:val="auto"/>
          <w:sz w:val="24"/>
          <w:szCs w:val="24"/>
          <w:u w:val="single"/>
        </w:rPr>
        <w:t xml:space="preserve"> 按第15.6条规定，批准暂列金额的使用 </w:t>
      </w:r>
      <w:r>
        <w:rPr>
          <w:rFonts w:hint="eastAsia" w:asciiTheme="minorEastAsia" w:hAnsiTheme="minorEastAsia" w:eastAsiaTheme="minorEastAsia" w:cstheme="minorEastAsia"/>
          <w:snapToGrid w:val="0"/>
          <w:color w:val="auto"/>
          <w:sz w:val="24"/>
          <w:szCs w:val="24"/>
        </w:rPr>
        <w:t>；</w:t>
      </w:r>
    </w:p>
    <w:p w14:paraId="1AA16542">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36" w:name="_Toc344282752"/>
      <w:bookmarkStart w:id="437" w:name="_Toc259456738"/>
      <w:bookmarkStart w:id="438" w:name="_Toc266998245"/>
      <w:bookmarkStart w:id="439" w:name="_Toc370459053"/>
      <w:bookmarkStart w:id="440" w:name="_Toc259451999"/>
      <w:bookmarkStart w:id="441" w:name="_Toc381776146"/>
      <w:bookmarkStart w:id="442" w:name="_Toc307478975"/>
      <w:bookmarkStart w:id="443" w:name="_Toc362883276"/>
      <w:r>
        <w:rPr>
          <w:rFonts w:hint="eastAsia" w:asciiTheme="minorEastAsia" w:hAnsiTheme="minorEastAsia" w:eastAsiaTheme="minorEastAsia" w:cstheme="minorEastAsia"/>
          <w:b/>
          <w:snapToGrid w:val="0"/>
          <w:color w:val="auto"/>
          <w:sz w:val="24"/>
          <w:szCs w:val="24"/>
        </w:rPr>
        <w:t>4 承包人</w:t>
      </w:r>
      <w:bookmarkEnd w:id="436"/>
      <w:bookmarkEnd w:id="437"/>
      <w:bookmarkEnd w:id="438"/>
      <w:bookmarkEnd w:id="439"/>
      <w:bookmarkEnd w:id="440"/>
      <w:bookmarkEnd w:id="441"/>
      <w:bookmarkEnd w:id="442"/>
      <w:bookmarkEnd w:id="443"/>
    </w:p>
    <w:p w14:paraId="5CD95E5B">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4.1 承包人一般义务</w:t>
      </w:r>
    </w:p>
    <w:p w14:paraId="65782FB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4.1.10 其它义务</w:t>
      </w:r>
    </w:p>
    <w:p w14:paraId="04BE1F3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(1)承担施工安全保卫工作及施工照明的责任和要求：根据工程需要，提供和维修施工使用的照明、围栏设施，并负责安全保卫。</w:t>
      </w:r>
    </w:p>
    <w:p w14:paraId="5ADDF79E">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3ECCC2AE">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23B46F56">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（4）施工现场清洁卫生的要求：保证施工场地清洁符合环境卫生管理的有关规定，竣工验收通过后30天内工完场清，并承担因自身原因违反有关规定造成的损失和罚款。</w:t>
      </w:r>
    </w:p>
    <w:p w14:paraId="7C474D29">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（5）双方约定承包人应做的其他工作：</w:t>
      </w:r>
    </w:p>
    <w:p w14:paraId="68F90D73">
      <w:pPr>
        <w:autoSpaceDE w:val="0"/>
        <w:autoSpaceDN w:val="0"/>
        <w:adjustRightInd w:val="0"/>
        <w:snapToGrid w:val="0"/>
        <w:spacing w:line="400" w:lineRule="exact"/>
        <w:ind w:firstLine="488"/>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1) 按时向发包人（或工程师）提交开竣工报告、隐蔽工程验收报告、质量自检记录、交工验收报告及工程事故报告等资料。 </w:t>
      </w:r>
    </w:p>
    <w:p w14:paraId="40E707CB">
      <w:pPr>
        <w:autoSpaceDE w:val="0"/>
        <w:autoSpaceDN w:val="0"/>
        <w:adjustRightInd w:val="0"/>
        <w:snapToGrid w:val="0"/>
        <w:spacing w:line="400" w:lineRule="exact"/>
        <w:ind w:firstLine="480" w:firstLineChars="20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DDD348A">
      <w:pPr>
        <w:autoSpaceDE w:val="0"/>
        <w:autoSpaceDN w:val="0"/>
        <w:adjustRightInd w:val="0"/>
        <w:snapToGrid w:val="0"/>
        <w:spacing w:line="400" w:lineRule="exact"/>
        <w:ind w:firstLine="480" w:firstLineChars="20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 负责放样、测量。每次测量成果均应有复核记录，并及时将测量成果记录书面送交监理人确认。承包人应对测量成果承担全部责任。</w:t>
      </w:r>
    </w:p>
    <w:p w14:paraId="1679B734">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4) 必须接受发包人的管理或其委托的监理单位的监理，并为其开展工作和生活提供方便，按照要求提供完整真实的原始记录、检测记录等技术资料及各种报表。</w:t>
      </w:r>
    </w:p>
    <w:p w14:paraId="0EAEDAFE">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5) 承包人必须开展工程施工合同质量管理，密切配合工程师全面质量管理、环境管理和职业安全健康管理等工作的进行。</w:t>
      </w:r>
    </w:p>
    <w:p w14:paraId="0782BC21">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6) 承包人不按合同约定完成以上工作，发包人有权限令其停止施工并进行整改，由此引起的损失由承包人承担。</w:t>
      </w:r>
    </w:p>
    <w:p w14:paraId="1F83228D">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7) 承包人应执行发包人对工程管理所制定的各项管理制度。</w:t>
      </w:r>
    </w:p>
    <w:p w14:paraId="3D7F0072">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42FB4AE8">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9) 参加发包人召开的与本工程相关的会议，并作好会前有关资料的准备。在保修期内要及时做好回访工作，属保修责任范围的事项应及时按质检标准修好。</w:t>
      </w:r>
    </w:p>
    <w:p w14:paraId="3B8D19C4">
      <w:pPr>
        <w:autoSpaceDE w:val="0"/>
        <w:autoSpaceDN w:val="0"/>
        <w:adjustRightInd w:val="0"/>
        <w:snapToGrid w:val="0"/>
        <w:spacing w:line="400" w:lineRule="exact"/>
        <w:ind w:firstLine="432"/>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10) 承包人做好工程开工仪式现场相关准备工作，主要工作内容包括：必要的临时设施布置、场地平整，会场平台搭设，必要的施工机械设备、施工队伍展示等工作。</w:t>
      </w:r>
    </w:p>
    <w:p w14:paraId="12680F7A">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（6）上述（1）至（5）各条款涉及的各类费用均应列入措施费内，发包人不再向承包人另行支付。如因此类原因导致工期延误，工期不予顺延，并由承包人承担相应的责任及费用。</w:t>
      </w:r>
    </w:p>
    <w:p w14:paraId="6AE7D2B1">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（7）其他参建单位可无偿共用承包人建造的道路、码头等交通设施。</w:t>
      </w:r>
    </w:p>
    <w:p w14:paraId="6535AB49">
      <w:pPr>
        <w:autoSpaceDE w:val="0"/>
        <w:autoSpaceDN w:val="0"/>
        <w:adjustRightInd w:val="0"/>
        <w:snapToGrid w:val="0"/>
        <w:spacing w:line="400" w:lineRule="exact"/>
        <w:textAlignment w:val="bottom"/>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4.2  履约担保</w:t>
      </w:r>
    </w:p>
    <w:p w14:paraId="2F66FF09">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4.2.1 承包人是否提供履约担保：</w:t>
      </w:r>
      <w:r>
        <w:rPr>
          <w:rFonts w:hint="eastAsia" w:asciiTheme="minorEastAsia" w:hAnsiTheme="minorEastAsia" w:eastAsiaTheme="minorEastAsia" w:cstheme="minorEastAsia"/>
          <w:b/>
          <w:bCs/>
          <w:snapToGrid w:val="0"/>
          <w:color w:val="auto"/>
          <w:sz w:val="24"/>
          <w:szCs w:val="24"/>
          <w:u w:val="single"/>
        </w:rPr>
        <w:t xml:space="preserve">   是   </w:t>
      </w:r>
      <w:r>
        <w:rPr>
          <w:rFonts w:hint="eastAsia" w:asciiTheme="minorEastAsia" w:hAnsiTheme="minorEastAsia" w:eastAsiaTheme="minorEastAsia" w:cstheme="minorEastAsia"/>
          <w:b/>
          <w:bCs/>
          <w:snapToGrid w:val="0"/>
          <w:color w:val="auto"/>
          <w:sz w:val="24"/>
          <w:szCs w:val="24"/>
        </w:rPr>
        <w:t>。</w:t>
      </w:r>
    </w:p>
    <w:p w14:paraId="47E0C962">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4.2.2 承包人提供履约担保的形式、金额及期限的约定：</w:t>
      </w:r>
    </w:p>
    <w:p w14:paraId="2EB84E8A">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 xml:space="preserve">承包人提供的履约保函形式为： </w:t>
      </w:r>
      <w:r>
        <w:rPr>
          <w:rFonts w:hint="eastAsia" w:asciiTheme="minorEastAsia" w:hAnsiTheme="minorEastAsia" w:eastAsiaTheme="minorEastAsia" w:cstheme="minorEastAsia"/>
          <w:b/>
          <w:bCs/>
          <w:snapToGrid w:val="0"/>
          <w:color w:val="auto"/>
          <w:sz w:val="24"/>
          <w:szCs w:val="24"/>
          <w:u w:val="single"/>
        </w:rPr>
        <w:t>银行保函或保险机构保证保险保单</w:t>
      </w:r>
      <w:r>
        <w:rPr>
          <w:rFonts w:hint="eastAsia" w:asciiTheme="minorEastAsia" w:hAnsiTheme="minorEastAsia" w:eastAsiaTheme="minorEastAsia" w:cstheme="minorEastAsia"/>
          <w:b/>
          <w:bCs/>
          <w:snapToGrid w:val="0"/>
          <w:color w:val="auto"/>
          <w:sz w:val="24"/>
          <w:szCs w:val="24"/>
        </w:rPr>
        <w:t xml:space="preserve">。 </w:t>
      </w:r>
    </w:p>
    <w:p w14:paraId="178B8653">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lang w:val="zh-CN" w:eastAsia="zh-CN"/>
        </w:rPr>
      </w:pPr>
      <w:r>
        <w:rPr>
          <w:rFonts w:hint="eastAsia" w:asciiTheme="minorEastAsia" w:hAnsiTheme="minorEastAsia" w:eastAsiaTheme="minorEastAsia" w:cstheme="minorEastAsia"/>
          <w:b/>
          <w:bCs/>
          <w:snapToGrid w:val="0"/>
          <w:color w:val="auto"/>
          <w:sz w:val="24"/>
          <w:szCs w:val="24"/>
        </w:rPr>
        <w:t>履约保证金金额：</w:t>
      </w:r>
      <w:r>
        <w:rPr>
          <w:rFonts w:hint="eastAsia" w:asciiTheme="minorEastAsia" w:hAnsiTheme="minorEastAsia" w:eastAsiaTheme="minorEastAsia" w:cstheme="minorEastAsia"/>
          <w:b/>
          <w:bCs/>
          <w:snapToGrid w:val="0"/>
          <w:color w:val="auto"/>
          <w:sz w:val="24"/>
          <w:szCs w:val="24"/>
          <w:lang w:val="zh-CN" w:eastAsia="zh-CN"/>
        </w:rPr>
        <w:t>合同总价的</w:t>
      </w:r>
      <w:r>
        <w:rPr>
          <w:rFonts w:hint="eastAsia" w:asciiTheme="minorEastAsia" w:hAnsiTheme="minorEastAsia" w:eastAsiaTheme="minorEastAsia" w:cstheme="minorEastAsia"/>
          <w:b/>
          <w:bCs/>
          <w:snapToGrid w:val="0"/>
          <w:color w:val="auto"/>
          <w:sz w:val="24"/>
          <w:szCs w:val="24"/>
          <w:u w:val="single"/>
          <w:lang w:val="zh-CN" w:eastAsia="zh-CN"/>
        </w:rPr>
        <w:t xml:space="preserve"> 1% </w:t>
      </w:r>
      <w:r>
        <w:rPr>
          <w:rFonts w:hint="eastAsia" w:asciiTheme="minorEastAsia" w:hAnsiTheme="minorEastAsia" w:eastAsiaTheme="minorEastAsia" w:cstheme="minorEastAsia"/>
          <w:b/>
          <w:bCs/>
          <w:snapToGrid w:val="0"/>
          <w:color w:val="auto"/>
          <w:sz w:val="24"/>
          <w:szCs w:val="24"/>
          <w:lang w:val="zh-CN" w:eastAsia="zh-CN"/>
        </w:rPr>
        <w:t>。</w:t>
      </w:r>
    </w:p>
    <w:p w14:paraId="431D20D5">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履约保证金</w:t>
      </w:r>
      <w:r>
        <w:rPr>
          <w:rFonts w:hint="eastAsia" w:asciiTheme="minorEastAsia" w:hAnsiTheme="minorEastAsia" w:eastAsiaTheme="minorEastAsia" w:cstheme="minorEastAsia"/>
          <w:b/>
          <w:bCs/>
          <w:snapToGrid w:val="0"/>
          <w:color w:val="auto"/>
          <w:sz w:val="24"/>
          <w:szCs w:val="24"/>
          <w:lang w:val="en-US" w:eastAsia="zh-CN"/>
        </w:rPr>
        <w:t>期限：</w:t>
      </w:r>
      <w:r>
        <w:rPr>
          <w:rFonts w:hint="eastAsia" w:asciiTheme="minorEastAsia" w:hAnsiTheme="minorEastAsia" w:eastAsiaTheme="minorEastAsia" w:cstheme="minorEastAsia"/>
          <w:b/>
          <w:bCs/>
          <w:snapToGrid w:val="0"/>
          <w:color w:val="auto"/>
          <w:sz w:val="24"/>
          <w:szCs w:val="24"/>
        </w:rPr>
        <w:t>在合同工程通过完工验收后10日内，承包人凭相关证明材料，办理撤保手续。</w:t>
      </w:r>
    </w:p>
    <w:p w14:paraId="7F5EA5D9">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w:t>
      </w:r>
      <w:r>
        <w:rPr>
          <w:rFonts w:hint="eastAsia" w:asciiTheme="minorEastAsia" w:hAnsiTheme="minorEastAsia" w:eastAsiaTheme="minorEastAsia" w:cstheme="minorEastAsia"/>
          <w:b/>
          <w:bCs/>
          <w:snapToGrid w:val="0"/>
          <w:color w:val="auto"/>
          <w:sz w:val="24"/>
          <w:szCs w:val="24"/>
          <w:lang w:val="en-US" w:eastAsia="zh-CN"/>
        </w:rPr>
        <w:t>3</w:t>
      </w:r>
      <w:r>
        <w:rPr>
          <w:rFonts w:hint="eastAsia" w:asciiTheme="minorEastAsia" w:hAnsiTheme="minorEastAsia" w:eastAsiaTheme="minorEastAsia" w:cstheme="minorEastAsia"/>
          <w:b/>
          <w:bCs/>
          <w:snapToGrid w:val="0"/>
          <w:color w:val="auto"/>
          <w:sz w:val="24"/>
          <w:szCs w:val="24"/>
        </w:rPr>
        <w:t xml:space="preserve">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236E6927">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w:t>
      </w:r>
      <w:r>
        <w:rPr>
          <w:rFonts w:hint="eastAsia" w:asciiTheme="minorEastAsia" w:hAnsiTheme="minorEastAsia" w:eastAsiaTheme="minorEastAsia" w:cstheme="minorEastAsia"/>
          <w:b/>
          <w:bCs/>
          <w:snapToGrid w:val="0"/>
          <w:color w:val="auto"/>
          <w:sz w:val="24"/>
          <w:szCs w:val="24"/>
          <w:lang w:val="en-US" w:eastAsia="zh-CN"/>
        </w:rPr>
        <w:t>4</w:t>
      </w:r>
      <w:r>
        <w:rPr>
          <w:rFonts w:hint="eastAsia" w:asciiTheme="minorEastAsia" w:hAnsiTheme="minorEastAsia" w:eastAsiaTheme="minorEastAsia" w:cstheme="minorEastAsia"/>
          <w:b/>
          <w:bCs/>
          <w:snapToGrid w:val="0"/>
          <w:color w:val="auto"/>
          <w:sz w:val="24"/>
          <w:szCs w:val="24"/>
        </w:rPr>
        <w:t xml:space="preserve">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6909DC7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4.3 分包</w:t>
      </w:r>
    </w:p>
    <w:p w14:paraId="2A87B0C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4.3.2允许承包人分包的工程项目、工作内容如下：</w:t>
      </w:r>
    </w:p>
    <w:p w14:paraId="086035E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 工程项目：</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4971108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 工作内容：</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06FAAFE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本款补充如下：</w:t>
      </w:r>
      <w:r>
        <w:rPr>
          <w:rFonts w:hint="eastAsia" w:asciiTheme="minorEastAsia" w:hAnsiTheme="minorEastAsia" w:eastAsiaTheme="minorEastAsia" w:cstheme="minorEastAsia"/>
          <w:snapToGrid w:val="0"/>
          <w:color w:val="auto"/>
          <w:sz w:val="24"/>
          <w:szCs w:val="24"/>
          <w:u w:val="single"/>
        </w:rPr>
        <w:t xml:space="preserve">  /。</w:t>
      </w:r>
    </w:p>
    <w:p w14:paraId="0D30562D">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4.5 承包人项目负责人</w:t>
      </w:r>
    </w:p>
    <w:p w14:paraId="3747F5D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补充4.5.5款：</w:t>
      </w:r>
    </w:p>
    <w:p w14:paraId="74F03E01">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4.5.5 项目负责人每月驻工地的天数不少于22天。</w:t>
      </w:r>
    </w:p>
    <w:p w14:paraId="6FE8F3E6">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4.6承包人人员的管理</w:t>
      </w:r>
    </w:p>
    <w:p w14:paraId="2ECF603D">
      <w:pPr>
        <w:tabs>
          <w:tab w:val="left" w:pos="618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补充4.6.5款：</w:t>
      </w:r>
      <w:r>
        <w:rPr>
          <w:rFonts w:hint="eastAsia" w:asciiTheme="minorEastAsia" w:hAnsiTheme="minorEastAsia" w:eastAsiaTheme="minorEastAsia" w:cstheme="minorEastAsia"/>
          <w:snapToGrid w:val="0"/>
          <w:color w:val="auto"/>
          <w:sz w:val="24"/>
          <w:szCs w:val="24"/>
        </w:rPr>
        <w:tab/>
      </w:r>
    </w:p>
    <w:p w14:paraId="6FB4450C">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4.6.5 项目技术负责人每月驻工地时间不得少于</w:t>
      </w:r>
      <w:r>
        <w:rPr>
          <w:rFonts w:hint="eastAsia" w:asciiTheme="minorEastAsia" w:hAnsiTheme="minorEastAsia" w:eastAsiaTheme="minorEastAsia" w:cstheme="minorEastAsia"/>
          <w:snapToGrid w:val="0"/>
          <w:color w:val="auto"/>
          <w:sz w:val="24"/>
          <w:szCs w:val="24"/>
          <w:u w:val="single"/>
        </w:rPr>
        <w:t xml:space="preserve"> 22 </w:t>
      </w:r>
      <w:r>
        <w:rPr>
          <w:rFonts w:hint="eastAsia" w:asciiTheme="minorEastAsia" w:hAnsiTheme="minorEastAsia" w:eastAsiaTheme="minorEastAsia" w:cstheme="minorEastAsia"/>
          <w:snapToGrid w:val="0"/>
          <w:color w:val="auto"/>
          <w:sz w:val="24"/>
          <w:szCs w:val="24"/>
        </w:rPr>
        <w:t>天。</w:t>
      </w:r>
    </w:p>
    <w:p w14:paraId="51D2DC8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4.6.6 项目施工员、质检（量）员、安全员每月驻工地时间不得少于</w:t>
      </w:r>
      <w:r>
        <w:rPr>
          <w:rFonts w:hint="eastAsia" w:asciiTheme="minorEastAsia" w:hAnsiTheme="minorEastAsia" w:eastAsiaTheme="minorEastAsia" w:cstheme="minorEastAsia"/>
          <w:snapToGrid w:val="0"/>
          <w:color w:val="auto"/>
          <w:sz w:val="24"/>
          <w:szCs w:val="24"/>
          <w:u w:val="single"/>
        </w:rPr>
        <w:t xml:space="preserve"> 25 </w:t>
      </w:r>
      <w:r>
        <w:rPr>
          <w:rFonts w:hint="eastAsia" w:asciiTheme="minorEastAsia" w:hAnsiTheme="minorEastAsia" w:eastAsiaTheme="minorEastAsia" w:cstheme="minorEastAsia"/>
          <w:snapToGrid w:val="0"/>
          <w:color w:val="auto"/>
          <w:sz w:val="24"/>
          <w:szCs w:val="24"/>
        </w:rPr>
        <w:t>天。</w:t>
      </w:r>
    </w:p>
    <w:p w14:paraId="3F5B14C3">
      <w:pPr>
        <w:autoSpaceDE w:val="0"/>
        <w:autoSpaceDN w:val="0"/>
        <w:adjustRightInd w:val="0"/>
        <w:snapToGrid w:val="0"/>
        <w:spacing w:line="400" w:lineRule="exact"/>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4.11  不利物质条件</w:t>
      </w:r>
    </w:p>
    <w:p w14:paraId="0740DF97">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4.11.1 不利物质条件的范围：施工中遇到文物或古迹。</w:t>
      </w:r>
    </w:p>
    <w:p w14:paraId="52B0A38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44" w:name="_Toc266998246"/>
      <w:bookmarkStart w:id="445" w:name="_Toc381776147"/>
      <w:bookmarkStart w:id="446" w:name="_Toc217819047"/>
      <w:bookmarkStart w:id="447" w:name="_Toc362883277"/>
      <w:bookmarkStart w:id="448" w:name="_Toc307478976"/>
      <w:bookmarkStart w:id="449" w:name="_Toc344282753"/>
      <w:bookmarkStart w:id="450" w:name="_Toc370459054"/>
      <w:r>
        <w:rPr>
          <w:rFonts w:hint="eastAsia" w:asciiTheme="minorEastAsia" w:hAnsiTheme="minorEastAsia" w:eastAsiaTheme="minorEastAsia" w:cstheme="minorEastAsia"/>
          <w:b/>
          <w:snapToGrid w:val="0"/>
          <w:color w:val="auto"/>
          <w:sz w:val="24"/>
          <w:szCs w:val="24"/>
        </w:rPr>
        <w:t>5 材料和工程设备</w:t>
      </w:r>
      <w:bookmarkEnd w:id="444"/>
      <w:bookmarkEnd w:id="445"/>
      <w:bookmarkEnd w:id="446"/>
      <w:bookmarkEnd w:id="447"/>
      <w:bookmarkEnd w:id="448"/>
      <w:bookmarkEnd w:id="449"/>
      <w:bookmarkEnd w:id="450"/>
    </w:p>
    <w:p w14:paraId="38FB8AF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51" w:name="_Toc370459055"/>
      <w:bookmarkStart w:id="452" w:name="_Toc362883278"/>
      <w:bookmarkStart w:id="453" w:name="_Toc381776148"/>
      <w:r>
        <w:rPr>
          <w:rFonts w:hint="eastAsia" w:asciiTheme="minorEastAsia" w:hAnsiTheme="minorEastAsia" w:eastAsiaTheme="minorEastAsia" w:cstheme="minorEastAsia"/>
          <w:b/>
          <w:color w:val="auto"/>
          <w:spacing w:val="20"/>
          <w:sz w:val="24"/>
          <w:szCs w:val="24"/>
        </w:rPr>
        <w:t>5.2 发包人提供的材料和工程设备</w:t>
      </w:r>
      <w:bookmarkEnd w:id="451"/>
      <w:bookmarkEnd w:id="452"/>
      <w:bookmarkEnd w:id="453"/>
    </w:p>
    <w:p w14:paraId="12D6481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bookmarkStart w:id="454" w:name="_Toc241374751"/>
      <w:r>
        <w:rPr>
          <w:rFonts w:hint="eastAsia" w:asciiTheme="minorEastAsia" w:hAnsiTheme="minorEastAsia" w:eastAsiaTheme="minorEastAsia" w:cstheme="minorEastAsia"/>
          <w:snapToGrid w:val="0"/>
          <w:color w:val="auto"/>
          <w:sz w:val="24"/>
          <w:szCs w:val="24"/>
        </w:rPr>
        <w:t>删除本款全文，代之以：</w:t>
      </w:r>
    </w:p>
    <w:p w14:paraId="3A651DE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u w:val="single"/>
        </w:rPr>
        <w:t>发包人不提供材料和工程设备</w:t>
      </w:r>
      <w:r>
        <w:rPr>
          <w:rFonts w:hint="eastAsia" w:asciiTheme="minorEastAsia" w:hAnsiTheme="minorEastAsia" w:eastAsiaTheme="minorEastAsia" w:cstheme="minorEastAsia"/>
          <w:snapToGrid w:val="0"/>
          <w:color w:val="auto"/>
          <w:sz w:val="24"/>
          <w:szCs w:val="24"/>
        </w:rPr>
        <w:t>。</w:t>
      </w:r>
    </w:p>
    <w:p w14:paraId="2915CFD7">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55" w:name="_Toc266998247"/>
      <w:bookmarkStart w:id="456" w:name="_Toc370459056"/>
      <w:bookmarkStart w:id="457" w:name="_Toc362883279"/>
      <w:bookmarkStart w:id="458" w:name="_Toc344282754"/>
      <w:bookmarkStart w:id="459" w:name="_Toc381776149"/>
      <w:bookmarkStart w:id="460" w:name="_Toc307478977"/>
      <w:r>
        <w:rPr>
          <w:rFonts w:hint="eastAsia" w:asciiTheme="minorEastAsia" w:hAnsiTheme="minorEastAsia" w:eastAsiaTheme="minorEastAsia" w:cstheme="minorEastAsia"/>
          <w:b/>
          <w:snapToGrid w:val="0"/>
          <w:color w:val="auto"/>
          <w:sz w:val="24"/>
          <w:szCs w:val="24"/>
        </w:rPr>
        <w:t>6 施工设备和临时设施</w:t>
      </w:r>
      <w:bookmarkEnd w:id="454"/>
      <w:bookmarkEnd w:id="455"/>
      <w:bookmarkEnd w:id="456"/>
      <w:bookmarkEnd w:id="457"/>
      <w:bookmarkEnd w:id="458"/>
      <w:bookmarkEnd w:id="459"/>
      <w:bookmarkEnd w:id="460"/>
    </w:p>
    <w:p w14:paraId="3DACA9EF">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61" w:name="_Toc362883280"/>
      <w:bookmarkStart w:id="462" w:name="_Toc370459057"/>
      <w:bookmarkStart w:id="463" w:name="_Toc381776150"/>
      <w:r>
        <w:rPr>
          <w:rFonts w:hint="eastAsia" w:asciiTheme="minorEastAsia" w:hAnsiTheme="minorEastAsia" w:eastAsiaTheme="minorEastAsia" w:cstheme="minorEastAsia"/>
          <w:b/>
          <w:color w:val="auto"/>
          <w:spacing w:val="20"/>
          <w:sz w:val="24"/>
          <w:szCs w:val="24"/>
        </w:rPr>
        <w:t>6.1 承包人提供的施工设备和临时设施</w:t>
      </w:r>
    </w:p>
    <w:p w14:paraId="4EB8171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rPr>
        <w:t xml:space="preserve">6.1.2 </w:t>
      </w:r>
      <w:r>
        <w:rPr>
          <w:rFonts w:hint="eastAsia" w:asciiTheme="minorEastAsia" w:hAnsiTheme="minorEastAsia" w:eastAsiaTheme="minorEastAsia" w:cstheme="minorEastAsia"/>
          <w:color w:val="auto"/>
          <w:sz w:val="24"/>
          <w:szCs w:val="24"/>
        </w:rPr>
        <w:t>承包人应提供合理的临时用地方案，报发包人同意；发包人有权指定临时用地</w:t>
      </w:r>
      <w:r>
        <w:rPr>
          <w:rFonts w:hint="eastAsia" w:asciiTheme="minorEastAsia" w:hAnsiTheme="minorEastAsia" w:eastAsiaTheme="minorEastAsia" w:cstheme="minorEastAsia"/>
          <w:snapToGrid w:val="0"/>
          <w:color w:val="auto"/>
          <w:sz w:val="24"/>
          <w:szCs w:val="24"/>
        </w:rPr>
        <w:t>。</w:t>
      </w:r>
      <w:r>
        <w:rPr>
          <w:rFonts w:hint="eastAsia" w:asciiTheme="minorEastAsia" w:hAnsiTheme="minorEastAsia" w:eastAsiaTheme="minorEastAsia" w:cstheme="minorEastAsia"/>
          <w:color w:val="auto"/>
          <w:sz w:val="24"/>
          <w:szCs w:val="24"/>
        </w:rPr>
        <w:t>临时用地审批及租赁费由发包人负责，承包人应自行承担修建临时设施的费用。</w:t>
      </w:r>
    </w:p>
    <w:p w14:paraId="0C62CAD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6.2 发包人提供的施工设备和临时设施</w:t>
      </w:r>
      <w:bookmarkEnd w:id="461"/>
      <w:bookmarkEnd w:id="462"/>
      <w:bookmarkEnd w:id="463"/>
    </w:p>
    <w:p w14:paraId="002088C7">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u w:val="single"/>
        </w:rPr>
        <w:t>发包人不提供施工设备和临时设施</w:t>
      </w:r>
      <w:r>
        <w:rPr>
          <w:rFonts w:hint="eastAsia" w:asciiTheme="minorEastAsia" w:hAnsiTheme="minorEastAsia" w:eastAsiaTheme="minorEastAsia" w:cstheme="minorEastAsia"/>
          <w:snapToGrid w:val="0"/>
          <w:color w:val="auto"/>
          <w:sz w:val="24"/>
          <w:szCs w:val="24"/>
        </w:rPr>
        <w:t xml:space="preserve">。  </w:t>
      </w:r>
    </w:p>
    <w:p w14:paraId="1A44093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64" w:name="_Toc307478979"/>
      <w:bookmarkStart w:id="465" w:name="_Toc180571570"/>
      <w:bookmarkStart w:id="466" w:name="_Toc370459059"/>
      <w:bookmarkStart w:id="467" w:name="_Toc205630997"/>
      <w:bookmarkStart w:id="468" w:name="_Toc42486664"/>
      <w:bookmarkStart w:id="469" w:name="_Toc45083852"/>
      <w:bookmarkStart w:id="470" w:name="_Toc211414973"/>
      <w:bookmarkStart w:id="471" w:name="_Toc344282756"/>
      <w:bookmarkStart w:id="472" w:name="_Toc140637786"/>
      <w:bookmarkStart w:id="473" w:name="_Toc362883282"/>
      <w:bookmarkStart w:id="474" w:name="_Toc266998249"/>
      <w:bookmarkStart w:id="475" w:name="_Toc217819050"/>
      <w:bookmarkStart w:id="476" w:name="_Toc381776152"/>
      <w:bookmarkStart w:id="477" w:name="_Toc139938722"/>
      <w:r>
        <w:rPr>
          <w:rFonts w:hint="eastAsia" w:asciiTheme="minorEastAsia" w:hAnsiTheme="minorEastAsia" w:eastAsiaTheme="minorEastAsia" w:cstheme="minorEastAsia"/>
          <w:b/>
          <w:snapToGrid w:val="0"/>
          <w:color w:val="auto"/>
          <w:sz w:val="24"/>
          <w:szCs w:val="24"/>
        </w:rPr>
        <w:t>8 测量放线</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6B3618F">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78" w:name="_Toc45083853"/>
      <w:bookmarkStart w:id="479" w:name="_Toc140637787"/>
      <w:bookmarkStart w:id="480" w:name="_Toc180571571"/>
      <w:bookmarkStart w:id="481" w:name="_Toc42486665"/>
      <w:bookmarkStart w:id="482" w:name="_Toc139938723"/>
      <w:r>
        <w:rPr>
          <w:rFonts w:hint="eastAsia" w:asciiTheme="minorEastAsia" w:hAnsiTheme="minorEastAsia" w:eastAsiaTheme="minorEastAsia" w:cstheme="minorEastAsia"/>
          <w:b/>
          <w:color w:val="auto"/>
          <w:spacing w:val="20"/>
          <w:sz w:val="24"/>
          <w:szCs w:val="24"/>
        </w:rPr>
        <w:t>8.1 施工控制网</w:t>
      </w:r>
      <w:bookmarkEnd w:id="478"/>
      <w:bookmarkEnd w:id="479"/>
      <w:bookmarkEnd w:id="480"/>
      <w:bookmarkEnd w:id="481"/>
      <w:bookmarkEnd w:id="482"/>
    </w:p>
    <w:p w14:paraId="1517C5B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u w:val="single"/>
        </w:rPr>
      </w:pPr>
      <w:r>
        <w:rPr>
          <w:rFonts w:hint="eastAsia" w:asciiTheme="minorEastAsia" w:hAnsiTheme="minorEastAsia" w:eastAsiaTheme="minorEastAsia" w:cstheme="minorEastAsia"/>
          <w:snapToGrid w:val="0"/>
          <w:color w:val="auto"/>
          <w:sz w:val="24"/>
          <w:szCs w:val="24"/>
        </w:rPr>
        <w:t>8.1.1 施工控制网的约定：</w:t>
      </w:r>
      <w:r>
        <w:rPr>
          <w:rFonts w:hint="eastAsia" w:asciiTheme="minorEastAsia" w:hAnsiTheme="minorEastAsia" w:eastAsiaTheme="minorEastAsia" w:cstheme="minorEastAsia"/>
          <w:snapToGrid w:val="0"/>
          <w:color w:val="auto"/>
          <w:sz w:val="24"/>
          <w:szCs w:val="24"/>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3E61C047">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83" w:name="_Toc307478980"/>
      <w:bookmarkStart w:id="484" w:name="_Toc266998250"/>
      <w:bookmarkStart w:id="485" w:name="_Toc259802231"/>
      <w:bookmarkStart w:id="486" w:name="_Toc362883283"/>
      <w:bookmarkStart w:id="487" w:name="_Toc370459060"/>
      <w:bookmarkStart w:id="488" w:name="_Toc381776153"/>
      <w:bookmarkStart w:id="489" w:name="_Toc344282757"/>
      <w:r>
        <w:rPr>
          <w:rFonts w:hint="eastAsia" w:asciiTheme="minorEastAsia" w:hAnsiTheme="minorEastAsia" w:eastAsiaTheme="minorEastAsia" w:cstheme="minorEastAsia"/>
          <w:b/>
          <w:snapToGrid w:val="0"/>
          <w:color w:val="auto"/>
          <w:sz w:val="24"/>
          <w:szCs w:val="24"/>
        </w:rPr>
        <w:t>9 施工安全、治安保卫和环境保护</w:t>
      </w:r>
      <w:bookmarkEnd w:id="483"/>
      <w:bookmarkEnd w:id="484"/>
      <w:bookmarkEnd w:id="485"/>
      <w:bookmarkEnd w:id="486"/>
      <w:bookmarkEnd w:id="487"/>
      <w:bookmarkEnd w:id="488"/>
      <w:bookmarkEnd w:id="489"/>
    </w:p>
    <w:p w14:paraId="402659DE">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9.2 承包人的施工安全责任</w:t>
      </w:r>
    </w:p>
    <w:p w14:paraId="13502C90">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u w:val="single"/>
        </w:rPr>
      </w:pPr>
      <w:r>
        <w:rPr>
          <w:rFonts w:hint="eastAsia" w:asciiTheme="minorEastAsia" w:hAnsiTheme="minorEastAsia" w:eastAsiaTheme="minorEastAsia" w:cstheme="minorEastAsia"/>
          <w:snapToGrid w:val="0"/>
          <w:color w:val="auto"/>
          <w:sz w:val="24"/>
          <w:szCs w:val="24"/>
        </w:rPr>
        <w:t xml:space="preserve">9.2.5 </w:t>
      </w:r>
      <w:r>
        <w:rPr>
          <w:rFonts w:hint="eastAsia" w:asciiTheme="minorEastAsia" w:hAnsiTheme="minorEastAsia" w:eastAsiaTheme="minorEastAsia" w:cstheme="minorEastAsia"/>
          <w:snapToGrid w:val="0"/>
          <w:color w:val="auto"/>
          <w:sz w:val="24"/>
          <w:szCs w:val="24"/>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3250DAE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9.7 文明工地</w:t>
      </w:r>
    </w:p>
    <w:p w14:paraId="04ECBD3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本合同文明工地的约</w:t>
      </w:r>
      <w:r>
        <w:rPr>
          <w:rFonts w:hint="eastAsia" w:asciiTheme="minorEastAsia" w:hAnsiTheme="minorEastAsia" w:eastAsiaTheme="minorEastAsia" w:cstheme="minorEastAsia"/>
          <w:snapToGrid w:val="0"/>
          <w:color w:val="auto"/>
          <w:sz w:val="24"/>
          <w:szCs w:val="24"/>
          <w:highlight w:val="none"/>
        </w:rPr>
        <w:t>定：</w:t>
      </w:r>
      <w:r>
        <w:rPr>
          <w:rFonts w:hint="eastAsia" w:asciiTheme="minorEastAsia" w:hAnsiTheme="minorEastAsia" w:eastAsiaTheme="minorEastAsia" w:cstheme="minorEastAsia"/>
          <w:snapToGrid w:val="0"/>
          <w:color w:val="auto"/>
          <w:sz w:val="24"/>
          <w:szCs w:val="24"/>
          <w:highlight w:val="none"/>
          <w:u w:val="single"/>
          <w:lang w:val="en-US" w:eastAsia="zh-CN"/>
        </w:rPr>
        <w:t>/</w:t>
      </w:r>
      <w:r>
        <w:rPr>
          <w:rFonts w:hint="eastAsia" w:asciiTheme="minorEastAsia" w:hAnsiTheme="minorEastAsia" w:eastAsiaTheme="minorEastAsia" w:cstheme="minorEastAsia"/>
          <w:snapToGrid w:val="0"/>
          <w:color w:val="auto"/>
          <w:sz w:val="24"/>
          <w:szCs w:val="24"/>
          <w:highlight w:val="none"/>
        </w:rPr>
        <w:t>。</w:t>
      </w:r>
    </w:p>
    <w:p w14:paraId="7E8ADBF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90" w:name="_Toc344282758"/>
      <w:bookmarkStart w:id="491" w:name="_Toc281852224"/>
      <w:bookmarkStart w:id="492" w:name="_Toc294467361"/>
      <w:bookmarkStart w:id="493" w:name="_Toc283728729"/>
      <w:bookmarkStart w:id="494" w:name="_Toc281852088"/>
      <w:bookmarkStart w:id="495" w:name="_Toc307478981"/>
      <w:bookmarkStart w:id="496" w:name="_Toc362883284"/>
      <w:bookmarkStart w:id="497" w:name="_Toc370459061"/>
      <w:bookmarkStart w:id="498" w:name="_Toc381776154"/>
      <w:r>
        <w:rPr>
          <w:rFonts w:hint="eastAsia" w:asciiTheme="minorEastAsia" w:hAnsiTheme="minorEastAsia" w:eastAsiaTheme="minorEastAsia" w:cstheme="minorEastAsia"/>
          <w:b/>
          <w:snapToGrid w:val="0"/>
          <w:color w:val="auto"/>
          <w:sz w:val="24"/>
          <w:szCs w:val="24"/>
        </w:rPr>
        <w:t>11 开工和竣工（完工</w:t>
      </w:r>
      <w:bookmarkEnd w:id="490"/>
      <w:bookmarkEnd w:id="491"/>
      <w:bookmarkEnd w:id="492"/>
      <w:bookmarkEnd w:id="493"/>
      <w:bookmarkEnd w:id="494"/>
      <w:bookmarkEnd w:id="495"/>
      <w:r>
        <w:rPr>
          <w:rFonts w:hint="eastAsia" w:asciiTheme="minorEastAsia" w:hAnsiTheme="minorEastAsia" w:eastAsiaTheme="minorEastAsia" w:cstheme="minorEastAsia"/>
          <w:b/>
          <w:snapToGrid w:val="0"/>
          <w:color w:val="auto"/>
          <w:sz w:val="24"/>
          <w:szCs w:val="24"/>
        </w:rPr>
        <w:t>）</w:t>
      </w:r>
      <w:bookmarkEnd w:id="496"/>
      <w:bookmarkEnd w:id="497"/>
      <w:bookmarkEnd w:id="498"/>
    </w:p>
    <w:p w14:paraId="1928625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99" w:name="_Toc370459062"/>
      <w:bookmarkStart w:id="500" w:name="_Toc283728730"/>
      <w:bookmarkStart w:id="501" w:name="_Toc362883285"/>
      <w:bookmarkStart w:id="502" w:name="_Toc381776155"/>
      <w:r>
        <w:rPr>
          <w:rFonts w:hint="eastAsia" w:asciiTheme="minorEastAsia" w:hAnsiTheme="minorEastAsia" w:eastAsiaTheme="minorEastAsia" w:cstheme="minorEastAsia"/>
          <w:b/>
          <w:color w:val="auto"/>
          <w:spacing w:val="20"/>
          <w:sz w:val="24"/>
          <w:szCs w:val="24"/>
        </w:rPr>
        <w:t>11.4 异常恶劣的气候条件</w:t>
      </w:r>
      <w:bookmarkEnd w:id="499"/>
      <w:bookmarkEnd w:id="500"/>
      <w:bookmarkEnd w:id="501"/>
      <w:bookmarkEnd w:id="502"/>
    </w:p>
    <w:p w14:paraId="4CB8724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11.4.3 本合同工程界定异常恶劣的气候条件的范围为：</w:t>
      </w:r>
    </w:p>
    <w:p w14:paraId="3FC19EC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日降雨量大于</w:t>
      </w:r>
      <w:r>
        <w:rPr>
          <w:rFonts w:hint="eastAsia" w:asciiTheme="minorEastAsia" w:hAnsiTheme="minorEastAsia" w:eastAsiaTheme="minorEastAsia" w:cstheme="minorEastAsia"/>
          <w:snapToGrid w:val="0"/>
          <w:color w:val="auto"/>
          <w:sz w:val="24"/>
          <w:szCs w:val="24"/>
          <w:u w:val="single"/>
        </w:rPr>
        <w:t xml:space="preserve"> 50 </w:t>
      </w:r>
      <w:r>
        <w:rPr>
          <w:rFonts w:hint="eastAsia" w:asciiTheme="minorEastAsia" w:hAnsiTheme="minorEastAsia" w:eastAsiaTheme="minorEastAsia" w:cstheme="minorEastAsia"/>
          <w:snapToGrid w:val="0"/>
          <w:color w:val="auto"/>
          <w:sz w:val="24"/>
          <w:szCs w:val="24"/>
        </w:rPr>
        <w:t>mm的雨日超过</w:t>
      </w:r>
      <w:r>
        <w:rPr>
          <w:rFonts w:hint="eastAsia" w:asciiTheme="minorEastAsia" w:hAnsiTheme="minorEastAsia" w:eastAsiaTheme="minorEastAsia" w:cstheme="minorEastAsia"/>
          <w:snapToGrid w:val="0"/>
          <w:color w:val="auto"/>
          <w:sz w:val="24"/>
          <w:szCs w:val="24"/>
          <w:u w:val="single"/>
        </w:rPr>
        <w:t xml:space="preserve"> 7 </w:t>
      </w:r>
      <w:r>
        <w:rPr>
          <w:rFonts w:hint="eastAsia" w:asciiTheme="minorEastAsia" w:hAnsiTheme="minorEastAsia" w:eastAsiaTheme="minorEastAsia" w:cstheme="minorEastAsia"/>
          <w:snapToGrid w:val="0"/>
          <w:color w:val="auto"/>
          <w:sz w:val="24"/>
          <w:szCs w:val="24"/>
        </w:rPr>
        <w:t>天；</w:t>
      </w:r>
    </w:p>
    <w:p w14:paraId="13866EC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⑵ </w:t>
      </w:r>
      <w:r>
        <w:rPr>
          <w:rFonts w:hint="eastAsia" w:asciiTheme="minorEastAsia" w:hAnsiTheme="minorEastAsia" w:eastAsiaTheme="minorEastAsia" w:cstheme="minorEastAsia"/>
          <w:snapToGrid w:val="0"/>
          <w:color w:val="auto"/>
          <w:sz w:val="24"/>
          <w:szCs w:val="24"/>
          <w:u w:val="single"/>
        </w:rPr>
        <w:t xml:space="preserve"> 9 </w:t>
      </w:r>
      <w:r>
        <w:rPr>
          <w:rFonts w:hint="eastAsia" w:asciiTheme="minorEastAsia" w:hAnsiTheme="minorEastAsia" w:eastAsiaTheme="minorEastAsia" w:cstheme="minorEastAsia"/>
          <w:snapToGrid w:val="0"/>
          <w:color w:val="auto"/>
          <w:sz w:val="24"/>
          <w:szCs w:val="24"/>
        </w:rPr>
        <w:t>级及以上台风灾害；</w:t>
      </w:r>
    </w:p>
    <w:p w14:paraId="34A49EAD">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日气温超过</w:t>
      </w:r>
      <w:r>
        <w:rPr>
          <w:rFonts w:hint="eastAsia" w:asciiTheme="minorEastAsia" w:hAnsiTheme="minorEastAsia" w:eastAsiaTheme="minorEastAsia" w:cstheme="minorEastAsia"/>
          <w:snapToGrid w:val="0"/>
          <w:color w:val="auto"/>
          <w:sz w:val="24"/>
          <w:szCs w:val="24"/>
          <w:u w:val="single"/>
        </w:rPr>
        <w:t xml:space="preserve"> 40 </w:t>
      </w:r>
      <w:r>
        <w:rPr>
          <w:rFonts w:hint="eastAsia" w:asciiTheme="minorEastAsia" w:hAnsiTheme="minorEastAsia" w:eastAsiaTheme="minorEastAsia" w:cstheme="minorEastAsia"/>
          <w:snapToGrid w:val="0"/>
          <w:color w:val="auto"/>
          <w:sz w:val="24"/>
          <w:szCs w:val="24"/>
        </w:rPr>
        <w:t>℃的高温大于</w:t>
      </w:r>
      <w:r>
        <w:rPr>
          <w:rFonts w:hint="eastAsia" w:asciiTheme="minorEastAsia" w:hAnsiTheme="minorEastAsia" w:eastAsiaTheme="minorEastAsia" w:cstheme="minorEastAsia"/>
          <w:snapToGrid w:val="0"/>
          <w:color w:val="auto"/>
          <w:sz w:val="24"/>
          <w:szCs w:val="24"/>
          <w:u w:val="single"/>
        </w:rPr>
        <w:t xml:space="preserve"> 3 </w:t>
      </w:r>
      <w:r>
        <w:rPr>
          <w:rFonts w:hint="eastAsia" w:asciiTheme="minorEastAsia" w:hAnsiTheme="minorEastAsia" w:eastAsiaTheme="minorEastAsia" w:cstheme="minorEastAsia"/>
          <w:snapToGrid w:val="0"/>
          <w:color w:val="auto"/>
          <w:sz w:val="24"/>
          <w:szCs w:val="24"/>
        </w:rPr>
        <w:t>天；</w:t>
      </w:r>
    </w:p>
    <w:p w14:paraId="1F3545E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⑷ 日气温低于</w:t>
      </w:r>
      <w:r>
        <w:rPr>
          <w:rFonts w:hint="eastAsia" w:asciiTheme="minorEastAsia" w:hAnsiTheme="minorEastAsia" w:eastAsiaTheme="minorEastAsia" w:cstheme="minorEastAsia"/>
          <w:snapToGrid w:val="0"/>
          <w:color w:val="auto"/>
          <w:sz w:val="24"/>
          <w:szCs w:val="24"/>
          <w:u w:val="single"/>
        </w:rPr>
        <w:t xml:space="preserve"> -5 </w:t>
      </w:r>
      <w:r>
        <w:rPr>
          <w:rFonts w:hint="eastAsia" w:asciiTheme="minorEastAsia" w:hAnsiTheme="minorEastAsia" w:eastAsiaTheme="minorEastAsia" w:cstheme="minorEastAsia"/>
          <w:snapToGrid w:val="0"/>
          <w:color w:val="auto"/>
          <w:sz w:val="24"/>
          <w:szCs w:val="24"/>
        </w:rPr>
        <w:t>℃的严寒大于</w:t>
      </w:r>
      <w:r>
        <w:rPr>
          <w:rFonts w:hint="eastAsia" w:asciiTheme="minorEastAsia" w:hAnsiTheme="minorEastAsia" w:eastAsiaTheme="minorEastAsia" w:cstheme="minorEastAsia"/>
          <w:snapToGrid w:val="0"/>
          <w:color w:val="auto"/>
          <w:sz w:val="24"/>
          <w:szCs w:val="24"/>
          <w:u w:val="single"/>
        </w:rPr>
        <w:t xml:space="preserve"> 3 </w:t>
      </w:r>
      <w:r>
        <w:rPr>
          <w:rFonts w:hint="eastAsia" w:asciiTheme="minorEastAsia" w:hAnsiTheme="minorEastAsia" w:eastAsiaTheme="minorEastAsia" w:cstheme="minorEastAsia"/>
          <w:snapToGrid w:val="0"/>
          <w:color w:val="auto"/>
          <w:sz w:val="24"/>
          <w:szCs w:val="24"/>
        </w:rPr>
        <w:t>天；</w:t>
      </w:r>
    </w:p>
    <w:p w14:paraId="5432F4C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造成工程损失的冰雹和大雪灾害：</w:t>
      </w:r>
      <w:r>
        <w:rPr>
          <w:rFonts w:hint="eastAsia" w:asciiTheme="minorEastAsia" w:hAnsiTheme="minorEastAsia" w:eastAsiaTheme="minorEastAsia" w:cstheme="minorEastAsia"/>
          <w:snapToGrid w:val="0"/>
          <w:color w:val="auto"/>
          <w:sz w:val="24"/>
          <w:szCs w:val="24"/>
          <w:u w:val="single"/>
        </w:rPr>
        <w:t xml:space="preserve"> 日降雪量10mm及以上 </w:t>
      </w:r>
      <w:r>
        <w:rPr>
          <w:rFonts w:hint="eastAsia" w:asciiTheme="minorEastAsia" w:hAnsiTheme="minorEastAsia" w:eastAsiaTheme="minorEastAsia" w:cstheme="minorEastAsia"/>
          <w:snapToGrid w:val="0"/>
          <w:color w:val="auto"/>
          <w:sz w:val="24"/>
          <w:szCs w:val="24"/>
        </w:rPr>
        <w:t>；</w:t>
      </w:r>
    </w:p>
    <w:p w14:paraId="3C875ED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⑹ 其它异常恶劣气候灾害。</w:t>
      </w:r>
    </w:p>
    <w:p w14:paraId="2A59B016">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03" w:name="_Toc283728731"/>
      <w:bookmarkStart w:id="504" w:name="_Toc381776156"/>
      <w:bookmarkStart w:id="505" w:name="_Toc362883286"/>
      <w:bookmarkStart w:id="506" w:name="_Toc370459063"/>
      <w:r>
        <w:rPr>
          <w:rFonts w:hint="eastAsia" w:asciiTheme="minorEastAsia" w:hAnsiTheme="minorEastAsia" w:eastAsiaTheme="minorEastAsia" w:cstheme="minorEastAsia"/>
          <w:b/>
          <w:color w:val="auto"/>
          <w:spacing w:val="20"/>
          <w:sz w:val="24"/>
          <w:szCs w:val="24"/>
        </w:rPr>
        <w:t>11.5 承包人的工期延误</w:t>
      </w:r>
      <w:bookmarkEnd w:id="503"/>
      <w:bookmarkEnd w:id="504"/>
      <w:bookmarkEnd w:id="505"/>
      <w:bookmarkEnd w:id="506"/>
    </w:p>
    <w:p w14:paraId="703BE7FD">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逾期完工违约金表。</w:t>
      </w:r>
    </w:p>
    <w:p w14:paraId="5DBE7898">
      <w:pPr>
        <w:autoSpaceDE w:val="0"/>
        <w:autoSpaceDN w:val="0"/>
        <w:adjustRightInd w:val="0"/>
        <w:snapToGrid w:val="0"/>
        <w:spacing w:line="400" w:lineRule="exact"/>
        <w:ind w:firstLine="482" w:firstLineChars="200"/>
        <w:jc w:val="center"/>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逾期完工违约金表</w:t>
      </w:r>
    </w:p>
    <w:tbl>
      <w:tblPr>
        <w:tblStyle w:val="6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49619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11D8D0AC">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序号</w:t>
            </w:r>
          </w:p>
        </w:tc>
        <w:tc>
          <w:tcPr>
            <w:tcW w:w="2306" w:type="dxa"/>
            <w:noWrap w:val="0"/>
            <w:vAlign w:val="center"/>
          </w:tcPr>
          <w:p w14:paraId="76657B0C">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项目及其说明</w:t>
            </w:r>
          </w:p>
        </w:tc>
        <w:tc>
          <w:tcPr>
            <w:tcW w:w="3514" w:type="dxa"/>
            <w:noWrap w:val="0"/>
            <w:vAlign w:val="center"/>
          </w:tcPr>
          <w:p w14:paraId="0F1FB5E4">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要求完工日期</w:t>
            </w:r>
          </w:p>
        </w:tc>
        <w:tc>
          <w:tcPr>
            <w:tcW w:w="2263" w:type="dxa"/>
            <w:noWrap w:val="0"/>
            <w:vAlign w:val="center"/>
          </w:tcPr>
          <w:p w14:paraId="7F77512D">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违约金（元/天）</w:t>
            </w:r>
          </w:p>
        </w:tc>
      </w:tr>
      <w:tr w14:paraId="3C85B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3D045829">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w:t>
            </w:r>
          </w:p>
        </w:tc>
        <w:tc>
          <w:tcPr>
            <w:tcW w:w="2306" w:type="dxa"/>
            <w:noWrap w:val="0"/>
            <w:vAlign w:val="center"/>
          </w:tcPr>
          <w:p w14:paraId="760761C4">
            <w:pPr>
              <w:autoSpaceDE w:val="0"/>
              <w:autoSpaceDN w:val="0"/>
              <w:adjustRightInd w:val="0"/>
              <w:spacing w:line="400" w:lineRule="exact"/>
              <w:jc w:val="center"/>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全部工程</w:t>
            </w:r>
          </w:p>
        </w:tc>
        <w:tc>
          <w:tcPr>
            <w:tcW w:w="3514" w:type="dxa"/>
            <w:noWrap w:val="0"/>
            <w:vAlign w:val="center"/>
          </w:tcPr>
          <w:p w14:paraId="72592ACE">
            <w:pPr>
              <w:autoSpaceDE w:val="0"/>
              <w:autoSpaceDN w:val="0"/>
              <w:adjustRightInd w:val="0"/>
              <w:spacing w:line="400" w:lineRule="exact"/>
              <w:jc w:val="center"/>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lang w:val="en-US" w:eastAsia="zh-CN"/>
              </w:rPr>
              <w:t>210日历天</w:t>
            </w:r>
          </w:p>
        </w:tc>
        <w:tc>
          <w:tcPr>
            <w:tcW w:w="2263" w:type="dxa"/>
            <w:noWrap w:val="0"/>
            <w:vAlign w:val="center"/>
          </w:tcPr>
          <w:p w14:paraId="5C98E390">
            <w:pPr>
              <w:autoSpaceDE w:val="0"/>
              <w:autoSpaceDN w:val="0"/>
              <w:adjustRightInd w:val="0"/>
              <w:spacing w:line="400" w:lineRule="exact"/>
              <w:ind w:left="24" w:hanging="24" w:hangingChars="10"/>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2000</w:t>
            </w:r>
          </w:p>
        </w:tc>
      </w:tr>
    </w:tbl>
    <w:p w14:paraId="3509CF5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⑵ 全部逾期完工违约金的总限额为不超过签约合同价（扣除预留金）的</w:t>
      </w:r>
      <w:r>
        <w:rPr>
          <w:rFonts w:hint="eastAsia" w:asciiTheme="minorEastAsia" w:hAnsiTheme="minorEastAsia" w:eastAsiaTheme="minorEastAsia" w:cstheme="minorEastAsia"/>
          <w:snapToGrid w:val="0"/>
          <w:color w:val="auto"/>
          <w:sz w:val="24"/>
          <w:szCs w:val="24"/>
          <w:u w:val="single"/>
        </w:rPr>
        <w:t xml:space="preserve"> 2 </w:t>
      </w:r>
      <w:r>
        <w:rPr>
          <w:rFonts w:hint="eastAsia" w:asciiTheme="minorEastAsia" w:hAnsiTheme="minorEastAsia" w:eastAsiaTheme="minorEastAsia" w:cstheme="minorEastAsia"/>
          <w:snapToGrid w:val="0"/>
          <w:color w:val="auto"/>
          <w:sz w:val="24"/>
          <w:szCs w:val="24"/>
        </w:rPr>
        <w:t>%。</w:t>
      </w:r>
    </w:p>
    <w:p w14:paraId="61AFC5A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07" w:name="_Toc283728732"/>
      <w:bookmarkStart w:id="508" w:name="_Toc370459064"/>
      <w:bookmarkStart w:id="509" w:name="_Toc381776157"/>
      <w:bookmarkStart w:id="510" w:name="_Toc362883287"/>
      <w:r>
        <w:rPr>
          <w:rFonts w:hint="eastAsia" w:asciiTheme="minorEastAsia" w:hAnsiTheme="minorEastAsia" w:eastAsiaTheme="minorEastAsia" w:cstheme="minorEastAsia"/>
          <w:b/>
          <w:color w:val="auto"/>
          <w:spacing w:val="20"/>
          <w:sz w:val="24"/>
          <w:szCs w:val="24"/>
        </w:rPr>
        <w:t>11.6 工期提前</w:t>
      </w:r>
      <w:bookmarkEnd w:id="507"/>
      <w:bookmarkEnd w:id="508"/>
      <w:bookmarkEnd w:id="509"/>
      <w:bookmarkEnd w:id="510"/>
    </w:p>
    <w:p w14:paraId="7D079C7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工期提前的奖金约定：</w:t>
      </w:r>
      <w:r>
        <w:rPr>
          <w:rFonts w:hint="eastAsia" w:asciiTheme="minorEastAsia" w:hAnsiTheme="minorEastAsia" w:eastAsiaTheme="minorEastAsia" w:cstheme="minorEastAsia"/>
          <w:snapToGrid w:val="0"/>
          <w:color w:val="auto"/>
          <w:sz w:val="24"/>
          <w:szCs w:val="24"/>
          <w:u w:val="single"/>
        </w:rPr>
        <w:t xml:space="preserve"> 工期提前不奖励 </w:t>
      </w:r>
      <w:r>
        <w:rPr>
          <w:rFonts w:hint="eastAsia" w:asciiTheme="minorEastAsia" w:hAnsiTheme="minorEastAsia" w:eastAsiaTheme="minorEastAsia" w:cstheme="minorEastAsia"/>
          <w:snapToGrid w:val="0"/>
          <w:color w:val="auto"/>
          <w:sz w:val="24"/>
          <w:szCs w:val="24"/>
        </w:rPr>
        <w:t>。</w:t>
      </w:r>
    </w:p>
    <w:p w14:paraId="724ABFD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11" w:name="_Toc307478982"/>
      <w:bookmarkStart w:id="512" w:name="_Toc381776158"/>
      <w:bookmarkStart w:id="513" w:name="_Toc344282759"/>
      <w:bookmarkStart w:id="514" w:name="_Toc370459065"/>
      <w:bookmarkStart w:id="515" w:name="_Toc259802233"/>
      <w:bookmarkStart w:id="516" w:name="_Toc266998253"/>
      <w:bookmarkStart w:id="517" w:name="_Toc362883288"/>
      <w:bookmarkStart w:id="518" w:name="_Toc217819052"/>
      <w:r>
        <w:rPr>
          <w:rFonts w:hint="eastAsia" w:asciiTheme="minorEastAsia" w:hAnsiTheme="minorEastAsia" w:eastAsiaTheme="minorEastAsia" w:cstheme="minorEastAsia"/>
          <w:b/>
          <w:snapToGrid w:val="0"/>
          <w:color w:val="auto"/>
          <w:sz w:val="24"/>
          <w:szCs w:val="24"/>
        </w:rPr>
        <w:t>12 暂停施工</w:t>
      </w:r>
      <w:bookmarkEnd w:id="511"/>
      <w:bookmarkEnd w:id="512"/>
      <w:bookmarkEnd w:id="513"/>
      <w:bookmarkEnd w:id="514"/>
      <w:bookmarkEnd w:id="515"/>
      <w:bookmarkEnd w:id="516"/>
      <w:bookmarkEnd w:id="517"/>
    </w:p>
    <w:p w14:paraId="07094542">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12.1 承包人暂停施工的责任</w:t>
      </w:r>
    </w:p>
    <w:p w14:paraId="0A23EF51">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承包人承担暂停施工责任的其他情形：</w:t>
      </w:r>
      <w:r>
        <w:rPr>
          <w:rFonts w:hint="eastAsia" w:asciiTheme="minorEastAsia" w:hAnsiTheme="minorEastAsia" w:eastAsiaTheme="minorEastAsia" w:cstheme="minorEastAsia"/>
          <w:snapToGrid w:val="0"/>
          <w:color w:val="auto"/>
          <w:sz w:val="24"/>
          <w:szCs w:val="24"/>
          <w:u w:val="single"/>
        </w:rPr>
        <w:t xml:space="preserve"> 现场气候条件导致的必要停工（第11.4.3项规定的异常恶劣的气候条件除外） </w:t>
      </w:r>
      <w:r>
        <w:rPr>
          <w:rFonts w:hint="eastAsia" w:asciiTheme="minorEastAsia" w:hAnsiTheme="minorEastAsia" w:eastAsiaTheme="minorEastAsia" w:cstheme="minorEastAsia"/>
          <w:snapToGrid w:val="0"/>
          <w:color w:val="auto"/>
          <w:sz w:val="24"/>
          <w:szCs w:val="24"/>
        </w:rPr>
        <w:t>。</w:t>
      </w:r>
    </w:p>
    <w:p w14:paraId="72105F5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12.2 发包人暂停施工的责任</w:t>
      </w:r>
    </w:p>
    <w:p w14:paraId="023BB20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发包人承担暂停施工责任的其他情形：</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672E8D8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19" w:name="_Toc381776159"/>
      <w:bookmarkStart w:id="520" w:name="_Toc344282760"/>
      <w:bookmarkStart w:id="521" w:name="_Toc266998254"/>
      <w:bookmarkStart w:id="522" w:name="_Toc362883289"/>
      <w:bookmarkStart w:id="523" w:name="_Toc307478983"/>
      <w:bookmarkStart w:id="524" w:name="_Toc370459066"/>
      <w:r>
        <w:rPr>
          <w:rFonts w:hint="eastAsia" w:asciiTheme="minorEastAsia" w:hAnsiTheme="minorEastAsia" w:eastAsiaTheme="minorEastAsia" w:cstheme="minorEastAsia"/>
          <w:b/>
          <w:snapToGrid w:val="0"/>
          <w:color w:val="auto"/>
          <w:sz w:val="24"/>
          <w:szCs w:val="24"/>
        </w:rPr>
        <w:t>13 工程质量</w:t>
      </w:r>
      <w:bookmarkEnd w:id="518"/>
      <w:bookmarkEnd w:id="519"/>
      <w:bookmarkEnd w:id="520"/>
      <w:bookmarkEnd w:id="521"/>
      <w:bookmarkEnd w:id="522"/>
      <w:bookmarkEnd w:id="523"/>
      <w:bookmarkEnd w:id="524"/>
    </w:p>
    <w:p w14:paraId="7954C3D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25" w:name="_Toc381776160"/>
      <w:bookmarkStart w:id="526" w:name="_Toc362883290"/>
      <w:bookmarkStart w:id="527" w:name="_Toc370459067"/>
      <w:bookmarkStart w:id="528" w:name="_Toc217819053"/>
      <w:r>
        <w:rPr>
          <w:rFonts w:hint="eastAsia" w:asciiTheme="minorEastAsia" w:hAnsiTheme="minorEastAsia" w:eastAsiaTheme="minorEastAsia" w:cstheme="minorEastAsia"/>
          <w:b/>
          <w:color w:val="auto"/>
          <w:spacing w:val="20"/>
          <w:sz w:val="24"/>
          <w:szCs w:val="24"/>
        </w:rPr>
        <w:t>13.7 质量评定</w:t>
      </w:r>
      <w:bookmarkEnd w:id="525"/>
      <w:bookmarkEnd w:id="526"/>
      <w:bookmarkEnd w:id="527"/>
    </w:p>
    <w:p w14:paraId="6F3DA09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13.7.4 重要隐蔽单元工程和关键部位单元工程质量评定的约定：</w:t>
      </w:r>
      <w:r>
        <w:rPr>
          <w:rFonts w:hint="eastAsia" w:asciiTheme="minorEastAsia" w:hAnsiTheme="minorEastAsia" w:eastAsiaTheme="minorEastAsia" w:cstheme="minorEastAsia"/>
          <w:snapToGrid w:val="0"/>
          <w:color w:val="auto"/>
          <w:sz w:val="24"/>
          <w:szCs w:val="24"/>
          <w:u w:val="single"/>
        </w:rPr>
        <w:t xml:space="preserve"> 合格 </w:t>
      </w:r>
      <w:r>
        <w:rPr>
          <w:rFonts w:hint="eastAsia" w:asciiTheme="minorEastAsia" w:hAnsiTheme="minorEastAsia" w:eastAsiaTheme="minorEastAsia" w:cstheme="minorEastAsia"/>
          <w:snapToGrid w:val="0"/>
          <w:color w:val="auto"/>
          <w:sz w:val="24"/>
          <w:szCs w:val="24"/>
        </w:rPr>
        <w:t>。</w:t>
      </w:r>
    </w:p>
    <w:p w14:paraId="62E5B1E1">
      <w:pPr>
        <w:autoSpaceDE w:val="0"/>
        <w:autoSpaceDN w:val="0"/>
        <w:adjustRightInd w:val="0"/>
        <w:snapToGrid w:val="0"/>
        <w:spacing w:line="400" w:lineRule="exact"/>
        <w:ind w:firstLine="501" w:firstLineChars="209"/>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13.7.7 工程合格标准为</w:t>
      </w:r>
      <w:r>
        <w:rPr>
          <w:rFonts w:hint="eastAsia" w:asciiTheme="minorEastAsia" w:hAnsiTheme="minorEastAsia" w:eastAsiaTheme="minorEastAsia" w:cstheme="minorEastAsia"/>
          <w:snapToGrid w:val="0"/>
          <w:color w:val="auto"/>
          <w:sz w:val="24"/>
          <w:szCs w:val="24"/>
          <w:u w:val="single"/>
        </w:rPr>
        <w:t xml:space="preserve"> ①单位工程质量全部合格；②工程施工期及试运行期，各单位工程观测资料分析结果均符合国家和行业技术标准以及合同约定的标准要求 </w:t>
      </w:r>
      <w:r>
        <w:rPr>
          <w:rFonts w:hint="eastAsia" w:asciiTheme="minorEastAsia" w:hAnsiTheme="minorEastAsia" w:eastAsiaTheme="minorEastAsia" w:cstheme="minorEastAsia"/>
          <w:snapToGrid w:val="0"/>
          <w:color w:val="auto"/>
          <w:sz w:val="24"/>
          <w:szCs w:val="24"/>
        </w:rPr>
        <w:t>；优良标准为</w:t>
      </w:r>
      <w:r>
        <w:rPr>
          <w:rFonts w:hint="eastAsia" w:asciiTheme="minorEastAsia" w:hAnsiTheme="minorEastAsia" w:eastAsiaTheme="minorEastAsia" w:cstheme="minorEastAsia"/>
          <w:snapToGrid w:val="0"/>
          <w:color w:val="auto"/>
          <w:sz w:val="24"/>
          <w:szCs w:val="24"/>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Theme="minorEastAsia" w:hAnsiTheme="minorEastAsia" w:eastAsiaTheme="minorEastAsia" w:cstheme="minorEastAsia"/>
          <w:snapToGrid w:val="0"/>
          <w:color w:val="auto"/>
          <w:sz w:val="24"/>
          <w:szCs w:val="24"/>
        </w:rPr>
        <w:t>。达到优良的奖金为</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7A60865C">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29" w:name="_Toc266998255"/>
      <w:bookmarkStart w:id="530" w:name="_Toc307478984"/>
      <w:bookmarkStart w:id="531" w:name="_Toc259802235"/>
      <w:bookmarkStart w:id="532" w:name="_Toc370459068"/>
      <w:bookmarkStart w:id="533" w:name="_Toc381776161"/>
      <w:bookmarkStart w:id="534" w:name="_Toc344282761"/>
      <w:bookmarkStart w:id="535" w:name="_Toc362883291"/>
      <w:r>
        <w:rPr>
          <w:rFonts w:hint="eastAsia" w:asciiTheme="minorEastAsia" w:hAnsiTheme="minorEastAsia" w:eastAsiaTheme="minorEastAsia" w:cstheme="minorEastAsia"/>
          <w:b/>
          <w:snapToGrid w:val="0"/>
          <w:color w:val="auto"/>
          <w:sz w:val="24"/>
          <w:szCs w:val="24"/>
        </w:rPr>
        <w:t>14 试验和检验</w:t>
      </w:r>
      <w:bookmarkEnd w:id="529"/>
      <w:bookmarkEnd w:id="530"/>
      <w:bookmarkEnd w:id="531"/>
      <w:bookmarkEnd w:id="532"/>
      <w:bookmarkEnd w:id="533"/>
      <w:bookmarkEnd w:id="534"/>
      <w:bookmarkEnd w:id="535"/>
    </w:p>
    <w:p w14:paraId="56CCCC43">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14.1 材料、工程设备和工程的试验和检验</w:t>
      </w:r>
    </w:p>
    <w:p w14:paraId="23E5FB2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14.1.5 水工金属结构、启闭机及机电产品进场后的交货检查和验收中，承包人负责</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5993C00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14.1.6 本工程实行见证取样的试块、试件及有关材料：</w:t>
      </w:r>
      <w:r>
        <w:rPr>
          <w:rFonts w:hint="eastAsia" w:asciiTheme="minorEastAsia" w:hAnsiTheme="minorEastAsia" w:eastAsiaTheme="minorEastAsia" w:cstheme="minorEastAsia"/>
          <w:snapToGrid w:val="0"/>
          <w:color w:val="auto"/>
          <w:sz w:val="24"/>
          <w:szCs w:val="24"/>
          <w:u w:val="single"/>
        </w:rPr>
        <w:t xml:space="preserve"> 砼、钢筋原材料、钢筋焊接件、块石、水泥、混凝土骨料、土工材料、沥青等。</w:t>
      </w:r>
    </w:p>
    <w:p w14:paraId="095753E8">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36" w:name="_Toc344282762"/>
      <w:bookmarkStart w:id="537" w:name="_Toc362883292"/>
      <w:bookmarkStart w:id="538" w:name="_Toc266998256"/>
      <w:bookmarkStart w:id="539" w:name="_Toc370459069"/>
      <w:bookmarkStart w:id="540" w:name="_Toc307478985"/>
      <w:bookmarkStart w:id="541" w:name="_Toc381776162"/>
      <w:r>
        <w:rPr>
          <w:rFonts w:hint="eastAsia" w:asciiTheme="minorEastAsia" w:hAnsiTheme="minorEastAsia" w:eastAsiaTheme="minorEastAsia" w:cstheme="minorEastAsia"/>
          <w:b/>
          <w:snapToGrid w:val="0"/>
          <w:color w:val="auto"/>
          <w:sz w:val="24"/>
          <w:szCs w:val="24"/>
        </w:rPr>
        <w:t>15 变更</w:t>
      </w:r>
      <w:bookmarkEnd w:id="528"/>
      <w:bookmarkEnd w:id="536"/>
      <w:bookmarkEnd w:id="537"/>
      <w:bookmarkEnd w:id="538"/>
      <w:bookmarkEnd w:id="539"/>
      <w:bookmarkEnd w:id="540"/>
      <w:bookmarkEnd w:id="541"/>
    </w:p>
    <w:p w14:paraId="644FFCFC">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pacing w:val="20"/>
          <w:sz w:val="24"/>
          <w:szCs w:val="24"/>
        </w:rPr>
        <w:t>15.</w:t>
      </w:r>
      <w:r>
        <w:rPr>
          <w:rFonts w:hint="eastAsia" w:asciiTheme="minorEastAsia" w:hAnsiTheme="minorEastAsia" w:eastAsiaTheme="minorEastAsia" w:cstheme="minorEastAsia"/>
          <w:b/>
          <w:color w:val="auto"/>
          <w:spacing w:val="20"/>
          <w:sz w:val="24"/>
          <w:szCs w:val="24"/>
          <w:lang w:val="en-US" w:eastAsia="zh-CN"/>
        </w:rPr>
        <w:t>1</w:t>
      </w:r>
      <w:r>
        <w:rPr>
          <w:rFonts w:hint="eastAsia" w:asciiTheme="minorEastAsia" w:hAnsiTheme="minorEastAsia" w:eastAsiaTheme="minorEastAsia" w:cstheme="minorEastAsia"/>
          <w:b/>
          <w:color w:val="auto"/>
          <w:spacing w:val="20"/>
          <w:sz w:val="24"/>
          <w:szCs w:val="24"/>
        </w:rPr>
        <w:t xml:space="preserve"> 变更的估价原则</w:t>
      </w:r>
    </w:p>
    <w:p w14:paraId="70F36410">
      <w:pPr>
        <w:autoSpaceDE w:val="0"/>
        <w:autoSpaceDN w:val="0"/>
        <w:adjustRightInd w:val="0"/>
        <w:spacing w:line="400" w:lineRule="exact"/>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15.</w:t>
      </w: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w:t>
      </w: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 xml:space="preserve"> 细化为：工程量清单中的项目及数量发生增减，除下列情况下外，结算时执行合同原有价格：</w:t>
      </w:r>
    </w:p>
    <w:p w14:paraId="3FC287DC">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（1）施工过程中发生工程变更，承包人按照经发包人认可的变更设计文件进行变更施工，其中重大设计变更（包括工程量和材料的变更），发包人需按规定程序报批后方可施工。</w:t>
      </w:r>
    </w:p>
    <w:p w14:paraId="017BFC8B">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w:t>
      </w:r>
      <w:r>
        <w:rPr>
          <w:rFonts w:hint="eastAsia" w:asciiTheme="minorEastAsia" w:hAnsiTheme="minorEastAsia" w:eastAsiaTheme="minorEastAsia" w:cstheme="minorEastAsia"/>
          <w:snapToGrid w:val="0"/>
          <w:color w:val="auto"/>
          <w:sz w:val="24"/>
          <w:szCs w:val="24"/>
          <w:lang w:eastAsia="zh-CN"/>
        </w:rPr>
        <w:t>预算价</w:t>
      </w:r>
      <w:r>
        <w:rPr>
          <w:rFonts w:hint="eastAsia" w:asciiTheme="minorEastAsia" w:hAnsiTheme="minorEastAsia" w:eastAsiaTheme="minorEastAsia" w:cstheme="minorEastAsia"/>
          <w:snapToGrid w:val="0"/>
          <w:color w:val="auto"/>
          <w:sz w:val="24"/>
          <w:szCs w:val="24"/>
        </w:rPr>
        <w:t>-非竞争</w:t>
      </w:r>
      <w:r>
        <w:rPr>
          <w:rFonts w:hint="eastAsia" w:asciiTheme="minorEastAsia" w:hAnsiTheme="minorEastAsia" w:eastAsiaTheme="minorEastAsia" w:cstheme="minorEastAsia"/>
          <w:snapToGrid w:val="0"/>
          <w:color w:val="auto"/>
          <w:sz w:val="24"/>
          <w:szCs w:val="24"/>
          <w:highlight w:val="none"/>
        </w:rPr>
        <w:t>项目费用）】*100%。</w:t>
      </w:r>
    </w:p>
    <w:p w14:paraId="6BD53C7C">
      <w:pPr>
        <w:autoSpaceDE w:val="0"/>
        <w:autoSpaceDN w:val="0"/>
        <w:adjustRightInd w:val="0"/>
        <w:snapToGrid w:val="0"/>
        <w:spacing w:line="400" w:lineRule="exact"/>
        <w:ind w:firstLine="361" w:firstLineChars="150"/>
        <w:textAlignment w:val="baseline"/>
        <w:rPr>
          <w:rFonts w:hint="eastAsia" w:asciiTheme="minorEastAsia" w:hAnsiTheme="minorEastAsia" w:eastAsiaTheme="minorEastAsia" w:cstheme="minorEastAsia"/>
          <w:b/>
          <w:snapToGrid w:val="0"/>
          <w:color w:val="auto"/>
          <w:sz w:val="24"/>
          <w:szCs w:val="24"/>
          <w:highlight w:val="none"/>
          <w:lang w:eastAsia="zh-CN"/>
        </w:rPr>
      </w:pPr>
      <w:r>
        <w:rPr>
          <w:rFonts w:hint="eastAsia" w:asciiTheme="minorEastAsia" w:hAnsiTheme="minorEastAsia" w:eastAsiaTheme="minorEastAsia" w:cstheme="minorEastAsia"/>
          <w:b/>
          <w:snapToGrid w:val="0"/>
          <w:color w:val="auto"/>
          <w:sz w:val="24"/>
          <w:szCs w:val="24"/>
          <w:highlight w:val="none"/>
        </w:rPr>
        <w:t xml:space="preserve">  </w:t>
      </w:r>
      <w:r>
        <w:rPr>
          <w:rFonts w:hint="eastAsia" w:asciiTheme="minorEastAsia" w:hAnsiTheme="minorEastAsia" w:eastAsiaTheme="minorEastAsia" w:cstheme="minorEastAsia"/>
          <w:b/>
          <w:snapToGrid w:val="0"/>
          <w:color w:val="auto"/>
          <w:sz w:val="24"/>
          <w:szCs w:val="24"/>
          <w:highlight w:val="none"/>
          <w:lang w:eastAsia="zh-CN"/>
        </w:rPr>
        <w:t>预算价</w:t>
      </w:r>
      <w:r>
        <w:rPr>
          <w:rFonts w:hint="eastAsia" w:asciiTheme="minorEastAsia" w:hAnsiTheme="minorEastAsia" w:eastAsiaTheme="minorEastAsia" w:cstheme="minorEastAsia"/>
          <w:b/>
          <w:snapToGrid w:val="0"/>
          <w:color w:val="auto"/>
          <w:sz w:val="24"/>
          <w:szCs w:val="24"/>
          <w:highlight w:val="none"/>
        </w:rPr>
        <w:t>为</w:t>
      </w:r>
      <w:r>
        <w:rPr>
          <w:rFonts w:hint="eastAsia" w:asciiTheme="minorEastAsia" w:hAnsiTheme="minorEastAsia" w:eastAsiaTheme="minorEastAsia" w:cstheme="minorEastAsia"/>
          <w:b/>
          <w:snapToGrid w:val="0"/>
          <w:color w:val="auto"/>
          <w:sz w:val="24"/>
          <w:szCs w:val="24"/>
          <w:highlight w:val="none"/>
          <w:u w:val="single"/>
          <w:lang w:val="en-US" w:eastAsia="zh-CN"/>
        </w:rPr>
        <w:t xml:space="preserve"> 3300676 </w:t>
      </w:r>
      <w:r>
        <w:rPr>
          <w:rFonts w:hint="eastAsia" w:asciiTheme="minorEastAsia" w:hAnsiTheme="minorEastAsia" w:eastAsiaTheme="minorEastAsia" w:cstheme="minorEastAsia"/>
          <w:b/>
          <w:color w:val="auto"/>
          <w:sz w:val="24"/>
          <w:szCs w:val="24"/>
          <w:highlight w:val="none"/>
        </w:rPr>
        <w:t>元；非竞争项目费用</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u w:val="single"/>
          <w:lang w:val="en-US" w:eastAsia="zh-CN"/>
        </w:rPr>
        <w:t>189400</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元</w:t>
      </w:r>
      <w:r>
        <w:rPr>
          <w:rFonts w:hint="eastAsia" w:asciiTheme="minorEastAsia" w:hAnsiTheme="minorEastAsia" w:eastAsiaTheme="minorEastAsia" w:cstheme="minorEastAsia"/>
          <w:b/>
          <w:color w:val="auto"/>
          <w:sz w:val="24"/>
          <w:szCs w:val="24"/>
          <w:highlight w:val="none"/>
          <w:lang w:eastAsia="zh-CN"/>
        </w:rPr>
        <w:t>；</w:t>
      </w:r>
    </w:p>
    <w:p w14:paraId="2D127C2E">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highlight w:val="none"/>
        </w:rPr>
        <w:t>（3）发包人提供的工程量清单项目漏项，或设计变更引起新</w:t>
      </w:r>
      <w:r>
        <w:rPr>
          <w:rFonts w:hint="eastAsia" w:asciiTheme="minorEastAsia" w:hAnsiTheme="minorEastAsia" w:eastAsiaTheme="minorEastAsia" w:cstheme="minorEastAsia"/>
          <w:snapToGrid w:val="0"/>
          <w:color w:val="auto"/>
          <w:sz w:val="24"/>
          <w:szCs w:val="24"/>
        </w:rPr>
        <w:t>的工程项目，其相应单价的确定方法为：</w:t>
      </w:r>
    </w:p>
    <w:p w14:paraId="73A83E3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1、合同中已有适用于变更工程的单价，按合同中已有的单价执行；</w:t>
      </w:r>
    </w:p>
    <w:p w14:paraId="556DDB7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2、合同中有类似工程项目单价的，可以参照类似项目的单价经计算确定；</w:t>
      </w:r>
    </w:p>
    <w:p w14:paraId="477D89A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rPr>
        <w:t>3、合同中没有适用或类似于变更工程的单价，则由发、承包人根据招标文件和合同约定的计价依据和组价原则，按确定的下浮率下浮结算。具体的下浮率为【1-（中标总价-非竞争项目费</w:t>
      </w:r>
      <w:r>
        <w:rPr>
          <w:rFonts w:hint="eastAsia" w:asciiTheme="minorEastAsia" w:hAnsiTheme="minorEastAsia" w:eastAsiaTheme="minorEastAsia" w:cstheme="minorEastAsia"/>
          <w:snapToGrid w:val="0"/>
          <w:color w:val="auto"/>
          <w:sz w:val="24"/>
          <w:szCs w:val="24"/>
          <w:highlight w:val="none"/>
        </w:rPr>
        <w:t>用）/（预算价-非竞争项目费用）】*100%。</w:t>
      </w:r>
    </w:p>
    <w:p w14:paraId="1186F1DB">
      <w:pPr>
        <w:spacing w:line="460" w:lineRule="exact"/>
        <w:ind w:firstLine="720" w:firstLineChars="3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现行定额：《浙江省水利水电建筑工程预算定额（2021）》；《浙江省水利水电工程设计概（预）算编制规定（2021年）》；《浙江省水利水电工程施工机械台班费定额（2021）》；《浙江省水利工程工程量清单计价办法》；不足部分参照国家有关定额。</w:t>
      </w:r>
    </w:p>
    <w:p w14:paraId="1C5EC850">
      <w:pPr>
        <w:spacing w:line="460" w:lineRule="exact"/>
        <w:ind w:firstLine="480" w:firstLineChars="2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（4）取费费率：按照承包人投标时不同工程类别选取费率。对于新增的合同中无相同或类似单价的工程项目费率，取费费率取各项弹性区间费率的中间值。</w:t>
      </w:r>
    </w:p>
    <w:p w14:paraId="0D58EF4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监理人与承包人协商确定变更后的单价或合价，报请发包人批准后实施。</w:t>
      </w:r>
    </w:p>
    <w:p w14:paraId="1F98639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具体执行《宁海县政府投资项目建设工程造价管控办法》（宁发改〔202</w:t>
      </w:r>
      <w:r>
        <w:rPr>
          <w:rFonts w:hint="eastAsia" w:ascii="宋体" w:hAnsi="宋体" w:eastAsia="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51</w:t>
      </w:r>
      <w:r>
        <w:rPr>
          <w:rFonts w:hint="eastAsia" w:ascii="宋体" w:hAnsi="宋体" w:eastAsia="宋体" w:cs="宋体"/>
          <w:snapToGrid w:val="0"/>
          <w:color w:val="auto"/>
          <w:sz w:val="24"/>
          <w:szCs w:val="24"/>
          <w:highlight w:val="none"/>
        </w:rPr>
        <w:t>号文件）、《宁海县水利工程项目建设工程变更管理实施细则》（宁水〔2015〕80号文件）</w:t>
      </w:r>
      <w:r>
        <w:rPr>
          <w:rFonts w:hint="eastAsia" w:ascii="宋体" w:hAnsi="宋体" w:eastAsia="宋体" w:cs="宋体"/>
          <w:snapToGrid w:val="0"/>
          <w:color w:val="auto"/>
          <w:sz w:val="24"/>
          <w:szCs w:val="24"/>
          <w:highlight w:val="none"/>
          <w:lang w:val="en-US" w:eastAsia="zh-CN"/>
        </w:rPr>
        <w:t>、《宁海县人民政府办公室关于印发宁海县政府投资项目全流程管理办法（试行） 55 的通知》（宁政办发[2022]38 号文件），以上文件若有冲突，以后发者为准。</w:t>
      </w:r>
    </w:p>
    <w:p w14:paraId="3CA1F17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《浙江省水利厅关于水利工程营业税改增值税后计价依据的调整》的通知（浙水建〔2016〕14号）文件中的一般计税方法。</w:t>
      </w:r>
    </w:p>
    <w:p w14:paraId="6937CD02">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15.</w:t>
      </w:r>
      <w:r>
        <w:rPr>
          <w:rFonts w:hint="eastAsia" w:ascii="宋体" w:hAnsi="宋体" w:eastAsia="宋体" w:cs="宋体"/>
          <w:b/>
          <w:color w:val="auto"/>
          <w:spacing w:val="20"/>
          <w:sz w:val="24"/>
          <w:szCs w:val="24"/>
          <w:lang w:val="en-US" w:eastAsia="zh-CN"/>
        </w:rPr>
        <w:t>2</w:t>
      </w:r>
      <w:r>
        <w:rPr>
          <w:rFonts w:hint="eastAsia" w:ascii="宋体" w:hAnsi="宋体" w:eastAsia="宋体" w:cs="宋体"/>
          <w:b/>
          <w:color w:val="auto"/>
          <w:spacing w:val="20"/>
          <w:sz w:val="24"/>
          <w:szCs w:val="24"/>
        </w:rPr>
        <w:t xml:space="preserve"> 承包人的合理化建议</w:t>
      </w:r>
    </w:p>
    <w:p w14:paraId="17E1DA3D">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15.</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 xml:space="preserve"> 承包人实现合理化建议的奖励金额为：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7493CE7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15.</w:t>
      </w:r>
      <w:r>
        <w:rPr>
          <w:rFonts w:hint="eastAsia" w:ascii="宋体" w:hAnsi="宋体" w:eastAsia="宋体" w:cs="宋体"/>
          <w:b/>
          <w:color w:val="auto"/>
          <w:spacing w:val="20"/>
          <w:sz w:val="24"/>
          <w:szCs w:val="24"/>
          <w:lang w:val="en-US" w:eastAsia="zh-CN"/>
        </w:rPr>
        <w:t>3</w:t>
      </w:r>
      <w:r>
        <w:rPr>
          <w:rFonts w:hint="eastAsia" w:ascii="宋体" w:hAnsi="宋体" w:eastAsia="宋体" w:cs="宋体"/>
          <w:b/>
          <w:color w:val="auto"/>
          <w:spacing w:val="20"/>
          <w:sz w:val="24"/>
          <w:szCs w:val="24"/>
        </w:rPr>
        <w:t xml:space="preserve"> 暂估价</w:t>
      </w:r>
    </w:p>
    <w:p w14:paraId="38778111">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15.</w:t>
      </w: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.1</w:t>
      </w:r>
    </w:p>
    <w:p w14:paraId="19346C96">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⑴ 发包人和承包人组织招标的暂估价项目：</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；发包人组织招标的暂估价项目：</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32A774D0">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⑵ 发包人和承包人以招标方式选择暂估价项目供应商或分包人时，双方的权利义务系：</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202648A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42" w:name="_Toc344282763"/>
      <w:bookmarkStart w:id="543" w:name="_Toc362883293"/>
      <w:bookmarkStart w:id="544" w:name="_Toc217819054"/>
      <w:bookmarkStart w:id="545" w:name="_Toc370459070"/>
      <w:bookmarkStart w:id="546" w:name="_Toc381776163"/>
      <w:bookmarkStart w:id="547" w:name="_Toc266998257"/>
      <w:bookmarkStart w:id="548" w:name="_Toc307478986"/>
      <w:r>
        <w:rPr>
          <w:rFonts w:hint="eastAsia" w:ascii="宋体" w:hAnsi="宋体" w:eastAsia="宋体" w:cs="宋体"/>
          <w:b/>
          <w:snapToGrid w:val="0"/>
          <w:color w:val="auto"/>
          <w:sz w:val="24"/>
          <w:szCs w:val="24"/>
        </w:rPr>
        <w:t>16 价格调整</w:t>
      </w:r>
      <w:bookmarkEnd w:id="542"/>
      <w:bookmarkEnd w:id="543"/>
      <w:bookmarkEnd w:id="544"/>
      <w:bookmarkEnd w:id="545"/>
      <w:bookmarkEnd w:id="546"/>
      <w:bookmarkEnd w:id="547"/>
      <w:bookmarkEnd w:id="548"/>
    </w:p>
    <w:p w14:paraId="1B518FB8">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16.1 物价波动引起的价格调整</w:t>
      </w:r>
    </w:p>
    <w:p w14:paraId="7D2EF5F8">
      <w:pPr>
        <w:spacing w:line="400" w:lineRule="exact"/>
        <w:ind w:firstLine="488"/>
        <w:rPr>
          <w:rFonts w:hint="eastAsia" w:ascii="宋体" w:hAnsi="宋体" w:eastAsia="宋体" w:cs="宋体"/>
          <w:snapToGrid w:val="0"/>
          <w:color w:val="auto"/>
          <w:sz w:val="24"/>
          <w:szCs w:val="24"/>
        </w:rPr>
      </w:pPr>
      <w:bookmarkStart w:id="549" w:name="_Toc184635114"/>
      <w:bookmarkStart w:id="550" w:name="_Toc217819055"/>
      <w:bookmarkStart w:id="551" w:name="_Toc241374758"/>
      <w:r>
        <w:rPr>
          <w:rFonts w:hint="eastAsia" w:ascii="宋体" w:hAnsi="宋体" w:eastAsia="宋体" w:cs="宋体"/>
          <w:snapToGrid w:val="0"/>
          <w:color w:val="auto"/>
          <w:sz w:val="24"/>
          <w:szCs w:val="24"/>
        </w:rPr>
        <w:t>删去本条全文，并代之以：</w:t>
      </w:r>
    </w:p>
    <w:bookmarkEnd w:id="549"/>
    <w:bookmarkEnd w:id="550"/>
    <w:p w14:paraId="3093FF7C">
      <w:pPr>
        <w:spacing w:line="4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在合同履行过程中，除主要材料外的其他材料的价格按当前的市场价考虑风险系数进入单价，在合同执行期内不作调整。具体调整方法为：</w:t>
      </w:r>
      <w:r>
        <w:rPr>
          <w:rFonts w:hint="eastAsia" w:ascii="宋体" w:hAnsi="宋体" w:eastAsia="宋体" w:cs="宋体"/>
          <w:color w:val="auto"/>
          <w:sz w:val="24"/>
          <w:szCs w:val="24"/>
          <w:highlight w:val="none"/>
        </w:rPr>
        <w:t>《详见关于明确政府投资建设工程要素价格风险的通知》（宁发改[2014]24号）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调整材料明细：水泥，钢材，柴油，外购砂、石料，商品混凝土，外购条石，木材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：《宁波建设工程造价信息综合版》（2025年5月刊）宁海县栏价格，宁海县栏无信息价部分参照宁波市区栏价格，宁波市栏无价格部分考虑市场价进入预算</w:t>
      </w:r>
      <w:r>
        <w:rPr>
          <w:rFonts w:hint="eastAsia" w:ascii="宋体" w:hAnsi="宋体" w:eastAsia="宋体" w:cs="宋体"/>
          <w:color w:val="auto"/>
          <w:sz w:val="24"/>
          <w:szCs w:val="24"/>
          <w:highlight w:val="none"/>
        </w:rPr>
        <w:t>）。</w:t>
      </w:r>
    </w:p>
    <w:p w14:paraId="31CA92D4">
      <w:pPr>
        <w:pStyle w:val="783"/>
        <w:spacing w:line="500" w:lineRule="exact"/>
        <w:ind w:firstLine="48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绿化工程</w:t>
      </w:r>
    </w:p>
    <w:p w14:paraId="41C7B7E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本工程量清单未列的新增苗木单价，按宁波市建设工程造价信息园林苗木专刊202</w:t>
      </w:r>
      <w:r>
        <w:rPr>
          <w:rFonts w:hint="eastAsia" w:ascii="宋体" w:hAnsi="宋体" w:eastAsia="宋体" w:cs="宋体"/>
          <w:color w:val="auto"/>
          <w:sz w:val="24"/>
          <w:szCs w:val="24"/>
          <w:highlight w:val="none"/>
          <w:u w:val="single"/>
          <w:lang w:val="en-US" w:eastAsia="zh-CN" w:bidi="ar"/>
        </w:rPr>
        <w:t>3</w:t>
      </w:r>
      <w:r>
        <w:rPr>
          <w:rFonts w:hint="eastAsia" w:ascii="宋体" w:hAnsi="宋体" w:eastAsia="宋体" w:cs="宋体"/>
          <w:color w:val="auto"/>
          <w:sz w:val="24"/>
          <w:szCs w:val="24"/>
          <w:highlight w:val="none"/>
          <w:u w:val="single"/>
          <w:lang w:bidi="ar"/>
        </w:rPr>
        <w:t>年</w:t>
      </w:r>
      <w:r>
        <w:rPr>
          <w:rFonts w:hint="eastAsia" w:ascii="宋体" w:hAnsi="宋体" w:eastAsia="宋体" w:cs="宋体"/>
          <w:color w:val="auto"/>
          <w:sz w:val="24"/>
          <w:szCs w:val="24"/>
          <w:highlight w:val="none"/>
          <w:u w:val="single"/>
          <w:lang w:val="en-US" w:eastAsia="zh-CN" w:bidi="ar"/>
        </w:rPr>
        <w:t>12</w:t>
      </w:r>
      <w:r>
        <w:rPr>
          <w:rFonts w:hint="eastAsia" w:ascii="宋体" w:hAnsi="宋体" w:eastAsia="宋体" w:cs="宋体"/>
          <w:color w:val="auto"/>
          <w:sz w:val="24"/>
          <w:szCs w:val="24"/>
          <w:highlight w:val="none"/>
          <w:u w:val="single"/>
          <w:lang w:bidi="ar"/>
        </w:rPr>
        <w:t>月份信息价结合相应定额及取费并</w:t>
      </w:r>
      <w:r>
        <w:rPr>
          <w:rFonts w:hint="eastAsia" w:ascii="宋体" w:hAnsi="宋体" w:eastAsia="宋体" w:cs="宋体"/>
          <w:snapToGrid w:val="0"/>
          <w:color w:val="auto"/>
          <w:sz w:val="24"/>
          <w:szCs w:val="24"/>
          <w:highlight w:val="none"/>
          <w:u w:val="single"/>
        </w:rPr>
        <w:t>按确定的下浮率下浮结算。具体的下浮率为（1-（中标总价-非竞争项目费用）/（</w:t>
      </w:r>
      <w:r>
        <w:rPr>
          <w:rFonts w:hint="eastAsia" w:ascii="宋体" w:hAnsi="宋体" w:eastAsia="宋体" w:cs="宋体"/>
          <w:snapToGrid w:val="0"/>
          <w:color w:val="auto"/>
          <w:sz w:val="24"/>
          <w:szCs w:val="24"/>
          <w:highlight w:val="none"/>
          <w:u w:val="single"/>
          <w:lang w:eastAsia="zh-CN"/>
        </w:rPr>
        <w:t>预算价</w:t>
      </w:r>
      <w:r>
        <w:rPr>
          <w:rFonts w:hint="eastAsia" w:ascii="宋体" w:hAnsi="宋体" w:eastAsia="宋体" w:cs="宋体"/>
          <w:snapToGrid w:val="0"/>
          <w:color w:val="auto"/>
          <w:sz w:val="24"/>
          <w:szCs w:val="24"/>
          <w:highlight w:val="none"/>
          <w:u w:val="single"/>
        </w:rPr>
        <w:t>-非竞争项目费用）*100%</w:t>
      </w:r>
      <w:r>
        <w:rPr>
          <w:rFonts w:hint="eastAsia" w:ascii="宋体" w:hAnsi="宋体" w:eastAsia="宋体" w:cs="宋体"/>
          <w:color w:val="auto"/>
          <w:sz w:val="24"/>
          <w:szCs w:val="24"/>
          <w:highlight w:val="none"/>
          <w:u w:val="single"/>
          <w:lang w:bidi="ar"/>
        </w:rPr>
        <w:t>。无信息价的特殊苗木按双方协商确定综合单价。</w:t>
      </w:r>
    </w:p>
    <w:p w14:paraId="4EEBDBA1">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如国家的法律、法规、规章和政策发生变化影响工程造价的，应按其规定调整合同价款。</w:t>
      </w:r>
    </w:p>
    <w:p w14:paraId="5864362C">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highlight w:val="none"/>
        </w:rPr>
      </w:pPr>
      <w:bookmarkStart w:id="552" w:name="_Toc344282764"/>
      <w:bookmarkStart w:id="553" w:name="_Toc307478987"/>
      <w:bookmarkStart w:id="554" w:name="_Toc370459071"/>
      <w:bookmarkStart w:id="555" w:name="_Toc266998258"/>
      <w:bookmarkStart w:id="556" w:name="_Toc381776164"/>
      <w:bookmarkStart w:id="557" w:name="_Toc362883294"/>
      <w:r>
        <w:rPr>
          <w:rFonts w:hint="eastAsia" w:ascii="宋体" w:hAnsi="宋体" w:eastAsia="宋体" w:cs="宋体"/>
          <w:b/>
          <w:snapToGrid w:val="0"/>
          <w:color w:val="auto"/>
          <w:sz w:val="24"/>
          <w:szCs w:val="24"/>
          <w:highlight w:val="none"/>
        </w:rPr>
        <w:t>17 计量与支付</w:t>
      </w:r>
      <w:bookmarkEnd w:id="551"/>
      <w:bookmarkEnd w:id="552"/>
      <w:bookmarkEnd w:id="553"/>
      <w:bookmarkEnd w:id="554"/>
      <w:bookmarkEnd w:id="555"/>
      <w:bookmarkEnd w:id="556"/>
      <w:bookmarkEnd w:id="557"/>
    </w:p>
    <w:p w14:paraId="1151C85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1</w:t>
      </w:r>
      <w:r>
        <w:rPr>
          <w:rFonts w:hint="eastAsia" w:ascii="宋体" w:hAnsi="宋体" w:eastAsia="宋体" w:cs="宋体"/>
          <w:b/>
          <w:color w:val="auto"/>
          <w:spacing w:val="20"/>
          <w:sz w:val="24"/>
          <w:szCs w:val="24"/>
        </w:rPr>
        <w:t xml:space="preserve"> 工程进度付款</w:t>
      </w:r>
    </w:p>
    <w:p w14:paraId="785EC7CD">
      <w:pPr>
        <w:autoSpaceDE w:val="0"/>
        <w:autoSpaceDN w:val="0"/>
        <w:adjustRightInd w:val="0"/>
        <w:snapToGrid w:val="0"/>
        <w:spacing w:line="400" w:lineRule="exact"/>
        <w:ind w:left="210" w:leftChars="100" w:firstLine="240" w:firstLineChars="1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 xml:space="preserve"> 进度付款申请单</w:t>
      </w:r>
    </w:p>
    <w:p w14:paraId="3CA6F055">
      <w:pPr>
        <w:autoSpaceDE w:val="0"/>
        <w:autoSpaceDN w:val="0"/>
        <w:adjustRightInd w:val="0"/>
        <w:snapToGrid w:val="0"/>
        <w:spacing w:line="400" w:lineRule="exact"/>
        <w:ind w:left="210" w:leftChars="100" w:firstLine="240" w:firstLineChars="1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每个付款周期末为</w:t>
      </w:r>
      <w:r>
        <w:rPr>
          <w:rFonts w:hint="eastAsia" w:ascii="宋体" w:hAnsi="宋体" w:eastAsia="宋体" w:cs="宋体"/>
          <w:snapToGrid w:val="0"/>
          <w:color w:val="auto"/>
          <w:sz w:val="24"/>
          <w:szCs w:val="24"/>
          <w:u w:val="single"/>
        </w:rPr>
        <w:t xml:space="preserve"> 每月25日 </w:t>
      </w:r>
      <w:r>
        <w:rPr>
          <w:rFonts w:hint="eastAsia" w:ascii="宋体" w:hAnsi="宋体" w:eastAsia="宋体" w:cs="宋体"/>
          <w:snapToGrid w:val="0"/>
          <w:color w:val="auto"/>
          <w:sz w:val="24"/>
          <w:szCs w:val="24"/>
        </w:rPr>
        <w:t>，份数为</w:t>
      </w:r>
      <w:r>
        <w:rPr>
          <w:rFonts w:hint="eastAsia" w:ascii="宋体" w:hAnsi="宋体" w:eastAsia="宋体" w:cs="宋体"/>
          <w:snapToGrid w:val="0"/>
          <w:color w:val="auto"/>
          <w:sz w:val="24"/>
          <w:szCs w:val="24"/>
          <w:u w:val="single"/>
        </w:rPr>
        <w:t xml:space="preserve"> 7 </w:t>
      </w:r>
      <w:r>
        <w:rPr>
          <w:rFonts w:hint="eastAsia" w:ascii="宋体" w:hAnsi="宋体" w:eastAsia="宋体" w:cs="宋体"/>
          <w:snapToGrid w:val="0"/>
          <w:color w:val="auto"/>
          <w:sz w:val="24"/>
          <w:szCs w:val="24"/>
        </w:rPr>
        <w:t>份。</w:t>
      </w:r>
    </w:p>
    <w:p w14:paraId="78CF7CA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 xml:space="preserve"> 进度付款证书和支付时间</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58" w:type="dxa"/>
            <w:shd w:val="clear" w:color="auto" w:fill="auto"/>
            <w:vAlign w:val="center"/>
          </w:tcPr>
          <w:p w14:paraId="000D7207">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付款比例（%）</w:t>
            </w:r>
          </w:p>
        </w:tc>
        <w:tc>
          <w:tcPr>
            <w:tcW w:w="6002" w:type="dxa"/>
            <w:shd w:val="clear" w:color="auto" w:fill="auto"/>
            <w:vAlign w:val="center"/>
          </w:tcPr>
          <w:p w14:paraId="5121BC43">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8" w:type="dxa"/>
            <w:shd w:val="clear" w:color="auto" w:fill="auto"/>
          </w:tcPr>
          <w:p w14:paraId="7E96599D">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支付合同价的40%</w:t>
            </w:r>
          </w:p>
        </w:tc>
        <w:tc>
          <w:tcPr>
            <w:tcW w:w="6002" w:type="dxa"/>
            <w:shd w:val="clear" w:color="auto" w:fill="auto"/>
          </w:tcPr>
          <w:p w14:paraId="230C6ED8">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合同生效以及具备实施条件后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12100BD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8" w:type="dxa"/>
            <w:shd w:val="clear" w:color="auto" w:fill="auto"/>
            <w:vAlign w:val="center"/>
          </w:tcPr>
          <w:p w14:paraId="51E3852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支付合同价的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6002" w:type="dxa"/>
            <w:shd w:val="clear" w:color="auto" w:fill="auto"/>
            <w:vAlign w:val="center"/>
          </w:tcPr>
          <w:p w14:paraId="3ACA03BA">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满足合同约定支付条件的，</w:t>
            </w:r>
            <w:r>
              <w:rPr>
                <w:rFonts w:hint="eastAsia" w:ascii="宋体" w:hAnsi="宋体" w:eastAsia="宋体" w:cs="宋体"/>
                <w:color w:val="auto"/>
                <w:sz w:val="24"/>
                <w:szCs w:val="24"/>
                <w:lang w:val="en-US" w:eastAsia="zh-CN"/>
              </w:rPr>
              <w:t>并</w:t>
            </w:r>
            <w:r>
              <w:rPr>
                <w:rFonts w:hint="eastAsia" w:ascii="宋体" w:hAnsi="宋体" w:eastAsia="宋体" w:cs="宋体"/>
                <w:snapToGrid w:val="0"/>
                <w:color w:val="auto"/>
                <w:sz w:val="24"/>
                <w:szCs w:val="24"/>
              </w:rPr>
              <w:t>完成合同工程量的80％</w:t>
            </w:r>
            <w:r>
              <w:rPr>
                <w:rFonts w:hint="eastAsia" w:ascii="宋体" w:hAnsi="宋体" w:eastAsia="宋体" w:cs="宋体"/>
                <w:snapToGrid w:val="0"/>
                <w:color w:val="auto"/>
                <w:sz w:val="24"/>
                <w:szCs w:val="24"/>
                <w:lang w:eastAsia="zh-CN"/>
              </w:rPr>
              <w:t>，</w:t>
            </w:r>
            <w:r>
              <w:rPr>
                <w:rFonts w:hint="eastAsia" w:ascii="宋体" w:hAnsi="宋体" w:eastAsia="宋体" w:cs="宋体"/>
                <w:color w:val="auto"/>
                <w:sz w:val="24"/>
                <w:szCs w:val="24"/>
              </w:rPr>
              <w:t>自收到发票后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358" w:type="dxa"/>
            <w:shd w:val="clear" w:color="auto" w:fill="auto"/>
          </w:tcPr>
          <w:p w14:paraId="70B2F7A5">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支付剩余款项</w:t>
            </w:r>
          </w:p>
        </w:tc>
        <w:tc>
          <w:tcPr>
            <w:tcW w:w="6002" w:type="dxa"/>
            <w:shd w:val="clear" w:color="auto" w:fill="auto"/>
          </w:tcPr>
          <w:p w14:paraId="39397A41">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项目验收合格并办理交付手续后7个工作日内</w:t>
            </w:r>
          </w:p>
        </w:tc>
      </w:tr>
    </w:tbl>
    <w:p w14:paraId="14003259">
      <w:pPr>
        <w:spacing w:line="400" w:lineRule="exact"/>
        <w:ind w:firstLine="48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农民工工资</w:t>
      </w:r>
    </w:p>
    <w:p w14:paraId="0DBF2367">
      <w:pPr>
        <w:spacing w:line="40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按宁波市人力资源和社会保障局等6部门关于印发《宁波市工程建设领域农民工工资专用账户管理实施细则（试行）》的通知（甬人社发[2022]29号）文件及有关规定做好农民工工资保证金的缴纳，并规范农民工工资专用账户资金管理。</w:t>
      </w:r>
    </w:p>
    <w:p w14:paraId="418294AF">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2</w:t>
      </w:r>
      <w:r>
        <w:rPr>
          <w:rFonts w:hint="eastAsia" w:ascii="宋体" w:hAnsi="宋体" w:eastAsia="宋体" w:cs="宋体"/>
          <w:b/>
          <w:color w:val="auto"/>
          <w:spacing w:val="20"/>
          <w:sz w:val="24"/>
          <w:szCs w:val="24"/>
        </w:rPr>
        <w:t xml:space="preserve"> 质量保证金</w:t>
      </w:r>
    </w:p>
    <w:p w14:paraId="321545C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 xml:space="preserve">.1 工程质量保证金的约定： </w:t>
      </w:r>
    </w:p>
    <w:p w14:paraId="770BE512">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按照《宁波市水利建设工程担保管理办法》</w:t>
      </w:r>
      <w:r>
        <w:rPr>
          <w:rFonts w:hint="eastAsia" w:ascii="宋体" w:hAnsi="宋体" w:eastAsia="宋体" w:cs="宋体"/>
          <w:snapToGrid w:val="0"/>
          <w:color w:val="auto"/>
          <w:sz w:val="24"/>
          <w:szCs w:val="24"/>
          <w:lang w:eastAsia="zh-CN"/>
        </w:rPr>
        <w:t>（甬水建安〔2020〕6号）</w:t>
      </w:r>
      <w:r>
        <w:rPr>
          <w:rFonts w:hint="eastAsia" w:ascii="宋体" w:hAnsi="宋体" w:eastAsia="宋体" w:cs="宋体"/>
          <w:snapToGrid w:val="0"/>
          <w:color w:val="auto"/>
          <w:sz w:val="24"/>
          <w:szCs w:val="24"/>
        </w:rPr>
        <w:t>文件规定，承包人向发包人提供质量保证金保函的形式为：</w:t>
      </w:r>
      <w:r>
        <w:rPr>
          <w:rFonts w:hint="eastAsia" w:ascii="宋体" w:hAnsi="宋体" w:eastAsia="宋体" w:cs="宋体"/>
          <w:snapToGrid w:val="0"/>
          <w:color w:val="auto"/>
          <w:sz w:val="24"/>
          <w:szCs w:val="24"/>
          <w:u w:val="single"/>
        </w:rPr>
        <w:t>银行保函或保险机构保证保险保单</w:t>
      </w:r>
      <w:r>
        <w:rPr>
          <w:rFonts w:hint="eastAsia" w:ascii="宋体" w:hAnsi="宋体" w:eastAsia="宋体" w:cs="宋体"/>
          <w:snapToGrid w:val="0"/>
          <w:color w:val="auto"/>
          <w:sz w:val="24"/>
          <w:szCs w:val="24"/>
        </w:rPr>
        <w:t>。</w:t>
      </w:r>
    </w:p>
    <w:p w14:paraId="49BE3480">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rPr>
        <w:t>承包人最迟在缺陷责任期开始前</w:t>
      </w:r>
      <w:r>
        <w:rPr>
          <w:rFonts w:hint="eastAsia" w:ascii="宋体" w:hAnsi="宋体" w:eastAsia="宋体" w:cs="宋体"/>
          <w:snapToGrid w:val="0"/>
          <w:color w:val="auto"/>
          <w:sz w:val="24"/>
          <w:szCs w:val="24"/>
          <w:u w:val="single"/>
        </w:rPr>
        <w:t xml:space="preserve"> 7</w:t>
      </w:r>
      <w:r>
        <w:rPr>
          <w:rFonts w:hint="eastAsia" w:ascii="宋体" w:hAnsi="宋体" w:eastAsia="宋体" w:cs="宋体"/>
          <w:snapToGrid w:val="0"/>
          <w:color w:val="auto"/>
          <w:sz w:val="24"/>
          <w:szCs w:val="24"/>
        </w:rPr>
        <w:t xml:space="preserve"> 日将向发包人提供符合质量保证担保，发包人收到质量保证担保的同时应退还在合同尾款中扣留的保证金。缺陷责任期延长的，承包人最迟应在原缺陷责任期届满之日前</w:t>
      </w:r>
      <w:r>
        <w:rPr>
          <w:rFonts w:hint="eastAsia" w:ascii="宋体" w:hAnsi="宋体" w:eastAsia="宋体" w:cs="宋体"/>
          <w:snapToGrid w:val="0"/>
          <w:color w:val="auto"/>
          <w:sz w:val="24"/>
          <w:szCs w:val="24"/>
          <w:u w:val="single"/>
        </w:rPr>
        <w:t xml:space="preserve"> 14 </w:t>
      </w:r>
      <w:r>
        <w:rPr>
          <w:rFonts w:hint="eastAsia" w:ascii="宋体" w:hAnsi="宋体" w:eastAsia="宋体" w:cs="宋体"/>
          <w:snapToGrid w:val="0"/>
          <w:color w:val="auto"/>
          <w:sz w:val="24"/>
          <w:szCs w:val="24"/>
        </w:rPr>
        <w:t>天向发包人提交延长缺陷责任期的质量保证担保，否则发包人有权向承包人提出索赔。</w:t>
      </w:r>
    </w:p>
    <w:p w14:paraId="33A70C69">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.2 质量保证金保函担保期限与合同中约定的缺陷责任期保持一致。</w:t>
      </w:r>
    </w:p>
    <w:p w14:paraId="7334BA18">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lang w:val="en-US" w:eastAsia="zh-CN"/>
        </w:rPr>
      </w:pPr>
      <w:r>
        <w:rPr>
          <w:rFonts w:hint="eastAsia" w:ascii="宋体" w:hAnsi="宋体" w:eastAsia="宋体" w:cs="宋体"/>
          <w:snapToGrid w:val="0"/>
          <w:color w:val="auto"/>
          <w:sz w:val="24"/>
          <w:szCs w:val="24"/>
          <w:lang w:val="en-US" w:eastAsia="zh-CN"/>
        </w:rPr>
        <w:t>17.2.3 质量保证金额度为工程价款结算总额的1.5%确定。</w:t>
      </w:r>
    </w:p>
    <w:p w14:paraId="245E379B">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7945F86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5</w:t>
      </w:r>
      <w:r>
        <w:rPr>
          <w:rFonts w:hint="eastAsia" w:ascii="宋体" w:hAnsi="宋体" w:eastAsia="宋体" w:cs="宋体"/>
          <w:snapToGrid w:val="0"/>
          <w:color w:val="auto"/>
          <w:sz w:val="24"/>
          <w:szCs w:val="24"/>
        </w:rPr>
        <w:t xml:space="preserve"> 承包人应于缺陷责任期满后 7 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0EB033E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6</w:t>
      </w:r>
      <w:r>
        <w:rPr>
          <w:rFonts w:hint="eastAsia" w:ascii="宋体" w:hAnsi="宋体" w:eastAsia="宋体" w:cs="宋体"/>
          <w:snapToGrid w:val="0"/>
          <w:color w:val="auto"/>
          <w:sz w:val="24"/>
          <w:szCs w:val="24"/>
        </w:rPr>
        <w:t>因发包人原因导致质量保证逾期退还的，发包人应承担相应的违约责任。</w:t>
      </w:r>
    </w:p>
    <w:p w14:paraId="26D47C1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补充条款：</w:t>
      </w:r>
    </w:p>
    <w:p w14:paraId="6C0770B1">
      <w:pPr>
        <w:autoSpaceDE w:val="0"/>
        <w:autoSpaceDN w:val="0"/>
        <w:adjustRightInd w:val="0"/>
        <w:snapToGrid w:val="0"/>
        <w:spacing w:line="400" w:lineRule="exact"/>
        <w:ind w:firstLine="482" w:firstLineChars="200"/>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1 、发包人在法人验收合格后，向承包人支付合同规定的工程价款前，在《 今日 宁海》上发布关于清理该工程欠薪的公告，经确认无拖欠农民工工资后，发包人方可支付工程价款。</w:t>
      </w:r>
    </w:p>
    <w:p w14:paraId="557DAAD4">
      <w:pPr>
        <w:autoSpaceDE w:val="0"/>
        <w:autoSpaceDN w:val="0"/>
        <w:adjustRightInd w:val="0"/>
        <w:snapToGrid w:val="0"/>
        <w:spacing w:line="400" w:lineRule="exact"/>
        <w:ind w:firstLine="482" w:firstLineChars="200"/>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 、承包单位若拖欠工程建设的人工工资，则业主有权扣除工程款或履约担保用于支付拖欠的人工工资，扣除的办法为 1.2倍拖欠的人工工资。</w:t>
      </w:r>
    </w:p>
    <w:p w14:paraId="1FBA4ED9">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bookmarkStart w:id="558" w:name="_Toc241374759"/>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3</w:t>
      </w:r>
      <w:r>
        <w:rPr>
          <w:rFonts w:hint="eastAsia" w:ascii="宋体" w:hAnsi="宋体" w:eastAsia="宋体" w:cs="宋体"/>
          <w:b/>
          <w:color w:val="auto"/>
          <w:spacing w:val="20"/>
          <w:sz w:val="24"/>
          <w:szCs w:val="24"/>
        </w:rPr>
        <w:t xml:space="preserve"> 竣工（完工）结算</w:t>
      </w:r>
    </w:p>
    <w:p w14:paraId="27A8A841">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.1 竣工（完工）付款申请单</w:t>
      </w:r>
    </w:p>
    <w:p w14:paraId="75881BB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⑴ 承包人应提交完工付款申请单一式</w:t>
      </w:r>
      <w:r>
        <w:rPr>
          <w:rFonts w:hint="eastAsia" w:ascii="宋体" w:hAnsi="宋体" w:eastAsia="宋体" w:cs="宋体"/>
          <w:snapToGrid w:val="0"/>
          <w:color w:val="auto"/>
          <w:sz w:val="24"/>
          <w:szCs w:val="24"/>
          <w:u w:val="single"/>
        </w:rPr>
        <w:t xml:space="preserve"> 8 </w:t>
      </w:r>
      <w:r>
        <w:rPr>
          <w:rFonts w:hint="eastAsia" w:ascii="宋体" w:hAnsi="宋体" w:eastAsia="宋体" w:cs="宋体"/>
          <w:snapToGrid w:val="0"/>
          <w:color w:val="auto"/>
          <w:sz w:val="24"/>
          <w:szCs w:val="24"/>
        </w:rPr>
        <w:t>份。</w:t>
      </w:r>
    </w:p>
    <w:p w14:paraId="05801EAE">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4</w:t>
      </w:r>
      <w:r>
        <w:rPr>
          <w:rFonts w:hint="eastAsia" w:ascii="宋体" w:hAnsi="宋体" w:eastAsia="宋体" w:cs="宋体"/>
          <w:b/>
          <w:color w:val="auto"/>
          <w:spacing w:val="20"/>
          <w:sz w:val="24"/>
          <w:szCs w:val="24"/>
        </w:rPr>
        <w:t xml:space="preserve"> 最终结清</w:t>
      </w:r>
    </w:p>
    <w:p w14:paraId="5DCB3654">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17. </w:t>
      </w:r>
      <w:r>
        <w:rPr>
          <w:rFonts w:hint="eastAsia" w:ascii="宋体" w:hAnsi="宋体" w:eastAsia="宋体" w:cs="宋体"/>
          <w:snapToGrid w:val="0"/>
          <w:color w:val="auto"/>
          <w:sz w:val="24"/>
          <w:szCs w:val="24"/>
          <w:lang w:val="en-US" w:eastAsia="zh-CN"/>
        </w:rPr>
        <w:t>4</w:t>
      </w:r>
      <w:r>
        <w:rPr>
          <w:rFonts w:hint="eastAsia" w:ascii="宋体" w:hAnsi="宋体" w:eastAsia="宋体" w:cs="宋体"/>
          <w:snapToGrid w:val="0"/>
          <w:color w:val="auto"/>
          <w:sz w:val="24"/>
          <w:szCs w:val="24"/>
        </w:rPr>
        <w:t>.1 最终结清申请单</w:t>
      </w:r>
    </w:p>
    <w:p w14:paraId="00B19389">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⑴ 承包人应提交最终结清申请单一式</w:t>
      </w:r>
      <w:r>
        <w:rPr>
          <w:rFonts w:hint="eastAsia" w:ascii="宋体" w:hAnsi="宋体" w:eastAsia="宋体" w:cs="宋体"/>
          <w:snapToGrid w:val="0"/>
          <w:color w:val="auto"/>
          <w:sz w:val="24"/>
          <w:szCs w:val="24"/>
          <w:u w:val="single"/>
        </w:rPr>
        <w:t xml:space="preserve">8 </w:t>
      </w:r>
      <w:r>
        <w:rPr>
          <w:rFonts w:hint="eastAsia" w:ascii="宋体" w:hAnsi="宋体" w:eastAsia="宋体" w:cs="宋体"/>
          <w:snapToGrid w:val="0"/>
          <w:color w:val="auto"/>
          <w:sz w:val="24"/>
          <w:szCs w:val="24"/>
        </w:rPr>
        <w:t>份。</w:t>
      </w:r>
    </w:p>
    <w:p w14:paraId="09BB8BBC">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5</w:t>
      </w:r>
      <w:r>
        <w:rPr>
          <w:rFonts w:hint="eastAsia" w:ascii="宋体" w:hAnsi="宋体" w:eastAsia="宋体" w:cs="宋体"/>
          <w:b/>
          <w:color w:val="auto"/>
          <w:spacing w:val="20"/>
          <w:sz w:val="24"/>
          <w:szCs w:val="24"/>
        </w:rPr>
        <w:t xml:space="preserve"> 竣工财务决算</w:t>
      </w:r>
    </w:p>
    <w:p w14:paraId="10CE2A27">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承包人应为竣工财务决算编制提供的资料：</w:t>
      </w:r>
      <w:r>
        <w:rPr>
          <w:rFonts w:hint="eastAsia" w:ascii="宋体" w:hAnsi="宋体" w:eastAsia="宋体" w:cs="宋体"/>
          <w:snapToGrid w:val="0"/>
          <w:color w:val="auto"/>
          <w:sz w:val="24"/>
          <w:szCs w:val="24"/>
          <w:u w:val="single"/>
        </w:rPr>
        <w:t xml:space="preserve"> 财务决算所需的一切资料 </w:t>
      </w:r>
      <w:r>
        <w:rPr>
          <w:rFonts w:hint="eastAsia" w:ascii="宋体" w:hAnsi="宋体" w:eastAsia="宋体" w:cs="宋体"/>
          <w:snapToGrid w:val="0"/>
          <w:color w:val="auto"/>
          <w:sz w:val="24"/>
          <w:szCs w:val="24"/>
        </w:rPr>
        <w:t>。</w:t>
      </w:r>
    </w:p>
    <w:p w14:paraId="3FA6936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59" w:name="_Toc381776166"/>
      <w:bookmarkStart w:id="560" w:name="_Toc344282765"/>
      <w:bookmarkStart w:id="561" w:name="_Toc307478988"/>
      <w:bookmarkStart w:id="562" w:name="_Toc259802239"/>
      <w:bookmarkStart w:id="563" w:name="_Toc266998259"/>
      <w:bookmarkStart w:id="564" w:name="_Toc370459073"/>
      <w:bookmarkStart w:id="565" w:name="_Toc362883296"/>
      <w:r>
        <w:rPr>
          <w:rFonts w:hint="eastAsia" w:ascii="宋体" w:hAnsi="宋体" w:eastAsia="宋体" w:cs="宋体"/>
          <w:b/>
          <w:snapToGrid w:val="0"/>
          <w:color w:val="auto"/>
          <w:sz w:val="24"/>
          <w:szCs w:val="24"/>
        </w:rPr>
        <w:t>18 工程验收</w:t>
      </w:r>
      <w:bookmarkEnd w:id="559"/>
      <w:bookmarkEnd w:id="560"/>
      <w:bookmarkEnd w:id="561"/>
      <w:bookmarkEnd w:id="562"/>
      <w:bookmarkEnd w:id="563"/>
      <w:bookmarkEnd w:id="564"/>
      <w:bookmarkEnd w:id="565"/>
    </w:p>
    <w:p w14:paraId="5F197C2A">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18.1 验收工作分类</w:t>
      </w:r>
    </w:p>
    <w:p w14:paraId="253C5722">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本工程法人验收包括：</w:t>
      </w:r>
      <w:r>
        <w:rPr>
          <w:rFonts w:hint="eastAsia" w:ascii="宋体" w:hAnsi="宋体" w:eastAsia="宋体" w:cs="宋体"/>
          <w:snapToGrid w:val="0"/>
          <w:color w:val="auto"/>
          <w:sz w:val="24"/>
          <w:szCs w:val="24"/>
          <w:u w:val="single"/>
        </w:rPr>
        <w:t xml:space="preserve">分部工程验收、单位工程验收、合同工程完工验收等 </w:t>
      </w:r>
      <w:r>
        <w:rPr>
          <w:rFonts w:hint="eastAsia" w:ascii="宋体" w:hAnsi="宋体" w:eastAsia="宋体" w:cs="宋体"/>
          <w:snapToGrid w:val="0"/>
          <w:color w:val="auto"/>
          <w:sz w:val="24"/>
          <w:szCs w:val="24"/>
        </w:rPr>
        <w:t>；政府验收包括：</w:t>
      </w:r>
      <w:r>
        <w:rPr>
          <w:rFonts w:hint="eastAsia" w:ascii="宋体" w:hAnsi="宋体" w:eastAsia="宋体" w:cs="宋体"/>
          <w:snapToGrid w:val="0"/>
          <w:color w:val="auto"/>
          <w:sz w:val="24"/>
          <w:szCs w:val="24"/>
          <w:u w:val="single"/>
        </w:rPr>
        <w:t xml:space="preserve"> 阶段验收、专项验收、竣工验收 </w:t>
      </w:r>
      <w:r>
        <w:rPr>
          <w:rFonts w:hint="eastAsia" w:ascii="宋体" w:hAnsi="宋体" w:eastAsia="宋体" w:cs="宋体"/>
          <w:snapToGrid w:val="0"/>
          <w:color w:val="auto"/>
          <w:sz w:val="24"/>
          <w:szCs w:val="24"/>
        </w:rPr>
        <w:t>。验收条件及验收程序参照《水利水电建设工程验收规程》（SL223-2008）执行。</w:t>
      </w:r>
    </w:p>
    <w:p w14:paraId="5545B19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18.2 分部工程验收</w:t>
      </w:r>
    </w:p>
    <w:p w14:paraId="140F4D55">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18.2.2 本工程由发包人主持的分部工程验收为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，其余由监理人主持。</w:t>
      </w:r>
    </w:p>
    <w:p w14:paraId="6653FE7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18.3 单位工程验收</w:t>
      </w:r>
    </w:p>
    <w:p w14:paraId="7A19588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18.3.4 提前投入使用的单位工程包括：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67E8EF0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18.5 阶段验收</w:t>
      </w:r>
    </w:p>
    <w:p w14:paraId="36523086">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18.5.1 本合同工程阶段验收类别包括：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21CD560B">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18.6 专项验收</w:t>
      </w:r>
    </w:p>
    <w:p w14:paraId="7EFFE7D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18.6.2 本合同工程专项验收类别包括：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4A9E3409">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18.7 竣工验收</w:t>
      </w:r>
    </w:p>
    <w:p w14:paraId="118974E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18.7.3 本工程</w:t>
      </w:r>
      <w:r>
        <w:rPr>
          <w:rFonts w:hint="eastAsia" w:ascii="宋体" w:hAnsi="宋体" w:eastAsia="宋体" w:cs="宋体"/>
          <w:snapToGrid w:val="0"/>
          <w:color w:val="auto"/>
          <w:sz w:val="24"/>
          <w:szCs w:val="24"/>
          <w:u w:val="single"/>
        </w:rPr>
        <w:t xml:space="preserve"> 不需要 </w:t>
      </w:r>
      <w:r>
        <w:rPr>
          <w:rFonts w:hint="eastAsia" w:ascii="宋体" w:hAnsi="宋体" w:eastAsia="宋体" w:cs="宋体"/>
          <w:snapToGrid w:val="0"/>
          <w:color w:val="auto"/>
          <w:sz w:val="24"/>
          <w:szCs w:val="24"/>
        </w:rPr>
        <w:t>竣工验收技术鉴定（蓄水安全鉴定）。</w:t>
      </w:r>
    </w:p>
    <w:p w14:paraId="65ED1631">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18.8 施工期运行</w:t>
      </w:r>
    </w:p>
    <w:p w14:paraId="2210B57B">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18.8.1 需要在施工期运行的单位工程或工程设备为：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4B6BEAAC">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18.9 试运行</w:t>
      </w:r>
    </w:p>
    <w:p w14:paraId="7E80AFC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18.9.1 试运行的组织：</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；费用承担：</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792F91B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66" w:name="_Toc370459074"/>
      <w:bookmarkStart w:id="567" w:name="_Toc344282766"/>
      <w:bookmarkStart w:id="568" w:name="_Toc381776167"/>
      <w:bookmarkStart w:id="569" w:name="_Toc266998260"/>
      <w:bookmarkStart w:id="570" w:name="_Toc307478989"/>
      <w:bookmarkStart w:id="571" w:name="_Toc362883297"/>
      <w:r>
        <w:rPr>
          <w:rFonts w:hint="eastAsia" w:ascii="宋体" w:hAnsi="宋体" w:eastAsia="宋体" w:cs="宋体"/>
          <w:b/>
          <w:snapToGrid w:val="0"/>
          <w:color w:val="auto"/>
          <w:sz w:val="24"/>
          <w:szCs w:val="24"/>
        </w:rPr>
        <w:t>19 缺陷责任与保修责任</w:t>
      </w:r>
      <w:bookmarkEnd w:id="558"/>
      <w:bookmarkEnd w:id="566"/>
      <w:bookmarkEnd w:id="567"/>
      <w:bookmarkEnd w:id="568"/>
      <w:bookmarkEnd w:id="569"/>
      <w:bookmarkEnd w:id="570"/>
      <w:bookmarkEnd w:id="571"/>
    </w:p>
    <w:p w14:paraId="55E14D95">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19.1 缺陷责任期（工程质量保修期）的起算时间</w:t>
      </w:r>
    </w:p>
    <w:p w14:paraId="58B1361C">
      <w:pPr>
        <w:autoSpaceDE w:val="0"/>
        <w:autoSpaceDN w:val="0"/>
        <w:adjustRightInd w:val="0"/>
        <w:snapToGrid w:val="0"/>
        <w:spacing w:line="400" w:lineRule="exact"/>
        <w:ind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本工程缺陷责任期（工程质量保修期）为 </w:t>
      </w:r>
      <w:r>
        <w:rPr>
          <w:rFonts w:hint="eastAsia" w:ascii="宋体" w:hAnsi="宋体" w:eastAsia="宋体" w:cs="宋体"/>
          <w:b/>
          <w:bCs/>
          <w:color w:val="auto"/>
          <w:sz w:val="24"/>
          <w:szCs w:val="24"/>
          <w:u w:val="single"/>
        </w:rPr>
        <w:t xml:space="preserve">1 </w:t>
      </w:r>
      <w:r>
        <w:rPr>
          <w:rFonts w:hint="eastAsia" w:ascii="宋体" w:hAnsi="宋体" w:eastAsia="宋体" w:cs="宋体"/>
          <w:b/>
          <w:bCs/>
          <w:color w:val="auto"/>
          <w:sz w:val="24"/>
          <w:szCs w:val="24"/>
        </w:rPr>
        <w:t>年</w:t>
      </w:r>
      <w:r>
        <w:rPr>
          <w:rFonts w:hint="eastAsia" w:ascii="宋体" w:hAnsi="宋体" w:eastAsia="宋体" w:cs="宋体"/>
          <w:snapToGrid w:val="0"/>
          <w:color w:val="auto"/>
          <w:sz w:val="24"/>
          <w:szCs w:val="24"/>
        </w:rPr>
        <w:t>，</w:t>
      </w:r>
      <w:r>
        <w:rPr>
          <w:rFonts w:hint="eastAsia" w:ascii="宋体" w:hAnsi="宋体" w:eastAsia="宋体" w:cs="宋体"/>
          <w:b/>
          <w:snapToGrid w:val="0"/>
          <w:color w:val="auto"/>
          <w:sz w:val="24"/>
          <w:szCs w:val="24"/>
        </w:rPr>
        <w:t>其中绿化部分</w:t>
      </w:r>
      <w:r>
        <w:rPr>
          <w:rFonts w:hint="eastAsia" w:ascii="宋体" w:hAnsi="宋体" w:eastAsia="宋体" w:cs="宋体"/>
          <w:b/>
          <w:snapToGrid w:val="0"/>
          <w:color w:val="auto"/>
          <w:sz w:val="24"/>
          <w:szCs w:val="24"/>
          <w:lang w:eastAsia="zh-CN"/>
        </w:rPr>
        <w:t>养护期</w:t>
      </w:r>
      <w:r>
        <w:rPr>
          <w:rFonts w:hint="eastAsia" w:ascii="宋体" w:hAnsi="宋体" w:eastAsia="宋体" w:cs="宋体"/>
          <w:b/>
          <w:snapToGrid w:val="0"/>
          <w:color w:val="auto"/>
          <w:sz w:val="24"/>
          <w:szCs w:val="24"/>
          <w:u w:val="single"/>
          <w:lang w:val="en-US" w:eastAsia="zh-CN"/>
        </w:rPr>
        <w:t>2</w:t>
      </w:r>
      <w:r>
        <w:rPr>
          <w:rFonts w:hint="eastAsia" w:ascii="宋体" w:hAnsi="宋体" w:eastAsia="宋体" w:cs="宋体"/>
          <w:b/>
          <w:snapToGrid w:val="0"/>
          <w:color w:val="auto"/>
          <w:sz w:val="24"/>
          <w:szCs w:val="24"/>
        </w:rPr>
        <w:t>年</w:t>
      </w:r>
      <w:r>
        <w:rPr>
          <w:rFonts w:hint="eastAsia" w:ascii="宋体" w:hAnsi="宋体" w:eastAsia="宋体" w:cs="宋体"/>
          <w:b/>
          <w:bCs/>
          <w:color w:val="auto"/>
          <w:sz w:val="24"/>
          <w:szCs w:val="24"/>
        </w:rPr>
        <w:t>。</w:t>
      </w:r>
    </w:p>
    <w:p w14:paraId="399D7241">
      <w:pPr>
        <w:autoSpaceDE w:val="0"/>
        <w:autoSpaceDN w:val="0"/>
        <w:adjustRightInd w:val="0"/>
        <w:snapToGrid w:val="0"/>
        <w:spacing w:line="400" w:lineRule="exac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 保修责任</w:t>
      </w:r>
    </w:p>
    <w:p w14:paraId="2456E18C">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19.7.1  保修期自工程接受证书中写明的全部工程完工日开始算起。发包人提前验收并签发接受证书的单位工程和部分工程，若未投入正常使用，其保修期亦按全部工程的完工日开始起算，保修期为</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年。</w:t>
      </w:r>
    </w:p>
    <w:p w14:paraId="4DCCC2B4">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5F438DC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8B891BA">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070F35FA">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72" w:name="_Toc307478990"/>
      <w:bookmarkStart w:id="573" w:name="_Toc344282767"/>
      <w:bookmarkStart w:id="574" w:name="_Toc259802241"/>
      <w:bookmarkStart w:id="575" w:name="_Toc370459075"/>
      <w:bookmarkStart w:id="576" w:name="_Toc266998261"/>
      <w:bookmarkStart w:id="577" w:name="_Toc362883298"/>
      <w:bookmarkStart w:id="578" w:name="_Toc381776168"/>
      <w:r>
        <w:rPr>
          <w:rFonts w:hint="eastAsia" w:ascii="宋体" w:hAnsi="宋体" w:eastAsia="宋体" w:cs="宋体"/>
          <w:b/>
          <w:snapToGrid w:val="0"/>
          <w:color w:val="auto"/>
          <w:sz w:val="24"/>
          <w:szCs w:val="24"/>
        </w:rPr>
        <w:t>20 保险</w:t>
      </w:r>
      <w:bookmarkEnd w:id="572"/>
      <w:bookmarkEnd w:id="573"/>
      <w:bookmarkEnd w:id="574"/>
      <w:bookmarkEnd w:id="575"/>
      <w:bookmarkEnd w:id="576"/>
      <w:bookmarkEnd w:id="577"/>
      <w:bookmarkEnd w:id="578"/>
    </w:p>
    <w:p w14:paraId="1EB81AF6">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20.1 工程保险</w:t>
      </w:r>
    </w:p>
    <w:p w14:paraId="0E260A07">
      <w:pPr>
        <w:autoSpaceDE w:val="0"/>
        <w:autoSpaceDN w:val="0"/>
        <w:adjustRightIn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建筑（安装）工程一切险、第三者责任险、安全生产责任险：</w:t>
      </w:r>
      <w:r>
        <w:rPr>
          <w:rFonts w:hint="eastAsia" w:ascii="宋体" w:hAnsi="宋体" w:eastAsia="宋体" w:cs="宋体"/>
          <w:snapToGrid w:val="0"/>
          <w:color w:val="auto"/>
          <w:sz w:val="24"/>
          <w:szCs w:val="24"/>
          <w:u w:val="single"/>
        </w:rPr>
        <w:t>由承包人以发包人和承包人的名义投保</w:t>
      </w:r>
      <w:r>
        <w:rPr>
          <w:rFonts w:hint="eastAsia" w:ascii="宋体" w:hAnsi="宋体" w:eastAsia="宋体" w:cs="宋体"/>
          <w:snapToGrid w:val="0"/>
          <w:color w:val="auto"/>
          <w:sz w:val="24"/>
          <w:szCs w:val="24"/>
        </w:rPr>
        <w:t>；保险单位的确定需征得发包人书面同意。</w:t>
      </w:r>
    </w:p>
    <w:p w14:paraId="75E6B630">
      <w:pPr>
        <w:autoSpaceDE w:val="0"/>
        <w:autoSpaceDN w:val="0"/>
        <w:adjustRightIn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投保内容：</w:t>
      </w:r>
      <w:r>
        <w:rPr>
          <w:rFonts w:hint="eastAsia" w:ascii="宋体" w:hAnsi="宋体" w:eastAsia="宋体" w:cs="宋体"/>
          <w:snapToGrid w:val="0"/>
          <w:color w:val="auto"/>
          <w:sz w:val="24"/>
          <w:szCs w:val="24"/>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4"/>
          <w:szCs w:val="24"/>
        </w:rPr>
        <w:t>。</w:t>
      </w:r>
    </w:p>
    <w:p w14:paraId="020085EF">
      <w:pPr>
        <w:tabs>
          <w:tab w:val="left" w:pos="2790"/>
        </w:tabs>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保险费率和保险期限：</w:t>
      </w:r>
      <w:r>
        <w:rPr>
          <w:rFonts w:hint="eastAsia" w:ascii="宋体" w:hAnsi="宋体" w:eastAsia="宋体" w:cs="宋体"/>
          <w:snapToGrid w:val="0"/>
          <w:color w:val="auto"/>
          <w:sz w:val="24"/>
          <w:szCs w:val="24"/>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4"/>
          <w:szCs w:val="24"/>
        </w:rPr>
        <w:t>。</w:t>
      </w:r>
    </w:p>
    <w:p w14:paraId="38B5B71A">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 xml:space="preserve">20.5 其他保险 </w:t>
      </w:r>
    </w:p>
    <w:p w14:paraId="615E5BAD">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需要投保的其他内容：</w:t>
      </w:r>
      <w:r>
        <w:rPr>
          <w:rFonts w:hint="eastAsia" w:ascii="宋体" w:hAnsi="宋体" w:eastAsia="宋体" w:cs="宋体"/>
          <w:snapToGrid w:val="0"/>
          <w:color w:val="auto"/>
          <w:sz w:val="24"/>
          <w:szCs w:val="24"/>
          <w:u w:val="single"/>
        </w:rPr>
        <w:t>施工企业从业人员工伤保险；</w:t>
      </w:r>
    </w:p>
    <w:p w14:paraId="34E4FD46">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保险金额、保险费率和保险期限：</w:t>
      </w:r>
      <w:r>
        <w:rPr>
          <w:rFonts w:hint="eastAsia" w:ascii="宋体" w:hAnsi="宋体" w:eastAsia="宋体" w:cs="宋体"/>
          <w:snapToGrid w:val="0"/>
          <w:color w:val="auto"/>
          <w:sz w:val="24"/>
          <w:szCs w:val="24"/>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5E6B3BC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20.6 对各项保险的一般要求</w:t>
      </w:r>
    </w:p>
    <w:p w14:paraId="36DB3F92">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20. 6.1 保险凭证</w:t>
      </w:r>
    </w:p>
    <w:p w14:paraId="53B5CAB1">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承包人提交保险凭证的期限：保险手续办理完毕后</w:t>
      </w:r>
      <w:r>
        <w:rPr>
          <w:rFonts w:hint="eastAsia" w:ascii="宋体" w:hAnsi="宋体" w:eastAsia="宋体" w:cs="宋体"/>
          <w:snapToGrid w:val="0"/>
          <w:color w:val="auto"/>
          <w:sz w:val="24"/>
          <w:szCs w:val="24"/>
          <w:u w:val="single"/>
        </w:rPr>
        <w:t xml:space="preserve"> 7 </w:t>
      </w:r>
      <w:r>
        <w:rPr>
          <w:rFonts w:hint="eastAsia" w:ascii="宋体" w:hAnsi="宋体" w:eastAsia="宋体" w:cs="宋体"/>
          <w:snapToGrid w:val="0"/>
          <w:color w:val="auto"/>
          <w:sz w:val="24"/>
          <w:szCs w:val="24"/>
        </w:rPr>
        <w:t>天内提交。</w:t>
      </w:r>
    </w:p>
    <w:p w14:paraId="58E862FA">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20.6.4 保险金不足的补偿</w:t>
      </w:r>
    </w:p>
    <w:p w14:paraId="481E5EB0">
      <w:pPr>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承包人负责补偿的范围与金额：</w:t>
      </w:r>
      <w:r>
        <w:rPr>
          <w:rFonts w:hint="eastAsia" w:ascii="宋体" w:hAnsi="宋体" w:eastAsia="宋体" w:cs="宋体"/>
          <w:snapToGrid w:val="0"/>
          <w:color w:val="auto"/>
          <w:sz w:val="24"/>
          <w:szCs w:val="24"/>
          <w:u w:val="single"/>
        </w:rPr>
        <w:t>免赔额部分及保险金不足的补偿均由承包人负责</w:t>
      </w:r>
      <w:r>
        <w:rPr>
          <w:rFonts w:hint="eastAsia" w:ascii="宋体" w:hAnsi="宋体" w:eastAsia="宋体" w:cs="宋体"/>
          <w:snapToGrid w:val="0"/>
          <w:color w:val="auto"/>
          <w:sz w:val="24"/>
          <w:szCs w:val="24"/>
        </w:rPr>
        <w:t>。</w:t>
      </w:r>
    </w:p>
    <w:p w14:paraId="6B8D21D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发包人负责补偿的范围与金额：</w:t>
      </w:r>
      <w:r>
        <w:rPr>
          <w:rFonts w:hint="eastAsia" w:ascii="宋体" w:hAnsi="宋体" w:eastAsia="宋体" w:cs="宋体"/>
          <w:snapToGrid w:val="0"/>
          <w:color w:val="auto"/>
          <w:sz w:val="24"/>
          <w:szCs w:val="24"/>
          <w:u w:val="single"/>
        </w:rPr>
        <w:t>由于本工程一切保险均由承包人负责投保，其费用均列入报价，故发包人不承担保险金不足的补偿</w:t>
      </w:r>
      <w:r>
        <w:rPr>
          <w:rFonts w:hint="eastAsia" w:ascii="宋体" w:hAnsi="宋体" w:eastAsia="宋体" w:cs="宋体"/>
          <w:snapToGrid w:val="0"/>
          <w:color w:val="auto"/>
          <w:sz w:val="24"/>
          <w:szCs w:val="24"/>
        </w:rPr>
        <w:t>。</w:t>
      </w:r>
    </w:p>
    <w:p w14:paraId="780FDC37">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79" w:name="_Toc424301746"/>
      <w:bookmarkStart w:id="580" w:name="_Toc350975306"/>
      <w:bookmarkStart w:id="581" w:name="_Toc381220923"/>
      <w:bookmarkStart w:id="582" w:name="_Toc426559153"/>
      <w:bookmarkStart w:id="583" w:name="_Toc433622051"/>
      <w:bookmarkStart w:id="584" w:name="_Toc475633948"/>
      <w:bookmarkStart w:id="585" w:name="_Toc384843112"/>
      <w:bookmarkStart w:id="586" w:name="_Toc433363238"/>
      <w:bookmarkStart w:id="587" w:name="_Toc381776169"/>
      <w:bookmarkStart w:id="588" w:name="_Toc370459076"/>
      <w:bookmarkStart w:id="589" w:name="_Toc362883299"/>
      <w:r>
        <w:rPr>
          <w:rFonts w:hint="eastAsia" w:ascii="宋体" w:hAnsi="宋体" w:eastAsia="宋体" w:cs="宋体"/>
          <w:b/>
          <w:snapToGrid w:val="0"/>
          <w:color w:val="auto"/>
          <w:sz w:val="24"/>
          <w:szCs w:val="24"/>
        </w:rPr>
        <w:t>22 违约</w:t>
      </w:r>
      <w:bookmarkEnd w:id="579"/>
      <w:bookmarkEnd w:id="580"/>
      <w:bookmarkEnd w:id="581"/>
      <w:bookmarkEnd w:id="582"/>
      <w:bookmarkEnd w:id="583"/>
      <w:bookmarkEnd w:id="584"/>
      <w:bookmarkEnd w:id="585"/>
      <w:bookmarkEnd w:id="586"/>
    </w:p>
    <w:p w14:paraId="450DC72F">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22.1 承包人违约</w:t>
      </w:r>
    </w:p>
    <w:p w14:paraId="4ECF7537">
      <w:pPr>
        <w:autoSpaceDE w:val="0"/>
        <w:autoSpaceDN w:val="0"/>
        <w:adjustRightInd w:val="0"/>
        <w:spacing w:line="400" w:lineRule="exact"/>
        <w:ind w:firstLine="488"/>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5F56D30E">
      <w:pPr>
        <w:autoSpaceDE w:val="0"/>
        <w:autoSpaceDN w:val="0"/>
        <w:adjustRightInd w:val="0"/>
        <w:spacing w:line="400" w:lineRule="exact"/>
        <w:ind w:firstLine="488"/>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补充以下条款：</w:t>
      </w:r>
    </w:p>
    <w:p w14:paraId="50C1B649">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（4）人员到位违约的处理：</w:t>
      </w:r>
    </w:p>
    <w:p w14:paraId="1EAF366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① </w:t>
      </w:r>
      <w:r>
        <w:rPr>
          <w:rFonts w:hint="eastAsia" w:ascii="宋体" w:hAnsi="宋体" w:eastAsia="宋体" w:cs="宋体"/>
          <w:snapToGrid w:val="0"/>
          <w:color w:val="auto"/>
          <w:sz w:val="24"/>
          <w:szCs w:val="24"/>
          <w:u w:val="single"/>
        </w:rPr>
        <w:t>项目负责人、项目技术负责人每月驻工地的天数每少一天支付违约金 1000 元，若连续 4 个月及以上每月驻工地的天数少于22天，发包人有权解除合同。</w:t>
      </w:r>
    </w:p>
    <w:p w14:paraId="54692A5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u w:val="single"/>
        </w:rPr>
        <w:t>项目施工员、质检（量）员、安全员每月驻工地的天数每少一天支付违约金1000 元，若连续 4 个月及以上每月驻工地的天数少于25天，发包人有权解除合同。</w:t>
      </w:r>
    </w:p>
    <w:p w14:paraId="33845E8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② </w:t>
      </w:r>
      <w:r>
        <w:rPr>
          <w:rFonts w:hint="eastAsia" w:ascii="宋体" w:hAnsi="宋体" w:eastAsia="宋体" w:cs="宋体"/>
          <w:snapToGrid w:val="0"/>
          <w:color w:val="auto"/>
          <w:sz w:val="24"/>
          <w:szCs w:val="24"/>
          <w:u w:val="single"/>
        </w:rPr>
        <w:t>承包人擅自更换项目负责人或项目技术负责人的，除每人次需支付 30 万元的违约金外，发包人有权将其作为不良行为记录上报水行政主管部门；情节特别严重的，发包人有权中止合同。</w:t>
      </w:r>
    </w:p>
    <w:p w14:paraId="4C9DEF61">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③ </w:t>
      </w:r>
      <w:r>
        <w:rPr>
          <w:rFonts w:hint="eastAsia" w:ascii="宋体" w:hAnsi="宋体" w:eastAsia="宋体" w:cs="宋体"/>
          <w:snapToGrid w:val="0"/>
          <w:color w:val="auto"/>
          <w:sz w:val="24"/>
          <w:szCs w:val="24"/>
          <w:u w:val="single"/>
        </w:rPr>
        <w:t>承包人的安全员、质检员、施工员、专职安全生产管理人员擅自调换每一人次需支付违约金 5 万元。</w:t>
      </w:r>
    </w:p>
    <w:p w14:paraId="51B7C2E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④ </w:t>
      </w:r>
      <w:r>
        <w:rPr>
          <w:rFonts w:hint="eastAsia" w:ascii="宋体" w:hAnsi="宋体" w:eastAsia="宋体" w:cs="宋体"/>
          <w:snapToGrid w:val="0"/>
          <w:color w:val="auto"/>
          <w:sz w:val="24"/>
          <w:szCs w:val="24"/>
          <w:u w:val="single"/>
        </w:rPr>
        <w:t>上述违约金在当月工程进度款中直接扣除，在工地工作天数按监理人实际考勤记录为准。</w:t>
      </w:r>
    </w:p>
    <w:p w14:paraId="455C225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u w:val="single"/>
        </w:rPr>
        <w:fldChar w:fldCharType="begin"/>
      </w:r>
      <w:r>
        <w:rPr>
          <w:rFonts w:hint="eastAsia" w:ascii="宋体" w:hAnsi="宋体" w:eastAsia="宋体" w:cs="宋体"/>
          <w:snapToGrid w:val="0"/>
          <w:color w:val="auto"/>
          <w:sz w:val="24"/>
          <w:szCs w:val="24"/>
          <w:u w:val="single"/>
        </w:rPr>
        <w:instrText xml:space="preserve"> = 5 \* GB3 </w:instrText>
      </w:r>
      <w:r>
        <w:rPr>
          <w:rFonts w:hint="eastAsia" w:ascii="宋体" w:hAnsi="宋体" w:eastAsia="宋体" w:cs="宋体"/>
          <w:snapToGrid w:val="0"/>
          <w:color w:val="auto"/>
          <w:sz w:val="24"/>
          <w:szCs w:val="24"/>
          <w:u w:val="single"/>
        </w:rPr>
        <w:fldChar w:fldCharType="separate"/>
      </w:r>
      <w:r>
        <w:rPr>
          <w:rFonts w:hint="eastAsia" w:ascii="宋体" w:hAnsi="宋体" w:eastAsia="宋体" w:cs="宋体"/>
          <w:snapToGrid w:val="0"/>
          <w:color w:val="auto"/>
          <w:sz w:val="24"/>
          <w:szCs w:val="24"/>
          <w:u w:val="single"/>
        </w:rPr>
        <w:t>⑤</w:t>
      </w:r>
      <w:r>
        <w:rPr>
          <w:rFonts w:hint="eastAsia" w:ascii="宋体" w:hAnsi="宋体" w:eastAsia="宋体" w:cs="宋体"/>
          <w:snapToGrid w:val="0"/>
          <w:color w:val="auto"/>
          <w:sz w:val="24"/>
          <w:szCs w:val="24"/>
          <w:u w:val="single"/>
        </w:rPr>
        <w:fldChar w:fldCharType="end"/>
      </w:r>
      <w:r>
        <w:rPr>
          <w:rFonts w:hint="eastAsia" w:ascii="宋体" w:hAnsi="宋体" w:eastAsia="宋体" w:cs="宋体"/>
          <w:snapToGrid w:val="0"/>
          <w:color w:val="auto"/>
          <w:sz w:val="24"/>
          <w:szCs w:val="24"/>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11FBE5B">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24 争议的解决</w:t>
      </w:r>
      <w:bookmarkEnd w:id="587"/>
      <w:bookmarkEnd w:id="588"/>
      <w:bookmarkEnd w:id="589"/>
    </w:p>
    <w:p w14:paraId="5E58DE6B">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24.1 争议的解决方式</w:t>
      </w:r>
    </w:p>
    <w:p w14:paraId="11F7F686">
      <w:pPr>
        <w:snapToGrid w:val="0"/>
        <w:spacing w:line="400" w:lineRule="exact"/>
        <w:ind w:firstLine="470" w:firstLineChars="196"/>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合同当事人友好协商解决不成、不愿提请争议评审或不接受争议评审组意见的，约定的合同争议解决方式：</w:t>
      </w:r>
      <w:r>
        <w:rPr>
          <w:rFonts w:hint="eastAsia" w:ascii="宋体" w:hAnsi="宋体" w:eastAsia="宋体" w:cs="宋体"/>
          <w:snapToGrid w:val="0"/>
          <w:color w:val="auto"/>
          <w:sz w:val="24"/>
          <w:szCs w:val="24"/>
          <w:u w:val="single"/>
        </w:rPr>
        <w:t>提交人民法院，提交本工程所在人民法院</w:t>
      </w:r>
      <w:r>
        <w:rPr>
          <w:rFonts w:hint="eastAsia" w:ascii="宋体" w:hAnsi="宋体" w:eastAsia="宋体" w:cs="宋体"/>
          <w:snapToGrid w:val="0"/>
          <w:color w:val="auto"/>
          <w:sz w:val="24"/>
          <w:szCs w:val="24"/>
        </w:rPr>
        <w:t>。</w:t>
      </w:r>
    </w:p>
    <w:p w14:paraId="41F86702">
      <w:pPr>
        <w:autoSpaceDE w:val="0"/>
        <w:autoSpaceDN w:val="0"/>
        <w:adjustRightInd w:val="0"/>
        <w:spacing w:line="400" w:lineRule="exact"/>
        <w:ind w:firstLine="480"/>
        <w:textAlignment w:val="baseline"/>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合同条款补充：</w:t>
      </w:r>
    </w:p>
    <w:p w14:paraId="2B60E2D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90" w:name="_Toc264875831"/>
      <w:bookmarkStart w:id="591" w:name="_Toc178843982"/>
      <w:bookmarkStart w:id="592" w:name="_Toc381220926"/>
      <w:bookmarkStart w:id="593" w:name="_Toc261333153"/>
      <w:bookmarkStart w:id="594" w:name="_Toc241374762"/>
      <w:r>
        <w:rPr>
          <w:rFonts w:hint="eastAsia" w:ascii="宋体" w:hAnsi="宋体" w:eastAsia="宋体" w:cs="宋体"/>
          <w:b/>
          <w:snapToGrid w:val="0"/>
          <w:color w:val="auto"/>
          <w:sz w:val="24"/>
          <w:szCs w:val="24"/>
        </w:rPr>
        <w:t>25 合同类型</w:t>
      </w:r>
      <w:bookmarkEnd w:id="590"/>
      <w:bookmarkEnd w:id="591"/>
      <w:bookmarkEnd w:id="592"/>
      <w:bookmarkEnd w:id="593"/>
      <w:bookmarkEnd w:id="594"/>
    </w:p>
    <w:p w14:paraId="14FEE8EF">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本合同的采用单价承包，</w:t>
      </w:r>
      <w:r>
        <w:rPr>
          <w:rFonts w:hint="eastAsia" w:ascii="宋体" w:hAnsi="宋体" w:eastAsia="宋体" w:cs="宋体"/>
          <w:color w:val="auto"/>
          <w:sz w:val="24"/>
          <w:szCs w:val="24"/>
          <w:lang w:eastAsia="zh-CN"/>
        </w:rPr>
        <w:t>其中以</w:t>
      </w:r>
      <w:r>
        <w:rPr>
          <w:rFonts w:hint="eastAsia" w:ascii="宋体" w:hAnsi="宋体" w:eastAsia="宋体" w:cs="宋体"/>
          <w:color w:val="auto"/>
          <w:sz w:val="24"/>
          <w:szCs w:val="24"/>
        </w:rPr>
        <w:t>项为计量单</w:t>
      </w:r>
      <w:r>
        <w:rPr>
          <w:rFonts w:hint="eastAsia" w:ascii="宋体" w:hAnsi="宋体" w:eastAsia="宋体" w:cs="宋体"/>
          <w:b w:val="0"/>
          <w:bCs w:val="0"/>
          <w:color w:val="auto"/>
          <w:sz w:val="24"/>
          <w:szCs w:val="24"/>
        </w:rPr>
        <w:t>位的施工临时工程</w:t>
      </w:r>
      <w:r>
        <w:rPr>
          <w:rFonts w:hint="eastAsia" w:ascii="宋体" w:hAnsi="宋体" w:eastAsia="宋体" w:cs="宋体"/>
          <w:b w:val="0"/>
          <w:bCs w:val="0"/>
          <w:color w:val="auto"/>
          <w:sz w:val="24"/>
          <w:szCs w:val="24"/>
          <w:lang w:eastAsia="zh-CN"/>
        </w:rPr>
        <w:t>采用总价</w:t>
      </w:r>
      <w:r>
        <w:rPr>
          <w:rFonts w:hint="eastAsia" w:ascii="宋体" w:hAnsi="宋体" w:eastAsia="宋体" w:cs="宋体"/>
          <w:b w:val="0"/>
          <w:bCs w:val="0"/>
          <w:color w:val="auto"/>
          <w:sz w:val="24"/>
          <w:szCs w:val="24"/>
        </w:rPr>
        <w:t>包干。</w:t>
      </w:r>
    </w:p>
    <w:p w14:paraId="52BA986E">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在合同签订的同时，需另行签订《安全生产协议书》。</w:t>
      </w:r>
    </w:p>
    <w:p w14:paraId="68EA977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bookmarkStart w:id="595" w:name="_Toc362883118"/>
      <w:bookmarkEnd w:id="595"/>
      <w:bookmarkStart w:id="596" w:name="_Toc362880706"/>
      <w:bookmarkEnd w:id="596"/>
      <w:bookmarkStart w:id="597" w:name="_Toc362883300"/>
      <w:bookmarkEnd w:id="597"/>
      <w:r>
        <w:rPr>
          <w:rFonts w:hint="eastAsia" w:ascii="宋体" w:hAnsi="宋体" w:eastAsia="宋体" w:cs="宋体"/>
          <w:snapToGrid w:val="0"/>
          <w:color w:val="auto"/>
          <w:sz w:val="24"/>
          <w:szCs w:val="24"/>
        </w:rPr>
        <w:t xml:space="preserve">  “安全施工费”的使用范围按国家、《浙江省水利水电工程设计概（预）算编制规定（2021年）》和省有关规定及本工程设计图纸明确的安全、文明施工要求。发包人</w:t>
      </w:r>
      <w:r>
        <w:rPr>
          <w:rFonts w:hint="eastAsia" w:ascii="宋体" w:hAnsi="宋体" w:eastAsia="宋体" w:cs="宋体"/>
          <w:color w:val="auto"/>
          <w:sz w:val="24"/>
          <w:szCs w:val="24"/>
        </w:rPr>
        <w:t>将在第一次支付工程款时扣押该笔费用，在工程实施时，按承包人提交的安全文明防护设施凭证按实拨付，拨付的总额最高不超过《工程量清单》所列安全施工费用。</w:t>
      </w:r>
    </w:p>
    <w:p w14:paraId="1587C8CC">
      <w:pPr>
        <w:autoSpaceDE w:val="0"/>
        <w:autoSpaceDN w:val="0"/>
        <w:adjustRightInd w:val="0"/>
        <w:snapToGrid w:val="0"/>
        <w:spacing w:line="4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26 其他</w:t>
      </w:r>
    </w:p>
    <w:p w14:paraId="249BC75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本项目的农民工工资支付管理按照《工程建设领域农民工工资专用账户管理暂行办法》（人社部发[2021]53 号）、《浙江省工程建设领域农民工工资专用账户管理实施细则》（浙人社发[2022]14 号））文件的要求执行。</w:t>
      </w:r>
    </w:p>
    <w:p w14:paraId="6D74D981">
      <w:pPr>
        <w:autoSpaceDE w:val="0"/>
        <w:autoSpaceDN w:val="0"/>
        <w:adjustRightInd w:val="0"/>
        <w:snapToGrid w:val="0"/>
        <w:spacing w:line="400" w:lineRule="exact"/>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承包人须按宁波市人力资</w:t>
      </w:r>
      <w:r>
        <w:rPr>
          <w:rFonts w:hint="eastAsia" w:ascii="宋体" w:hAnsi="宋体" w:eastAsia="宋体" w:cs="宋体"/>
          <w:b w:val="0"/>
          <w:bCs w:val="0"/>
          <w:color w:val="auto"/>
          <w:sz w:val="24"/>
          <w:szCs w:val="24"/>
        </w:rPr>
        <w:t>源和社会保障局等 6 部门关于印发《宁波市工程建设领域农民工工资专用账户管理实施细则（试行）》的通知（甬人社发[2022]29 号）文件及有关规定做好农民工工资保证金的缴纳，并规范农民工工资专用账户资金管理。</w:t>
      </w:r>
    </w:p>
    <w:p w14:paraId="7BB7FB8A">
      <w:pPr>
        <w:autoSpaceDE w:val="0"/>
        <w:autoSpaceDN w:val="0"/>
        <w:adjustRightInd w:val="0"/>
        <w:snapToGrid w:val="0"/>
        <w:spacing w:line="400" w:lineRule="exact"/>
        <w:ind w:firstLine="480" w:firstLineChars="200"/>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承包方在签订本合同的同时与发包方、开户银行按本合同附件五的格式签订《宁波市工程建设领域农民工工资专用账户资金管理三方协议》。</w:t>
      </w:r>
    </w:p>
    <w:p w14:paraId="023B9AFD">
      <w:pPr>
        <w:pStyle w:val="23"/>
        <w:rPr>
          <w:rFonts w:hint="eastAsia" w:ascii="宋体" w:hAnsi="宋体" w:eastAsia="宋体" w:cs="宋体"/>
          <w:color w:val="auto"/>
          <w:sz w:val="24"/>
          <w:szCs w:val="24"/>
          <w:highlight w:val="none"/>
        </w:rPr>
      </w:pPr>
    </w:p>
    <w:p w14:paraId="2AF57EA7">
      <w:pPr>
        <w:pStyle w:val="33"/>
        <w:rPr>
          <w:rFonts w:hint="eastAsia" w:ascii="宋体" w:hAnsi="宋体" w:eastAsia="宋体" w:cs="宋体"/>
          <w:color w:val="auto"/>
          <w:sz w:val="24"/>
          <w:szCs w:val="24"/>
          <w:lang w:eastAsia="zh-CN"/>
        </w:rPr>
        <w:sectPr>
          <w:pgSz w:w="11906" w:h="16838"/>
          <w:pgMar w:top="1440" w:right="1080" w:bottom="1440" w:left="1080" w:header="851" w:footer="992" w:gutter="0"/>
          <w:pgNumType w:fmt="decimal"/>
          <w:cols w:space="720" w:num="1"/>
          <w:titlePg/>
          <w:docGrid w:linePitch="312" w:charSpace="0"/>
        </w:sectPr>
      </w:pPr>
    </w:p>
    <w:p w14:paraId="0065B06C">
      <w:pPr>
        <w:rPr>
          <w:rFonts w:hint="eastAsia"/>
          <w:color w:val="auto"/>
          <w:lang w:eastAsia="zh-CN"/>
        </w:rPr>
      </w:pPr>
    </w:p>
    <w:p w14:paraId="65D31596">
      <w:pPr>
        <w:adjustRightInd w:val="0"/>
        <w:snapToGrid w:val="0"/>
        <w:spacing w:line="300" w:lineRule="auto"/>
        <w:rPr>
          <w:rFonts w:hint="eastAsia" w:ascii="宋体" w:hAnsi="宋体" w:eastAsia="宋体" w:cs="宋体"/>
          <w:b/>
          <w:color w:val="auto"/>
          <w:sz w:val="21"/>
          <w:szCs w:val="21"/>
          <w:highlight w:val="none"/>
        </w:rPr>
      </w:pPr>
    </w:p>
    <w:p w14:paraId="1E6B6E2A">
      <w:pPr>
        <w:pStyle w:val="3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安全生产协议书</w:t>
      </w:r>
    </w:p>
    <w:p w14:paraId="11E12AC0">
      <w:pPr>
        <w:pStyle w:val="967"/>
        <w:rPr>
          <w:rFonts w:hint="eastAsia" w:ascii="宋体" w:hAnsi="宋体" w:eastAsia="宋体" w:cs="宋体"/>
          <w:bCs/>
          <w:color w:val="auto"/>
          <w:sz w:val="24"/>
          <w:szCs w:val="24"/>
          <w:highlight w:val="none"/>
        </w:rPr>
      </w:pPr>
    </w:p>
    <w:p w14:paraId="5E0328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施工合同的实施过程中创造安全、高效的施工环境，切实搞好本项目的安全管理工作，本项目的建设单位</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（以下简称“甲方”）与施工单位</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21BE7847">
      <w:pPr>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甲方职责</w:t>
      </w:r>
    </w:p>
    <w:p w14:paraId="621AB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（一）遵守国家有关安全生产的法律法规，认真执行工程承包合同中的有关安全要求。</w:t>
      </w:r>
    </w:p>
    <w:p w14:paraId="46CB1D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（二）按照“安全第一、预防为主”和坚持“管生产必须管安全”的原则进行安全生产管理，做到生产与安全工作同时计划、布置、检查、总结和评比。</w:t>
      </w:r>
    </w:p>
    <w:p w14:paraId="3739D0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（三）重要的安全设施必须坚持与主体工程“三同时”的原则，即：同时设计、审批，同时施工，同时验收、投入使用。</w:t>
      </w:r>
    </w:p>
    <w:p w14:paraId="67F472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（四）定期召开安全生产调度会，及时传达中央及地方有关安全生产的精神。</w:t>
      </w:r>
    </w:p>
    <w:p w14:paraId="3EEF94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（五）组织对乙方施工现场安全生产检查，监督乙方及时处理发现的各种安全隐患。</w:t>
      </w:r>
    </w:p>
    <w:p w14:paraId="4C90AB2C">
      <w:pPr>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98108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（一）严格遵守国家有关安全生产的法律法规、水利部颁发的有关工程施工安全技术规程的安全生产规定，认真执行工程承包合同中的有关安全要求。</w:t>
      </w:r>
    </w:p>
    <w:p w14:paraId="4D2C4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10045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3D8B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（四）乙方在任何时候都应采取各种合理的预防措施，防止其员工发生任何违法、违禁、暴力或妨碍治安的行为。</w:t>
      </w:r>
    </w:p>
    <w:p w14:paraId="203B3E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279EA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26B50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（七）操作人员上岗，必须按规定穿戴防护用品。施工负责人和安全检查员应随时检查劳动防护用品的穿戴情况，不按规定穿戴防护用品的人员不得上岗。</w:t>
      </w:r>
    </w:p>
    <w:p w14:paraId="262ACF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（八）所有施工机具设备和高空作业的设备均应定期检查，并有安全员的签字记录，保证其经常处于完好状态；不合格的机具、设备和劳动保护用品严禁使用。</w:t>
      </w:r>
    </w:p>
    <w:p w14:paraId="711DF6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（九）所有施工中采用新技术，新工艺、新设备、新材料时，必须制定相应的安全技术措施，施工现场必须具有相关的安全标志牌。</w:t>
      </w:r>
    </w:p>
    <w:p w14:paraId="0CF7AE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E6E4B43">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第三条  违约责任</w:t>
      </w:r>
    </w:p>
    <w:p w14:paraId="0940F70E">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如因甲方或乙方违约造成安全事故，将依法追究责任。</w:t>
      </w:r>
    </w:p>
    <w:p w14:paraId="35C1B6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本合同正本一式二份，副本八份，合同双方各执正本一份，副本四份。由双方法定代表人或其授权的代理人签署与加盖公章后生效，全部工程竣工验收后失效。</w:t>
      </w:r>
    </w:p>
    <w:p w14:paraId="6F95DB25">
      <w:pPr>
        <w:spacing w:line="360" w:lineRule="auto"/>
        <w:rPr>
          <w:rFonts w:hint="eastAsia" w:ascii="宋体" w:hAnsi="宋体" w:eastAsia="宋体" w:cs="宋体"/>
          <w:color w:val="auto"/>
          <w:spacing w:val="-8"/>
          <w:sz w:val="24"/>
          <w:szCs w:val="24"/>
          <w:highlight w:val="none"/>
        </w:rPr>
      </w:pPr>
    </w:p>
    <w:p w14:paraId="6BB5DFEF">
      <w:pPr>
        <w:spacing w:line="360" w:lineRule="auto"/>
        <w:rPr>
          <w:rFonts w:hint="eastAsia" w:ascii="宋体" w:hAnsi="宋体" w:eastAsia="宋体" w:cs="宋体"/>
          <w:color w:val="auto"/>
          <w:spacing w:val="-8"/>
          <w:sz w:val="24"/>
          <w:szCs w:val="24"/>
          <w:highlight w:val="none"/>
        </w:rPr>
      </w:pPr>
    </w:p>
    <w:p w14:paraId="2F4C87EE">
      <w:pPr>
        <w:spacing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甲方：</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color w:val="auto"/>
          <w:spacing w:val="-8"/>
          <w:sz w:val="24"/>
          <w:szCs w:val="24"/>
          <w:highlight w:val="none"/>
          <w:u w:val="single"/>
        </w:rPr>
        <w:t xml:space="preserve">（盖章）   </w:t>
      </w:r>
      <w:r>
        <w:rPr>
          <w:rFonts w:hint="eastAsia" w:ascii="宋体" w:hAnsi="宋体" w:eastAsia="宋体" w:cs="宋体"/>
          <w:color w:val="auto"/>
          <w:spacing w:val="-8"/>
          <w:sz w:val="24"/>
          <w:szCs w:val="24"/>
          <w:highlight w:val="none"/>
        </w:rPr>
        <w:t xml:space="preserve">     乙方：</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color w:val="auto"/>
          <w:spacing w:val="-8"/>
          <w:sz w:val="24"/>
          <w:szCs w:val="24"/>
          <w:highlight w:val="none"/>
          <w:u w:val="single"/>
        </w:rPr>
        <w:t>（盖章）</w:t>
      </w:r>
    </w:p>
    <w:p w14:paraId="1DA41F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239688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                                            或</w:t>
      </w:r>
    </w:p>
    <w:p w14:paraId="3DFD8A2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其授权的代理人：</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 xml:space="preserve">     其授权的代理人：</w:t>
      </w:r>
      <w:r>
        <w:rPr>
          <w:rFonts w:hint="eastAsia" w:ascii="宋体" w:hAnsi="宋体" w:eastAsia="宋体" w:cs="宋体"/>
          <w:color w:val="auto"/>
          <w:sz w:val="24"/>
          <w:szCs w:val="24"/>
          <w:highlight w:val="none"/>
          <w:u w:val="single"/>
        </w:rPr>
        <w:t xml:space="preserve">            （职务） </w:t>
      </w:r>
    </w:p>
    <w:p w14:paraId="1CB280C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（签字）</w:t>
      </w:r>
    </w:p>
    <w:p w14:paraId="5094B21F">
      <w:pPr>
        <w:spacing w:line="360" w:lineRule="auto"/>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056CC3B">
      <w:pPr>
        <w:spacing w:line="700" w:lineRule="exact"/>
        <w:jc w:val="center"/>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承包商履约保函</w:t>
      </w:r>
    </w:p>
    <w:p w14:paraId="7213BD86">
      <w:pPr>
        <w:spacing w:line="440" w:lineRule="exact"/>
        <w:ind w:firstLine="5400" w:firstLineChars="2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办理日期：  年  月  日</w:t>
      </w:r>
    </w:p>
    <w:p w14:paraId="1605518D">
      <w:pPr>
        <w:spacing w:line="440" w:lineRule="exact"/>
        <w:ind w:right="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保函编号：№</w:t>
      </w:r>
    </w:p>
    <w:p w14:paraId="2C2CFC5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w:t>
      </w:r>
    </w:p>
    <w:p w14:paraId="4A4EEE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鉴于你方作为发包人已经于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（承包商名称，以下称“承包商”）为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2BD7DE59">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一、保证的范围及保证金额</w:t>
      </w:r>
    </w:p>
    <w:p w14:paraId="792BD8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我方的保证范围是承包商未按照主合同约定履行义务，给你方造成的实际损失。</w:t>
      </w:r>
    </w:p>
    <w:p w14:paraId="464CEC0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我方保证的金额是主合同约定的合同总价款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BB4C6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二、保证的方式及保证期间</w:t>
      </w:r>
    </w:p>
    <w:p w14:paraId="5F3DF8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14:paraId="70492CE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我方保证的期间为：自主合同生效之日起至承包商取得竣工验收记录后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14:paraId="714A62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你方与承包商协议变更工程竣工日期的，经我方书面同意后，保证期间按照变更后的竣工日期做相应调整。</w:t>
      </w:r>
    </w:p>
    <w:p w14:paraId="52D2B3B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三、承担保证责任的形式</w:t>
      </w:r>
    </w:p>
    <w:p w14:paraId="602E1A4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种方式向你方承担保证责任：</w:t>
      </w:r>
    </w:p>
    <w:p w14:paraId="5F797A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（1）由我方提供资金及技术援助，使承包商继续履行主合同义务，支付金额不超过本保函第一条规定的保证金额。</w:t>
      </w:r>
    </w:p>
    <w:p w14:paraId="4A2D3B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（2）由我方代为承包商履行主合同剩余部分义务。</w:t>
      </w:r>
    </w:p>
    <w:p w14:paraId="4021F2D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（3）由我方在本保函第一条规定的保证金额内赔偿你方的损失。</w:t>
      </w:r>
    </w:p>
    <w:p w14:paraId="199904B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四、代偿的安排</w:t>
      </w:r>
    </w:p>
    <w:p w14:paraId="29A1EBD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380C51B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4471FC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我方收到本保函原件和你方的书面索赔通知及相应证明材料后，在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14:paraId="0F9C1C67">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五、保证责任的解除</w:t>
      </w:r>
    </w:p>
    <w:p w14:paraId="514C67B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361CA8A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2、承包商按主合同约定履行了义务的，自本保函承诺的保证期间届满次日起，我方保证责任解除。</w:t>
      </w:r>
    </w:p>
    <w:p w14:paraId="472E852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3、我方按照本保函向你方履行保证责任所支付的金额达到本保函保证金额时，自我方向你方支付（支付款项从我方账户划出）之日起，保证责任即解除。</w:t>
      </w:r>
    </w:p>
    <w:p w14:paraId="2751A7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4、按照法律法规的规定或出现应解除我方保证责任的其它情形的，我方在本保函项下的保证责任亦解除。</w:t>
      </w:r>
    </w:p>
    <w:p w14:paraId="2713D5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我方解除保证责任后，你方应自我方保证责任解除之日起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个工作日内，将本保函原件返还我方。超出本约定期限的，无论本保函原件是否退还我方，我方均不再承担保证责任。</w:t>
      </w:r>
    </w:p>
    <w:p w14:paraId="06532A6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六、免责条款</w:t>
      </w:r>
    </w:p>
    <w:p w14:paraId="4D53CD4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1、因你方违约致使承包商不能履行义务的，我方不承担保证责任。</w:t>
      </w:r>
    </w:p>
    <w:p w14:paraId="517896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2、依照法律法规的规定或你方与承包商的另行约定，免除承包商部分或全部义务的，我方亦免除其相应的保证责任。</w:t>
      </w:r>
    </w:p>
    <w:p w14:paraId="51BC09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3、你方与承包商协议变更主合同（符合主合同条款约定的变更除外），如加重承包商责任致使我方保证责任加重的，需征得我方书面同意，否则我方不再承担因此而加重部分的保证责任。</w:t>
      </w:r>
    </w:p>
    <w:p w14:paraId="2B6E574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4、因不可抗力造成承包商不能履行义务的，我方不承担保证责任。</w:t>
      </w:r>
    </w:p>
    <w:p w14:paraId="0A32F9C7">
      <w:pPr>
        <w:spacing w:line="400" w:lineRule="exact"/>
        <w:rPr>
          <w:rStyle w:val="936"/>
          <w:rFonts w:hint="eastAsia" w:ascii="宋体" w:hAnsi="宋体" w:eastAsia="宋体" w:cs="宋体"/>
          <w:color w:val="auto"/>
          <w:sz w:val="24"/>
          <w:szCs w:val="24"/>
          <w:highlight w:val="none"/>
        </w:rPr>
      </w:pPr>
      <w:r>
        <w:rPr>
          <w:rStyle w:val="936"/>
          <w:rFonts w:hint="eastAsia" w:ascii="宋体" w:hAnsi="宋体" w:eastAsia="宋体" w:cs="宋体"/>
          <w:color w:val="auto"/>
          <w:sz w:val="24"/>
          <w:szCs w:val="24"/>
          <w:highlight w:val="none"/>
        </w:rPr>
        <w:t xml:space="preserve">    5、本保函不得转让，我方对除你方以外的任何第三方不承担任何责任。</w:t>
      </w:r>
    </w:p>
    <w:p w14:paraId="51D83B6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七、争议的解决</w:t>
      </w:r>
    </w:p>
    <w:p w14:paraId="570A87F3">
      <w:pPr>
        <w:spacing w:line="400" w:lineRule="exact"/>
        <w:ind w:left="1037" w:leftChars="151"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因本保函发生的纠纷，由你我双方协商解决，协商不成的，任何一方均可提请</w:t>
      </w:r>
    </w:p>
    <w:p w14:paraId="2A19CD5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r>
        <w:rPr>
          <w:rStyle w:val="936"/>
          <w:rFonts w:hint="eastAsia" w:ascii="宋体" w:hAnsi="宋体" w:eastAsia="宋体" w:cs="宋体"/>
          <w:color w:val="auto"/>
          <w:sz w:val="24"/>
          <w:szCs w:val="24"/>
          <w:highlight w:val="none"/>
        </w:rPr>
        <w:t>。</w:t>
      </w:r>
    </w:p>
    <w:p w14:paraId="00A979D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八、保函的生效</w:t>
      </w:r>
    </w:p>
    <w:p w14:paraId="1E3862F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本保函自我方法定代表人（或其授权代理人）签字并加盖公章后生效。</w:t>
      </w:r>
    </w:p>
    <w:p w14:paraId="45E20DCB">
      <w:pPr>
        <w:spacing w:line="400" w:lineRule="exact"/>
        <w:ind w:firstLine="240" w:firstLineChars="100"/>
        <w:jc w:val="left"/>
        <w:rPr>
          <w:rFonts w:hint="eastAsia" w:ascii="宋体" w:hAnsi="宋体" w:eastAsia="宋体" w:cs="宋体"/>
          <w:color w:val="auto"/>
          <w:sz w:val="24"/>
          <w:szCs w:val="24"/>
          <w:highlight w:val="none"/>
        </w:rPr>
      </w:pPr>
    </w:p>
    <w:p w14:paraId="540D1478">
      <w:pPr>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A973F2B">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0C1BAB9">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DB199E8">
      <w:pPr>
        <w:spacing w:line="40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3EFDFE03">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4259B741">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6182F9F">
      <w:pPr>
        <w:pStyle w:val="32"/>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65547">
      <w:pPr>
        <w:pStyle w:val="32"/>
        <w:adjustRightInd w:val="0"/>
        <w:jc w:val="left"/>
        <w:rPr>
          <w:rFonts w:hint="eastAsia" w:ascii="宋体" w:hAnsi="宋体" w:eastAsia="宋体" w:cs="宋体"/>
          <w:color w:val="auto"/>
          <w:sz w:val="24"/>
          <w:szCs w:val="24"/>
          <w:highlight w:val="none"/>
        </w:rPr>
      </w:pPr>
    </w:p>
    <w:p w14:paraId="10BDB230">
      <w:pPr>
        <w:pStyle w:val="32"/>
        <w:adjustRightInd w:val="0"/>
        <w:jc w:val="left"/>
        <w:rPr>
          <w:rFonts w:hint="eastAsia" w:ascii="宋体" w:hAnsi="宋体" w:eastAsia="宋体" w:cs="宋体"/>
          <w:color w:val="auto"/>
          <w:sz w:val="24"/>
          <w:szCs w:val="24"/>
          <w:highlight w:val="none"/>
        </w:rPr>
      </w:pPr>
    </w:p>
    <w:p w14:paraId="6F0CE753">
      <w:pPr>
        <w:autoSpaceDE w:val="0"/>
        <w:autoSpaceDN w:val="0"/>
        <w:adjustRightInd w:val="0"/>
        <w:spacing w:line="400" w:lineRule="exact"/>
        <w:textAlignment w:val="baseline"/>
        <w:rPr>
          <w:rFonts w:hint="eastAsia" w:ascii="宋体" w:hAnsi="宋体" w:eastAsia="宋体" w:cs="宋体"/>
          <w:b/>
          <w:snapToGrid w:val="0"/>
          <w:color w:val="auto"/>
          <w:sz w:val="24"/>
          <w:szCs w:val="24"/>
          <w:highlight w:val="none"/>
        </w:rPr>
      </w:pPr>
    </w:p>
    <w:p w14:paraId="26013164">
      <w:pPr>
        <w:pStyle w:val="57"/>
        <w:shd w:val="clear" w:color="auto" w:fill="FFFFFF"/>
        <w:spacing w:before="0" w:beforeAutospacing="0" w:after="0" w:afterAutospacing="0" w:line="420" w:lineRule="exact"/>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宁波市工程建设领域农民工工资专用账户</w:t>
      </w:r>
    </w:p>
    <w:p w14:paraId="21840EEB">
      <w:pPr>
        <w:pStyle w:val="57"/>
        <w:shd w:val="clear" w:color="auto" w:fill="FFFFFF"/>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b/>
          <w:snapToGrid w:val="0"/>
          <w:color w:val="auto"/>
          <w:sz w:val="24"/>
          <w:szCs w:val="24"/>
          <w:highlight w:val="none"/>
        </w:rPr>
        <w:t>资金管理三方协议</w:t>
      </w:r>
    </w:p>
    <w:p w14:paraId="1E1515E8">
      <w:pPr>
        <w:pStyle w:val="57"/>
        <w:widowControl w:val="0"/>
        <w:spacing w:before="0" w:beforeAutospacing="0" w:after="0" w:afterAutospacing="0" w:line="420" w:lineRule="exact"/>
        <w:rPr>
          <w:rFonts w:hint="eastAsia" w:ascii="宋体" w:hAnsi="宋体" w:eastAsia="宋体" w:cs="宋体"/>
          <w:color w:val="auto"/>
          <w:sz w:val="24"/>
          <w:szCs w:val="24"/>
          <w:highlight w:val="none"/>
        </w:rPr>
      </w:pPr>
    </w:p>
    <w:p w14:paraId="1239A38C">
      <w:pPr>
        <w:pStyle w:val="57"/>
        <w:widowControl w:val="0"/>
        <w:spacing w:before="0" w:beforeAutospacing="0" w:after="0" w:afterAutospacing="0"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甲方（建设单位）：</w:t>
      </w:r>
      <w:r>
        <w:rPr>
          <w:rFonts w:hint="eastAsia" w:ascii="宋体" w:hAnsi="宋体" w:eastAsia="宋体" w:cs="宋体"/>
          <w:color w:val="auto"/>
          <w:sz w:val="24"/>
          <w:szCs w:val="24"/>
          <w:highlight w:val="none"/>
          <w:u w:val="single"/>
        </w:rPr>
        <w:t xml:space="preserve">                                  </w:t>
      </w:r>
    </w:p>
    <w:p w14:paraId="2092B886">
      <w:pPr>
        <w:pStyle w:val="57"/>
        <w:widowControl w:val="0"/>
        <w:spacing w:before="0" w:beforeAutospacing="0" w:after="0" w:afterAutospacing="0"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乙方（总包单位）：</w:t>
      </w:r>
      <w:r>
        <w:rPr>
          <w:rFonts w:hint="eastAsia" w:ascii="宋体" w:hAnsi="宋体" w:eastAsia="宋体" w:cs="宋体"/>
          <w:color w:val="auto"/>
          <w:sz w:val="24"/>
          <w:szCs w:val="24"/>
          <w:highlight w:val="none"/>
          <w:u w:val="single"/>
        </w:rPr>
        <w:t xml:space="preserve">                                  </w:t>
      </w:r>
    </w:p>
    <w:p w14:paraId="7C3C4450">
      <w:pPr>
        <w:pStyle w:val="57"/>
        <w:widowControl w:val="0"/>
        <w:spacing w:before="0" w:beforeAutospacing="0" w:after="0" w:afterAutospacing="0" w:line="42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丙方（开户银行）：</w:t>
      </w:r>
      <w:r>
        <w:rPr>
          <w:rFonts w:hint="eastAsia" w:ascii="宋体" w:hAnsi="宋体" w:eastAsia="宋体" w:cs="宋体"/>
          <w:color w:val="auto"/>
          <w:sz w:val="24"/>
          <w:szCs w:val="24"/>
          <w:highlight w:val="none"/>
          <w:u w:val="single"/>
        </w:rPr>
        <w:t xml:space="preserve">                                  </w:t>
      </w:r>
    </w:p>
    <w:p w14:paraId="78D8CDDC">
      <w:pPr>
        <w:pStyle w:val="57"/>
        <w:widowControl w:val="0"/>
        <w:spacing w:before="0" w:beforeAutospacing="0" w:after="0" w:afterAutospacing="0" w:line="420" w:lineRule="exact"/>
        <w:ind w:firstLine="480" w:firstLineChars="200"/>
        <w:jc w:val="both"/>
        <w:rPr>
          <w:rFonts w:hint="eastAsia" w:ascii="宋体" w:hAnsi="宋体" w:eastAsia="宋体" w:cs="宋体"/>
          <w:color w:val="auto"/>
          <w:sz w:val="24"/>
          <w:szCs w:val="24"/>
          <w:highlight w:val="none"/>
        </w:rPr>
      </w:pPr>
    </w:p>
    <w:p w14:paraId="2C28047F">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shd w:val="clear" w:color="auto" w:fill="FFFFFF"/>
        </w:rPr>
        <w:t>《工程建设领域农民工工资专用账户管理暂行办法》（人社部发〔2021〕53号）、《浙江省工程建设领域农民工工资专用账户管理实施细则》（浙人社发〔2022〕14号）、</w:t>
      </w:r>
      <w:r>
        <w:rPr>
          <w:rFonts w:hint="eastAsia" w:ascii="宋体" w:hAnsi="宋体" w:eastAsia="宋体" w:cs="宋体"/>
          <w:color w:val="auto"/>
          <w:sz w:val="24"/>
          <w:szCs w:val="24"/>
          <w:highlight w:val="none"/>
        </w:rPr>
        <w:t>《宁波市工程建设领域农民工工资专用账户管理实施细则（试行）》</w:t>
      </w:r>
      <w:r>
        <w:rPr>
          <w:rFonts w:hint="eastAsia" w:ascii="宋体" w:hAnsi="宋体" w:eastAsia="宋体" w:cs="宋体"/>
          <w:color w:val="auto"/>
          <w:sz w:val="24"/>
          <w:szCs w:val="24"/>
          <w:highlight w:val="none"/>
          <w:shd w:val="clear" w:color="auto" w:fill="FFFFFF"/>
        </w:rPr>
        <w:t>（甬人社发〔2022〕29号）</w:t>
      </w:r>
      <w:r>
        <w:rPr>
          <w:rFonts w:hint="eastAsia" w:ascii="宋体" w:hAnsi="宋体" w:eastAsia="宋体" w:cs="宋体"/>
          <w:color w:val="auto"/>
          <w:sz w:val="24"/>
          <w:szCs w:val="24"/>
          <w:highlight w:val="none"/>
        </w:rPr>
        <w:t>（以下简称《细则》）等规定，为保证农民工工资专用账户（以下简称专用账户）资金专款专用和农民工工资及时足额支付，甲、乙双方委托丙方为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项目(以下简称XX项目)专用账户资金监管人，为该项目专用账户资金提供管理，并按照本协议约定履行相关信息披露、报告等职责。甲、乙、丙三方经友好协商，达成以下协议，并共同遵守。</w:t>
      </w:r>
    </w:p>
    <w:p w14:paraId="7BD64395">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工资专户设立及管理</w:t>
      </w:r>
    </w:p>
    <w:p w14:paraId="2F7C64F9">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乙方须按《细则》规定，在丙方处开立专用账户，专项用于</w:t>
      </w:r>
      <w:r>
        <w:rPr>
          <w:rFonts w:hint="eastAsia" w:ascii="宋体" w:hAnsi="宋体" w:eastAsia="宋体" w:cs="宋体"/>
          <w:color w:val="auto"/>
          <w:sz w:val="24"/>
          <w:szCs w:val="24"/>
          <w:highlight w:val="none"/>
          <w:u w:val="single"/>
        </w:rPr>
        <w:t xml:space="preserve">    XX项目   </w:t>
      </w:r>
      <w:r>
        <w:rPr>
          <w:rFonts w:hint="eastAsia" w:ascii="宋体" w:hAnsi="宋体" w:eastAsia="宋体" w:cs="宋体"/>
          <w:color w:val="auto"/>
          <w:sz w:val="24"/>
          <w:szCs w:val="24"/>
          <w:highlight w:val="none"/>
        </w:rPr>
        <w:t>农民工工资的发放。</w:t>
      </w:r>
    </w:p>
    <w:p w14:paraId="44C71C98">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专用账户开户行：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D71D25">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专用账户名称：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881AFE">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专用账户账号：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C032CD">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5C206883">
      <w:pPr>
        <w:pStyle w:val="57"/>
        <w:widowControl w:val="0"/>
        <w:spacing w:before="0" w:beforeAutospacing="0" w:after="0" w:afterAutospacing="0"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第三条  甲方、乙方授权丙方将专用账户基本信息、进出账信息、工资支付信息等，于实际业务发生后同步上传至</w:t>
      </w:r>
      <w:r>
        <w:rPr>
          <w:rFonts w:hint="eastAsia" w:ascii="宋体" w:hAnsi="宋体" w:eastAsia="宋体" w:cs="宋体"/>
          <w:color w:val="auto"/>
          <w:sz w:val="24"/>
          <w:szCs w:val="24"/>
          <w:highlight w:val="none"/>
          <w:shd w:val="clear" w:color="auto" w:fill="FFFFFF"/>
        </w:rPr>
        <w:t>工资支付监控预警平台</w:t>
      </w:r>
      <w:r>
        <w:rPr>
          <w:rFonts w:hint="eastAsia" w:ascii="宋体" w:hAnsi="宋体" w:eastAsia="宋体" w:cs="宋体"/>
          <w:color w:val="auto"/>
          <w:kern w:val="2"/>
          <w:sz w:val="24"/>
          <w:szCs w:val="24"/>
          <w:highlight w:val="none"/>
        </w:rPr>
        <w:t>。</w:t>
      </w:r>
    </w:p>
    <w:p w14:paraId="497F8E65">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资金托管职责和期限</w:t>
      </w:r>
    </w:p>
    <w:p w14:paraId="1936493A">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丙方作为受托银行，在专用账户资金到位的前提下，应履行以下职责：</w:t>
      </w:r>
    </w:p>
    <w:p w14:paraId="0B374BA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（一）保管专用账户资金，确保资金安全；</w:t>
      </w:r>
    </w:p>
    <w:p w14:paraId="1DAC515C">
      <w:pPr>
        <w:pStyle w:val="57"/>
        <w:widowControl w:val="0"/>
        <w:spacing w:before="0" w:beforeAutospacing="0" w:after="0" w:afterAutospacing="0"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（二）乙方提供审核确认的工资支付表等工资发放材料后，应在2个工作日内从专用账户将工资直接划转至农民工本人的具有金融功能的社会保障卡或者银行卡（以下简称工资卡）；</w:t>
      </w:r>
    </w:p>
    <w:p w14:paraId="7A3725B7">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（三）及时向甲方、乙方披露专用账户资金的相关信息，每月将专用账户对账单报甲方、乙方备查。</w:t>
      </w:r>
    </w:p>
    <w:p w14:paraId="197D5762">
      <w:pPr>
        <w:spacing w:line="42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甲方联系人：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009675CC">
      <w:pPr>
        <w:spacing w:line="42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收件地址：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，电子邮箱：</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00061654">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乙方联系人：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w:t>
      </w:r>
    </w:p>
    <w:p w14:paraId="2AF13B14">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收件地址：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，电子邮箱：</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14:paraId="0736756A">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支持农民工使用现有工资卡领取工资，不得拒绝其使用他行工资卡，不得强制要求农民工重新办理工资卡。农民工使用他行工资卡的，鼓励执行优惠的跨行代发工资手续费率。农民工本人确需办理新工资卡的，免费为农民工办理，农民工工资卡不收取成本费和年费。</w:t>
      </w:r>
    </w:p>
    <w:p w14:paraId="08D0831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农民工因项目工程结束等原因离职的，总包单位应在5个工作日内将离职信息反馈至农民工工资卡开户银行。</w:t>
      </w:r>
    </w:p>
    <w:p w14:paraId="34CD0106">
      <w:pPr>
        <w:pStyle w:val="57"/>
        <w:widowControl w:val="0"/>
        <w:spacing w:before="0" w:beforeAutospacing="0" w:after="0" w:afterAutospacing="0" w:line="420" w:lineRule="exact"/>
        <w:ind w:firstLine="350" w:firstLineChars="1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第五条  </w:t>
      </w:r>
      <w:r>
        <w:rPr>
          <w:rFonts w:hint="eastAsia" w:ascii="宋体" w:hAnsi="宋体" w:eastAsia="宋体" w:cs="宋体"/>
          <w:color w:val="auto"/>
          <w:spacing w:val="-6"/>
          <w:sz w:val="24"/>
          <w:szCs w:val="24"/>
          <w:highlight w:val="none"/>
        </w:rPr>
        <w:t>丙方对</w:t>
      </w:r>
      <w:r>
        <w:rPr>
          <w:rFonts w:hint="eastAsia" w:ascii="宋体" w:hAnsi="宋体" w:eastAsia="宋体" w:cs="宋体"/>
          <w:color w:val="auto"/>
          <w:sz w:val="24"/>
          <w:szCs w:val="24"/>
          <w:highlight w:val="none"/>
        </w:rPr>
        <w:t>专用账户</w:t>
      </w:r>
      <w:r>
        <w:rPr>
          <w:rFonts w:hint="eastAsia" w:ascii="宋体" w:hAnsi="宋体" w:eastAsia="宋体" w:cs="宋体"/>
          <w:color w:val="auto"/>
          <w:spacing w:val="-6"/>
          <w:sz w:val="24"/>
          <w:szCs w:val="24"/>
          <w:highlight w:val="none"/>
        </w:rPr>
        <w:t>内资金履行监督职责的期限自</w:t>
      </w:r>
      <w:r>
        <w:rPr>
          <w:rFonts w:hint="eastAsia" w:ascii="宋体" w:hAnsi="宋体" w:eastAsia="宋体" w:cs="宋体"/>
          <w:color w:val="auto"/>
          <w:sz w:val="24"/>
          <w:szCs w:val="24"/>
          <w:highlight w:val="none"/>
        </w:rPr>
        <w:t>专用账户</w:t>
      </w:r>
      <w:r>
        <w:rPr>
          <w:rFonts w:hint="eastAsia" w:ascii="宋体" w:hAnsi="宋体" w:eastAsia="宋体" w:cs="宋体"/>
          <w:color w:val="auto"/>
          <w:spacing w:val="-6"/>
          <w:sz w:val="24"/>
          <w:szCs w:val="24"/>
          <w:highlight w:val="none"/>
        </w:rPr>
        <w:t>开立之日起至该</w:t>
      </w:r>
      <w:r>
        <w:rPr>
          <w:rFonts w:hint="eastAsia" w:ascii="宋体" w:hAnsi="宋体" w:eastAsia="宋体" w:cs="宋体"/>
          <w:color w:val="auto"/>
          <w:sz w:val="24"/>
          <w:szCs w:val="24"/>
          <w:highlight w:val="none"/>
        </w:rPr>
        <w:t>专用账户</w:t>
      </w:r>
      <w:r>
        <w:rPr>
          <w:rFonts w:hint="eastAsia" w:ascii="宋体" w:hAnsi="宋体" w:eastAsia="宋体" w:cs="宋体"/>
          <w:color w:val="auto"/>
          <w:spacing w:val="-6"/>
          <w:sz w:val="24"/>
          <w:szCs w:val="24"/>
          <w:highlight w:val="none"/>
        </w:rPr>
        <w:t>撤销止。</w:t>
      </w:r>
    </w:p>
    <w:p w14:paraId="287AB365">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开立、使用、撤销专用账户应提供的资料</w:t>
      </w:r>
    </w:p>
    <w:p w14:paraId="2954AF4B">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开立、使用、撤销专用账户，乙方根据丙方有关业务管理规定，须提供以下材料：</w:t>
      </w:r>
    </w:p>
    <w:p w14:paraId="17C078A6">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（一）开立专用账户应提供XXXXX。</w:t>
      </w:r>
    </w:p>
    <w:p w14:paraId="1AA80BCD">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（二）代发农民工工资应提供XXXXX。</w:t>
      </w:r>
    </w:p>
    <w:p w14:paraId="0AD013D2">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（三）撤销专用账户需应提供XXXXX。</w:t>
      </w:r>
    </w:p>
    <w:p w14:paraId="6EB6729D">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 专用账户资金收付</w:t>
      </w:r>
    </w:p>
    <w:p w14:paraId="4F90A56A">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经甲、乙双方约定，XX项目的总承包类别为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，总工程款为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万元，人工费用总额占总工程款的比例为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，月人工费用数额为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万元。 </w:t>
      </w:r>
    </w:p>
    <w:p w14:paraId="728F9A8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甲方应于每月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日前将</w:t>
      </w:r>
      <w:r>
        <w:rPr>
          <w:rFonts w:hint="eastAsia" w:ascii="宋体" w:hAnsi="宋体" w:eastAsia="宋体" w:cs="宋体"/>
          <w:color w:val="auto"/>
          <w:sz w:val="24"/>
          <w:szCs w:val="24"/>
          <w:highlight w:val="none"/>
          <w:shd w:val="clear" w:color="auto" w:fill="FFFFFF"/>
        </w:rPr>
        <w:t>月人工费用</w:t>
      </w:r>
      <w:r>
        <w:rPr>
          <w:rFonts w:hint="eastAsia" w:ascii="宋体" w:hAnsi="宋体" w:eastAsia="宋体" w:cs="宋体"/>
          <w:color w:val="auto"/>
          <w:sz w:val="24"/>
          <w:szCs w:val="24"/>
          <w:highlight w:val="none"/>
        </w:rPr>
        <w:t>足额拨付至专用账户，其中</w:t>
      </w:r>
      <w:r>
        <w:rPr>
          <w:rFonts w:hint="eastAsia" w:ascii="宋体" w:hAnsi="宋体" w:eastAsia="宋体" w:cs="宋体"/>
          <w:color w:val="auto"/>
          <w:sz w:val="24"/>
          <w:szCs w:val="24"/>
          <w:highlight w:val="none"/>
          <w:shd w:val="clear" w:color="auto" w:fill="FFFFFF"/>
        </w:rPr>
        <w:t>首次拨付时间为</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rPr>
        <w:t>丙方确认资金到帐后对账户资金履行管理职责。</w:t>
      </w:r>
    </w:p>
    <w:p w14:paraId="592B756E">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乙方委托丙方代发农民工工资，乙方负责将代发工资所需材料报丙方，代发工资所需材料的真实性及准确性由乙方负责。每月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日前，由丙方从专用账户（在人工费用拨付累计额度内）直接划拨至农民工本人工资卡上。</w:t>
      </w:r>
    </w:p>
    <w:p w14:paraId="719902B3">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专用账户资金专款专用，丙方不得将专用账户资金转入除本项目农民工本人银行账户以外的账户，不得为专用账户提供现金支取和其他转账结算服务。</w:t>
      </w:r>
    </w:p>
    <w:p w14:paraId="0AE41E5F">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因用工量增加等原因，甲方、乙方追加划入专用账户的资金，适用前款规定。</w:t>
      </w:r>
    </w:p>
    <w:p w14:paraId="70747CE9">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  专用账户的撤销</w:t>
      </w:r>
    </w:p>
    <w:p w14:paraId="24A01853">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丙方在收到该项目所在地人力资源和社会保障部门的撤销专用账户的通知，且乙方配合提供相关资料后，应在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个工作日内完成专用账户撤销手续。专用账户余额由丙方划至乙方指定账户（开户行：     ，账户名称：    ，账号：    ）。</w:t>
      </w:r>
    </w:p>
    <w:p w14:paraId="4823BC48">
      <w:pPr>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  协议生效与终止</w:t>
      </w:r>
    </w:p>
    <w:p w14:paraId="33D5803C">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本协议经甲、乙、丙三方法定代表人或其委托人签字并加盖公章之日起生效。专用账户撤销,丙方全额解付该托管资金后，本协议终止。</w:t>
      </w:r>
    </w:p>
    <w:p w14:paraId="728F3444">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 违约责任和免责条件</w:t>
      </w:r>
    </w:p>
    <w:p w14:paraId="7026D9AF">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在工程建设过程中，甲方未按协议约定拨付月人工费用，丙方应当在3个工作日内通知乙方，并报告项目所在地人力资源和社会保障部门。</w:t>
      </w:r>
    </w:p>
    <w:p w14:paraId="364B53B6">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第十三条  乙方提供虚假资料挪用、套用资金的，按相关规定追究责任。 </w:t>
      </w:r>
    </w:p>
    <w:p w14:paraId="594CF054">
      <w:pPr>
        <w:pStyle w:val="57"/>
        <w:widowControl w:val="0"/>
        <w:spacing w:before="0" w:beforeAutospacing="0" w:after="0" w:afterAutospacing="0" w:line="420" w:lineRule="exact"/>
        <w:ind w:firstLine="6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丙方未按协议约定的支付条件办理资金支付而形成的直接损失，丙方应承担赔偿责任。</w:t>
      </w:r>
    </w:p>
    <w:p w14:paraId="5E342D73">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360815B1">
      <w:pPr>
        <w:pStyle w:val="57"/>
        <w:widowControl w:val="0"/>
        <w:spacing w:before="0" w:beforeAutospacing="0" w:after="0" w:afterAutospacing="0"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其 他</w:t>
      </w:r>
    </w:p>
    <w:p w14:paraId="49847525">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本协议所指的项目总承包类别、人工费用总额占比应符合《宁波市工程建设领域农民工工资专用账户管理实施细则（试行）》（甬人社发〔2022〕29号）附件5规定。</w:t>
      </w:r>
    </w:p>
    <w:p w14:paraId="61568E38">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第十七条  除法律、法规规定，以及因本专用账户资金托管业务的需要和甲、乙、丙三方特别约定外，未经甲、乙、丙三方同意，协议三方不得向外提供涉及甲、乙、丙方商业秘密的资料。 </w:t>
      </w:r>
    </w:p>
    <w:p w14:paraId="00B93C21">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第十八条  本协议生效后，甲、乙、丙、三方中任何一方需要变更协议条款时，应经三方协商一致，并签订补充协议，补充协议与本协议具有同等法律效力。 </w:t>
      </w:r>
    </w:p>
    <w:p w14:paraId="2A2D682E">
      <w:pPr>
        <w:pStyle w:val="57"/>
        <w:widowControl w:val="0"/>
        <w:spacing w:before="0" w:beforeAutospacing="0" w:after="0" w:afterAutospacing="0" w:line="420" w:lineRule="exact"/>
        <w:ind w:firstLine="63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第十九条  本协议一式三份，甲方、乙方、丙方各执一份，每份具有同等法律效力。 </w:t>
      </w:r>
    </w:p>
    <w:p w14:paraId="7C8214A6">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甲方（签章）：         </w:t>
      </w:r>
    </w:p>
    <w:p w14:paraId="7095722F">
      <w:pPr>
        <w:pStyle w:val="57"/>
        <w:widowControl w:val="0"/>
        <w:spacing w:before="0" w:beforeAutospacing="0" w:after="0" w:afterAutospacing="0" w:line="420" w:lineRule="exact"/>
        <w:ind w:firstLine="3840" w:firstLineChars="1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年  月  日 </w:t>
      </w:r>
    </w:p>
    <w:p w14:paraId="7E6F80B0">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乙方（签章）：            </w:t>
      </w:r>
    </w:p>
    <w:p w14:paraId="35CEB5C3">
      <w:pPr>
        <w:pStyle w:val="57"/>
        <w:widowControl w:val="0"/>
        <w:spacing w:before="0" w:beforeAutospacing="0" w:after="0" w:afterAutospacing="0" w:line="420" w:lineRule="exact"/>
        <w:ind w:firstLine="3840" w:firstLineChars="1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签订日期：    年  月  日 </w:t>
      </w:r>
    </w:p>
    <w:p w14:paraId="6A2BB221">
      <w:pPr>
        <w:pStyle w:val="57"/>
        <w:widowControl w:val="0"/>
        <w:spacing w:before="0" w:beforeAutospacing="0" w:after="0" w:afterAutospacing="0" w:line="42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丙方（签章）：           </w:t>
      </w:r>
    </w:p>
    <w:p w14:paraId="7C6B10C8">
      <w:pPr>
        <w:spacing w:line="420" w:lineRule="exact"/>
        <w:rPr>
          <w:rFonts w:hint="eastAsia" w:ascii="宋体" w:hAnsi="宋体" w:eastAsia="宋体" w:cs="宋体"/>
          <w:color w:val="auto"/>
          <w:sz w:val="24"/>
          <w:szCs w:val="24"/>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 xml:space="preserve">签订日期：    年  月  </w:t>
      </w:r>
      <w:r>
        <w:rPr>
          <w:rFonts w:hint="eastAsia" w:ascii="宋体" w:hAnsi="宋体" w:eastAsia="宋体" w:cs="宋体"/>
          <w:color w:val="auto"/>
          <w:sz w:val="24"/>
          <w:szCs w:val="24"/>
          <w:highlight w:val="none"/>
          <w:lang w:val="en-US" w:eastAsia="zh-CN"/>
        </w:rPr>
        <w:t>日</w:t>
      </w:r>
    </w:p>
    <w:p w14:paraId="6568AD6A">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085E2894">
      <w:pPr>
        <w:spacing w:line="360" w:lineRule="auto"/>
        <w:jc w:val="center"/>
        <w:outlineLvl w:val="0"/>
        <w:rPr>
          <w:rFonts w:ascii="宋体" w:hAnsi="宋体" w:cs="宋体"/>
          <w:b/>
          <w:color w:val="auto"/>
          <w:kern w:val="0"/>
          <w:sz w:val="36"/>
          <w:szCs w:val="36"/>
        </w:rPr>
      </w:pPr>
    </w:p>
    <w:p w14:paraId="1AAA388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CAE80D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A6D4E2C">
      <w:pPr>
        <w:spacing w:line="360" w:lineRule="auto"/>
        <w:jc w:val="center"/>
        <w:outlineLvl w:val="0"/>
        <w:rPr>
          <w:rFonts w:ascii="宋体" w:hAnsi="宋体" w:cs="宋体"/>
          <w:b/>
          <w:color w:val="auto"/>
          <w:kern w:val="0"/>
          <w:sz w:val="36"/>
          <w:szCs w:val="36"/>
        </w:rPr>
      </w:pPr>
    </w:p>
    <w:p w14:paraId="445C195F">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B07292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CB5251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F8CC2A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B8395E5">
      <w:pPr>
        <w:snapToGrid w:val="0"/>
        <w:spacing w:line="360" w:lineRule="auto"/>
        <w:ind w:firstLine="480" w:firstLineChars="200"/>
        <w:rPr>
          <w:rFonts w:ascii="宋体" w:hAnsi="宋体" w:cs="宋体"/>
          <w:color w:val="auto"/>
          <w:sz w:val="24"/>
        </w:rPr>
      </w:pPr>
    </w:p>
    <w:p w14:paraId="5F7F623A">
      <w:pPr>
        <w:spacing w:line="360" w:lineRule="auto"/>
        <w:ind w:firstLine="480" w:firstLineChars="200"/>
        <w:rPr>
          <w:rFonts w:ascii="宋体" w:hAnsi="宋体" w:cs="宋体"/>
          <w:color w:val="auto"/>
          <w:sz w:val="24"/>
        </w:rPr>
      </w:pPr>
    </w:p>
    <w:p w14:paraId="0590E12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428B52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C19B9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宁海县中心城区防洪排涝工程-跃龙街道赵溪村撇洪渠防洪工程</w:t>
      </w:r>
      <w:r>
        <w:rPr>
          <w:rFonts w:hint="eastAsia" w:ascii="宋体" w:hAnsi="宋体" w:cs="宋体"/>
          <w:color w:val="auto"/>
          <w:sz w:val="24"/>
        </w:rPr>
        <w:t>）【项目编号：</w:t>
      </w:r>
      <w:r>
        <w:rPr>
          <w:rFonts w:hint="eastAsia" w:ascii="宋体" w:hAnsi="宋体" w:cs="宋体"/>
          <w:color w:val="auto"/>
          <w:sz w:val="24"/>
          <w:lang w:eastAsia="zh-CN"/>
        </w:rPr>
        <w:t>温中代字(2025)宁019</w:t>
      </w:r>
      <w:r>
        <w:rPr>
          <w:rFonts w:hint="eastAsia" w:ascii="宋体" w:hAnsi="宋体" w:cs="宋体"/>
          <w:color w:val="auto"/>
          <w:sz w:val="24"/>
        </w:rPr>
        <w:t>】政府采购活动，郑重承诺：</w:t>
      </w:r>
    </w:p>
    <w:p w14:paraId="52A8863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59E19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AA7AC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22499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30B63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301D8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F1576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C3EF7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5C4D8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FFFCA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16CBE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AE1B6CE">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3、拟委任的项目经理在投标截止日未在其他在建合同工程中担任项目经理（包括工程总承包项目中的施工负责人）。</w:t>
      </w:r>
    </w:p>
    <w:p w14:paraId="62F5DE6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148103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1B3ABD5">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95A15CE">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9F8ABB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14:paraId="015D0702">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E23AEE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D6FE24E">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14:paraId="0992637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8E431E1">
      <w:pPr>
        <w:widowControl/>
        <w:spacing w:line="360" w:lineRule="auto"/>
        <w:ind w:firstLine="480"/>
        <w:jc w:val="left"/>
        <w:rPr>
          <w:rFonts w:ascii="宋体" w:hAnsi="宋体" w:cs="宋体"/>
          <w:color w:val="auto"/>
          <w:sz w:val="24"/>
        </w:rPr>
      </w:pPr>
    </w:p>
    <w:p w14:paraId="4F7B6BA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FF391A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4E3BE9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6162604">
      <w:pPr>
        <w:widowControl/>
        <w:spacing w:line="360" w:lineRule="auto"/>
        <w:ind w:left="150"/>
        <w:jc w:val="center"/>
        <w:rPr>
          <w:rFonts w:ascii="宋体" w:hAnsi="宋体" w:cs="宋体"/>
          <w:b/>
          <w:color w:val="auto"/>
          <w:kern w:val="0"/>
          <w:sz w:val="32"/>
          <w:szCs w:val="32"/>
        </w:rPr>
      </w:pPr>
    </w:p>
    <w:p w14:paraId="08C5173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57097F4">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14:paraId="0E342BA6">
      <w:pPr>
        <w:rPr>
          <w:rFonts w:ascii="宋体" w:hAnsi="宋体" w:cs="宋体"/>
          <w:color w:val="auto"/>
        </w:rPr>
      </w:pPr>
    </w:p>
    <w:p w14:paraId="375A3B6B">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A07DE8F">
      <w:pPr>
        <w:pStyle w:val="3"/>
        <w:rPr>
          <w:rFonts w:ascii="宋体" w:hAnsi="宋体" w:cs="宋体"/>
          <w:b w:val="0"/>
          <w:color w:val="auto"/>
          <w:kern w:val="0"/>
          <w:sz w:val="36"/>
          <w:szCs w:val="36"/>
        </w:rPr>
      </w:pPr>
    </w:p>
    <w:p w14:paraId="3F3784E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D31938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75A4498">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14:paraId="5C9D13B9">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14:paraId="6B14A94C">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471E6C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28D53DF7">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14:paraId="07F5936D">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555E69CE">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1D813D7D">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14:paraId="510CE0D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F4B67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宁海县中心城区防洪排涝工程-跃龙街道赵溪村撇洪渠防洪工程</w:t>
      </w:r>
      <w:r>
        <w:rPr>
          <w:rFonts w:hint="eastAsia" w:ascii="宋体" w:hAnsi="宋体" w:cs="宋体"/>
          <w:color w:val="auto"/>
          <w:sz w:val="24"/>
        </w:rPr>
        <w:t>【项目编号：</w:t>
      </w:r>
      <w:r>
        <w:rPr>
          <w:rFonts w:hint="eastAsia" w:ascii="宋体" w:hAnsi="宋体" w:cs="宋体"/>
          <w:color w:val="auto"/>
          <w:sz w:val="24"/>
          <w:lang w:eastAsia="zh-CN"/>
        </w:rPr>
        <w:t>温中代字(2025)宁019</w:t>
      </w:r>
      <w:r>
        <w:rPr>
          <w:rFonts w:hint="eastAsia" w:ascii="宋体" w:hAnsi="宋体" w:cs="宋体"/>
          <w:color w:val="auto"/>
          <w:sz w:val="24"/>
        </w:rPr>
        <w:t>】采购的有关活动，并对此项目提交响应文件及报价。为此：</w:t>
      </w:r>
    </w:p>
    <w:p w14:paraId="29B34E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14:paraId="615571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37B431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B4180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4E7B7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9C84D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52C3F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AC5DE2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31186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1331E2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68AF0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0CB65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92DCA7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14:paraId="3D58B2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0A0C1D5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05F83D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6B9F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2.3.1报价单；</w:t>
      </w:r>
    </w:p>
    <w:p w14:paraId="2021B5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2.3.2已标价工程量清单；</w:t>
      </w:r>
    </w:p>
    <w:p w14:paraId="22AFCC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0F1485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w:t>
      </w:r>
    </w:p>
    <w:p w14:paraId="6A17CE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14:paraId="597F8C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2575CCC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158C24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7BF4CE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70326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407B61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04D3A21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91D13C1">
      <w:pPr>
        <w:snapToGrid w:val="0"/>
        <w:spacing w:line="360" w:lineRule="auto"/>
        <w:ind w:left="420" w:leftChars="200" w:firstLine="4200" w:firstLineChars="1750"/>
        <w:rPr>
          <w:rFonts w:ascii="宋体" w:hAnsi="宋体" w:cs="宋体"/>
          <w:color w:val="auto"/>
          <w:kern w:val="0"/>
          <w:sz w:val="24"/>
          <w:u w:val="single"/>
        </w:rPr>
      </w:pPr>
    </w:p>
    <w:p w14:paraId="5B51403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ABC7B0">
      <w:pPr>
        <w:snapToGrid w:val="0"/>
        <w:spacing w:line="360" w:lineRule="auto"/>
        <w:jc w:val="center"/>
        <w:rPr>
          <w:rFonts w:ascii="宋体" w:hAnsi="宋体" w:cs="宋体"/>
          <w:b/>
          <w:color w:val="auto"/>
          <w:kern w:val="0"/>
          <w:sz w:val="32"/>
          <w:szCs w:val="32"/>
        </w:rPr>
      </w:pPr>
    </w:p>
    <w:p w14:paraId="312A8FE1">
      <w:pPr>
        <w:snapToGrid w:val="0"/>
        <w:spacing w:line="360" w:lineRule="auto"/>
        <w:rPr>
          <w:rFonts w:ascii="宋体" w:hAnsi="宋体" w:cs="宋体"/>
          <w:color w:val="auto"/>
          <w:sz w:val="24"/>
        </w:rPr>
      </w:pPr>
    </w:p>
    <w:p w14:paraId="4769ADE7">
      <w:pPr>
        <w:jc w:val="center"/>
        <w:rPr>
          <w:rFonts w:ascii="宋体" w:hAnsi="宋体" w:cs="宋体"/>
          <w:b/>
          <w:color w:val="auto"/>
          <w:kern w:val="0"/>
          <w:sz w:val="32"/>
          <w:szCs w:val="32"/>
        </w:rPr>
      </w:pPr>
    </w:p>
    <w:p w14:paraId="6E7AC06F">
      <w:pPr>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10D1AE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2F07438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CEA128D">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E3F362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826F13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），以我方名义处理宁海县中心城区防洪排涝工程-跃龙街道赵溪村撇洪渠防洪工程</w:t>
      </w:r>
      <w:r>
        <w:rPr>
          <w:rFonts w:hint="eastAsia" w:ascii="宋体" w:hAnsi="宋体" w:cs="宋体"/>
          <w:color w:val="auto"/>
          <w:sz w:val="24"/>
        </w:rPr>
        <w:t>【项目编号：</w:t>
      </w:r>
      <w:r>
        <w:rPr>
          <w:rFonts w:hint="eastAsia" w:ascii="宋体" w:hAnsi="宋体" w:cs="宋体"/>
          <w:color w:val="auto"/>
          <w:sz w:val="24"/>
          <w:lang w:eastAsia="zh-CN"/>
        </w:rPr>
        <w:t>温中代字(2025)宁019</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7DF20CF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BDF228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A62FA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24DDC6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C16783F">
      <w:pPr>
        <w:snapToGrid w:val="0"/>
        <w:spacing w:line="360" w:lineRule="auto"/>
        <w:rPr>
          <w:rFonts w:ascii="宋体" w:hAnsi="宋体" w:cs="宋体"/>
          <w:color w:val="auto"/>
          <w:sz w:val="24"/>
        </w:rPr>
      </w:pPr>
    </w:p>
    <w:p w14:paraId="6815ECA3">
      <w:pPr>
        <w:snapToGrid w:val="0"/>
        <w:spacing w:line="360" w:lineRule="auto"/>
        <w:rPr>
          <w:rFonts w:ascii="宋体" w:hAnsi="宋体" w:cs="宋体"/>
          <w:color w:val="auto"/>
          <w:sz w:val="24"/>
        </w:rPr>
      </w:pPr>
    </w:p>
    <w:p w14:paraId="5F6F02DA">
      <w:pPr>
        <w:snapToGrid w:val="0"/>
        <w:spacing w:line="360" w:lineRule="auto"/>
        <w:rPr>
          <w:rFonts w:ascii="宋体" w:hAnsi="宋体" w:cs="宋体"/>
          <w:color w:val="auto"/>
          <w:sz w:val="24"/>
        </w:rPr>
      </w:pPr>
    </w:p>
    <w:p w14:paraId="04622C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07C457E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ABE0D1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），以我方名义处理宁海县中心城区防洪排涝工程-跃龙街道赵溪村撇洪渠防洪工程</w:t>
      </w:r>
      <w:r>
        <w:rPr>
          <w:rFonts w:hint="eastAsia" w:ascii="宋体" w:hAnsi="宋体" w:cs="宋体"/>
          <w:color w:val="auto"/>
          <w:sz w:val="24"/>
        </w:rPr>
        <w:t>【项目编号：</w:t>
      </w:r>
      <w:r>
        <w:rPr>
          <w:rFonts w:hint="eastAsia" w:ascii="宋体" w:hAnsi="宋体" w:cs="宋体"/>
          <w:color w:val="auto"/>
          <w:sz w:val="24"/>
          <w:lang w:eastAsia="zh-CN"/>
        </w:rPr>
        <w:t>温中代字(2025)宁019</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260E47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9A7C9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619959D">
      <w:pPr>
        <w:jc w:val="center"/>
        <w:rPr>
          <w:rFonts w:ascii="宋体" w:hAnsi="宋体" w:cs="宋体"/>
          <w:b/>
          <w:color w:val="auto"/>
          <w:kern w:val="0"/>
          <w:sz w:val="32"/>
          <w:szCs w:val="32"/>
        </w:rPr>
      </w:pPr>
    </w:p>
    <w:p w14:paraId="6860DF19">
      <w:pPr>
        <w:jc w:val="center"/>
        <w:rPr>
          <w:rFonts w:ascii="宋体" w:hAnsi="宋体" w:cs="宋体"/>
          <w:b/>
          <w:color w:val="auto"/>
          <w:kern w:val="0"/>
          <w:sz w:val="32"/>
          <w:szCs w:val="32"/>
        </w:rPr>
      </w:pPr>
    </w:p>
    <w:p w14:paraId="56C4E0C3">
      <w:pPr>
        <w:jc w:val="center"/>
        <w:rPr>
          <w:rFonts w:ascii="宋体" w:hAnsi="宋体" w:cs="宋体"/>
          <w:b/>
          <w:color w:val="auto"/>
          <w:kern w:val="0"/>
          <w:sz w:val="32"/>
          <w:szCs w:val="32"/>
        </w:rPr>
      </w:pPr>
    </w:p>
    <w:p w14:paraId="40D9F4AE">
      <w:pPr>
        <w:rPr>
          <w:rFonts w:ascii="宋体" w:hAnsi="宋体" w:cs="宋体"/>
          <w:color w:val="auto"/>
        </w:rPr>
      </w:pPr>
    </w:p>
    <w:p w14:paraId="2BB22DF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4AEAE4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6F73BE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5E83616">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DAD5E77">
      <w:pPr>
        <w:snapToGrid w:val="0"/>
        <w:spacing w:line="360" w:lineRule="auto"/>
        <w:rPr>
          <w:rFonts w:hint="eastAsia" w:ascii="宋体" w:hAnsi="宋体" w:cs="宋体"/>
          <w:color w:val="auto"/>
          <w:kern w:val="0"/>
          <w:sz w:val="24"/>
          <w:lang w:val="zh-CN"/>
        </w:rPr>
      </w:pPr>
    </w:p>
    <w:p w14:paraId="4A4FCB49">
      <w:pPr>
        <w:snapToGrid w:val="0"/>
        <w:spacing w:line="360" w:lineRule="auto"/>
        <w:rPr>
          <w:rFonts w:hint="eastAsia" w:ascii="宋体" w:hAnsi="宋体" w:cs="宋体"/>
          <w:color w:val="auto"/>
          <w:kern w:val="0"/>
          <w:sz w:val="24"/>
          <w:lang w:val="zh-CN"/>
        </w:rPr>
      </w:pPr>
    </w:p>
    <w:p w14:paraId="4A25C563">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14:paraId="39840ABC">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1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8C7365">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20168503">
            <w:pPr>
              <w:pStyle w:val="148"/>
              <w:adjustRightInd w:val="0"/>
              <w:spacing w:line="360" w:lineRule="auto"/>
              <w:rPr>
                <w:rFonts w:hAnsi="宋体" w:cs="宋体"/>
                <w:bCs/>
                <w:color w:val="auto"/>
                <w:sz w:val="24"/>
              </w:rPr>
            </w:pPr>
          </w:p>
        </w:tc>
      </w:tr>
    </w:tbl>
    <w:p w14:paraId="622A6C1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9E75A3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60F541E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BA5A8B6">
      <w:pPr>
        <w:jc w:val="center"/>
        <w:rPr>
          <w:rFonts w:ascii="宋体" w:hAnsi="宋体" w:cs="宋体"/>
          <w:b/>
          <w:color w:val="auto"/>
          <w:kern w:val="0"/>
          <w:sz w:val="32"/>
          <w:szCs w:val="32"/>
        </w:rPr>
      </w:pPr>
    </w:p>
    <w:p w14:paraId="0253CF1F">
      <w:pPr>
        <w:jc w:val="center"/>
        <w:rPr>
          <w:rFonts w:ascii="宋体" w:hAnsi="宋体" w:cs="宋体"/>
          <w:b/>
          <w:color w:val="auto"/>
          <w:kern w:val="0"/>
          <w:sz w:val="32"/>
          <w:szCs w:val="32"/>
        </w:rPr>
      </w:pPr>
    </w:p>
    <w:p w14:paraId="519F2846">
      <w:pPr>
        <w:jc w:val="center"/>
        <w:rPr>
          <w:rFonts w:ascii="宋体" w:hAnsi="宋体" w:cs="宋体"/>
          <w:b/>
          <w:color w:val="auto"/>
          <w:kern w:val="0"/>
          <w:sz w:val="32"/>
          <w:szCs w:val="32"/>
        </w:rPr>
      </w:pPr>
    </w:p>
    <w:p w14:paraId="13C302E5">
      <w:pPr>
        <w:jc w:val="center"/>
        <w:rPr>
          <w:rFonts w:ascii="宋体" w:hAnsi="宋体" w:cs="宋体"/>
          <w:b/>
          <w:color w:val="auto"/>
          <w:kern w:val="0"/>
          <w:sz w:val="32"/>
          <w:szCs w:val="32"/>
        </w:rPr>
      </w:pPr>
    </w:p>
    <w:p w14:paraId="0362D6E1">
      <w:pPr>
        <w:jc w:val="center"/>
        <w:rPr>
          <w:rFonts w:ascii="宋体" w:hAnsi="宋体" w:cs="宋体"/>
          <w:b/>
          <w:color w:val="auto"/>
          <w:kern w:val="0"/>
          <w:sz w:val="32"/>
          <w:szCs w:val="32"/>
        </w:rPr>
      </w:pPr>
    </w:p>
    <w:p w14:paraId="53F9A69E">
      <w:pPr>
        <w:jc w:val="center"/>
        <w:rPr>
          <w:rFonts w:ascii="宋体" w:hAnsi="宋体" w:cs="宋体"/>
          <w:b/>
          <w:color w:val="auto"/>
          <w:kern w:val="0"/>
          <w:sz w:val="32"/>
          <w:szCs w:val="32"/>
        </w:rPr>
      </w:pPr>
    </w:p>
    <w:p w14:paraId="09BE6338">
      <w:pPr>
        <w:jc w:val="center"/>
        <w:rPr>
          <w:rFonts w:ascii="宋体" w:hAnsi="宋体" w:cs="宋体"/>
          <w:b/>
          <w:color w:val="auto"/>
          <w:kern w:val="0"/>
          <w:sz w:val="32"/>
          <w:szCs w:val="32"/>
        </w:rPr>
      </w:pPr>
    </w:p>
    <w:p w14:paraId="46D01DDE">
      <w:pPr>
        <w:jc w:val="center"/>
        <w:rPr>
          <w:rFonts w:ascii="宋体" w:hAnsi="宋体" w:cs="宋体"/>
          <w:b/>
          <w:color w:val="auto"/>
          <w:kern w:val="0"/>
          <w:sz w:val="32"/>
          <w:szCs w:val="32"/>
        </w:rPr>
      </w:pPr>
    </w:p>
    <w:p w14:paraId="27AF9154">
      <w:pPr>
        <w:jc w:val="center"/>
        <w:rPr>
          <w:rFonts w:ascii="宋体" w:hAnsi="宋体" w:cs="宋体"/>
          <w:b/>
          <w:color w:val="auto"/>
          <w:kern w:val="0"/>
          <w:sz w:val="32"/>
          <w:szCs w:val="32"/>
        </w:rPr>
      </w:pPr>
    </w:p>
    <w:p w14:paraId="14E3A488">
      <w:pPr>
        <w:jc w:val="center"/>
        <w:rPr>
          <w:rFonts w:ascii="宋体" w:hAnsi="宋体" w:cs="宋体"/>
          <w:b/>
          <w:color w:val="auto"/>
          <w:kern w:val="0"/>
          <w:sz w:val="32"/>
          <w:szCs w:val="32"/>
        </w:rPr>
      </w:pPr>
    </w:p>
    <w:p w14:paraId="5AF972D6">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6E93F993">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14:paraId="33C3CCE5">
      <w:pPr>
        <w:widowControl/>
        <w:spacing w:line="360" w:lineRule="auto"/>
        <w:ind w:firstLine="120" w:firstLineChars="50"/>
        <w:jc w:val="left"/>
        <w:rPr>
          <w:rFonts w:ascii="宋体" w:hAnsi="宋体" w:cs="宋体"/>
          <w:color w:val="auto"/>
          <w:sz w:val="24"/>
        </w:rPr>
      </w:pPr>
      <w:bookmarkStart w:id="598"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598"/>
    <w:p w14:paraId="0E664F29">
      <w:pPr>
        <w:snapToGrid w:val="0"/>
        <w:spacing w:line="360" w:lineRule="auto"/>
        <w:rPr>
          <w:rFonts w:ascii="宋体" w:hAnsi="宋体" w:cs="宋体"/>
          <w:color w:val="auto"/>
          <w:kern w:val="0"/>
          <w:sz w:val="24"/>
        </w:rPr>
      </w:pPr>
    </w:p>
    <w:p w14:paraId="7FB773C3">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14:paraId="1011F04C">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EF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1802D44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4919DD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BD61E6E">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409CFA9">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6BF4E2B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7FC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432471">
            <w:pPr>
              <w:rPr>
                <w:rFonts w:ascii="宋体" w:hAnsi="宋体" w:cs="宋体"/>
                <w:color w:val="auto"/>
                <w:sz w:val="24"/>
              </w:rPr>
            </w:pPr>
            <w:r>
              <w:rPr>
                <w:rFonts w:hint="eastAsia" w:ascii="宋体" w:hAnsi="宋体" w:cs="宋体"/>
                <w:color w:val="auto"/>
                <w:sz w:val="24"/>
              </w:rPr>
              <w:t>1</w:t>
            </w:r>
          </w:p>
        </w:tc>
        <w:tc>
          <w:tcPr>
            <w:tcW w:w="4991" w:type="dxa"/>
            <w:vAlign w:val="center"/>
          </w:tcPr>
          <w:p w14:paraId="194CCCB2">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3DB5025A">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14:paraId="6A063666">
            <w:pPr>
              <w:rPr>
                <w:rFonts w:ascii="宋体" w:hAnsi="宋体" w:cs="宋体"/>
                <w:color w:val="auto"/>
                <w:sz w:val="24"/>
              </w:rPr>
            </w:pPr>
            <w:r>
              <w:rPr>
                <w:rFonts w:hint="eastAsia" w:ascii="宋体" w:hAnsi="宋体" w:cs="宋体"/>
                <w:color w:val="auto"/>
                <w:sz w:val="24"/>
              </w:rPr>
              <w:t>见响应文件</w:t>
            </w:r>
          </w:p>
          <w:p w14:paraId="1C1F0F01">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A03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6B5DF">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14:paraId="53B50641">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562455D">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14:paraId="21454B23">
            <w:pPr>
              <w:rPr>
                <w:rFonts w:ascii="宋体" w:hAnsi="宋体" w:cs="宋体"/>
                <w:color w:val="auto"/>
                <w:sz w:val="24"/>
              </w:rPr>
            </w:pPr>
            <w:r>
              <w:rPr>
                <w:rFonts w:hint="eastAsia" w:ascii="宋体" w:hAnsi="宋体" w:cs="宋体"/>
                <w:color w:val="auto"/>
                <w:sz w:val="24"/>
              </w:rPr>
              <w:t>见响应文件</w:t>
            </w:r>
          </w:p>
          <w:p w14:paraId="41A46757">
            <w:pPr>
              <w:pStyle w:val="3"/>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14:paraId="4474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15C5F">
            <w:pPr>
              <w:rPr>
                <w:rFonts w:ascii="宋体" w:hAnsi="宋体" w:cs="宋体"/>
                <w:color w:val="auto"/>
                <w:sz w:val="24"/>
              </w:rPr>
            </w:pPr>
            <w:r>
              <w:rPr>
                <w:rFonts w:hint="eastAsia" w:ascii="宋体" w:hAnsi="宋体" w:cs="宋体"/>
                <w:color w:val="auto"/>
                <w:sz w:val="24"/>
              </w:rPr>
              <w:t>3</w:t>
            </w:r>
          </w:p>
        </w:tc>
        <w:tc>
          <w:tcPr>
            <w:tcW w:w="4991" w:type="dxa"/>
            <w:vAlign w:val="center"/>
          </w:tcPr>
          <w:p w14:paraId="1A404625">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14:paraId="6F62CC92">
            <w:pPr>
              <w:rPr>
                <w:rFonts w:ascii="宋体" w:hAnsi="宋体" w:cs="宋体"/>
                <w:color w:val="auto"/>
                <w:sz w:val="24"/>
              </w:rPr>
            </w:pPr>
            <w:r>
              <w:rPr>
                <w:rFonts w:hint="eastAsia" w:ascii="宋体" w:hAnsi="宋体" w:cs="宋体"/>
                <w:color w:val="auto"/>
                <w:sz w:val="24"/>
              </w:rPr>
              <w:t>响应函</w:t>
            </w:r>
          </w:p>
        </w:tc>
        <w:tc>
          <w:tcPr>
            <w:tcW w:w="1418" w:type="dxa"/>
            <w:vAlign w:val="center"/>
          </w:tcPr>
          <w:p w14:paraId="64A818F1">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98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55398">
            <w:pPr>
              <w:rPr>
                <w:rFonts w:ascii="宋体" w:hAnsi="宋体" w:cs="宋体"/>
                <w:color w:val="auto"/>
                <w:sz w:val="24"/>
              </w:rPr>
            </w:pPr>
            <w:r>
              <w:rPr>
                <w:rFonts w:hint="eastAsia" w:ascii="宋体" w:hAnsi="宋体" w:cs="宋体"/>
                <w:color w:val="auto"/>
                <w:sz w:val="24"/>
              </w:rPr>
              <w:t>4</w:t>
            </w:r>
          </w:p>
        </w:tc>
        <w:tc>
          <w:tcPr>
            <w:tcW w:w="4991" w:type="dxa"/>
            <w:vAlign w:val="center"/>
          </w:tcPr>
          <w:p w14:paraId="2FD45DA4">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64139611">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14:paraId="0DDBF327">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5AB88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2DE797">
      <w:pPr>
        <w:jc w:val="center"/>
        <w:rPr>
          <w:rFonts w:ascii="宋体" w:hAnsi="宋体" w:cs="宋体"/>
          <w:b/>
          <w:color w:val="auto"/>
          <w:kern w:val="0"/>
          <w:sz w:val="32"/>
          <w:szCs w:val="32"/>
        </w:rPr>
      </w:pPr>
    </w:p>
    <w:p w14:paraId="5B7A061E">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DA015AB">
      <w:pPr>
        <w:jc w:val="center"/>
        <w:rPr>
          <w:rFonts w:ascii="宋体" w:hAnsi="宋体" w:cs="宋体"/>
          <w:b/>
          <w:color w:val="auto"/>
          <w:kern w:val="0"/>
          <w:sz w:val="32"/>
          <w:szCs w:val="32"/>
        </w:rPr>
      </w:pPr>
    </w:p>
    <w:p w14:paraId="78BD5FF3">
      <w:pPr>
        <w:jc w:val="center"/>
        <w:rPr>
          <w:rFonts w:ascii="宋体" w:hAnsi="宋体" w:cs="宋体"/>
          <w:b/>
          <w:color w:val="auto"/>
          <w:kern w:val="0"/>
          <w:sz w:val="32"/>
          <w:szCs w:val="32"/>
        </w:rPr>
      </w:pPr>
    </w:p>
    <w:p w14:paraId="2B85A71F">
      <w:pPr>
        <w:jc w:val="center"/>
        <w:rPr>
          <w:rFonts w:ascii="宋体" w:hAnsi="宋体" w:cs="宋体"/>
          <w:b/>
          <w:color w:val="auto"/>
          <w:kern w:val="0"/>
          <w:sz w:val="32"/>
          <w:szCs w:val="32"/>
        </w:rPr>
      </w:pPr>
    </w:p>
    <w:p w14:paraId="2EB3B214">
      <w:pPr>
        <w:jc w:val="center"/>
        <w:rPr>
          <w:rFonts w:ascii="宋体" w:hAnsi="宋体" w:cs="宋体"/>
          <w:b/>
          <w:color w:val="auto"/>
          <w:kern w:val="0"/>
          <w:sz w:val="32"/>
          <w:szCs w:val="32"/>
        </w:rPr>
      </w:pPr>
    </w:p>
    <w:p w14:paraId="4FF28B21">
      <w:pPr>
        <w:jc w:val="center"/>
        <w:rPr>
          <w:rFonts w:ascii="宋体" w:hAnsi="宋体" w:cs="宋体"/>
          <w:b/>
          <w:color w:val="auto"/>
          <w:kern w:val="0"/>
          <w:sz w:val="32"/>
          <w:szCs w:val="32"/>
        </w:rPr>
      </w:pPr>
    </w:p>
    <w:p w14:paraId="7A3A5133">
      <w:pPr>
        <w:jc w:val="center"/>
        <w:rPr>
          <w:rFonts w:ascii="宋体" w:hAnsi="宋体" w:cs="宋体"/>
          <w:b/>
          <w:color w:val="auto"/>
          <w:kern w:val="0"/>
          <w:sz w:val="32"/>
          <w:szCs w:val="32"/>
        </w:rPr>
      </w:pPr>
    </w:p>
    <w:p w14:paraId="75A3F13D">
      <w:pPr>
        <w:jc w:val="center"/>
        <w:rPr>
          <w:rFonts w:ascii="宋体" w:hAnsi="宋体" w:cs="宋体"/>
          <w:b/>
          <w:color w:val="auto"/>
          <w:kern w:val="0"/>
          <w:sz w:val="32"/>
          <w:szCs w:val="32"/>
        </w:rPr>
      </w:pPr>
    </w:p>
    <w:p w14:paraId="40190650">
      <w:pPr>
        <w:jc w:val="center"/>
        <w:rPr>
          <w:rFonts w:ascii="宋体" w:hAnsi="宋体" w:cs="宋体"/>
          <w:b/>
          <w:color w:val="auto"/>
          <w:kern w:val="0"/>
          <w:sz w:val="32"/>
          <w:szCs w:val="32"/>
        </w:rPr>
      </w:pPr>
    </w:p>
    <w:p w14:paraId="09C34818">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618FD51E">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4D8DFD55">
      <w:pPr>
        <w:jc w:val="center"/>
        <w:rPr>
          <w:rFonts w:ascii="宋体" w:hAnsi="宋体" w:cs="宋体"/>
          <w:b/>
          <w:color w:val="auto"/>
          <w:kern w:val="0"/>
          <w:sz w:val="32"/>
          <w:szCs w:val="32"/>
        </w:rPr>
      </w:pPr>
    </w:p>
    <w:p w14:paraId="7D54E7F3">
      <w:pPr>
        <w:jc w:val="center"/>
        <w:rPr>
          <w:rFonts w:ascii="宋体" w:hAnsi="宋体" w:cs="宋体"/>
          <w:b/>
          <w:color w:val="auto"/>
          <w:kern w:val="0"/>
          <w:sz w:val="32"/>
          <w:szCs w:val="32"/>
        </w:rPr>
      </w:pPr>
    </w:p>
    <w:p w14:paraId="7697F7F3">
      <w:pPr>
        <w:jc w:val="center"/>
        <w:rPr>
          <w:rFonts w:ascii="宋体" w:hAnsi="宋体" w:cs="宋体"/>
          <w:b/>
          <w:color w:val="auto"/>
          <w:kern w:val="0"/>
          <w:sz w:val="32"/>
          <w:szCs w:val="32"/>
        </w:rPr>
      </w:pPr>
    </w:p>
    <w:p w14:paraId="1F753263">
      <w:pPr>
        <w:jc w:val="center"/>
        <w:rPr>
          <w:rFonts w:ascii="宋体" w:hAnsi="宋体" w:cs="宋体"/>
          <w:b/>
          <w:color w:val="auto"/>
          <w:kern w:val="0"/>
          <w:sz w:val="32"/>
          <w:szCs w:val="32"/>
        </w:rPr>
      </w:pPr>
    </w:p>
    <w:p w14:paraId="0DDA398E">
      <w:pPr>
        <w:jc w:val="center"/>
        <w:rPr>
          <w:rFonts w:ascii="宋体" w:hAnsi="宋体" w:cs="宋体"/>
          <w:b/>
          <w:color w:val="auto"/>
          <w:kern w:val="0"/>
          <w:sz w:val="32"/>
          <w:szCs w:val="32"/>
        </w:rPr>
      </w:pPr>
    </w:p>
    <w:p w14:paraId="223E0300">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D0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F47A7D">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C555568">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139A940A">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3A3BC072">
            <w:pPr>
              <w:jc w:val="center"/>
              <w:rPr>
                <w:rFonts w:ascii="宋体" w:hAnsi="宋体" w:cs="宋体"/>
                <w:b/>
                <w:bCs/>
                <w:color w:val="auto"/>
                <w:sz w:val="24"/>
              </w:rPr>
            </w:pPr>
            <w:r>
              <w:rPr>
                <w:rFonts w:hint="eastAsia" w:ascii="宋体" w:hAnsi="宋体" w:cs="宋体"/>
                <w:b/>
                <w:bCs/>
                <w:color w:val="auto"/>
                <w:sz w:val="24"/>
              </w:rPr>
              <w:t>偏离说明</w:t>
            </w:r>
          </w:p>
        </w:tc>
      </w:tr>
      <w:tr w14:paraId="6183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A542C1">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A9DCDCF">
            <w:pPr>
              <w:jc w:val="center"/>
              <w:rPr>
                <w:rFonts w:ascii="宋体" w:hAnsi="宋体" w:cs="宋体"/>
                <w:b/>
                <w:color w:val="auto"/>
                <w:kern w:val="0"/>
                <w:sz w:val="32"/>
                <w:szCs w:val="32"/>
              </w:rPr>
            </w:pPr>
          </w:p>
        </w:tc>
        <w:tc>
          <w:tcPr>
            <w:tcW w:w="3546" w:type="dxa"/>
          </w:tcPr>
          <w:p w14:paraId="40A3CE80">
            <w:pPr>
              <w:jc w:val="center"/>
              <w:rPr>
                <w:rFonts w:ascii="宋体" w:hAnsi="宋体" w:cs="宋体"/>
                <w:b/>
                <w:color w:val="auto"/>
                <w:kern w:val="0"/>
                <w:sz w:val="32"/>
                <w:szCs w:val="32"/>
              </w:rPr>
            </w:pPr>
          </w:p>
        </w:tc>
        <w:tc>
          <w:tcPr>
            <w:tcW w:w="1276" w:type="dxa"/>
          </w:tcPr>
          <w:p w14:paraId="4779FC4C">
            <w:pPr>
              <w:jc w:val="center"/>
              <w:rPr>
                <w:rFonts w:ascii="宋体" w:hAnsi="宋体" w:cs="宋体"/>
                <w:b/>
                <w:color w:val="auto"/>
                <w:kern w:val="0"/>
                <w:sz w:val="32"/>
                <w:szCs w:val="32"/>
              </w:rPr>
            </w:pPr>
          </w:p>
        </w:tc>
      </w:tr>
      <w:tr w14:paraId="335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D672C">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E5B9477">
            <w:pPr>
              <w:jc w:val="center"/>
              <w:rPr>
                <w:rFonts w:ascii="宋体" w:hAnsi="宋体" w:cs="宋体"/>
                <w:b/>
                <w:color w:val="auto"/>
                <w:kern w:val="0"/>
                <w:sz w:val="32"/>
                <w:szCs w:val="32"/>
              </w:rPr>
            </w:pPr>
          </w:p>
        </w:tc>
        <w:tc>
          <w:tcPr>
            <w:tcW w:w="3546" w:type="dxa"/>
          </w:tcPr>
          <w:p w14:paraId="23D915D0">
            <w:pPr>
              <w:jc w:val="center"/>
              <w:rPr>
                <w:rFonts w:ascii="宋体" w:hAnsi="宋体" w:cs="宋体"/>
                <w:b/>
                <w:color w:val="auto"/>
                <w:kern w:val="0"/>
                <w:sz w:val="32"/>
                <w:szCs w:val="32"/>
              </w:rPr>
            </w:pPr>
          </w:p>
        </w:tc>
        <w:tc>
          <w:tcPr>
            <w:tcW w:w="1276" w:type="dxa"/>
          </w:tcPr>
          <w:p w14:paraId="239C9809">
            <w:pPr>
              <w:jc w:val="center"/>
              <w:rPr>
                <w:rFonts w:ascii="宋体" w:hAnsi="宋体" w:cs="宋体"/>
                <w:b/>
                <w:color w:val="auto"/>
                <w:kern w:val="0"/>
                <w:sz w:val="32"/>
                <w:szCs w:val="32"/>
              </w:rPr>
            </w:pPr>
          </w:p>
        </w:tc>
      </w:tr>
      <w:tr w14:paraId="2B57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B99C6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A2D3B6D">
            <w:pPr>
              <w:jc w:val="center"/>
              <w:rPr>
                <w:rFonts w:ascii="宋体" w:hAnsi="宋体" w:cs="宋体"/>
                <w:b/>
                <w:color w:val="auto"/>
                <w:kern w:val="0"/>
                <w:sz w:val="32"/>
                <w:szCs w:val="32"/>
              </w:rPr>
            </w:pPr>
          </w:p>
        </w:tc>
        <w:tc>
          <w:tcPr>
            <w:tcW w:w="3546" w:type="dxa"/>
          </w:tcPr>
          <w:p w14:paraId="278290C5">
            <w:pPr>
              <w:jc w:val="center"/>
              <w:rPr>
                <w:rFonts w:ascii="宋体" w:hAnsi="宋体" w:cs="宋体"/>
                <w:b/>
                <w:color w:val="auto"/>
                <w:kern w:val="0"/>
                <w:sz w:val="32"/>
                <w:szCs w:val="32"/>
              </w:rPr>
            </w:pPr>
          </w:p>
        </w:tc>
        <w:tc>
          <w:tcPr>
            <w:tcW w:w="1276" w:type="dxa"/>
          </w:tcPr>
          <w:p w14:paraId="48FEF7BB">
            <w:pPr>
              <w:jc w:val="center"/>
              <w:rPr>
                <w:rFonts w:ascii="宋体" w:hAnsi="宋体" w:cs="宋体"/>
                <w:b/>
                <w:color w:val="auto"/>
                <w:kern w:val="0"/>
                <w:sz w:val="32"/>
                <w:szCs w:val="32"/>
              </w:rPr>
            </w:pPr>
          </w:p>
        </w:tc>
      </w:tr>
    </w:tbl>
    <w:p w14:paraId="2DC5604F">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182F201D">
      <w:pPr>
        <w:jc w:val="center"/>
        <w:rPr>
          <w:rFonts w:ascii="宋体" w:hAnsi="宋体" w:cs="宋体"/>
          <w:b/>
          <w:color w:val="auto"/>
          <w:kern w:val="0"/>
          <w:sz w:val="32"/>
          <w:szCs w:val="32"/>
        </w:rPr>
      </w:pPr>
    </w:p>
    <w:p w14:paraId="2C451A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0DD105">
      <w:pPr>
        <w:ind w:firstLine="1911" w:firstLineChars="595"/>
        <w:rPr>
          <w:rFonts w:ascii="宋体" w:hAnsi="宋体" w:cs="宋体"/>
          <w:b/>
          <w:bCs/>
          <w:color w:val="auto"/>
          <w:sz w:val="32"/>
          <w:szCs w:val="32"/>
        </w:rPr>
        <w:sectPr>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p>
    <w:p w14:paraId="3C332744">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BF47948">
      <w:pPr>
        <w:snapToGrid w:val="0"/>
        <w:spacing w:line="360" w:lineRule="auto"/>
        <w:rPr>
          <w:rFonts w:ascii="宋体" w:hAnsi="宋体" w:cs="宋体"/>
          <w:color w:val="auto"/>
          <w:sz w:val="24"/>
        </w:rPr>
      </w:pPr>
    </w:p>
    <w:p w14:paraId="5A2E985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3FF5B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DF3DE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31C96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72799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B4F08E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45817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341691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3A3F412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FFDFD33">
      <w:pPr>
        <w:autoSpaceDE w:val="0"/>
        <w:autoSpaceDN w:val="0"/>
        <w:spacing w:line="360" w:lineRule="auto"/>
        <w:ind w:left="2"/>
        <w:jc w:val="left"/>
        <w:rPr>
          <w:rFonts w:ascii="宋体" w:hAnsi="宋体" w:cs="宋体"/>
          <w:color w:val="auto"/>
          <w:kern w:val="0"/>
          <w:sz w:val="24"/>
          <w:lang w:val="zh-CN"/>
        </w:rPr>
      </w:pPr>
    </w:p>
    <w:p w14:paraId="74C25FEF">
      <w:pPr>
        <w:autoSpaceDE w:val="0"/>
        <w:autoSpaceDN w:val="0"/>
        <w:spacing w:line="360" w:lineRule="auto"/>
        <w:ind w:left="2"/>
        <w:jc w:val="left"/>
        <w:rPr>
          <w:rFonts w:ascii="宋体" w:hAnsi="宋体" w:cs="宋体"/>
          <w:color w:val="auto"/>
          <w:kern w:val="0"/>
          <w:sz w:val="24"/>
          <w:lang w:val="zh-CN"/>
        </w:rPr>
      </w:pPr>
    </w:p>
    <w:p w14:paraId="75E990F4">
      <w:pPr>
        <w:autoSpaceDE w:val="0"/>
        <w:autoSpaceDN w:val="0"/>
        <w:spacing w:line="360" w:lineRule="auto"/>
        <w:ind w:left="2"/>
        <w:jc w:val="left"/>
        <w:rPr>
          <w:rFonts w:ascii="宋体" w:hAnsi="宋体" w:cs="宋体"/>
          <w:color w:val="auto"/>
          <w:kern w:val="0"/>
          <w:sz w:val="24"/>
          <w:lang w:val="zh-CN"/>
        </w:rPr>
      </w:pPr>
    </w:p>
    <w:p w14:paraId="4F18E3F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309FC98">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83FF322">
      <w:pPr>
        <w:spacing w:line="360" w:lineRule="auto"/>
        <w:jc w:val="center"/>
        <w:rPr>
          <w:rFonts w:ascii="宋体" w:hAnsi="宋体" w:cs="宋体"/>
          <w:b/>
          <w:bCs/>
          <w:color w:val="auto"/>
          <w:sz w:val="24"/>
        </w:rPr>
      </w:pPr>
    </w:p>
    <w:p w14:paraId="100712F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00DDDA">
      <w:pPr>
        <w:spacing w:line="360" w:lineRule="auto"/>
        <w:jc w:val="center"/>
        <w:rPr>
          <w:rFonts w:ascii="宋体" w:hAnsi="宋体" w:cs="宋体"/>
          <w:b/>
          <w:bCs/>
          <w:color w:val="auto"/>
          <w:sz w:val="24"/>
        </w:rPr>
        <w:sectPr>
          <w:pgSz w:w="11906" w:h="16838"/>
          <w:pgMar w:top="1440" w:right="1080" w:bottom="1440" w:left="1080" w:header="851" w:footer="992" w:gutter="0"/>
          <w:pgNumType w:fmt="decimal"/>
          <w:cols w:space="720" w:num="1"/>
          <w:titlePg/>
          <w:docGrid w:linePitch="312" w:charSpace="0"/>
        </w:sectPr>
      </w:pPr>
    </w:p>
    <w:p w14:paraId="790F1B0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8D5A5E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076965C">
      <w:pPr>
        <w:spacing w:line="360" w:lineRule="auto"/>
        <w:jc w:val="center"/>
        <w:outlineLvl w:val="0"/>
        <w:rPr>
          <w:rFonts w:ascii="宋体" w:hAnsi="宋体" w:cs="宋体"/>
          <w:b/>
          <w:color w:val="auto"/>
          <w:kern w:val="0"/>
          <w:sz w:val="36"/>
          <w:szCs w:val="36"/>
        </w:rPr>
      </w:pPr>
    </w:p>
    <w:p w14:paraId="09A97131">
      <w:pPr>
        <w:snapToGrid w:val="0"/>
        <w:spacing w:line="360" w:lineRule="auto"/>
        <w:rPr>
          <w:rFonts w:ascii="宋体" w:hAnsi="宋体" w:cs="宋体"/>
          <w:color w:val="auto"/>
          <w:sz w:val="24"/>
        </w:rPr>
      </w:pPr>
      <w:r>
        <w:rPr>
          <w:rFonts w:hint="eastAsia" w:ascii="宋体" w:hAnsi="宋体" w:cs="宋体"/>
          <w:color w:val="auto"/>
          <w:sz w:val="24"/>
        </w:rPr>
        <w:t>（1）报价单…………………………………………………………………………（页码）</w:t>
      </w:r>
    </w:p>
    <w:p w14:paraId="23F5E8D3">
      <w:pPr>
        <w:snapToGrid w:val="0"/>
        <w:spacing w:line="360" w:lineRule="auto"/>
        <w:rPr>
          <w:rFonts w:ascii="宋体" w:hAnsi="宋体" w:cs="宋体"/>
          <w:color w:val="auto"/>
          <w:sz w:val="24"/>
        </w:rPr>
      </w:pPr>
      <w:r>
        <w:rPr>
          <w:rFonts w:hint="eastAsia" w:ascii="宋体" w:hAnsi="宋体" w:cs="宋体"/>
          <w:color w:val="auto"/>
          <w:sz w:val="24"/>
        </w:rPr>
        <w:t>（2）已标价工程量清单……………………………………………………………（页码）</w:t>
      </w:r>
    </w:p>
    <w:p w14:paraId="58356B08">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14:paraId="6D963539">
      <w:pPr>
        <w:snapToGrid w:val="0"/>
        <w:spacing w:line="360" w:lineRule="auto"/>
        <w:ind w:right="480"/>
        <w:jc w:val="center"/>
        <w:rPr>
          <w:rFonts w:ascii="宋体" w:hAnsi="宋体" w:cs="宋体"/>
          <w:b/>
          <w:color w:val="auto"/>
          <w:kern w:val="0"/>
          <w:sz w:val="32"/>
          <w:szCs w:val="32"/>
        </w:rPr>
      </w:pPr>
    </w:p>
    <w:p w14:paraId="4905F32C">
      <w:pPr>
        <w:snapToGrid w:val="0"/>
        <w:spacing w:line="360" w:lineRule="auto"/>
        <w:ind w:right="480"/>
        <w:jc w:val="center"/>
        <w:rPr>
          <w:rFonts w:ascii="宋体" w:hAnsi="宋体" w:cs="宋体"/>
          <w:b/>
          <w:color w:val="auto"/>
          <w:kern w:val="0"/>
          <w:sz w:val="32"/>
          <w:szCs w:val="32"/>
        </w:rPr>
      </w:pPr>
    </w:p>
    <w:p w14:paraId="7C51D99B">
      <w:pPr>
        <w:snapToGrid w:val="0"/>
        <w:spacing w:line="360" w:lineRule="auto"/>
        <w:ind w:right="480"/>
        <w:jc w:val="center"/>
        <w:rPr>
          <w:rFonts w:ascii="宋体" w:hAnsi="宋体" w:cs="宋体"/>
          <w:b/>
          <w:color w:val="auto"/>
          <w:kern w:val="0"/>
          <w:sz w:val="32"/>
          <w:szCs w:val="32"/>
        </w:rPr>
      </w:pPr>
    </w:p>
    <w:p w14:paraId="2344123E">
      <w:pPr>
        <w:snapToGrid w:val="0"/>
        <w:spacing w:line="360" w:lineRule="auto"/>
        <w:ind w:right="480"/>
        <w:jc w:val="center"/>
        <w:rPr>
          <w:rFonts w:ascii="宋体" w:hAnsi="宋体" w:cs="宋体"/>
          <w:b/>
          <w:color w:val="auto"/>
          <w:kern w:val="0"/>
          <w:sz w:val="32"/>
          <w:szCs w:val="32"/>
        </w:rPr>
      </w:pPr>
    </w:p>
    <w:p w14:paraId="5AA00EA8">
      <w:pPr>
        <w:snapToGrid w:val="0"/>
        <w:spacing w:line="360" w:lineRule="auto"/>
        <w:ind w:right="480"/>
        <w:jc w:val="center"/>
        <w:rPr>
          <w:rFonts w:ascii="宋体" w:hAnsi="宋体" w:cs="宋体"/>
          <w:b/>
          <w:color w:val="auto"/>
          <w:kern w:val="0"/>
          <w:sz w:val="32"/>
          <w:szCs w:val="32"/>
        </w:rPr>
      </w:pPr>
    </w:p>
    <w:p w14:paraId="1BAE4D04">
      <w:pPr>
        <w:snapToGrid w:val="0"/>
        <w:spacing w:line="360" w:lineRule="auto"/>
        <w:ind w:right="480"/>
        <w:jc w:val="center"/>
        <w:rPr>
          <w:rFonts w:ascii="宋体" w:hAnsi="宋体" w:cs="宋体"/>
          <w:b/>
          <w:color w:val="auto"/>
          <w:kern w:val="0"/>
          <w:sz w:val="32"/>
          <w:szCs w:val="32"/>
        </w:rPr>
      </w:pPr>
    </w:p>
    <w:p w14:paraId="6C254C7F">
      <w:pPr>
        <w:snapToGrid w:val="0"/>
        <w:spacing w:line="360" w:lineRule="auto"/>
        <w:ind w:right="480"/>
        <w:jc w:val="center"/>
        <w:rPr>
          <w:rFonts w:ascii="宋体" w:hAnsi="宋体" w:cs="宋体"/>
          <w:b/>
          <w:color w:val="auto"/>
          <w:kern w:val="0"/>
          <w:sz w:val="32"/>
          <w:szCs w:val="32"/>
        </w:rPr>
      </w:pPr>
    </w:p>
    <w:p w14:paraId="771630DF">
      <w:pPr>
        <w:snapToGrid w:val="0"/>
        <w:spacing w:line="360" w:lineRule="auto"/>
        <w:ind w:right="480"/>
        <w:jc w:val="center"/>
        <w:rPr>
          <w:rFonts w:ascii="宋体" w:hAnsi="宋体" w:cs="宋体"/>
          <w:b/>
          <w:color w:val="auto"/>
          <w:kern w:val="0"/>
          <w:sz w:val="32"/>
          <w:szCs w:val="32"/>
        </w:rPr>
      </w:pPr>
    </w:p>
    <w:p w14:paraId="6AE516F1">
      <w:pPr>
        <w:snapToGrid w:val="0"/>
        <w:spacing w:line="360" w:lineRule="auto"/>
        <w:ind w:right="480"/>
        <w:jc w:val="center"/>
        <w:rPr>
          <w:rFonts w:ascii="宋体" w:hAnsi="宋体" w:cs="宋体"/>
          <w:b/>
          <w:color w:val="auto"/>
          <w:kern w:val="0"/>
          <w:sz w:val="32"/>
          <w:szCs w:val="32"/>
        </w:rPr>
      </w:pPr>
    </w:p>
    <w:p w14:paraId="7725F4F7">
      <w:pPr>
        <w:snapToGrid w:val="0"/>
        <w:spacing w:line="360" w:lineRule="auto"/>
        <w:ind w:right="480"/>
        <w:jc w:val="center"/>
        <w:rPr>
          <w:rFonts w:ascii="宋体" w:hAnsi="宋体" w:cs="宋体"/>
          <w:b/>
          <w:color w:val="auto"/>
          <w:kern w:val="0"/>
          <w:sz w:val="32"/>
          <w:szCs w:val="32"/>
        </w:rPr>
      </w:pPr>
    </w:p>
    <w:p w14:paraId="728DFBD5">
      <w:pPr>
        <w:snapToGrid w:val="0"/>
        <w:spacing w:line="360" w:lineRule="auto"/>
        <w:ind w:right="480"/>
        <w:jc w:val="center"/>
        <w:rPr>
          <w:rFonts w:ascii="宋体" w:hAnsi="宋体" w:cs="宋体"/>
          <w:b/>
          <w:color w:val="auto"/>
          <w:kern w:val="0"/>
          <w:sz w:val="32"/>
          <w:szCs w:val="32"/>
        </w:rPr>
      </w:pPr>
    </w:p>
    <w:p w14:paraId="35A7383E">
      <w:pPr>
        <w:snapToGrid w:val="0"/>
        <w:spacing w:line="360" w:lineRule="auto"/>
        <w:ind w:right="480"/>
        <w:jc w:val="center"/>
        <w:rPr>
          <w:rFonts w:ascii="宋体" w:hAnsi="宋体" w:cs="宋体"/>
          <w:b/>
          <w:color w:val="auto"/>
          <w:kern w:val="0"/>
          <w:sz w:val="32"/>
          <w:szCs w:val="32"/>
        </w:rPr>
      </w:pPr>
    </w:p>
    <w:p w14:paraId="3600A59D">
      <w:pPr>
        <w:snapToGrid w:val="0"/>
        <w:spacing w:line="360" w:lineRule="auto"/>
        <w:ind w:right="480"/>
        <w:jc w:val="center"/>
        <w:rPr>
          <w:rFonts w:ascii="宋体" w:hAnsi="宋体" w:cs="宋体"/>
          <w:b/>
          <w:color w:val="auto"/>
          <w:kern w:val="0"/>
          <w:sz w:val="32"/>
          <w:szCs w:val="32"/>
        </w:rPr>
      </w:pPr>
    </w:p>
    <w:p w14:paraId="0FBB665C">
      <w:pPr>
        <w:snapToGrid w:val="0"/>
        <w:spacing w:line="360" w:lineRule="auto"/>
        <w:ind w:right="480"/>
        <w:jc w:val="center"/>
        <w:rPr>
          <w:rFonts w:ascii="宋体" w:hAnsi="宋体" w:cs="宋体"/>
          <w:b/>
          <w:color w:val="auto"/>
          <w:kern w:val="0"/>
          <w:sz w:val="32"/>
          <w:szCs w:val="32"/>
        </w:rPr>
      </w:pPr>
    </w:p>
    <w:p w14:paraId="42FBC65A">
      <w:pPr>
        <w:snapToGrid w:val="0"/>
        <w:spacing w:line="360" w:lineRule="auto"/>
        <w:ind w:right="480"/>
        <w:jc w:val="center"/>
        <w:rPr>
          <w:rFonts w:ascii="宋体" w:hAnsi="宋体" w:cs="宋体"/>
          <w:b/>
          <w:color w:val="auto"/>
          <w:kern w:val="0"/>
          <w:sz w:val="32"/>
          <w:szCs w:val="32"/>
        </w:rPr>
      </w:pPr>
    </w:p>
    <w:p w14:paraId="7D40D48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2" w:type="first"/>
          <w:headerReference r:id="rId10" w:type="default"/>
          <w:footerReference r:id="rId11" w:type="default"/>
          <w:pgSz w:w="11906" w:h="16838"/>
          <w:pgMar w:top="1440" w:right="1080" w:bottom="1440" w:left="1080" w:header="851" w:footer="992" w:gutter="0"/>
          <w:pgNumType w:fmt="decimal"/>
          <w:cols w:space="720" w:num="1"/>
          <w:titlePg/>
          <w:docGrid w:linePitch="312" w:charSpace="0"/>
        </w:sectPr>
      </w:pPr>
    </w:p>
    <w:p w14:paraId="65DE945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14:paraId="287FD86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798288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按你方采购文件要求，我们，本响应文件签字方，谨此向你方发出要约如下：如你方接受本投标，我方承诺按照如下报价单的价格完成宁海县中心城区防洪排涝工程-跃龙街道赵溪村撇洪渠防洪工程【项目编号：</w:t>
      </w:r>
      <w:r>
        <w:rPr>
          <w:rFonts w:hint="eastAsia" w:ascii="宋体" w:hAnsi="宋体" w:cs="宋体"/>
          <w:color w:val="auto"/>
          <w:sz w:val="24"/>
          <w:lang w:eastAsia="zh-CN"/>
        </w:rPr>
        <w:t>温中代字(2025)宁019</w:t>
      </w:r>
      <w:r>
        <w:rPr>
          <w:rFonts w:hint="eastAsia" w:ascii="宋体" w:hAnsi="宋体" w:cs="宋体"/>
          <w:color w:val="auto"/>
          <w:sz w:val="24"/>
        </w:rPr>
        <w:t>】的实施</w:t>
      </w:r>
      <w:r>
        <w:rPr>
          <w:rFonts w:hint="eastAsia" w:ascii="宋体" w:hAnsi="宋体" w:cs="宋体"/>
          <w:color w:val="auto"/>
          <w:kern w:val="0"/>
          <w:sz w:val="24"/>
          <w:lang w:val="zh-CN"/>
        </w:rPr>
        <w:t>。</w:t>
      </w:r>
    </w:p>
    <w:p w14:paraId="485C1F7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287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5E149CF">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14:paraId="40CBD9DE">
            <w:pPr>
              <w:spacing w:line="360" w:lineRule="auto"/>
              <w:jc w:val="center"/>
              <w:rPr>
                <w:rFonts w:ascii="宋体" w:hAnsi="宋体" w:cs="宋体"/>
                <w:b/>
                <w:color w:val="auto"/>
                <w:sz w:val="24"/>
              </w:rPr>
            </w:pPr>
          </w:p>
          <w:p w14:paraId="7CE1BC16">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14:paraId="7FC04474">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14:paraId="5C9826C8">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14:paraId="797DDE6C">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14:paraId="5BC0A90A">
            <w:pPr>
              <w:spacing w:line="360" w:lineRule="auto"/>
              <w:jc w:val="center"/>
              <w:rPr>
                <w:rFonts w:ascii="宋体" w:hAnsi="宋体" w:cs="宋体"/>
                <w:b/>
                <w:color w:val="auto"/>
                <w:sz w:val="24"/>
              </w:rPr>
            </w:pPr>
          </w:p>
          <w:p w14:paraId="5C4AC04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83B5F34">
            <w:pPr>
              <w:spacing w:line="360" w:lineRule="auto"/>
              <w:jc w:val="center"/>
              <w:rPr>
                <w:rFonts w:ascii="宋体" w:hAnsi="宋体" w:cs="宋体"/>
                <w:b/>
                <w:color w:val="auto"/>
                <w:sz w:val="24"/>
              </w:rPr>
            </w:pPr>
          </w:p>
        </w:tc>
      </w:tr>
      <w:tr w14:paraId="490A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BBFED98">
            <w:pPr>
              <w:snapToGrid w:val="0"/>
              <w:spacing w:line="360" w:lineRule="auto"/>
              <w:jc w:val="center"/>
              <w:rPr>
                <w:rFonts w:ascii="宋体" w:hAnsi="宋体" w:cs="宋体"/>
                <w:color w:val="auto"/>
                <w:sz w:val="24"/>
              </w:rPr>
            </w:pPr>
          </w:p>
        </w:tc>
        <w:tc>
          <w:tcPr>
            <w:tcW w:w="1843" w:type="dxa"/>
            <w:vAlign w:val="center"/>
          </w:tcPr>
          <w:p w14:paraId="0D94F702">
            <w:pPr>
              <w:snapToGrid w:val="0"/>
              <w:spacing w:line="360" w:lineRule="auto"/>
              <w:jc w:val="center"/>
              <w:rPr>
                <w:rFonts w:ascii="宋体" w:hAnsi="宋体" w:cs="宋体"/>
                <w:color w:val="auto"/>
                <w:sz w:val="24"/>
              </w:rPr>
            </w:pPr>
          </w:p>
        </w:tc>
        <w:tc>
          <w:tcPr>
            <w:tcW w:w="3118" w:type="dxa"/>
            <w:vAlign w:val="center"/>
          </w:tcPr>
          <w:p w14:paraId="709C88A9">
            <w:pPr>
              <w:snapToGrid w:val="0"/>
              <w:spacing w:line="360" w:lineRule="auto"/>
              <w:jc w:val="center"/>
              <w:rPr>
                <w:rFonts w:ascii="宋体" w:hAnsi="宋体" w:cs="宋体"/>
                <w:color w:val="auto"/>
                <w:sz w:val="24"/>
              </w:rPr>
            </w:pPr>
          </w:p>
        </w:tc>
        <w:tc>
          <w:tcPr>
            <w:tcW w:w="2552" w:type="dxa"/>
            <w:vAlign w:val="center"/>
          </w:tcPr>
          <w:p w14:paraId="3DC5704D">
            <w:pPr>
              <w:spacing w:line="360" w:lineRule="auto"/>
              <w:jc w:val="center"/>
              <w:rPr>
                <w:rFonts w:ascii="宋体" w:hAnsi="宋体" w:cs="宋体"/>
                <w:color w:val="auto"/>
                <w:sz w:val="24"/>
              </w:rPr>
            </w:pPr>
          </w:p>
        </w:tc>
        <w:tc>
          <w:tcPr>
            <w:tcW w:w="1984" w:type="dxa"/>
            <w:vAlign w:val="center"/>
          </w:tcPr>
          <w:p w14:paraId="1C734C2C">
            <w:pPr>
              <w:spacing w:line="360" w:lineRule="auto"/>
              <w:jc w:val="center"/>
              <w:rPr>
                <w:rFonts w:ascii="宋体" w:hAnsi="宋体" w:cs="宋体"/>
                <w:color w:val="auto"/>
                <w:sz w:val="24"/>
              </w:rPr>
            </w:pPr>
          </w:p>
        </w:tc>
        <w:tc>
          <w:tcPr>
            <w:tcW w:w="3119" w:type="dxa"/>
            <w:vAlign w:val="center"/>
          </w:tcPr>
          <w:p w14:paraId="2423AAC5">
            <w:pPr>
              <w:spacing w:line="360" w:lineRule="auto"/>
              <w:jc w:val="center"/>
              <w:rPr>
                <w:rFonts w:ascii="宋体" w:hAnsi="宋体" w:cs="宋体"/>
                <w:color w:val="auto"/>
                <w:sz w:val="24"/>
              </w:rPr>
            </w:pPr>
          </w:p>
        </w:tc>
      </w:tr>
      <w:tr w14:paraId="068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F6E6E59">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05EF828A">
            <w:pPr>
              <w:spacing w:line="360" w:lineRule="auto"/>
              <w:jc w:val="center"/>
              <w:rPr>
                <w:rFonts w:ascii="宋体" w:hAnsi="宋体" w:cs="宋体"/>
                <w:color w:val="auto"/>
                <w:sz w:val="24"/>
              </w:rPr>
            </w:pPr>
          </w:p>
        </w:tc>
      </w:tr>
      <w:tr w14:paraId="387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EB7D568">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66C335D7">
            <w:pPr>
              <w:spacing w:line="360" w:lineRule="auto"/>
              <w:jc w:val="center"/>
              <w:rPr>
                <w:rFonts w:ascii="宋体" w:hAnsi="宋体" w:cs="宋体"/>
                <w:color w:val="auto"/>
                <w:sz w:val="24"/>
              </w:rPr>
            </w:pPr>
          </w:p>
        </w:tc>
      </w:tr>
    </w:tbl>
    <w:p w14:paraId="5FE58C6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C33740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0663C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0565C0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9B5B63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654C2E">
      <w:pPr>
        <w:spacing w:line="360" w:lineRule="auto"/>
        <w:ind w:firstLine="482" w:firstLineChars="200"/>
        <w:rPr>
          <w:rFonts w:ascii="宋体" w:hAnsi="宋体" w:cs="宋体"/>
          <w:b/>
          <w:color w:val="auto"/>
          <w:kern w:val="0"/>
          <w:sz w:val="24"/>
        </w:rPr>
      </w:pPr>
    </w:p>
    <w:p w14:paraId="7BE5AA0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B773C8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pgNumType w:fmt="decimal"/>
          <w:cols w:space="720" w:num="1"/>
          <w:titlePg/>
          <w:docGrid w:linePitch="312" w:charSpace="0"/>
        </w:sectPr>
      </w:pPr>
    </w:p>
    <w:p w14:paraId="757EF875">
      <w:pPr>
        <w:pStyle w:val="692"/>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4CC46528">
      <w:pPr>
        <w:ind w:right="420"/>
        <w:rPr>
          <w:rFonts w:hint="eastAsia" w:ascii="宋体" w:hAnsi="宋体" w:eastAsia="宋体" w:cs="宋体"/>
          <w:color w:val="auto"/>
          <w:sz w:val="24"/>
          <w:lang w:eastAsia="zh-CN"/>
        </w:rPr>
      </w:pPr>
      <w:r>
        <w:rPr>
          <w:rFonts w:hint="eastAsia" w:ascii="宋体" w:hAnsi="宋体" w:cs="宋体"/>
          <w:color w:val="auto"/>
          <w:sz w:val="24"/>
        </w:rPr>
        <w:t xml:space="preserve">注：按采购文件工程量清单编制 </w:t>
      </w:r>
      <w:r>
        <w:rPr>
          <w:rFonts w:hint="eastAsia" w:ascii="宋体" w:hAnsi="宋体" w:cs="宋体"/>
          <w:color w:val="auto"/>
          <w:sz w:val="24"/>
          <w:lang w:eastAsia="zh-CN"/>
        </w:rPr>
        <w:t>（</w:t>
      </w:r>
      <w:r>
        <w:rPr>
          <w:rFonts w:hint="eastAsia" w:ascii="宋体" w:hAnsi="宋体" w:cs="宋体"/>
          <w:color w:val="auto"/>
          <w:sz w:val="24"/>
          <w:lang w:val="en-US" w:eastAsia="zh-CN"/>
        </w:rPr>
        <w:t>另附</w:t>
      </w:r>
      <w:r>
        <w:rPr>
          <w:rFonts w:hint="eastAsia" w:ascii="宋体" w:hAnsi="宋体" w:cs="宋体"/>
          <w:color w:val="auto"/>
          <w:sz w:val="24"/>
          <w:lang w:eastAsia="zh-CN"/>
        </w:rPr>
        <w:t>）</w:t>
      </w:r>
    </w:p>
    <w:p w14:paraId="275B6C06">
      <w:pPr>
        <w:pStyle w:val="61"/>
        <w:ind w:firstLine="480"/>
        <w:rPr>
          <w:rFonts w:cs="宋体"/>
          <w:color w:val="auto"/>
          <w:sz w:val="24"/>
        </w:rPr>
      </w:pPr>
    </w:p>
    <w:p w14:paraId="5E9FFB28">
      <w:pPr>
        <w:pStyle w:val="61"/>
        <w:ind w:firstLine="480"/>
        <w:rPr>
          <w:rFonts w:cs="宋体"/>
          <w:color w:val="auto"/>
          <w:sz w:val="24"/>
        </w:rPr>
        <w:sectPr>
          <w:footerReference r:id="rId16" w:type="first"/>
          <w:headerReference r:id="rId13" w:type="default"/>
          <w:footerReference r:id="rId14" w:type="default"/>
          <w:footerReference r:id="rId15" w:type="even"/>
          <w:pgSz w:w="11906" w:h="16838"/>
          <w:pgMar w:top="1440" w:right="1080" w:bottom="1440" w:left="1080" w:header="851" w:footer="992" w:gutter="0"/>
          <w:pgNumType w:fmt="decimal"/>
          <w:cols w:space="720" w:num="1"/>
          <w:titlePg/>
          <w:docGrid w:linePitch="312" w:charSpace="0"/>
        </w:sectPr>
      </w:pPr>
    </w:p>
    <w:p w14:paraId="21D7E760">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99" w:name="_Hlk101259491"/>
      <w:r>
        <w:rPr>
          <w:rFonts w:hint="eastAsia" w:ascii="宋体" w:hAnsi="宋体" w:eastAsia="宋体" w:cs="宋体"/>
          <w:color w:val="auto"/>
          <w:sz w:val="32"/>
          <w:szCs w:val="32"/>
        </w:rPr>
        <w:t>（如果有）</w:t>
      </w:r>
      <w:bookmarkEnd w:id="599"/>
    </w:p>
    <w:p w14:paraId="18DFCE7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855EB8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600" w:name="_Toc465665161"/>
      <w:r>
        <w:rPr>
          <w:rFonts w:hint="eastAsia" w:ascii="宋体" w:hAnsi="宋体" w:cs="宋体"/>
          <w:color w:val="auto"/>
        </w:rPr>
        <w:t>附件</w:t>
      </w:r>
      <w:bookmarkEnd w:id="600"/>
    </w:p>
    <w:p w14:paraId="01E250F5">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50082EA">
      <w:pPr>
        <w:spacing w:line="360" w:lineRule="auto"/>
        <w:jc w:val="center"/>
        <w:rPr>
          <w:rFonts w:ascii="宋体" w:hAnsi="宋体" w:cs="宋体"/>
          <w:b/>
          <w:color w:val="auto"/>
          <w:spacing w:val="6"/>
          <w:sz w:val="32"/>
          <w:szCs w:val="32"/>
        </w:rPr>
      </w:pPr>
      <w:bookmarkStart w:id="601" w:name="OLE_LINK14"/>
      <w:bookmarkStart w:id="602" w:name="OLE_LINK13"/>
      <w:r>
        <w:rPr>
          <w:rFonts w:hint="eastAsia" w:ascii="宋体" w:hAnsi="宋体" w:cs="宋体"/>
          <w:b/>
          <w:color w:val="auto"/>
          <w:spacing w:val="6"/>
          <w:sz w:val="32"/>
          <w:szCs w:val="32"/>
        </w:rPr>
        <w:t>残疾人福利性单位声明函</w:t>
      </w:r>
    </w:p>
    <w:bookmarkEnd w:id="601"/>
    <w:bookmarkEnd w:id="602"/>
    <w:p w14:paraId="0475A7A9">
      <w:pPr>
        <w:spacing w:line="360" w:lineRule="auto"/>
        <w:rPr>
          <w:rFonts w:ascii="宋体" w:hAnsi="宋体" w:cs="宋体"/>
          <w:b/>
          <w:color w:val="auto"/>
          <w:spacing w:val="6"/>
          <w:sz w:val="30"/>
          <w:szCs w:val="30"/>
        </w:rPr>
      </w:pPr>
    </w:p>
    <w:p w14:paraId="00002F7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8F9D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CA04B2E">
      <w:pPr>
        <w:spacing w:line="360" w:lineRule="auto"/>
        <w:ind w:firstLine="480" w:firstLineChars="200"/>
        <w:rPr>
          <w:rFonts w:ascii="宋体" w:hAnsi="宋体" w:cs="宋体"/>
          <w:color w:val="auto"/>
          <w:sz w:val="24"/>
        </w:rPr>
      </w:pPr>
    </w:p>
    <w:p w14:paraId="5977F969">
      <w:pPr>
        <w:spacing w:line="360" w:lineRule="auto"/>
        <w:ind w:firstLine="480" w:firstLineChars="200"/>
        <w:rPr>
          <w:rFonts w:ascii="宋体" w:hAnsi="宋体" w:cs="宋体"/>
          <w:color w:val="auto"/>
          <w:sz w:val="24"/>
        </w:rPr>
      </w:pPr>
    </w:p>
    <w:p w14:paraId="0D1987B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027556E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A7AB19E">
      <w:pPr>
        <w:spacing w:line="360" w:lineRule="auto"/>
        <w:ind w:firstLine="480" w:firstLineChars="200"/>
        <w:rPr>
          <w:rFonts w:ascii="宋体" w:hAnsi="宋体" w:cs="宋体"/>
          <w:color w:val="auto"/>
          <w:sz w:val="24"/>
        </w:rPr>
      </w:pPr>
    </w:p>
    <w:p w14:paraId="14430496">
      <w:pPr>
        <w:spacing w:line="360" w:lineRule="auto"/>
        <w:ind w:firstLine="420" w:firstLineChars="200"/>
        <w:rPr>
          <w:rFonts w:ascii="宋体" w:hAnsi="宋体" w:cs="宋体"/>
          <w:color w:val="auto"/>
        </w:rPr>
      </w:pPr>
    </w:p>
    <w:p w14:paraId="0CC8E1FA">
      <w:pPr>
        <w:spacing w:line="360" w:lineRule="auto"/>
        <w:ind w:firstLine="420" w:firstLineChars="200"/>
        <w:rPr>
          <w:rFonts w:ascii="宋体" w:hAnsi="宋体" w:cs="宋体"/>
          <w:color w:val="auto"/>
        </w:rPr>
      </w:pPr>
    </w:p>
    <w:p w14:paraId="13D02B7E">
      <w:pPr>
        <w:spacing w:line="360" w:lineRule="auto"/>
        <w:ind w:firstLine="420" w:firstLineChars="200"/>
        <w:rPr>
          <w:rFonts w:ascii="宋体" w:hAnsi="宋体" w:cs="宋体"/>
          <w:color w:val="auto"/>
        </w:rPr>
      </w:pPr>
    </w:p>
    <w:p w14:paraId="21A602F2">
      <w:pPr>
        <w:spacing w:line="360" w:lineRule="auto"/>
        <w:ind w:firstLine="420" w:firstLineChars="200"/>
        <w:rPr>
          <w:rFonts w:ascii="宋体" w:hAnsi="宋体" w:cs="宋体"/>
          <w:color w:val="auto"/>
        </w:rPr>
      </w:pPr>
    </w:p>
    <w:p w14:paraId="3123155C">
      <w:pPr>
        <w:spacing w:line="360" w:lineRule="auto"/>
        <w:rPr>
          <w:rFonts w:ascii="宋体" w:hAnsi="宋体" w:cs="宋体"/>
          <w:b/>
          <w:color w:val="auto"/>
          <w:sz w:val="24"/>
        </w:rPr>
      </w:pPr>
    </w:p>
    <w:p w14:paraId="2874A60C">
      <w:pPr>
        <w:spacing w:line="360" w:lineRule="auto"/>
        <w:rPr>
          <w:rFonts w:ascii="宋体" w:hAnsi="宋体" w:cs="宋体"/>
          <w:b/>
          <w:color w:val="auto"/>
          <w:sz w:val="24"/>
        </w:rPr>
      </w:pPr>
    </w:p>
    <w:p w14:paraId="6F0BB9D4">
      <w:pPr>
        <w:spacing w:line="360" w:lineRule="auto"/>
        <w:rPr>
          <w:rFonts w:ascii="宋体" w:hAnsi="宋体" w:cs="宋体"/>
          <w:b/>
          <w:color w:val="auto"/>
          <w:sz w:val="24"/>
        </w:rPr>
      </w:pPr>
    </w:p>
    <w:p w14:paraId="74862264">
      <w:pPr>
        <w:spacing w:line="360" w:lineRule="auto"/>
        <w:rPr>
          <w:rFonts w:ascii="宋体" w:hAnsi="宋体" w:cs="宋体"/>
          <w:b/>
          <w:color w:val="auto"/>
          <w:sz w:val="24"/>
        </w:rPr>
      </w:pPr>
    </w:p>
    <w:p w14:paraId="69AEEEA4">
      <w:pPr>
        <w:spacing w:line="360" w:lineRule="auto"/>
        <w:rPr>
          <w:rFonts w:ascii="宋体" w:hAnsi="宋体" w:cs="宋体"/>
          <w:b/>
          <w:color w:val="auto"/>
          <w:sz w:val="24"/>
        </w:rPr>
      </w:pPr>
    </w:p>
    <w:p w14:paraId="53F0ADF6">
      <w:pPr>
        <w:spacing w:line="360" w:lineRule="auto"/>
        <w:rPr>
          <w:rFonts w:ascii="宋体" w:hAnsi="宋体" w:cs="宋体"/>
          <w:b/>
          <w:color w:val="auto"/>
          <w:sz w:val="24"/>
        </w:rPr>
      </w:pPr>
    </w:p>
    <w:p w14:paraId="351696DC">
      <w:pPr>
        <w:spacing w:line="360" w:lineRule="auto"/>
        <w:rPr>
          <w:rFonts w:ascii="宋体" w:hAnsi="宋体" w:cs="宋体"/>
          <w:b/>
          <w:color w:val="auto"/>
          <w:sz w:val="24"/>
        </w:rPr>
      </w:pPr>
    </w:p>
    <w:p w14:paraId="123066CA">
      <w:pPr>
        <w:spacing w:line="360" w:lineRule="auto"/>
        <w:rPr>
          <w:rFonts w:ascii="宋体" w:hAnsi="宋体" w:cs="宋体"/>
          <w:b/>
          <w:color w:val="auto"/>
          <w:sz w:val="24"/>
        </w:rPr>
      </w:pPr>
    </w:p>
    <w:p w14:paraId="5571A4E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60CC14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8ED4FF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1CEED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0EEEDE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07161A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72256F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A1076A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F3832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9FC557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10910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D9E037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15344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938CA1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9F87A3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D480A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C9A313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697A2B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B9C3E8A">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8F2564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5E40A0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26B0243">
      <w:pPr>
        <w:snapToGrid w:val="0"/>
        <w:spacing w:line="360" w:lineRule="auto"/>
        <w:rPr>
          <w:rFonts w:ascii="宋体" w:hAnsi="宋体" w:cs="宋体"/>
          <w:color w:val="auto"/>
          <w:sz w:val="24"/>
        </w:rPr>
      </w:pPr>
      <w:r>
        <w:rPr>
          <w:rFonts w:hint="eastAsia" w:ascii="宋体" w:hAnsi="宋体" w:cs="宋体"/>
          <w:color w:val="auto"/>
          <w:sz w:val="24"/>
        </w:rPr>
        <w:t>……</w:t>
      </w:r>
    </w:p>
    <w:p w14:paraId="1D6935B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1D7AE1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8EE903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5F5ED16">
      <w:pPr>
        <w:spacing w:line="360" w:lineRule="auto"/>
        <w:rPr>
          <w:rFonts w:ascii="宋体" w:hAnsi="宋体" w:cs="宋体"/>
          <w:color w:val="auto"/>
          <w:sz w:val="24"/>
        </w:rPr>
      </w:pPr>
      <w:r>
        <w:rPr>
          <w:rFonts w:hint="eastAsia" w:ascii="宋体" w:hAnsi="宋体" w:cs="宋体"/>
          <w:color w:val="auto"/>
          <w:sz w:val="24"/>
        </w:rPr>
        <w:t xml:space="preserve">日期：    </w:t>
      </w:r>
    </w:p>
    <w:p w14:paraId="00FA970D">
      <w:pPr>
        <w:spacing w:line="360" w:lineRule="auto"/>
        <w:jc w:val="center"/>
        <w:rPr>
          <w:rFonts w:ascii="宋体" w:hAnsi="宋体" w:cs="宋体"/>
          <w:b/>
          <w:bCs/>
          <w:color w:val="auto"/>
          <w:sz w:val="24"/>
        </w:rPr>
      </w:pPr>
    </w:p>
    <w:p w14:paraId="025B702E">
      <w:pPr>
        <w:spacing w:line="360" w:lineRule="auto"/>
        <w:rPr>
          <w:rFonts w:ascii="宋体" w:hAnsi="宋体" w:cs="宋体"/>
          <w:b/>
          <w:color w:val="auto"/>
          <w:sz w:val="24"/>
        </w:rPr>
      </w:pPr>
    </w:p>
    <w:p w14:paraId="65C7F1CB">
      <w:pPr>
        <w:spacing w:line="360" w:lineRule="auto"/>
        <w:rPr>
          <w:rFonts w:ascii="宋体" w:hAnsi="宋体" w:cs="宋体"/>
          <w:b/>
          <w:color w:val="auto"/>
          <w:sz w:val="24"/>
        </w:rPr>
      </w:pPr>
    </w:p>
    <w:p w14:paraId="0617C501">
      <w:pPr>
        <w:spacing w:line="360" w:lineRule="auto"/>
        <w:rPr>
          <w:rFonts w:ascii="宋体" w:hAnsi="宋体" w:cs="宋体"/>
          <w:b/>
          <w:color w:val="auto"/>
          <w:sz w:val="24"/>
        </w:rPr>
      </w:pPr>
      <w:r>
        <w:rPr>
          <w:rFonts w:hint="eastAsia" w:ascii="宋体" w:hAnsi="宋体" w:cs="宋体"/>
          <w:b/>
          <w:color w:val="auto"/>
          <w:sz w:val="24"/>
        </w:rPr>
        <w:t>质疑函制作说明：</w:t>
      </w:r>
    </w:p>
    <w:p w14:paraId="0FE40A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9827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771F0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E22F6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78B14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01E7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F05FDCC">
      <w:pPr>
        <w:widowControl/>
        <w:spacing w:line="360" w:lineRule="auto"/>
        <w:ind w:firstLine="600" w:firstLineChars="200"/>
        <w:jc w:val="left"/>
        <w:rPr>
          <w:rFonts w:ascii="宋体" w:hAnsi="宋体" w:cs="宋体"/>
          <w:color w:val="auto"/>
          <w:sz w:val="30"/>
          <w:szCs w:val="30"/>
        </w:rPr>
      </w:pPr>
    </w:p>
    <w:p w14:paraId="31B0F2E6">
      <w:pPr>
        <w:spacing w:line="360" w:lineRule="auto"/>
        <w:jc w:val="center"/>
        <w:rPr>
          <w:rFonts w:ascii="宋体" w:hAnsi="宋体" w:cs="宋体"/>
          <w:b/>
          <w:color w:val="auto"/>
          <w:spacing w:val="6"/>
          <w:sz w:val="32"/>
          <w:szCs w:val="32"/>
        </w:rPr>
      </w:pPr>
    </w:p>
    <w:p w14:paraId="0D60379F">
      <w:pPr>
        <w:spacing w:line="360" w:lineRule="auto"/>
        <w:jc w:val="center"/>
        <w:rPr>
          <w:rFonts w:ascii="宋体" w:hAnsi="宋体" w:cs="宋体"/>
          <w:b/>
          <w:color w:val="auto"/>
          <w:spacing w:val="6"/>
          <w:sz w:val="32"/>
          <w:szCs w:val="32"/>
        </w:rPr>
      </w:pPr>
    </w:p>
    <w:p w14:paraId="1F29C89A">
      <w:pPr>
        <w:spacing w:line="360" w:lineRule="auto"/>
        <w:jc w:val="center"/>
        <w:rPr>
          <w:rFonts w:ascii="宋体" w:hAnsi="宋体" w:cs="宋体"/>
          <w:b/>
          <w:color w:val="auto"/>
          <w:spacing w:val="6"/>
          <w:sz w:val="32"/>
          <w:szCs w:val="32"/>
        </w:rPr>
      </w:pPr>
    </w:p>
    <w:p w14:paraId="10ACC5E2">
      <w:pPr>
        <w:spacing w:line="360" w:lineRule="auto"/>
        <w:jc w:val="center"/>
        <w:rPr>
          <w:rFonts w:ascii="宋体" w:hAnsi="宋体" w:cs="宋体"/>
          <w:b/>
          <w:color w:val="auto"/>
          <w:spacing w:val="6"/>
          <w:sz w:val="32"/>
          <w:szCs w:val="32"/>
        </w:rPr>
      </w:pPr>
    </w:p>
    <w:p w14:paraId="4707BD22">
      <w:pPr>
        <w:spacing w:line="360" w:lineRule="auto"/>
        <w:jc w:val="center"/>
        <w:rPr>
          <w:rFonts w:ascii="宋体" w:hAnsi="宋体" w:cs="宋体"/>
          <w:b/>
          <w:color w:val="auto"/>
          <w:spacing w:val="6"/>
          <w:sz w:val="32"/>
          <w:szCs w:val="32"/>
        </w:rPr>
      </w:pPr>
    </w:p>
    <w:p w14:paraId="3E0374F8">
      <w:pPr>
        <w:spacing w:line="360" w:lineRule="auto"/>
        <w:jc w:val="center"/>
        <w:rPr>
          <w:rFonts w:ascii="宋体" w:hAnsi="宋体" w:cs="宋体"/>
          <w:b/>
          <w:color w:val="auto"/>
          <w:spacing w:val="6"/>
          <w:sz w:val="32"/>
          <w:szCs w:val="32"/>
        </w:rPr>
      </w:pPr>
    </w:p>
    <w:p w14:paraId="39EB9E31">
      <w:pPr>
        <w:spacing w:line="360" w:lineRule="auto"/>
        <w:jc w:val="center"/>
        <w:rPr>
          <w:rFonts w:ascii="宋体" w:hAnsi="宋体" w:cs="宋体"/>
          <w:b/>
          <w:color w:val="auto"/>
          <w:spacing w:val="6"/>
          <w:sz w:val="32"/>
          <w:szCs w:val="32"/>
        </w:rPr>
      </w:pPr>
    </w:p>
    <w:p w14:paraId="0CD1E63C">
      <w:pPr>
        <w:spacing w:line="360" w:lineRule="auto"/>
        <w:jc w:val="center"/>
        <w:rPr>
          <w:rFonts w:ascii="宋体" w:hAnsi="宋体" w:cs="宋体"/>
          <w:b/>
          <w:color w:val="auto"/>
          <w:spacing w:val="6"/>
          <w:sz w:val="32"/>
          <w:szCs w:val="32"/>
        </w:rPr>
      </w:pPr>
    </w:p>
    <w:p w14:paraId="78678411">
      <w:pPr>
        <w:spacing w:line="360" w:lineRule="auto"/>
        <w:jc w:val="center"/>
        <w:rPr>
          <w:rFonts w:ascii="宋体" w:hAnsi="宋体" w:cs="宋体"/>
          <w:b/>
          <w:color w:val="auto"/>
          <w:spacing w:val="6"/>
          <w:sz w:val="32"/>
          <w:szCs w:val="32"/>
        </w:rPr>
      </w:pPr>
    </w:p>
    <w:p w14:paraId="11BF4CB7">
      <w:pPr>
        <w:spacing w:line="360" w:lineRule="auto"/>
        <w:jc w:val="center"/>
        <w:rPr>
          <w:rFonts w:ascii="宋体" w:hAnsi="宋体" w:cs="宋体"/>
          <w:b/>
          <w:color w:val="auto"/>
          <w:spacing w:val="6"/>
          <w:sz w:val="32"/>
          <w:szCs w:val="32"/>
        </w:rPr>
      </w:pPr>
    </w:p>
    <w:p w14:paraId="5AEAD4C7">
      <w:pPr>
        <w:spacing w:line="360" w:lineRule="auto"/>
        <w:jc w:val="center"/>
        <w:rPr>
          <w:rFonts w:ascii="宋体" w:hAnsi="宋体" w:cs="宋体"/>
          <w:b/>
          <w:color w:val="auto"/>
          <w:spacing w:val="6"/>
          <w:sz w:val="32"/>
          <w:szCs w:val="32"/>
        </w:rPr>
      </w:pPr>
    </w:p>
    <w:p w14:paraId="20C93143">
      <w:pPr>
        <w:spacing w:line="360" w:lineRule="auto"/>
        <w:jc w:val="center"/>
        <w:rPr>
          <w:rFonts w:ascii="宋体" w:hAnsi="宋体" w:cs="宋体"/>
          <w:b/>
          <w:color w:val="auto"/>
          <w:spacing w:val="6"/>
          <w:sz w:val="32"/>
          <w:szCs w:val="32"/>
        </w:rPr>
      </w:pPr>
    </w:p>
    <w:p w14:paraId="4CAE2D7E">
      <w:pPr>
        <w:spacing w:line="360" w:lineRule="auto"/>
        <w:jc w:val="left"/>
        <w:rPr>
          <w:rFonts w:ascii="宋体" w:hAnsi="宋体" w:cs="宋体"/>
          <w:b/>
          <w:color w:val="auto"/>
          <w:spacing w:val="6"/>
          <w:sz w:val="32"/>
          <w:szCs w:val="32"/>
        </w:rPr>
      </w:pPr>
    </w:p>
    <w:p w14:paraId="07E6E7E2">
      <w:pPr>
        <w:spacing w:line="360" w:lineRule="auto"/>
        <w:jc w:val="left"/>
        <w:rPr>
          <w:rFonts w:ascii="宋体" w:hAnsi="宋体" w:cs="宋体"/>
          <w:b/>
          <w:color w:val="auto"/>
          <w:spacing w:val="6"/>
          <w:sz w:val="32"/>
          <w:szCs w:val="32"/>
        </w:rPr>
      </w:pPr>
    </w:p>
    <w:p w14:paraId="1F2F51E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D54B58E">
      <w:pPr>
        <w:spacing w:line="360" w:lineRule="auto"/>
        <w:jc w:val="center"/>
        <w:rPr>
          <w:rFonts w:ascii="宋体" w:hAnsi="宋体" w:cs="宋体"/>
          <w:b/>
          <w:color w:val="auto"/>
          <w:sz w:val="24"/>
        </w:rPr>
      </w:pPr>
    </w:p>
    <w:p w14:paraId="05F9781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F4F8F28">
      <w:pPr>
        <w:spacing w:line="360" w:lineRule="auto"/>
        <w:rPr>
          <w:rFonts w:ascii="宋体" w:hAnsi="宋体" w:cs="宋体"/>
          <w:color w:val="auto"/>
          <w:sz w:val="24"/>
        </w:rPr>
      </w:pPr>
      <w:r>
        <w:rPr>
          <w:rFonts w:hint="eastAsia" w:ascii="宋体" w:hAnsi="宋体" w:cs="宋体"/>
          <w:color w:val="auto"/>
          <w:sz w:val="24"/>
        </w:rPr>
        <w:t>一、投诉相关主体基本情况</w:t>
      </w:r>
    </w:p>
    <w:p w14:paraId="62E822F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2D8E28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04078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F9D51E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38DF16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FC1BDA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68D13E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588181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A1024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F7F8B6">
      <w:pPr>
        <w:spacing w:line="360" w:lineRule="auto"/>
        <w:rPr>
          <w:rFonts w:ascii="宋体" w:hAnsi="宋体" w:cs="宋体"/>
          <w:color w:val="auto"/>
          <w:sz w:val="24"/>
        </w:rPr>
      </w:pPr>
      <w:r>
        <w:rPr>
          <w:rFonts w:hint="eastAsia" w:ascii="宋体" w:hAnsi="宋体" w:cs="宋体"/>
          <w:color w:val="auto"/>
          <w:sz w:val="24"/>
        </w:rPr>
        <w:t>被投诉人2</w:t>
      </w:r>
    </w:p>
    <w:p w14:paraId="101DECF0">
      <w:pPr>
        <w:spacing w:line="360" w:lineRule="auto"/>
        <w:rPr>
          <w:rFonts w:ascii="宋体" w:hAnsi="宋体" w:cs="宋体"/>
          <w:color w:val="auto"/>
          <w:sz w:val="24"/>
          <w:u w:val="dotted"/>
        </w:rPr>
      </w:pPr>
      <w:r>
        <w:rPr>
          <w:rFonts w:hint="eastAsia" w:ascii="宋体" w:hAnsi="宋体" w:cs="宋体"/>
          <w:color w:val="auto"/>
          <w:sz w:val="24"/>
        </w:rPr>
        <w:t>……</w:t>
      </w:r>
    </w:p>
    <w:p w14:paraId="6931C0E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B710B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D5534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73F08B">
      <w:pPr>
        <w:spacing w:line="360" w:lineRule="auto"/>
        <w:rPr>
          <w:rFonts w:ascii="宋体" w:hAnsi="宋体" w:cs="宋体"/>
          <w:color w:val="auto"/>
          <w:sz w:val="24"/>
        </w:rPr>
      </w:pPr>
      <w:r>
        <w:rPr>
          <w:rFonts w:hint="eastAsia" w:ascii="宋体" w:hAnsi="宋体" w:cs="宋体"/>
          <w:color w:val="auto"/>
          <w:sz w:val="24"/>
        </w:rPr>
        <w:t>二、投诉项目基本情况</w:t>
      </w:r>
    </w:p>
    <w:p w14:paraId="4F63525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4847A4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CD4DDD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6AD820">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39799D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C0CC80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9974197">
      <w:pPr>
        <w:spacing w:line="360" w:lineRule="auto"/>
        <w:rPr>
          <w:rFonts w:ascii="宋体" w:hAnsi="宋体" w:cs="宋体"/>
          <w:color w:val="auto"/>
          <w:sz w:val="24"/>
        </w:rPr>
      </w:pPr>
      <w:r>
        <w:rPr>
          <w:rFonts w:hint="eastAsia" w:ascii="宋体" w:hAnsi="宋体" w:cs="宋体"/>
          <w:color w:val="auto"/>
          <w:sz w:val="24"/>
        </w:rPr>
        <w:t>三、质疑基本情况</w:t>
      </w:r>
    </w:p>
    <w:p w14:paraId="4DB63AF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7AE896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173DF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D3FE319">
      <w:pPr>
        <w:spacing w:line="360" w:lineRule="auto"/>
        <w:rPr>
          <w:rFonts w:ascii="宋体" w:hAnsi="宋体" w:cs="宋体"/>
          <w:color w:val="auto"/>
          <w:sz w:val="24"/>
        </w:rPr>
      </w:pPr>
      <w:r>
        <w:rPr>
          <w:rFonts w:hint="eastAsia" w:ascii="宋体" w:hAnsi="宋体" w:cs="宋体"/>
          <w:color w:val="auto"/>
          <w:sz w:val="24"/>
        </w:rPr>
        <w:t>四、投诉事项具体内容</w:t>
      </w:r>
    </w:p>
    <w:p w14:paraId="50E3C25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192AE6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550D5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8AB547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39CAAC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5387B8">
      <w:pPr>
        <w:spacing w:line="360" w:lineRule="auto"/>
        <w:rPr>
          <w:rFonts w:ascii="宋体" w:hAnsi="宋体" w:cs="宋体"/>
          <w:color w:val="auto"/>
          <w:sz w:val="24"/>
        </w:rPr>
      </w:pPr>
      <w:r>
        <w:rPr>
          <w:rFonts w:hint="eastAsia" w:ascii="宋体" w:hAnsi="宋体" w:cs="宋体"/>
          <w:color w:val="auto"/>
          <w:sz w:val="24"/>
        </w:rPr>
        <w:t>投诉事项2</w:t>
      </w:r>
    </w:p>
    <w:p w14:paraId="1FD1AEC5">
      <w:pPr>
        <w:spacing w:line="360" w:lineRule="auto"/>
        <w:rPr>
          <w:rFonts w:ascii="宋体" w:hAnsi="宋体" w:cs="宋体"/>
          <w:color w:val="auto"/>
          <w:sz w:val="24"/>
          <w:u w:val="dotted"/>
        </w:rPr>
      </w:pPr>
      <w:r>
        <w:rPr>
          <w:rFonts w:hint="eastAsia" w:ascii="宋体" w:hAnsi="宋体" w:cs="宋体"/>
          <w:color w:val="auto"/>
          <w:sz w:val="24"/>
        </w:rPr>
        <w:t>……</w:t>
      </w:r>
    </w:p>
    <w:p w14:paraId="3FC842B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816E62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EE9469">
      <w:pPr>
        <w:spacing w:line="360" w:lineRule="auto"/>
        <w:rPr>
          <w:rFonts w:ascii="宋体" w:hAnsi="宋体" w:cs="宋体"/>
          <w:color w:val="auto"/>
          <w:sz w:val="24"/>
          <w:u w:val="single"/>
        </w:rPr>
      </w:pPr>
      <w:r>
        <w:rPr>
          <w:rFonts w:hint="eastAsia" w:ascii="宋体" w:hAnsi="宋体" w:cs="宋体"/>
          <w:color w:val="auto"/>
          <w:sz w:val="24"/>
        </w:rPr>
        <w:t xml:space="preserve">                                                                                                    </w:t>
      </w:r>
    </w:p>
    <w:p w14:paraId="39693BB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F87CE14">
      <w:pPr>
        <w:spacing w:line="360" w:lineRule="auto"/>
        <w:rPr>
          <w:rFonts w:ascii="宋体" w:hAnsi="宋体" w:cs="宋体"/>
          <w:color w:val="auto"/>
          <w:sz w:val="24"/>
        </w:rPr>
      </w:pPr>
      <w:r>
        <w:rPr>
          <w:rFonts w:hint="eastAsia" w:ascii="宋体" w:hAnsi="宋体" w:cs="宋体"/>
          <w:color w:val="auto"/>
          <w:sz w:val="24"/>
        </w:rPr>
        <w:t xml:space="preserve">日期：    </w:t>
      </w:r>
    </w:p>
    <w:p w14:paraId="5D3B038B">
      <w:pPr>
        <w:spacing w:line="360" w:lineRule="auto"/>
        <w:rPr>
          <w:rFonts w:ascii="宋体" w:hAnsi="宋体" w:cs="宋体"/>
          <w:b/>
          <w:color w:val="auto"/>
          <w:sz w:val="24"/>
        </w:rPr>
      </w:pPr>
    </w:p>
    <w:p w14:paraId="4AE3983C">
      <w:pPr>
        <w:spacing w:line="360" w:lineRule="auto"/>
        <w:rPr>
          <w:rFonts w:ascii="宋体" w:hAnsi="宋体" w:cs="宋体"/>
          <w:b/>
          <w:color w:val="auto"/>
          <w:sz w:val="24"/>
        </w:rPr>
      </w:pPr>
    </w:p>
    <w:p w14:paraId="77124E36">
      <w:pPr>
        <w:spacing w:line="360" w:lineRule="auto"/>
        <w:rPr>
          <w:rFonts w:ascii="宋体" w:hAnsi="宋体" w:cs="宋体"/>
          <w:b/>
          <w:color w:val="auto"/>
          <w:sz w:val="24"/>
        </w:rPr>
      </w:pPr>
      <w:r>
        <w:rPr>
          <w:rFonts w:hint="eastAsia" w:ascii="宋体" w:hAnsi="宋体" w:cs="宋体"/>
          <w:b/>
          <w:color w:val="auto"/>
          <w:sz w:val="24"/>
        </w:rPr>
        <w:t>投诉书制作说明：</w:t>
      </w:r>
    </w:p>
    <w:p w14:paraId="32897BA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1710F3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A6A42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12928B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2BB7E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92E847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63AB4D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A705F74">
      <w:pPr>
        <w:spacing w:line="360" w:lineRule="auto"/>
        <w:rPr>
          <w:rFonts w:ascii="宋体" w:hAnsi="宋体" w:cs="宋体"/>
          <w:b/>
          <w:color w:val="auto"/>
          <w:sz w:val="24"/>
        </w:rPr>
      </w:pPr>
    </w:p>
    <w:p w14:paraId="5AE0A511">
      <w:pPr>
        <w:autoSpaceDE w:val="0"/>
        <w:autoSpaceDN w:val="0"/>
        <w:jc w:val="center"/>
        <w:rPr>
          <w:rFonts w:ascii="宋体" w:hAnsi="宋体" w:cs="宋体"/>
          <w:b/>
          <w:color w:val="auto"/>
          <w:spacing w:val="6"/>
          <w:sz w:val="32"/>
          <w:szCs w:val="32"/>
        </w:rPr>
      </w:pPr>
    </w:p>
    <w:p w14:paraId="2E2531F4">
      <w:pPr>
        <w:autoSpaceDE w:val="0"/>
        <w:autoSpaceDN w:val="0"/>
        <w:jc w:val="center"/>
        <w:rPr>
          <w:rFonts w:ascii="宋体" w:hAnsi="宋体" w:cs="宋体"/>
          <w:b/>
          <w:color w:val="auto"/>
          <w:spacing w:val="6"/>
          <w:sz w:val="32"/>
          <w:szCs w:val="32"/>
        </w:rPr>
      </w:pPr>
    </w:p>
    <w:p w14:paraId="1D2B9FF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4685C31">
      <w:pPr>
        <w:spacing w:line="360" w:lineRule="auto"/>
        <w:rPr>
          <w:rFonts w:ascii="宋体" w:hAnsi="宋体" w:cs="宋体"/>
          <w:color w:val="auto"/>
          <w:sz w:val="24"/>
          <w:u w:val="single"/>
        </w:rPr>
      </w:pPr>
    </w:p>
    <w:p w14:paraId="2937BA6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8A75A80">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宁海县中心城区防洪排涝工程-跃龙街道赵溪村撇洪渠防洪工程</w:t>
      </w:r>
      <w:r>
        <w:rPr>
          <w:rFonts w:hint="eastAsia" w:ascii="宋体" w:hAnsi="宋体" w:cs="宋体"/>
          <w:color w:val="auto"/>
          <w:sz w:val="24"/>
        </w:rPr>
        <w:t>项目【项目编号：</w:t>
      </w:r>
      <w:r>
        <w:rPr>
          <w:rFonts w:hint="eastAsia" w:ascii="宋体" w:hAnsi="宋体" w:cs="宋体"/>
          <w:color w:val="auto"/>
          <w:sz w:val="24"/>
          <w:lang w:eastAsia="zh-CN"/>
        </w:rPr>
        <w:t>温中代字(2025)宁019</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E5B02C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43E26EF">
      <w:pPr>
        <w:spacing w:line="360" w:lineRule="auto"/>
        <w:ind w:firstLine="494"/>
        <w:rPr>
          <w:rFonts w:ascii="宋体" w:hAnsi="宋体" w:cs="宋体"/>
          <w:color w:val="auto"/>
          <w:sz w:val="24"/>
        </w:rPr>
      </w:pPr>
    </w:p>
    <w:p w14:paraId="5A32BD1F">
      <w:pPr>
        <w:spacing w:line="360" w:lineRule="auto"/>
        <w:ind w:firstLine="494"/>
        <w:rPr>
          <w:rFonts w:ascii="宋体" w:hAnsi="宋体" w:cs="宋体"/>
          <w:color w:val="auto"/>
          <w:sz w:val="24"/>
        </w:rPr>
      </w:pPr>
    </w:p>
    <w:p w14:paraId="180764D1">
      <w:pPr>
        <w:spacing w:line="360" w:lineRule="auto"/>
        <w:ind w:firstLine="494"/>
        <w:rPr>
          <w:rFonts w:ascii="宋体" w:hAnsi="宋体" w:cs="宋体"/>
          <w:color w:val="auto"/>
          <w:sz w:val="24"/>
        </w:rPr>
      </w:pPr>
    </w:p>
    <w:p w14:paraId="3235DD1E">
      <w:pPr>
        <w:spacing w:line="360" w:lineRule="auto"/>
        <w:ind w:firstLine="494"/>
        <w:rPr>
          <w:rFonts w:ascii="宋体" w:hAnsi="宋体" w:cs="宋体"/>
          <w:color w:val="auto"/>
          <w:sz w:val="24"/>
        </w:rPr>
      </w:pPr>
    </w:p>
    <w:p w14:paraId="590F7605">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74F3191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6D72D9F">
      <w:pPr>
        <w:rPr>
          <w:rFonts w:ascii="宋体" w:hAnsi="宋体" w:cs="宋体"/>
          <w:color w:val="auto"/>
          <w:sz w:val="24"/>
        </w:rPr>
      </w:pPr>
      <w:r>
        <w:rPr>
          <w:rFonts w:hint="eastAsia" w:ascii="宋体" w:hAnsi="宋体" w:cs="宋体"/>
          <w:b/>
          <w:bCs/>
          <w:color w:val="auto"/>
          <w:sz w:val="24"/>
        </w:rPr>
        <w:t>附：</w:t>
      </w:r>
    </w:p>
    <w:p w14:paraId="422E4F35">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0DE0EFF0">
      <w:pPr>
        <w:autoSpaceDE w:val="0"/>
        <w:autoSpaceDN w:val="0"/>
        <w:jc w:val="center"/>
        <w:rPr>
          <w:rFonts w:ascii="宋体" w:hAnsi="宋体" w:cs="宋体"/>
          <w:b/>
          <w:color w:val="auto"/>
          <w:spacing w:val="6"/>
          <w:sz w:val="32"/>
          <w:szCs w:val="32"/>
        </w:rPr>
      </w:pPr>
    </w:p>
    <w:p w14:paraId="7CECE575">
      <w:pPr>
        <w:autoSpaceDE w:val="0"/>
        <w:autoSpaceDN w:val="0"/>
        <w:jc w:val="center"/>
        <w:rPr>
          <w:rFonts w:ascii="宋体" w:hAnsi="宋体" w:cs="宋体"/>
          <w:b/>
          <w:color w:val="auto"/>
          <w:spacing w:val="6"/>
          <w:sz w:val="32"/>
          <w:szCs w:val="32"/>
        </w:rPr>
      </w:pPr>
    </w:p>
    <w:p w14:paraId="5462265B">
      <w:pPr>
        <w:autoSpaceDE w:val="0"/>
        <w:autoSpaceDN w:val="0"/>
        <w:jc w:val="center"/>
        <w:rPr>
          <w:rFonts w:ascii="宋体" w:hAnsi="宋体" w:cs="宋体"/>
          <w:b/>
          <w:color w:val="auto"/>
          <w:spacing w:val="6"/>
          <w:sz w:val="32"/>
          <w:szCs w:val="32"/>
        </w:rPr>
      </w:pPr>
    </w:p>
    <w:p w14:paraId="26D80D0B">
      <w:pPr>
        <w:autoSpaceDE w:val="0"/>
        <w:autoSpaceDN w:val="0"/>
        <w:jc w:val="center"/>
        <w:rPr>
          <w:rFonts w:ascii="宋体" w:hAnsi="宋体" w:cs="宋体"/>
          <w:b/>
          <w:color w:val="auto"/>
          <w:spacing w:val="6"/>
          <w:sz w:val="32"/>
          <w:szCs w:val="32"/>
        </w:rPr>
      </w:pPr>
    </w:p>
    <w:p w14:paraId="5D4F8D0A">
      <w:pPr>
        <w:autoSpaceDE w:val="0"/>
        <w:autoSpaceDN w:val="0"/>
        <w:jc w:val="center"/>
        <w:rPr>
          <w:rFonts w:ascii="宋体" w:hAnsi="宋体" w:cs="宋体"/>
          <w:b/>
          <w:color w:val="auto"/>
          <w:spacing w:val="6"/>
          <w:sz w:val="32"/>
          <w:szCs w:val="32"/>
        </w:rPr>
      </w:pPr>
    </w:p>
    <w:p w14:paraId="182AAD41">
      <w:pPr>
        <w:autoSpaceDE w:val="0"/>
        <w:autoSpaceDN w:val="0"/>
        <w:jc w:val="center"/>
        <w:rPr>
          <w:rFonts w:ascii="宋体" w:hAnsi="宋体" w:cs="宋体"/>
          <w:b/>
          <w:color w:val="auto"/>
          <w:spacing w:val="6"/>
          <w:sz w:val="32"/>
          <w:szCs w:val="32"/>
        </w:rPr>
      </w:pPr>
    </w:p>
    <w:p w14:paraId="735E7BB6">
      <w:pPr>
        <w:autoSpaceDE w:val="0"/>
        <w:autoSpaceDN w:val="0"/>
        <w:jc w:val="center"/>
        <w:rPr>
          <w:rFonts w:ascii="宋体" w:hAnsi="宋体" w:cs="宋体"/>
          <w:b/>
          <w:color w:val="auto"/>
          <w:spacing w:val="6"/>
          <w:sz w:val="32"/>
          <w:szCs w:val="32"/>
        </w:rPr>
      </w:pPr>
    </w:p>
    <w:p w14:paraId="356BE336">
      <w:pPr>
        <w:autoSpaceDE w:val="0"/>
        <w:autoSpaceDN w:val="0"/>
        <w:jc w:val="center"/>
        <w:rPr>
          <w:rFonts w:ascii="宋体" w:hAnsi="宋体" w:cs="宋体"/>
          <w:b/>
          <w:color w:val="auto"/>
          <w:spacing w:val="6"/>
          <w:sz w:val="32"/>
          <w:szCs w:val="32"/>
        </w:rPr>
      </w:pPr>
    </w:p>
    <w:p w14:paraId="7E9DBBF8">
      <w:pPr>
        <w:autoSpaceDE w:val="0"/>
        <w:autoSpaceDN w:val="0"/>
        <w:jc w:val="center"/>
        <w:rPr>
          <w:rFonts w:ascii="宋体" w:hAnsi="宋体" w:cs="宋体"/>
          <w:b/>
          <w:color w:val="auto"/>
          <w:spacing w:val="6"/>
          <w:sz w:val="32"/>
          <w:szCs w:val="32"/>
        </w:rPr>
      </w:pPr>
    </w:p>
    <w:p w14:paraId="4FC53ECC">
      <w:pPr>
        <w:autoSpaceDE w:val="0"/>
        <w:autoSpaceDN w:val="0"/>
        <w:jc w:val="center"/>
        <w:rPr>
          <w:rFonts w:ascii="宋体" w:hAnsi="宋体" w:cs="宋体"/>
          <w:b/>
          <w:color w:val="auto"/>
          <w:spacing w:val="6"/>
          <w:sz w:val="32"/>
          <w:szCs w:val="32"/>
        </w:rPr>
      </w:pPr>
    </w:p>
    <w:p w14:paraId="6FD30018">
      <w:pPr>
        <w:autoSpaceDE w:val="0"/>
        <w:autoSpaceDN w:val="0"/>
        <w:jc w:val="center"/>
        <w:rPr>
          <w:rFonts w:ascii="宋体" w:hAnsi="宋体" w:cs="宋体"/>
          <w:b/>
          <w:color w:val="auto"/>
          <w:spacing w:val="6"/>
          <w:sz w:val="32"/>
          <w:szCs w:val="32"/>
        </w:rPr>
      </w:pPr>
    </w:p>
    <w:p w14:paraId="7D970C3E">
      <w:pPr>
        <w:autoSpaceDE w:val="0"/>
        <w:autoSpaceDN w:val="0"/>
        <w:jc w:val="center"/>
        <w:rPr>
          <w:rFonts w:ascii="宋体" w:hAnsi="宋体" w:cs="宋体"/>
          <w:b/>
          <w:color w:val="auto"/>
          <w:spacing w:val="6"/>
          <w:sz w:val="32"/>
          <w:szCs w:val="32"/>
        </w:rPr>
      </w:pPr>
    </w:p>
    <w:p w14:paraId="3FDECC61">
      <w:pPr>
        <w:autoSpaceDE w:val="0"/>
        <w:autoSpaceDN w:val="0"/>
        <w:jc w:val="center"/>
        <w:rPr>
          <w:rFonts w:ascii="宋体" w:hAnsi="宋体" w:cs="宋体"/>
          <w:b/>
          <w:color w:val="auto"/>
          <w:spacing w:val="6"/>
          <w:sz w:val="32"/>
          <w:szCs w:val="32"/>
        </w:rPr>
      </w:pPr>
    </w:p>
    <w:p w14:paraId="468FA68B">
      <w:pPr>
        <w:autoSpaceDE w:val="0"/>
        <w:autoSpaceDN w:val="0"/>
        <w:jc w:val="center"/>
        <w:rPr>
          <w:rFonts w:ascii="宋体" w:hAnsi="宋体" w:cs="宋体"/>
          <w:b/>
          <w:color w:val="auto"/>
          <w:spacing w:val="6"/>
          <w:sz w:val="32"/>
          <w:szCs w:val="32"/>
        </w:rPr>
      </w:pPr>
    </w:p>
    <w:p w14:paraId="645D4BB5">
      <w:pPr>
        <w:autoSpaceDE w:val="0"/>
        <w:autoSpaceDN w:val="0"/>
        <w:jc w:val="center"/>
        <w:rPr>
          <w:rFonts w:ascii="宋体" w:hAnsi="宋体" w:cs="宋体"/>
          <w:b/>
          <w:color w:val="auto"/>
          <w:spacing w:val="6"/>
          <w:sz w:val="32"/>
          <w:szCs w:val="32"/>
        </w:rPr>
      </w:pPr>
    </w:p>
    <w:p w14:paraId="759A2B83">
      <w:pPr>
        <w:autoSpaceDE w:val="0"/>
        <w:autoSpaceDN w:val="0"/>
        <w:jc w:val="center"/>
        <w:rPr>
          <w:rFonts w:ascii="宋体" w:hAnsi="宋体" w:cs="宋体"/>
          <w:b/>
          <w:color w:val="auto"/>
          <w:spacing w:val="6"/>
          <w:sz w:val="32"/>
          <w:szCs w:val="32"/>
        </w:rPr>
      </w:pPr>
    </w:p>
    <w:p w14:paraId="124098A7">
      <w:pPr>
        <w:autoSpaceDE w:val="0"/>
        <w:autoSpaceDN w:val="0"/>
        <w:jc w:val="center"/>
        <w:rPr>
          <w:rFonts w:ascii="宋体" w:hAnsi="宋体" w:cs="宋体"/>
          <w:b/>
          <w:color w:val="auto"/>
          <w:spacing w:val="6"/>
          <w:sz w:val="32"/>
          <w:szCs w:val="32"/>
        </w:rPr>
      </w:pPr>
    </w:p>
    <w:p w14:paraId="2E65E905">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17F8FF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14:paraId="0E0B68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kern w:val="0"/>
          <w:sz w:val="24"/>
          <w:lang w:eastAsia="zh-CN"/>
        </w:rPr>
        <w:t>宁海县中心城区防洪排涝工程-跃龙街道赵溪村撇洪渠防洪工程</w:t>
      </w:r>
      <w:r>
        <w:rPr>
          <w:rFonts w:hint="eastAsia" w:ascii="宋体" w:hAnsi="宋体" w:cs="宋体"/>
          <w:color w:val="auto"/>
          <w:sz w:val="24"/>
        </w:rPr>
        <w:t>【项目编号：</w:t>
      </w:r>
      <w:r>
        <w:rPr>
          <w:rFonts w:hint="eastAsia" w:ascii="宋体" w:hAnsi="宋体" w:cs="宋体"/>
          <w:color w:val="auto"/>
          <w:sz w:val="24"/>
          <w:lang w:eastAsia="zh-CN"/>
        </w:rPr>
        <w:t>温中代字(2025)宁019</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14:paraId="57309F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0824F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14:paraId="65721B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14:paraId="63F66B22">
      <w:pPr>
        <w:snapToGrid w:val="0"/>
        <w:spacing w:line="360" w:lineRule="auto"/>
        <w:ind w:firstLine="576"/>
        <w:rPr>
          <w:rFonts w:ascii="宋体" w:hAnsi="宋体" w:cs="宋体"/>
          <w:color w:val="auto"/>
          <w:kern w:val="0"/>
          <w:sz w:val="24"/>
          <w:lang w:val="zh-CN"/>
        </w:rPr>
      </w:pPr>
      <w:bookmarkStart w:id="60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7E2E5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65B73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603"/>
    <w:p w14:paraId="140829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8941BA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907D5CA">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AF301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14:paraId="642424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14:paraId="5FE8BA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8158F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4EBE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210F25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69EF06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13F51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4D665D">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pgNumType w:fmt="decimal"/>
          <w:cols w:space="720" w:num="1"/>
          <w:titlePg/>
          <w:docGrid w:linePitch="312" w:charSpace="0"/>
        </w:sectPr>
      </w:pPr>
    </w:p>
    <w:p w14:paraId="4C49F50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9E5A16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14:paraId="14A400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若成为宁海县中心城区防洪排涝工程-跃龙街道赵溪村撇洪渠防洪工程</w:t>
      </w:r>
      <w:r>
        <w:rPr>
          <w:rFonts w:hint="eastAsia" w:ascii="宋体" w:hAnsi="宋体" w:cs="宋体"/>
          <w:color w:val="auto"/>
          <w:sz w:val="24"/>
        </w:rPr>
        <w:t>【项目编号：</w:t>
      </w:r>
      <w:r>
        <w:rPr>
          <w:rFonts w:hint="eastAsia" w:ascii="宋体" w:hAnsi="宋体" w:cs="宋体"/>
          <w:color w:val="auto"/>
          <w:sz w:val="24"/>
          <w:lang w:eastAsia="zh-CN"/>
        </w:rPr>
        <w:t>温中代字(2025)宁019</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309AD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7598F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B66203C">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0112E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lang w:val="zh-CN"/>
        </w:rPr>
        <w:t>二、分包</w:t>
      </w:r>
      <w:r>
        <w:rPr>
          <w:rFonts w:hint="eastAsia" w:ascii="宋体" w:hAnsi="宋体" w:cs="宋体"/>
          <w:color w:val="auto"/>
          <w:kern w:val="0"/>
          <w:sz w:val="24"/>
          <w:highlight w:val="none"/>
          <w:lang w:val="zh-CN"/>
        </w:rPr>
        <w:t>供应商中小企业合同份额</w:t>
      </w:r>
    </w:p>
    <w:p w14:paraId="02DA1A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w:t>
      </w:r>
      <w:r>
        <w:rPr>
          <w:rFonts w:hint="eastAsia" w:ascii="宋体" w:hAnsi="宋体" w:cs="宋体"/>
          <w:b/>
          <w:color w:val="auto"/>
          <w:kern w:val="0"/>
          <w:sz w:val="24"/>
          <w:lang w:val="zh-CN"/>
        </w:rPr>
        <w:t>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CADC3E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60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604"/>
    </w:p>
    <w:p w14:paraId="1202B4C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A4AEA3F">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48BC03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3A030E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F97187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B1A8ADC">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D8FE4F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60D7551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D6964F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9C574C4">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7A608A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14:paraId="37F19269">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08A1F8A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F64D35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0EB3BAF">
      <w:pPr>
        <w:autoSpaceDE w:val="0"/>
        <w:autoSpaceDN w:val="0"/>
        <w:jc w:val="center"/>
        <w:rPr>
          <w:rFonts w:ascii="宋体" w:hAnsi="宋体" w:cs="宋体"/>
          <w:b/>
          <w:color w:val="auto"/>
          <w:spacing w:val="6"/>
          <w:sz w:val="32"/>
          <w:szCs w:val="32"/>
        </w:rPr>
      </w:pPr>
    </w:p>
    <w:p w14:paraId="4255FDAA">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pgNumType w:fmt="decimal"/>
          <w:cols w:space="720" w:num="1"/>
          <w:titlePg/>
          <w:docGrid w:linePitch="312" w:charSpace="0"/>
        </w:sectPr>
      </w:pPr>
    </w:p>
    <w:p w14:paraId="7C49D32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0BE34983">
      <w:pPr>
        <w:spacing w:line="360" w:lineRule="auto"/>
        <w:jc w:val="center"/>
        <w:rPr>
          <w:rFonts w:ascii="宋体" w:hAnsi="宋体" w:cs="宋体"/>
          <w:color w:val="auto"/>
          <w:sz w:val="24"/>
          <w:u w:val="single"/>
        </w:rPr>
      </w:pPr>
    </w:p>
    <w:p w14:paraId="281517B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01A1F8E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w:t>
      </w:r>
      <w:r>
        <w:rPr>
          <w:rFonts w:hint="eastAsia" w:ascii="宋体" w:hAnsi="宋体" w:cs="宋体"/>
          <w:color w:val="auto"/>
          <w:sz w:val="24"/>
          <w:highlight w:val="none"/>
        </w:rPr>
        <w:t xml:space="preserve">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宁海县中心城区防洪排涝工程-跃龙街道赵溪村撇洪渠防洪工程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8F0C9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A08812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3D40AC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6C837E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F695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AEA6E63">
      <w:pPr>
        <w:spacing w:line="360" w:lineRule="auto"/>
        <w:ind w:firstLine="480" w:firstLineChars="200"/>
        <w:rPr>
          <w:rFonts w:ascii="宋体" w:hAnsi="宋体" w:cs="宋体"/>
          <w:color w:val="auto"/>
          <w:sz w:val="24"/>
        </w:rPr>
      </w:pPr>
    </w:p>
    <w:p w14:paraId="47F89A6B">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5E192C9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93245CC">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34FA86A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812DD0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0DA42E">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cs="宋体"/>
          <w:color w:val="auto"/>
          <w:sz w:val="24"/>
        </w:rPr>
        <w:t>微型企业。</w:t>
      </w:r>
    </w:p>
    <w:p w14:paraId="455459F0">
      <w:pPr>
        <w:spacing w:line="360" w:lineRule="auto"/>
        <w:jc w:val="center"/>
        <w:rPr>
          <w:rFonts w:ascii="宋体" w:hAnsi="宋体" w:cs="宋体"/>
          <w:b/>
          <w:color w:val="auto"/>
          <w:sz w:val="32"/>
          <w:szCs w:val="32"/>
        </w:rPr>
      </w:pPr>
    </w:p>
    <w:p w14:paraId="730A70F8">
      <w:pPr>
        <w:spacing w:line="360" w:lineRule="auto"/>
        <w:jc w:val="center"/>
        <w:rPr>
          <w:rFonts w:ascii="宋体" w:hAnsi="宋体" w:cs="宋体"/>
          <w:b/>
          <w:color w:val="auto"/>
          <w:sz w:val="32"/>
          <w:szCs w:val="32"/>
        </w:rPr>
      </w:pPr>
    </w:p>
    <w:p w14:paraId="115AD538">
      <w:pPr>
        <w:spacing w:line="360" w:lineRule="auto"/>
        <w:jc w:val="center"/>
        <w:rPr>
          <w:rFonts w:ascii="宋体" w:hAnsi="宋体" w:cs="宋体"/>
          <w:b/>
          <w:color w:val="auto"/>
          <w:sz w:val="32"/>
          <w:szCs w:val="32"/>
        </w:rPr>
      </w:pPr>
    </w:p>
    <w:p w14:paraId="62C81A50">
      <w:pPr>
        <w:spacing w:line="360" w:lineRule="auto"/>
        <w:jc w:val="center"/>
        <w:rPr>
          <w:rFonts w:ascii="宋体" w:hAnsi="宋体" w:cs="宋体"/>
          <w:b/>
          <w:color w:val="auto"/>
          <w:sz w:val="32"/>
          <w:szCs w:val="32"/>
        </w:rPr>
      </w:pPr>
    </w:p>
    <w:p w14:paraId="5DA293B8">
      <w:pPr>
        <w:spacing w:line="360" w:lineRule="auto"/>
        <w:jc w:val="center"/>
        <w:rPr>
          <w:rFonts w:ascii="宋体" w:hAnsi="宋体" w:cs="宋体"/>
          <w:b/>
          <w:color w:val="auto"/>
          <w:sz w:val="32"/>
          <w:szCs w:val="32"/>
        </w:rPr>
      </w:pPr>
    </w:p>
    <w:p w14:paraId="526D0A55">
      <w:pPr>
        <w:spacing w:line="360" w:lineRule="auto"/>
        <w:jc w:val="center"/>
        <w:rPr>
          <w:rFonts w:ascii="宋体" w:hAnsi="宋体" w:cs="宋体"/>
          <w:b/>
          <w:color w:val="auto"/>
          <w:sz w:val="32"/>
          <w:szCs w:val="32"/>
        </w:rPr>
      </w:pPr>
    </w:p>
    <w:p w14:paraId="12C444D8">
      <w:pPr>
        <w:spacing w:line="360" w:lineRule="auto"/>
        <w:jc w:val="center"/>
        <w:rPr>
          <w:rFonts w:ascii="宋体" w:hAnsi="宋体" w:cs="宋体"/>
          <w:b/>
          <w:color w:val="auto"/>
          <w:sz w:val="32"/>
          <w:szCs w:val="32"/>
        </w:rPr>
      </w:pPr>
    </w:p>
    <w:p w14:paraId="7CD86123">
      <w:pPr>
        <w:spacing w:line="360" w:lineRule="auto"/>
        <w:jc w:val="center"/>
        <w:rPr>
          <w:rFonts w:ascii="宋体" w:hAnsi="宋体" w:cs="宋体"/>
          <w:b/>
          <w:color w:val="auto"/>
          <w:sz w:val="32"/>
          <w:szCs w:val="32"/>
        </w:rPr>
      </w:pPr>
    </w:p>
    <w:p w14:paraId="0172E538">
      <w:pPr>
        <w:spacing w:line="360" w:lineRule="auto"/>
        <w:jc w:val="center"/>
        <w:rPr>
          <w:rFonts w:ascii="宋体" w:hAnsi="宋体" w:cs="宋体"/>
          <w:b/>
          <w:color w:val="auto"/>
          <w:sz w:val="32"/>
          <w:szCs w:val="32"/>
        </w:rPr>
      </w:pPr>
    </w:p>
    <w:p w14:paraId="2452E98E">
      <w:pPr>
        <w:spacing w:line="360" w:lineRule="auto"/>
        <w:jc w:val="center"/>
        <w:rPr>
          <w:rFonts w:ascii="宋体" w:hAnsi="宋体" w:cs="宋体"/>
          <w:b/>
          <w:color w:val="auto"/>
          <w:sz w:val="32"/>
          <w:szCs w:val="32"/>
        </w:rPr>
      </w:pPr>
    </w:p>
    <w:p w14:paraId="16830EA9">
      <w:pPr>
        <w:spacing w:line="360" w:lineRule="auto"/>
        <w:jc w:val="center"/>
        <w:rPr>
          <w:rFonts w:ascii="宋体" w:hAnsi="宋体" w:cs="宋体"/>
          <w:b/>
          <w:color w:val="auto"/>
          <w:sz w:val="32"/>
          <w:szCs w:val="32"/>
        </w:rPr>
      </w:pPr>
    </w:p>
    <w:p w14:paraId="73304347">
      <w:pPr>
        <w:spacing w:line="360" w:lineRule="auto"/>
        <w:jc w:val="center"/>
        <w:rPr>
          <w:rFonts w:ascii="宋体" w:hAnsi="宋体" w:cs="宋体"/>
          <w:b/>
          <w:color w:val="auto"/>
          <w:sz w:val="32"/>
          <w:szCs w:val="32"/>
        </w:rPr>
      </w:pPr>
    </w:p>
    <w:p w14:paraId="463DE7C0">
      <w:pPr>
        <w:spacing w:line="360" w:lineRule="auto"/>
        <w:jc w:val="center"/>
        <w:rPr>
          <w:rFonts w:ascii="宋体" w:hAnsi="宋体" w:cs="宋体"/>
          <w:b/>
          <w:color w:val="auto"/>
          <w:sz w:val="32"/>
          <w:szCs w:val="32"/>
        </w:rPr>
      </w:pPr>
    </w:p>
    <w:p w14:paraId="4CAEB5B1">
      <w:pPr>
        <w:spacing w:line="360" w:lineRule="auto"/>
        <w:jc w:val="center"/>
        <w:rPr>
          <w:rFonts w:ascii="宋体" w:hAnsi="宋体" w:cs="宋体"/>
          <w:b/>
          <w:color w:val="auto"/>
          <w:sz w:val="32"/>
          <w:szCs w:val="32"/>
        </w:rPr>
      </w:pPr>
    </w:p>
    <w:p w14:paraId="55E49F26">
      <w:pPr>
        <w:spacing w:line="360" w:lineRule="auto"/>
        <w:jc w:val="center"/>
        <w:rPr>
          <w:rFonts w:ascii="宋体" w:hAnsi="宋体" w:cs="宋体"/>
          <w:b/>
          <w:color w:val="auto"/>
          <w:sz w:val="32"/>
          <w:szCs w:val="32"/>
        </w:rPr>
      </w:pPr>
    </w:p>
    <w:p w14:paraId="3623C4B0">
      <w:pPr>
        <w:spacing w:line="360" w:lineRule="auto"/>
        <w:jc w:val="center"/>
        <w:rPr>
          <w:rFonts w:ascii="宋体" w:hAnsi="宋体" w:cs="宋体"/>
          <w:b/>
          <w:color w:val="auto"/>
          <w:sz w:val="32"/>
          <w:szCs w:val="32"/>
        </w:rPr>
      </w:pPr>
    </w:p>
    <w:p w14:paraId="7CDF53A3">
      <w:pPr>
        <w:spacing w:line="360" w:lineRule="auto"/>
        <w:jc w:val="center"/>
        <w:rPr>
          <w:rFonts w:ascii="宋体" w:hAnsi="宋体" w:cs="宋体"/>
          <w:b/>
          <w:color w:val="auto"/>
          <w:sz w:val="32"/>
          <w:szCs w:val="32"/>
        </w:rPr>
      </w:pPr>
    </w:p>
    <w:p w14:paraId="43FE9CC1">
      <w:pPr>
        <w:spacing w:line="360" w:lineRule="auto"/>
        <w:rPr>
          <w:rFonts w:ascii="宋体" w:hAnsi="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1245EA0A">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36FD4718">
      <w:pPr>
        <w:spacing w:line="360" w:lineRule="auto"/>
        <w:rPr>
          <w:rFonts w:ascii="宋体" w:hAnsi="宋体" w:cs="宋体"/>
          <w:b/>
          <w:color w:val="auto"/>
          <w:spacing w:val="6"/>
          <w:sz w:val="32"/>
          <w:szCs w:val="32"/>
        </w:rPr>
      </w:pPr>
    </w:p>
    <w:p w14:paraId="6A2943B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14:paraId="4628626B">
      <w:pPr>
        <w:pStyle w:val="24"/>
        <w:rPr>
          <w:color w:val="auto"/>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48A7">
    <w:pPr>
      <w:pStyle w:val="40"/>
      <w:framePr w:wrap="around" w:vAnchor="text" w:hAnchor="margin" w:xAlign="right" w:y="1"/>
      <w:rPr>
        <w:rStyle w:val="72"/>
      </w:rPr>
    </w:pPr>
    <w:r>
      <w:fldChar w:fldCharType="begin"/>
    </w:r>
    <w:r>
      <w:rPr>
        <w:rStyle w:val="72"/>
      </w:rPr>
      <w:instrText xml:space="preserve">PAGE  </w:instrText>
    </w:r>
    <w:r>
      <w:fldChar w:fldCharType="end"/>
    </w:r>
  </w:p>
  <w:p w14:paraId="1816685D">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B3CB">
    <w:pPr>
      <w:pStyle w:val="40"/>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0E8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AB8C">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478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F3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4E3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188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C33A">
    <w:pPr>
      <w:pStyle w:val="40"/>
      <w:rPr>
        <w:rFonts w:ascii="仿宋_GB2312" w:eastAsia="仿宋_GB231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F91C">
    <w:pPr>
      <w:pStyle w:val="40"/>
      <w:framePr w:wrap="around" w:vAnchor="text" w:hAnchor="margin" w:xAlign="right" w:y="1"/>
      <w:rPr>
        <w:rStyle w:val="72"/>
      </w:rPr>
    </w:pPr>
    <w:r>
      <w:fldChar w:fldCharType="begin"/>
    </w:r>
    <w:r>
      <w:rPr>
        <w:rStyle w:val="72"/>
      </w:rPr>
      <w:instrText xml:space="preserve">PAGE  </w:instrText>
    </w:r>
    <w:r>
      <w:fldChar w:fldCharType="end"/>
    </w:r>
  </w:p>
  <w:p w14:paraId="370A033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91C3">
    <w:pPr>
      <w:pStyle w:val="41"/>
      <w:pBdr>
        <w:bottom w:val="single" w:color="auto" w:sz="6" w:space="0"/>
      </w:pBdr>
      <w:tabs>
        <w:tab w:val="center" w:pos="4535"/>
        <w:tab w:val="right" w:pos="90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96BC">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3561">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F85A">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M5YWM4MWYyNzg1OWJlZDAwMGI0ZDAxOTg1M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F42"/>
    <w:rsid w:val="01236AFB"/>
    <w:rsid w:val="01632467"/>
    <w:rsid w:val="019F7441"/>
    <w:rsid w:val="01B37585"/>
    <w:rsid w:val="01C65DA5"/>
    <w:rsid w:val="01D55165"/>
    <w:rsid w:val="01DF6BF8"/>
    <w:rsid w:val="01E25D38"/>
    <w:rsid w:val="01EC2C57"/>
    <w:rsid w:val="01F32962"/>
    <w:rsid w:val="025F0711"/>
    <w:rsid w:val="026B2E25"/>
    <w:rsid w:val="02824D4D"/>
    <w:rsid w:val="02C1531D"/>
    <w:rsid w:val="02DC4B10"/>
    <w:rsid w:val="02DD76CE"/>
    <w:rsid w:val="02F36323"/>
    <w:rsid w:val="02F5619C"/>
    <w:rsid w:val="0326446A"/>
    <w:rsid w:val="032D5555"/>
    <w:rsid w:val="036634D2"/>
    <w:rsid w:val="03DD35E4"/>
    <w:rsid w:val="03F040A4"/>
    <w:rsid w:val="04011A12"/>
    <w:rsid w:val="04076900"/>
    <w:rsid w:val="041A5A3B"/>
    <w:rsid w:val="042311BA"/>
    <w:rsid w:val="04257D07"/>
    <w:rsid w:val="042B157A"/>
    <w:rsid w:val="0466617C"/>
    <w:rsid w:val="046834D4"/>
    <w:rsid w:val="048F763B"/>
    <w:rsid w:val="049F330E"/>
    <w:rsid w:val="04AA775C"/>
    <w:rsid w:val="04AF1889"/>
    <w:rsid w:val="04C64E6C"/>
    <w:rsid w:val="04F66F48"/>
    <w:rsid w:val="05130646"/>
    <w:rsid w:val="05133B34"/>
    <w:rsid w:val="051A0D14"/>
    <w:rsid w:val="05251E14"/>
    <w:rsid w:val="052B4829"/>
    <w:rsid w:val="05704DD8"/>
    <w:rsid w:val="059B00A7"/>
    <w:rsid w:val="05A16594"/>
    <w:rsid w:val="05A7762D"/>
    <w:rsid w:val="05EA4B8A"/>
    <w:rsid w:val="060E5941"/>
    <w:rsid w:val="06110FAF"/>
    <w:rsid w:val="061E21DC"/>
    <w:rsid w:val="064504DC"/>
    <w:rsid w:val="06493CA7"/>
    <w:rsid w:val="065A6178"/>
    <w:rsid w:val="066606B5"/>
    <w:rsid w:val="066F1CF3"/>
    <w:rsid w:val="06930BB8"/>
    <w:rsid w:val="07245D42"/>
    <w:rsid w:val="07264C62"/>
    <w:rsid w:val="07630750"/>
    <w:rsid w:val="0779354C"/>
    <w:rsid w:val="078D7EC3"/>
    <w:rsid w:val="07A46B95"/>
    <w:rsid w:val="07E22E7C"/>
    <w:rsid w:val="08061376"/>
    <w:rsid w:val="08122176"/>
    <w:rsid w:val="08144BE9"/>
    <w:rsid w:val="081F4466"/>
    <w:rsid w:val="08452D77"/>
    <w:rsid w:val="084B4B1B"/>
    <w:rsid w:val="084E1932"/>
    <w:rsid w:val="086401F8"/>
    <w:rsid w:val="08661343"/>
    <w:rsid w:val="08751CAA"/>
    <w:rsid w:val="087E4C40"/>
    <w:rsid w:val="0882554E"/>
    <w:rsid w:val="08923AEE"/>
    <w:rsid w:val="08A871D0"/>
    <w:rsid w:val="08D66AD6"/>
    <w:rsid w:val="08DA33A3"/>
    <w:rsid w:val="08E80F13"/>
    <w:rsid w:val="09335624"/>
    <w:rsid w:val="0933687D"/>
    <w:rsid w:val="0944690F"/>
    <w:rsid w:val="09484AB4"/>
    <w:rsid w:val="09535675"/>
    <w:rsid w:val="095F057D"/>
    <w:rsid w:val="09642282"/>
    <w:rsid w:val="09733572"/>
    <w:rsid w:val="09772C16"/>
    <w:rsid w:val="098353B5"/>
    <w:rsid w:val="09A92330"/>
    <w:rsid w:val="09B06B87"/>
    <w:rsid w:val="09C13146"/>
    <w:rsid w:val="09E04166"/>
    <w:rsid w:val="0A0C1573"/>
    <w:rsid w:val="0A1B7A08"/>
    <w:rsid w:val="0A1C0718"/>
    <w:rsid w:val="0A3E7710"/>
    <w:rsid w:val="0A5B7E63"/>
    <w:rsid w:val="0A703465"/>
    <w:rsid w:val="0AA374A5"/>
    <w:rsid w:val="0AAB7649"/>
    <w:rsid w:val="0ABC5606"/>
    <w:rsid w:val="0B261DB7"/>
    <w:rsid w:val="0B30404E"/>
    <w:rsid w:val="0B49740F"/>
    <w:rsid w:val="0B4C6C14"/>
    <w:rsid w:val="0B547599"/>
    <w:rsid w:val="0B631A88"/>
    <w:rsid w:val="0B683D45"/>
    <w:rsid w:val="0B7F3F11"/>
    <w:rsid w:val="0B884417"/>
    <w:rsid w:val="0B8A683F"/>
    <w:rsid w:val="0B9A4EF3"/>
    <w:rsid w:val="0B9A670B"/>
    <w:rsid w:val="0BF6188C"/>
    <w:rsid w:val="0BF73C91"/>
    <w:rsid w:val="0C170175"/>
    <w:rsid w:val="0C1D153F"/>
    <w:rsid w:val="0C571A41"/>
    <w:rsid w:val="0C5C1171"/>
    <w:rsid w:val="0C5E1CBC"/>
    <w:rsid w:val="0C615B50"/>
    <w:rsid w:val="0C8445DA"/>
    <w:rsid w:val="0C87121B"/>
    <w:rsid w:val="0CAA42DC"/>
    <w:rsid w:val="0CC007F7"/>
    <w:rsid w:val="0CC617AC"/>
    <w:rsid w:val="0CE618DF"/>
    <w:rsid w:val="0CFE707A"/>
    <w:rsid w:val="0D063BDA"/>
    <w:rsid w:val="0D08375F"/>
    <w:rsid w:val="0D18022F"/>
    <w:rsid w:val="0D184CFB"/>
    <w:rsid w:val="0D3C216F"/>
    <w:rsid w:val="0D4A7419"/>
    <w:rsid w:val="0D7A2C98"/>
    <w:rsid w:val="0D827401"/>
    <w:rsid w:val="0D84094E"/>
    <w:rsid w:val="0D8A00E9"/>
    <w:rsid w:val="0D8D589E"/>
    <w:rsid w:val="0DA01C73"/>
    <w:rsid w:val="0DA350C4"/>
    <w:rsid w:val="0DA6583B"/>
    <w:rsid w:val="0DD63300"/>
    <w:rsid w:val="0DF50604"/>
    <w:rsid w:val="0DF702FE"/>
    <w:rsid w:val="0DF93BBD"/>
    <w:rsid w:val="0E060E51"/>
    <w:rsid w:val="0E5604B2"/>
    <w:rsid w:val="0E6D5D79"/>
    <w:rsid w:val="0E9D0089"/>
    <w:rsid w:val="0EA63619"/>
    <w:rsid w:val="0EB803EE"/>
    <w:rsid w:val="0EC62A3A"/>
    <w:rsid w:val="0EEF6104"/>
    <w:rsid w:val="0EF94D4B"/>
    <w:rsid w:val="0F421593"/>
    <w:rsid w:val="0F4958DC"/>
    <w:rsid w:val="0F515DF7"/>
    <w:rsid w:val="0F596BA8"/>
    <w:rsid w:val="0F5C08A7"/>
    <w:rsid w:val="0F6248D2"/>
    <w:rsid w:val="0F693536"/>
    <w:rsid w:val="0F7B0511"/>
    <w:rsid w:val="0F7B76D9"/>
    <w:rsid w:val="0F816ACD"/>
    <w:rsid w:val="0F9832DB"/>
    <w:rsid w:val="0FBF3FD2"/>
    <w:rsid w:val="0FBF7FF3"/>
    <w:rsid w:val="100508A0"/>
    <w:rsid w:val="102921D2"/>
    <w:rsid w:val="10646583"/>
    <w:rsid w:val="107D4B15"/>
    <w:rsid w:val="108A3C80"/>
    <w:rsid w:val="10C26171"/>
    <w:rsid w:val="10F33360"/>
    <w:rsid w:val="10FC16EA"/>
    <w:rsid w:val="110F1D40"/>
    <w:rsid w:val="11266F33"/>
    <w:rsid w:val="118963A1"/>
    <w:rsid w:val="11C6522A"/>
    <w:rsid w:val="11E104CC"/>
    <w:rsid w:val="11E20309"/>
    <w:rsid w:val="12207CF4"/>
    <w:rsid w:val="12255233"/>
    <w:rsid w:val="12530213"/>
    <w:rsid w:val="125A6BF4"/>
    <w:rsid w:val="125E62B7"/>
    <w:rsid w:val="126E0B58"/>
    <w:rsid w:val="127723A9"/>
    <w:rsid w:val="12862074"/>
    <w:rsid w:val="12883966"/>
    <w:rsid w:val="129E45B4"/>
    <w:rsid w:val="12D81596"/>
    <w:rsid w:val="13072A44"/>
    <w:rsid w:val="132F62D2"/>
    <w:rsid w:val="134F26C3"/>
    <w:rsid w:val="135F4BE2"/>
    <w:rsid w:val="139B1A0A"/>
    <w:rsid w:val="139D25C7"/>
    <w:rsid w:val="13AB4FFC"/>
    <w:rsid w:val="13BF3CE4"/>
    <w:rsid w:val="13E722EB"/>
    <w:rsid w:val="1406135C"/>
    <w:rsid w:val="141008D8"/>
    <w:rsid w:val="14125FE6"/>
    <w:rsid w:val="1459049A"/>
    <w:rsid w:val="1466755C"/>
    <w:rsid w:val="146D271E"/>
    <w:rsid w:val="146D6AA3"/>
    <w:rsid w:val="14982588"/>
    <w:rsid w:val="149A5AD9"/>
    <w:rsid w:val="14A72759"/>
    <w:rsid w:val="14A7619D"/>
    <w:rsid w:val="14CF6237"/>
    <w:rsid w:val="150536C3"/>
    <w:rsid w:val="150C1963"/>
    <w:rsid w:val="151447A0"/>
    <w:rsid w:val="152B4878"/>
    <w:rsid w:val="152D26CA"/>
    <w:rsid w:val="152D350D"/>
    <w:rsid w:val="154A6454"/>
    <w:rsid w:val="15514605"/>
    <w:rsid w:val="15602309"/>
    <w:rsid w:val="15762120"/>
    <w:rsid w:val="16080789"/>
    <w:rsid w:val="162177D0"/>
    <w:rsid w:val="16A8729C"/>
    <w:rsid w:val="16B33777"/>
    <w:rsid w:val="16BC70A7"/>
    <w:rsid w:val="16C6339E"/>
    <w:rsid w:val="17283764"/>
    <w:rsid w:val="172F2D79"/>
    <w:rsid w:val="17557BEF"/>
    <w:rsid w:val="17BC52F6"/>
    <w:rsid w:val="17D349C1"/>
    <w:rsid w:val="1830729E"/>
    <w:rsid w:val="18477C1A"/>
    <w:rsid w:val="186D425C"/>
    <w:rsid w:val="1870062C"/>
    <w:rsid w:val="18817102"/>
    <w:rsid w:val="18830A15"/>
    <w:rsid w:val="18842C1C"/>
    <w:rsid w:val="18852B28"/>
    <w:rsid w:val="188B5321"/>
    <w:rsid w:val="198729C4"/>
    <w:rsid w:val="19932372"/>
    <w:rsid w:val="19A20DD5"/>
    <w:rsid w:val="19AE03F1"/>
    <w:rsid w:val="19CF4CD9"/>
    <w:rsid w:val="19F32DFF"/>
    <w:rsid w:val="1A071A03"/>
    <w:rsid w:val="1A0A7151"/>
    <w:rsid w:val="1A101D1C"/>
    <w:rsid w:val="1A1F16AE"/>
    <w:rsid w:val="1A3B5C77"/>
    <w:rsid w:val="1A7A361D"/>
    <w:rsid w:val="1A984BAD"/>
    <w:rsid w:val="1AB8220E"/>
    <w:rsid w:val="1AE4166C"/>
    <w:rsid w:val="1AF06CFB"/>
    <w:rsid w:val="1AF11B8D"/>
    <w:rsid w:val="1AF7510D"/>
    <w:rsid w:val="1B11359C"/>
    <w:rsid w:val="1B2A271F"/>
    <w:rsid w:val="1B437186"/>
    <w:rsid w:val="1B44195B"/>
    <w:rsid w:val="1B530544"/>
    <w:rsid w:val="1B604EF6"/>
    <w:rsid w:val="1B713184"/>
    <w:rsid w:val="1B8E51B6"/>
    <w:rsid w:val="1BA209CF"/>
    <w:rsid w:val="1BAA1E83"/>
    <w:rsid w:val="1BB22827"/>
    <w:rsid w:val="1BB4777D"/>
    <w:rsid w:val="1BD75AB8"/>
    <w:rsid w:val="1C0459C2"/>
    <w:rsid w:val="1C0C0F5F"/>
    <w:rsid w:val="1C1B3B4A"/>
    <w:rsid w:val="1C5306B7"/>
    <w:rsid w:val="1C7725CD"/>
    <w:rsid w:val="1C8436FC"/>
    <w:rsid w:val="1C88086E"/>
    <w:rsid w:val="1CF52953"/>
    <w:rsid w:val="1D01483C"/>
    <w:rsid w:val="1D266CE1"/>
    <w:rsid w:val="1D3963AF"/>
    <w:rsid w:val="1D3D0FE5"/>
    <w:rsid w:val="1D6A673C"/>
    <w:rsid w:val="1D9247AE"/>
    <w:rsid w:val="1DA11B7B"/>
    <w:rsid w:val="1DB567EC"/>
    <w:rsid w:val="1DE63A32"/>
    <w:rsid w:val="1DF51A98"/>
    <w:rsid w:val="1E29229C"/>
    <w:rsid w:val="1E3D060F"/>
    <w:rsid w:val="1E3F7D2E"/>
    <w:rsid w:val="1E4134E4"/>
    <w:rsid w:val="1E5062B3"/>
    <w:rsid w:val="1E523514"/>
    <w:rsid w:val="1E5310C7"/>
    <w:rsid w:val="1E714A66"/>
    <w:rsid w:val="1E802593"/>
    <w:rsid w:val="1E8B6156"/>
    <w:rsid w:val="1EA703CC"/>
    <w:rsid w:val="1EB7330C"/>
    <w:rsid w:val="1EBD29E4"/>
    <w:rsid w:val="1ED5641B"/>
    <w:rsid w:val="1F0A0FF3"/>
    <w:rsid w:val="1F5771FF"/>
    <w:rsid w:val="1F5778A5"/>
    <w:rsid w:val="1F904124"/>
    <w:rsid w:val="1FE868A9"/>
    <w:rsid w:val="1FE91434"/>
    <w:rsid w:val="1FF372A9"/>
    <w:rsid w:val="20034907"/>
    <w:rsid w:val="20173E4B"/>
    <w:rsid w:val="204E48BC"/>
    <w:rsid w:val="20552307"/>
    <w:rsid w:val="208921B3"/>
    <w:rsid w:val="20973DEB"/>
    <w:rsid w:val="20A7394C"/>
    <w:rsid w:val="20B26522"/>
    <w:rsid w:val="20B44310"/>
    <w:rsid w:val="20D504B9"/>
    <w:rsid w:val="20DA4FF2"/>
    <w:rsid w:val="20E56222"/>
    <w:rsid w:val="21050673"/>
    <w:rsid w:val="211116EB"/>
    <w:rsid w:val="21486EDD"/>
    <w:rsid w:val="215304C8"/>
    <w:rsid w:val="216133FC"/>
    <w:rsid w:val="21D56769"/>
    <w:rsid w:val="21E52EF3"/>
    <w:rsid w:val="21FB5D7B"/>
    <w:rsid w:val="22015E94"/>
    <w:rsid w:val="220B1C3D"/>
    <w:rsid w:val="221D1D20"/>
    <w:rsid w:val="222E109B"/>
    <w:rsid w:val="22334A87"/>
    <w:rsid w:val="226570DC"/>
    <w:rsid w:val="22BE6801"/>
    <w:rsid w:val="233500BF"/>
    <w:rsid w:val="23377FF7"/>
    <w:rsid w:val="236B425F"/>
    <w:rsid w:val="23735D67"/>
    <w:rsid w:val="23836192"/>
    <w:rsid w:val="23901F29"/>
    <w:rsid w:val="239C0061"/>
    <w:rsid w:val="23B908A4"/>
    <w:rsid w:val="23E10F23"/>
    <w:rsid w:val="23E95BEF"/>
    <w:rsid w:val="23FD0064"/>
    <w:rsid w:val="23FF3873"/>
    <w:rsid w:val="24286B52"/>
    <w:rsid w:val="245375B0"/>
    <w:rsid w:val="24642C0A"/>
    <w:rsid w:val="248322AB"/>
    <w:rsid w:val="24B22173"/>
    <w:rsid w:val="24B95AD9"/>
    <w:rsid w:val="24BE24DA"/>
    <w:rsid w:val="24CF5825"/>
    <w:rsid w:val="24D663E6"/>
    <w:rsid w:val="24D77F2B"/>
    <w:rsid w:val="24F42ED8"/>
    <w:rsid w:val="253F4153"/>
    <w:rsid w:val="2549530C"/>
    <w:rsid w:val="25543821"/>
    <w:rsid w:val="258B00E2"/>
    <w:rsid w:val="25A16BBC"/>
    <w:rsid w:val="25A917A6"/>
    <w:rsid w:val="25BE27CC"/>
    <w:rsid w:val="25F74A5C"/>
    <w:rsid w:val="2620115E"/>
    <w:rsid w:val="2628662C"/>
    <w:rsid w:val="262D45DE"/>
    <w:rsid w:val="26871DC8"/>
    <w:rsid w:val="26A53EF9"/>
    <w:rsid w:val="26A94201"/>
    <w:rsid w:val="26AB75C6"/>
    <w:rsid w:val="26AC274F"/>
    <w:rsid w:val="27044A29"/>
    <w:rsid w:val="27066751"/>
    <w:rsid w:val="271D34C8"/>
    <w:rsid w:val="27225ADA"/>
    <w:rsid w:val="273121C1"/>
    <w:rsid w:val="27364F8D"/>
    <w:rsid w:val="276142BF"/>
    <w:rsid w:val="27783712"/>
    <w:rsid w:val="27907362"/>
    <w:rsid w:val="27F136FF"/>
    <w:rsid w:val="28333E1D"/>
    <w:rsid w:val="28454BD6"/>
    <w:rsid w:val="28455253"/>
    <w:rsid w:val="28551971"/>
    <w:rsid w:val="285B1C53"/>
    <w:rsid w:val="287B4FB8"/>
    <w:rsid w:val="289F7086"/>
    <w:rsid w:val="28C32028"/>
    <w:rsid w:val="28CC490F"/>
    <w:rsid w:val="28D823EF"/>
    <w:rsid w:val="28DE40AA"/>
    <w:rsid w:val="28EC101B"/>
    <w:rsid w:val="29345E77"/>
    <w:rsid w:val="293D1BAF"/>
    <w:rsid w:val="294C65AD"/>
    <w:rsid w:val="29622B06"/>
    <w:rsid w:val="29806583"/>
    <w:rsid w:val="298B3C4C"/>
    <w:rsid w:val="29E259F5"/>
    <w:rsid w:val="29F26D24"/>
    <w:rsid w:val="2A15033F"/>
    <w:rsid w:val="2A1662C1"/>
    <w:rsid w:val="2A1C7367"/>
    <w:rsid w:val="2A2815FA"/>
    <w:rsid w:val="2A6D6092"/>
    <w:rsid w:val="2A785209"/>
    <w:rsid w:val="2A7D76B4"/>
    <w:rsid w:val="2AD252BB"/>
    <w:rsid w:val="2B1B2F6C"/>
    <w:rsid w:val="2B2142FB"/>
    <w:rsid w:val="2B437463"/>
    <w:rsid w:val="2B7807EE"/>
    <w:rsid w:val="2BA50BF7"/>
    <w:rsid w:val="2BBF00EC"/>
    <w:rsid w:val="2BC26DFE"/>
    <w:rsid w:val="2BC37CFD"/>
    <w:rsid w:val="2BD5237F"/>
    <w:rsid w:val="2BE536CE"/>
    <w:rsid w:val="2BE758D9"/>
    <w:rsid w:val="2C09049E"/>
    <w:rsid w:val="2C0A653C"/>
    <w:rsid w:val="2C191F85"/>
    <w:rsid w:val="2C1D1E81"/>
    <w:rsid w:val="2C646B95"/>
    <w:rsid w:val="2CA64AB8"/>
    <w:rsid w:val="2CE82D6F"/>
    <w:rsid w:val="2D003DBD"/>
    <w:rsid w:val="2D0B5263"/>
    <w:rsid w:val="2D1C4D7A"/>
    <w:rsid w:val="2D343236"/>
    <w:rsid w:val="2D652BC5"/>
    <w:rsid w:val="2D683D7E"/>
    <w:rsid w:val="2D7B23E8"/>
    <w:rsid w:val="2DD15014"/>
    <w:rsid w:val="2DF72DE4"/>
    <w:rsid w:val="2E0220AF"/>
    <w:rsid w:val="2E456552"/>
    <w:rsid w:val="2E4B082A"/>
    <w:rsid w:val="2E5D4E86"/>
    <w:rsid w:val="2E5D790B"/>
    <w:rsid w:val="2E85064A"/>
    <w:rsid w:val="2E9A3C18"/>
    <w:rsid w:val="2EB208EB"/>
    <w:rsid w:val="2EBB0FEE"/>
    <w:rsid w:val="2EC63002"/>
    <w:rsid w:val="2EEF6BEA"/>
    <w:rsid w:val="2F0A6B38"/>
    <w:rsid w:val="2F3B1006"/>
    <w:rsid w:val="2F827A5E"/>
    <w:rsid w:val="2F946CCB"/>
    <w:rsid w:val="2FD25781"/>
    <w:rsid w:val="2FDC745C"/>
    <w:rsid w:val="2FE57FED"/>
    <w:rsid w:val="2FFD7934"/>
    <w:rsid w:val="30253216"/>
    <w:rsid w:val="30733ACD"/>
    <w:rsid w:val="308C3862"/>
    <w:rsid w:val="309379D8"/>
    <w:rsid w:val="309B06AC"/>
    <w:rsid w:val="30A270F7"/>
    <w:rsid w:val="30DF1478"/>
    <w:rsid w:val="30EC586F"/>
    <w:rsid w:val="30F229C1"/>
    <w:rsid w:val="31946079"/>
    <w:rsid w:val="319C6071"/>
    <w:rsid w:val="31A11ECE"/>
    <w:rsid w:val="31AC537E"/>
    <w:rsid w:val="31E3679B"/>
    <w:rsid w:val="31E732FD"/>
    <w:rsid w:val="31EF5153"/>
    <w:rsid w:val="321626E0"/>
    <w:rsid w:val="322272D6"/>
    <w:rsid w:val="32441BAB"/>
    <w:rsid w:val="32470AEB"/>
    <w:rsid w:val="32517576"/>
    <w:rsid w:val="32A4367F"/>
    <w:rsid w:val="32A72AB9"/>
    <w:rsid w:val="32BE5C2C"/>
    <w:rsid w:val="32D63C1D"/>
    <w:rsid w:val="32E267BA"/>
    <w:rsid w:val="32FB6478"/>
    <w:rsid w:val="332410BB"/>
    <w:rsid w:val="33263B3F"/>
    <w:rsid w:val="33615BDC"/>
    <w:rsid w:val="336963EB"/>
    <w:rsid w:val="33816EEB"/>
    <w:rsid w:val="33EB55CD"/>
    <w:rsid w:val="33EC4C02"/>
    <w:rsid w:val="33F425AD"/>
    <w:rsid w:val="340D2360"/>
    <w:rsid w:val="3410665D"/>
    <w:rsid w:val="34211214"/>
    <w:rsid w:val="342E63AB"/>
    <w:rsid w:val="348953EB"/>
    <w:rsid w:val="34950E68"/>
    <w:rsid w:val="34986E94"/>
    <w:rsid w:val="34AF62C9"/>
    <w:rsid w:val="34BF2BBB"/>
    <w:rsid w:val="34CB4388"/>
    <w:rsid w:val="34F528D3"/>
    <w:rsid w:val="34FA6E12"/>
    <w:rsid w:val="351C55FE"/>
    <w:rsid w:val="354D7158"/>
    <w:rsid w:val="35633E8E"/>
    <w:rsid w:val="358D5588"/>
    <w:rsid w:val="35AB564E"/>
    <w:rsid w:val="35ED6AF3"/>
    <w:rsid w:val="361707D4"/>
    <w:rsid w:val="363A3B40"/>
    <w:rsid w:val="365302AE"/>
    <w:rsid w:val="36607A0A"/>
    <w:rsid w:val="366E227C"/>
    <w:rsid w:val="366F2E0D"/>
    <w:rsid w:val="367B6A5C"/>
    <w:rsid w:val="36A74ADA"/>
    <w:rsid w:val="36A93251"/>
    <w:rsid w:val="36AD60D5"/>
    <w:rsid w:val="36B224F9"/>
    <w:rsid w:val="36EC0CC9"/>
    <w:rsid w:val="373F410B"/>
    <w:rsid w:val="37CB7AC8"/>
    <w:rsid w:val="37EE7094"/>
    <w:rsid w:val="38296C89"/>
    <w:rsid w:val="383002EB"/>
    <w:rsid w:val="38376F0C"/>
    <w:rsid w:val="38586797"/>
    <w:rsid w:val="38BC0149"/>
    <w:rsid w:val="38D87D1C"/>
    <w:rsid w:val="39147E4F"/>
    <w:rsid w:val="39636459"/>
    <w:rsid w:val="396B7F6C"/>
    <w:rsid w:val="39B417A9"/>
    <w:rsid w:val="39C1487F"/>
    <w:rsid w:val="39F46D6D"/>
    <w:rsid w:val="39FC5695"/>
    <w:rsid w:val="3A006D8E"/>
    <w:rsid w:val="3A1D5461"/>
    <w:rsid w:val="3A204F94"/>
    <w:rsid w:val="3A287155"/>
    <w:rsid w:val="3A3651E5"/>
    <w:rsid w:val="3A744481"/>
    <w:rsid w:val="3A8C7BEF"/>
    <w:rsid w:val="3A906246"/>
    <w:rsid w:val="3B0651CC"/>
    <w:rsid w:val="3B2349B7"/>
    <w:rsid w:val="3B616CFF"/>
    <w:rsid w:val="3B6259F6"/>
    <w:rsid w:val="3B8C62D6"/>
    <w:rsid w:val="3B976654"/>
    <w:rsid w:val="3BB371F1"/>
    <w:rsid w:val="3BB70A8F"/>
    <w:rsid w:val="3BC01EFC"/>
    <w:rsid w:val="3BCA786A"/>
    <w:rsid w:val="3BCB0DCC"/>
    <w:rsid w:val="3BD31E2F"/>
    <w:rsid w:val="3BF15831"/>
    <w:rsid w:val="3C033CD5"/>
    <w:rsid w:val="3C105946"/>
    <w:rsid w:val="3C1B0E77"/>
    <w:rsid w:val="3C471448"/>
    <w:rsid w:val="3C5F759A"/>
    <w:rsid w:val="3C6C525A"/>
    <w:rsid w:val="3C9506A5"/>
    <w:rsid w:val="3CB7686D"/>
    <w:rsid w:val="3CCE23CB"/>
    <w:rsid w:val="3CD17D17"/>
    <w:rsid w:val="3CDD05E4"/>
    <w:rsid w:val="3CFC316F"/>
    <w:rsid w:val="3D121CF5"/>
    <w:rsid w:val="3D180278"/>
    <w:rsid w:val="3D3C7F39"/>
    <w:rsid w:val="3D440F09"/>
    <w:rsid w:val="3D4504A0"/>
    <w:rsid w:val="3D8734BB"/>
    <w:rsid w:val="3D9A11D4"/>
    <w:rsid w:val="3DA16D89"/>
    <w:rsid w:val="3DA364BE"/>
    <w:rsid w:val="3DA908AC"/>
    <w:rsid w:val="3DAE5CD1"/>
    <w:rsid w:val="3DBA4867"/>
    <w:rsid w:val="3DCB2985"/>
    <w:rsid w:val="3DE041CB"/>
    <w:rsid w:val="3E0D48F6"/>
    <w:rsid w:val="3E1868B4"/>
    <w:rsid w:val="3E377251"/>
    <w:rsid w:val="3E42664B"/>
    <w:rsid w:val="3E52252B"/>
    <w:rsid w:val="3E5A7334"/>
    <w:rsid w:val="3E7B5D6B"/>
    <w:rsid w:val="3E843E66"/>
    <w:rsid w:val="3E8F51FE"/>
    <w:rsid w:val="3E926F87"/>
    <w:rsid w:val="3E9A59DE"/>
    <w:rsid w:val="3EAF4836"/>
    <w:rsid w:val="3EC33DFA"/>
    <w:rsid w:val="3EDD48AC"/>
    <w:rsid w:val="3EEB27FE"/>
    <w:rsid w:val="3EED47C8"/>
    <w:rsid w:val="3F060E16"/>
    <w:rsid w:val="3F0E6DD8"/>
    <w:rsid w:val="3F160DD8"/>
    <w:rsid w:val="3F1D1096"/>
    <w:rsid w:val="3F2F0234"/>
    <w:rsid w:val="3F6363FE"/>
    <w:rsid w:val="3F756B8F"/>
    <w:rsid w:val="3F95482B"/>
    <w:rsid w:val="4019356B"/>
    <w:rsid w:val="4026310C"/>
    <w:rsid w:val="40592157"/>
    <w:rsid w:val="406E1CAE"/>
    <w:rsid w:val="40A0133A"/>
    <w:rsid w:val="40C31A53"/>
    <w:rsid w:val="40FF545D"/>
    <w:rsid w:val="410067C8"/>
    <w:rsid w:val="41087948"/>
    <w:rsid w:val="41147851"/>
    <w:rsid w:val="416176D3"/>
    <w:rsid w:val="418F0D2A"/>
    <w:rsid w:val="41A03D74"/>
    <w:rsid w:val="41C02778"/>
    <w:rsid w:val="41D01505"/>
    <w:rsid w:val="41D0669D"/>
    <w:rsid w:val="42417CBC"/>
    <w:rsid w:val="42474939"/>
    <w:rsid w:val="424C3C57"/>
    <w:rsid w:val="42613FF3"/>
    <w:rsid w:val="42660D96"/>
    <w:rsid w:val="427364C6"/>
    <w:rsid w:val="428667D2"/>
    <w:rsid w:val="42CD1CE0"/>
    <w:rsid w:val="42D75573"/>
    <w:rsid w:val="42E1381E"/>
    <w:rsid w:val="42ED6459"/>
    <w:rsid w:val="42FE58DD"/>
    <w:rsid w:val="43174B3D"/>
    <w:rsid w:val="434B790E"/>
    <w:rsid w:val="4360274F"/>
    <w:rsid w:val="43977AB6"/>
    <w:rsid w:val="43A3342B"/>
    <w:rsid w:val="43C77C27"/>
    <w:rsid w:val="43DE09EE"/>
    <w:rsid w:val="44002FAD"/>
    <w:rsid w:val="441C37AA"/>
    <w:rsid w:val="449101DD"/>
    <w:rsid w:val="44AE027F"/>
    <w:rsid w:val="44DE1391"/>
    <w:rsid w:val="44ED1D47"/>
    <w:rsid w:val="451B225C"/>
    <w:rsid w:val="452410C9"/>
    <w:rsid w:val="45317DFB"/>
    <w:rsid w:val="456852FA"/>
    <w:rsid w:val="456D3CE4"/>
    <w:rsid w:val="4579042C"/>
    <w:rsid w:val="457F0571"/>
    <w:rsid w:val="45837C34"/>
    <w:rsid w:val="45851176"/>
    <w:rsid w:val="459D6614"/>
    <w:rsid w:val="45C55BC2"/>
    <w:rsid w:val="45C63B94"/>
    <w:rsid w:val="460E7DA5"/>
    <w:rsid w:val="463617E0"/>
    <w:rsid w:val="46422483"/>
    <w:rsid w:val="4659254A"/>
    <w:rsid w:val="465B0637"/>
    <w:rsid w:val="465E3F0D"/>
    <w:rsid w:val="466A16E6"/>
    <w:rsid w:val="46893F2B"/>
    <w:rsid w:val="46C444E6"/>
    <w:rsid w:val="46C4686E"/>
    <w:rsid w:val="47413903"/>
    <w:rsid w:val="477B778F"/>
    <w:rsid w:val="478203EC"/>
    <w:rsid w:val="47B025FA"/>
    <w:rsid w:val="47D26740"/>
    <w:rsid w:val="47E714A4"/>
    <w:rsid w:val="4809698F"/>
    <w:rsid w:val="4811697D"/>
    <w:rsid w:val="481D44F1"/>
    <w:rsid w:val="487A3E25"/>
    <w:rsid w:val="488B5503"/>
    <w:rsid w:val="48937E21"/>
    <w:rsid w:val="489A0361"/>
    <w:rsid w:val="48A8102D"/>
    <w:rsid w:val="48B94FF3"/>
    <w:rsid w:val="48E37AAB"/>
    <w:rsid w:val="48FD4B4C"/>
    <w:rsid w:val="490A68E0"/>
    <w:rsid w:val="491055FE"/>
    <w:rsid w:val="49221512"/>
    <w:rsid w:val="492C29D2"/>
    <w:rsid w:val="495F5B3E"/>
    <w:rsid w:val="496F77D7"/>
    <w:rsid w:val="497654FD"/>
    <w:rsid w:val="49B20AE8"/>
    <w:rsid w:val="49B64211"/>
    <w:rsid w:val="49BE293C"/>
    <w:rsid w:val="49CF224E"/>
    <w:rsid w:val="49D41AAC"/>
    <w:rsid w:val="49F6167F"/>
    <w:rsid w:val="4A064FA0"/>
    <w:rsid w:val="4A16615C"/>
    <w:rsid w:val="4A1B668D"/>
    <w:rsid w:val="4A331881"/>
    <w:rsid w:val="4A4424D7"/>
    <w:rsid w:val="4A653DAC"/>
    <w:rsid w:val="4AB82D0F"/>
    <w:rsid w:val="4AEB7664"/>
    <w:rsid w:val="4AFD7C19"/>
    <w:rsid w:val="4B0567D1"/>
    <w:rsid w:val="4B236AAE"/>
    <w:rsid w:val="4B2F799D"/>
    <w:rsid w:val="4B707271"/>
    <w:rsid w:val="4B84756E"/>
    <w:rsid w:val="4B9739F7"/>
    <w:rsid w:val="4BE21418"/>
    <w:rsid w:val="4BEE2503"/>
    <w:rsid w:val="4BF727EA"/>
    <w:rsid w:val="4BFC604B"/>
    <w:rsid w:val="4C245A30"/>
    <w:rsid w:val="4C705E74"/>
    <w:rsid w:val="4CB6685F"/>
    <w:rsid w:val="4CC367FE"/>
    <w:rsid w:val="4CC64BB3"/>
    <w:rsid w:val="4CCE7075"/>
    <w:rsid w:val="4D077F3C"/>
    <w:rsid w:val="4D123355"/>
    <w:rsid w:val="4D1A70D0"/>
    <w:rsid w:val="4D1E15C2"/>
    <w:rsid w:val="4D2A3B31"/>
    <w:rsid w:val="4D312C52"/>
    <w:rsid w:val="4D324C46"/>
    <w:rsid w:val="4D905305"/>
    <w:rsid w:val="4D964A72"/>
    <w:rsid w:val="4D9C1254"/>
    <w:rsid w:val="4D9E5B15"/>
    <w:rsid w:val="4DD23424"/>
    <w:rsid w:val="4E280B25"/>
    <w:rsid w:val="4E3C3076"/>
    <w:rsid w:val="4E695ABF"/>
    <w:rsid w:val="4E793892"/>
    <w:rsid w:val="4E800872"/>
    <w:rsid w:val="4EC569ED"/>
    <w:rsid w:val="4ED50EA1"/>
    <w:rsid w:val="4EEC050C"/>
    <w:rsid w:val="4F104EC3"/>
    <w:rsid w:val="4F47354A"/>
    <w:rsid w:val="4F4E4E0F"/>
    <w:rsid w:val="4F7633DC"/>
    <w:rsid w:val="4F911C54"/>
    <w:rsid w:val="4FE625E0"/>
    <w:rsid w:val="4FF00EF9"/>
    <w:rsid w:val="4FFD05E3"/>
    <w:rsid w:val="5006393C"/>
    <w:rsid w:val="5021480F"/>
    <w:rsid w:val="505C301C"/>
    <w:rsid w:val="50962ECB"/>
    <w:rsid w:val="50A42E38"/>
    <w:rsid w:val="50A4577F"/>
    <w:rsid w:val="50B73D1F"/>
    <w:rsid w:val="50BD5BC9"/>
    <w:rsid w:val="50C11EEE"/>
    <w:rsid w:val="50E14E6A"/>
    <w:rsid w:val="50E97CFC"/>
    <w:rsid w:val="50FA4028"/>
    <w:rsid w:val="510D65B7"/>
    <w:rsid w:val="511157AB"/>
    <w:rsid w:val="5142540C"/>
    <w:rsid w:val="518832C8"/>
    <w:rsid w:val="519D3C50"/>
    <w:rsid w:val="51A0432A"/>
    <w:rsid w:val="51A86090"/>
    <w:rsid w:val="51B7396D"/>
    <w:rsid w:val="52097713"/>
    <w:rsid w:val="522E4CC3"/>
    <w:rsid w:val="5244713B"/>
    <w:rsid w:val="52615633"/>
    <w:rsid w:val="526861E8"/>
    <w:rsid w:val="526F4DE4"/>
    <w:rsid w:val="528F5696"/>
    <w:rsid w:val="5293012E"/>
    <w:rsid w:val="52977FD4"/>
    <w:rsid w:val="52A25790"/>
    <w:rsid w:val="52A96B6F"/>
    <w:rsid w:val="52B45975"/>
    <w:rsid w:val="52D94AA4"/>
    <w:rsid w:val="52E31D12"/>
    <w:rsid w:val="52EA3A62"/>
    <w:rsid w:val="52F10711"/>
    <w:rsid w:val="52F50BB8"/>
    <w:rsid w:val="53097272"/>
    <w:rsid w:val="53147604"/>
    <w:rsid w:val="533F45FB"/>
    <w:rsid w:val="534C1537"/>
    <w:rsid w:val="53544462"/>
    <w:rsid w:val="5397158E"/>
    <w:rsid w:val="53E325D5"/>
    <w:rsid w:val="54013861"/>
    <w:rsid w:val="543F11CA"/>
    <w:rsid w:val="54487265"/>
    <w:rsid w:val="544D6070"/>
    <w:rsid w:val="54605E1E"/>
    <w:rsid w:val="54820229"/>
    <w:rsid w:val="549F47C6"/>
    <w:rsid w:val="54A86D6F"/>
    <w:rsid w:val="54B3506A"/>
    <w:rsid w:val="54BF52CB"/>
    <w:rsid w:val="54CA0D16"/>
    <w:rsid w:val="54DD4057"/>
    <w:rsid w:val="54E7490F"/>
    <w:rsid w:val="550764A4"/>
    <w:rsid w:val="550B2BF6"/>
    <w:rsid w:val="55214EB5"/>
    <w:rsid w:val="55364EFD"/>
    <w:rsid w:val="555D4828"/>
    <w:rsid w:val="557A4C8B"/>
    <w:rsid w:val="558931E1"/>
    <w:rsid w:val="55923347"/>
    <w:rsid w:val="55925180"/>
    <w:rsid w:val="55983B1B"/>
    <w:rsid w:val="55A33E57"/>
    <w:rsid w:val="55A8376B"/>
    <w:rsid w:val="55DC29B6"/>
    <w:rsid w:val="55DD4241"/>
    <w:rsid w:val="565C2507"/>
    <w:rsid w:val="566B6D1E"/>
    <w:rsid w:val="57032A2C"/>
    <w:rsid w:val="570F5219"/>
    <w:rsid w:val="571C16A5"/>
    <w:rsid w:val="572E78E5"/>
    <w:rsid w:val="575D12B5"/>
    <w:rsid w:val="57610A87"/>
    <w:rsid w:val="576D2B95"/>
    <w:rsid w:val="577B1140"/>
    <w:rsid w:val="577B7F21"/>
    <w:rsid w:val="577F181B"/>
    <w:rsid w:val="57827D4C"/>
    <w:rsid w:val="57921934"/>
    <w:rsid w:val="57921984"/>
    <w:rsid w:val="579737F0"/>
    <w:rsid w:val="57AB7B30"/>
    <w:rsid w:val="57AF5251"/>
    <w:rsid w:val="57B26373"/>
    <w:rsid w:val="57B63F04"/>
    <w:rsid w:val="57CD20C2"/>
    <w:rsid w:val="57D675AB"/>
    <w:rsid w:val="57D95FDD"/>
    <w:rsid w:val="58214078"/>
    <w:rsid w:val="58917D2F"/>
    <w:rsid w:val="5894085C"/>
    <w:rsid w:val="58AE4F0C"/>
    <w:rsid w:val="58B85899"/>
    <w:rsid w:val="58E363A9"/>
    <w:rsid w:val="591E264C"/>
    <w:rsid w:val="595E1678"/>
    <w:rsid w:val="5966544B"/>
    <w:rsid w:val="596D5BD4"/>
    <w:rsid w:val="597E3DD8"/>
    <w:rsid w:val="59F80043"/>
    <w:rsid w:val="5A09252F"/>
    <w:rsid w:val="5A0B2778"/>
    <w:rsid w:val="5A2A7C7B"/>
    <w:rsid w:val="5A3B2434"/>
    <w:rsid w:val="5A3E2560"/>
    <w:rsid w:val="5A5D3B6E"/>
    <w:rsid w:val="5A637A76"/>
    <w:rsid w:val="5A671C0F"/>
    <w:rsid w:val="5A6D33BA"/>
    <w:rsid w:val="5A792B1F"/>
    <w:rsid w:val="5A874767"/>
    <w:rsid w:val="5AA85BE2"/>
    <w:rsid w:val="5AAD6F28"/>
    <w:rsid w:val="5ABE2749"/>
    <w:rsid w:val="5AD63A24"/>
    <w:rsid w:val="5AE51A4D"/>
    <w:rsid w:val="5B1B08B4"/>
    <w:rsid w:val="5B2E1A1D"/>
    <w:rsid w:val="5B323E82"/>
    <w:rsid w:val="5B6A67B3"/>
    <w:rsid w:val="5B843A1C"/>
    <w:rsid w:val="5B873E3F"/>
    <w:rsid w:val="5C02690E"/>
    <w:rsid w:val="5C196DA7"/>
    <w:rsid w:val="5C25514A"/>
    <w:rsid w:val="5C2A048C"/>
    <w:rsid w:val="5C4D2220"/>
    <w:rsid w:val="5C80234E"/>
    <w:rsid w:val="5C8A680C"/>
    <w:rsid w:val="5CDC7EFE"/>
    <w:rsid w:val="5D0C4701"/>
    <w:rsid w:val="5D0F0395"/>
    <w:rsid w:val="5D221076"/>
    <w:rsid w:val="5D397964"/>
    <w:rsid w:val="5D5A391C"/>
    <w:rsid w:val="5D5F10C0"/>
    <w:rsid w:val="5D790E2F"/>
    <w:rsid w:val="5D891B7B"/>
    <w:rsid w:val="5DAD38EE"/>
    <w:rsid w:val="5E006862"/>
    <w:rsid w:val="5E0207B9"/>
    <w:rsid w:val="5E1834A1"/>
    <w:rsid w:val="5E261785"/>
    <w:rsid w:val="5E387924"/>
    <w:rsid w:val="5E4A7017"/>
    <w:rsid w:val="5E552BBA"/>
    <w:rsid w:val="5E611C10"/>
    <w:rsid w:val="5E7A0F3F"/>
    <w:rsid w:val="5EA66A16"/>
    <w:rsid w:val="5EC86B2F"/>
    <w:rsid w:val="5EDD1D0C"/>
    <w:rsid w:val="5EFC7377"/>
    <w:rsid w:val="5F06174D"/>
    <w:rsid w:val="5F3A3602"/>
    <w:rsid w:val="5F45733B"/>
    <w:rsid w:val="5F4D6E91"/>
    <w:rsid w:val="5F6277C6"/>
    <w:rsid w:val="5F650EF3"/>
    <w:rsid w:val="5F6D0B1D"/>
    <w:rsid w:val="5F8D0B82"/>
    <w:rsid w:val="5FC04B62"/>
    <w:rsid w:val="5FCC5339"/>
    <w:rsid w:val="5FE34A5B"/>
    <w:rsid w:val="5FFE1E36"/>
    <w:rsid w:val="60183580"/>
    <w:rsid w:val="60232584"/>
    <w:rsid w:val="604E7493"/>
    <w:rsid w:val="607330CE"/>
    <w:rsid w:val="60825176"/>
    <w:rsid w:val="609F2AC4"/>
    <w:rsid w:val="60FA2EE8"/>
    <w:rsid w:val="61054A27"/>
    <w:rsid w:val="610A52BC"/>
    <w:rsid w:val="610D059B"/>
    <w:rsid w:val="611D2366"/>
    <w:rsid w:val="61421856"/>
    <w:rsid w:val="615227C4"/>
    <w:rsid w:val="615A5895"/>
    <w:rsid w:val="615D0EE2"/>
    <w:rsid w:val="616044A2"/>
    <w:rsid w:val="61654E3F"/>
    <w:rsid w:val="617821BF"/>
    <w:rsid w:val="6182292A"/>
    <w:rsid w:val="61922A07"/>
    <w:rsid w:val="619F7F92"/>
    <w:rsid w:val="61D513C0"/>
    <w:rsid w:val="61F94C26"/>
    <w:rsid w:val="62000E56"/>
    <w:rsid w:val="624F3E49"/>
    <w:rsid w:val="62505202"/>
    <w:rsid w:val="62632286"/>
    <w:rsid w:val="62885958"/>
    <w:rsid w:val="62F40B65"/>
    <w:rsid w:val="62FC2CFE"/>
    <w:rsid w:val="62FE7F77"/>
    <w:rsid w:val="63024505"/>
    <w:rsid w:val="631314B3"/>
    <w:rsid w:val="63386A08"/>
    <w:rsid w:val="63471E49"/>
    <w:rsid w:val="635600A5"/>
    <w:rsid w:val="635B1DB5"/>
    <w:rsid w:val="637013A0"/>
    <w:rsid w:val="63711FED"/>
    <w:rsid w:val="63880DDC"/>
    <w:rsid w:val="638906B4"/>
    <w:rsid w:val="638D750D"/>
    <w:rsid w:val="63AC6CC0"/>
    <w:rsid w:val="63F23480"/>
    <w:rsid w:val="64055776"/>
    <w:rsid w:val="641D689F"/>
    <w:rsid w:val="641F5B67"/>
    <w:rsid w:val="64240056"/>
    <w:rsid w:val="643E143A"/>
    <w:rsid w:val="64491666"/>
    <w:rsid w:val="648B6EEF"/>
    <w:rsid w:val="6497295D"/>
    <w:rsid w:val="64C158BF"/>
    <w:rsid w:val="64CE2EAA"/>
    <w:rsid w:val="651B533C"/>
    <w:rsid w:val="65267FBC"/>
    <w:rsid w:val="653C3090"/>
    <w:rsid w:val="655E299E"/>
    <w:rsid w:val="65854376"/>
    <w:rsid w:val="658767BE"/>
    <w:rsid w:val="65892531"/>
    <w:rsid w:val="65CB4FB4"/>
    <w:rsid w:val="66195831"/>
    <w:rsid w:val="662E75B1"/>
    <w:rsid w:val="663139B0"/>
    <w:rsid w:val="66342C2E"/>
    <w:rsid w:val="663E784C"/>
    <w:rsid w:val="66424F6D"/>
    <w:rsid w:val="668B6A45"/>
    <w:rsid w:val="66907B1F"/>
    <w:rsid w:val="66A31A8D"/>
    <w:rsid w:val="67112C4A"/>
    <w:rsid w:val="672F3F24"/>
    <w:rsid w:val="673E055F"/>
    <w:rsid w:val="67551CE3"/>
    <w:rsid w:val="67887A67"/>
    <w:rsid w:val="67A22552"/>
    <w:rsid w:val="67B22DCC"/>
    <w:rsid w:val="67BE71AA"/>
    <w:rsid w:val="67CF7323"/>
    <w:rsid w:val="67D90273"/>
    <w:rsid w:val="67DE5875"/>
    <w:rsid w:val="67E55852"/>
    <w:rsid w:val="67EB1AB4"/>
    <w:rsid w:val="67FA1285"/>
    <w:rsid w:val="680E1188"/>
    <w:rsid w:val="68217D09"/>
    <w:rsid w:val="684F12BD"/>
    <w:rsid w:val="6850290F"/>
    <w:rsid w:val="68551F4F"/>
    <w:rsid w:val="685D4587"/>
    <w:rsid w:val="687C10C9"/>
    <w:rsid w:val="68840C16"/>
    <w:rsid w:val="68876EFB"/>
    <w:rsid w:val="68884654"/>
    <w:rsid w:val="689F444F"/>
    <w:rsid w:val="68B96DBB"/>
    <w:rsid w:val="68C922C9"/>
    <w:rsid w:val="68CA2805"/>
    <w:rsid w:val="68E937A3"/>
    <w:rsid w:val="68FB149A"/>
    <w:rsid w:val="69054339"/>
    <w:rsid w:val="693E15D3"/>
    <w:rsid w:val="69627681"/>
    <w:rsid w:val="6977531D"/>
    <w:rsid w:val="69CC2BFF"/>
    <w:rsid w:val="69FD55B8"/>
    <w:rsid w:val="6A0B1C62"/>
    <w:rsid w:val="6A2406C8"/>
    <w:rsid w:val="6A4610AD"/>
    <w:rsid w:val="6A9A1ADF"/>
    <w:rsid w:val="6ADE0BD1"/>
    <w:rsid w:val="6AE81378"/>
    <w:rsid w:val="6AE96859"/>
    <w:rsid w:val="6B147746"/>
    <w:rsid w:val="6B24787C"/>
    <w:rsid w:val="6B4D78E6"/>
    <w:rsid w:val="6B573233"/>
    <w:rsid w:val="6B5B6274"/>
    <w:rsid w:val="6B935D53"/>
    <w:rsid w:val="6BF32B6E"/>
    <w:rsid w:val="6C037580"/>
    <w:rsid w:val="6C1316F7"/>
    <w:rsid w:val="6C196F71"/>
    <w:rsid w:val="6C226FCB"/>
    <w:rsid w:val="6C31226F"/>
    <w:rsid w:val="6C4B6506"/>
    <w:rsid w:val="6C517EC7"/>
    <w:rsid w:val="6C552F0B"/>
    <w:rsid w:val="6C8300CE"/>
    <w:rsid w:val="6C8C67B7"/>
    <w:rsid w:val="6C9D744C"/>
    <w:rsid w:val="6D131A02"/>
    <w:rsid w:val="6D167928"/>
    <w:rsid w:val="6D26299B"/>
    <w:rsid w:val="6D274616"/>
    <w:rsid w:val="6D4772EC"/>
    <w:rsid w:val="6D595482"/>
    <w:rsid w:val="6D9078AF"/>
    <w:rsid w:val="6DAA3FEF"/>
    <w:rsid w:val="6DC0172B"/>
    <w:rsid w:val="6DC5053A"/>
    <w:rsid w:val="6DCB690C"/>
    <w:rsid w:val="6DD41A5B"/>
    <w:rsid w:val="6DEA61F3"/>
    <w:rsid w:val="6DF43C2E"/>
    <w:rsid w:val="6DF51CA3"/>
    <w:rsid w:val="6E635CE9"/>
    <w:rsid w:val="6E8335BD"/>
    <w:rsid w:val="6E8E12EF"/>
    <w:rsid w:val="6E972936"/>
    <w:rsid w:val="6E9770B2"/>
    <w:rsid w:val="6ED446C5"/>
    <w:rsid w:val="6EEA1354"/>
    <w:rsid w:val="6F2A7D94"/>
    <w:rsid w:val="6F432F72"/>
    <w:rsid w:val="6F472EA6"/>
    <w:rsid w:val="6F8331F1"/>
    <w:rsid w:val="6F922C54"/>
    <w:rsid w:val="6FAA5C3A"/>
    <w:rsid w:val="6FAE1A09"/>
    <w:rsid w:val="6FD40F09"/>
    <w:rsid w:val="6FD75BF8"/>
    <w:rsid w:val="7064037D"/>
    <w:rsid w:val="707723D0"/>
    <w:rsid w:val="70B6752E"/>
    <w:rsid w:val="70C20D61"/>
    <w:rsid w:val="70DE37C7"/>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050897"/>
    <w:rsid w:val="73776704"/>
    <w:rsid w:val="738E711F"/>
    <w:rsid w:val="739B24CC"/>
    <w:rsid w:val="73C0646E"/>
    <w:rsid w:val="73E11809"/>
    <w:rsid w:val="742222F5"/>
    <w:rsid w:val="743045CD"/>
    <w:rsid w:val="74476126"/>
    <w:rsid w:val="74706664"/>
    <w:rsid w:val="747F3682"/>
    <w:rsid w:val="748A4B21"/>
    <w:rsid w:val="749C4185"/>
    <w:rsid w:val="75067759"/>
    <w:rsid w:val="751F4235"/>
    <w:rsid w:val="752E6DCD"/>
    <w:rsid w:val="75495D7E"/>
    <w:rsid w:val="7551380D"/>
    <w:rsid w:val="755D394A"/>
    <w:rsid w:val="75600BE5"/>
    <w:rsid w:val="7564475C"/>
    <w:rsid w:val="7583797F"/>
    <w:rsid w:val="7592164A"/>
    <w:rsid w:val="75D20F1D"/>
    <w:rsid w:val="75DA2C18"/>
    <w:rsid w:val="75DA599F"/>
    <w:rsid w:val="75F54412"/>
    <w:rsid w:val="761D08E0"/>
    <w:rsid w:val="765D347C"/>
    <w:rsid w:val="76826699"/>
    <w:rsid w:val="76A41635"/>
    <w:rsid w:val="76C87133"/>
    <w:rsid w:val="76CD08D5"/>
    <w:rsid w:val="76DB4B92"/>
    <w:rsid w:val="76DD68F5"/>
    <w:rsid w:val="77052AA4"/>
    <w:rsid w:val="77071BC4"/>
    <w:rsid w:val="77136511"/>
    <w:rsid w:val="77340A39"/>
    <w:rsid w:val="77351FD0"/>
    <w:rsid w:val="7736125B"/>
    <w:rsid w:val="77472422"/>
    <w:rsid w:val="77770A86"/>
    <w:rsid w:val="777F31F2"/>
    <w:rsid w:val="77D1700D"/>
    <w:rsid w:val="77EC04CC"/>
    <w:rsid w:val="77ED5D18"/>
    <w:rsid w:val="780D0085"/>
    <w:rsid w:val="78131524"/>
    <w:rsid w:val="78250553"/>
    <w:rsid w:val="78350781"/>
    <w:rsid w:val="7843609F"/>
    <w:rsid w:val="78623556"/>
    <w:rsid w:val="78775729"/>
    <w:rsid w:val="788A6312"/>
    <w:rsid w:val="78A2537A"/>
    <w:rsid w:val="78A42DB0"/>
    <w:rsid w:val="78A656AB"/>
    <w:rsid w:val="78B2245C"/>
    <w:rsid w:val="78E172CC"/>
    <w:rsid w:val="78EA1D1F"/>
    <w:rsid w:val="79036DC3"/>
    <w:rsid w:val="7904172F"/>
    <w:rsid w:val="790F7E27"/>
    <w:rsid w:val="792A231A"/>
    <w:rsid w:val="79316829"/>
    <w:rsid w:val="797E66A9"/>
    <w:rsid w:val="798518A4"/>
    <w:rsid w:val="79A97383"/>
    <w:rsid w:val="79E27E8B"/>
    <w:rsid w:val="79E70551"/>
    <w:rsid w:val="79F850CE"/>
    <w:rsid w:val="79FD443C"/>
    <w:rsid w:val="7A007F65"/>
    <w:rsid w:val="7A1D1975"/>
    <w:rsid w:val="7A2D7B93"/>
    <w:rsid w:val="7A3E5150"/>
    <w:rsid w:val="7A4670D6"/>
    <w:rsid w:val="7A534B63"/>
    <w:rsid w:val="7A615382"/>
    <w:rsid w:val="7A67303B"/>
    <w:rsid w:val="7AAB1D04"/>
    <w:rsid w:val="7ABA4368"/>
    <w:rsid w:val="7AD05746"/>
    <w:rsid w:val="7B257FFD"/>
    <w:rsid w:val="7B343476"/>
    <w:rsid w:val="7B5A2978"/>
    <w:rsid w:val="7B5A7E4C"/>
    <w:rsid w:val="7B667AF9"/>
    <w:rsid w:val="7B7468F8"/>
    <w:rsid w:val="7BDE750D"/>
    <w:rsid w:val="7BEE0103"/>
    <w:rsid w:val="7C0A0FE4"/>
    <w:rsid w:val="7C254906"/>
    <w:rsid w:val="7C590818"/>
    <w:rsid w:val="7C792C1C"/>
    <w:rsid w:val="7C7C10F6"/>
    <w:rsid w:val="7C853BEA"/>
    <w:rsid w:val="7C881368"/>
    <w:rsid w:val="7C887303"/>
    <w:rsid w:val="7CD564F7"/>
    <w:rsid w:val="7CE27788"/>
    <w:rsid w:val="7D0C32F1"/>
    <w:rsid w:val="7D0F408D"/>
    <w:rsid w:val="7D491C6C"/>
    <w:rsid w:val="7D5429C0"/>
    <w:rsid w:val="7D6E6D43"/>
    <w:rsid w:val="7D853842"/>
    <w:rsid w:val="7DB201D3"/>
    <w:rsid w:val="7DB57A34"/>
    <w:rsid w:val="7DE60973"/>
    <w:rsid w:val="7DEF0916"/>
    <w:rsid w:val="7E0B1F99"/>
    <w:rsid w:val="7E1E5218"/>
    <w:rsid w:val="7E6C679B"/>
    <w:rsid w:val="7E8D29AE"/>
    <w:rsid w:val="7E9A4E1F"/>
    <w:rsid w:val="7EA7723A"/>
    <w:rsid w:val="7EF56FBB"/>
    <w:rsid w:val="7F0768EB"/>
    <w:rsid w:val="7F143BEC"/>
    <w:rsid w:val="7F362021"/>
    <w:rsid w:val="7F660C7A"/>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1"/>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ind w:firstLine="420"/>
    </w:pPr>
    <w:rPr>
      <w:rFonts w:ascii="Times New Roman" w:hAnsi="Times New Roman" w:cs="宋体"/>
    </w:rPr>
  </w:style>
  <w:style w:type="paragraph" w:customStyle="1" w:styleId="80">
    <w:name w:val="Body Text Indent1"/>
    <w:basedOn w:val="1"/>
    <w:next w:val="1"/>
    <w:autoRedefine/>
    <w:qFormat/>
    <w:uiPriority w:val="0"/>
    <w:pPr>
      <w:spacing w:after="120"/>
      <w:ind w:left="420" w:leftChars="200"/>
    </w:pPr>
    <w:rPr>
      <w:color w:val="000000"/>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ist Paragraph"/>
    <w:basedOn w:val="1"/>
    <w:autoRedefine/>
    <w:qFormat/>
    <w:uiPriority w:val="0"/>
    <w:pPr>
      <w:ind w:firstLine="420" w:firstLineChars="200"/>
    </w:pPr>
    <w:rPr>
      <w:rFonts w:ascii="Calibri" w:hAnsi="Calibri"/>
      <w:szCs w:val="22"/>
    </w:rPr>
  </w:style>
  <w:style w:type="paragraph" w:customStyle="1" w:styleId="967">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31555</Words>
  <Characters>33773</Characters>
  <Lines>405</Lines>
  <Paragraphs>114</Paragraphs>
  <TotalTime>1</TotalTime>
  <ScaleCrop>false</ScaleCrop>
  <LinksUpToDate>false</LinksUpToDate>
  <CharactersWithSpaces>35415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萱</cp:lastModifiedBy>
  <cp:lastPrinted>2021-12-27T11:06:00Z</cp:lastPrinted>
  <dcterms:modified xsi:type="dcterms:W3CDTF">2025-07-08T07:35:08Z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eyJoZGlkIjoiZTE2OGFlYjE4ZTljZTAzMWIxNDI0NmY0YWQ1NTFhOTciLCJ1c2VySWQiOiI3NTIwNzE3MTUifQ==</vt:lpwstr>
  </property>
</Properties>
</file>